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0"/>
        </w:tabs>
        <w:autoSpaceDE w:val="0"/>
        <w:autoSpaceDN w:val="0"/>
        <w:adjustRightInd w:val="0"/>
        <w:spacing w:line="360" w:lineRule="auto"/>
        <w:ind w:firstLine="211" w:firstLineChars="1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zh-CN"/>
        </w:rPr>
        <w:t>项目编号：</w:t>
      </w:r>
      <w:r>
        <w:rPr>
          <w:rFonts w:hint="eastAsia" w:ascii="宋体" w:hAnsi="宋体" w:cs="宋体"/>
          <w:b/>
          <w:bCs/>
          <w:color w:val="auto"/>
          <w:sz w:val="21"/>
          <w:szCs w:val="21"/>
          <w:highlight w:val="none"/>
          <w:lang w:val="en-US" w:eastAsia="zh-CN"/>
        </w:rPr>
        <w:t>ZHZB2022-HW-0707</w:t>
      </w:r>
    </w:p>
    <w:p>
      <w:pPr>
        <w:tabs>
          <w:tab w:val="left" w:pos="5670"/>
        </w:tabs>
        <w:autoSpaceDE w:val="0"/>
        <w:autoSpaceDN w:val="0"/>
        <w:adjustRightInd w:val="0"/>
        <w:spacing w:line="360" w:lineRule="auto"/>
        <w:jc w:val="center"/>
        <w:rPr>
          <w:rFonts w:hint="eastAsia" w:ascii="宋体" w:hAnsi="宋体" w:eastAsia="宋体" w:cs="宋体"/>
          <w:color w:val="auto"/>
          <w:sz w:val="24"/>
          <w:szCs w:val="24"/>
          <w:highlight w:val="none"/>
        </w:rPr>
      </w:pPr>
    </w:p>
    <w:p>
      <w:pPr>
        <w:tabs>
          <w:tab w:val="left" w:pos="5670"/>
        </w:tabs>
        <w:autoSpaceDE w:val="0"/>
        <w:autoSpaceDN w:val="0"/>
        <w:adjustRightInd w:val="0"/>
        <w:spacing w:line="360" w:lineRule="auto"/>
        <w:jc w:val="center"/>
        <w:rPr>
          <w:rFonts w:hint="eastAsia" w:ascii="宋体" w:hAnsi="宋体" w:eastAsia="宋体" w:cs="宋体"/>
          <w:color w:val="auto"/>
          <w:sz w:val="24"/>
          <w:szCs w:val="24"/>
          <w:highlight w:val="none"/>
        </w:rPr>
      </w:pPr>
    </w:p>
    <w:p>
      <w:pPr>
        <w:tabs>
          <w:tab w:val="left" w:pos="5670"/>
        </w:tabs>
        <w:autoSpaceDE w:val="0"/>
        <w:autoSpaceDN w:val="0"/>
        <w:adjustRightInd w:val="0"/>
        <w:spacing w:line="360" w:lineRule="auto"/>
        <w:jc w:val="center"/>
        <w:rPr>
          <w:rFonts w:hint="eastAsia" w:ascii="宋体" w:hAnsi="宋体" w:eastAsia="宋体" w:cs="宋体"/>
          <w:color w:val="auto"/>
          <w:sz w:val="24"/>
          <w:szCs w:val="24"/>
          <w:highlight w:val="none"/>
        </w:rPr>
      </w:pPr>
    </w:p>
    <w:p>
      <w:pPr>
        <w:pStyle w:val="11"/>
        <w:rPr>
          <w:rFonts w:hint="eastAsia"/>
        </w:rPr>
      </w:pPr>
    </w:p>
    <w:p>
      <w:pPr>
        <w:tabs>
          <w:tab w:val="left" w:pos="5670"/>
        </w:tabs>
        <w:autoSpaceDE w:val="0"/>
        <w:autoSpaceDN w:val="0"/>
        <w:adjustRightInd w:val="0"/>
        <w:spacing w:line="360" w:lineRule="auto"/>
        <w:jc w:val="center"/>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val="en-US" w:eastAsia="zh-CN"/>
        </w:rPr>
        <w:t xml:space="preserve">陕西省动物疫病预防控制中心实验室仪器采购项目 </w:t>
      </w:r>
    </w:p>
    <w:p>
      <w:pPr>
        <w:tabs>
          <w:tab w:val="left" w:pos="5670"/>
        </w:tabs>
        <w:autoSpaceDE w:val="0"/>
        <w:autoSpaceDN w:val="0"/>
        <w:adjustRightInd w:val="0"/>
        <w:spacing w:line="360" w:lineRule="auto"/>
        <w:jc w:val="center"/>
        <w:rPr>
          <w:rFonts w:hint="eastAsia" w:ascii="宋体" w:hAnsi="宋体" w:eastAsia="宋体" w:cs="宋体"/>
          <w:b/>
          <w:bCs/>
          <w:color w:val="auto"/>
          <w:sz w:val="36"/>
          <w:szCs w:val="36"/>
          <w:highlight w:val="none"/>
          <w:lang w:eastAsia="zh-CN"/>
        </w:rPr>
      </w:pPr>
    </w:p>
    <w:p>
      <w:pPr>
        <w:tabs>
          <w:tab w:val="left" w:pos="5670"/>
        </w:tabs>
        <w:autoSpaceDE w:val="0"/>
        <w:autoSpaceDN w:val="0"/>
        <w:adjustRightInd w:val="0"/>
        <w:spacing w:line="360" w:lineRule="auto"/>
        <w:jc w:val="center"/>
        <w:rPr>
          <w:rFonts w:hint="eastAsia" w:ascii="宋体" w:hAnsi="宋体" w:eastAsia="宋体" w:cs="宋体"/>
          <w:b/>
          <w:bCs/>
          <w:color w:val="auto"/>
          <w:sz w:val="36"/>
          <w:szCs w:val="36"/>
          <w:highlight w:val="none"/>
          <w:lang w:eastAsia="zh-CN"/>
        </w:rPr>
      </w:pPr>
    </w:p>
    <w:p>
      <w:pPr>
        <w:tabs>
          <w:tab w:val="left" w:pos="5670"/>
        </w:tabs>
        <w:autoSpaceDE w:val="0"/>
        <w:autoSpaceDN w:val="0"/>
        <w:adjustRightInd w:val="0"/>
        <w:spacing w:line="360" w:lineRule="auto"/>
        <w:jc w:val="center"/>
        <w:rPr>
          <w:rFonts w:hint="eastAsia" w:ascii="宋体" w:hAnsi="宋体" w:eastAsia="宋体" w:cs="宋体"/>
          <w:b/>
          <w:bCs/>
          <w:color w:val="auto"/>
          <w:sz w:val="52"/>
          <w:szCs w:val="52"/>
          <w:highlight w:val="none"/>
          <w:lang w:eastAsia="zh-CN"/>
        </w:rPr>
      </w:pPr>
    </w:p>
    <w:p>
      <w:pPr>
        <w:tabs>
          <w:tab w:val="left" w:pos="5670"/>
        </w:tabs>
        <w:autoSpaceDE w:val="0"/>
        <w:autoSpaceDN w:val="0"/>
        <w:adjustRightInd w:val="0"/>
        <w:spacing w:line="360" w:lineRule="auto"/>
        <w:jc w:val="center"/>
        <w:rPr>
          <w:rFonts w:hint="eastAsia" w:ascii="宋体" w:hAnsi="宋体" w:eastAsia="宋体" w:cs="宋体"/>
          <w:b/>
          <w:bCs/>
          <w:color w:val="auto"/>
          <w:sz w:val="52"/>
          <w:szCs w:val="52"/>
          <w:highlight w:val="none"/>
          <w:lang w:eastAsia="zh-CN"/>
        </w:rPr>
      </w:pPr>
    </w:p>
    <w:p>
      <w:pPr>
        <w:tabs>
          <w:tab w:val="left" w:pos="5670"/>
        </w:tabs>
        <w:autoSpaceDE w:val="0"/>
        <w:autoSpaceDN w:val="0"/>
        <w:adjustRightIn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b/>
          <w:bCs/>
          <w:color w:val="auto"/>
          <w:sz w:val="52"/>
          <w:szCs w:val="52"/>
          <w:highlight w:val="none"/>
          <w:lang w:eastAsia="zh-CN"/>
        </w:rPr>
        <w:t>招</w:t>
      </w:r>
      <w:r>
        <w:rPr>
          <w:rFonts w:hint="eastAsia" w:ascii="宋体" w:hAnsi="宋体" w:eastAsia="宋体" w:cs="宋体"/>
          <w:b/>
          <w:bCs/>
          <w:color w:val="auto"/>
          <w:sz w:val="52"/>
          <w:szCs w:val="52"/>
          <w:highlight w:val="none"/>
          <w:lang w:val="en-US" w:eastAsia="zh-CN"/>
        </w:rPr>
        <w:t xml:space="preserve"> </w:t>
      </w:r>
      <w:r>
        <w:rPr>
          <w:rFonts w:hint="eastAsia" w:ascii="宋体" w:hAnsi="宋体" w:eastAsia="宋体" w:cs="宋体"/>
          <w:b/>
          <w:bCs/>
          <w:color w:val="auto"/>
          <w:sz w:val="52"/>
          <w:szCs w:val="52"/>
          <w:highlight w:val="none"/>
          <w:lang w:eastAsia="zh-CN"/>
        </w:rPr>
        <w:t>标</w:t>
      </w:r>
      <w:r>
        <w:rPr>
          <w:rFonts w:hint="eastAsia" w:ascii="宋体" w:hAnsi="宋体" w:eastAsia="宋体" w:cs="宋体"/>
          <w:b/>
          <w:bCs/>
          <w:color w:val="auto"/>
          <w:sz w:val="52"/>
          <w:szCs w:val="52"/>
          <w:highlight w:val="none"/>
        </w:rPr>
        <w:t xml:space="preserve"> </w:t>
      </w:r>
      <w:r>
        <w:rPr>
          <w:rFonts w:hint="eastAsia" w:ascii="宋体" w:hAnsi="宋体" w:eastAsia="宋体" w:cs="宋体"/>
          <w:b/>
          <w:bCs/>
          <w:color w:val="auto"/>
          <w:sz w:val="52"/>
          <w:szCs w:val="52"/>
          <w:highlight w:val="none"/>
          <w:lang w:val="zh-CN"/>
        </w:rPr>
        <w:t>文</w:t>
      </w:r>
      <w:r>
        <w:rPr>
          <w:rFonts w:hint="eastAsia" w:ascii="宋体" w:hAnsi="宋体" w:eastAsia="宋体" w:cs="宋体"/>
          <w:b/>
          <w:bCs/>
          <w:color w:val="auto"/>
          <w:sz w:val="52"/>
          <w:szCs w:val="52"/>
          <w:highlight w:val="none"/>
        </w:rPr>
        <w:t xml:space="preserve"> </w:t>
      </w:r>
      <w:r>
        <w:rPr>
          <w:rFonts w:hint="eastAsia" w:ascii="宋体" w:hAnsi="宋体" w:eastAsia="宋体" w:cs="宋体"/>
          <w:b/>
          <w:bCs/>
          <w:color w:val="auto"/>
          <w:sz w:val="52"/>
          <w:szCs w:val="52"/>
          <w:highlight w:val="none"/>
          <w:lang w:val="zh-CN"/>
        </w:rPr>
        <w:t>件</w:t>
      </w:r>
      <w:r>
        <w:rPr>
          <w:rFonts w:hint="eastAsia" w:ascii="宋体" w:hAnsi="宋体" w:eastAsia="宋体" w:cs="宋体"/>
          <w:b/>
          <w:color w:val="auto"/>
          <w:sz w:val="52"/>
          <w:szCs w:val="52"/>
          <w:highlight w:val="none"/>
        </w:rPr>
        <w:t xml:space="preserve"> </w:t>
      </w:r>
    </w:p>
    <w:p>
      <w:pPr>
        <w:tabs>
          <w:tab w:val="left" w:pos="5670"/>
        </w:tabs>
        <w:autoSpaceDE w:val="0"/>
        <w:autoSpaceDN w:val="0"/>
        <w:adjustRightInd w:val="0"/>
        <w:spacing w:line="360" w:lineRule="auto"/>
        <w:jc w:val="center"/>
        <w:rPr>
          <w:rFonts w:hint="eastAsia" w:ascii="宋体" w:hAnsi="宋体" w:eastAsia="宋体" w:cs="宋体"/>
          <w:color w:val="auto"/>
          <w:sz w:val="24"/>
          <w:szCs w:val="24"/>
          <w:highlight w:val="none"/>
        </w:rPr>
      </w:pPr>
    </w:p>
    <w:p>
      <w:pPr>
        <w:tabs>
          <w:tab w:val="left" w:pos="5670"/>
        </w:tabs>
        <w:autoSpaceDE w:val="0"/>
        <w:autoSpaceDN w:val="0"/>
        <w:adjustRightInd w:val="0"/>
        <w:spacing w:line="360" w:lineRule="auto"/>
        <w:jc w:val="center"/>
        <w:rPr>
          <w:rFonts w:hint="eastAsia" w:ascii="宋体" w:hAnsi="宋体" w:eastAsia="宋体" w:cs="宋体"/>
          <w:b/>
          <w:bCs/>
          <w:color w:val="auto"/>
          <w:sz w:val="24"/>
          <w:szCs w:val="24"/>
          <w:highlight w:val="none"/>
        </w:rPr>
      </w:pPr>
    </w:p>
    <w:p>
      <w:pPr>
        <w:tabs>
          <w:tab w:val="left" w:pos="5670"/>
          <w:tab w:val="left" w:pos="5883"/>
        </w:tabs>
        <w:autoSpaceDE w:val="0"/>
        <w:autoSpaceDN w:val="0"/>
        <w:adjustRightInd w:val="0"/>
        <w:spacing w:line="360" w:lineRule="auto"/>
        <w:jc w:val="left"/>
        <w:rPr>
          <w:rFonts w:hint="eastAsia" w:ascii="宋体" w:hAnsi="宋体" w:eastAsia="宋体" w:cs="宋体"/>
          <w:b/>
          <w:bCs/>
          <w:color w:val="auto"/>
          <w:sz w:val="24"/>
          <w:szCs w:val="24"/>
          <w:highlight w:val="none"/>
        </w:rPr>
      </w:pPr>
    </w:p>
    <w:p>
      <w:pPr>
        <w:pStyle w:val="11"/>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11"/>
        <w:rPr>
          <w:rFonts w:hint="eastAsia" w:ascii="宋体" w:hAnsi="宋体" w:eastAsia="宋体" w:cs="宋体"/>
          <w:b/>
          <w:bCs/>
          <w:color w:val="auto"/>
          <w:sz w:val="24"/>
          <w:szCs w:val="24"/>
          <w:highlight w:val="none"/>
        </w:rPr>
      </w:pPr>
    </w:p>
    <w:p>
      <w:pPr>
        <w:rPr>
          <w:rFonts w:hint="eastAsia"/>
        </w:rPr>
      </w:pPr>
    </w:p>
    <w:p>
      <w:pPr>
        <w:spacing w:before="168" w:beforeLines="70"/>
        <w:jc w:val="center"/>
        <w:rPr>
          <w:rFonts w:hint="eastAsia" w:ascii="宋体" w:hAnsi="宋体" w:cs="仿宋"/>
          <w:b/>
          <w:bCs/>
          <w:sz w:val="32"/>
          <w:szCs w:val="32"/>
          <w:lang w:eastAsia="zh-CN"/>
        </w:rPr>
      </w:pPr>
      <w:r>
        <w:rPr>
          <w:rFonts w:hint="eastAsia" w:ascii="宋体" w:hAnsi="宋体" w:cs="仿宋"/>
          <w:b/>
          <w:bCs/>
          <w:sz w:val="32"/>
          <w:szCs w:val="32"/>
          <w:lang w:eastAsia="zh-CN"/>
        </w:rPr>
        <w:t>采购人：</w:t>
      </w:r>
      <w:r>
        <w:rPr>
          <w:rFonts w:hint="eastAsia" w:ascii="宋体" w:hAnsi="宋体" w:cs="仿宋"/>
          <w:b/>
          <w:bCs/>
          <w:sz w:val="32"/>
          <w:szCs w:val="32"/>
          <w:lang w:val="en-US" w:eastAsia="zh-CN"/>
        </w:rPr>
        <w:t>陕西省动物疫病预防控制中心</w:t>
      </w:r>
    </w:p>
    <w:p>
      <w:pPr>
        <w:spacing w:before="168" w:beforeLines="70"/>
        <w:jc w:val="center"/>
        <w:rPr>
          <w:rFonts w:hint="eastAsia" w:ascii="宋体" w:hAnsi="宋体" w:cs="仿宋"/>
          <w:b/>
          <w:bCs/>
          <w:sz w:val="32"/>
          <w:szCs w:val="32"/>
        </w:rPr>
      </w:pPr>
      <w:bookmarkStart w:id="0" w:name="_Toc5248"/>
      <w:bookmarkStart w:id="1" w:name="_Toc15951"/>
      <w:bookmarkStart w:id="2" w:name="_Toc4610_WPSOffice_Level1"/>
      <w:r>
        <w:rPr>
          <w:rFonts w:hint="eastAsia" w:ascii="宋体" w:hAnsi="宋体" w:cs="仿宋"/>
          <w:b/>
          <w:bCs/>
          <w:sz w:val="32"/>
          <w:szCs w:val="32"/>
          <w:lang w:eastAsia="zh-CN"/>
        </w:rPr>
        <w:t>采购</w:t>
      </w:r>
      <w:r>
        <w:rPr>
          <w:rFonts w:hint="eastAsia" w:ascii="宋体" w:hAnsi="宋体" w:cs="仿宋"/>
          <w:b/>
          <w:bCs/>
          <w:sz w:val="32"/>
          <w:szCs w:val="32"/>
        </w:rPr>
        <w:t>代理机构：陕西中海招标有限公司</w:t>
      </w:r>
    </w:p>
    <w:p>
      <w:pPr>
        <w:spacing w:before="168" w:beforeLines="70"/>
        <w:jc w:val="center"/>
        <w:rPr>
          <w:rFonts w:hint="eastAsia" w:ascii="仿宋" w:hAnsi="仿宋" w:eastAsia="仿宋" w:cs="仿宋"/>
          <w:b/>
          <w:sz w:val="32"/>
          <w:szCs w:val="32"/>
          <w:bdr w:val="single" w:color="auto" w:sz="4" w:space="0"/>
          <w:shd w:val="pct10" w:color="auto" w:fill="FFFFFF"/>
        </w:rPr>
        <w:sectPr>
          <w:footerReference r:id="rId7" w:type="first"/>
          <w:headerReference r:id="rId3" w:type="default"/>
          <w:footerReference r:id="rId5" w:type="default"/>
          <w:headerReference r:id="rId4" w:type="even"/>
          <w:footerReference r:id="rId6" w:type="even"/>
          <w:pgSz w:w="11905" w:h="16838"/>
          <w:pgMar w:top="1134" w:right="1134" w:bottom="1134" w:left="1134" w:header="952" w:footer="533" w:gutter="567"/>
          <w:pgNumType w:fmt="decimal" w:start="0"/>
          <w:cols w:space="0" w:num="1"/>
          <w:titlePg/>
          <w:rtlGutter w:val="0"/>
          <w:docGrid w:linePitch="312" w:charSpace="0"/>
        </w:sectPr>
      </w:pPr>
      <w:r>
        <w:rPr>
          <w:rFonts w:hint="eastAsia" w:ascii="宋体" w:hAnsi="宋体" w:cs="仿宋"/>
          <w:b/>
          <w:bCs/>
          <w:sz w:val="32"/>
          <w:szCs w:val="32"/>
        </w:rPr>
        <w:t>二○</w:t>
      </w:r>
      <w:r>
        <w:rPr>
          <w:rFonts w:hint="eastAsia" w:ascii="宋体" w:hAnsi="宋体" w:cs="仿宋"/>
          <w:b/>
          <w:bCs/>
          <w:sz w:val="32"/>
          <w:szCs w:val="32"/>
          <w:lang w:eastAsia="zh-CN"/>
        </w:rPr>
        <w:t>二二</w:t>
      </w:r>
      <w:r>
        <w:rPr>
          <w:rFonts w:hint="eastAsia" w:ascii="宋体" w:hAnsi="宋体" w:cs="仿宋"/>
          <w:b/>
          <w:bCs/>
          <w:sz w:val="32"/>
          <w:szCs w:val="32"/>
        </w:rPr>
        <w:t>年</w:t>
      </w:r>
      <w:r>
        <w:rPr>
          <w:rFonts w:hint="eastAsia" w:ascii="宋体" w:hAnsi="宋体" w:cs="仿宋"/>
          <w:b/>
          <w:bCs/>
          <w:sz w:val="32"/>
          <w:szCs w:val="32"/>
          <w:lang w:eastAsia="zh-CN"/>
        </w:rPr>
        <w:t>七</w:t>
      </w:r>
      <w:r>
        <w:rPr>
          <w:rFonts w:hint="eastAsia" w:ascii="宋体" w:hAnsi="宋体" w:cs="仿宋"/>
          <w:b/>
          <w:bCs/>
          <w:sz w:val="32"/>
          <w:szCs w:val="32"/>
        </w:rPr>
        <w:t>月</w:t>
      </w:r>
    </w:p>
    <w:p>
      <w:pPr>
        <w:autoSpaceDE w:val="0"/>
        <w:autoSpaceDN w:val="0"/>
        <w:adjustRightInd w:val="0"/>
        <w:spacing w:line="360" w:lineRule="auto"/>
        <w:jc w:val="center"/>
        <w:outlineLvl w:val="9"/>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目录</w:t>
      </w:r>
    </w:p>
    <w:sdt>
      <w:sdtPr>
        <w:rPr>
          <w:rFonts w:hint="eastAsia" w:ascii="宋体" w:hAnsi="宋体" w:eastAsia="宋体" w:cs="宋体"/>
          <w:kern w:val="2"/>
          <w:sz w:val="28"/>
          <w:szCs w:val="24"/>
          <w:lang w:val="en-US" w:eastAsia="zh-CN" w:bidi="ar-SA"/>
        </w:rPr>
        <w:id w:val="147472363"/>
        <w15:color w:val="DBDBDB"/>
        <w:docPartObj>
          <w:docPartGallery w:val="Table of Contents"/>
          <w:docPartUnique/>
        </w:docPartObj>
      </w:sdtPr>
      <w:sdtEndPr>
        <w:rPr>
          <w:rFonts w:hint="eastAsia" w:ascii="宋体" w:hAnsi="宋体" w:eastAsia="宋体" w:cs="宋体"/>
          <w:b/>
          <w:bCs/>
          <w:color w:val="000000"/>
          <w:kern w:val="2"/>
          <w:sz w:val="28"/>
          <w:szCs w:val="28"/>
          <w:lang w:val="en-US"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sz w:val="28"/>
              <w:szCs w:val="24"/>
            </w:rPr>
          </w:pPr>
        </w:p>
        <w:p>
          <w:pPr>
            <w:pStyle w:val="17"/>
            <w:tabs>
              <w:tab w:val="right" w:leader="dot" w:pos="9070"/>
            </w:tabs>
            <w:spacing w:line="360" w:lineRule="auto"/>
            <w:rPr>
              <w:rFonts w:hint="eastAsia" w:ascii="宋体" w:hAnsi="宋体" w:eastAsia="宋体" w:cs="宋体"/>
              <w:b/>
              <w:bCs/>
              <w:sz w:val="28"/>
              <w:szCs w:val="24"/>
            </w:rPr>
          </w:pPr>
          <w:r>
            <w:rPr>
              <w:rFonts w:hint="eastAsia" w:ascii="宋体" w:hAnsi="宋体" w:eastAsia="宋体" w:cs="宋体"/>
              <w:b/>
              <w:bCs/>
              <w:sz w:val="40"/>
              <w:szCs w:val="40"/>
              <w:lang w:val="en-US" w:eastAsia="zh-CN"/>
            </w:rPr>
            <w:fldChar w:fldCharType="begin"/>
          </w:r>
          <w:r>
            <w:rPr>
              <w:rFonts w:hint="eastAsia" w:ascii="宋体" w:hAnsi="宋体" w:eastAsia="宋体" w:cs="宋体"/>
              <w:b/>
              <w:bCs/>
              <w:sz w:val="40"/>
              <w:szCs w:val="40"/>
              <w:lang w:val="en-US" w:eastAsia="zh-CN"/>
            </w:rPr>
            <w:instrText xml:space="preserve">TOC \o "1-3" \h \u </w:instrText>
          </w:r>
          <w:r>
            <w:rPr>
              <w:rFonts w:hint="eastAsia" w:ascii="宋体" w:hAnsi="宋体" w:eastAsia="宋体" w:cs="宋体"/>
              <w:b/>
              <w:bCs/>
              <w:sz w:val="40"/>
              <w:szCs w:val="40"/>
              <w:lang w:val="en-US" w:eastAsia="zh-CN"/>
            </w:rPr>
            <w:fldChar w:fldCharType="separate"/>
          </w:r>
          <w:r>
            <w:rPr>
              <w:rFonts w:hint="eastAsia" w:ascii="宋体" w:hAnsi="宋体" w:eastAsia="宋体" w:cs="宋体"/>
              <w:b/>
              <w:bCs/>
              <w:sz w:val="28"/>
              <w:szCs w:val="40"/>
              <w:lang w:val="en-US" w:eastAsia="zh-CN"/>
            </w:rPr>
            <w:fldChar w:fldCharType="begin"/>
          </w:r>
          <w:r>
            <w:rPr>
              <w:rFonts w:hint="eastAsia" w:ascii="宋体" w:hAnsi="宋体" w:eastAsia="宋体" w:cs="宋体"/>
              <w:b/>
              <w:bCs/>
              <w:sz w:val="28"/>
              <w:szCs w:val="40"/>
              <w:lang w:val="en-US" w:eastAsia="zh-CN"/>
            </w:rPr>
            <w:instrText xml:space="preserve"> HYPERLINK \l _Toc17876 </w:instrText>
          </w:r>
          <w:r>
            <w:rPr>
              <w:rFonts w:hint="eastAsia" w:ascii="宋体" w:hAnsi="宋体" w:eastAsia="宋体" w:cs="宋体"/>
              <w:b/>
              <w:bCs/>
              <w:sz w:val="28"/>
              <w:szCs w:val="40"/>
              <w:lang w:val="en-US" w:eastAsia="zh-CN"/>
            </w:rPr>
            <w:fldChar w:fldCharType="separate"/>
          </w:r>
          <w:r>
            <w:rPr>
              <w:rFonts w:hint="eastAsia" w:ascii="宋体" w:hAnsi="宋体" w:eastAsia="宋体" w:cs="宋体"/>
              <w:b/>
              <w:bCs/>
              <w:sz w:val="28"/>
              <w:szCs w:val="36"/>
              <w:lang w:val="en-US" w:eastAsia="zh-CN"/>
            </w:rPr>
            <w:t xml:space="preserve">第一部分 </w:t>
          </w:r>
          <w:r>
            <w:rPr>
              <w:rFonts w:hint="eastAsia" w:ascii="宋体" w:hAnsi="宋体" w:eastAsia="宋体" w:cs="宋体"/>
              <w:b/>
              <w:bCs/>
              <w:sz w:val="28"/>
              <w:szCs w:val="36"/>
              <w:highlight w:val="none"/>
              <w:lang w:val="en-US" w:eastAsia="zh-CN"/>
            </w:rPr>
            <w:t>招标公告</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_Toc17876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2</w:t>
          </w:r>
          <w:r>
            <w:rPr>
              <w:rFonts w:hint="eastAsia" w:ascii="宋体" w:hAnsi="宋体" w:eastAsia="宋体" w:cs="宋体"/>
              <w:b/>
              <w:bCs/>
              <w:sz w:val="28"/>
              <w:szCs w:val="24"/>
            </w:rPr>
            <w:fldChar w:fldCharType="end"/>
          </w:r>
          <w:r>
            <w:rPr>
              <w:rFonts w:hint="eastAsia" w:ascii="宋体" w:hAnsi="宋体" w:eastAsia="宋体" w:cs="宋体"/>
              <w:b/>
              <w:bCs/>
              <w:sz w:val="28"/>
              <w:szCs w:val="40"/>
              <w:lang w:val="en-US" w:eastAsia="zh-CN"/>
            </w:rPr>
            <w:fldChar w:fldCharType="end"/>
          </w:r>
        </w:p>
        <w:p>
          <w:pPr>
            <w:pStyle w:val="17"/>
            <w:tabs>
              <w:tab w:val="right" w:leader="dot" w:pos="9070"/>
            </w:tabs>
            <w:spacing w:line="360" w:lineRule="auto"/>
            <w:rPr>
              <w:rFonts w:hint="eastAsia" w:ascii="宋体" w:hAnsi="宋体" w:eastAsia="宋体" w:cs="宋体"/>
              <w:b/>
              <w:bCs/>
              <w:sz w:val="28"/>
              <w:szCs w:val="24"/>
            </w:rPr>
          </w:pPr>
          <w:r>
            <w:rPr>
              <w:rFonts w:hint="eastAsia" w:ascii="宋体" w:hAnsi="宋体" w:eastAsia="宋体" w:cs="宋体"/>
              <w:b/>
              <w:bCs/>
              <w:sz w:val="28"/>
              <w:szCs w:val="40"/>
              <w:lang w:val="en-US" w:eastAsia="zh-CN"/>
            </w:rPr>
            <w:fldChar w:fldCharType="begin"/>
          </w:r>
          <w:r>
            <w:rPr>
              <w:rFonts w:hint="eastAsia" w:ascii="宋体" w:hAnsi="宋体" w:eastAsia="宋体" w:cs="宋体"/>
              <w:b/>
              <w:bCs/>
              <w:sz w:val="28"/>
              <w:szCs w:val="40"/>
              <w:lang w:val="en-US" w:eastAsia="zh-CN"/>
            </w:rPr>
            <w:instrText xml:space="preserve"> HYPERLINK \l _Toc30371 </w:instrText>
          </w:r>
          <w:r>
            <w:rPr>
              <w:rFonts w:hint="eastAsia" w:ascii="宋体" w:hAnsi="宋体" w:eastAsia="宋体" w:cs="宋体"/>
              <w:b/>
              <w:bCs/>
              <w:sz w:val="28"/>
              <w:szCs w:val="40"/>
              <w:lang w:val="en-US" w:eastAsia="zh-CN"/>
            </w:rPr>
            <w:fldChar w:fldCharType="separate"/>
          </w:r>
          <w:r>
            <w:rPr>
              <w:rFonts w:hint="eastAsia" w:ascii="宋体" w:hAnsi="宋体" w:eastAsia="宋体" w:cs="宋体"/>
              <w:b/>
              <w:bCs/>
              <w:sz w:val="28"/>
              <w:szCs w:val="36"/>
              <w:highlight w:val="none"/>
              <w:lang w:val="zh-CN"/>
            </w:rPr>
            <w:t>第二部分</w:t>
          </w:r>
          <w:r>
            <w:rPr>
              <w:rFonts w:hint="eastAsia" w:ascii="宋体" w:hAnsi="宋体" w:eastAsia="宋体" w:cs="宋体"/>
              <w:b/>
              <w:bCs/>
              <w:sz w:val="28"/>
              <w:szCs w:val="36"/>
              <w:highlight w:val="none"/>
              <w:lang w:val="en-US" w:eastAsia="zh-CN"/>
            </w:rPr>
            <w:t xml:space="preserve"> </w:t>
          </w:r>
          <w:r>
            <w:rPr>
              <w:rFonts w:hint="eastAsia" w:ascii="宋体" w:hAnsi="宋体" w:eastAsia="宋体" w:cs="宋体"/>
              <w:b/>
              <w:bCs/>
              <w:sz w:val="28"/>
              <w:szCs w:val="36"/>
              <w:highlight w:val="none"/>
              <w:lang w:val="zh-CN"/>
            </w:rPr>
            <w:t>投标人须知</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_Toc30371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6</w:t>
          </w:r>
          <w:r>
            <w:rPr>
              <w:rFonts w:hint="eastAsia" w:ascii="宋体" w:hAnsi="宋体" w:eastAsia="宋体" w:cs="宋体"/>
              <w:b/>
              <w:bCs/>
              <w:sz w:val="28"/>
              <w:szCs w:val="24"/>
            </w:rPr>
            <w:fldChar w:fldCharType="end"/>
          </w:r>
          <w:r>
            <w:rPr>
              <w:rFonts w:hint="eastAsia" w:ascii="宋体" w:hAnsi="宋体" w:eastAsia="宋体" w:cs="宋体"/>
              <w:b/>
              <w:bCs/>
              <w:sz w:val="28"/>
              <w:szCs w:val="40"/>
              <w:lang w:val="en-US" w:eastAsia="zh-CN"/>
            </w:rPr>
            <w:fldChar w:fldCharType="end"/>
          </w:r>
        </w:p>
        <w:p>
          <w:pPr>
            <w:pStyle w:val="17"/>
            <w:tabs>
              <w:tab w:val="right" w:leader="dot" w:pos="9070"/>
            </w:tabs>
            <w:spacing w:line="360" w:lineRule="auto"/>
            <w:rPr>
              <w:rFonts w:hint="eastAsia" w:ascii="宋体" w:hAnsi="宋体" w:eastAsia="宋体" w:cs="宋体"/>
              <w:b/>
              <w:bCs/>
              <w:sz w:val="28"/>
              <w:szCs w:val="24"/>
            </w:rPr>
          </w:pPr>
          <w:r>
            <w:rPr>
              <w:rFonts w:hint="eastAsia" w:ascii="宋体" w:hAnsi="宋体" w:eastAsia="宋体" w:cs="宋体"/>
              <w:b/>
              <w:bCs/>
              <w:sz w:val="28"/>
              <w:szCs w:val="40"/>
              <w:lang w:val="en-US" w:eastAsia="zh-CN"/>
            </w:rPr>
            <w:fldChar w:fldCharType="begin"/>
          </w:r>
          <w:r>
            <w:rPr>
              <w:rFonts w:hint="eastAsia" w:ascii="宋体" w:hAnsi="宋体" w:eastAsia="宋体" w:cs="宋体"/>
              <w:b/>
              <w:bCs/>
              <w:sz w:val="28"/>
              <w:szCs w:val="40"/>
              <w:lang w:val="en-US" w:eastAsia="zh-CN"/>
            </w:rPr>
            <w:instrText xml:space="preserve"> HYPERLINK \l _Toc4455 </w:instrText>
          </w:r>
          <w:r>
            <w:rPr>
              <w:rFonts w:hint="eastAsia" w:ascii="宋体" w:hAnsi="宋体" w:eastAsia="宋体" w:cs="宋体"/>
              <w:b/>
              <w:bCs/>
              <w:sz w:val="28"/>
              <w:szCs w:val="40"/>
              <w:lang w:val="en-US" w:eastAsia="zh-CN"/>
            </w:rPr>
            <w:fldChar w:fldCharType="separate"/>
          </w:r>
          <w:r>
            <w:rPr>
              <w:rFonts w:hint="eastAsia" w:ascii="宋体" w:hAnsi="宋体" w:eastAsia="宋体" w:cs="宋体"/>
              <w:b/>
              <w:bCs/>
              <w:sz w:val="28"/>
              <w:szCs w:val="36"/>
              <w:lang w:val="en-US" w:eastAsia="zh-CN"/>
            </w:rPr>
            <w:t xml:space="preserve">第三部分 </w:t>
          </w:r>
          <w:r>
            <w:rPr>
              <w:rFonts w:hint="eastAsia" w:ascii="宋体" w:hAnsi="宋体" w:eastAsia="宋体" w:cs="宋体"/>
              <w:b/>
              <w:bCs/>
              <w:sz w:val="28"/>
              <w:szCs w:val="36"/>
              <w:highlight w:val="none"/>
              <w:lang w:val="en-US" w:eastAsia="zh-CN"/>
            </w:rPr>
            <w:t>采购需求</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_Toc4455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24</w:t>
          </w:r>
          <w:r>
            <w:rPr>
              <w:rFonts w:hint="eastAsia" w:ascii="宋体" w:hAnsi="宋体" w:eastAsia="宋体" w:cs="宋体"/>
              <w:b/>
              <w:bCs/>
              <w:sz w:val="28"/>
              <w:szCs w:val="24"/>
            </w:rPr>
            <w:fldChar w:fldCharType="end"/>
          </w:r>
          <w:r>
            <w:rPr>
              <w:rFonts w:hint="eastAsia" w:ascii="宋体" w:hAnsi="宋体" w:eastAsia="宋体" w:cs="宋体"/>
              <w:b/>
              <w:bCs/>
              <w:sz w:val="28"/>
              <w:szCs w:val="40"/>
              <w:lang w:val="en-US" w:eastAsia="zh-CN"/>
            </w:rPr>
            <w:fldChar w:fldCharType="end"/>
          </w:r>
        </w:p>
        <w:p>
          <w:pPr>
            <w:pStyle w:val="17"/>
            <w:tabs>
              <w:tab w:val="right" w:leader="dot" w:pos="9070"/>
            </w:tabs>
            <w:spacing w:line="360" w:lineRule="auto"/>
            <w:rPr>
              <w:rFonts w:hint="eastAsia" w:ascii="宋体" w:hAnsi="宋体" w:eastAsia="宋体" w:cs="宋体"/>
              <w:b/>
              <w:bCs/>
              <w:sz w:val="28"/>
              <w:szCs w:val="24"/>
            </w:rPr>
          </w:pPr>
          <w:r>
            <w:rPr>
              <w:rFonts w:hint="eastAsia" w:ascii="宋体" w:hAnsi="宋体" w:eastAsia="宋体" w:cs="宋体"/>
              <w:b/>
              <w:bCs/>
              <w:sz w:val="28"/>
              <w:szCs w:val="40"/>
              <w:lang w:val="en-US" w:eastAsia="zh-CN"/>
            </w:rPr>
            <w:fldChar w:fldCharType="begin"/>
          </w:r>
          <w:r>
            <w:rPr>
              <w:rFonts w:hint="eastAsia" w:ascii="宋体" w:hAnsi="宋体" w:eastAsia="宋体" w:cs="宋体"/>
              <w:b/>
              <w:bCs/>
              <w:sz w:val="28"/>
              <w:szCs w:val="40"/>
              <w:lang w:val="en-US" w:eastAsia="zh-CN"/>
            </w:rPr>
            <w:instrText xml:space="preserve"> HYPERLINK \l _Toc12257 </w:instrText>
          </w:r>
          <w:r>
            <w:rPr>
              <w:rFonts w:hint="eastAsia" w:ascii="宋体" w:hAnsi="宋体" w:eastAsia="宋体" w:cs="宋体"/>
              <w:b/>
              <w:bCs/>
              <w:sz w:val="28"/>
              <w:szCs w:val="40"/>
              <w:lang w:val="en-US" w:eastAsia="zh-CN"/>
            </w:rPr>
            <w:fldChar w:fldCharType="separate"/>
          </w:r>
          <w:r>
            <w:rPr>
              <w:rFonts w:hint="eastAsia" w:ascii="宋体" w:hAnsi="宋体" w:eastAsia="宋体" w:cs="宋体"/>
              <w:b/>
              <w:bCs/>
              <w:sz w:val="28"/>
              <w:szCs w:val="36"/>
              <w:highlight w:val="none"/>
              <w:lang w:val="zh-CN"/>
            </w:rPr>
            <w:t>第四部分</w:t>
          </w:r>
          <w:r>
            <w:rPr>
              <w:rFonts w:hint="eastAsia" w:ascii="宋体" w:hAnsi="宋体" w:eastAsia="宋体" w:cs="宋体"/>
              <w:b/>
              <w:bCs/>
              <w:sz w:val="28"/>
              <w:szCs w:val="36"/>
              <w:highlight w:val="none"/>
              <w:lang w:val="en-US" w:eastAsia="zh-CN"/>
            </w:rPr>
            <w:t xml:space="preserve"> 商务要求及</w:t>
          </w:r>
          <w:r>
            <w:rPr>
              <w:rFonts w:hint="eastAsia" w:ascii="宋体" w:hAnsi="宋体" w:eastAsia="宋体" w:cs="宋体"/>
              <w:b/>
              <w:bCs/>
              <w:sz w:val="28"/>
              <w:szCs w:val="36"/>
              <w:highlight w:val="none"/>
              <w:lang w:val="zh-CN"/>
            </w:rPr>
            <w:t>合同范本</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_Toc12257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32</w:t>
          </w:r>
          <w:r>
            <w:rPr>
              <w:rFonts w:hint="eastAsia" w:ascii="宋体" w:hAnsi="宋体" w:eastAsia="宋体" w:cs="宋体"/>
              <w:b/>
              <w:bCs/>
              <w:sz w:val="28"/>
              <w:szCs w:val="24"/>
            </w:rPr>
            <w:fldChar w:fldCharType="end"/>
          </w:r>
          <w:r>
            <w:rPr>
              <w:rFonts w:hint="eastAsia" w:ascii="宋体" w:hAnsi="宋体" w:eastAsia="宋体" w:cs="宋体"/>
              <w:b/>
              <w:bCs/>
              <w:sz w:val="28"/>
              <w:szCs w:val="40"/>
              <w:lang w:val="en-US" w:eastAsia="zh-CN"/>
            </w:rPr>
            <w:fldChar w:fldCharType="end"/>
          </w:r>
        </w:p>
        <w:p>
          <w:pPr>
            <w:pStyle w:val="17"/>
            <w:tabs>
              <w:tab w:val="right" w:leader="dot" w:pos="9070"/>
            </w:tabs>
            <w:spacing w:line="360" w:lineRule="auto"/>
            <w:rPr>
              <w:rFonts w:hint="eastAsia" w:ascii="宋体" w:hAnsi="宋体" w:eastAsia="宋体" w:cs="宋体"/>
              <w:b/>
              <w:bCs/>
              <w:sz w:val="28"/>
              <w:szCs w:val="24"/>
            </w:rPr>
          </w:pPr>
          <w:r>
            <w:rPr>
              <w:rFonts w:hint="eastAsia" w:ascii="宋体" w:hAnsi="宋体" w:eastAsia="宋体" w:cs="宋体"/>
              <w:b/>
              <w:bCs/>
              <w:sz w:val="28"/>
              <w:szCs w:val="40"/>
              <w:lang w:val="en-US" w:eastAsia="zh-CN"/>
            </w:rPr>
            <w:fldChar w:fldCharType="begin"/>
          </w:r>
          <w:r>
            <w:rPr>
              <w:rFonts w:hint="eastAsia" w:ascii="宋体" w:hAnsi="宋体" w:eastAsia="宋体" w:cs="宋体"/>
              <w:b/>
              <w:bCs/>
              <w:sz w:val="28"/>
              <w:szCs w:val="40"/>
              <w:lang w:val="en-US" w:eastAsia="zh-CN"/>
            </w:rPr>
            <w:instrText xml:space="preserve"> HYPERLINK \l _Toc17101 </w:instrText>
          </w:r>
          <w:r>
            <w:rPr>
              <w:rFonts w:hint="eastAsia" w:ascii="宋体" w:hAnsi="宋体" w:eastAsia="宋体" w:cs="宋体"/>
              <w:b/>
              <w:bCs/>
              <w:sz w:val="28"/>
              <w:szCs w:val="40"/>
              <w:lang w:val="en-US" w:eastAsia="zh-CN"/>
            </w:rPr>
            <w:fldChar w:fldCharType="separate"/>
          </w:r>
          <w:r>
            <w:rPr>
              <w:rFonts w:hint="eastAsia" w:ascii="宋体" w:hAnsi="宋体" w:eastAsia="宋体" w:cs="宋体"/>
              <w:b/>
              <w:bCs/>
              <w:kern w:val="44"/>
              <w:sz w:val="28"/>
              <w:szCs w:val="36"/>
              <w:highlight w:val="none"/>
            </w:rPr>
            <w:t>第</w:t>
          </w:r>
          <w:r>
            <w:rPr>
              <w:rFonts w:hint="eastAsia" w:ascii="宋体" w:hAnsi="宋体" w:eastAsia="宋体" w:cs="宋体"/>
              <w:b/>
              <w:bCs/>
              <w:kern w:val="44"/>
              <w:sz w:val="28"/>
              <w:szCs w:val="36"/>
              <w:highlight w:val="none"/>
              <w:lang w:eastAsia="zh-CN"/>
            </w:rPr>
            <w:t>五</w:t>
          </w:r>
          <w:r>
            <w:rPr>
              <w:rFonts w:hint="eastAsia" w:ascii="宋体" w:hAnsi="宋体" w:eastAsia="宋体" w:cs="宋体"/>
              <w:b/>
              <w:bCs/>
              <w:kern w:val="44"/>
              <w:sz w:val="28"/>
              <w:szCs w:val="36"/>
              <w:highlight w:val="none"/>
            </w:rPr>
            <w:t xml:space="preserve">部分 </w:t>
          </w:r>
          <w:r>
            <w:rPr>
              <w:rFonts w:hint="eastAsia" w:ascii="宋体" w:hAnsi="宋体" w:eastAsia="宋体" w:cs="宋体"/>
              <w:b/>
              <w:bCs/>
              <w:kern w:val="44"/>
              <w:sz w:val="28"/>
              <w:szCs w:val="36"/>
              <w:highlight w:val="none"/>
              <w:lang w:eastAsia="zh-CN"/>
            </w:rPr>
            <w:t>投标文件</w:t>
          </w:r>
          <w:r>
            <w:rPr>
              <w:rFonts w:hint="eastAsia" w:ascii="宋体" w:hAnsi="宋体" w:eastAsia="宋体" w:cs="宋体"/>
              <w:b/>
              <w:bCs/>
              <w:kern w:val="44"/>
              <w:sz w:val="28"/>
              <w:szCs w:val="36"/>
              <w:highlight w:val="none"/>
            </w:rPr>
            <w:t>格式</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_Toc17101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35</w:t>
          </w:r>
          <w:r>
            <w:rPr>
              <w:rFonts w:hint="eastAsia" w:ascii="宋体" w:hAnsi="宋体" w:eastAsia="宋体" w:cs="宋体"/>
              <w:b/>
              <w:bCs/>
              <w:sz w:val="28"/>
              <w:szCs w:val="24"/>
            </w:rPr>
            <w:fldChar w:fldCharType="end"/>
          </w:r>
          <w:r>
            <w:rPr>
              <w:rFonts w:hint="eastAsia" w:ascii="宋体" w:hAnsi="宋体" w:eastAsia="宋体" w:cs="宋体"/>
              <w:b/>
              <w:bCs/>
              <w:sz w:val="28"/>
              <w:szCs w:val="40"/>
              <w:lang w:val="en-US" w:eastAsia="zh-CN"/>
            </w:rPr>
            <w:fldChar w:fldCharType="end"/>
          </w:r>
        </w:p>
        <w:p>
          <w:pPr>
            <w:pStyle w:val="60"/>
            <w:keepNext w:val="0"/>
            <w:keepLines w:val="0"/>
            <w:pageBreakBefore w:val="0"/>
            <w:tabs>
              <w:tab w:val="right" w:leader="dot" w:pos="9298"/>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lang w:val="en-US" w:eastAsia="zh-CN"/>
            </w:rPr>
            <w:sectPr>
              <w:footerReference r:id="rId10" w:type="first"/>
              <w:headerReference r:id="rId8" w:type="default"/>
              <w:footerReference r:id="rId9" w:type="default"/>
              <w:pgSz w:w="11905" w:h="16838"/>
              <w:pgMar w:top="1134" w:right="1134" w:bottom="1134" w:left="1134" w:header="952" w:footer="533" w:gutter="567"/>
              <w:pgNumType w:fmt="decimal" w:start="1"/>
              <w:cols w:space="0" w:num="1"/>
              <w:titlePg/>
              <w:rtlGutter w:val="0"/>
              <w:docGrid w:linePitch="312" w:charSpace="0"/>
            </w:sectPr>
          </w:pPr>
          <w:r>
            <w:rPr>
              <w:rFonts w:hint="eastAsia" w:ascii="宋体" w:hAnsi="宋体" w:eastAsia="宋体" w:cs="宋体"/>
              <w:b/>
              <w:bCs/>
              <w:sz w:val="24"/>
              <w:szCs w:val="40"/>
              <w:lang w:val="en-US" w:eastAsia="zh-CN"/>
            </w:rPr>
            <w:fldChar w:fldCharType="end"/>
          </w:r>
        </w:p>
      </w:sdtContent>
    </w:sdt>
    <w:p>
      <w:pPr>
        <w:numPr>
          <w:ilvl w:val="0"/>
          <w:numId w:val="1"/>
        </w:numPr>
        <w:autoSpaceDE w:val="0"/>
        <w:autoSpaceDN w:val="0"/>
        <w:adjustRightInd w:val="0"/>
        <w:spacing w:line="360" w:lineRule="auto"/>
        <w:jc w:val="center"/>
        <w:outlineLvl w:val="0"/>
        <w:rPr>
          <w:rFonts w:hint="eastAsia" w:ascii="宋体" w:hAnsi="宋体" w:eastAsia="宋体" w:cs="宋体"/>
          <w:b/>
          <w:bCs/>
          <w:color w:val="auto"/>
          <w:sz w:val="24"/>
          <w:szCs w:val="24"/>
          <w:highlight w:val="none"/>
          <w:lang w:val="en-US" w:eastAsia="zh-CN"/>
        </w:rPr>
      </w:pPr>
      <w:bookmarkStart w:id="3" w:name="_Toc18450"/>
      <w:r>
        <w:rPr>
          <w:rFonts w:hint="eastAsia" w:ascii="宋体" w:hAnsi="宋体" w:eastAsia="宋体" w:cs="宋体"/>
          <w:b/>
          <w:bCs/>
          <w:color w:val="auto"/>
          <w:sz w:val="24"/>
          <w:szCs w:val="24"/>
          <w:highlight w:val="none"/>
          <w:lang w:val="en-US" w:eastAsia="zh-CN"/>
        </w:rPr>
        <w:t xml:space="preserve">  </w:t>
      </w:r>
      <w:bookmarkStart w:id="4" w:name="_Toc17876"/>
      <w:r>
        <w:rPr>
          <w:rFonts w:hint="eastAsia" w:ascii="宋体" w:hAnsi="宋体" w:eastAsia="宋体" w:cs="宋体"/>
          <w:b/>
          <w:bCs/>
          <w:color w:val="auto"/>
          <w:sz w:val="24"/>
          <w:szCs w:val="24"/>
          <w:highlight w:val="none"/>
          <w:lang w:val="en-US" w:eastAsia="zh-CN"/>
        </w:rPr>
        <w:t>招标公告</w:t>
      </w:r>
      <w:bookmarkEnd w:id="0"/>
      <w:bookmarkEnd w:id="3"/>
      <w:bookmarkEnd w:id="4"/>
    </w:p>
    <w:p/>
    <w:p>
      <w:pPr>
        <w:pStyle w:val="3"/>
        <w:keepNext w:val="0"/>
        <w:keepLines w:val="0"/>
        <w:widowControl/>
        <w:suppressLineNumbers w:val="0"/>
        <w:spacing w:before="0" w:beforeAutospacing="0" w:after="0" w:afterAutospacing="0" w:line="400" w:lineRule="atLeast"/>
        <w:ind w:left="0" w:right="0"/>
        <w:jc w:val="center"/>
        <w:rPr>
          <w:rFonts w:ascii="宋体" w:hAnsi="宋体" w:eastAsia="宋体" w:cs="宋体"/>
          <w:b/>
          <w:color w:val="333333"/>
        </w:rPr>
      </w:pPr>
      <w:bookmarkStart w:id="5" w:name="_Toc16267"/>
      <w:r>
        <w:rPr>
          <w:rFonts w:hint="eastAsia" w:ascii="宋体" w:hAnsi="宋体" w:eastAsia="宋体" w:cs="宋体"/>
          <w:b/>
          <w:color w:val="333333"/>
          <w:lang w:val="en-US" w:eastAsia="zh-CN"/>
        </w:rPr>
        <w:t>陕西省动物疫病预防控制中心实验室仪器采购项目</w:t>
      </w:r>
      <w:r>
        <w:rPr>
          <w:rFonts w:ascii="宋体" w:hAnsi="宋体" w:eastAsia="宋体" w:cs="宋体"/>
          <w:b/>
          <w:color w:val="333333"/>
        </w:rPr>
        <w:t>招标公告</w:t>
      </w:r>
      <w:bookmarkEnd w:id="5"/>
    </w:p>
    <w:p>
      <w:pPr>
        <w:rPr>
          <w:rFonts w:hint="eastAsia" w:ascii="宋体" w:hAnsi="宋体" w:eastAsia="宋体" w:cs="宋体"/>
          <w:b/>
          <w:color w:val="333333"/>
          <w:sz w:val="24"/>
          <w:szCs w:val="32"/>
          <w:lang w:eastAsia="zh-CN"/>
        </w:rPr>
      </w:pPr>
      <w:r>
        <w:rPr>
          <w:rFonts w:hint="eastAsia" w:ascii="宋体" w:hAnsi="宋体" w:eastAsia="宋体" w:cs="宋体"/>
          <w:b/>
          <w:color w:val="333333"/>
          <w:sz w:val="24"/>
          <w:szCs w:val="32"/>
          <w:lang w:eastAsia="zh-CN"/>
        </w:rPr>
        <w:t>项目概况</w:t>
      </w:r>
    </w:p>
    <w:p>
      <w:pPr>
        <w:keepNext w:val="0"/>
        <w:keepLines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陕西省动物疫病预防控制中心实验室仪器采购项目的潜在投标人应在</w:t>
      </w:r>
      <w:r>
        <w:rPr>
          <w:rFonts w:hint="eastAsia" w:ascii="宋体" w:hAnsi="宋体" w:eastAsia="宋体" w:cs="宋体"/>
          <w:color w:val="auto"/>
          <w:sz w:val="24"/>
          <w:szCs w:val="24"/>
          <w:highlight w:val="none"/>
          <w:lang w:val="en-US" w:eastAsia="zh-CN"/>
        </w:rPr>
        <w:t>陕西省西安市莲湖区西关正街英达大厦809室取招标文件，并于2022年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zh-CN"/>
        </w:rPr>
        <w:t xml:space="preserve">分（北京时间）前递交投标文件。 </w:t>
      </w:r>
    </w:p>
    <w:p>
      <w:pPr>
        <w:rPr>
          <w:rFonts w:hint="eastAsia" w:ascii="宋体" w:hAnsi="宋体" w:eastAsia="宋体" w:cs="宋体"/>
          <w:b/>
          <w:color w:val="333333"/>
          <w:sz w:val="24"/>
          <w:szCs w:val="32"/>
          <w:lang w:eastAsia="zh-CN"/>
        </w:rPr>
      </w:pPr>
      <w:r>
        <w:rPr>
          <w:rFonts w:hint="eastAsia" w:ascii="宋体" w:hAnsi="宋体" w:eastAsia="宋体" w:cs="宋体"/>
          <w:b/>
          <w:color w:val="333333"/>
          <w:sz w:val="24"/>
          <w:szCs w:val="32"/>
          <w:lang w:eastAsia="zh-CN"/>
        </w:rPr>
        <w:t>一、项目基本情况</w:t>
      </w:r>
    </w:p>
    <w:p>
      <w:pPr>
        <w:keepNext w:val="0"/>
        <w:keepLines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color w:val="auto"/>
          <w:sz w:val="24"/>
          <w:szCs w:val="24"/>
          <w:highlight w:val="none"/>
          <w:lang w:val="en-US" w:eastAsia="zh-CN"/>
        </w:rPr>
      </w:pPr>
      <w:r>
        <w:rPr>
          <w:rFonts w:ascii="helvetica" w:hAnsi="helvetica" w:eastAsia="helvetica" w:cs="helvetica"/>
          <w:color w:val="333333"/>
        </w:rPr>
        <w:t>项</w:t>
      </w:r>
      <w:r>
        <w:rPr>
          <w:rFonts w:hint="eastAsia" w:ascii="宋体" w:hAnsi="宋体" w:eastAsia="宋体" w:cs="宋体"/>
          <w:color w:val="auto"/>
          <w:sz w:val="24"/>
          <w:szCs w:val="24"/>
          <w:highlight w:val="none"/>
          <w:lang w:val="en-US" w:eastAsia="zh-CN"/>
        </w:rPr>
        <w:t>目编号：ZHZB2022-HW-</w:t>
      </w:r>
      <w:r>
        <w:rPr>
          <w:rFonts w:hint="eastAsia" w:ascii="宋体" w:hAnsi="宋体" w:cs="宋体"/>
          <w:color w:val="auto"/>
          <w:sz w:val="24"/>
          <w:szCs w:val="24"/>
          <w:highlight w:val="none"/>
          <w:lang w:val="en-US" w:eastAsia="zh-CN"/>
        </w:rPr>
        <w:t>0707</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项目名称：省动物疫病预防控制中心实验室仪器采购项目</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采购方式：公开招标</w:t>
      </w:r>
    </w:p>
    <w:p>
      <w:pPr>
        <w:keepNext w:val="0"/>
        <w:keepLines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lang w:val="en-US" w:eastAsia="zh-CN"/>
        </w:rPr>
        <w:t>1000000.00</w:t>
      </w:r>
      <w:r>
        <w:rPr>
          <w:rFonts w:hint="default" w:ascii="宋体" w:hAnsi="宋体" w:eastAsia="宋体" w:cs="宋体"/>
          <w:color w:val="auto"/>
          <w:sz w:val="24"/>
          <w:szCs w:val="24"/>
          <w:highlight w:val="none"/>
          <w:lang w:val="en-US" w:eastAsia="zh-CN"/>
        </w:rPr>
        <w:t>元</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采购需求：</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合同包1(陕西省动物疫病预防控制中心实验室仪器采购项目):</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合同包预算金额：1,000,000.00元</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合同包最高限价：1,000,000.00元</w:t>
      </w:r>
    </w:p>
    <w:tbl>
      <w:tblPr>
        <w:tblStyle w:val="23"/>
        <w:tblW w:w="10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85"/>
        <w:gridCol w:w="1251"/>
        <w:gridCol w:w="1942"/>
        <w:gridCol w:w="1576"/>
        <w:gridCol w:w="1753"/>
        <w:gridCol w:w="1360"/>
        <w:gridCol w:w="9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品目号</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品目名称</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采购标的</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数量（单位）</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技术规格、参数及要求</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品目预算(元)</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纯水和超纯水系统</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150,000.00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1-2</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96通道洗板机</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200,000.00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1-3</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自动分液器</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250,000.00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1-4</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压力蒸汽灭菌器（灭菌锅）</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90,000.00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1-5</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光学显微镜</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32,000.00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1-6</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迷你手掌离心机（离心管）</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3,600.00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1-7</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迷你手掌离心机（八连管）</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1,200.00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1-8</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低速通用型水平离心机</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1-9</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多功能混匀仪（离心管模块和培养板模块）</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1-10</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Ⅱ级生物安全柜</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80,000.00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1-11</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小型恒温水浴锅</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1-12</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超净工作台</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30,000.00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1-13</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洗衣机（滚筒10KG洗烘一体）</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1-14</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微波炉</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1,200.00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1-15</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单道移液器</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24(台)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72,000.00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1-16</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12道移液器</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50,000.00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12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1-17</w:t>
            </w:r>
          </w:p>
        </w:tc>
        <w:tc>
          <w:tcPr>
            <w:tcW w:w="13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兽医设备</w:t>
            </w:r>
          </w:p>
        </w:tc>
        <w:tc>
          <w:tcPr>
            <w:tcW w:w="20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大容量电动移液器</w:t>
            </w:r>
          </w:p>
        </w:tc>
        <w:tc>
          <w:tcPr>
            <w:tcW w:w="161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2(台)</w:t>
            </w:r>
          </w:p>
        </w:tc>
        <w:tc>
          <w:tcPr>
            <w:tcW w:w="1817"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详见采购文件</w:t>
            </w:r>
          </w:p>
        </w:tc>
        <w:tc>
          <w:tcPr>
            <w:tcW w:w="108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22,000.00</w:t>
            </w:r>
          </w:p>
        </w:tc>
        <w:tc>
          <w:tcPr>
            <w:tcW w:w="95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p>
        </w:tc>
      </w:tr>
    </w:tbl>
    <w:p>
      <w:pPr>
        <w:pStyle w:val="2"/>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本合同包不接受联合体投标</w:t>
      </w:r>
    </w:p>
    <w:p>
      <w:pPr>
        <w:pStyle w:val="2"/>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合同履行期限：无</w:t>
      </w:r>
    </w:p>
    <w:p>
      <w:pPr>
        <w:rPr>
          <w:rFonts w:hint="eastAsia" w:ascii="宋体" w:hAnsi="宋体" w:eastAsia="宋体" w:cs="宋体"/>
          <w:b/>
          <w:color w:val="333333"/>
          <w:sz w:val="24"/>
          <w:szCs w:val="32"/>
          <w:lang w:eastAsia="zh-CN"/>
        </w:rPr>
      </w:pPr>
      <w:r>
        <w:rPr>
          <w:rFonts w:hint="eastAsia" w:ascii="宋体" w:hAnsi="宋体" w:eastAsia="宋体" w:cs="宋体"/>
          <w:b/>
          <w:color w:val="333333"/>
          <w:sz w:val="24"/>
          <w:szCs w:val="32"/>
          <w:lang w:eastAsia="zh-CN"/>
        </w:rPr>
        <w:t>二、申请人的资格要求：</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1.满足《中华人民共和国政府采购法》第二十二条规定;</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2.落实政府采购政策需满足的资格要求：</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合同包1(陕西省动物疫病预防控制中心实验室仪器采购项目)落实政府采购政策需满足的资格要求如下:</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财政部、工业和信息化部关于印发《政府采购促进中小企业发展管理办法》的通知(财库〔2020〕46号)；2、财政部司法部关于政府采购支持监狱企业发展有关问题的通知--财库〔2014〕68号；3、《国务院办公厅关于建立政府强制采购节能产品制度的通知》--国办发〔</w:t>
      </w:r>
      <w:r>
        <w:rPr>
          <w:rFonts w:hint="eastAsia" w:ascii="宋体" w:hAnsi="宋体" w:cs="宋体"/>
          <w:color w:val="auto"/>
          <w:sz w:val="24"/>
          <w:szCs w:val="24"/>
          <w:highlight w:val="none"/>
          <w:lang w:val="en-US" w:eastAsia="zh-CN"/>
        </w:rPr>
        <w:t>2007</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51</w:t>
      </w:r>
      <w:r>
        <w:rPr>
          <w:rFonts w:hint="default" w:ascii="宋体" w:hAnsi="宋体" w:eastAsia="宋体" w:cs="宋体"/>
          <w:color w:val="auto"/>
          <w:sz w:val="24"/>
          <w:szCs w:val="24"/>
          <w:highlight w:val="none"/>
          <w:lang w:val="en-US" w:eastAsia="zh-CN"/>
        </w:rPr>
        <w:t>号；4、《节能产品政府采购实施意见》--（财库[2004]185号）；5、《环境标志产品政府采购实施的意见》--财库[2006]90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详见招标文件。</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3.本项目的特定资格要求：</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合同包1(陕西省动物疫病预防控制中心实验室仪器采购项目)特定资格要求如下:</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为合法注册的法人、其他组织或自然人，具有独立承担民事责任的能力，提供具有统一社会信用代码证的营业执照（或事业单位法人证），</w:t>
      </w:r>
      <w:r>
        <w:rPr>
          <w:rFonts w:hint="eastAsia" w:ascii="宋体" w:hAnsi="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为自然人的提供身份证；2、</w:t>
      </w:r>
      <w:r>
        <w:rPr>
          <w:rFonts w:hint="eastAsia" w:ascii="宋体" w:hAnsi="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应授权合法的人员参加投标全过程，其中法定代表人直接参加投标的，须出具法定代表人身份证，并与营业执照上信息一致。法定代表人授权代表参加投标的，须出具法定代表人授权书及授权代表身份证；3、</w:t>
      </w:r>
      <w:r>
        <w:rPr>
          <w:rFonts w:hint="eastAsia" w:cs="宋体"/>
          <w:color w:val="auto"/>
          <w:sz w:val="24"/>
          <w:szCs w:val="24"/>
          <w:highlight w:val="none"/>
          <w:lang w:val="en-US" w:eastAsia="zh-CN"/>
        </w:rPr>
        <w:t>投标人为非所投进口产品制造商的，需提供进口产品制造商对投标人所投进口产品的授权，或具有授权权限的代理商对投标人所投进口产品的授权书原件（且需提供该代理商具有效授权权限的相关证明文件，证明文件需能显示进口产品制造商对所投产品授权链条的完整性）（进口产品制造商直投不需提供）</w:t>
      </w:r>
      <w:r>
        <w:rPr>
          <w:rFonts w:hint="default" w:ascii="宋体" w:hAnsi="宋体" w:eastAsia="宋体" w:cs="宋体"/>
          <w:color w:val="auto"/>
          <w:sz w:val="24"/>
          <w:szCs w:val="24"/>
          <w:highlight w:val="none"/>
          <w:lang w:val="en-US" w:eastAsia="zh-CN"/>
        </w:rPr>
        <w:t>；4、本项目不接受联合体投标，单位负责人为同一人或者存在直接控股、管理关系的不同单位，不得参加同一项下的政府采购活动。对列入失信被执行人、政府采购严重违法失信行为记录名单的</w:t>
      </w:r>
      <w:r>
        <w:rPr>
          <w:rFonts w:hint="eastAsia" w:ascii="宋体" w:hAnsi="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，拒绝参与本项目政府采购活动。</w:t>
      </w:r>
    </w:p>
    <w:p>
      <w:pPr>
        <w:rPr>
          <w:rFonts w:hint="default" w:ascii="宋体" w:hAnsi="宋体" w:eastAsia="宋体" w:cs="宋体"/>
          <w:b/>
          <w:color w:val="333333"/>
          <w:sz w:val="24"/>
          <w:szCs w:val="32"/>
          <w:lang w:val="en-US" w:eastAsia="zh-CN"/>
        </w:rPr>
      </w:pPr>
      <w:r>
        <w:rPr>
          <w:rFonts w:hint="default" w:ascii="宋体" w:hAnsi="宋体" w:eastAsia="宋体" w:cs="宋体"/>
          <w:b/>
          <w:color w:val="333333"/>
          <w:sz w:val="24"/>
          <w:szCs w:val="32"/>
          <w:lang w:val="en-US" w:eastAsia="zh-CN"/>
        </w:rPr>
        <w:t>三、获取招标文件</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时间：2022年</w:t>
      </w:r>
      <w:r>
        <w:rPr>
          <w:rFonts w:hint="eastAsia" w:ascii="宋体" w:hAnsi="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11</w:t>
      </w:r>
      <w:r>
        <w:rPr>
          <w:rFonts w:hint="default" w:ascii="宋体" w:hAnsi="宋体" w:eastAsia="宋体" w:cs="宋体"/>
          <w:color w:val="auto"/>
          <w:sz w:val="24"/>
          <w:szCs w:val="24"/>
          <w:highlight w:val="none"/>
          <w:lang w:val="en-US" w:eastAsia="zh-CN"/>
        </w:rPr>
        <w:t>日至 2022年</w:t>
      </w:r>
      <w:r>
        <w:rPr>
          <w:rFonts w:hint="eastAsia" w:ascii="宋体" w:hAnsi="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15</w:t>
      </w:r>
      <w:r>
        <w:rPr>
          <w:rFonts w:hint="default" w:ascii="宋体" w:hAnsi="宋体" w:eastAsia="宋体" w:cs="宋体"/>
          <w:color w:val="auto"/>
          <w:sz w:val="24"/>
          <w:szCs w:val="24"/>
          <w:highlight w:val="none"/>
          <w:lang w:val="en-US" w:eastAsia="zh-CN"/>
        </w:rPr>
        <w:t xml:space="preserve">日，每天上午 </w:t>
      </w:r>
      <w:r>
        <w:rPr>
          <w:rFonts w:hint="eastAsia" w:ascii="宋体" w:hAnsi="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default" w:ascii="宋体" w:hAnsi="宋体" w:eastAsia="宋体" w:cs="宋体"/>
          <w:color w:val="auto"/>
          <w:sz w:val="24"/>
          <w:szCs w:val="24"/>
          <w:highlight w:val="none"/>
          <w:lang w:val="en-US" w:eastAsia="zh-CN"/>
        </w:rPr>
        <w:t>0:00至12:00:00，下午 1</w:t>
      </w:r>
      <w:r>
        <w:rPr>
          <w:rFonts w:hint="eastAsia" w:ascii="宋体" w:hAnsi="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:00:00至 17:</w:t>
      </w:r>
      <w:r>
        <w:rPr>
          <w:rFonts w:hint="eastAsia" w:ascii="宋体" w:hAnsi="宋体" w:cs="宋体"/>
          <w:color w:val="auto"/>
          <w:sz w:val="24"/>
          <w:szCs w:val="24"/>
          <w:highlight w:val="none"/>
          <w:lang w:val="en-US" w:eastAsia="zh-CN"/>
        </w:rPr>
        <w:t>0</w:t>
      </w:r>
      <w:r>
        <w:rPr>
          <w:rFonts w:hint="default" w:ascii="宋体" w:hAnsi="宋体" w:eastAsia="宋体" w:cs="宋体"/>
          <w:color w:val="auto"/>
          <w:sz w:val="24"/>
          <w:szCs w:val="24"/>
          <w:highlight w:val="none"/>
          <w:lang w:val="en-US" w:eastAsia="zh-CN"/>
        </w:rPr>
        <w:t>0:00 （北京时间,法定节假日除外）</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陕西省西安市莲湖区西关正街英达大厦809室</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方式：现场获取</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售价： </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00元</w:t>
      </w:r>
    </w:p>
    <w:p>
      <w:pPr>
        <w:rPr>
          <w:rFonts w:hint="default" w:ascii="宋体" w:hAnsi="宋体" w:eastAsia="宋体" w:cs="宋体"/>
          <w:b/>
          <w:color w:val="333333"/>
          <w:sz w:val="24"/>
          <w:szCs w:val="32"/>
          <w:lang w:val="en-US" w:eastAsia="zh-CN"/>
        </w:rPr>
      </w:pPr>
      <w:r>
        <w:rPr>
          <w:rFonts w:hint="default" w:ascii="宋体" w:hAnsi="宋体" w:eastAsia="宋体" w:cs="宋体"/>
          <w:b/>
          <w:color w:val="333333"/>
          <w:sz w:val="24"/>
          <w:szCs w:val="32"/>
          <w:lang w:val="en-US" w:eastAsia="zh-CN"/>
        </w:rPr>
        <w:t>四、提交投标文件截止时间、开标时间和地点</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2022年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00</w:t>
      </w:r>
      <w:r>
        <w:rPr>
          <w:rFonts w:hint="default" w:ascii="宋体" w:hAnsi="宋体" w:eastAsia="宋体" w:cs="宋体"/>
          <w:color w:val="auto"/>
          <w:sz w:val="24"/>
          <w:szCs w:val="24"/>
          <w:highlight w:val="none"/>
          <w:lang w:val="en-US" w:eastAsia="zh-CN"/>
        </w:rPr>
        <w:t>分00秒 （北京时间）</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陕西省西安市莲湖区西关正街英达大厦809室</w:t>
      </w:r>
    </w:p>
    <w:p>
      <w:pPr>
        <w:rPr>
          <w:rFonts w:hint="default" w:ascii="宋体" w:hAnsi="宋体" w:eastAsia="宋体" w:cs="宋体"/>
          <w:b/>
          <w:color w:val="333333"/>
          <w:sz w:val="24"/>
          <w:szCs w:val="32"/>
          <w:lang w:val="en-US" w:eastAsia="zh-CN"/>
        </w:rPr>
      </w:pPr>
      <w:r>
        <w:rPr>
          <w:rFonts w:hint="default" w:ascii="宋体" w:hAnsi="宋体" w:eastAsia="宋体" w:cs="宋体"/>
          <w:b/>
          <w:color w:val="333333"/>
          <w:sz w:val="24"/>
          <w:szCs w:val="32"/>
          <w:lang w:val="en-US" w:eastAsia="zh-CN"/>
        </w:rPr>
        <w:t>五、公告期限</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自本公告发布之日起5个工作日。</w:t>
      </w:r>
    </w:p>
    <w:p>
      <w:pPr>
        <w:rPr>
          <w:rFonts w:hint="default" w:ascii="宋体" w:hAnsi="宋体" w:eastAsia="宋体" w:cs="宋体"/>
          <w:b/>
          <w:color w:val="333333"/>
          <w:sz w:val="24"/>
          <w:szCs w:val="32"/>
          <w:lang w:val="en-US" w:eastAsia="zh-CN"/>
        </w:rPr>
      </w:pPr>
      <w:r>
        <w:rPr>
          <w:rFonts w:hint="default" w:ascii="宋体" w:hAnsi="宋体" w:eastAsia="宋体" w:cs="宋体"/>
          <w:b/>
          <w:color w:val="333333"/>
          <w:sz w:val="24"/>
          <w:szCs w:val="32"/>
          <w:lang w:val="en-US" w:eastAsia="zh-CN"/>
        </w:rPr>
        <w:t>六、其他补充事宜</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本项目开标地点：</w:t>
      </w:r>
      <w:r>
        <w:rPr>
          <w:rFonts w:hint="eastAsia" w:ascii="宋体" w:hAnsi="宋体" w:eastAsia="宋体" w:cs="宋体"/>
          <w:color w:val="auto"/>
          <w:sz w:val="24"/>
          <w:szCs w:val="24"/>
          <w:highlight w:val="none"/>
          <w:lang w:val="en-US" w:eastAsia="zh-CN"/>
        </w:rPr>
        <w:t>陕西省西安市莲湖区西关正街英达大厦809室</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0000FF"/>
          <w:sz w:val="24"/>
          <w:szCs w:val="24"/>
          <w:highlight w:val="none"/>
          <w:lang w:val="en-US" w:eastAsia="zh-CN"/>
        </w:rPr>
      </w:pPr>
      <w:r>
        <w:rPr>
          <w:rFonts w:hint="default" w:ascii="宋体" w:hAnsi="宋体" w:eastAsia="宋体" w:cs="宋体"/>
          <w:color w:val="auto"/>
          <w:sz w:val="24"/>
          <w:szCs w:val="24"/>
          <w:highlight w:val="none"/>
          <w:lang w:val="en-US" w:eastAsia="zh-CN"/>
        </w:rPr>
        <w:t>1、合同包</w:t>
      </w: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：纯水和超纯水系统、96通道洗板机、自动分液器、单道移液器、12道移液器、大容量电动移液器已做进口论证，允许采购进口产品。2、报名时需携带单位介绍信及经办人身份证。3、请</w:t>
      </w:r>
      <w:r>
        <w:rPr>
          <w:rFonts w:hint="eastAsia" w:ascii="宋体" w:hAnsi="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按照陕西省财政厅关于政府采购</w:t>
      </w:r>
      <w:r>
        <w:rPr>
          <w:rFonts w:hint="eastAsia" w:ascii="宋体" w:hAnsi="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注册登记有关事项的通知中的要求，通过陕西省政府采购网（http://www.ccgp-shaanxi.gov.cn/）注册登记加入陕西省政府采购</w:t>
      </w:r>
      <w:r>
        <w:rPr>
          <w:rFonts w:hint="eastAsia" w:ascii="宋体" w:hAnsi="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库。4、标书金额：</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00.00元/</w:t>
      </w:r>
      <w:r>
        <w:rPr>
          <w:rFonts w:hint="eastAsia" w:ascii="宋体" w:hAnsi="宋体" w:cs="宋体"/>
          <w:color w:val="auto"/>
          <w:sz w:val="24"/>
          <w:szCs w:val="24"/>
          <w:highlight w:val="none"/>
          <w:lang w:val="en-US" w:eastAsia="zh-CN"/>
        </w:rPr>
        <w:t>套</w:t>
      </w:r>
      <w:r>
        <w:rPr>
          <w:rFonts w:hint="default" w:ascii="宋体" w:hAnsi="宋体" w:eastAsia="宋体" w:cs="宋体"/>
          <w:color w:val="auto"/>
          <w:sz w:val="24"/>
          <w:szCs w:val="24"/>
          <w:highlight w:val="none"/>
          <w:lang w:val="en-US" w:eastAsia="zh-CN"/>
        </w:rPr>
        <w:t>，文件费以现金形式收取</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售后不退。5、本项目非专门面向中小微企业。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right="0"/>
        <w:jc w:val="both"/>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七、凡对本次采购提出询问，请按以下方式联系。</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1.釆购人信息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名称：陕西省动物疫病预防控制中心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地址：西安市未央路28号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联系方式：</w:t>
      </w:r>
      <w:r>
        <w:rPr>
          <w:rFonts w:hint="eastAsia" w:ascii="宋体" w:hAnsi="宋体" w:eastAsia="宋体" w:cs="宋体"/>
          <w:color w:val="auto"/>
          <w:sz w:val="24"/>
          <w:szCs w:val="24"/>
          <w:highlight w:val="none"/>
        </w:rPr>
        <w:t>029</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86247621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2.釆购代理机构信息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名称：陕西中海招标有限公司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地址：西安市莲湖区西关正街英达大厦809室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联系方式：029-89351688-608</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项目联系人：高垚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电话：029-89351688-608</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keepNext w:val="0"/>
        <w:keepLines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color w:val="auto"/>
          <w:sz w:val="24"/>
          <w:szCs w:val="24"/>
          <w:highlight w:val="none"/>
          <w:lang w:val="en-US" w:eastAsia="zh-CN"/>
        </w:rPr>
      </w:pP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p>
    <w:p>
      <w:pPr>
        <w:pStyle w:val="4"/>
        <w:rPr>
          <w:rFonts w:hint="eastAsia"/>
          <w:b w:val="0"/>
          <w:bCs w:val="0"/>
          <w:sz w:val="24"/>
          <w:szCs w:val="24"/>
          <w:lang w:eastAsia="zh-CN"/>
        </w:rPr>
      </w:pPr>
    </w:p>
    <w:p>
      <w:pPr>
        <w:tabs>
          <w:tab w:val="left" w:pos="5670"/>
        </w:tabs>
        <w:autoSpaceDE w:val="0"/>
        <w:autoSpaceDN w:val="0"/>
        <w:adjustRightInd w:val="0"/>
        <w:spacing w:line="360" w:lineRule="auto"/>
        <w:jc w:val="center"/>
        <w:rPr>
          <w:rFonts w:hint="eastAsia" w:ascii="宋体" w:hAnsi="宋体" w:eastAsia="宋体" w:cs="宋体"/>
          <w:b/>
          <w:bCs/>
          <w:color w:val="auto"/>
          <w:sz w:val="40"/>
          <w:szCs w:val="40"/>
          <w:highlight w:val="none"/>
          <w:lang w:eastAsia="zh-CN"/>
        </w:rPr>
      </w:pPr>
    </w:p>
    <w:p>
      <w:pPr>
        <w:numPr>
          <w:ilvl w:val="0"/>
          <w:numId w:val="0"/>
        </w:numPr>
        <w:spacing w:line="360" w:lineRule="auto"/>
        <w:jc w:val="both"/>
        <w:outlineLvl w:val="9"/>
        <w:rPr>
          <w:rFonts w:hint="eastAsia" w:ascii="宋体" w:hAnsi="宋体" w:eastAsia="宋体" w:cs="宋体"/>
          <w:b/>
          <w:color w:val="auto"/>
          <w:sz w:val="24"/>
          <w:szCs w:val="24"/>
          <w:highlight w:val="none"/>
          <w:lang w:val="zh-CN"/>
        </w:rPr>
      </w:pPr>
      <w:bookmarkStart w:id="6" w:name="_Toc31656"/>
      <w:bookmarkStart w:id="7" w:name="_Toc775"/>
      <w:bookmarkStart w:id="8" w:name="_Toc7210"/>
    </w:p>
    <w:p>
      <w:pPr>
        <w:pStyle w:val="2"/>
        <w:rPr>
          <w:rFonts w:hint="eastAsia"/>
          <w:lang w:val="zh-CN"/>
        </w:rPr>
      </w:pPr>
    </w:p>
    <w:p>
      <w:pPr>
        <w:numPr>
          <w:ilvl w:val="0"/>
          <w:numId w:val="0"/>
        </w:numPr>
        <w:spacing w:line="360" w:lineRule="auto"/>
        <w:jc w:val="both"/>
        <w:outlineLvl w:val="9"/>
        <w:rPr>
          <w:rFonts w:hint="eastAsia" w:ascii="宋体" w:hAnsi="宋体" w:eastAsia="宋体" w:cs="宋体"/>
          <w:b/>
          <w:color w:val="auto"/>
          <w:sz w:val="24"/>
          <w:szCs w:val="24"/>
          <w:highlight w:val="none"/>
          <w:lang w:val="zh-CN"/>
        </w:rPr>
      </w:pPr>
    </w:p>
    <w:p>
      <w:pPr>
        <w:numPr>
          <w:ilvl w:val="0"/>
          <w:numId w:val="0"/>
        </w:numPr>
        <w:spacing w:line="360" w:lineRule="auto"/>
        <w:jc w:val="center"/>
        <w:outlineLvl w:val="0"/>
        <w:rPr>
          <w:rFonts w:hint="eastAsia" w:ascii="宋体" w:hAnsi="宋体" w:eastAsia="宋体" w:cs="宋体"/>
          <w:b/>
          <w:color w:val="auto"/>
          <w:sz w:val="24"/>
          <w:szCs w:val="24"/>
          <w:highlight w:val="none"/>
        </w:rPr>
      </w:pPr>
      <w:bookmarkStart w:id="9" w:name="_Toc30371"/>
      <w:r>
        <w:rPr>
          <w:rFonts w:hint="eastAsia" w:ascii="宋体" w:hAnsi="宋体" w:eastAsia="宋体" w:cs="宋体"/>
          <w:b/>
          <w:color w:val="auto"/>
          <w:sz w:val="24"/>
          <w:szCs w:val="24"/>
          <w:highlight w:val="none"/>
          <w:lang w:val="zh-CN"/>
        </w:rPr>
        <w:t>第二部分</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zh-CN"/>
        </w:rPr>
        <w:t>投标人须知</w:t>
      </w:r>
      <w:bookmarkEnd w:id="1"/>
      <w:bookmarkEnd w:id="2"/>
      <w:bookmarkEnd w:id="6"/>
      <w:bookmarkEnd w:id="7"/>
      <w:bookmarkEnd w:id="8"/>
      <w:bookmarkEnd w:id="9"/>
    </w:p>
    <w:p>
      <w:pPr>
        <w:numPr>
          <w:ilvl w:val="0"/>
          <w:numId w:val="0"/>
        </w:numPr>
        <w:spacing w:line="360" w:lineRule="auto"/>
        <w:jc w:val="both"/>
        <w:outlineLvl w:val="1"/>
        <w:rPr>
          <w:rFonts w:hint="eastAsia" w:ascii="宋体" w:hAnsi="宋体" w:eastAsia="宋体" w:cs="宋体"/>
          <w:b/>
          <w:color w:val="auto"/>
          <w:sz w:val="24"/>
          <w:szCs w:val="24"/>
          <w:highlight w:val="none"/>
        </w:rPr>
      </w:pPr>
      <w:bookmarkStart w:id="10" w:name="_Toc30153"/>
      <w:bookmarkStart w:id="11" w:name="_Toc13195"/>
      <w:bookmarkStart w:id="12" w:name="_Toc14585"/>
      <w:bookmarkStart w:id="13" w:name="_Toc5582"/>
      <w:bookmarkStart w:id="14" w:name="_Toc27027"/>
      <w:r>
        <w:rPr>
          <w:rFonts w:hint="eastAsia" w:ascii="宋体" w:hAnsi="宋体" w:eastAsia="宋体" w:cs="宋体"/>
          <w:b/>
          <w:color w:val="auto"/>
          <w:sz w:val="24"/>
          <w:szCs w:val="24"/>
          <w:highlight w:val="none"/>
          <w:lang w:eastAsia="zh-CN"/>
        </w:rPr>
        <w:t>一、投标人</w:t>
      </w:r>
      <w:r>
        <w:rPr>
          <w:rFonts w:hint="eastAsia" w:ascii="宋体" w:hAnsi="宋体" w:eastAsia="宋体" w:cs="宋体"/>
          <w:b/>
          <w:color w:val="auto"/>
          <w:sz w:val="24"/>
          <w:szCs w:val="24"/>
          <w:highlight w:val="none"/>
        </w:rPr>
        <w:t>须知</w:t>
      </w:r>
      <w:r>
        <w:rPr>
          <w:rFonts w:hint="eastAsia" w:ascii="宋体" w:hAnsi="宋体" w:eastAsia="宋体" w:cs="宋体"/>
          <w:b/>
          <w:color w:val="auto"/>
          <w:sz w:val="24"/>
          <w:szCs w:val="24"/>
          <w:highlight w:val="none"/>
          <w:lang w:eastAsia="zh-CN"/>
        </w:rPr>
        <w:t>前附表</w:t>
      </w:r>
      <w:bookmarkEnd w:id="10"/>
      <w:bookmarkEnd w:id="11"/>
      <w:bookmarkEnd w:id="12"/>
      <w:bookmarkEnd w:id="13"/>
      <w:bookmarkEnd w:id="14"/>
    </w:p>
    <w:tbl>
      <w:tblPr>
        <w:tblStyle w:val="24"/>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898"/>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bookmarkStart w:id="15" w:name="_Toc2810"/>
            <w:bookmarkStart w:id="16" w:name="_Toc26319"/>
            <w:bookmarkStart w:id="17" w:name="_Toc15580"/>
            <w:r>
              <w:rPr>
                <w:rFonts w:hint="eastAsia" w:ascii="宋体" w:hAnsi="宋体" w:eastAsia="宋体" w:cs="宋体"/>
                <w:b/>
                <w:color w:val="auto"/>
                <w:sz w:val="24"/>
                <w:szCs w:val="24"/>
                <w:highlight w:val="none"/>
                <w:lang w:eastAsia="zh-CN"/>
              </w:rPr>
              <w:t>条</w:t>
            </w:r>
            <w:r>
              <w:rPr>
                <w:rFonts w:hint="eastAsia" w:ascii="宋体" w:hAnsi="宋体" w:eastAsia="宋体" w:cs="宋体"/>
                <w:b/>
                <w:color w:val="auto"/>
                <w:sz w:val="24"/>
                <w:szCs w:val="24"/>
                <w:highlight w:val="none"/>
              </w:rPr>
              <w:t>款号</w:t>
            </w:r>
          </w:p>
        </w:tc>
        <w:tc>
          <w:tcPr>
            <w:tcW w:w="1898" w:type="dxa"/>
            <w:noWrap w:val="0"/>
            <w:vAlign w:val="center"/>
          </w:tcPr>
          <w:p>
            <w:pPr>
              <w:keepNext w:val="0"/>
              <w:keepLines w:val="0"/>
              <w:suppressLineNumbers w:val="0"/>
              <w:spacing w:before="0" w:beforeAutospacing="0" w:after="0" w:afterAutospacing="0" w:line="360" w:lineRule="auto"/>
              <w:ind w:right="0"/>
              <w:jc w:val="both"/>
              <w:rPr>
                <w:rFonts w:hint="eastAsia" w:ascii="宋体" w:hAnsi="宋体" w:eastAsia="宋体" w:cs="宋体"/>
                <w:sz w:val="24"/>
                <w:szCs w:val="24"/>
                <w:vertAlign w:val="baseline"/>
              </w:rPr>
            </w:pPr>
            <w:r>
              <w:rPr>
                <w:rFonts w:hint="eastAsia" w:ascii="宋体" w:hAnsi="宋体" w:eastAsia="宋体" w:cs="宋体"/>
                <w:b/>
                <w:color w:val="auto"/>
                <w:sz w:val="24"/>
                <w:szCs w:val="24"/>
                <w:highlight w:val="none"/>
              </w:rPr>
              <w:t>条 款 名 称</w:t>
            </w:r>
          </w:p>
        </w:tc>
        <w:tc>
          <w:tcPr>
            <w:tcW w:w="696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b/>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898" w:type="dxa"/>
            <w:noWrap w:val="0"/>
            <w:vAlign w:val="center"/>
          </w:tcPr>
          <w:p>
            <w:pPr>
              <w:keepNext w:val="0"/>
              <w:keepLines w:val="0"/>
              <w:suppressLineNumbers w:val="0"/>
              <w:spacing w:before="0" w:beforeAutospacing="0" w:after="0" w:afterAutospacing="0" w:line="360" w:lineRule="auto"/>
              <w:ind w:left="960" w:right="0" w:hanging="840" w:hangingChars="400"/>
              <w:rPr>
                <w:rFonts w:hint="eastAsia" w:eastAsia="宋体" w:cs="Times New Roman"/>
                <w:lang w:val="en-US" w:eastAsia="zh-CN"/>
              </w:rPr>
            </w:pPr>
            <w:r>
              <w:rPr>
                <w:rFonts w:hint="eastAsia" w:eastAsia="宋体" w:cs="Times New Roman"/>
                <w:lang w:val="en-US" w:eastAsia="zh-CN"/>
              </w:rPr>
              <w:t>项目情况</w:t>
            </w:r>
          </w:p>
        </w:tc>
        <w:tc>
          <w:tcPr>
            <w:tcW w:w="6969" w:type="dxa"/>
            <w:noWrap w:val="0"/>
            <w:vAlign w:val="center"/>
          </w:tcPr>
          <w:p>
            <w:pPr>
              <w:keepNext w:val="0"/>
              <w:keepLines w:val="0"/>
              <w:suppressLineNumbers w:val="0"/>
              <w:spacing w:before="0" w:beforeAutospacing="0" w:after="0" w:afterAutospacing="0" w:line="360" w:lineRule="auto"/>
              <w:ind w:left="960" w:right="0" w:hanging="840" w:hangingChars="400"/>
              <w:rPr>
                <w:rFonts w:hint="eastAsia" w:eastAsia="宋体" w:cs="Times New Roman"/>
                <w:lang w:val="en-US" w:eastAsia="zh-CN"/>
              </w:rPr>
            </w:pPr>
            <w:r>
              <w:rPr>
                <w:rFonts w:hint="eastAsia" w:eastAsia="宋体" w:cs="Times New Roman"/>
                <w:lang w:val="en-US" w:eastAsia="zh-CN"/>
              </w:rPr>
              <w:t xml:space="preserve">项目名称:陕西省动物疫病预防控制中心实验室仪器采购项目  </w:t>
            </w:r>
          </w:p>
          <w:p>
            <w:pPr>
              <w:keepNext w:val="0"/>
              <w:keepLines w:val="0"/>
              <w:suppressLineNumbers w:val="0"/>
              <w:spacing w:before="0" w:beforeAutospacing="0" w:after="0" w:afterAutospacing="0" w:line="360" w:lineRule="auto"/>
              <w:ind w:left="960" w:right="0" w:hanging="840" w:hangingChars="400"/>
              <w:rPr>
                <w:rFonts w:hint="default" w:eastAsia="宋体" w:cs="Times New Roman"/>
                <w:lang w:val="en-US" w:eastAsia="zh-CN"/>
              </w:rPr>
            </w:pPr>
            <w:r>
              <w:rPr>
                <w:rFonts w:hint="eastAsia" w:eastAsia="宋体" w:cs="Times New Roman"/>
                <w:lang w:val="en-US" w:eastAsia="zh-CN"/>
              </w:rPr>
              <w:t>项目编号：ZHZB2022-HW-0707</w:t>
            </w:r>
          </w:p>
          <w:p>
            <w:pPr>
              <w:keepNext w:val="0"/>
              <w:keepLines w:val="0"/>
              <w:suppressLineNumbers w:val="0"/>
              <w:spacing w:before="0" w:beforeAutospacing="0" w:after="0" w:afterAutospacing="0" w:line="360" w:lineRule="auto"/>
              <w:ind w:left="960" w:right="0" w:hanging="840" w:hangingChars="400"/>
              <w:rPr>
                <w:rFonts w:hint="eastAsia" w:eastAsia="宋体" w:cs="Times New Roman"/>
                <w:lang w:val="en-US" w:eastAsia="zh-CN"/>
              </w:rPr>
            </w:pPr>
            <w:r>
              <w:rPr>
                <w:rFonts w:hint="eastAsia" w:eastAsia="宋体" w:cs="Times New Roman"/>
                <w:lang w:val="en-US" w:eastAsia="zh-CN"/>
              </w:rPr>
              <w:t>预算金额：1000000.00元</w:t>
            </w:r>
          </w:p>
          <w:p>
            <w:pPr>
              <w:keepNext w:val="0"/>
              <w:keepLines w:val="0"/>
              <w:suppressLineNumbers w:val="0"/>
              <w:spacing w:before="0" w:beforeAutospacing="0" w:after="0" w:afterAutospacing="0" w:line="360" w:lineRule="auto"/>
              <w:ind w:left="960" w:right="0" w:hanging="840" w:hangingChars="400"/>
              <w:rPr>
                <w:rFonts w:hint="default" w:eastAsia="宋体" w:cs="Times New Roman"/>
                <w:lang w:val="en-US" w:eastAsia="zh-CN"/>
              </w:rPr>
            </w:pPr>
            <w:r>
              <w:rPr>
                <w:rFonts w:hint="eastAsia" w:eastAsia="宋体" w:cs="Times New Roman"/>
                <w:lang w:val="en-US" w:eastAsia="zh-CN"/>
              </w:rPr>
              <w:t>采购需求：</w:t>
            </w:r>
            <w:r>
              <w:rPr>
                <w:rFonts w:hint="default" w:eastAsia="宋体" w:cs="Times New Roman"/>
                <w:lang w:val="en-US" w:eastAsia="zh-CN"/>
              </w:rPr>
              <w:t>详见采购文件</w:t>
            </w:r>
            <w:r>
              <w:rPr>
                <w:rFonts w:hint="eastAsia" w:eastAsia="宋体" w:cs="Times New Roman"/>
                <w:lang w:val="en-US" w:eastAsia="zh-CN"/>
              </w:rPr>
              <w:t>第三部分采购需求</w:t>
            </w:r>
          </w:p>
          <w:p>
            <w:pPr>
              <w:keepNext w:val="0"/>
              <w:keepLines w:val="0"/>
              <w:suppressLineNumbers w:val="0"/>
              <w:spacing w:before="0" w:beforeAutospacing="0" w:after="0" w:afterAutospacing="0" w:line="360" w:lineRule="auto"/>
              <w:ind w:left="960" w:right="0" w:hanging="840" w:hangingChars="400"/>
              <w:rPr>
                <w:rFonts w:hint="eastAsia" w:eastAsia="宋体" w:cs="Times New Roman"/>
                <w:lang w:val="en-US" w:eastAsia="zh-CN"/>
              </w:rPr>
            </w:pPr>
            <w:r>
              <w:rPr>
                <w:rFonts w:hint="eastAsia" w:eastAsia="宋体" w:cs="Times New Roman"/>
                <w:lang w:val="en-US" w:eastAsia="zh-CN"/>
              </w:rPr>
              <w:t>供货期：合同签订后60天内交货。</w:t>
            </w:r>
          </w:p>
          <w:p>
            <w:pPr>
              <w:keepNext w:val="0"/>
              <w:keepLines w:val="0"/>
              <w:suppressLineNumbers w:val="0"/>
              <w:spacing w:before="0" w:beforeAutospacing="0" w:after="0" w:afterAutospacing="0" w:line="360" w:lineRule="auto"/>
              <w:ind w:left="960" w:right="0" w:hanging="840" w:hangingChars="400"/>
              <w:rPr>
                <w:rFonts w:hint="eastAsia" w:eastAsia="宋体" w:cs="Times New Roman"/>
                <w:lang w:val="en-US" w:eastAsia="zh-CN"/>
              </w:rPr>
            </w:pPr>
            <w:r>
              <w:rPr>
                <w:rFonts w:hint="eastAsia" w:eastAsia="宋体" w:cs="Times New Roman"/>
                <w:lang w:val="en-US" w:eastAsia="zh-CN"/>
              </w:rPr>
              <w:t>质保期：一年</w:t>
            </w:r>
          </w:p>
          <w:p>
            <w:pPr>
              <w:keepNext w:val="0"/>
              <w:keepLines w:val="0"/>
              <w:suppressLineNumbers w:val="0"/>
              <w:spacing w:before="0" w:beforeAutospacing="0" w:after="0" w:afterAutospacing="0" w:line="360" w:lineRule="auto"/>
              <w:ind w:left="960" w:right="0" w:hanging="840" w:hangingChars="400"/>
              <w:rPr>
                <w:rFonts w:hint="eastAsia" w:eastAsia="宋体" w:cs="Times New Roman"/>
                <w:lang w:val="en-US" w:eastAsia="zh-CN"/>
              </w:rPr>
            </w:pPr>
            <w:r>
              <w:rPr>
                <w:rFonts w:hint="eastAsia" w:eastAsia="宋体" w:cs="Times New Roman"/>
                <w:lang w:val="en-US" w:eastAsia="zh-CN"/>
              </w:rPr>
              <w:t>供货地点：采购人指定地点</w:t>
            </w:r>
          </w:p>
          <w:p>
            <w:pPr>
              <w:keepNext w:val="0"/>
              <w:keepLines w:val="0"/>
              <w:suppressLineNumbers w:val="0"/>
              <w:spacing w:before="0" w:beforeAutospacing="0" w:after="0" w:afterAutospacing="0" w:line="360" w:lineRule="auto"/>
              <w:ind w:left="960" w:right="0" w:hanging="840" w:hangingChars="400"/>
              <w:rPr>
                <w:rFonts w:hint="eastAsia" w:eastAsia="宋体" w:cs="Times New Roman"/>
                <w:lang w:val="en-US" w:eastAsia="zh-CN"/>
              </w:rPr>
            </w:pPr>
            <w:r>
              <w:rPr>
                <w:rFonts w:hint="eastAsia" w:eastAsia="宋体" w:cs="Times New Roman"/>
                <w:lang w:val="en-US" w:eastAsia="zh-CN"/>
              </w:rPr>
              <w:t>资金来源：财政资金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89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lang w:eastAsia="zh-CN"/>
              </w:rPr>
              <w:t>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购</w:t>
            </w:r>
            <w:r>
              <w:rPr>
                <w:rFonts w:hint="eastAsia" w:ascii="宋体" w:hAnsi="宋体" w:eastAsia="宋体" w:cs="宋体"/>
                <w:color w:val="auto"/>
                <w:sz w:val="24"/>
                <w:szCs w:val="24"/>
                <w:highlight w:val="none"/>
              </w:rPr>
              <w:t xml:space="preserve"> 人</w:t>
            </w:r>
          </w:p>
        </w:tc>
        <w:tc>
          <w:tcPr>
            <w:tcW w:w="6969" w:type="dxa"/>
            <w:noWrap w:val="0"/>
            <w:vAlign w:val="top"/>
          </w:tcPr>
          <w:p>
            <w:pPr>
              <w:keepNext w:val="0"/>
              <w:keepLines w:val="0"/>
              <w:suppressLineNumbers w:val="0"/>
              <w:spacing w:before="0" w:beforeAutospacing="0" w:after="0" w:afterAutospacing="0" w:line="360" w:lineRule="auto"/>
              <w:ind w:left="960" w:right="0" w:hanging="840" w:hangingChars="400"/>
              <w:rPr>
                <w:rFonts w:hint="eastAsia" w:eastAsia="宋体" w:cs="Times New Roman"/>
                <w:lang w:val="en-US" w:eastAsia="zh-CN"/>
              </w:rPr>
            </w:pPr>
            <w:r>
              <w:rPr>
                <w:rFonts w:hint="default" w:eastAsia="宋体" w:cs="Times New Roman"/>
                <w:lang w:val="en-US" w:eastAsia="zh-CN"/>
              </w:rPr>
              <w:t>单位名称：</w:t>
            </w:r>
            <w:r>
              <w:rPr>
                <w:rFonts w:hint="eastAsia" w:eastAsia="宋体" w:cs="Times New Roman"/>
                <w:lang w:val="en-US" w:eastAsia="zh-CN"/>
              </w:rPr>
              <w:t>陕西省动物疫病预防控制中心</w:t>
            </w:r>
          </w:p>
          <w:p>
            <w:pPr>
              <w:keepNext w:val="0"/>
              <w:keepLines w:val="0"/>
              <w:suppressLineNumbers w:val="0"/>
              <w:spacing w:before="0" w:beforeAutospacing="0" w:after="0" w:afterAutospacing="0" w:line="360" w:lineRule="auto"/>
              <w:ind w:left="960" w:right="0" w:hanging="840" w:hangingChars="400"/>
              <w:rPr>
                <w:rFonts w:hint="default" w:eastAsia="宋体" w:cs="Times New Roman"/>
                <w:lang w:val="en-US" w:eastAsia="zh-CN"/>
              </w:rPr>
            </w:pPr>
            <w:r>
              <w:rPr>
                <w:rFonts w:hint="default" w:eastAsia="宋体" w:cs="Times New Roman"/>
                <w:lang w:val="en-US" w:eastAsia="zh-CN"/>
              </w:rPr>
              <w:t>单位地址：</w:t>
            </w:r>
            <w:r>
              <w:rPr>
                <w:rFonts w:hint="eastAsia" w:eastAsia="宋体" w:cs="Times New Roman"/>
                <w:lang w:val="en-US" w:eastAsia="zh-CN"/>
              </w:rPr>
              <w:t>西安市未央路28号</w:t>
            </w:r>
          </w:p>
          <w:p>
            <w:pPr>
              <w:keepNext w:val="0"/>
              <w:keepLines w:val="0"/>
              <w:suppressLineNumbers w:val="0"/>
              <w:spacing w:before="0" w:beforeAutospacing="0" w:after="0" w:afterAutospacing="0" w:line="360" w:lineRule="auto"/>
              <w:ind w:left="960" w:right="0" w:hanging="840" w:hangingChars="400"/>
              <w:rPr>
                <w:rFonts w:hint="default" w:eastAsia="宋体" w:cs="Times New Roman"/>
                <w:lang w:val="en-US" w:eastAsia="zh-CN"/>
              </w:rPr>
            </w:pPr>
            <w:r>
              <w:rPr>
                <w:rFonts w:hint="default" w:eastAsia="宋体" w:cs="Times New Roman"/>
                <w:lang w:val="en-US" w:eastAsia="zh-CN"/>
              </w:rPr>
              <w:t>联系人：朱宝</w:t>
            </w:r>
          </w:p>
          <w:p>
            <w:pPr>
              <w:keepNext w:val="0"/>
              <w:keepLines w:val="0"/>
              <w:suppressLineNumbers w:val="0"/>
              <w:spacing w:before="0" w:beforeAutospacing="0" w:after="0" w:afterAutospacing="0" w:line="360" w:lineRule="auto"/>
              <w:ind w:left="960" w:right="0" w:hanging="840" w:hangingChars="400"/>
              <w:rPr>
                <w:rFonts w:hint="default" w:ascii="宋体" w:hAnsi="宋体" w:eastAsia="宋体" w:cs="宋体"/>
                <w:sz w:val="24"/>
                <w:szCs w:val="24"/>
                <w:vertAlign w:val="baseline"/>
                <w:lang w:val="en-US"/>
              </w:rPr>
            </w:pPr>
            <w:r>
              <w:rPr>
                <w:rFonts w:hint="default" w:eastAsia="宋体" w:cs="Times New Roman"/>
                <w:lang w:val="en-US" w:eastAsia="zh-CN"/>
              </w:rPr>
              <w:t>联系电话：</w:t>
            </w:r>
            <w:r>
              <w:rPr>
                <w:rFonts w:hint="eastAsia" w:eastAsia="宋体" w:cs="Times New Roman"/>
                <w:lang w:val="en-US" w:eastAsia="zh-CN"/>
              </w:rPr>
              <w:t>029-86247621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89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w:t>
            </w:r>
          </w:p>
        </w:tc>
        <w:tc>
          <w:tcPr>
            <w:tcW w:w="6969" w:type="dxa"/>
            <w:noWrap w:val="0"/>
            <w:vAlign w:val="top"/>
          </w:tcPr>
          <w:p>
            <w:pPr>
              <w:keepNext w:val="0"/>
              <w:keepLines w:val="0"/>
              <w:suppressLineNumbers w:val="0"/>
              <w:spacing w:before="0" w:beforeAutospacing="0" w:after="0" w:afterAutospacing="0" w:line="360" w:lineRule="auto"/>
              <w:ind w:left="960" w:right="0" w:hanging="840" w:hangingChars="400"/>
              <w:rPr>
                <w:rFonts w:hint="eastAsia" w:eastAsia="宋体" w:cs="Times New Roman"/>
                <w:lang w:val="en-US" w:eastAsia="zh-CN"/>
              </w:rPr>
            </w:pPr>
            <w:r>
              <w:rPr>
                <w:rFonts w:hint="eastAsia" w:eastAsia="宋体" w:cs="Times New Roman"/>
                <w:lang w:val="en-US" w:eastAsia="zh-CN"/>
              </w:rPr>
              <w:t>名  称：陕西中海招标有限公司</w:t>
            </w:r>
          </w:p>
          <w:p>
            <w:pPr>
              <w:keepNext w:val="0"/>
              <w:keepLines w:val="0"/>
              <w:suppressLineNumbers w:val="0"/>
              <w:spacing w:before="0" w:beforeAutospacing="0" w:after="0" w:afterAutospacing="0" w:line="360" w:lineRule="auto"/>
              <w:ind w:left="960" w:right="0" w:hanging="840" w:hangingChars="400"/>
              <w:rPr>
                <w:rFonts w:hint="default" w:eastAsia="宋体" w:cs="Times New Roman"/>
                <w:lang w:val="en-US" w:eastAsia="zh-CN"/>
              </w:rPr>
            </w:pPr>
            <w:r>
              <w:rPr>
                <w:rFonts w:hint="eastAsia" w:eastAsia="宋体" w:cs="Times New Roman"/>
                <w:lang w:val="en-US" w:eastAsia="zh-CN"/>
              </w:rPr>
              <w:t>地  址：陕西省西安市莲湖区西关正街英达大厦809室</w:t>
            </w:r>
          </w:p>
          <w:p>
            <w:pPr>
              <w:keepNext w:val="0"/>
              <w:keepLines w:val="0"/>
              <w:suppressLineNumbers w:val="0"/>
              <w:spacing w:before="0" w:beforeAutospacing="0" w:after="0" w:afterAutospacing="0" w:line="360" w:lineRule="auto"/>
              <w:ind w:left="960" w:right="0" w:hanging="840" w:hangingChars="400"/>
              <w:rPr>
                <w:rFonts w:hint="default" w:eastAsia="宋体" w:cs="Times New Roman"/>
                <w:lang w:val="en-US" w:eastAsia="zh-CN"/>
              </w:rPr>
            </w:pPr>
            <w:r>
              <w:rPr>
                <w:rFonts w:hint="eastAsia" w:eastAsia="宋体" w:cs="Times New Roman"/>
                <w:lang w:val="en-US" w:eastAsia="zh-CN"/>
              </w:rPr>
              <w:t>联系人：高垚</w:t>
            </w:r>
            <w:bookmarkStart w:id="886" w:name="_GoBack"/>
            <w:bookmarkEnd w:id="886"/>
          </w:p>
          <w:p>
            <w:pPr>
              <w:keepNext w:val="0"/>
              <w:keepLines w:val="0"/>
              <w:suppressLineNumbers w:val="0"/>
              <w:spacing w:before="0" w:beforeAutospacing="0" w:after="0" w:afterAutospacing="0" w:line="360" w:lineRule="auto"/>
              <w:ind w:left="960" w:right="0" w:hanging="840" w:hangingChars="400"/>
              <w:rPr>
                <w:rFonts w:hint="default" w:ascii="宋体" w:hAnsi="宋体" w:eastAsia="宋体" w:cs="宋体"/>
                <w:sz w:val="24"/>
                <w:szCs w:val="24"/>
                <w:vertAlign w:val="baseline"/>
                <w:lang w:val="en-US"/>
              </w:rPr>
            </w:pPr>
            <w:r>
              <w:rPr>
                <w:rFonts w:hint="eastAsia" w:eastAsia="宋体" w:cs="Times New Roman"/>
                <w:lang w:val="en-US" w:eastAsia="zh-CN"/>
              </w:rPr>
              <w:t>电  话：029-89351688-608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89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rPr>
              <w:t>采购方式</w:t>
            </w:r>
          </w:p>
        </w:tc>
        <w:tc>
          <w:tcPr>
            <w:tcW w:w="6969" w:type="dxa"/>
            <w:noWrap w:val="0"/>
            <w:vAlign w:val="center"/>
          </w:tcPr>
          <w:p>
            <w:pPr>
              <w:keepNext w:val="0"/>
              <w:keepLines w:val="0"/>
              <w:suppressLineNumbers w:val="0"/>
              <w:spacing w:before="0" w:beforeAutospacing="0" w:after="0" w:afterAutospacing="0" w:line="360" w:lineRule="auto"/>
              <w:ind w:left="0" w:right="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89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rPr>
              <w:t>采购内容</w:t>
            </w:r>
          </w:p>
        </w:tc>
        <w:tc>
          <w:tcPr>
            <w:tcW w:w="6969" w:type="dxa"/>
            <w:noWrap w:val="0"/>
            <w:vAlign w:val="center"/>
          </w:tcPr>
          <w:p>
            <w:pPr>
              <w:keepNext w:val="0"/>
              <w:keepLines w:val="0"/>
              <w:suppressLineNumbers w:val="0"/>
              <w:spacing w:before="0" w:beforeAutospacing="0" w:after="0" w:afterAutospacing="0" w:line="360" w:lineRule="auto"/>
              <w:ind w:left="0" w:right="0"/>
              <w:jc w:val="both"/>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rPr>
              <w:t>具体内容详见</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第三部分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98"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资格证明文件</w:t>
            </w:r>
          </w:p>
        </w:tc>
        <w:tc>
          <w:tcPr>
            <w:tcW w:w="6969" w:type="dxa"/>
            <w:noWrap w:val="0"/>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sz w:val="24"/>
                <w:szCs w:val="24"/>
              </w:rPr>
            </w:pPr>
            <w:r>
              <w:rPr>
                <w:rFonts w:hint="default" w:ascii="宋体" w:hAnsi="宋体" w:eastAsia="宋体" w:cs="宋体"/>
                <w:color w:val="auto"/>
                <w:sz w:val="24"/>
                <w:szCs w:val="24"/>
                <w:highlight w:val="none"/>
                <w:lang w:val="en-US" w:eastAsia="zh-CN"/>
              </w:rPr>
              <w:t>1、</w:t>
            </w:r>
            <w:r>
              <w:rPr>
                <w:rFonts w:hint="eastAsia" w:eastAsia="宋体" w:cs="Times New Roman"/>
                <w:lang w:val="en-US" w:eastAsia="zh-CN"/>
              </w:rPr>
              <w:t>投标人</w:t>
            </w:r>
            <w:r>
              <w:rPr>
                <w:rFonts w:hint="default" w:eastAsia="宋体" w:cs="Times New Roman"/>
                <w:lang w:val="en-US" w:eastAsia="zh-CN"/>
              </w:rPr>
              <w:t>为合法注册的法人、其他组织或自然人，具有独立承担民事责任的能力，提供具有统一社会信用代码证的营业执照（或事业单位法人证），</w:t>
            </w:r>
            <w:r>
              <w:rPr>
                <w:rFonts w:hint="eastAsia" w:eastAsia="宋体" w:cs="Times New Roman"/>
                <w:lang w:val="en-US" w:eastAsia="zh-CN"/>
              </w:rPr>
              <w:t>投标人</w:t>
            </w:r>
            <w:r>
              <w:rPr>
                <w:rFonts w:hint="default" w:eastAsia="宋体" w:cs="Times New Roman"/>
                <w:lang w:val="en-US" w:eastAsia="zh-CN"/>
              </w:rPr>
              <w:t>为自然人的提供身份证；2、</w:t>
            </w:r>
            <w:r>
              <w:rPr>
                <w:rFonts w:hint="eastAsia" w:eastAsia="宋体" w:cs="Times New Roman"/>
                <w:lang w:val="en-US" w:eastAsia="zh-CN"/>
              </w:rPr>
              <w:t>投标人</w:t>
            </w:r>
            <w:r>
              <w:rPr>
                <w:rFonts w:hint="default" w:eastAsia="宋体" w:cs="Times New Roman"/>
                <w:lang w:val="en-US" w:eastAsia="zh-CN"/>
              </w:rPr>
              <w:t>应授权合法的人员参加投标全过程，其中法定代表人直接参加投标的，须出具法定代表人身份证，并与营业执照上信息一致。法定代表人授权代表参加投标的，须出具法定代表人授权书及授权代表身份证；3、</w:t>
            </w:r>
            <w:r>
              <w:rPr>
                <w:rFonts w:hint="eastAsia" w:eastAsia="宋体" w:cs="Times New Roman"/>
                <w:lang w:val="en-US" w:eastAsia="zh-CN"/>
              </w:rPr>
              <w:t>投标人为非所投进口产品制造商的，需提供进口产品制造商对投标人所投进口产品的授权，或具有授权权限的代理</w:t>
            </w:r>
            <w:r>
              <w:rPr>
                <w:rFonts w:hint="eastAsia" w:ascii="宋体" w:hAnsi="宋体" w:eastAsia="宋体" w:cs="宋体"/>
                <w:color w:val="auto"/>
                <w:sz w:val="24"/>
                <w:szCs w:val="24"/>
                <w:highlight w:val="none"/>
                <w:lang w:val="en-US" w:eastAsia="zh-CN"/>
              </w:rPr>
              <w:t>商对</w:t>
            </w:r>
            <w:r>
              <w:rPr>
                <w:rFonts w:hint="eastAsia" w:eastAsia="宋体" w:cs="Times New Roman"/>
                <w:lang w:val="en-US" w:eastAsia="zh-CN"/>
              </w:rPr>
              <w:t>投标人所投进口产品的授权书原件（且需提供该代理商具有效授权权</w:t>
            </w:r>
            <w:r>
              <w:rPr>
                <w:rFonts w:hint="eastAsia" w:ascii="宋体" w:hAnsi="宋体" w:eastAsia="宋体" w:cs="宋体"/>
                <w:color w:val="auto"/>
                <w:sz w:val="24"/>
                <w:szCs w:val="24"/>
                <w:highlight w:val="none"/>
                <w:lang w:val="en-US" w:eastAsia="zh-CN"/>
              </w:rPr>
              <w:t>限</w:t>
            </w:r>
            <w:r>
              <w:rPr>
                <w:rFonts w:hint="eastAsia" w:eastAsia="宋体" w:cs="Times New Roman"/>
                <w:lang w:val="en-US" w:eastAsia="zh-CN"/>
              </w:rPr>
              <w:t>的相关证明文件，证明文件需能显示进口产品制造商对所投产品授权链条的完整性）（进口产品制造商直投不需提供）</w:t>
            </w:r>
            <w:r>
              <w:rPr>
                <w:rFonts w:hint="default" w:eastAsia="宋体" w:cs="Times New Roman"/>
                <w:lang w:val="en-US" w:eastAsia="zh-CN"/>
              </w:rPr>
              <w:t>4、本项目不接受联合体投标，单位负责人为同一人或者存在直接控股、管理关系的不同单位，不得参加同一项下的政府采购活动。对列入失信被执行人、政府采购严重违法失信行为记录名单的</w:t>
            </w:r>
            <w:r>
              <w:rPr>
                <w:rFonts w:hint="eastAsia" w:eastAsia="宋体" w:cs="Times New Roman"/>
                <w:lang w:val="en-US" w:eastAsia="zh-CN"/>
              </w:rPr>
              <w:t>投标人</w:t>
            </w:r>
            <w:r>
              <w:rPr>
                <w:rFonts w:hint="default" w:eastAsia="宋体" w:cs="Times New Roman"/>
                <w:lang w:val="en-US" w:eastAsia="zh-CN"/>
              </w:rPr>
              <w:t>，拒绝参与本项目政府采购活动。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lang w:eastAsia="zh-CN"/>
              </w:rPr>
              <w:t>投标文件递交截止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地点</w:t>
            </w:r>
          </w:p>
        </w:tc>
        <w:tc>
          <w:tcPr>
            <w:tcW w:w="6969" w:type="dxa"/>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right="-197" w:rightChars="-94"/>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截止时间：</w:t>
            </w:r>
            <w:r>
              <w:rPr>
                <w:rFonts w:hint="default" w:ascii="宋体" w:hAnsi="宋体" w:eastAsia="宋体" w:cs="宋体"/>
                <w:color w:val="auto"/>
                <w:sz w:val="24"/>
                <w:szCs w:val="24"/>
                <w:highlight w:val="none"/>
                <w:lang w:val="en-US" w:eastAsia="zh-CN"/>
              </w:rPr>
              <w:t>2022年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00</w:t>
            </w:r>
            <w:r>
              <w:rPr>
                <w:rFonts w:hint="default" w:ascii="宋体" w:hAnsi="宋体" w:eastAsia="宋体" w:cs="宋体"/>
                <w:color w:val="auto"/>
                <w:sz w:val="24"/>
                <w:szCs w:val="24"/>
                <w:highlight w:val="none"/>
                <w:lang w:val="en-US" w:eastAsia="zh-CN"/>
              </w:rPr>
              <w:t>分</w:t>
            </w:r>
            <w:r>
              <w:rPr>
                <w:rFonts w:hint="eastAsia" w:ascii="宋体" w:hAnsi="宋体" w:eastAsia="宋体" w:cs="宋体"/>
                <w:kern w:val="0"/>
                <w:sz w:val="24"/>
                <w:szCs w:val="24"/>
                <w:highlight w:val="none"/>
                <w:lang w:eastAsia="zh-CN"/>
              </w:rPr>
              <w:t>（同</w:t>
            </w:r>
            <w:r>
              <w:rPr>
                <w:rFonts w:hint="eastAsia" w:ascii="宋体" w:hAnsi="宋体" w:cs="宋体"/>
                <w:kern w:val="0"/>
                <w:sz w:val="24"/>
                <w:szCs w:val="24"/>
                <w:highlight w:val="none"/>
                <w:lang w:val="en-US" w:eastAsia="zh-CN"/>
              </w:rPr>
              <w:t>开标</w:t>
            </w:r>
            <w:r>
              <w:rPr>
                <w:rFonts w:hint="eastAsia" w:ascii="宋体" w:hAnsi="宋体" w:eastAsia="宋体" w:cs="宋体"/>
                <w:kern w:val="0"/>
                <w:sz w:val="24"/>
                <w:szCs w:val="24"/>
                <w:highlight w:val="none"/>
                <w:lang w:eastAsia="zh-CN"/>
              </w:rPr>
              <w:t>时间）</w:t>
            </w:r>
          </w:p>
          <w:p>
            <w:pPr>
              <w:keepNext w:val="0"/>
              <w:keepLines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sz w:val="24"/>
                <w:szCs w:val="24"/>
                <w:vertAlign w:val="baseline"/>
              </w:rPr>
            </w:pPr>
            <w:r>
              <w:rPr>
                <w:rFonts w:hint="eastAsia" w:ascii="宋体" w:hAnsi="宋体" w:eastAsia="宋体" w:cs="宋体"/>
                <w:kern w:val="0"/>
                <w:sz w:val="24"/>
                <w:szCs w:val="24"/>
                <w:highlight w:val="none"/>
              </w:rPr>
              <w:t>地点：</w:t>
            </w:r>
            <w:r>
              <w:rPr>
                <w:rFonts w:hint="eastAsia" w:ascii="宋体" w:hAnsi="宋体" w:eastAsia="宋体" w:cs="宋体"/>
                <w:color w:val="auto"/>
                <w:sz w:val="24"/>
                <w:szCs w:val="24"/>
                <w:highlight w:val="none"/>
                <w:lang w:val="en-US" w:eastAsia="zh-CN"/>
              </w:rPr>
              <w:t>陕西省西安市莲湖区西关正街英达大厦809室</w:t>
            </w:r>
            <w:r>
              <w:rPr>
                <w:rFonts w:hint="eastAsia" w:ascii="宋体" w:hAnsi="宋体" w:eastAsia="宋体" w:cs="宋体"/>
                <w:kern w:val="0"/>
                <w:sz w:val="24"/>
                <w:szCs w:val="24"/>
                <w:highlight w:val="none"/>
                <w:lang w:eastAsia="zh-CN"/>
              </w:rPr>
              <w:t>（同</w:t>
            </w:r>
            <w:r>
              <w:rPr>
                <w:rFonts w:hint="eastAsia" w:ascii="宋体" w:hAnsi="宋体" w:cs="宋体"/>
                <w:kern w:val="0"/>
                <w:sz w:val="24"/>
                <w:szCs w:val="24"/>
                <w:highlight w:val="none"/>
                <w:lang w:val="en-US" w:eastAsia="zh-CN"/>
              </w:rPr>
              <w:t>开标</w:t>
            </w:r>
            <w:r>
              <w:rPr>
                <w:rFonts w:hint="eastAsia" w:ascii="宋体" w:hAnsi="宋体" w:eastAsia="宋体" w:cs="宋体"/>
                <w:kern w:val="0"/>
                <w:sz w:val="24"/>
                <w:szCs w:val="24"/>
                <w:highlight w:val="none"/>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89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rPr>
              <w:t>政府采购强制采购：节能产品</w:t>
            </w:r>
          </w:p>
        </w:tc>
        <w:tc>
          <w:tcPr>
            <w:tcW w:w="6969" w:type="dxa"/>
            <w:noWrap w:val="0"/>
            <w:vAlign w:val="center"/>
          </w:tcPr>
          <w:p>
            <w:pPr>
              <w:keepNext w:val="0"/>
              <w:keepLines w:val="0"/>
              <w:suppressLineNumbers w:val="0"/>
              <w:spacing w:before="0" w:beforeAutospacing="0" w:after="0" w:afterAutospacing="0" w:line="360" w:lineRule="auto"/>
              <w:ind w:left="0" w:right="0" w:firstLine="1200" w:firstLineChars="500"/>
              <w:jc w:val="both"/>
              <w:rPr>
                <w:rFonts w:hint="eastAsia" w:ascii="宋体" w:hAnsi="宋体" w:eastAsia="宋体" w:cs="宋体"/>
                <w:sz w:val="24"/>
                <w:szCs w:val="24"/>
                <w:vertAlign w:val="baseline"/>
              </w:rPr>
            </w:pP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36"/>
                <w:szCs w:val="24"/>
              </w:rPr>
              <w:instrText xml:space="preserve">□</w:instrText>
            </w:r>
            <w:r>
              <w:rPr>
                <w:rFonts w:hint="eastAsia" w:ascii="宋体" w:hAnsi="宋体" w:eastAsia="宋体" w:cs="宋体"/>
                <w:position w:val="-4"/>
                <w:sz w:val="36"/>
                <w:szCs w:val="24"/>
                <w:lang w:eastAsia="zh-CN"/>
              </w:rPr>
              <w:instrText xml:space="preserve">,</w:instrText>
            </w:r>
            <w:r>
              <w:rPr>
                <w:rFonts w:hint="eastAsia" w:ascii="宋体" w:hAnsi="宋体" w:eastAsia="宋体" w:cs="宋体"/>
                <w:position w:val="0"/>
                <w:sz w:val="25"/>
                <w:szCs w:val="24"/>
                <w:lang w:eastAsia="zh-CN"/>
              </w:rPr>
              <w:instrText xml:space="preserve">√</w:instrText>
            </w:r>
            <w:r>
              <w:rPr>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898" w:type="dxa"/>
            <w:noWrap w:val="0"/>
            <w:vAlign w:val="center"/>
          </w:tcPr>
          <w:p>
            <w:pPr>
              <w:pStyle w:val="14"/>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政府采购强制采购：信息安全认证</w:t>
            </w:r>
          </w:p>
        </w:tc>
        <w:tc>
          <w:tcPr>
            <w:tcW w:w="6969" w:type="dxa"/>
            <w:noWrap w:val="0"/>
            <w:vAlign w:val="center"/>
          </w:tcPr>
          <w:p>
            <w:pPr>
              <w:keepNext w:val="0"/>
              <w:keepLines w:val="0"/>
              <w:suppressLineNumbers w:val="0"/>
              <w:spacing w:before="0" w:beforeAutospacing="0" w:after="0" w:afterAutospacing="0" w:line="360" w:lineRule="auto"/>
              <w:ind w:left="0" w:right="0" w:firstLine="1200" w:firstLineChars="500"/>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36"/>
                <w:szCs w:val="24"/>
              </w:rPr>
              <w:instrText xml:space="preserve">□</w:instrText>
            </w:r>
            <w:r>
              <w:rPr>
                <w:rFonts w:hint="eastAsia" w:ascii="宋体" w:hAnsi="宋体" w:eastAsia="宋体" w:cs="宋体"/>
                <w:position w:val="-4"/>
                <w:sz w:val="36"/>
                <w:szCs w:val="24"/>
                <w:lang w:eastAsia="zh-CN"/>
              </w:rPr>
              <w:instrText xml:space="preserve">,</w:instrText>
            </w:r>
            <w:r>
              <w:rPr>
                <w:rFonts w:hint="eastAsia" w:ascii="宋体" w:hAnsi="宋体" w:eastAsia="宋体" w:cs="宋体"/>
                <w:position w:val="0"/>
                <w:sz w:val="25"/>
                <w:szCs w:val="24"/>
                <w:lang w:eastAsia="zh-CN"/>
              </w:rPr>
              <w:instrText xml:space="preserve">√</w:instrText>
            </w:r>
            <w:r>
              <w:rPr>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是否允许递交备选</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方案</w:t>
            </w:r>
          </w:p>
        </w:tc>
        <w:tc>
          <w:tcPr>
            <w:tcW w:w="6969"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firstLine="1200" w:firstLineChars="5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允许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36"/>
                <w:szCs w:val="24"/>
              </w:rPr>
              <w:instrText xml:space="preserve">□</w:instrText>
            </w:r>
            <w:r>
              <w:rPr>
                <w:rFonts w:hint="eastAsia" w:ascii="宋体" w:hAnsi="宋体" w:eastAsia="宋体" w:cs="宋体"/>
                <w:position w:val="0"/>
                <w:sz w:val="24"/>
                <w:szCs w:val="24"/>
                <w:lang w:eastAsia="zh-CN"/>
              </w:rPr>
              <w:instrText xml:space="preserve">,√</w:instrText>
            </w:r>
            <w:r>
              <w:rPr>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不</w:t>
            </w:r>
            <w:r>
              <w:rPr>
                <w:rFonts w:hint="eastAsia" w:ascii="宋体" w:hAnsi="宋体" w:eastAsia="宋体" w:cs="宋体"/>
                <w:sz w:val="24"/>
                <w:szCs w:val="24"/>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8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w:t>
            </w:r>
            <w:r>
              <w:rPr>
                <w:rFonts w:hint="eastAsia" w:ascii="宋体" w:hAnsi="宋体" w:eastAsia="宋体" w:cs="宋体"/>
                <w:color w:val="auto"/>
                <w:sz w:val="24"/>
                <w:szCs w:val="24"/>
                <w:highlight w:val="none"/>
                <w:lang w:val="en-US" w:eastAsia="zh-CN"/>
              </w:rPr>
              <w:t>采购进口产品</w:t>
            </w:r>
          </w:p>
        </w:tc>
        <w:tc>
          <w:tcPr>
            <w:tcW w:w="6969" w:type="dxa"/>
            <w:noWrap w:val="0"/>
            <w:vAlign w:val="center"/>
          </w:tcPr>
          <w:p>
            <w:pPr>
              <w:keepNext w:val="0"/>
              <w:keepLines w:val="0"/>
              <w:suppressLineNumbers w:val="0"/>
              <w:autoSpaceDE w:val="0"/>
              <w:autoSpaceDN w:val="0"/>
              <w:adjustRightInd w:val="0"/>
              <w:spacing w:before="0" w:beforeAutospacing="0" w:after="0" w:afterAutospacing="0" w:line="360" w:lineRule="auto"/>
              <w:ind w:right="0" w:firstLine="960" w:firstLineChars="400"/>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36"/>
                <w:szCs w:val="24"/>
              </w:rPr>
              <w:instrText xml:space="preserve">□</w:instrText>
            </w:r>
            <w:r>
              <w:rPr>
                <w:rFonts w:hint="eastAsia" w:ascii="宋体" w:hAnsi="宋体" w:eastAsia="宋体" w:cs="宋体"/>
                <w:position w:val="0"/>
                <w:sz w:val="24"/>
                <w:szCs w:val="24"/>
                <w:lang w:eastAsia="zh-CN"/>
              </w:rPr>
              <w:instrText xml:space="preserve">,√</w:instrText>
            </w:r>
            <w:r>
              <w:rPr>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lang w:eastAsia="zh-CN"/>
              </w:rPr>
              <w:t>允许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不</w:t>
            </w:r>
            <w:r>
              <w:rPr>
                <w:rFonts w:hint="eastAsia" w:ascii="宋体" w:hAnsi="宋体" w:eastAsia="宋体" w:cs="宋体"/>
                <w:sz w:val="24"/>
                <w:szCs w:val="24"/>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p>
        </w:tc>
        <w:tc>
          <w:tcPr>
            <w:tcW w:w="6969" w:type="dxa"/>
            <w:noWrap w:val="0"/>
            <w:vAlign w:val="center"/>
          </w:tcPr>
          <w:p>
            <w:pPr>
              <w:spacing w:line="360" w:lineRule="auto"/>
              <w:ind w:firstLine="420" w:firstLineChars="175"/>
              <w:jc w:val="left"/>
              <w:rPr>
                <w:rFonts w:hint="default" w:ascii="宋体" w:hAnsi="宋体" w:eastAsia="宋体" w:cs="宋体"/>
                <w:sz w:val="24"/>
                <w:szCs w:val="24"/>
                <w:lang w:val="en-US" w:eastAsia="zh-CN"/>
              </w:rPr>
            </w:pPr>
            <w:r>
              <w:rPr>
                <w:rFonts w:hint="eastAsia" w:ascii="宋体" w:hAnsi="宋体" w:eastAsia="宋体" w:cs="宋体"/>
                <w:sz w:val="24"/>
                <w:szCs w:val="24"/>
              </w:rPr>
              <w:t>保证金金额：</w:t>
            </w:r>
            <w:r>
              <w:rPr>
                <w:rFonts w:hint="eastAsia" w:ascii="宋体" w:hAnsi="宋体" w:cs="宋体"/>
                <w:sz w:val="24"/>
                <w:szCs w:val="24"/>
                <w:lang w:val="en-US" w:eastAsia="zh-CN"/>
              </w:rPr>
              <w:t>人民币贰万元整（¥20,000.00）</w:t>
            </w:r>
          </w:p>
          <w:p>
            <w:p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rPr>
              <w:t>缴纳截止时间：</w:t>
            </w:r>
            <w:r>
              <w:rPr>
                <w:rFonts w:hint="eastAsia" w:ascii="宋体" w:hAnsi="宋体" w:eastAsia="宋体" w:cs="宋体"/>
                <w:sz w:val="24"/>
                <w:szCs w:val="24"/>
                <w:lang w:eastAsia="zh-CN"/>
              </w:rPr>
              <w:t>开标</w:t>
            </w:r>
            <w:r>
              <w:rPr>
                <w:rFonts w:hint="eastAsia" w:ascii="宋体" w:hAnsi="宋体" w:eastAsia="宋体" w:cs="宋体"/>
                <w:sz w:val="24"/>
                <w:szCs w:val="24"/>
              </w:rPr>
              <w:t>前</w:t>
            </w:r>
            <w:r>
              <w:rPr>
                <w:rFonts w:hint="eastAsia" w:ascii="宋体" w:hAnsi="宋体" w:eastAsia="宋体" w:cs="宋体"/>
                <w:sz w:val="24"/>
                <w:szCs w:val="24"/>
                <w:lang w:eastAsia="zh-CN"/>
              </w:rPr>
              <w:t>一个工作日（</w:t>
            </w:r>
            <w:r>
              <w:rPr>
                <w:rFonts w:hint="eastAsia" w:ascii="宋体" w:hAnsi="宋体" w:eastAsia="宋体" w:cs="宋体"/>
                <w:sz w:val="24"/>
                <w:szCs w:val="24"/>
              </w:rPr>
              <w:t>以到账时间为准</w:t>
            </w:r>
            <w:r>
              <w:rPr>
                <w:rFonts w:hint="eastAsia" w:ascii="宋体" w:hAnsi="宋体" w:eastAsia="宋体" w:cs="宋体"/>
                <w:sz w:val="24"/>
                <w:szCs w:val="24"/>
                <w:lang w:eastAsia="zh-CN"/>
              </w:rPr>
              <w:t>）</w:t>
            </w:r>
          </w:p>
          <w:p>
            <w:p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rPr>
              <w:t>投标保证金应当以银行转账（公户）、支票、汇票、本票或者金融机构、担保机构出具的保函等非现金形式提交（注投标保证金须以</w:t>
            </w:r>
            <w:r>
              <w:rPr>
                <w:rFonts w:hint="eastAsia" w:ascii="宋体" w:hAnsi="宋体" w:cs="宋体"/>
                <w:sz w:val="24"/>
                <w:szCs w:val="24"/>
                <w:lang w:eastAsia="zh-CN"/>
              </w:rPr>
              <w:t>投标人</w:t>
            </w:r>
            <w:r>
              <w:rPr>
                <w:rFonts w:hint="eastAsia" w:ascii="宋体" w:hAnsi="宋体" w:eastAsia="宋体" w:cs="宋体"/>
                <w:sz w:val="24"/>
                <w:szCs w:val="24"/>
              </w:rPr>
              <w:t>名称汇款），且应在开标前致电代理机构财务部门确认投标保证金到账情况。</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名：陕西中海</w:t>
            </w:r>
            <w:r>
              <w:rPr>
                <w:rFonts w:hint="eastAsia" w:ascii="宋体" w:hAnsi="宋体" w:eastAsia="宋体" w:cs="宋体"/>
                <w:sz w:val="24"/>
                <w:szCs w:val="24"/>
                <w:lang w:eastAsia="zh-CN"/>
              </w:rPr>
              <w:t>招标</w:t>
            </w:r>
            <w:r>
              <w:rPr>
                <w:rFonts w:hint="eastAsia" w:ascii="宋体" w:hAnsi="宋体" w:eastAsia="宋体" w:cs="宋体"/>
                <w:sz w:val="24"/>
                <w:szCs w:val="24"/>
              </w:rPr>
              <w:t>有限公司</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开户行：中国银行西安二环世纪星支行营业部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行  号：1047 9100 3702</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号</w:t>
            </w:r>
            <w:r>
              <w:rPr>
                <w:rFonts w:hint="eastAsia" w:ascii="宋体" w:hAnsi="宋体" w:eastAsia="宋体" w:cs="宋体"/>
                <w:sz w:val="24"/>
                <w:szCs w:val="24"/>
              </w:rPr>
              <w:t>：1020 0176 8739</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咨询电话：樊女士  联系电话029-89351688-602</w:t>
            </w:r>
          </w:p>
          <w:p>
            <w:pPr>
              <w:keepNext w:val="0"/>
              <w:keepLines w:val="0"/>
              <w:suppressLineNumbers w:val="0"/>
              <w:autoSpaceDE w:val="0"/>
              <w:autoSpaceDN w:val="0"/>
              <w:adjustRightInd w:val="0"/>
              <w:spacing w:before="0" w:beforeAutospacing="0" w:after="0" w:afterAutospacing="0" w:line="360" w:lineRule="auto"/>
              <w:ind w:right="0"/>
              <w:rPr>
                <w:rFonts w:hint="eastAsia" w:ascii="宋体" w:hAnsi="宋体" w:eastAsia="宋体" w:cs="宋体"/>
                <w:sz w:val="24"/>
                <w:szCs w:val="24"/>
              </w:rPr>
            </w:pPr>
            <w:r>
              <w:rPr>
                <w:rFonts w:hint="eastAsia" w:ascii="宋体" w:hAnsi="宋体" w:eastAsia="宋体" w:cs="宋体"/>
                <w:sz w:val="24"/>
                <w:szCs w:val="24"/>
              </w:rPr>
              <w:t>转账摘要：</w:t>
            </w:r>
            <w:r>
              <w:rPr>
                <w:rFonts w:hint="eastAsia" w:ascii="宋体" w:hAnsi="宋体" w:cs="宋体"/>
                <w:sz w:val="24"/>
                <w:szCs w:val="24"/>
                <w:lang w:val="en-US" w:eastAsia="zh-CN"/>
              </w:rPr>
              <w:t>ZHZB2022-HW-0707</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w:t>
            </w:r>
          </w:p>
          <w:p>
            <w:pPr>
              <w:pStyle w:val="11"/>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highlight w:val="none"/>
                <w:lang w:val="en-US" w:eastAsia="zh-CN"/>
              </w:rPr>
              <w:t>开标时作为投标保证金缴付凭证，</w:t>
            </w:r>
            <w:r>
              <w:rPr>
                <w:rFonts w:hint="eastAsia" w:cs="宋体"/>
                <w:b/>
                <w:bCs/>
                <w:sz w:val="24"/>
                <w:szCs w:val="24"/>
                <w:highlight w:val="none"/>
                <w:lang w:val="en-US" w:eastAsia="zh-CN"/>
              </w:rPr>
              <w:t>投标人</w:t>
            </w:r>
            <w:r>
              <w:rPr>
                <w:rFonts w:hint="eastAsia" w:ascii="宋体" w:hAnsi="宋体" w:eastAsia="宋体" w:cs="宋体"/>
                <w:b/>
                <w:bCs/>
                <w:sz w:val="24"/>
                <w:szCs w:val="24"/>
                <w:highlight w:val="none"/>
                <w:lang w:val="en-US" w:eastAsia="zh-CN"/>
              </w:rPr>
              <w:t>须在投标文件中附保证金收据复印件</w:t>
            </w:r>
            <w:r>
              <w:rPr>
                <w:rFonts w:hint="eastAsia" w:cs="宋体"/>
                <w:b/>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8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质量标准</w:t>
            </w:r>
          </w:p>
        </w:tc>
        <w:tc>
          <w:tcPr>
            <w:tcW w:w="6969"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质量符合企业、行业、国家规定及</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相关要求</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8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6969"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从开标之日起</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日历</w:t>
            </w:r>
            <w:r>
              <w:rPr>
                <w:rFonts w:hint="eastAsia" w:ascii="宋体" w:hAnsi="宋体" w:eastAsia="宋体" w:cs="宋体"/>
                <w:color w:val="auto"/>
                <w:sz w:val="24"/>
                <w:szCs w:val="24"/>
                <w:highlight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8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标前答疑会</w:t>
            </w:r>
          </w:p>
        </w:tc>
        <w:tc>
          <w:tcPr>
            <w:tcW w:w="6969"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firstLine="1200" w:firstLineChars="5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eastAsia="zh-CN"/>
              </w:rPr>
              <w:t>□组</w:t>
            </w:r>
            <w:r>
              <w:rPr>
                <w:rFonts w:hint="eastAsia" w:ascii="宋体" w:hAnsi="宋体" w:eastAsia="宋体" w:cs="宋体"/>
                <w:sz w:val="24"/>
                <w:szCs w:val="24"/>
              </w:rPr>
              <w:t>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36"/>
                <w:szCs w:val="24"/>
              </w:rPr>
              <w:instrText xml:space="preserve">□</w:instrText>
            </w:r>
            <w:r>
              <w:rPr>
                <w:rFonts w:hint="eastAsia" w:ascii="宋体" w:hAnsi="宋体" w:eastAsia="宋体" w:cs="宋体"/>
                <w:position w:val="0"/>
                <w:sz w:val="24"/>
                <w:szCs w:val="24"/>
                <w:lang w:eastAsia="zh-CN"/>
              </w:rPr>
              <w:instrText xml:space="preserve">,√</w:instrText>
            </w:r>
            <w:r>
              <w:rPr>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8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开标</w:t>
            </w:r>
            <w:r>
              <w:rPr>
                <w:rFonts w:hint="eastAsia" w:ascii="宋体" w:hAnsi="宋体" w:eastAsia="宋体" w:cs="宋体"/>
                <w:color w:val="auto"/>
                <w:sz w:val="24"/>
                <w:szCs w:val="24"/>
                <w:highlight w:val="none"/>
              </w:rPr>
              <w:t>现场是否须提供样品</w:t>
            </w:r>
          </w:p>
        </w:tc>
        <w:tc>
          <w:tcPr>
            <w:tcW w:w="6969"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firstLine="1200" w:firstLineChars="5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携带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36"/>
                <w:szCs w:val="24"/>
              </w:rPr>
              <w:instrText xml:space="preserve">□</w:instrText>
            </w:r>
            <w:r>
              <w:rPr>
                <w:rFonts w:hint="eastAsia" w:ascii="宋体" w:hAnsi="宋体" w:eastAsia="宋体" w:cs="宋体"/>
                <w:position w:val="-4"/>
                <w:sz w:val="36"/>
                <w:szCs w:val="24"/>
                <w:lang w:eastAsia="zh-CN"/>
              </w:rPr>
              <w:instrText xml:space="preserve">,</w:instrText>
            </w:r>
            <w:r>
              <w:rPr>
                <w:rFonts w:hint="eastAsia" w:ascii="宋体" w:hAnsi="宋体" w:eastAsia="宋体" w:cs="宋体"/>
                <w:position w:val="0"/>
                <w:sz w:val="25"/>
                <w:szCs w:val="24"/>
                <w:lang w:eastAsia="zh-CN"/>
              </w:rPr>
              <w:instrText xml:space="preserve">√</w:instrText>
            </w:r>
            <w:r>
              <w:rPr>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不</w:t>
            </w:r>
            <w:r>
              <w:rPr>
                <w:rFonts w:hint="eastAsia" w:ascii="宋体" w:hAnsi="宋体" w:eastAsia="宋体" w:cs="宋体"/>
                <w:sz w:val="24"/>
                <w:szCs w:val="24"/>
                <w:lang w:eastAsia="zh-CN"/>
              </w:rPr>
              <w:t>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8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份数</w:t>
            </w:r>
          </w:p>
        </w:tc>
        <w:tc>
          <w:tcPr>
            <w:tcW w:w="6969"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正本一份，副本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zh-CN"/>
              </w:rPr>
              <w:t>电子版一份（</w:t>
            </w:r>
            <w:r>
              <w:rPr>
                <w:rFonts w:hint="eastAsia" w:ascii="宋体" w:hAnsi="宋体" w:eastAsia="宋体" w:cs="宋体"/>
                <w:color w:val="auto"/>
                <w:sz w:val="24"/>
                <w:szCs w:val="24"/>
                <w:highlight w:val="none"/>
                <w:lang w:val="en-US" w:eastAsia="zh-CN"/>
              </w:rPr>
              <w:t>U盘，电子文档应为包含签字盖章内容的PDF版本</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报价一览表一份。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88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密封</w:t>
            </w:r>
            <w:r>
              <w:rPr>
                <w:rFonts w:hint="eastAsia" w:ascii="宋体" w:hAnsi="宋体" w:eastAsia="宋体" w:cs="宋体"/>
                <w:color w:val="auto"/>
                <w:sz w:val="24"/>
                <w:szCs w:val="24"/>
                <w:highlight w:val="none"/>
                <w:lang w:val="en-US" w:eastAsia="zh-CN"/>
              </w:rPr>
              <w:t>及格式要求</w:t>
            </w:r>
          </w:p>
        </w:tc>
        <w:tc>
          <w:tcPr>
            <w:tcW w:w="6969" w:type="dxa"/>
            <w:noWrap w:val="0"/>
            <w:vAlign w:val="center"/>
          </w:tcPr>
          <w:p>
            <w:pPr>
              <w:keepNext w:val="0"/>
              <w:keepLines w:val="0"/>
              <w:numPr>
                <w:ilvl w:val="0"/>
                <w:numId w:val="0"/>
              </w:numPr>
              <w:suppressLineNumbers w:val="0"/>
              <w:autoSpaceDE w:val="0"/>
              <w:autoSpaceDN w:val="0"/>
              <w:adjustRightInd w:val="0"/>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的正本、副本</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电子版、</w:t>
            </w:r>
            <w:r>
              <w:rPr>
                <w:rFonts w:hint="eastAsia" w:ascii="宋体" w:hAnsi="宋体" w:eastAsia="宋体" w:cs="宋体"/>
                <w:color w:val="auto"/>
                <w:sz w:val="24"/>
                <w:szCs w:val="24"/>
                <w:highlight w:val="none"/>
                <w:lang w:val="en-US" w:eastAsia="zh-CN"/>
              </w:rPr>
              <w:t>报价一览表应</w:t>
            </w:r>
            <w:r>
              <w:rPr>
                <w:rFonts w:hint="eastAsia" w:ascii="宋体" w:hAnsi="宋体" w:eastAsia="宋体" w:cs="宋体"/>
                <w:color w:val="auto"/>
                <w:sz w:val="24"/>
                <w:szCs w:val="24"/>
                <w:highlight w:val="none"/>
              </w:rPr>
              <w:t>单独密封，且在信封上注明“正本”“副本”“电子版”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报价一览表”</w:t>
            </w:r>
            <w:r>
              <w:rPr>
                <w:rFonts w:hint="eastAsia" w:ascii="宋体" w:hAnsi="宋体" w:eastAsia="宋体" w:cs="宋体"/>
                <w:color w:val="auto"/>
                <w:sz w:val="24"/>
                <w:szCs w:val="24"/>
                <w:highlight w:val="none"/>
              </w:rPr>
              <w:t>字样</w:t>
            </w:r>
            <w:r>
              <w:rPr>
                <w:rFonts w:hint="eastAsia" w:ascii="宋体" w:hAnsi="宋体" w:eastAsia="宋体" w:cs="宋体"/>
                <w:color w:val="auto"/>
                <w:sz w:val="24"/>
                <w:szCs w:val="24"/>
                <w:highlight w:val="none"/>
                <w:lang w:eastAsia="zh-CN"/>
              </w:rPr>
              <w:t>。</w:t>
            </w:r>
          </w:p>
          <w:p>
            <w:pPr>
              <w:keepNext w:val="0"/>
              <w:keepLines w:val="0"/>
              <w:numPr>
                <w:ilvl w:val="0"/>
                <w:numId w:val="0"/>
              </w:numPr>
              <w:suppressLineNumbers w:val="0"/>
              <w:autoSpaceDE w:val="0"/>
              <w:autoSpaceDN w:val="0"/>
              <w:adjustRightInd w:val="0"/>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电子版</w:t>
            </w:r>
            <w:r>
              <w:rPr>
                <w:rFonts w:hint="eastAsia" w:ascii="宋体" w:hAnsi="宋体" w:eastAsia="宋体" w:cs="宋体"/>
                <w:color w:val="auto"/>
                <w:sz w:val="24"/>
                <w:szCs w:val="24"/>
                <w:highlight w:val="none"/>
                <w:lang w:eastAsia="zh-CN"/>
              </w:rPr>
              <w:t>存储设备</w:t>
            </w:r>
            <w:r>
              <w:rPr>
                <w:rFonts w:hint="eastAsia" w:ascii="宋体" w:hAnsi="宋体" w:eastAsia="宋体" w:cs="宋体"/>
                <w:color w:val="auto"/>
                <w:sz w:val="24"/>
                <w:szCs w:val="24"/>
                <w:highlight w:val="none"/>
              </w:rPr>
              <w:t>正面需注明项目编号、</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pPr>
              <w:keepNext w:val="0"/>
              <w:keepLines w:val="0"/>
              <w:suppressLineNumbers w:val="0"/>
              <w:autoSpaceDE w:val="0"/>
              <w:autoSpaceDN w:val="0"/>
              <w:adjustRightInd w:val="0"/>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在规定的提交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截止时间前，</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须派人当面递交，未按要求密封的</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可拒绝接收。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8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19</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文件</w:t>
            </w:r>
          </w:p>
        </w:tc>
        <w:tc>
          <w:tcPr>
            <w:tcW w:w="6969"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的澄清书、修改书及有关补充通知书为</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的有效组成部分</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是否退还</w:t>
            </w:r>
            <w:r>
              <w:rPr>
                <w:rFonts w:hint="eastAsia" w:ascii="宋体" w:hAnsi="宋体" w:eastAsia="宋体" w:cs="宋体"/>
                <w:color w:val="auto"/>
                <w:sz w:val="24"/>
                <w:szCs w:val="24"/>
                <w:highlight w:val="none"/>
                <w:lang w:eastAsia="zh-CN"/>
              </w:rPr>
              <w:t>投标文件</w:t>
            </w:r>
          </w:p>
        </w:tc>
        <w:tc>
          <w:tcPr>
            <w:tcW w:w="6969"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无论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与否，一律不退</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88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21</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招标文件</w:t>
            </w:r>
          </w:p>
        </w:tc>
        <w:tc>
          <w:tcPr>
            <w:tcW w:w="6969" w:type="dxa"/>
            <w:noWrap w:val="0"/>
            <w:vAlign w:val="center"/>
          </w:tcPr>
          <w:p>
            <w:pPr>
              <w:keepNext w:val="0"/>
              <w:keepLines w:val="0"/>
              <w:numPr>
                <w:ilvl w:val="0"/>
                <w:numId w:val="2"/>
              </w:numPr>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一经发售，一律不退；</w:t>
            </w:r>
          </w:p>
          <w:p>
            <w:pPr>
              <w:keepNext w:val="0"/>
              <w:keepLines w:val="0"/>
              <w:numPr>
                <w:ilvl w:val="0"/>
                <w:numId w:val="2"/>
              </w:numPr>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的最终解释权归</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代理机构所有</w:t>
            </w:r>
            <w:r>
              <w:rPr>
                <w:rFonts w:hint="eastAsia" w:ascii="宋体" w:hAnsi="宋体" w:eastAsia="宋体" w:cs="宋体"/>
                <w:color w:val="auto"/>
                <w:sz w:val="24"/>
                <w:szCs w:val="24"/>
                <w:highlight w:val="none"/>
                <w:lang w:eastAsia="zh-CN"/>
              </w:rPr>
              <w:t>；</w:t>
            </w:r>
          </w:p>
          <w:p>
            <w:pPr>
              <w:keepNext w:val="0"/>
              <w:keepLines w:val="0"/>
              <w:numPr>
                <w:ilvl w:val="0"/>
                <w:numId w:val="2"/>
              </w:numPr>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招标文件正文内容与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须知前附表不一致时，以</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22</w:t>
            </w:r>
          </w:p>
        </w:tc>
        <w:tc>
          <w:tcPr>
            <w:tcW w:w="189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采购代理服务费</w:t>
            </w:r>
          </w:p>
        </w:tc>
        <w:tc>
          <w:tcPr>
            <w:tcW w:w="6969"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zh-CN"/>
              </w:rPr>
              <w:t>中标人</w:t>
            </w:r>
            <w:r>
              <w:rPr>
                <w:rFonts w:hint="eastAsia" w:ascii="宋体" w:hAnsi="宋体" w:eastAsia="宋体" w:cs="宋体"/>
                <w:color w:val="auto"/>
                <w:sz w:val="24"/>
                <w:szCs w:val="24"/>
                <w:highlight w:val="none"/>
                <w:lang w:val="zh-CN"/>
              </w:rPr>
              <w:t>领取</w:t>
            </w:r>
            <w:r>
              <w:rPr>
                <w:rFonts w:hint="eastAsia" w:ascii="宋体" w:hAnsi="宋体" w:cs="宋体"/>
                <w:color w:val="auto"/>
                <w:sz w:val="24"/>
                <w:szCs w:val="24"/>
                <w:highlight w:val="none"/>
                <w:lang w:val="zh-CN"/>
              </w:rPr>
              <w:t>中标通知书</w:t>
            </w:r>
            <w:r>
              <w:rPr>
                <w:rFonts w:hint="eastAsia" w:ascii="宋体" w:hAnsi="宋体" w:eastAsia="宋体" w:cs="宋体"/>
                <w:color w:val="auto"/>
                <w:sz w:val="24"/>
                <w:szCs w:val="24"/>
                <w:highlight w:val="none"/>
                <w:lang w:val="zh-CN"/>
              </w:rPr>
              <w:t>前，向采购代理机构一次性支付</w:t>
            </w:r>
            <w:r>
              <w:rPr>
                <w:rFonts w:hint="eastAsia" w:ascii="宋体" w:hAnsi="宋体" w:eastAsia="宋体" w:cs="宋体"/>
                <w:color w:val="auto"/>
                <w:sz w:val="24"/>
                <w:szCs w:val="24"/>
                <w:highlight w:val="none"/>
                <w:lang w:val="en-US" w:eastAsia="zh-CN"/>
              </w:rPr>
              <w:t>采购代理服务费</w:t>
            </w:r>
            <w:r>
              <w:rPr>
                <w:rFonts w:hint="eastAsia" w:ascii="宋体" w:hAnsi="宋体" w:eastAsia="宋体" w:cs="宋体"/>
                <w:color w:val="auto"/>
                <w:sz w:val="24"/>
                <w:szCs w:val="24"/>
                <w:highlight w:val="none"/>
                <w:lang w:val="zh-CN"/>
              </w:rPr>
              <w:t>。</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rPr>
              <w:t>应依据</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lang w:val="zh-CN"/>
              </w:rPr>
              <w:t>向采购代理机构交纳</w:t>
            </w:r>
            <w:r>
              <w:rPr>
                <w:rFonts w:hint="eastAsia" w:ascii="宋体" w:hAnsi="宋体" w:eastAsia="宋体" w:cs="宋体"/>
                <w:color w:val="auto"/>
                <w:sz w:val="24"/>
                <w:szCs w:val="24"/>
                <w:highlight w:val="none"/>
                <w:lang w:val="en-US" w:eastAsia="zh-CN"/>
              </w:rPr>
              <w:t>采购代理服务费</w:t>
            </w:r>
            <w:r>
              <w:rPr>
                <w:rFonts w:hint="eastAsia" w:ascii="宋体" w:hAnsi="宋体" w:eastAsia="宋体" w:cs="宋体"/>
                <w:color w:val="auto"/>
                <w:sz w:val="24"/>
                <w:szCs w:val="24"/>
                <w:highlight w:val="none"/>
                <w:lang w:val="zh-CN"/>
              </w:rPr>
              <w:t>，交费金额参照国家计委颁布的《招标代理服务收费管理暂行办法》（计价格[2002]1980号）及发改办价格[2003]857号文件的规定标准收取。</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、代理服务费以转账、电汇或现金等形式交纳。</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  名：陕西中海招标有限公司</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开户行：中国银行西安二环世纪星支行营业部</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  号：1047 9100 3702</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账  号：1020 0176 8739</w:t>
            </w:r>
          </w:p>
        </w:tc>
      </w:tr>
    </w:tbl>
    <w:p>
      <w:pPr>
        <w:autoSpaceDE w:val="0"/>
        <w:autoSpaceDN w:val="0"/>
        <w:adjustRightInd w:val="0"/>
        <w:spacing w:line="360" w:lineRule="auto"/>
        <w:outlineLvl w:val="9"/>
        <w:rPr>
          <w:rFonts w:hint="eastAsia" w:ascii="宋体" w:hAnsi="宋体" w:eastAsia="宋体" w:cs="宋体"/>
          <w:b/>
          <w:bCs/>
          <w:color w:val="auto"/>
          <w:sz w:val="24"/>
          <w:szCs w:val="24"/>
          <w:highlight w:val="none"/>
          <w:lang w:val="zh-CN"/>
        </w:rPr>
      </w:pPr>
    </w:p>
    <w:p>
      <w:pPr>
        <w:autoSpaceDE w:val="0"/>
        <w:autoSpaceDN w:val="0"/>
        <w:adjustRightInd w:val="0"/>
        <w:spacing w:line="360" w:lineRule="auto"/>
        <w:outlineLvl w:val="1"/>
        <w:rPr>
          <w:rFonts w:hint="eastAsia" w:ascii="宋体" w:hAnsi="宋体" w:eastAsia="宋体" w:cs="宋体"/>
          <w:b/>
          <w:bCs/>
          <w:color w:val="auto"/>
          <w:sz w:val="24"/>
          <w:szCs w:val="24"/>
          <w:highlight w:val="none"/>
          <w:lang w:val="zh-CN"/>
        </w:rPr>
      </w:pPr>
      <w:bookmarkStart w:id="18" w:name="_Toc24764"/>
      <w:bookmarkStart w:id="19" w:name="_Toc8469"/>
      <w:bookmarkStart w:id="20" w:name="_Toc1052"/>
      <w:bookmarkStart w:id="21" w:name="_Toc31044"/>
      <w:r>
        <w:rPr>
          <w:rFonts w:hint="eastAsia" w:ascii="宋体" w:hAnsi="宋体" w:eastAsia="宋体" w:cs="宋体"/>
          <w:b/>
          <w:bCs/>
          <w:color w:val="auto"/>
          <w:sz w:val="24"/>
          <w:szCs w:val="24"/>
          <w:highlight w:val="none"/>
          <w:lang w:val="zh-CN"/>
        </w:rPr>
        <w:t>二、总则</w:t>
      </w:r>
      <w:bookmarkEnd w:id="15"/>
      <w:bookmarkEnd w:id="16"/>
      <w:bookmarkEnd w:id="17"/>
      <w:bookmarkEnd w:id="18"/>
      <w:bookmarkEnd w:id="19"/>
      <w:bookmarkEnd w:id="20"/>
      <w:bookmarkEnd w:id="21"/>
    </w:p>
    <w:p>
      <w:pPr>
        <w:spacing w:line="360" w:lineRule="auto"/>
        <w:outlineLvl w:val="2"/>
        <w:rPr>
          <w:rFonts w:hint="eastAsia" w:ascii="宋体" w:hAnsi="宋体" w:eastAsia="宋体" w:cs="宋体"/>
          <w:color w:val="000000"/>
          <w:sz w:val="24"/>
          <w:szCs w:val="24"/>
        </w:rPr>
      </w:pPr>
      <w:bookmarkStart w:id="22" w:name="_Toc358364319"/>
      <w:bookmarkStart w:id="23" w:name="_Toc8992"/>
      <w:bookmarkStart w:id="24" w:name="_Toc380336725"/>
      <w:bookmarkStart w:id="25" w:name="_Toc8974"/>
      <w:bookmarkStart w:id="26" w:name="_Toc22570"/>
      <w:bookmarkStart w:id="27" w:name="_Toc6742"/>
      <w:bookmarkStart w:id="28" w:name="_Toc9257"/>
      <w:bookmarkStart w:id="29" w:name="_Toc15650"/>
      <w:bookmarkStart w:id="30" w:name="_Toc11340"/>
      <w:bookmarkStart w:id="31" w:name="_Toc9384"/>
      <w:bookmarkStart w:id="32" w:name="_Toc6076"/>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适用范围</w:t>
      </w:r>
      <w:bookmarkEnd w:id="22"/>
      <w:bookmarkEnd w:id="23"/>
      <w:bookmarkEnd w:id="24"/>
      <w:bookmarkEnd w:id="25"/>
      <w:bookmarkEnd w:id="26"/>
      <w:bookmarkEnd w:id="27"/>
      <w:bookmarkEnd w:id="28"/>
      <w:bookmarkEnd w:id="29"/>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 本</w:t>
      </w:r>
      <w:r>
        <w:rPr>
          <w:rFonts w:hint="eastAsia" w:ascii="宋体" w:hAnsi="宋体" w:eastAsia="宋体" w:cs="宋体"/>
          <w:color w:val="000000"/>
          <w:sz w:val="24"/>
          <w:szCs w:val="24"/>
          <w:lang w:val="en-US" w:eastAsia="zh-CN"/>
        </w:rPr>
        <w:t>招标文件</w:t>
      </w:r>
      <w:r>
        <w:rPr>
          <w:rFonts w:hint="eastAsia" w:ascii="宋体" w:hAnsi="宋体" w:eastAsia="宋体" w:cs="宋体"/>
          <w:color w:val="000000"/>
          <w:sz w:val="24"/>
          <w:szCs w:val="24"/>
        </w:rPr>
        <w:t>适用于本次</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活动的全过程。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 本次采购属政府采购，采购人、采购代理机构、</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、评标委员会的相关行为均受《中华人民共和国政府采购法》及实施条例、财政部规章及政府采购项目所在地有关法规、规章的约束，其权利受到上述法律法规的保护。</w:t>
      </w:r>
    </w:p>
    <w:p>
      <w:pPr>
        <w:numPr>
          <w:ilvl w:val="0"/>
          <w:numId w:val="0"/>
        </w:numPr>
        <w:tabs>
          <w:tab w:val="left" w:pos="240"/>
        </w:tabs>
        <w:spacing w:line="360" w:lineRule="auto"/>
        <w:outlineLvl w:val="2"/>
        <w:rPr>
          <w:rFonts w:hint="eastAsia" w:ascii="宋体" w:hAnsi="宋体" w:eastAsia="宋体" w:cs="宋体"/>
          <w:color w:val="auto"/>
          <w:sz w:val="24"/>
          <w:szCs w:val="24"/>
          <w:highlight w:val="none"/>
        </w:rPr>
      </w:pPr>
      <w:bookmarkStart w:id="33" w:name="_Toc14745"/>
      <w:bookmarkStart w:id="34" w:name="_Toc11115"/>
      <w:bookmarkStart w:id="35" w:name="_Toc18987"/>
      <w:bookmarkStart w:id="36" w:name="_Toc21354"/>
      <w:r>
        <w:rPr>
          <w:rFonts w:hint="eastAsia" w:ascii="宋体" w:hAnsi="宋体" w:eastAsia="宋体" w:cs="宋体"/>
          <w:color w:val="auto"/>
          <w:sz w:val="24"/>
          <w:szCs w:val="24"/>
          <w:highlight w:val="none"/>
        </w:rPr>
        <w:t>2、合格的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应具备以下条件：</w:t>
      </w:r>
      <w:bookmarkEnd w:id="30"/>
      <w:bookmarkEnd w:id="31"/>
      <w:bookmarkEnd w:id="32"/>
      <w:bookmarkEnd w:id="33"/>
      <w:bookmarkEnd w:id="34"/>
      <w:bookmarkEnd w:id="35"/>
      <w:bookmarkEnd w:id="36"/>
    </w:p>
    <w:p>
      <w:pPr>
        <w:tabs>
          <w:tab w:val="left" w:pos="766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具备且满足“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公告”要求的；</w:t>
      </w:r>
    </w:p>
    <w:p>
      <w:pPr>
        <w:tabs>
          <w:tab w:val="left" w:pos="766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向</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rPr>
        <w:t>了</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文件并登记备案；</w:t>
      </w:r>
    </w:p>
    <w:p>
      <w:pPr>
        <w:tabs>
          <w:tab w:val="left" w:pos="766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向</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代理机构交纳了</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保证金；</w:t>
      </w:r>
    </w:p>
    <w:p>
      <w:pPr>
        <w:tabs>
          <w:tab w:val="left" w:pos="766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只能提交一</w:t>
      </w:r>
      <w:r>
        <w:rPr>
          <w:rFonts w:hint="eastAsia" w:ascii="宋体" w:hAnsi="宋体" w:eastAsia="宋体" w:cs="宋体"/>
          <w:color w:val="auto"/>
          <w:sz w:val="24"/>
          <w:szCs w:val="24"/>
          <w:highlight w:val="none"/>
          <w:lang w:eastAsia="zh-CN"/>
        </w:rPr>
        <w:t>份投标</w:t>
      </w:r>
      <w:r>
        <w:rPr>
          <w:rFonts w:hint="eastAsia" w:ascii="宋体" w:hAnsi="宋体" w:eastAsia="宋体" w:cs="宋体"/>
          <w:color w:val="auto"/>
          <w:sz w:val="24"/>
          <w:szCs w:val="24"/>
          <w:highlight w:val="none"/>
        </w:rPr>
        <w:t>文件，法定代表人为同一人的，不得同时参加本项目</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w:t>
      </w:r>
    </w:p>
    <w:p>
      <w:pPr>
        <w:tabs>
          <w:tab w:val="left" w:pos="766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有隶属关系的两个公司或有控股关系的两个公司不能同时参加同一项目</w:t>
      </w:r>
      <w:r>
        <w:rPr>
          <w:rFonts w:hint="eastAsia" w:ascii="宋体" w:hAnsi="宋体" w:eastAsia="宋体" w:cs="宋体"/>
          <w:color w:val="auto"/>
          <w:sz w:val="24"/>
          <w:szCs w:val="24"/>
          <w:highlight w:val="none"/>
          <w:lang w:val="en-US" w:eastAsia="zh-CN"/>
        </w:rPr>
        <w:t>的同标段</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w:t>
      </w:r>
    </w:p>
    <w:p>
      <w:pPr>
        <w:tabs>
          <w:tab w:val="left" w:pos="766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2.6 </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文件和法律、行政法规规定的其他条件。</w:t>
      </w:r>
    </w:p>
    <w:p>
      <w:pPr>
        <w:autoSpaceDE w:val="0"/>
        <w:autoSpaceDN w:val="0"/>
        <w:adjustRightInd w:val="0"/>
        <w:spacing w:line="360" w:lineRule="auto"/>
        <w:outlineLvl w:val="1"/>
        <w:rPr>
          <w:rFonts w:hint="eastAsia" w:ascii="宋体" w:hAnsi="宋体" w:eastAsia="宋体" w:cs="宋体"/>
          <w:b/>
          <w:bCs/>
          <w:color w:val="auto"/>
          <w:sz w:val="24"/>
          <w:szCs w:val="24"/>
          <w:highlight w:val="none"/>
        </w:rPr>
      </w:pPr>
      <w:bookmarkStart w:id="37" w:name="_Toc17361"/>
      <w:bookmarkStart w:id="38" w:name="_Toc28654"/>
      <w:bookmarkStart w:id="39" w:name="_Toc17529"/>
      <w:bookmarkStart w:id="40" w:name="_Toc25235"/>
      <w:bookmarkStart w:id="41" w:name="_Toc12081"/>
      <w:bookmarkStart w:id="42" w:name="_Toc10877"/>
      <w:bookmarkStart w:id="43" w:name="_Toc31447"/>
      <w:r>
        <w:rPr>
          <w:rFonts w:hint="eastAsia" w:ascii="宋体" w:hAnsi="宋体" w:eastAsia="宋体" w:cs="宋体"/>
          <w:b/>
          <w:bCs/>
          <w:color w:val="auto"/>
          <w:sz w:val="24"/>
          <w:szCs w:val="24"/>
          <w:highlight w:val="none"/>
          <w:lang w:val="zh-CN"/>
        </w:rPr>
        <w:t>三、</w:t>
      </w:r>
      <w:bookmarkEnd w:id="37"/>
      <w:r>
        <w:rPr>
          <w:rFonts w:hint="eastAsia" w:ascii="宋体" w:hAnsi="宋体" w:eastAsia="宋体" w:cs="宋体"/>
          <w:b/>
          <w:bCs/>
          <w:color w:val="auto"/>
          <w:sz w:val="24"/>
          <w:szCs w:val="24"/>
          <w:highlight w:val="none"/>
          <w:lang w:val="zh-CN"/>
        </w:rPr>
        <w:t>招标文件</w:t>
      </w:r>
      <w:bookmarkEnd w:id="38"/>
      <w:bookmarkEnd w:id="39"/>
      <w:bookmarkEnd w:id="40"/>
      <w:bookmarkEnd w:id="41"/>
      <w:bookmarkEnd w:id="42"/>
      <w:bookmarkEnd w:id="43"/>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招标文件以中文编制，招标文件封面盖有“陕西中海招标有限公司”字样的圆形红章。投标人应仔细阅读招标文件中所有的事项、格式、条款和规范要求，在投标文件中对招标文件的各方面都做出实质性的响应，按照招标文件的要求提交全部资料。</w:t>
      </w:r>
    </w:p>
    <w:p>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招标文件的修改或澄清</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如果对招标文件进行必要的澄清或者修改，将在发布招标公告的财政部门指定媒体上发布更正公告，并以书面形式通知所有获取招标文件的单位，澄清或者修改的内容为招标文件的组成部分。澄清或者修改的内容可能影响投标文件编制的，不足十五日的，采购代理机构将顺延提交投标文件的截止时间。</w:t>
      </w:r>
    </w:p>
    <w:p>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招标文件的询问、质疑及答复</w:t>
      </w:r>
    </w:p>
    <w:p>
      <w:pPr>
        <w:pStyle w:val="20"/>
        <w:spacing w:before="0" w:beforeAutospacing="0" w:after="0" w:afterAutospacing="0"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sz w:val="24"/>
          <w:szCs w:val="24"/>
          <w:lang w:val="en-US" w:eastAsia="zh-CN"/>
        </w:rPr>
        <w:t xml:space="preserve">3.1 </w:t>
      </w:r>
      <w:r>
        <w:rPr>
          <w:rFonts w:hint="eastAsia" w:ascii="宋体" w:hAnsi="宋体" w:eastAsia="宋体" w:cs="宋体"/>
          <w:sz w:val="24"/>
          <w:szCs w:val="24"/>
        </w:rPr>
        <w:t>投标人认为</w:t>
      </w:r>
      <w:r>
        <w:rPr>
          <w:rFonts w:hint="eastAsia" w:ascii="宋体" w:hAnsi="宋体" w:eastAsia="宋体" w:cs="宋体"/>
          <w:sz w:val="24"/>
          <w:szCs w:val="24"/>
          <w:lang w:eastAsia="zh-CN"/>
        </w:rPr>
        <w:t>招标文件</w:t>
      </w:r>
      <w:r>
        <w:rPr>
          <w:rFonts w:hint="eastAsia" w:ascii="宋体" w:hAnsi="宋体" w:eastAsia="宋体" w:cs="宋体"/>
          <w:sz w:val="24"/>
          <w:szCs w:val="24"/>
        </w:rPr>
        <w:t>、采购过程、中标结果使自己的权益受到损害的，可以在知道或者应知其权益受到损害之日起七个工作日内，</w:t>
      </w:r>
      <w:r>
        <w:rPr>
          <w:rFonts w:hint="eastAsia" w:ascii="宋体" w:hAnsi="宋体" w:eastAsia="宋体" w:cs="宋体"/>
          <w:kern w:val="2"/>
          <w:sz w:val="24"/>
          <w:szCs w:val="24"/>
        </w:rPr>
        <w:t>以书面形式向采购代理机构提出</w:t>
      </w:r>
      <w:r>
        <w:rPr>
          <w:rFonts w:hint="eastAsia" w:ascii="宋体" w:hAnsi="宋体" w:eastAsia="宋体" w:cs="宋体"/>
          <w:kern w:val="2"/>
          <w:sz w:val="24"/>
          <w:szCs w:val="24"/>
          <w:lang w:eastAsia="zh-CN"/>
        </w:rPr>
        <w:t>。</w:t>
      </w:r>
    </w:p>
    <w:p>
      <w:pPr>
        <w:pStyle w:val="20"/>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sz w:val="24"/>
          <w:szCs w:val="24"/>
          <w:lang w:val="en-US" w:eastAsia="zh-CN"/>
        </w:rPr>
        <w:t xml:space="preserve">3.2 </w:t>
      </w:r>
      <w:r>
        <w:rPr>
          <w:rFonts w:hint="eastAsia" w:ascii="宋体" w:hAnsi="宋体" w:eastAsia="宋体" w:cs="宋体"/>
          <w:sz w:val="24"/>
          <w:szCs w:val="24"/>
          <w:lang w:eastAsia="zh-CN"/>
        </w:rPr>
        <w:t>投标人</w:t>
      </w:r>
      <w:r>
        <w:rPr>
          <w:rFonts w:hint="eastAsia" w:ascii="宋体" w:hAnsi="宋体" w:eastAsia="宋体" w:cs="宋体"/>
          <w:sz w:val="24"/>
          <w:szCs w:val="24"/>
        </w:rPr>
        <w:t>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 质疑函应当包括下列内容：</w:t>
      </w:r>
    </w:p>
    <w:p>
      <w:p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3.3.1 </w:t>
      </w:r>
      <w:r>
        <w:rPr>
          <w:rFonts w:hint="eastAsia" w:ascii="宋体" w:hAnsi="宋体" w:eastAsia="宋体" w:cs="宋体"/>
          <w:kern w:val="0"/>
          <w:sz w:val="24"/>
          <w:szCs w:val="24"/>
          <w:lang w:val="zh-CN" w:eastAsia="zh-CN" w:bidi="ar-SA"/>
        </w:rPr>
        <w:t>投标人</w:t>
      </w:r>
      <w:r>
        <w:rPr>
          <w:rFonts w:hint="eastAsia" w:ascii="宋体" w:hAnsi="宋体" w:eastAsia="宋体" w:cs="宋体"/>
          <w:kern w:val="0"/>
          <w:sz w:val="24"/>
          <w:szCs w:val="24"/>
          <w:lang w:val="en-US" w:eastAsia="zh-CN" w:bidi="ar-SA"/>
        </w:rPr>
        <w:t>的姓名或者名称、地址、邮编、联系人及联系电话；</w:t>
      </w:r>
    </w:p>
    <w:p>
      <w:p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3.3.2 质疑项目的名称、编号；</w:t>
      </w:r>
    </w:p>
    <w:p>
      <w:p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3.3.3 具体、明确的质疑事项和与质疑事项相关的请求；</w:t>
      </w:r>
    </w:p>
    <w:p>
      <w:p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3.3.4 事实依据；</w:t>
      </w:r>
    </w:p>
    <w:p>
      <w:p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3.3.5 必要的法律依据；</w:t>
      </w:r>
    </w:p>
    <w:p>
      <w:p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3.3.6 提出质疑的日期。 </w:t>
      </w:r>
    </w:p>
    <w:p>
      <w:pPr>
        <w:snapToGrid w:val="0"/>
        <w:spacing w:line="360" w:lineRule="auto"/>
        <w:ind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备注：</w:t>
      </w:r>
      <w:r>
        <w:rPr>
          <w:rFonts w:hint="eastAsia" w:ascii="宋体" w:hAnsi="宋体" w:eastAsia="宋体" w:cs="宋体"/>
          <w:b/>
          <w:bCs/>
          <w:kern w:val="0"/>
          <w:sz w:val="24"/>
          <w:szCs w:val="24"/>
          <w:lang w:val="zh-CN" w:eastAsia="zh-CN" w:bidi="ar-SA"/>
        </w:rPr>
        <w:t>投标人</w:t>
      </w:r>
      <w:r>
        <w:rPr>
          <w:rFonts w:hint="eastAsia" w:ascii="宋体" w:hAnsi="宋体" w:eastAsia="宋体" w:cs="宋体"/>
          <w:b/>
          <w:bCs/>
          <w:kern w:val="0"/>
          <w:sz w:val="24"/>
          <w:szCs w:val="24"/>
          <w:lang w:val="en-US" w:eastAsia="zh-CN" w:bidi="ar-SA"/>
        </w:rPr>
        <w:t>须在法定质疑期内提出质疑。</w:t>
      </w:r>
    </w:p>
    <w:p>
      <w:p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3.4质疑有以下情形之一的，采购代理机构不予受理：</w:t>
      </w:r>
    </w:p>
    <w:p>
      <w:pPr>
        <w:numPr>
          <w:ilvl w:val="0"/>
          <w:numId w:val="0"/>
        </w:num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3.4.1 未按规定程序和渠道提出质疑的；</w:t>
      </w:r>
    </w:p>
    <w:p>
      <w:pPr>
        <w:numPr>
          <w:ilvl w:val="0"/>
          <w:numId w:val="0"/>
        </w:num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3.4.2 超过法定质疑期限的； </w:t>
      </w:r>
    </w:p>
    <w:p>
      <w:pPr>
        <w:numPr>
          <w:ilvl w:val="0"/>
          <w:numId w:val="0"/>
        </w:num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3.4.3 书面质疑的形式和内容不符合上述要求的；</w:t>
      </w:r>
    </w:p>
    <w:p>
      <w:pPr>
        <w:numPr>
          <w:ilvl w:val="0"/>
          <w:numId w:val="0"/>
        </w:num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3.4.4 提出的质疑事项已经明确答复的； </w:t>
      </w:r>
    </w:p>
    <w:p>
      <w:pPr>
        <w:numPr>
          <w:ilvl w:val="0"/>
          <w:numId w:val="0"/>
        </w:numPr>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3.4.5 法律法规规定的其他不予受理的条件。</w:t>
      </w:r>
    </w:p>
    <w:p>
      <w:pPr>
        <w:pStyle w:val="2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kern w:val="2"/>
          <w:sz w:val="24"/>
          <w:szCs w:val="24"/>
        </w:rPr>
        <w:t>采购代理机构应当在收到质疑函后</w:t>
      </w:r>
      <w:r>
        <w:rPr>
          <w:rFonts w:hint="eastAsia" w:ascii="宋体" w:hAnsi="宋体" w:eastAsia="宋体" w:cs="宋体"/>
          <w:sz w:val="24"/>
          <w:szCs w:val="24"/>
        </w:rPr>
        <w:t>七个工作日内做出书面答复。答复内容同时通知与处理结果有关的投标人，但答复内容不得涉及投标人的商业秘密。</w:t>
      </w:r>
    </w:p>
    <w:p>
      <w:pPr>
        <w:autoSpaceDE w:val="0"/>
        <w:autoSpaceDN w:val="0"/>
        <w:adjustRightInd w:val="0"/>
        <w:spacing w:line="360" w:lineRule="auto"/>
        <w:ind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招标文件的获取</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必须从采购代理机构获取招标文件，投标人自行转让或复制招标文件视为无效。投标人应仔细阅读和检查招标文件的全部内容。如发现缺页或附件不全，应及时向采购代理机构提出，以便补齐。招标文件一经发售，一律不退，仅作为本次招标使用。</w:t>
      </w:r>
    </w:p>
    <w:p>
      <w:pPr>
        <w:autoSpaceDE w:val="0"/>
        <w:autoSpaceDN w:val="0"/>
        <w:adjustRightInd w:val="0"/>
        <w:spacing w:line="360" w:lineRule="auto"/>
        <w:ind w:firstLine="0" w:firstLineChars="0"/>
        <w:rPr>
          <w:rFonts w:hint="eastAsia" w:ascii="宋体" w:hAnsi="宋体" w:eastAsia="宋体" w:cs="宋体"/>
          <w:color w:val="auto"/>
          <w:sz w:val="24"/>
          <w:szCs w:val="24"/>
          <w:highlight w:val="none"/>
          <w:lang w:val="zh-CN"/>
        </w:rPr>
      </w:pPr>
      <w:bookmarkStart w:id="44" w:name="_Toc2987"/>
      <w:bookmarkStart w:id="45" w:name="_Toc27731"/>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、质疑接收部门：陕西中海招标有限公司</w:t>
      </w:r>
    </w:p>
    <w:p>
      <w:pPr>
        <w:autoSpaceDE w:val="0"/>
        <w:autoSpaceDN w:val="0"/>
        <w:adjustRightIn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zh-CN"/>
        </w:rPr>
        <w:t>接收人：</w:t>
      </w:r>
      <w:r>
        <w:rPr>
          <w:rFonts w:hint="eastAsia" w:ascii="宋体" w:hAnsi="宋体" w:cs="宋体"/>
          <w:color w:val="auto"/>
          <w:sz w:val="24"/>
          <w:szCs w:val="24"/>
          <w:highlight w:val="none"/>
          <w:lang w:val="zh-CN"/>
        </w:rPr>
        <w:t>高垚</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en-US" w:eastAsia="zh-CN"/>
        </w:rPr>
        <w:t>029-89351688-608</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lang w:val="en-US" w:eastAsia="zh-CN"/>
        </w:rPr>
        <w:t>陕西省西安市莲湖区西关正街英达大厦809室</w:t>
      </w:r>
    </w:p>
    <w:bookmarkEnd w:id="44"/>
    <w:bookmarkEnd w:id="45"/>
    <w:p>
      <w:pPr>
        <w:autoSpaceDE w:val="0"/>
        <w:autoSpaceDN w:val="0"/>
        <w:adjustRightInd w:val="0"/>
        <w:spacing w:line="360" w:lineRule="auto"/>
        <w:outlineLvl w:val="1"/>
        <w:rPr>
          <w:rFonts w:hint="eastAsia" w:ascii="宋体" w:hAnsi="宋体" w:eastAsia="宋体" w:cs="宋体"/>
          <w:b/>
          <w:bCs/>
          <w:color w:val="auto"/>
          <w:sz w:val="24"/>
          <w:szCs w:val="24"/>
          <w:highlight w:val="none"/>
        </w:rPr>
      </w:pPr>
      <w:bookmarkStart w:id="46" w:name="_Toc10292"/>
      <w:bookmarkStart w:id="47" w:name="_Toc848"/>
      <w:bookmarkStart w:id="48" w:name="_Toc6862"/>
      <w:bookmarkStart w:id="49" w:name="_Toc30555"/>
      <w:bookmarkStart w:id="50" w:name="_Toc17694"/>
      <w:bookmarkStart w:id="51" w:name="_Toc12358"/>
      <w:bookmarkStart w:id="52" w:name="_Toc21997"/>
      <w:r>
        <w:rPr>
          <w:rFonts w:hint="eastAsia" w:ascii="宋体" w:hAnsi="宋体" w:eastAsia="宋体" w:cs="宋体"/>
          <w:b/>
          <w:bCs/>
          <w:color w:val="auto"/>
          <w:sz w:val="24"/>
          <w:szCs w:val="24"/>
          <w:highlight w:val="none"/>
          <w:lang w:val="zh-CN"/>
        </w:rPr>
        <w:t>四、投标文件的编写原则和要求</w:t>
      </w:r>
      <w:bookmarkEnd w:id="46"/>
      <w:bookmarkEnd w:id="47"/>
      <w:bookmarkEnd w:id="48"/>
      <w:bookmarkEnd w:id="49"/>
      <w:bookmarkEnd w:id="50"/>
      <w:bookmarkEnd w:id="51"/>
      <w:bookmarkEnd w:id="52"/>
    </w:p>
    <w:p>
      <w:pPr>
        <w:autoSpaceDE w:val="0"/>
        <w:autoSpaceDN w:val="0"/>
        <w:adjustRightInd w:val="0"/>
        <w:spacing w:line="360" w:lineRule="auto"/>
        <w:outlineLvl w:val="2"/>
        <w:rPr>
          <w:rFonts w:hint="eastAsia" w:ascii="宋体" w:hAnsi="宋体" w:eastAsia="宋体" w:cs="宋体"/>
          <w:color w:val="auto"/>
          <w:sz w:val="24"/>
          <w:szCs w:val="24"/>
          <w:highlight w:val="none"/>
          <w:lang w:val="zh-CN"/>
        </w:rPr>
      </w:pPr>
      <w:bookmarkStart w:id="53" w:name="_Toc18370"/>
      <w:bookmarkStart w:id="54" w:name="_Toc17522"/>
      <w:bookmarkStart w:id="55" w:name="_Toc4486"/>
      <w:bookmarkStart w:id="56" w:name="_Toc24581"/>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、投标文件的编制：</w:t>
      </w:r>
      <w:bookmarkEnd w:id="53"/>
      <w:bookmarkEnd w:id="54"/>
      <w:bookmarkEnd w:id="55"/>
      <w:bookmarkEnd w:id="56"/>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.1 投标文件语言：</w:t>
      </w:r>
      <w:r>
        <w:rPr>
          <w:rFonts w:hint="eastAsia" w:ascii="宋体" w:hAnsi="宋体" w:eastAsia="宋体" w:cs="宋体"/>
          <w:color w:val="auto"/>
          <w:sz w:val="24"/>
          <w:szCs w:val="24"/>
          <w:highlight w:val="none"/>
        </w:rPr>
        <w:t>中文。</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中如附有外文资料，必须逐一对应翻译成中文，并加盖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公章，否则</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将作为无效文件处理。</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.2 投标货币：</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.3 计量单位：招标文件已有明确规定的，使用招标文件规定的计量单位；招标文件没有规定的，应采用中华人民共和国法定计量单位(国际单位制和国家选定的其他计量单位)。</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.4 投标文件载体形式：纸质文件及招标文件规定的电子文档形式。</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.5 招标文件中所规定的签字及盖章内容，不得以复印或打印的方式响应。</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.6 投标人应对投标文件中所有资料的真实性、准确性和完整性负责。</w:t>
      </w:r>
    </w:p>
    <w:p>
      <w:pPr>
        <w:autoSpaceDE w:val="0"/>
        <w:autoSpaceDN w:val="0"/>
        <w:adjustRightInd w:val="0"/>
        <w:spacing w:line="360" w:lineRule="auto"/>
        <w:outlineLvl w:val="2"/>
        <w:rPr>
          <w:rFonts w:hint="eastAsia" w:ascii="宋体" w:hAnsi="宋体" w:eastAsia="宋体" w:cs="宋体"/>
          <w:color w:val="auto"/>
          <w:sz w:val="24"/>
          <w:szCs w:val="24"/>
          <w:highlight w:val="none"/>
        </w:rPr>
      </w:pPr>
      <w:bookmarkStart w:id="57" w:name="_Toc6982"/>
      <w:bookmarkStart w:id="58" w:name="_Toc25371"/>
      <w:bookmarkStart w:id="59" w:name="_Toc28519"/>
      <w:bookmarkStart w:id="60" w:name="_Toc357"/>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w:t>
      </w:r>
      <w:bookmarkEnd w:id="57"/>
      <w:bookmarkEnd w:id="58"/>
      <w:bookmarkEnd w:id="59"/>
      <w:bookmarkEnd w:id="60"/>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eastAsia="zh-CN"/>
        </w:rPr>
        <w:t>投标人应在充分了解本项目总体情况及风险的前提下，按照招标</w:t>
      </w:r>
      <w:r>
        <w:rPr>
          <w:rFonts w:hint="eastAsia" w:ascii="宋体" w:hAnsi="宋体" w:eastAsia="宋体" w:cs="宋体"/>
          <w:color w:val="auto"/>
          <w:sz w:val="24"/>
          <w:szCs w:val="24"/>
          <w:highlight w:val="none"/>
          <w:lang w:val="zh-CN" w:eastAsia="zh-CN"/>
        </w:rPr>
        <w:t>文件要求填写投标报价</w:t>
      </w:r>
      <w:r>
        <w:rPr>
          <w:rFonts w:hint="eastAsia" w:ascii="宋体" w:hAnsi="宋体" w:eastAsia="宋体" w:cs="宋体"/>
          <w:color w:val="auto"/>
          <w:sz w:val="24"/>
          <w:szCs w:val="24"/>
          <w:highlight w:val="none"/>
          <w:lang w:val="en-US" w:eastAsia="zh-CN"/>
        </w:rPr>
        <w:t>。</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lang w:val="zh-CN" w:eastAsia="zh-CN"/>
        </w:rPr>
        <w:t>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报价应包含本项目所需的一切费用。</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要求在“</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函”及“</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”中填写</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报价，大小写不一致以大写为准，出现选择性的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报价按无效文件处理。</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凡因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阅读不深、理解不透、误解、疏漏或因市场行情了解不清造成的后果和风险均由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自负。</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报价超出报价要求的投标人不进入下一步投标程序。</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lang w:val="en-US" w:eastAsia="zh-CN"/>
        </w:rPr>
        <w:t>最低报价</w:t>
      </w:r>
      <w:r>
        <w:rPr>
          <w:rFonts w:hint="eastAsia" w:ascii="宋体" w:hAnsi="宋体" w:eastAsia="宋体" w:cs="宋体"/>
          <w:color w:val="auto"/>
          <w:sz w:val="24"/>
          <w:szCs w:val="24"/>
          <w:highlight w:val="none"/>
          <w:lang w:val="zh-CN"/>
        </w:rPr>
        <w:t>不是中标的唯一依据，投标过程中所产生的一切费用由投标人自行承担。</w:t>
      </w:r>
    </w:p>
    <w:p>
      <w:pPr>
        <w:autoSpaceDE w:val="0"/>
        <w:autoSpaceDN w:val="0"/>
        <w:adjustRightInd w:val="0"/>
        <w:snapToGrid w:val="0"/>
        <w:spacing w:line="360" w:lineRule="auto"/>
        <w:outlineLvl w:val="2"/>
        <w:rPr>
          <w:rFonts w:hint="eastAsia" w:ascii="宋体" w:hAnsi="宋体" w:eastAsia="宋体" w:cs="宋体"/>
          <w:color w:val="auto"/>
          <w:sz w:val="24"/>
          <w:szCs w:val="24"/>
          <w:highlight w:val="none"/>
          <w:lang w:val="en-US" w:eastAsia="zh-CN"/>
        </w:rPr>
      </w:pPr>
      <w:bookmarkStart w:id="61" w:name="_Toc12732"/>
      <w:bookmarkStart w:id="62" w:name="_Toc14799"/>
      <w:bookmarkStart w:id="63" w:name="_Toc31562"/>
      <w:bookmarkStart w:id="64" w:name="_Toc26947"/>
      <w:r>
        <w:rPr>
          <w:rFonts w:hint="eastAsia" w:ascii="宋体" w:hAnsi="宋体" w:eastAsia="宋体" w:cs="宋体"/>
          <w:color w:val="auto"/>
          <w:sz w:val="24"/>
          <w:szCs w:val="24"/>
          <w:highlight w:val="none"/>
          <w:lang w:val="en-US" w:eastAsia="zh-CN"/>
        </w:rPr>
        <w:t>3、投标保证金：</w:t>
      </w:r>
      <w:bookmarkEnd w:id="61"/>
      <w:bookmarkEnd w:id="62"/>
      <w:bookmarkEnd w:id="63"/>
      <w:bookmarkEnd w:id="64"/>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下列情况发生，保证金将不予退还：</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开标后在招标文件规定的投标有效期间，投标人撤回</w:t>
      </w:r>
      <w:r>
        <w:rPr>
          <w:rFonts w:hint="eastAsia" w:ascii="宋体" w:hAnsi="宋体" w:eastAsia="宋体" w:cs="宋体"/>
          <w:sz w:val="24"/>
          <w:szCs w:val="24"/>
          <w:lang w:eastAsia="zh-CN"/>
        </w:rPr>
        <w:t>或修改</w:t>
      </w:r>
      <w:r>
        <w:rPr>
          <w:rFonts w:hint="eastAsia" w:ascii="宋体" w:hAnsi="宋体" w:eastAsia="宋体" w:cs="宋体"/>
          <w:sz w:val="24"/>
          <w:szCs w:val="24"/>
        </w:rPr>
        <w:t>其所投投标文件的</w:t>
      </w:r>
      <w:r>
        <w:rPr>
          <w:rFonts w:hint="eastAsia" w:ascii="宋体" w:hAnsi="宋体" w:eastAsia="宋体" w:cs="宋体"/>
          <w:color w:val="auto"/>
          <w:sz w:val="24"/>
          <w:szCs w:val="24"/>
          <w:highlight w:val="none"/>
        </w:rPr>
        <w:t xml:space="preserve">； </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.2 </w:t>
      </w:r>
      <w:r>
        <w:rPr>
          <w:rFonts w:hint="eastAsia" w:ascii="宋体" w:hAnsi="宋体" w:eastAsia="宋体" w:cs="宋体"/>
          <w:sz w:val="24"/>
          <w:szCs w:val="24"/>
          <w:lang w:eastAsia="zh-CN"/>
        </w:rPr>
        <w:t>中标</w:t>
      </w:r>
      <w:r>
        <w:rPr>
          <w:rFonts w:hint="eastAsia" w:ascii="宋体" w:hAnsi="宋体" w:cs="宋体"/>
          <w:sz w:val="24"/>
          <w:szCs w:val="24"/>
          <w:lang w:eastAsia="zh-CN"/>
        </w:rPr>
        <w:t>投标人</w:t>
      </w:r>
      <w:r>
        <w:rPr>
          <w:rFonts w:hint="eastAsia" w:ascii="宋体" w:hAnsi="宋体" w:eastAsia="宋体" w:cs="宋体"/>
          <w:sz w:val="24"/>
          <w:szCs w:val="24"/>
        </w:rPr>
        <w:t>无正当理由不与采购人签订合同的</w:t>
      </w:r>
      <w:r>
        <w:rPr>
          <w:rFonts w:hint="eastAsia" w:ascii="宋体" w:hAnsi="宋体" w:eastAsia="宋体" w:cs="宋体"/>
          <w:color w:val="auto"/>
          <w:sz w:val="24"/>
          <w:szCs w:val="24"/>
          <w:highlight w:val="none"/>
        </w:rPr>
        <w:t>；</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.3 </w:t>
      </w:r>
      <w:r>
        <w:rPr>
          <w:rFonts w:hint="eastAsia" w:ascii="宋体" w:hAnsi="宋体" w:eastAsia="宋体" w:cs="宋体"/>
          <w:sz w:val="24"/>
          <w:szCs w:val="24"/>
          <w:lang w:eastAsia="zh-CN"/>
        </w:rPr>
        <w:t>中标</w:t>
      </w:r>
      <w:r>
        <w:rPr>
          <w:rFonts w:hint="eastAsia" w:ascii="宋体" w:hAnsi="宋体" w:cs="宋体"/>
          <w:sz w:val="24"/>
          <w:szCs w:val="24"/>
          <w:lang w:eastAsia="zh-CN"/>
        </w:rPr>
        <w:t>投标人</w:t>
      </w:r>
      <w:r>
        <w:rPr>
          <w:rFonts w:hint="eastAsia" w:ascii="宋体" w:hAnsi="宋体" w:eastAsia="宋体" w:cs="宋体"/>
          <w:sz w:val="24"/>
          <w:szCs w:val="24"/>
        </w:rPr>
        <w:t>将中标项目转让给他人，或者在投标文件中未说明，且未经采购人同意</w:t>
      </w:r>
      <w:r>
        <w:rPr>
          <w:rFonts w:hint="eastAsia" w:ascii="宋体" w:hAnsi="宋体" w:eastAsia="宋体" w:cs="宋体"/>
          <w:color w:val="auto"/>
          <w:sz w:val="24"/>
          <w:szCs w:val="24"/>
          <w:highlight w:val="none"/>
        </w:rPr>
        <w:t xml:space="preserve">，将中标项目分包给他人的； </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拒绝履行合同义务的</w:t>
      </w:r>
      <w:r>
        <w:rPr>
          <w:rFonts w:hint="eastAsia" w:ascii="宋体" w:hAnsi="宋体" w:eastAsia="宋体" w:cs="宋体"/>
          <w:color w:val="auto"/>
          <w:sz w:val="24"/>
          <w:szCs w:val="24"/>
          <w:highlight w:val="none"/>
          <w:lang w:eastAsia="zh-CN"/>
        </w:rPr>
        <w:t>；</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3.1.5 </w:t>
      </w:r>
      <w:r>
        <w:rPr>
          <w:rFonts w:hint="eastAsia" w:ascii="宋体" w:hAnsi="宋体" w:eastAsia="宋体" w:cs="宋体"/>
          <w:color w:val="auto"/>
          <w:sz w:val="24"/>
          <w:szCs w:val="24"/>
          <w:highlight w:val="none"/>
          <w:lang w:eastAsia="zh-CN"/>
        </w:rPr>
        <w:t>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未按时缴付</w:t>
      </w:r>
      <w:r>
        <w:rPr>
          <w:rFonts w:hint="eastAsia" w:ascii="宋体" w:hAnsi="宋体" w:eastAsia="宋体" w:cs="宋体"/>
          <w:color w:val="auto"/>
          <w:sz w:val="24"/>
          <w:szCs w:val="24"/>
          <w:highlight w:val="none"/>
          <w:lang w:eastAsia="zh-CN"/>
        </w:rPr>
        <w:t>招标代理服务费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3.1.6 </w:t>
      </w:r>
      <w:r>
        <w:rPr>
          <w:rFonts w:hint="eastAsia" w:ascii="宋体" w:hAnsi="宋体" w:eastAsia="宋体" w:cs="宋体"/>
          <w:color w:val="auto"/>
          <w:sz w:val="24"/>
          <w:szCs w:val="24"/>
          <w:highlight w:val="none"/>
        </w:rPr>
        <w:t>由于</w:t>
      </w:r>
      <w:r>
        <w:rPr>
          <w:rFonts w:hint="eastAsia" w:ascii="宋体" w:hAnsi="宋体" w:eastAsia="宋体" w:cs="宋体"/>
          <w:color w:val="auto"/>
          <w:sz w:val="24"/>
          <w:szCs w:val="24"/>
          <w:highlight w:val="none"/>
          <w:lang w:eastAsia="zh-CN"/>
        </w:rPr>
        <w:t>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的原因导致中标无效的</w:t>
      </w:r>
      <w:r>
        <w:rPr>
          <w:rFonts w:hint="eastAsia" w:ascii="宋体" w:hAnsi="宋体" w:eastAsia="宋体" w:cs="宋体"/>
          <w:color w:val="auto"/>
          <w:sz w:val="24"/>
          <w:szCs w:val="24"/>
          <w:highlight w:val="none"/>
          <w:lang w:eastAsia="zh-CN"/>
        </w:rPr>
        <w:t>。</w:t>
      </w:r>
    </w:p>
    <w:p>
      <w:pPr>
        <w:autoSpaceDE w:val="0"/>
        <w:autoSpaceDN w:val="0"/>
        <w:adjustRightInd w:val="0"/>
        <w:spacing w:line="360" w:lineRule="auto"/>
        <w:outlineLvl w:val="2"/>
        <w:rPr>
          <w:rFonts w:hint="eastAsia" w:ascii="宋体" w:hAnsi="宋体" w:eastAsia="宋体" w:cs="宋体"/>
          <w:color w:val="auto"/>
          <w:sz w:val="24"/>
          <w:szCs w:val="24"/>
          <w:highlight w:val="none"/>
        </w:rPr>
      </w:pPr>
      <w:bookmarkStart w:id="65" w:name="_Toc5474"/>
      <w:bookmarkStart w:id="66" w:name="_Toc4359"/>
      <w:bookmarkStart w:id="67" w:name="_Toc14383"/>
      <w:bookmarkStart w:id="68" w:name="_Toc27870"/>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的格式和签署</w:t>
      </w:r>
      <w:bookmarkEnd w:id="65"/>
      <w:bookmarkEnd w:id="66"/>
      <w:bookmarkEnd w:id="67"/>
      <w:bookmarkEnd w:id="68"/>
    </w:p>
    <w:p>
      <w:pPr>
        <w:numPr>
          <w:ilvl w:val="0"/>
          <w:numId w:val="0"/>
        </w:numPr>
        <w:autoSpaceDE w:val="0"/>
        <w:autoSpaceDN w:val="0"/>
        <w:adjustRightInd w:val="0"/>
        <w:spacing w:line="360" w:lineRule="auto"/>
        <w:ind w:firstLine="480" w:firstLineChars="200"/>
        <w:rPr>
          <w:rFonts w:hint="eastAsia" w:ascii="宋体" w:hAnsi="宋体" w:eastAsia="宋体" w:cs="宋体"/>
          <w:color w:val="auto"/>
          <w:sz w:val="24"/>
          <w:szCs w:val="24"/>
          <w:highlight w:val="green"/>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格式部分的要求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以投标人须知前附表为准</w:t>
      </w:r>
      <w:r>
        <w:rPr>
          <w:rFonts w:hint="eastAsia" w:ascii="宋体" w:hAnsi="宋体" w:eastAsia="宋体" w:cs="宋体"/>
          <w:color w:val="auto"/>
          <w:sz w:val="24"/>
          <w:szCs w:val="24"/>
          <w:highlight w:val="none"/>
          <w:lang w:eastAsia="zh-CN"/>
        </w:rPr>
        <w:t>）。</w:t>
      </w:r>
    </w:p>
    <w:p>
      <w:pPr>
        <w:numPr>
          <w:ilvl w:val="0"/>
          <w:numId w:val="0"/>
        </w:num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应各自胶装成册，封面应注明“正本”、“副本”字样，正本与副本如有不一致之处，以正本为准。</w:t>
      </w:r>
    </w:p>
    <w:p>
      <w:pPr>
        <w:numPr>
          <w:ilvl w:val="0"/>
          <w:numId w:val="0"/>
        </w:num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的正本和所有的副本均须打印，或用不褪色蓝（黑）墨水（汁）书写，</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副本(非签字盖章内容)可采用正本的复印件。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在每一页的正下方应注明“第几页、共几页”字样</w:t>
      </w:r>
      <w:r>
        <w:rPr>
          <w:rFonts w:hint="eastAsia" w:ascii="宋体" w:hAnsi="宋体" w:eastAsia="宋体" w:cs="宋体"/>
          <w:color w:val="auto"/>
          <w:sz w:val="24"/>
          <w:szCs w:val="24"/>
          <w:highlight w:val="none"/>
          <w:lang w:val="en-US" w:eastAsia="zh-CN"/>
        </w:rPr>
        <w:t>,并编制详细目录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为节约纸张，投标文件建议采用A4纸张双面打印。投标文件应牢固胶状成册，不可插页抽页。</w:t>
      </w:r>
      <w:r>
        <w:rPr>
          <w:rFonts w:hint="eastAsia" w:ascii="宋体" w:hAnsi="宋体" w:eastAsia="宋体" w:cs="宋体"/>
          <w:color w:val="auto"/>
          <w:sz w:val="24"/>
          <w:szCs w:val="24"/>
          <w:highlight w:val="none"/>
        </w:rPr>
        <w:t>因图文不清、表达不准或不按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的要求编制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，按无效文件处理。</w:t>
      </w:r>
    </w:p>
    <w:p>
      <w:pPr>
        <w:numPr>
          <w:ilvl w:val="0"/>
          <w:numId w:val="0"/>
        </w:num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封皮必须加盖单位公章。</w:t>
      </w:r>
    </w:p>
    <w:p>
      <w:pPr>
        <w:numPr>
          <w:ilvl w:val="0"/>
          <w:numId w:val="0"/>
        </w:num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中的</w:t>
      </w:r>
      <w:r>
        <w:rPr>
          <w:rFonts w:hint="eastAsia" w:ascii="宋体" w:hAnsi="宋体" w:eastAsia="宋体" w:cs="宋体"/>
          <w:color w:val="auto"/>
          <w:sz w:val="24"/>
          <w:szCs w:val="24"/>
          <w:highlight w:val="none"/>
          <w:lang w:eastAsia="zh-CN"/>
        </w:rPr>
        <w:t>要求固定格式的</w:t>
      </w:r>
      <w:r>
        <w:rPr>
          <w:rFonts w:hint="eastAsia" w:ascii="宋体" w:hAnsi="宋体" w:eastAsia="宋体" w:cs="宋体"/>
          <w:color w:val="auto"/>
          <w:sz w:val="24"/>
          <w:szCs w:val="24"/>
          <w:highlight w:val="none"/>
        </w:rPr>
        <w:t>必须按照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固定格式编制，对于没有要求固定格式的部分，由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自行组织编写。</w:t>
      </w:r>
    </w:p>
    <w:p>
      <w:pPr>
        <w:numPr>
          <w:ilvl w:val="0"/>
          <w:numId w:val="0"/>
        </w:num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不得行间插字、涂改和增删。</w:t>
      </w:r>
    </w:p>
    <w:p>
      <w:pPr>
        <w:numPr>
          <w:ilvl w:val="0"/>
          <w:numId w:val="0"/>
        </w:numPr>
        <w:autoSpaceDE w:val="0"/>
        <w:autoSpaceDN w:val="0"/>
        <w:adjustRightInd w:val="0"/>
        <w:spacing w:line="360" w:lineRule="auto"/>
        <w:outlineLvl w:val="2"/>
        <w:rPr>
          <w:rFonts w:hint="eastAsia" w:ascii="宋体" w:hAnsi="宋体" w:eastAsia="宋体" w:cs="宋体"/>
          <w:color w:val="auto"/>
          <w:sz w:val="24"/>
          <w:szCs w:val="24"/>
          <w:highlight w:val="none"/>
        </w:rPr>
      </w:pPr>
      <w:bookmarkStart w:id="69" w:name="_Toc10026"/>
      <w:bookmarkStart w:id="70" w:name="_Toc2911"/>
      <w:bookmarkStart w:id="71" w:name="_Toc81"/>
      <w:bookmarkStart w:id="72" w:name="_Toc4827"/>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的密封</w:t>
      </w:r>
      <w:bookmarkEnd w:id="69"/>
      <w:bookmarkEnd w:id="70"/>
      <w:bookmarkEnd w:id="71"/>
      <w:bookmarkEnd w:id="72"/>
    </w:p>
    <w:p>
      <w:pPr>
        <w:autoSpaceDE w:val="0"/>
        <w:autoSpaceDN w:val="0"/>
        <w:adjustRightInd w:val="0"/>
        <w:spacing w:line="360" w:lineRule="auto"/>
        <w:ind w:firstLine="480" w:firstLineChars="200"/>
        <w:rPr>
          <w:rFonts w:ascii="宋体" w:hAnsi="宋体" w:cs="宋体"/>
          <w:sz w:val="24"/>
          <w:szCs w:val="24"/>
          <w:highlight w:val="yellow"/>
        </w:rPr>
      </w:pPr>
      <w:bookmarkStart w:id="73" w:name="_Toc25722"/>
      <w:bookmarkStart w:id="74" w:name="_Toc16351"/>
      <w:r>
        <w:rPr>
          <w:rFonts w:hint="eastAsia" w:ascii="宋体" w:hAnsi="宋体" w:cs="宋体"/>
          <w:sz w:val="24"/>
          <w:szCs w:val="24"/>
          <w:lang w:val="en-US" w:eastAsia="zh-CN"/>
        </w:rPr>
        <w:t>5.1</w:t>
      </w:r>
      <w:r>
        <w:rPr>
          <w:rFonts w:hint="eastAsia" w:ascii="宋体" w:hAnsi="宋体" w:cs="宋体"/>
          <w:sz w:val="24"/>
          <w:szCs w:val="24"/>
        </w:rPr>
        <w:t>、投标文件的正本、副本、电子版、报价一览表应单独密封，且在信封上注明“正本”“副本”“电子版”“报价一览表”字样。</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5.2</w:t>
      </w:r>
      <w:r>
        <w:rPr>
          <w:rFonts w:hint="eastAsia" w:ascii="宋体" w:hAnsi="宋体" w:cs="宋体"/>
          <w:sz w:val="24"/>
          <w:szCs w:val="24"/>
        </w:rPr>
        <w:t>、电子版存储设备正面需注明项目编号、</w:t>
      </w:r>
      <w:r>
        <w:rPr>
          <w:rFonts w:hint="eastAsia" w:ascii="宋体" w:hAnsi="宋体" w:cs="宋体"/>
          <w:sz w:val="24"/>
          <w:szCs w:val="24"/>
          <w:lang w:eastAsia="zh-CN"/>
        </w:rPr>
        <w:t>投标人</w:t>
      </w:r>
      <w:r>
        <w:rPr>
          <w:rFonts w:hint="eastAsia" w:ascii="宋体" w:hAnsi="宋体" w:cs="宋体"/>
          <w:sz w:val="24"/>
          <w:szCs w:val="24"/>
        </w:rPr>
        <w:t>名称。</w:t>
      </w:r>
    </w:p>
    <w:p>
      <w:pPr>
        <w:numPr>
          <w:ilvl w:val="0"/>
          <w:numId w:val="0"/>
        </w:num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5.</w:t>
      </w:r>
      <w:r>
        <w:rPr>
          <w:rFonts w:hint="eastAsia" w:ascii="宋体" w:hAnsi="宋体" w:cs="宋体"/>
          <w:sz w:val="24"/>
          <w:szCs w:val="24"/>
        </w:rPr>
        <w:t>3、在规定的提交投标文件截止时间前，投标文件须派人当面递交，未按要求密封的采购代理机构可拒绝接收。</w:t>
      </w:r>
      <w:r>
        <w:rPr>
          <w:rFonts w:hint="eastAsia" w:ascii="宋体" w:hAnsi="宋体" w:eastAsia="宋体" w:cs="宋体"/>
          <w:color w:val="auto"/>
          <w:sz w:val="24"/>
          <w:szCs w:val="24"/>
          <w:highlight w:val="none"/>
          <w:lang w:val="en-US" w:eastAsia="zh-CN"/>
        </w:rPr>
        <w:t>。</w:t>
      </w:r>
    </w:p>
    <w:p>
      <w:pPr>
        <w:pStyle w:val="11"/>
        <w:ind w:firstLine="480" w:firstLineChars="200"/>
        <w:rPr>
          <w:rFonts w:hint="default" w:eastAsia="宋体"/>
          <w:lang w:val="en-US" w:eastAsia="zh-CN"/>
        </w:rPr>
      </w:pPr>
      <w:r>
        <w:rPr>
          <w:rFonts w:hint="eastAsia" w:ascii="宋体" w:hAnsi="宋体" w:cs="宋体"/>
          <w:sz w:val="24"/>
          <w:szCs w:val="24"/>
          <w:lang w:val="en-US" w:eastAsia="zh-CN"/>
        </w:rPr>
        <w:t>5.4</w:t>
      </w:r>
      <w:r>
        <w:rPr>
          <w:rFonts w:hint="eastAsia" w:ascii="宋体" w:hAnsi="宋体" w:cs="宋体"/>
          <w:sz w:val="24"/>
          <w:szCs w:val="24"/>
        </w:rPr>
        <w:t>其他要求以投标人须知前附表为准。</w:t>
      </w:r>
    </w:p>
    <w:p>
      <w:pPr>
        <w:numPr>
          <w:ilvl w:val="0"/>
          <w:numId w:val="0"/>
        </w:numPr>
        <w:autoSpaceDE w:val="0"/>
        <w:autoSpaceDN w:val="0"/>
        <w:adjustRightInd w:val="0"/>
        <w:spacing w:line="360" w:lineRule="auto"/>
        <w:outlineLvl w:val="1"/>
        <w:rPr>
          <w:rFonts w:hint="eastAsia" w:ascii="宋体" w:hAnsi="宋体" w:eastAsia="宋体" w:cs="宋体"/>
          <w:b/>
          <w:color w:val="auto"/>
          <w:sz w:val="24"/>
          <w:szCs w:val="24"/>
          <w:highlight w:val="none"/>
          <w:lang w:eastAsia="zh-CN"/>
        </w:rPr>
      </w:pPr>
      <w:bookmarkStart w:id="75" w:name="_Toc32463"/>
      <w:bookmarkStart w:id="76" w:name="_Toc21028"/>
      <w:bookmarkStart w:id="77" w:name="_Toc10025"/>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w:t>
      </w:r>
      <w:bookmarkEnd w:id="73"/>
      <w:r>
        <w:rPr>
          <w:rFonts w:hint="eastAsia" w:ascii="宋体" w:hAnsi="宋体" w:eastAsia="宋体" w:cs="宋体"/>
          <w:b/>
          <w:color w:val="auto"/>
          <w:sz w:val="24"/>
          <w:szCs w:val="24"/>
          <w:highlight w:val="none"/>
          <w:lang w:eastAsia="zh-CN"/>
        </w:rPr>
        <w:t>投标</w:t>
      </w:r>
      <w:bookmarkEnd w:id="74"/>
      <w:bookmarkEnd w:id="75"/>
      <w:bookmarkEnd w:id="76"/>
      <w:bookmarkEnd w:id="77"/>
    </w:p>
    <w:p>
      <w:pPr>
        <w:numPr>
          <w:ilvl w:val="0"/>
          <w:numId w:val="0"/>
        </w:num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的递交</w:t>
      </w:r>
    </w:p>
    <w:p>
      <w:pPr>
        <w:numPr>
          <w:ilvl w:val="0"/>
          <w:numId w:val="0"/>
        </w:num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要求，在</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截止时间前将密封好的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送达</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地点，并按照现场工作人员的组织安排办理递交手续。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应保持良好秩序，不得干扰采购程序的正常进行。</w:t>
      </w:r>
    </w:p>
    <w:p>
      <w:pPr>
        <w:numPr>
          <w:ilvl w:val="0"/>
          <w:numId w:val="0"/>
        </w:num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要求，在</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截止时间后送达的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，将被拒绝接收。</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截止时间前，只负责</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的接收和登记工作，对其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的有效性不负任何责任。</w:t>
      </w:r>
    </w:p>
    <w:p>
      <w:pPr>
        <w:numPr>
          <w:ilvl w:val="0"/>
          <w:numId w:val="0"/>
        </w:num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递交后，在</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截止时间前，经</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同意后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可以撤回其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进行修改和撤回。</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kern w:val="2"/>
          <w:sz w:val="24"/>
          <w:szCs w:val="24"/>
          <w:highlight w:val="none"/>
          <w:lang w:val="zh-CN" w:eastAsia="zh-CN" w:bidi="ar-SA"/>
        </w:rPr>
        <w:t>投标人提交投标文件时，出现下列情况之一的，其投标文件将被拒绝接收：</w:t>
      </w:r>
    </w:p>
    <w:p>
      <w:pPr>
        <w:tabs>
          <w:tab w:val="left" w:pos="9030"/>
        </w:tabs>
        <w:snapToGrid w:val="0"/>
        <w:spacing w:line="360" w:lineRule="auto"/>
        <w:ind w:right="-65"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w:t>
      </w:r>
      <w:r>
        <w:rPr>
          <w:rFonts w:hint="eastAsia" w:ascii="宋体" w:hAnsi="宋体" w:eastAsia="宋体" w:cs="宋体"/>
          <w:color w:val="auto"/>
          <w:kern w:val="2"/>
          <w:sz w:val="24"/>
          <w:szCs w:val="24"/>
          <w:highlight w:val="none"/>
          <w:lang w:val="en-US" w:eastAsia="zh-CN" w:bidi="ar-SA"/>
        </w:rPr>
        <w:t xml:space="preserve">4.1 </w:t>
      </w:r>
      <w:r>
        <w:rPr>
          <w:rFonts w:hint="eastAsia" w:ascii="宋体" w:hAnsi="宋体" w:eastAsia="宋体" w:cs="宋体"/>
          <w:color w:val="auto"/>
          <w:kern w:val="2"/>
          <w:sz w:val="24"/>
          <w:szCs w:val="24"/>
          <w:highlight w:val="none"/>
          <w:lang w:val="zh-CN" w:eastAsia="zh-CN" w:bidi="ar-SA"/>
        </w:rPr>
        <w:t>逾期送达的；</w:t>
      </w:r>
    </w:p>
    <w:p>
      <w:pPr>
        <w:tabs>
          <w:tab w:val="left" w:pos="9030"/>
        </w:tabs>
        <w:snapToGrid w:val="0"/>
        <w:spacing w:line="360" w:lineRule="auto"/>
        <w:ind w:right="-65"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zh-CN" w:eastAsia="zh-CN" w:bidi="ar-SA"/>
        </w:rPr>
        <w:t>2</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zh-CN" w:eastAsia="zh-CN" w:bidi="ar-SA"/>
        </w:rPr>
        <w:t>未按照招标文件要求密封或加写标记的；</w:t>
      </w:r>
    </w:p>
    <w:p>
      <w:pPr>
        <w:tabs>
          <w:tab w:val="left" w:pos="9030"/>
        </w:tabs>
        <w:snapToGrid w:val="0"/>
        <w:spacing w:line="360" w:lineRule="auto"/>
        <w:ind w:right="-65"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 xml:space="preserve">1.4.3 </w:t>
      </w:r>
      <w:r>
        <w:rPr>
          <w:rFonts w:hint="eastAsia" w:ascii="宋体" w:hAnsi="宋体" w:eastAsia="宋体" w:cs="宋体"/>
          <w:color w:val="auto"/>
          <w:kern w:val="2"/>
          <w:sz w:val="24"/>
          <w:szCs w:val="24"/>
          <w:highlight w:val="none"/>
          <w:lang w:val="zh-CN" w:eastAsia="zh-CN" w:bidi="ar-SA"/>
        </w:rPr>
        <w:t>提交的投标文件与本项目不相符的；</w:t>
      </w:r>
    </w:p>
    <w:p>
      <w:pPr>
        <w:tabs>
          <w:tab w:val="left" w:pos="9030"/>
        </w:tabs>
        <w:snapToGrid w:val="0"/>
        <w:spacing w:line="360" w:lineRule="auto"/>
        <w:ind w:right="-65"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 xml:space="preserve">1.4.4 </w:t>
      </w:r>
      <w:r>
        <w:rPr>
          <w:rFonts w:hint="eastAsia" w:ascii="宋体" w:hAnsi="宋体" w:eastAsia="宋体" w:cs="宋体"/>
          <w:color w:val="auto"/>
          <w:kern w:val="2"/>
          <w:sz w:val="24"/>
          <w:szCs w:val="24"/>
          <w:highlight w:val="none"/>
          <w:lang w:val="zh-CN" w:eastAsia="zh-CN" w:bidi="ar-SA"/>
        </w:rPr>
        <w:t>投标人名称与获取招标文件时填写的文件获取登记表中名称不相符的。</w:t>
      </w:r>
    </w:p>
    <w:p>
      <w:pPr>
        <w:autoSpaceDE w:val="0"/>
        <w:autoSpaceDN w:val="0"/>
        <w:adjustRightInd w:val="0"/>
        <w:spacing w:line="360" w:lineRule="auto"/>
        <w:outlineLvl w:val="1"/>
        <w:rPr>
          <w:rFonts w:hint="eastAsia" w:ascii="宋体" w:hAnsi="宋体" w:eastAsia="宋体" w:cs="宋体"/>
          <w:b/>
          <w:color w:val="auto"/>
          <w:sz w:val="24"/>
          <w:szCs w:val="24"/>
          <w:highlight w:val="none"/>
          <w:lang w:eastAsia="zh-CN"/>
        </w:rPr>
      </w:pPr>
      <w:bookmarkStart w:id="78" w:name="_Toc23727"/>
      <w:bookmarkStart w:id="79" w:name="_Toc25353"/>
      <w:bookmarkStart w:id="80" w:name="_Toc30067"/>
      <w:bookmarkStart w:id="81" w:name="_Toc23973"/>
      <w:bookmarkStart w:id="82" w:name="_Toc19809"/>
      <w:bookmarkStart w:id="83" w:name="_Toc22705"/>
      <w:r>
        <w:rPr>
          <w:rFonts w:hint="eastAsia" w:ascii="宋体" w:hAnsi="宋体" w:eastAsia="宋体" w:cs="宋体"/>
          <w:b/>
          <w:color w:val="auto"/>
          <w:sz w:val="24"/>
          <w:szCs w:val="24"/>
          <w:highlight w:val="none"/>
          <w:lang w:eastAsia="zh-CN"/>
        </w:rPr>
        <w:t>六、无效标、</w:t>
      </w:r>
      <w:r>
        <w:rPr>
          <w:rFonts w:hint="eastAsia" w:ascii="宋体" w:hAnsi="宋体" w:eastAsia="宋体" w:cs="宋体"/>
          <w:b/>
          <w:color w:val="auto"/>
          <w:sz w:val="24"/>
          <w:szCs w:val="24"/>
          <w:highlight w:val="none"/>
        </w:rPr>
        <w:t>废标条款</w:t>
      </w:r>
      <w:bookmarkEnd w:id="78"/>
      <w:bookmarkEnd w:id="79"/>
      <w:bookmarkEnd w:id="80"/>
      <w:bookmarkEnd w:id="81"/>
      <w:bookmarkEnd w:id="82"/>
    </w:p>
    <w:p>
      <w:pPr>
        <w:spacing w:line="360" w:lineRule="auto"/>
        <w:outlineLvl w:val="2"/>
        <w:rPr>
          <w:rFonts w:hint="eastAsia" w:ascii="宋体" w:hAnsi="宋体" w:eastAsia="宋体" w:cs="宋体"/>
          <w:b w:val="0"/>
          <w:bCs w:val="0"/>
          <w:sz w:val="24"/>
          <w:szCs w:val="24"/>
        </w:rPr>
      </w:pPr>
      <w:bookmarkStart w:id="84" w:name="_Toc20012"/>
      <w:bookmarkStart w:id="85" w:name="_Toc4872"/>
      <w:bookmarkStart w:id="86" w:name="_Toc15283"/>
      <w:bookmarkStart w:id="87" w:name="_Toc3971"/>
      <w:bookmarkStart w:id="88" w:name="_Toc26713"/>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出现下列情况之一者（但不限于），按无效文件处理：</w:t>
      </w:r>
      <w:bookmarkEnd w:id="84"/>
      <w:bookmarkEnd w:id="85"/>
      <w:bookmarkEnd w:id="86"/>
      <w:bookmarkEnd w:id="87"/>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投标人的投标报价超过采购预算</w:t>
      </w:r>
      <w:r>
        <w:rPr>
          <w:rFonts w:hint="eastAsia" w:ascii="宋体" w:hAnsi="宋体" w:eastAsia="宋体" w:cs="宋体"/>
          <w:sz w:val="24"/>
          <w:szCs w:val="24"/>
          <w:lang w:val="en-US" w:eastAsia="zh-CN"/>
        </w:rPr>
        <w:t>或最高限价</w:t>
      </w:r>
      <w:r>
        <w:rPr>
          <w:rFonts w:hint="eastAsia" w:ascii="宋体" w:hAnsi="宋体" w:eastAsia="宋体" w:cs="宋体"/>
          <w:sz w:val="24"/>
          <w:szCs w:val="24"/>
        </w:rPr>
        <w:t>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投标人未经过正常渠道购买招标文件，或投标人名称与购买招标文件时登记的投标人名称不符的；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 xml:space="preserve">不同投标人单位负责人为同一人或者存在控股、管理关系的；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投标文件的有效性和符合性不符合要求的；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1.5 </w:t>
      </w:r>
      <w:r>
        <w:rPr>
          <w:rFonts w:hint="eastAsia" w:ascii="宋体" w:hAnsi="宋体" w:eastAsia="宋体" w:cs="宋体"/>
          <w:sz w:val="24"/>
          <w:szCs w:val="24"/>
        </w:rPr>
        <w:t>实质性内容不满足或未响应的；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1.6 </w:t>
      </w:r>
      <w:r>
        <w:rPr>
          <w:rFonts w:hint="eastAsia" w:ascii="宋体" w:hAnsi="宋体" w:eastAsia="宋体" w:cs="宋体"/>
          <w:sz w:val="24"/>
          <w:szCs w:val="24"/>
        </w:rPr>
        <w:t>投标文件未</w:t>
      </w:r>
      <w:r>
        <w:rPr>
          <w:rFonts w:hint="eastAsia" w:ascii="宋体" w:hAnsi="宋体" w:eastAsia="宋体" w:cs="宋体"/>
          <w:sz w:val="24"/>
          <w:szCs w:val="24"/>
          <w:lang w:val="en-US" w:eastAsia="zh-CN"/>
        </w:rPr>
        <w:t>满足</w:t>
      </w:r>
      <w:r>
        <w:rPr>
          <w:rFonts w:hint="eastAsia" w:ascii="宋体" w:hAnsi="宋体" w:eastAsia="宋体" w:cs="宋体"/>
          <w:sz w:val="24"/>
          <w:szCs w:val="24"/>
        </w:rPr>
        <w:t>招标文件</w:t>
      </w:r>
      <w:r>
        <w:rPr>
          <w:rFonts w:hint="eastAsia" w:ascii="宋体" w:hAnsi="宋体" w:eastAsia="宋体" w:cs="宋体"/>
          <w:sz w:val="24"/>
          <w:szCs w:val="24"/>
          <w:lang w:val="en-US" w:eastAsia="zh-CN"/>
        </w:rPr>
        <w:t>的</w:t>
      </w:r>
      <w:r>
        <w:rPr>
          <w:rFonts w:hint="eastAsia" w:ascii="宋体" w:hAnsi="宋体" w:eastAsia="宋体" w:cs="宋体"/>
          <w:sz w:val="24"/>
          <w:szCs w:val="24"/>
        </w:rPr>
        <w:t>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如投标文件份数、</w:t>
      </w:r>
      <w:r>
        <w:rPr>
          <w:rFonts w:hint="eastAsia" w:ascii="宋体" w:hAnsi="宋体" w:eastAsia="宋体" w:cs="宋体"/>
          <w:sz w:val="24"/>
          <w:szCs w:val="24"/>
        </w:rPr>
        <w:t>计量单位、报价货币及签字盖章</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1.7 </w:t>
      </w:r>
      <w:r>
        <w:rPr>
          <w:rFonts w:hint="eastAsia" w:ascii="宋体" w:hAnsi="宋体" w:eastAsia="宋体" w:cs="宋体"/>
          <w:sz w:val="24"/>
          <w:szCs w:val="24"/>
        </w:rPr>
        <w:t xml:space="preserve">无投标有效期或有效期达不到招标文件要求的；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1.8 </w:t>
      </w:r>
      <w:r>
        <w:rPr>
          <w:rFonts w:hint="eastAsia" w:ascii="宋体" w:hAnsi="宋体" w:eastAsia="宋体" w:cs="宋体"/>
          <w:sz w:val="24"/>
          <w:szCs w:val="24"/>
        </w:rPr>
        <w:t>投标人针对同一项目递交两份或多份内容不同的投标文件，未书面声明哪一份是有效的或出现选择性报价的；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1.9 </w:t>
      </w:r>
      <w:r>
        <w:rPr>
          <w:rFonts w:hint="eastAsia" w:ascii="宋体" w:hAnsi="宋体" w:eastAsia="宋体" w:cs="宋体"/>
          <w:sz w:val="24"/>
          <w:szCs w:val="24"/>
        </w:rPr>
        <w:t>投标人有串通投标、弄虚作假（包括但不限于虚假资质、虚假证明、虚假应答等、行贿等违法行为的）；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1.10 </w:t>
      </w:r>
      <w:r>
        <w:rPr>
          <w:rFonts w:hint="eastAsia" w:ascii="宋体" w:hAnsi="宋体" w:eastAsia="宋体" w:cs="宋体"/>
          <w:sz w:val="24"/>
          <w:szCs w:val="24"/>
        </w:rPr>
        <w:t>投标文件附加了采购人难以接受的条件或条款的；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在政府采购或其他重大项目履约过程中有不良记录，未能按期履约的；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1.12 </w:t>
      </w:r>
      <w:r>
        <w:rPr>
          <w:rFonts w:hint="eastAsia" w:ascii="宋体" w:hAnsi="宋体" w:eastAsia="宋体" w:cs="宋体"/>
          <w:sz w:val="24"/>
          <w:szCs w:val="24"/>
        </w:rPr>
        <w:t>投标报价与市场价格偏离较大、低于成本、形成不正当竞争的；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1.13 </w:t>
      </w:r>
      <w:r>
        <w:rPr>
          <w:rFonts w:hint="eastAsia" w:ascii="宋体" w:hAnsi="宋体" w:eastAsia="宋体" w:cs="宋体"/>
          <w:sz w:val="24"/>
          <w:szCs w:val="24"/>
        </w:rPr>
        <w:t>投标报价子目出现漏项或报价数量与要求不符的；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1.14 </w:t>
      </w:r>
      <w:r>
        <w:rPr>
          <w:rFonts w:hint="eastAsia" w:ascii="宋体" w:hAnsi="宋体" w:eastAsia="宋体" w:cs="宋体"/>
          <w:sz w:val="24"/>
          <w:szCs w:val="24"/>
        </w:rPr>
        <w:t>投标文件未实质性响应招标文件要求的；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1.15 </w:t>
      </w:r>
      <w:r>
        <w:rPr>
          <w:rFonts w:hint="eastAsia" w:ascii="宋体" w:hAnsi="宋体" w:eastAsia="宋体" w:cs="宋体"/>
          <w:sz w:val="24"/>
          <w:szCs w:val="24"/>
        </w:rPr>
        <w:t>提供虚假技术性能指标的。</w:t>
      </w:r>
    </w:p>
    <w:p>
      <w:pPr>
        <w:spacing w:line="360" w:lineRule="auto"/>
        <w:outlineLvl w:val="2"/>
        <w:rPr>
          <w:rFonts w:hint="eastAsia" w:ascii="宋体" w:hAnsi="宋体" w:eastAsia="宋体" w:cs="宋体"/>
          <w:b w:val="0"/>
          <w:bCs w:val="0"/>
          <w:sz w:val="24"/>
          <w:szCs w:val="24"/>
        </w:rPr>
      </w:pPr>
      <w:bookmarkStart w:id="89" w:name="_Toc4898"/>
      <w:bookmarkStart w:id="90" w:name="_Toc2813"/>
      <w:bookmarkStart w:id="91" w:name="_Toc26284"/>
      <w:bookmarkStart w:id="92" w:name="_Toc20524"/>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、有下列情形之一的，视为投标人串通投标，评标委员会应当认定其投标无效：</w:t>
      </w:r>
      <w:bookmarkEnd w:id="89"/>
      <w:bookmarkEnd w:id="90"/>
      <w:bookmarkEnd w:id="91"/>
      <w:bookmarkEnd w:id="92"/>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2.1 </w:t>
      </w:r>
      <w:r>
        <w:rPr>
          <w:rFonts w:hint="eastAsia" w:ascii="宋体" w:hAnsi="宋体" w:eastAsia="宋体" w:cs="宋体"/>
          <w:sz w:val="24"/>
          <w:szCs w:val="24"/>
        </w:rPr>
        <w:t>不同投标人的投标文件由同一单位或者个人编制；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2.2 </w:t>
      </w:r>
      <w:r>
        <w:rPr>
          <w:rFonts w:hint="eastAsia" w:ascii="宋体" w:hAnsi="宋体" w:eastAsia="宋体" w:cs="宋体"/>
          <w:sz w:val="24"/>
          <w:szCs w:val="24"/>
        </w:rPr>
        <w:t>不同投标人委托同一单位或者个人办理投标事宜；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2.3 </w:t>
      </w:r>
      <w:r>
        <w:rPr>
          <w:rFonts w:hint="eastAsia" w:ascii="宋体" w:hAnsi="宋体" w:eastAsia="宋体" w:cs="宋体"/>
          <w:sz w:val="24"/>
          <w:szCs w:val="24"/>
        </w:rPr>
        <w:t>不同投标人的投标文件载明的项目管理成员或者联系人员为同一人；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2.4 </w:t>
      </w:r>
      <w:r>
        <w:rPr>
          <w:rFonts w:hint="eastAsia" w:ascii="宋体" w:hAnsi="宋体" w:eastAsia="宋体" w:cs="宋体"/>
          <w:sz w:val="24"/>
          <w:szCs w:val="24"/>
        </w:rPr>
        <w:t>不同投标人的投标文件异常一致或者投标报价呈规律性差异；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2.5 </w:t>
      </w:r>
      <w:r>
        <w:rPr>
          <w:rFonts w:hint="eastAsia" w:ascii="宋体" w:hAnsi="宋体" w:eastAsia="宋体" w:cs="宋体"/>
          <w:sz w:val="24"/>
          <w:szCs w:val="24"/>
        </w:rPr>
        <w:t>不同投标人的投标文件相互混装；</w:t>
      </w:r>
    </w:p>
    <w:p>
      <w:pPr>
        <w:topLinePunct/>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2.6 </w:t>
      </w:r>
      <w:r>
        <w:rPr>
          <w:rFonts w:hint="eastAsia" w:ascii="宋体" w:hAnsi="宋体" w:eastAsia="宋体" w:cs="宋体"/>
          <w:sz w:val="24"/>
          <w:szCs w:val="24"/>
        </w:rPr>
        <w:t>不同投标人的投标保证金从同一单位或者个人的账户转出。</w:t>
      </w:r>
    </w:p>
    <w:bookmarkEnd w:id="88"/>
    <w:p>
      <w:pPr>
        <w:spacing w:line="360" w:lineRule="auto"/>
        <w:jc w:val="left"/>
        <w:outlineLvl w:val="2"/>
        <w:rPr>
          <w:rFonts w:hint="eastAsia" w:ascii="宋体" w:hAnsi="宋体" w:eastAsia="宋体" w:cs="宋体"/>
          <w:b w:val="0"/>
          <w:bCs w:val="0"/>
          <w:color w:val="auto"/>
          <w:sz w:val="24"/>
          <w:szCs w:val="24"/>
          <w:highlight w:val="none"/>
          <w:lang w:eastAsia="zh-CN"/>
        </w:rPr>
      </w:pPr>
      <w:bookmarkStart w:id="93" w:name="_Toc18982"/>
      <w:bookmarkStart w:id="94" w:name="_Toc4814"/>
      <w:bookmarkStart w:id="95" w:name="_Toc10039"/>
      <w:bookmarkStart w:id="96" w:name="_Toc14306"/>
      <w:bookmarkStart w:id="97" w:name="_Toc18608"/>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投标人不足三家情形处理</w:t>
      </w:r>
      <w:bookmarkEnd w:id="93"/>
      <w:r>
        <w:rPr>
          <w:rFonts w:hint="eastAsia" w:ascii="宋体" w:hAnsi="宋体" w:eastAsia="宋体" w:cs="宋体"/>
          <w:b w:val="0"/>
          <w:bCs w:val="0"/>
          <w:color w:val="auto"/>
          <w:sz w:val="24"/>
          <w:szCs w:val="24"/>
          <w:highlight w:val="none"/>
          <w:lang w:eastAsia="zh-CN"/>
        </w:rPr>
        <w:t>：</w:t>
      </w:r>
      <w:bookmarkEnd w:id="94"/>
      <w:bookmarkEnd w:id="95"/>
      <w:bookmarkEnd w:id="96"/>
      <w:bookmarkEnd w:id="97"/>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 </w:t>
      </w:r>
      <w:r>
        <w:rPr>
          <w:rFonts w:hint="eastAsia" w:ascii="宋体" w:hAnsi="宋体" w:eastAsia="宋体" w:cs="宋体"/>
          <w:color w:val="auto"/>
          <w:sz w:val="24"/>
          <w:szCs w:val="24"/>
          <w:highlight w:val="none"/>
        </w:rPr>
        <w:t>如出现投标截止时间结束后参加的投标人不足三家的，采购单位应当报告财政部门，按照以下原则处理：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有效投标人不足三家的，废标后重新组织</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。投标文件存在不合理条款的，采购公告时间及程序不符合规定的，应予以废标。</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3.1.2 </w:t>
      </w:r>
      <w:r>
        <w:rPr>
          <w:rFonts w:hint="eastAsia" w:ascii="宋体" w:hAnsi="宋体" w:eastAsia="宋体" w:cs="宋体"/>
          <w:color w:val="auto"/>
          <w:sz w:val="24"/>
          <w:szCs w:val="24"/>
          <w:highlight w:val="none"/>
        </w:rPr>
        <w:t>在评标期间，出现符合条件的投标人或者对招标文件做出实质响应的投标人不足三家情形的，参照执行。</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 特殊情况（如发布多次公告，报名单位均不满足3家的或特殊项目），可向上级采购主管部门提出变更采购方式申请。</w:t>
      </w:r>
    </w:p>
    <w:p>
      <w:pPr>
        <w:snapToGrid w:val="0"/>
        <w:spacing w:line="360" w:lineRule="auto"/>
        <w:outlineLvl w:val="2"/>
        <w:rPr>
          <w:rFonts w:hint="eastAsia" w:ascii="宋体" w:hAnsi="宋体" w:eastAsia="宋体" w:cs="宋体"/>
          <w:color w:val="auto"/>
          <w:sz w:val="24"/>
          <w:szCs w:val="24"/>
          <w:highlight w:val="none"/>
          <w:lang w:val="en-US" w:eastAsia="zh-CN"/>
        </w:rPr>
      </w:pPr>
      <w:bookmarkStart w:id="98" w:name="_Toc15683"/>
      <w:bookmarkStart w:id="99" w:name="_Toc9112"/>
      <w:bookmarkStart w:id="100" w:name="_Toc32511"/>
      <w:bookmarkStart w:id="101" w:name="_Toc21952"/>
      <w:bookmarkStart w:id="102" w:name="_Toc151"/>
      <w:r>
        <w:rPr>
          <w:rFonts w:hint="eastAsia" w:ascii="宋体" w:hAnsi="宋体" w:eastAsia="宋体" w:cs="宋体"/>
          <w:color w:val="auto"/>
          <w:sz w:val="24"/>
          <w:szCs w:val="24"/>
          <w:highlight w:val="none"/>
          <w:lang w:val="en-US" w:eastAsia="zh-CN"/>
        </w:rPr>
        <w:t>4、取消中标候选</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资格条款</w:t>
      </w:r>
      <w:bookmarkEnd w:id="98"/>
      <w:r>
        <w:rPr>
          <w:rFonts w:hint="eastAsia" w:ascii="宋体" w:hAnsi="宋体" w:eastAsia="宋体" w:cs="宋体"/>
          <w:color w:val="auto"/>
          <w:sz w:val="24"/>
          <w:szCs w:val="24"/>
          <w:highlight w:val="none"/>
          <w:lang w:val="en-US" w:eastAsia="zh-CN"/>
        </w:rPr>
        <w:t>：</w:t>
      </w:r>
      <w:bookmarkEnd w:id="99"/>
      <w:bookmarkEnd w:id="100"/>
      <w:bookmarkEnd w:id="101"/>
      <w:bookmarkEnd w:id="102"/>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提供虚假材料谋取</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的；</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采取不正当手段诋毁、排挤其他投标人的；</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与采购人、其他投标人或者采购代理机构恶意串通的；</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向采购人、采购代理机构行贿或者提供其他不正当利益的；</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在规定的时间内未与采购人签订采购合同的；</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法律、法规规定的其他情况。</w:t>
      </w:r>
    </w:p>
    <w:p>
      <w:pPr>
        <w:spacing w:line="360" w:lineRule="auto"/>
        <w:outlineLvl w:val="2"/>
        <w:rPr>
          <w:rFonts w:hint="eastAsia" w:ascii="宋体" w:hAnsi="宋体" w:eastAsia="宋体" w:cs="宋体"/>
          <w:sz w:val="24"/>
          <w:szCs w:val="24"/>
          <w:lang w:val="zh-CN"/>
        </w:rPr>
      </w:pPr>
      <w:bookmarkStart w:id="103" w:name="_Toc32299"/>
      <w:bookmarkStart w:id="104" w:name="_Toc25597"/>
      <w:bookmarkStart w:id="105" w:name="_Toc2045"/>
      <w:bookmarkStart w:id="106" w:name="_Toc16831"/>
      <w:bookmarkStart w:id="107" w:name="_Toc12457"/>
      <w:r>
        <w:rPr>
          <w:rFonts w:hint="eastAsia" w:ascii="宋体" w:hAnsi="宋体" w:eastAsia="宋体" w:cs="宋体"/>
          <w:sz w:val="24"/>
          <w:szCs w:val="24"/>
          <w:lang w:val="en-US" w:eastAsia="zh-CN"/>
        </w:rPr>
        <w:t>5</w:t>
      </w:r>
      <w:r>
        <w:rPr>
          <w:rFonts w:hint="eastAsia" w:ascii="宋体" w:hAnsi="宋体" w:eastAsia="宋体" w:cs="宋体"/>
          <w:sz w:val="24"/>
          <w:szCs w:val="24"/>
          <w:lang w:val="zh-CN"/>
        </w:rPr>
        <w:t>、出现下列情形之一的，应予</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"https://baike.sogou.com/lemma/ShowInnerLink.htm?lemmaId=8331831&amp;ss_c=ssc.citiao.link" \t "https://baike.sogou.com/_blank"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废标</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w:t>
      </w:r>
      <w:bookmarkEnd w:id="103"/>
      <w:bookmarkEnd w:id="104"/>
      <w:bookmarkEnd w:id="105"/>
      <w:bookmarkEnd w:id="106"/>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5.1 </w:t>
      </w:r>
      <w:r>
        <w:rPr>
          <w:rFonts w:hint="eastAsia" w:ascii="宋体" w:hAnsi="宋体" w:eastAsia="宋体" w:cs="宋体"/>
          <w:sz w:val="24"/>
          <w:szCs w:val="24"/>
          <w:lang w:val="zh-CN"/>
        </w:rPr>
        <w:t>符合专业条件的投标人或者对招标文件作实质响应的投标人不足三家的；</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5.2 </w:t>
      </w:r>
      <w:r>
        <w:rPr>
          <w:rFonts w:hint="eastAsia" w:ascii="宋体" w:hAnsi="宋体" w:eastAsia="宋体" w:cs="宋体"/>
          <w:sz w:val="24"/>
          <w:szCs w:val="24"/>
          <w:lang w:val="zh-CN"/>
        </w:rPr>
        <w:t>出现影响采购公正的违法、违规行为的；</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5.3 </w:t>
      </w:r>
      <w:r>
        <w:rPr>
          <w:rFonts w:hint="eastAsia" w:ascii="宋体" w:hAnsi="宋体" w:eastAsia="宋体" w:cs="宋体"/>
          <w:sz w:val="24"/>
          <w:szCs w:val="24"/>
          <w:lang w:val="zh-CN"/>
        </w:rPr>
        <w:t>投标人的报价均超过了采购预算，采购人不能支付的；</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5.4 </w:t>
      </w:r>
      <w:r>
        <w:rPr>
          <w:rFonts w:hint="eastAsia" w:ascii="宋体" w:hAnsi="宋体" w:eastAsia="宋体" w:cs="宋体"/>
          <w:sz w:val="24"/>
          <w:szCs w:val="24"/>
          <w:lang w:val="zh-CN"/>
        </w:rPr>
        <w:t>因重大变故，采购任务取消的。</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非以上情形导致项目被废标的，经政府采购管理部门同意，所有评委（监委）签字认可，可书面通知投标人当场</w:t>
      </w:r>
      <w:r>
        <w:rPr>
          <w:rFonts w:hint="eastAsia" w:ascii="宋体" w:hAnsi="宋体" w:eastAsia="宋体" w:cs="宋体"/>
          <w:sz w:val="24"/>
          <w:szCs w:val="24"/>
          <w:lang w:val="en-US" w:eastAsia="zh-CN"/>
        </w:rPr>
        <w:t>变更</w:t>
      </w:r>
      <w:r>
        <w:rPr>
          <w:rFonts w:hint="eastAsia" w:ascii="宋体" w:hAnsi="宋体" w:eastAsia="宋体" w:cs="宋体"/>
          <w:sz w:val="24"/>
          <w:szCs w:val="24"/>
          <w:lang w:val="zh-CN"/>
        </w:rPr>
        <w:t>招标方式。</w:t>
      </w:r>
    </w:p>
    <w:p>
      <w:pPr>
        <w:autoSpaceDE w:val="0"/>
        <w:autoSpaceDN w:val="0"/>
        <w:adjustRightInd w:val="0"/>
        <w:spacing w:line="360" w:lineRule="auto"/>
        <w:outlineLvl w:val="1"/>
        <w:rPr>
          <w:rFonts w:hint="eastAsia" w:ascii="宋体" w:hAnsi="宋体" w:eastAsia="宋体" w:cs="宋体"/>
          <w:b/>
          <w:color w:val="auto"/>
          <w:sz w:val="24"/>
          <w:szCs w:val="24"/>
          <w:highlight w:val="none"/>
          <w:lang w:val="zh-CN" w:eastAsia="zh-CN"/>
        </w:rPr>
      </w:pPr>
      <w:bookmarkStart w:id="108" w:name="_Toc1073"/>
      <w:bookmarkStart w:id="109" w:name="_Toc19490"/>
      <w:bookmarkStart w:id="110" w:name="_Toc28634"/>
      <w:bookmarkStart w:id="111" w:name="_Toc7204"/>
      <w:r>
        <w:rPr>
          <w:rFonts w:hint="eastAsia" w:ascii="宋体" w:hAnsi="宋体" w:eastAsia="宋体" w:cs="宋体"/>
          <w:b/>
          <w:color w:val="auto"/>
          <w:sz w:val="24"/>
          <w:szCs w:val="24"/>
          <w:highlight w:val="none"/>
          <w:lang w:val="zh-CN" w:eastAsia="zh-CN"/>
        </w:rPr>
        <w:t>七、开标</w:t>
      </w:r>
      <w:bookmarkEnd w:id="83"/>
      <w:bookmarkEnd w:id="107"/>
      <w:bookmarkEnd w:id="108"/>
      <w:bookmarkEnd w:id="109"/>
      <w:bookmarkEnd w:id="110"/>
      <w:bookmarkEnd w:id="111"/>
    </w:p>
    <w:p>
      <w:pPr>
        <w:autoSpaceDE w:val="0"/>
        <w:autoSpaceDN w:val="0"/>
        <w:adjustRightInd w:val="0"/>
        <w:spacing w:line="360" w:lineRule="auto"/>
        <w:ind w:firstLine="480" w:firstLineChars="200"/>
        <w:outlineLvl w:val="1"/>
        <w:rPr>
          <w:rFonts w:hint="eastAsia" w:ascii="宋体" w:hAnsi="宋体" w:eastAsia="宋体" w:cs="宋体"/>
          <w:color w:val="auto"/>
          <w:sz w:val="24"/>
          <w:szCs w:val="24"/>
          <w:highlight w:val="none"/>
          <w:lang w:val="zh-CN"/>
        </w:rPr>
      </w:pPr>
      <w:bookmarkStart w:id="112" w:name="_Toc524"/>
      <w:bookmarkStart w:id="113" w:name="_Toc29657"/>
      <w:bookmarkStart w:id="114" w:name="_Toc24045"/>
      <w:bookmarkStart w:id="115" w:name="_Toc7558"/>
      <w:bookmarkStart w:id="116" w:name="_Toc13278"/>
      <w:bookmarkStart w:id="117" w:name="_Toc13910"/>
      <w:bookmarkStart w:id="118" w:name="_Toc7812"/>
      <w:bookmarkStart w:id="119" w:name="_Toc24295"/>
      <w:bookmarkStart w:id="120" w:name="_Toc27146"/>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采购代理机构在规定的时间和地点组织公开开标并对开标、评标现场活动进行全程录音录像。</w:t>
      </w:r>
      <w:bookmarkEnd w:id="112"/>
      <w:bookmarkEnd w:id="113"/>
      <w:bookmarkEnd w:id="114"/>
      <w:bookmarkEnd w:id="115"/>
      <w:bookmarkEnd w:id="116"/>
      <w:bookmarkEnd w:id="117"/>
      <w:bookmarkEnd w:id="118"/>
      <w:bookmarkEnd w:id="119"/>
      <w:bookmarkEnd w:id="120"/>
    </w:p>
    <w:p>
      <w:pPr>
        <w:autoSpaceDE w:val="0"/>
        <w:autoSpaceDN w:val="0"/>
        <w:adjustRightInd w:val="0"/>
        <w:spacing w:line="360" w:lineRule="auto"/>
        <w:ind w:firstLine="480" w:firstLineChars="200"/>
        <w:outlineLvl w:val="1"/>
        <w:rPr>
          <w:rFonts w:hint="eastAsia" w:ascii="宋体" w:hAnsi="宋体" w:eastAsia="宋体" w:cs="宋体"/>
          <w:color w:val="auto"/>
          <w:sz w:val="24"/>
          <w:szCs w:val="24"/>
          <w:highlight w:val="none"/>
          <w:lang w:val="zh-CN"/>
        </w:rPr>
      </w:pPr>
      <w:bookmarkStart w:id="121" w:name="_Toc1981"/>
      <w:bookmarkStart w:id="122" w:name="_Toc8295"/>
      <w:bookmarkStart w:id="123" w:name="_Toc27613"/>
      <w:bookmarkStart w:id="124" w:name="_Toc3774"/>
      <w:bookmarkStart w:id="125" w:name="_Toc11822"/>
      <w:bookmarkStart w:id="126" w:name="_Toc32390"/>
      <w:bookmarkStart w:id="127" w:name="_Toc26936"/>
      <w:bookmarkStart w:id="128" w:name="_Toc5803"/>
      <w:bookmarkStart w:id="129" w:name="_Toc1286"/>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开标由采购代理机构主持，采购人、投标人和有关方面代表参加，签名报到以证明其出席。</w:t>
      </w:r>
      <w:bookmarkEnd w:id="121"/>
      <w:bookmarkEnd w:id="122"/>
      <w:bookmarkEnd w:id="123"/>
      <w:bookmarkEnd w:id="124"/>
      <w:bookmarkEnd w:id="125"/>
      <w:bookmarkEnd w:id="126"/>
      <w:bookmarkEnd w:id="127"/>
      <w:bookmarkEnd w:id="128"/>
      <w:bookmarkEnd w:id="129"/>
    </w:p>
    <w:p>
      <w:pPr>
        <w:autoSpaceDE w:val="0"/>
        <w:autoSpaceDN w:val="0"/>
        <w:adjustRightInd w:val="0"/>
        <w:spacing w:line="360" w:lineRule="auto"/>
        <w:ind w:firstLine="480" w:firstLineChars="200"/>
        <w:outlineLvl w:val="1"/>
        <w:rPr>
          <w:rFonts w:hint="eastAsia" w:ascii="宋体" w:hAnsi="宋体" w:eastAsia="宋体" w:cs="宋体"/>
          <w:color w:val="auto"/>
          <w:sz w:val="24"/>
          <w:szCs w:val="24"/>
          <w:highlight w:val="none"/>
          <w:lang w:val="zh-CN"/>
        </w:rPr>
      </w:pPr>
      <w:bookmarkStart w:id="130" w:name="_Toc27725"/>
      <w:bookmarkStart w:id="131" w:name="_Toc7340"/>
      <w:bookmarkStart w:id="132" w:name="_Toc263"/>
      <w:bookmarkStart w:id="133" w:name="_Toc32692"/>
      <w:bookmarkStart w:id="134" w:name="_Toc28854"/>
      <w:bookmarkStart w:id="135" w:name="_Toc16133"/>
      <w:bookmarkStart w:id="136" w:name="_Toc2018"/>
      <w:bookmarkStart w:id="137" w:name="_Toc25375"/>
      <w:bookmarkStart w:id="138" w:name="_Toc4666"/>
      <w:r>
        <w:rPr>
          <w:rFonts w:hint="eastAsia" w:ascii="宋体" w:hAnsi="宋体" w:eastAsia="宋体" w:cs="宋体"/>
          <w:color w:val="auto"/>
          <w:sz w:val="24"/>
          <w:szCs w:val="24"/>
          <w:highlight w:val="none"/>
          <w:lang w:val="en-US" w:eastAsia="zh-CN"/>
        </w:rPr>
        <w:t>3、投</w:t>
      </w:r>
      <w:r>
        <w:rPr>
          <w:rFonts w:hint="eastAsia" w:ascii="宋体" w:hAnsi="宋体" w:eastAsia="宋体" w:cs="宋体"/>
          <w:color w:val="auto"/>
          <w:sz w:val="24"/>
          <w:szCs w:val="24"/>
          <w:highlight w:val="none"/>
          <w:lang w:val="zh-CN"/>
        </w:rPr>
        <w:t>标截止时间后投标人不足三家的，不进行开标。</w:t>
      </w:r>
      <w:bookmarkEnd w:id="130"/>
      <w:bookmarkEnd w:id="131"/>
      <w:bookmarkEnd w:id="132"/>
      <w:bookmarkEnd w:id="133"/>
      <w:bookmarkEnd w:id="134"/>
      <w:bookmarkEnd w:id="135"/>
      <w:bookmarkEnd w:id="136"/>
      <w:bookmarkEnd w:id="137"/>
      <w:bookmarkEnd w:id="138"/>
    </w:p>
    <w:p>
      <w:pPr>
        <w:autoSpaceDE w:val="0"/>
        <w:autoSpaceDN w:val="0"/>
        <w:adjustRightInd w:val="0"/>
        <w:spacing w:line="360" w:lineRule="auto"/>
        <w:ind w:firstLine="480" w:firstLineChars="200"/>
        <w:outlineLvl w:val="1"/>
        <w:rPr>
          <w:rFonts w:hint="eastAsia" w:ascii="宋体" w:hAnsi="宋体" w:eastAsia="宋体" w:cs="宋体"/>
          <w:color w:val="auto"/>
          <w:sz w:val="24"/>
          <w:szCs w:val="24"/>
          <w:highlight w:val="none"/>
          <w:lang w:val="zh-CN"/>
        </w:rPr>
      </w:pPr>
      <w:bookmarkStart w:id="139" w:name="_Toc6507"/>
      <w:bookmarkStart w:id="140" w:name="_Toc4980"/>
      <w:bookmarkStart w:id="141" w:name="_Toc10477"/>
      <w:bookmarkStart w:id="142" w:name="_Toc19625"/>
      <w:bookmarkStart w:id="143" w:name="_Toc21780"/>
      <w:bookmarkStart w:id="144" w:name="_Toc26186"/>
      <w:bookmarkStart w:id="145" w:name="_Toc4175"/>
      <w:bookmarkStart w:id="146" w:name="_Toc15458"/>
      <w:bookmarkStart w:id="147" w:name="_Toc19348"/>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开标时，由投标人或者其推选的代表检查投标文件的密封情况，以确认各投标人的投标文件密封情况是否与递交时一致，没有被提前启封等异常情况。</w:t>
      </w:r>
      <w:bookmarkEnd w:id="139"/>
      <w:bookmarkEnd w:id="140"/>
      <w:bookmarkEnd w:id="141"/>
      <w:bookmarkEnd w:id="142"/>
      <w:bookmarkEnd w:id="143"/>
      <w:bookmarkEnd w:id="144"/>
      <w:bookmarkEnd w:id="145"/>
      <w:bookmarkEnd w:id="146"/>
      <w:bookmarkEnd w:id="147"/>
    </w:p>
    <w:p>
      <w:pPr>
        <w:autoSpaceDE w:val="0"/>
        <w:autoSpaceDN w:val="0"/>
        <w:adjustRightInd w:val="0"/>
        <w:spacing w:line="360" w:lineRule="auto"/>
        <w:ind w:firstLine="480" w:firstLineChars="200"/>
        <w:outlineLvl w:val="1"/>
        <w:rPr>
          <w:rFonts w:hint="eastAsia" w:ascii="宋体" w:hAnsi="宋体" w:eastAsia="宋体" w:cs="宋体"/>
          <w:color w:val="auto"/>
          <w:sz w:val="24"/>
          <w:szCs w:val="24"/>
          <w:highlight w:val="none"/>
          <w:lang w:val="zh-CN"/>
        </w:rPr>
      </w:pPr>
      <w:bookmarkStart w:id="148" w:name="_Toc101"/>
      <w:bookmarkStart w:id="149" w:name="_Toc22353"/>
      <w:bookmarkStart w:id="150" w:name="_Toc26089"/>
      <w:bookmarkStart w:id="151" w:name="_Toc8723"/>
      <w:bookmarkStart w:id="152" w:name="_Toc7844"/>
      <w:bookmarkStart w:id="153" w:name="_Toc12301"/>
      <w:bookmarkStart w:id="154" w:name="_Toc16852"/>
      <w:bookmarkStart w:id="155" w:name="_Toc3553"/>
      <w:bookmarkStart w:id="156" w:name="_Toc19024"/>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对投标文件的密封确认无误后，由采购代理机构工作人员当众拆封投标文件，以公开唱标的形式宣布投标人名称、投标价格以及采购代理机构认为合适的其他内容，无异议后，由投标人代表和监标人签字确认。</w:t>
      </w:r>
      <w:bookmarkEnd w:id="148"/>
      <w:bookmarkEnd w:id="149"/>
      <w:bookmarkEnd w:id="150"/>
      <w:bookmarkEnd w:id="151"/>
      <w:bookmarkEnd w:id="152"/>
      <w:bookmarkEnd w:id="153"/>
      <w:bookmarkEnd w:id="154"/>
      <w:bookmarkEnd w:id="155"/>
      <w:bookmarkEnd w:id="156"/>
    </w:p>
    <w:p>
      <w:pPr>
        <w:autoSpaceDE w:val="0"/>
        <w:autoSpaceDN w:val="0"/>
        <w:adjustRightInd w:val="0"/>
        <w:spacing w:line="360" w:lineRule="auto"/>
        <w:ind w:firstLine="480" w:firstLineChars="200"/>
        <w:outlineLvl w:val="1"/>
        <w:rPr>
          <w:rFonts w:hint="eastAsia" w:ascii="宋体" w:hAnsi="宋体" w:eastAsia="宋体" w:cs="宋体"/>
          <w:color w:val="auto"/>
          <w:sz w:val="24"/>
          <w:szCs w:val="24"/>
          <w:highlight w:val="none"/>
          <w:lang w:val="zh-CN"/>
        </w:rPr>
      </w:pPr>
      <w:bookmarkStart w:id="157" w:name="_Toc7892"/>
      <w:bookmarkStart w:id="158" w:name="_Toc17785"/>
      <w:bookmarkStart w:id="159" w:name="_Toc3952"/>
      <w:bookmarkStart w:id="160" w:name="_Toc2905"/>
      <w:bookmarkStart w:id="161" w:name="_Toc30241"/>
      <w:bookmarkStart w:id="162" w:name="_Toc19808"/>
      <w:bookmarkStart w:id="163" w:name="_Toc2096"/>
      <w:bookmarkStart w:id="164" w:name="_Toc9512"/>
      <w:bookmarkStart w:id="165" w:name="_Toc9394"/>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开标过程由采购代理机构指定专人记录，参加开标相关人员签字确认后随招标文件一并存档。</w:t>
      </w:r>
      <w:bookmarkEnd w:id="157"/>
      <w:bookmarkEnd w:id="158"/>
      <w:bookmarkEnd w:id="159"/>
      <w:bookmarkEnd w:id="160"/>
      <w:bookmarkEnd w:id="161"/>
      <w:bookmarkEnd w:id="162"/>
      <w:bookmarkEnd w:id="163"/>
      <w:bookmarkEnd w:id="164"/>
      <w:bookmarkEnd w:id="165"/>
    </w:p>
    <w:p>
      <w:pPr>
        <w:autoSpaceDE w:val="0"/>
        <w:autoSpaceDN w:val="0"/>
        <w:adjustRightInd w:val="0"/>
        <w:spacing w:line="360" w:lineRule="auto"/>
        <w:ind w:firstLine="480" w:firstLineChars="200"/>
        <w:outlineLvl w:val="1"/>
        <w:rPr>
          <w:rFonts w:hint="eastAsia" w:ascii="宋体" w:hAnsi="宋体" w:eastAsia="宋体" w:cs="宋体"/>
          <w:color w:val="auto"/>
          <w:sz w:val="24"/>
          <w:szCs w:val="24"/>
          <w:highlight w:val="none"/>
          <w:lang w:val="zh-CN"/>
        </w:rPr>
      </w:pPr>
      <w:bookmarkStart w:id="166" w:name="_Toc29141"/>
      <w:bookmarkStart w:id="167" w:name="_Toc31782"/>
      <w:bookmarkStart w:id="168" w:name="_Toc5755"/>
      <w:bookmarkStart w:id="169" w:name="_Toc24928"/>
      <w:bookmarkStart w:id="170" w:name="_Toc12396"/>
      <w:bookmarkStart w:id="171" w:name="_Toc6287"/>
      <w:bookmarkStart w:id="172" w:name="_Toc19482"/>
      <w:bookmarkStart w:id="173" w:name="_Toc32710"/>
      <w:bookmarkStart w:id="174" w:name="_Toc19709"/>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投标人代表对开标过程和开标记录有疑义，以及认为采购人、采购代理机构相关工作人员有需要回避的情形的，应当场提出询问或者回避申请。采购代理机构对投标人代表提出的询问或者回避申请应当及时处理。</w:t>
      </w:r>
      <w:bookmarkEnd w:id="166"/>
      <w:bookmarkEnd w:id="167"/>
      <w:bookmarkEnd w:id="168"/>
      <w:bookmarkEnd w:id="169"/>
      <w:bookmarkEnd w:id="170"/>
      <w:bookmarkEnd w:id="171"/>
      <w:bookmarkEnd w:id="172"/>
      <w:bookmarkEnd w:id="173"/>
      <w:bookmarkEnd w:id="174"/>
    </w:p>
    <w:p>
      <w:pPr>
        <w:autoSpaceDE w:val="0"/>
        <w:autoSpaceDN w:val="0"/>
        <w:adjustRightInd w:val="0"/>
        <w:spacing w:line="360" w:lineRule="auto"/>
        <w:outlineLvl w:val="1"/>
        <w:rPr>
          <w:rFonts w:hint="eastAsia" w:ascii="宋体" w:hAnsi="宋体" w:eastAsia="宋体" w:cs="宋体"/>
          <w:b/>
          <w:color w:val="auto"/>
          <w:sz w:val="24"/>
          <w:szCs w:val="24"/>
          <w:highlight w:val="none"/>
          <w:lang w:val="zh-CN" w:eastAsia="zh-CN"/>
        </w:rPr>
      </w:pPr>
      <w:bookmarkStart w:id="175" w:name="_Toc13015"/>
      <w:bookmarkStart w:id="176" w:name="_Toc26979"/>
      <w:bookmarkStart w:id="177" w:name="_Toc12363"/>
      <w:bookmarkStart w:id="178" w:name="_Toc23064"/>
      <w:bookmarkStart w:id="179" w:name="_Toc3036"/>
      <w:bookmarkStart w:id="180" w:name="_Toc5871"/>
      <w:bookmarkStart w:id="181" w:name="_Toc4634"/>
      <w:bookmarkStart w:id="182" w:name="_Toc30521"/>
      <w:bookmarkStart w:id="183" w:name="_Toc25860"/>
      <w:bookmarkStart w:id="184" w:name="_Toc24136"/>
      <w:bookmarkStart w:id="185" w:name="_Toc27357"/>
      <w:bookmarkStart w:id="186" w:name="_Toc5695"/>
      <w:bookmarkStart w:id="187" w:name="_Toc13676"/>
      <w:bookmarkStart w:id="188" w:name="_Toc18877"/>
      <w:bookmarkStart w:id="189" w:name="_Toc2662"/>
      <w:bookmarkStart w:id="190" w:name="_Toc13815"/>
      <w:bookmarkStart w:id="191" w:name="_Toc28233"/>
      <w:bookmarkStart w:id="192" w:name="_Toc14302"/>
      <w:bookmarkStart w:id="193" w:name="_Toc18394"/>
      <w:bookmarkStart w:id="194" w:name="_Toc7342"/>
      <w:bookmarkStart w:id="195" w:name="_Toc12405"/>
      <w:bookmarkStart w:id="196" w:name="_Toc7595"/>
      <w:bookmarkStart w:id="197" w:name="_Toc7372"/>
      <w:bookmarkStart w:id="198" w:name="_Toc14030"/>
      <w:bookmarkStart w:id="199" w:name="_Toc5155"/>
      <w:bookmarkStart w:id="200" w:name="_Toc19162"/>
      <w:bookmarkStart w:id="201" w:name="_Toc22595"/>
      <w:bookmarkStart w:id="202" w:name="_Toc24853"/>
      <w:bookmarkStart w:id="203" w:name="_Toc21301"/>
      <w:bookmarkStart w:id="204" w:name="_Toc518057456"/>
      <w:bookmarkStart w:id="205" w:name="_Toc684"/>
      <w:bookmarkStart w:id="206" w:name="_Toc19781"/>
      <w:bookmarkStart w:id="207" w:name="_Toc15981"/>
      <w:bookmarkStart w:id="208" w:name="_Toc15329"/>
      <w:bookmarkStart w:id="209" w:name="_Toc17706"/>
      <w:bookmarkStart w:id="210" w:name="_Toc12043"/>
      <w:bookmarkStart w:id="211" w:name="_Toc15587"/>
      <w:bookmarkStart w:id="212" w:name="_Toc14661"/>
      <w:bookmarkStart w:id="213" w:name="_Toc12747"/>
      <w:bookmarkStart w:id="214" w:name="_Toc18245"/>
      <w:bookmarkStart w:id="215" w:name="_Toc6066"/>
      <w:bookmarkStart w:id="216" w:name="_Toc31532"/>
      <w:bookmarkStart w:id="217" w:name="_Toc26453"/>
      <w:bookmarkStart w:id="218" w:name="_Toc6357"/>
      <w:bookmarkStart w:id="219" w:name="_Toc14975"/>
      <w:bookmarkStart w:id="220" w:name="_Toc7522"/>
      <w:bookmarkStart w:id="221" w:name="_Toc527624056"/>
      <w:bookmarkStart w:id="222" w:name="_Toc26262"/>
      <w:bookmarkStart w:id="223" w:name="_Toc24675"/>
      <w:r>
        <w:rPr>
          <w:rFonts w:hint="eastAsia" w:ascii="宋体" w:hAnsi="宋体" w:eastAsia="宋体" w:cs="宋体"/>
          <w:b/>
          <w:color w:val="auto"/>
          <w:sz w:val="24"/>
          <w:szCs w:val="24"/>
          <w:highlight w:val="none"/>
          <w:lang w:val="zh-CN" w:eastAsia="zh-CN"/>
        </w:rPr>
        <w:t>八、评标委员会</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autoSpaceDE w:val="0"/>
        <w:autoSpaceDN w:val="0"/>
        <w:adjustRightInd w:val="0"/>
        <w:spacing w:line="360" w:lineRule="auto"/>
        <w:ind w:firstLine="480" w:firstLineChars="200"/>
        <w:outlineLvl w:val="1"/>
        <w:rPr>
          <w:rFonts w:hint="eastAsia" w:ascii="宋体" w:hAnsi="宋体" w:eastAsia="宋体" w:cs="宋体"/>
          <w:color w:val="auto"/>
          <w:sz w:val="24"/>
          <w:szCs w:val="24"/>
          <w:highlight w:val="none"/>
          <w:lang w:val="zh-CN"/>
        </w:rPr>
      </w:pPr>
      <w:bookmarkStart w:id="224" w:name="_Toc3043"/>
      <w:bookmarkStart w:id="225" w:name="_Toc23583"/>
      <w:bookmarkStart w:id="226" w:name="_Toc3385"/>
      <w:bookmarkStart w:id="227" w:name="_Toc11377"/>
      <w:bookmarkStart w:id="228" w:name="_Toc21467"/>
      <w:bookmarkStart w:id="229" w:name="_Toc16209"/>
      <w:bookmarkStart w:id="230" w:name="_Toc1599"/>
      <w:bookmarkStart w:id="231" w:name="_Toc18736"/>
      <w:bookmarkStart w:id="232" w:name="_Toc30531"/>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采购人或采购代理机构依法组建评标委员会，评标委员会由采购人代表、评审专家</w:t>
      </w:r>
      <w:r>
        <w:rPr>
          <w:rFonts w:hint="eastAsia" w:ascii="宋体" w:hAnsi="宋体" w:cs="宋体"/>
          <w:color w:val="auto"/>
          <w:sz w:val="24"/>
          <w:szCs w:val="24"/>
          <w:highlight w:val="none"/>
          <w:lang w:val="en-US" w:eastAsia="zh-CN"/>
        </w:rPr>
        <w:t>5人</w:t>
      </w:r>
      <w:r>
        <w:rPr>
          <w:rFonts w:hint="eastAsia" w:ascii="宋体" w:hAnsi="宋体" w:eastAsia="宋体" w:cs="宋体"/>
          <w:color w:val="auto"/>
          <w:sz w:val="24"/>
          <w:szCs w:val="24"/>
          <w:highlight w:val="none"/>
          <w:lang w:val="zh-CN"/>
        </w:rPr>
        <w:t>组成，评审专家在省级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rPr>
        <w:t>以上财政部门设立的政府采购评审专家库中随机抽取，其中评审专家不得少于成员总数的三分之二，评标委员会成员与投标人有利害关系的应当回避。</w:t>
      </w:r>
      <w:bookmarkEnd w:id="224"/>
      <w:bookmarkEnd w:id="225"/>
      <w:bookmarkEnd w:id="226"/>
      <w:bookmarkEnd w:id="227"/>
      <w:bookmarkEnd w:id="228"/>
      <w:bookmarkEnd w:id="229"/>
      <w:bookmarkEnd w:id="230"/>
      <w:bookmarkEnd w:id="231"/>
      <w:bookmarkEnd w:id="232"/>
    </w:p>
    <w:p>
      <w:pPr>
        <w:tabs>
          <w:tab w:val="left" w:pos="7797"/>
        </w:tabs>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评标委员会成员到位后，推荐一名评审专家担任评审组长，并由评审组长牵头组织该项目评审工作，采购人授权的评审专家，不得担任评审组长。</w:t>
      </w:r>
    </w:p>
    <w:p>
      <w:pPr>
        <w:tabs>
          <w:tab w:val="left" w:pos="7797"/>
        </w:tabs>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评标委员会有权对整个招标过程中出现的一切问题，根据《中华人民共和国政府采购法》、《中华人民共和国政府采购实施条例》和《政府采购货物和服务招标投标管理办法》的精神，本着公开、公平、公正的原则，进行处理。</w:t>
      </w:r>
    </w:p>
    <w:p>
      <w:pPr>
        <w:tabs>
          <w:tab w:val="left" w:pos="7797"/>
        </w:tabs>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开标后到向中标</w:t>
      </w:r>
      <w:r>
        <w:rPr>
          <w:rFonts w:hint="eastAsia" w:ascii="宋体" w:hAnsi="宋体" w:cs="宋体"/>
          <w:color w:val="auto"/>
          <w:sz w:val="24"/>
          <w:szCs w:val="24"/>
          <w:highlight w:val="none"/>
          <w:lang w:val="zh-CN"/>
        </w:rPr>
        <w:t>投标人</w:t>
      </w:r>
      <w:r>
        <w:rPr>
          <w:rFonts w:hint="eastAsia" w:ascii="宋体" w:hAnsi="宋体" w:eastAsia="宋体" w:cs="宋体"/>
          <w:color w:val="auto"/>
          <w:sz w:val="24"/>
          <w:szCs w:val="24"/>
          <w:highlight w:val="none"/>
          <w:lang w:val="zh-CN"/>
        </w:rPr>
        <w:t>授予合同为止，凡与审查、澄清、评价和比较投标的有关资料及授标意见等内容，评标委员会成员均不得向投标人及与评标无关的其他人透露。</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spacing w:line="360" w:lineRule="auto"/>
        <w:outlineLvl w:val="1"/>
        <w:rPr>
          <w:rFonts w:hint="eastAsia" w:ascii="宋体" w:hAnsi="宋体" w:eastAsia="宋体" w:cs="宋体"/>
          <w:b/>
          <w:bCs/>
          <w:color w:val="auto"/>
          <w:sz w:val="24"/>
          <w:szCs w:val="24"/>
          <w:highlight w:val="none"/>
        </w:rPr>
      </w:pPr>
      <w:bookmarkStart w:id="233" w:name="_Toc15420"/>
      <w:bookmarkStart w:id="234" w:name="_Toc7202"/>
      <w:bookmarkStart w:id="235" w:name="_Toc1889"/>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评标原则</w:t>
      </w:r>
      <w:bookmarkEnd w:id="233"/>
      <w:bookmarkEnd w:id="234"/>
      <w:bookmarkEnd w:id="23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“公开、公平、公正、客观、择优”为评标的基本原则，评标委员会将根据这一原则，公正、平等地对待各投标人。</w:t>
      </w:r>
    </w:p>
    <w:p>
      <w:pPr>
        <w:numPr>
          <w:ilvl w:val="0"/>
          <w:numId w:val="0"/>
        </w:numPr>
        <w:spacing w:line="360" w:lineRule="auto"/>
        <w:outlineLvl w:val="1"/>
        <w:rPr>
          <w:rFonts w:hint="eastAsia" w:ascii="宋体" w:hAnsi="宋体" w:eastAsia="宋体" w:cs="宋体"/>
          <w:b/>
          <w:bCs/>
          <w:color w:val="auto"/>
          <w:sz w:val="24"/>
          <w:szCs w:val="24"/>
          <w:highlight w:val="none"/>
        </w:rPr>
      </w:pPr>
      <w:bookmarkStart w:id="236" w:name="_Toc29575"/>
      <w:bookmarkStart w:id="237" w:name="_Toc4667"/>
      <w:bookmarkStart w:id="238" w:name="_Toc29185"/>
      <w:bookmarkStart w:id="239" w:name="_Toc25154"/>
      <w:r>
        <w:rPr>
          <w:rFonts w:hint="eastAsia" w:ascii="宋体" w:hAnsi="宋体" w:eastAsia="宋体" w:cs="宋体"/>
          <w:b/>
          <w:bCs/>
          <w:color w:val="auto"/>
          <w:sz w:val="24"/>
          <w:szCs w:val="24"/>
          <w:highlight w:val="none"/>
          <w:lang w:eastAsia="zh-CN"/>
        </w:rPr>
        <w:t>十、</w:t>
      </w:r>
      <w:r>
        <w:rPr>
          <w:rFonts w:hint="eastAsia" w:ascii="宋体" w:hAnsi="宋体" w:eastAsia="宋体" w:cs="宋体"/>
          <w:b/>
          <w:bCs/>
          <w:color w:val="auto"/>
          <w:sz w:val="24"/>
          <w:szCs w:val="24"/>
          <w:highlight w:val="none"/>
        </w:rPr>
        <w:t>评标程序</w:t>
      </w:r>
      <w:bookmarkEnd w:id="236"/>
      <w:bookmarkEnd w:id="237"/>
      <w:bookmarkEnd w:id="238"/>
      <w:bookmarkEnd w:id="239"/>
    </w:p>
    <w:p>
      <w:pPr>
        <w:numPr>
          <w:ilvl w:val="0"/>
          <w:numId w:val="3"/>
        </w:num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评标委员会首先对各投标文件进行初步评审，初步审查包括资格性审查和符合性审查，未通过审查的为无效标。</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rPr>
        <w:t>资格性检查：评标委员会将根据法律法规和招标文件的规定，对投标文件的资格证明文件、投标保证金等进行审查，以确定投标人是否具备</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lang w:val="zh-CN"/>
        </w:rPr>
        <w:t>标资格。</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lang w:val="zh-CN"/>
        </w:rPr>
        <w:t>符合性检查：依据招标文件的规定，从投标文件的有效性、完整性和对招标文件的响应程度进行审查，以确定是否对招标文件的要求作出了实质性的响应，存在重大偏离的投标文件为无效标。所谓重大偏离是指投标人投标文件中所述工程质量、工程量、技术、工期等和其他服务及工程内容明显不能满足招标文件要求。重大偏离的认定须经</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lang w:val="zh-CN"/>
        </w:rPr>
        <w:t>三分之二以上组员同意。</w:t>
      </w:r>
      <w:r>
        <w:rPr>
          <w:rFonts w:hint="eastAsia" w:ascii="宋体" w:hAnsi="宋体" w:eastAsia="宋体" w:cs="宋体"/>
          <w:bCs/>
          <w:color w:val="auto"/>
          <w:sz w:val="24"/>
          <w:szCs w:val="24"/>
          <w:highlight w:val="none"/>
          <w:lang w:val="zh-CN"/>
        </w:rPr>
        <w:t>符合性审查结束后，评标委员会当对审查结果进行签字确认。若投标人符合性审查未通过，注明未通过原因并告知其投标人，符合性审查不合格的投标人，不得进入下一评标环节。</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评标委员会判断“投标文件”的响应性，仅基于“投标文件”本身而不靠外部证据。非实质性响应的投标文件，投标人不能通过修正或撤销不符之处，而使其成为实质性响应。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3、评标委员会根据招标文件要求，讨论、通过评标工作流程和评标要点。</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4、围绕评标要点，评标委员会全体成员按招标文件中规定的评标方法和标准，对资格性检查和符合性检查合格的投标文件进行商务和技术评估，综合</w:t>
      </w:r>
      <w:r>
        <w:rPr>
          <w:rFonts w:hint="eastAsia" w:ascii="宋体" w:hAnsi="宋体" w:eastAsia="宋体" w:cs="宋体"/>
          <w:color w:val="auto"/>
          <w:sz w:val="24"/>
          <w:szCs w:val="24"/>
          <w:highlight w:val="none"/>
          <w:lang w:val="en-US" w:eastAsia="zh-CN"/>
        </w:rPr>
        <w:t>打分</w:t>
      </w:r>
      <w:r>
        <w:rPr>
          <w:rFonts w:hint="eastAsia" w:ascii="宋体" w:hAnsi="宋体" w:eastAsia="宋体" w:cs="宋体"/>
          <w:color w:val="auto"/>
          <w:sz w:val="24"/>
          <w:szCs w:val="24"/>
          <w:highlight w:val="none"/>
          <w:lang w:val="zh-CN"/>
        </w:rPr>
        <w:t>。</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5、评标过程出现异议的，由评标委员会共同商讨决定，需要投标人澄清的，评标委员会将以书面形式通知投标人。</w:t>
      </w:r>
    </w:p>
    <w:p>
      <w:pPr>
        <w:spacing w:line="360" w:lineRule="auto"/>
        <w:outlineLvl w:val="1"/>
        <w:rPr>
          <w:rFonts w:hint="eastAsia" w:ascii="宋体" w:hAnsi="宋体" w:eastAsia="宋体" w:cs="宋体"/>
          <w:b/>
          <w:bCs/>
          <w:color w:val="auto"/>
          <w:sz w:val="24"/>
          <w:szCs w:val="24"/>
          <w:highlight w:val="none"/>
          <w:lang w:val="zh-CN"/>
        </w:rPr>
      </w:pPr>
      <w:bookmarkStart w:id="240" w:name="_Toc30825"/>
      <w:bookmarkStart w:id="241" w:name="_Toc16160"/>
      <w:bookmarkStart w:id="242" w:name="_Toc26274"/>
      <w:bookmarkStart w:id="243" w:name="_Toc22193"/>
      <w:r>
        <w:rPr>
          <w:rFonts w:hint="eastAsia" w:ascii="宋体" w:hAnsi="宋体" w:eastAsia="宋体" w:cs="宋体"/>
          <w:b/>
          <w:bCs/>
          <w:color w:val="auto"/>
          <w:sz w:val="24"/>
          <w:szCs w:val="24"/>
          <w:highlight w:val="none"/>
          <w:lang w:val="zh-CN"/>
        </w:rPr>
        <w:t>十一、</w:t>
      </w:r>
      <w:bookmarkEnd w:id="240"/>
      <w:r>
        <w:rPr>
          <w:rFonts w:hint="eastAsia" w:ascii="宋体" w:hAnsi="宋体" w:eastAsia="宋体" w:cs="宋体"/>
          <w:b/>
          <w:bCs/>
          <w:color w:val="auto"/>
          <w:sz w:val="24"/>
          <w:szCs w:val="24"/>
          <w:highlight w:val="none"/>
          <w:lang w:val="zh-CN"/>
        </w:rPr>
        <w:t>中标候选</w:t>
      </w:r>
      <w:bookmarkEnd w:id="241"/>
      <w:bookmarkEnd w:id="242"/>
      <w:r>
        <w:rPr>
          <w:rFonts w:hint="eastAsia" w:ascii="宋体" w:hAnsi="宋体" w:cs="宋体"/>
          <w:b/>
          <w:bCs/>
          <w:color w:val="auto"/>
          <w:sz w:val="24"/>
          <w:szCs w:val="24"/>
          <w:highlight w:val="none"/>
          <w:lang w:val="zh-CN"/>
        </w:rPr>
        <w:t>投标人</w:t>
      </w:r>
      <w:bookmarkEnd w:id="243"/>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1、评标委员会统一签署评标汇总表，按综合得分高低推荐</w:t>
      </w:r>
      <w:r>
        <w:rPr>
          <w:rFonts w:hint="eastAsia" w:ascii="宋体" w:hAnsi="宋体" w:eastAsia="宋体" w:cs="宋体"/>
          <w:color w:val="auto"/>
          <w:sz w:val="24"/>
          <w:szCs w:val="24"/>
          <w:highlight w:val="none"/>
          <w:lang w:val="en-US" w:eastAsia="zh-CN"/>
        </w:rPr>
        <w:t>中标候选</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或者确定</w:t>
      </w:r>
      <w:r>
        <w:rPr>
          <w:rFonts w:hint="eastAsia" w:ascii="宋体" w:hAnsi="宋体" w:eastAsia="宋体" w:cs="宋体"/>
          <w:color w:val="auto"/>
          <w:sz w:val="24"/>
          <w:szCs w:val="24"/>
          <w:highlight w:val="none"/>
          <w:lang w:val="en-US" w:eastAsia="zh-CN"/>
        </w:rPr>
        <w:t>中标</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。得分相同的，以报价低的为优先中标候选</w:t>
      </w:r>
      <w:r>
        <w:rPr>
          <w:rFonts w:hint="eastAsia" w:ascii="宋体" w:hAnsi="宋体" w:cs="宋体"/>
          <w:color w:val="auto"/>
          <w:sz w:val="24"/>
          <w:szCs w:val="24"/>
          <w:highlight w:val="none"/>
          <w:lang w:val="zh-CN"/>
        </w:rPr>
        <w:t>投标人</w:t>
      </w:r>
      <w:r>
        <w:rPr>
          <w:rFonts w:hint="eastAsia" w:ascii="宋体" w:hAnsi="宋体" w:eastAsia="宋体" w:cs="宋体"/>
          <w:color w:val="auto"/>
          <w:sz w:val="24"/>
          <w:szCs w:val="24"/>
          <w:highlight w:val="none"/>
          <w:lang w:val="zh-CN"/>
        </w:rPr>
        <w:t>。</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2、评标委员会认为中标候选</w:t>
      </w:r>
      <w:r>
        <w:rPr>
          <w:rFonts w:hint="eastAsia" w:ascii="宋体" w:hAnsi="宋体" w:cs="宋体"/>
          <w:color w:val="auto"/>
          <w:sz w:val="24"/>
          <w:szCs w:val="24"/>
          <w:highlight w:val="none"/>
          <w:lang w:val="zh-CN"/>
        </w:rPr>
        <w:t>投标人</w:t>
      </w:r>
      <w:r>
        <w:rPr>
          <w:rFonts w:hint="eastAsia" w:ascii="宋体" w:hAnsi="宋体" w:eastAsia="宋体" w:cs="宋体"/>
          <w:color w:val="auto"/>
          <w:sz w:val="24"/>
          <w:szCs w:val="24"/>
          <w:highlight w:val="none"/>
          <w:lang w:val="zh-CN"/>
        </w:rPr>
        <w:t>投标价或某些分项报价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为保证本项目产品质量、良好的售后服务，最低报价不作为中标的唯一依据。</w:t>
      </w:r>
    </w:p>
    <w:p>
      <w:pPr>
        <w:spacing w:line="360" w:lineRule="auto"/>
        <w:outlineLvl w:val="1"/>
        <w:rPr>
          <w:rFonts w:hint="eastAsia" w:ascii="宋体" w:hAnsi="宋体" w:eastAsia="宋体" w:cs="宋体"/>
          <w:b/>
          <w:bCs/>
          <w:color w:val="auto"/>
          <w:sz w:val="24"/>
          <w:szCs w:val="24"/>
          <w:highlight w:val="none"/>
          <w:lang w:val="zh-CN"/>
        </w:rPr>
      </w:pPr>
      <w:bookmarkStart w:id="244" w:name="_Toc213839741"/>
      <w:bookmarkStart w:id="245" w:name="_Toc3468"/>
      <w:bookmarkStart w:id="246" w:name="_Toc28798"/>
      <w:bookmarkStart w:id="247" w:name="_Toc5147"/>
      <w:bookmarkStart w:id="248" w:name="_Toc25292"/>
      <w:r>
        <w:rPr>
          <w:rFonts w:hint="eastAsia" w:ascii="宋体" w:hAnsi="宋体" w:eastAsia="宋体" w:cs="宋体"/>
          <w:b/>
          <w:bCs/>
          <w:color w:val="auto"/>
          <w:sz w:val="24"/>
          <w:szCs w:val="24"/>
          <w:highlight w:val="none"/>
          <w:lang w:val="zh-CN"/>
        </w:rPr>
        <w:t>十二、评标过程</w:t>
      </w:r>
      <w:bookmarkEnd w:id="244"/>
      <w:r>
        <w:rPr>
          <w:rFonts w:hint="eastAsia" w:ascii="宋体" w:hAnsi="宋体" w:eastAsia="宋体" w:cs="宋体"/>
          <w:b/>
          <w:bCs/>
          <w:color w:val="auto"/>
          <w:sz w:val="24"/>
          <w:szCs w:val="24"/>
          <w:highlight w:val="none"/>
          <w:lang w:val="zh-CN"/>
        </w:rPr>
        <w:t>保密</w:t>
      </w:r>
      <w:bookmarkEnd w:id="245"/>
      <w:bookmarkEnd w:id="246"/>
      <w:bookmarkEnd w:id="247"/>
      <w:bookmarkEnd w:id="248"/>
    </w:p>
    <w:p>
      <w:pPr>
        <w:tabs>
          <w:tab w:val="left" w:pos="7797"/>
        </w:tabs>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tabs>
          <w:tab w:val="left" w:pos="7797"/>
        </w:tabs>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2、投标人不得探听上述信息，不得以任何行为影响评标过程，否则其投标文件将被作为无效投标文件。</w:t>
      </w:r>
    </w:p>
    <w:p>
      <w:pPr>
        <w:tabs>
          <w:tab w:val="left" w:pos="7797"/>
        </w:tabs>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、采购人和评标委员会不向未</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的投标人解释未中标原因，也不对评标过程中的细节问题进行公布。</w:t>
      </w:r>
    </w:p>
    <w:p>
      <w:pPr>
        <w:tabs>
          <w:tab w:val="left" w:pos="7797"/>
        </w:tabs>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bookmarkStart w:id="249" w:name="_Toc20472"/>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、报同一品牌的多家投标人，作为1家有效投标人计算（依据有效投标人投标报价由低到高的顺序）。</w:t>
      </w:r>
      <w:bookmarkEnd w:id="249"/>
    </w:p>
    <w:p>
      <w:pPr>
        <w:spacing w:line="360" w:lineRule="auto"/>
        <w:outlineLvl w:val="1"/>
        <w:rPr>
          <w:rFonts w:hint="eastAsia" w:ascii="宋体" w:hAnsi="宋体" w:eastAsia="宋体" w:cs="宋体"/>
          <w:color w:val="auto"/>
          <w:sz w:val="24"/>
          <w:szCs w:val="24"/>
          <w:highlight w:val="none"/>
        </w:rPr>
      </w:pPr>
      <w:bookmarkStart w:id="250" w:name="_Toc12033"/>
      <w:bookmarkStart w:id="251" w:name="_Toc17253"/>
      <w:bookmarkStart w:id="252" w:name="_Toc27506"/>
      <w:bookmarkStart w:id="253" w:name="_Toc19366"/>
      <w:r>
        <w:rPr>
          <w:rFonts w:hint="eastAsia" w:ascii="宋体" w:hAnsi="宋体" w:eastAsia="宋体" w:cs="宋体"/>
          <w:b/>
          <w:bCs/>
          <w:color w:val="auto"/>
          <w:sz w:val="24"/>
          <w:szCs w:val="24"/>
          <w:highlight w:val="none"/>
          <w:lang w:val="zh-CN"/>
        </w:rPr>
        <w:t>十三、其他法律法规强制性规定或扶持政策</w:t>
      </w:r>
      <w:bookmarkEnd w:id="250"/>
      <w:bookmarkEnd w:id="251"/>
      <w:bookmarkEnd w:id="252"/>
    </w:p>
    <w:p>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依据《中华人民共和国政府采购法》、《中华人民共和国政府采购法实施条例》的有关规定，落实政府采购政策</w:t>
      </w:r>
      <w:r>
        <w:rPr>
          <w:rFonts w:hint="eastAsia" w:ascii="宋体" w:hAnsi="宋体" w:eastAsia="宋体" w:cs="宋体"/>
          <w:sz w:val="24"/>
          <w:szCs w:val="24"/>
          <w:highlight w:val="none"/>
          <w:lang w:eastAsia="zh-CN"/>
        </w:rPr>
        <w:t>：</w:t>
      </w:r>
    </w:p>
    <w:p>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rPr>
          <w:rFonts w:hint="eastAsia" w:ascii="宋体" w:hAnsi="宋体" w:eastAsia="宋体" w:cs="宋体"/>
          <w:sz w:val="24"/>
          <w:szCs w:val="24"/>
          <w:highlight w:val="green"/>
        </w:rPr>
      </w:pPr>
      <w:r>
        <w:rPr>
          <w:rFonts w:hint="eastAsia" w:ascii="宋体" w:hAnsi="宋体" w:eastAsia="宋体" w:cs="宋体"/>
          <w:sz w:val="24"/>
          <w:szCs w:val="24"/>
          <w:highlight w:val="none"/>
        </w:rPr>
        <w:t>1、中小企业</w:t>
      </w:r>
      <w:r>
        <w:rPr>
          <w:rFonts w:hint="eastAsia" w:ascii="宋体" w:hAnsi="宋体" w:eastAsia="宋体" w:cs="宋体"/>
          <w:sz w:val="24"/>
          <w:szCs w:val="24"/>
          <w:highlight w:val="none"/>
          <w:lang w:eastAsia="zh-CN"/>
        </w:rPr>
        <w:t>应</w:t>
      </w:r>
      <w:r>
        <w:rPr>
          <w:rFonts w:hint="eastAsia" w:ascii="宋体" w:hAnsi="宋体" w:eastAsia="宋体" w:cs="宋体"/>
          <w:sz w:val="24"/>
          <w:szCs w:val="24"/>
          <w:highlight w:val="none"/>
        </w:rPr>
        <w:t>符合《工业和信息化部、国家统计局、国家发展和改革委员会、财政部关于印发中小企业划型标准规定的通知》（工信部联企业[2011]300号）规定，</w:t>
      </w:r>
      <w:r>
        <w:rPr>
          <w:rFonts w:hint="eastAsia" w:ascii="宋体" w:hAnsi="宋体" w:eastAsia="宋体" w:cs="宋体"/>
          <w:sz w:val="24"/>
          <w:szCs w:val="24"/>
          <w:highlight w:val="none"/>
          <w:lang w:eastAsia="zh-CN"/>
        </w:rPr>
        <w:t>并提供</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中小企业声明函</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p>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残疾人福利性单位应符合《财政部、民政部、中国残疾人联合会关于促进残疾人就业政府采购政策的通知》（财库[2017]141号）文件规定，并提供《残疾人福利性单位声明函》</w:t>
      </w:r>
      <w:r>
        <w:rPr>
          <w:rFonts w:hint="eastAsia" w:ascii="宋体" w:hAnsi="宋体" w:eastAsia="宋体" w:cs="宋体"/>
          <w:sz w:val="24"/>
          <w:szCs w:val="24"/>
          <w:highlight w:val="none"/>
          <w:lang w:eastAsia="zh-CN"/>
        </w:rPr>
        <w:t>；</w:t>
      </w:r>
    </w:p>
    <w:p>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、残疾人福利性单位属于小型、微型企业的，不重复享受政策</w:t>
      </w:r>
      <w:r>
        <w:rPr>
          <w:rFonts w:hint="eastAsia" w:ascii="宋体" w:hAnsi="宋体" w:eastAsia="宋体" w:cs="宋体"/>
          <w:sz w:val="24"/>
          <w:szCs w:val="24"/>
          <w:highlight w:val="none"/>
          <w:lang w:eastAsia="zh-CN"/>
        </w:rPr>
        <w:t>；</w:t>
      </w:r>
    </w:p>
    <w:p>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监狱、戒毒企业应符合</w:t>
      </w:r>
      <w:r>
        <w:rPr>
          <w:rFonts w:hint="eastAsia" w:ascii="宋体" w:hAnsi="宋体" w:eastAsia="宋体" w:cs="宋体"/>
          <w:sz w:val="24"/>
          <w:szCs w:val="24"/>
          <w:highlight w:val="none"/>
        </w:rPr>
        <w:t>《财政部 司法部 关于政府采购支持监狱企业发展有关问题的通知》（财库〔2014〕 68号）的规定</w:t>
      </w:r>
      <w:r>
        <w:rPr>
          <w:rFonts w:hint="eastAsia" w:ascii="宋体" w:hAnsi="宋体" w:eastAsia="宋体" w:cs="宋体"/>
          <w:sz w:val="24"/>
          <w:szCs w:val="24"/>
          <w:highlight w:val="none"/>
          <w:lang w:eastAsia="zh-CN"/>
        </w:rPr>
        <w:t>，并提供</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监狱、戒毒企业声明函</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监狱、戒毒企业视同小微企业，享受政府采购相关政策；监狱和戒毒企业须提供由省级</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lang w:val="en-US" w:eastAsia="zh-CN"/>
        </w:rPr>
        <w:t>以上监狱管理局、戒毒管理局(含新疆生产建设兵团)出具的属于监狱企业的证明文件。</w:t>
      </w:r>
    </w:p>
    <w:p>
      <w:pPr>
        <w:keepNext w:val="0"/>
        <w:keepLines w:val="0"/>
        <w:numPr>
          <w:ilvl w:val="0"/>
          <w:numId w:val="0"/>
        </w:numPr>
        <w:suppressLineNumbers w:val="0"/>
        <w:autoSpaceDE w:val="0"/>
        <w:autoSpaceDN w:val="0"/>
        <w:adjustRightInd w:val="0"/>
        <w:spacing w:before="0" w:beforeAutospacing="0" w:after="0" w:afterAutospacing="0" w:line="360" w:lineRule="auto"/>
        <w:ind w:left="0" w:right="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5、根据</w:t>
      </w:r>
      <w:r>
        <w:rPr>
          <w:rFonts w:hint="eastAsia" w:ascii="宋体" w:hAnsi="宋体" w:eastAsia="宋体" w:cs="宋体"/>
          <w:sz w:val="24"/>
          <w:szCs w:val="24"/>
          <w:highlight w:val="none"/>
          <w:lang w:val="en-US" w:eastAsia="zh-CN"/>
        </w:rPr>
        <w:t>节能产品政府采购实施意见--财库[2004]185号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环境标志产品政府采购实施的意见--财库[2006]90号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节能产品或者环保产品应符合《财政部发展改革委生态环境部市场监管总局关于调整优化节能产品、环境标志产品政府采购执行机制的通知》(财库〔2019〕9号)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财政部发布的《节能产品政府采购清单》或者《环境标志产品政府采购清单》</w:t>
      </w:r>
      <w:r>
        <w:rPr>
          <w:rFonts w:hint="eastAsia" w:ascii="宋体" w:hAnsi="宋体" w:eastAsia="宋体" w:cs="宋体"/>
          <w:sz w:val="24"/>
          <w:szCs w:val="24"/>
          <w:highlight w:val="none"/>
          <w:lang w:eastAsia="zh-CN"/>
        </w:rPr>
        <w:t>；</w:t>
      </w:r>
    </w:p>
    <w:p>
      <w:pPr>
        <w:autoSpaceDE w:val="0"/>
        <w:autoSpaceDN w:val="0"/>
        <w:adjustRightInd w:val="0"/>
        <w:spacing w:line="36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进口产品是指通过中国海关报关验放进入中国境内且产自关境外的产品，详见《关于政府采购进口产品管理有关问题的通知》(财库[2007]119号)。</w:t>
      </w:r>
    </w:p>
    <w:p>
      <w:pPr>
        <w:autoSpaceDE w:val="0"/>
        <w:autoSpaceDN w:val="0"/>
        <w:adjustRightInd w:val="0"/>
        <w:spacing w:line="360" w:lineRule="auto"/>
        <w:ind w:firstLine="64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zh-CN"/>
        </w:rPr>
        <w:t>、价格调整要素及价格折扣幅度列表：</w:t>
      </w:r>
    </w:p>
    <w:tbl>
      <w:tblPr>
        <w:tblStyle w:val="23"/>
        <w:tblW w:w="0" w:type="auto"/>
        <w:tblInd w:w="1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80"/>
        <w:gridCol w:w="3260"/>
        <w:gridCol w:w="43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1080" w:type="dxa"/>
            <w:noWrap w:val="0"/>
            <w:vAlign w:val="center"/>
          </w:tcPr>
          <w:p>
            <w:pPr>
              <w:widowControl/>
              <w:spacing w:line="360" w:lineRule="auto"/>
              <w:ind w:firstLine="118" w:firstLineChars="49"/>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3260" w:type="dxa"/>
            <w:noWrap w:val="0"/>
            <w:tcMar>
              <w:top w:w="0" w:type="dxa"/>
              <w:left w:w="108" w:type="dxa"/>
              <w:bottom w:w="0" w:type="dxa"/>
              <w:right w:w="108" w:type="dxa"/>
            </w:tcMar>
            <w:vAlign w:val="top"/>
          </w:tcPr>
          <w:p>
            <w:pPr>
              <w:widowControl/>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价格要素</w:t>
            </w:r>
          </w:p>
        </w:tc>
        <w:tc>
          <w:tcPr>
            <w:tcW w:w="4338" w:type="dxa"/>
            <w:noWrap w:val="0"/>
            <w:tcMar>
              <w:top w:w="0" w:type="dxa"/>
              <w:left w:w="108" w:type="dxa"/>
              <w:bottom w:w="0" w:type="dxa"/>
              <w:right w:w="108" w:type="dxa"/>
            </w:tcMar>
            <w:vAlign w:val="top"/>
          </w:tcPr>
          <w:p>
            <w:pPr>
              <w:widowControl/>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价格折扣幅度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720" w:hRule="atLeast"/>
        </w:trPr>
        <w:tc>
          <w:tcPr>
            <w:tcW w:w="1080" w:type="dxa"/>
            <w:noWrap w:val="0"/>
            <w:vAlign w:val="center"/>
          </w:tcPr>
          <w:p>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3260" w:type="dxa"/>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节能产品</w:t>
            </w:r>
          </w:p>
        </w:tc>
        <w:tc>
          <w:tcPr>
            <w:tcW w:w="4338" w:type="dxa"/>
            <w:noWrap w:val="0"/>
            <w:tcMar>
              <w:top w:w="0" w:type="dxa"/>
              <w:left w:w="108" w:type="dxa"/>
              <w:bottom w:w="0" w:type="dxa"/>
              <w:right w:w="108" w:type="dxa"/>
            </w:tcMar>
            <w:vAlign w:val="top"/>
          </w:tcPr>
          <w:p>
            <w:pPr>
              <w:widowControl/>
              <w:spacing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1080" w:type="dxa"/>
            <w:noWrap w:val="0"/>
            <w:vAlign w:val="center"/>
          </w:tcPr>
          <w:p>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3260" w:type="dxa"/>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环保产品</w:t>
            </w:r>
          </w:p>
        </w:tc>
        <w:tc>
          <w:tcPr>
            <w:tcW w:w="4338" w:type="dxa"/>
            <w:noWrap w:val="0"/>
            <w:tcMar>
              <w:top w:w="0" w:type="dxa"/>
              <w:left w:w="108" w:type="dxa"/>
              <w:bottom w:w="0" w:type="dxa"/>
              <w:right w:w="108" w:type="dxa"/>
            </w:tcMar>
            <w:vAlign w:val="top"/>
          </w:tcPr>
          <w:p>
            <w:pPr>
              <w:widowControl/>
              <w:spacing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080" w:type="dxa"/>
            <w:noWrap w:val="0"/>
            <w:vAlign w:val="center"/>
          </w:tcPr>
          <w:p>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3260" w:type="dxa"/>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货物（产品）出自小型或微型企业</w:t>
            </w:r>
          </w:p>
        </w:tc>
        <w:tc>
          <w:tcPr>
            <w:tcW w:w="4338" w:type="dxa"/>
            <w:noWrap w:val="0"/>
            <w:tcMar>
              <w:top w:w="0" w:type="dxa"/>
              <w:left w:w="108" w:type="dxa"/>
              <w:bottom w:w="0" w:type="dxa"/>
              <w:right w:w="108" w:type="dxa"/>
            </w:tcMar>
            <w:vAlign w:val="top"/>
          </w:tcPr>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联合体参加</w:t>
            </w:r>
            <w:r>
              <w:rPr>
                <w:rFonts w:hint="eastAsia" w:ascii="宋体" w:hAnsi="宋体" w:eastAsia="宋体" w:cs="宋体"/>
                <w:kern w:val="0"/>
                <w:sz w:val="24"/>
                <w:szCs w:val="24"/>
                <w:highlight w:val="none"/>
                <w:lang w:eastAsia="zh-CN"/>
              </w:rPr>
              <w:t>投标</w:t>
            </w:r>
            <w:r>
              <w:rPr>
                <w:rFonts w:hint="eastAsia" w:ascii="宋体" w:hAnsi="宋体" w:eastAsia="宋体" w:cs="宋体"/>
                <w:kern w:val="0"/>
                <w:sz w:val="24"/>
                <w:szCs w:val="24"/>
                <w:highlight w:val="none"/>
              </w:rPr>
              <w:t>的，小型、微型企业的协议合同金额占到联合体协议合同总金额30%以上的，给予联合体2%的价格扣除。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1080" w:type="dxa"/>
            <w:noWrap w:val="0"/>
            <w:vAlign w:val="center"/>
          </w:tcPr>
          <w:p>
            <w:pPr>
              <w:widowControl/>
              <w:spacing w:line="360" w:lineRule="auto"/>
              <w:ind w:firstLine="482"/>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3260" w:type="dxa"/>
            <w:noWrap w:val="0"/>
            <w:tcMar>
              <w:top w:w="0" w:type="dxa"/>
              <w:left w:w="108" w:type="dxa"/>
              <w:bottom w:w="0" w:type="dxa"/>
              <w:right w:w="108" w:type="dxa"/>
            </w:tcMar>
            <w:vAlign w:val="top"/>
          </w:tcPr>
          <w:p>
            <w:pPr>
              <w:widowControl/>
              <w:spacing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符合条件的残疾人福利性单位设备</w:t>
            </w:r>
          </w:p>
        </w:tc>
        <w:tc>
          <w:tcPr>
            <w:tcW w:w="4338" w:type="dxa"/>
            <w:noWrap w:val="0"/>
            <w:tcMar>
              <w:top w:w="0" w:type="dxa"/>
              <w:left w:w="108" w:type="dxa"/>
              <w:bottom w:w="0" w:type="dxa"/>
              <w:right w:w="108" w:type="dxa"/>
            </w:tcMar>
            <w:vAlign w:val="center"/>
          </w:tcPr>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1080" w:type="dxa"/>
            <w:noWrap w:val="0"/>
            <w:vAlign w:val="center"/>
          </w:tcPr>
          <w:p>
            <w:pPr>
              <w:widowControl/>
              <w:spacing w:line="360" w:lineRule="auto"/>
              <w:ind w:firstLine="482"/>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3260" w:type="dxa"/>
            <w:noWrap w:val="0"/>
            <w:tcMar>
              <w:top w:w="0" w:type="dxa"/>
              <w:left w:w="108" w:type="dxa"/>
              <w:bottom w:w="0" w:type="dxa"/>
              <w:right w:w="108" w:type="dxa"/>
            </w:tcMar>
            <w:vAlign w:val="top"/>
          </w:tcPr>
          <w:p>
            <w:pPr>
              <w:widowControl/>
              <w:spacing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4338" w:type="dxa"/>
            <w:noWrap w:val="0"/>
            <w:tcMar>
              <w:top w:w="0" w:type="dxa"/>
              <w:left w:w="108" w:type="dxa"/>
              <w:bottom w:w="0" w:type="dxa"/>
              <w:right w:w="108" w:type="dxa"/>
            </w:tcMar>
            <w:vAlign w:val="center"/>
          </w:tcPr>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0.5%</w:t>
            </w:r>
          </w:p>
        </w:tc>
      </w:tr>
    </w:tbl>
    <w:p>
      <w:pPr>
        <w:snapToGrid w:val="0"/>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说明：（1）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提供的产品属节能或环保产品的，以当期的《目录》为准。属于强制采购的产品，不再给予价格优惠。</w:t>
      </w:r>
    </w:p>
    <w:p>
      <w:pPr>
        <w:numPr>
          <w:ilvl w:val="0"/>
          <w:numId w:val="4"/>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小、微企业提供本企业生产的产品或中小型企业（代理商）代理的小、微企业生产的产品享受价格折扣条件；中小型企业（代理商）代理的中型及以上企业生产的产品不享受价格折扣条件。</w:t>
      </w:r>
    </w:p>
    <w:p>
      <w:pPr>
        <w:spacing w:line="360" w:lineRule="auto"/>
        <w:outlineLvl w:val="1"/>
        <w:rPr>
          <w:rFonts w:hint="eastAsia" w:ascii="宋体" w:hAnsi="宋体" w:eastAsia="宋体" w:cs="宋体"/>
          <w:b/>
          <w:bCs/>
          <w:color w:val="auto"/>
          <w:sz w:val="24"/>
          <w:szCs w:val="24"/>
          <w:highlight w:val="none"/>
          <w:lang w:val="zh-CN"/>
        </w:rPr>
      </w:pPr>
      <w:bookmarkStart w:id="254" w:name="_Toc20236"/>
      <w:r>
        <w:rPr>
          <w:rFonts w:hint="eastAsia" w:ascii="宋体" w:hAnsi="宋体" w:eastAsia="宋体" w:cs="宋体"/>
          <w:b/>
          <w:bCs/>
          <w:color w:val="auto"/>
          <w:sz w:val="24"/>
          <w:szCs w:val="24"/>
          <w:highlight w:val="none"/>
          <w:lang w:val="zh-CN"/>
        </w:rPr>
        <w:t>十四、合格的货物（产品）和服务</w:t>
      </w:r>
      <w:bookmarkEnd w:id="254"/>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w:t>
      </w:r>
      <w:r>
        <w:rPr>
          <w:rFonts w:hint="eastAsia" w:ascii="宋体" w:hAnsi="宋体" w:eastAsia="宋体" w:cs="宋体"/>
          <w:sz w:val="24"/>
          <w:szCs w:val="24"/>
          <w:highlight w:val="none"/>
          <w:lang w:val="en-GB" w:eastAsia="zh-CN"/>
        </w:rPr>
        <w:t>、</w:t>
      </w:r>
      <w:r>
        <w:rPr>
          <w:rFonts w:hint="eastAsia" w:ascii="宋体" w:hAnsi="宋体" w:eastAsia="宋体" w:cs="宋体"/>
          <w:sz w:val="24"/>
          <w:szCs w:val="24"/>
          <w:highlight w:val="none"/>
          <w:lang w:val="en-GB"/>
        </w:rPr>
        <w:t>投标人提供的所有货物和服务，必须是合法生产、合法来源（提供产品来源渠道合法的证明文件：包括但不限于销售协议、代理协议、原厂授权等），符合国家有关标准要求，并满足招标文件规定的规格、参数、质量、价格、有效期、售后服务及投标人须承担的运输、安装、技术支持、培训和招标文件规定的其它伴随服务等要求。</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2</w:t>
      </w:r>
      <w:r>
        <w:rPr>
          <w:rFonts w:hint="eastAsia" w:ascii="宋体" w:hAnsi="宋体" w:eastAsia="宋体" w:cs="宋体"/>
          <w:sz w:val="24"/>
          <w:szCs w:val="24"/>
          <w:highlight w:val="none"/>
          <w:lang w:val="en-GB" w:eastAsia="zh-CN"/>
        </w:rPr>
        <w:t>、</w:t>
      </w:r>
      <w:r>
        <w:rPr>
          <w:rFonts w:hint="eastAsia" w:ascii="宋体" w:hAnsi="宋体" w:eastAsia="宋体" w:cs="宋体"/>
          <w:sz w:val="24"/>
          <w:szCs w:val="24"/>
          <w:highlight w:val="none"/>
          <w:lang w:val="en-GB"/>
        </w:rPr>
        <w:t>采购人有权拒绝接受任何不合格的产品和服务，由此产生的费用及相关后果均由投标人自行承担。</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GB"/>
        </w:rPr>
        <w:t>所有产品必须具有在中国境内法定许可的生产及销售资格，且为全新原厂制造，其核心关键部分为近10个月内所生产的非淘汰类产品；属于《中华人民共和国实施强制性产品认证的产品目录》的产品，就不能提供超出此目录范畴外的替代品，此外，还须同时具备国家认监委颁布《中国强制认证》（CCC认证）。</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GB"/>
        </w:rPr>
        <w:t>采购的产品属于政府采购节能产品、环境标志产品品目清单范围的，</w:t>
      </w:r>
      <w:r>
        <w:rPr>
          <w:rFonts w:hint="eastAsia" w:ascii="宋体" w:hAnsi="宋体" w:eastAsia="宋体" w:cs="宋体"/>
          <w:sz w:val="24"/>
          <w:szCs w:val="24"/>
          <w:highlight w:val="none"/>
          <w:lang w:val="en-GB" w:eastAsia="zh-CN"/>
        </w:rPr>
        <w:t>投标</w:t>
      </w:r>
      <w:r>
        <w:rPr>
          <w:rFonts w:hint="eastAsia" w:ascii="宋体" w:hAnsi="宋体" w:cs="宋体"/>
          <w:sz w:val="24"/>
          <w:szCs w:val="24"/>
          <w:highlight w:val="none"/>
          <w:lang w:val="en-GB" w:eastAsia="zh-CN"/>
        </w:rPr>
        <w:t>投标人</w:t>
      </w:r>
      <w:r>
        <w:rPr>
          <w:rFonts w:hint="eastAsia" w:ascii="宋体" w:hAnsi="宋体" w:eastAsia="宋体" w:cs="宋体"/>
          <w:sz w:val="24"/>
          <w:szCs w:val="24"/>
          <w:highlight w:val="none"/>
          <w:lang w:val="en-GB"/>
        </w:rPr>
        <w:t>需提供国家确定的认证机构出具的、处于有效期之内的节能产品、环境标志产品认证证书，对获得证书的产品实施政府优先采购或强制采购。</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GB"/>
        </w:rPr>
        <w:t>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GB"/>
        </w:rPr>
        <w:t>信息安全产品应当获得国家信息安全认证，并可提供由中国信息安全认证中心按照国家标准认证颁发的有效认证证书。</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en-GB"/>
        </w:rPr>
        <w:t>根据《政府采购进口产品管理办法》（财库〔2007〕119号）与《关于政府采购进口产品管理有关问题的通知》（财办库[2008]248号）的有关规定，未经核准同意，</w:t>
      </w:r>
      <w:r>
        <w:rPr>
          <w:rFonts w:hint="eastAsia" w:ascii="宋体" w:hAnsi="宋体" w:eastAsia="宋体" w:cs="宋体"/>
          <w:sz w:val="24"/>
          <w:szCs w:val="24"/>
          <w:highlight w:val="none"/>
          <w:lang w:val="en-GB" w:eastAsia="zh-CN"/>
        </w:rPr>
        <w:t>投标</w:t>
      </w:r>
      <w:r>
        <w:rPr>
          <w:rFonts w:hint="eastAsia" w:ascii="宋体" w:hAnsi="宋体" w:cs="宋体"/>
          <w:sz w:val="24"/>
          <w:szCs w:val="24"/>
          <w:highlight w:val="none"/>
          <w:lang w:val="en-GB" w:eastAsia="zh-CN"/>
        </w:rPr>
        <w:t>投标人</w:t>
      </w:r>
      <w:r>
        <w:rPr>
          <w:rFonts w:hint="eastAsia" w:ascii="宋体" w:hAnsi="宋体" w:eastAsia="宋体" w:cs="宋体"/>
          <w:sz w:val="24"/>
          <w:szCs w:val="24"/>
          <w:highlight w:val="none"/>
          <w:lang w:val="en-GB"/>
        </w:rPr>
        <w:t>投标时必须提供本国产品，投标</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GB"/>
        </w:rPr>
        <w:t>以进口产品参与投标的，将作无效投标处理。</w:t>
      </w:r>
    </w:p>
    <w:p>
      <w:pPr>
        <w:spacing w:line="360" w:lineRule="auto"/>
        <w:ind w:firstLine="480" w:firstLineChars="200"/>
        <w:outlineLvl w:val="9"/>
        <w:rPr>
          <w:rFonts w:hint="eastAsia"/>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en-GB"/>
        </w:rPr>
        <w:t>如招标文件中已说明，经政府采购管理部门审核同意，允许部分或全部产品采购进口产品，</w:t>
      </w:r>
      <w:r>
        <w:rPr>
          <w:rFonts w:hint="eastAsia" w:ascii="宋体" w:hAnsi="宋体" w:eastAsia="宋体" w:cs="宋体"/>
          <w:sz w:val="24"/>
          <w:szCs w:val="24"/>
          <w:highlight w:val="none"/>
          <w:lang w:val="en-GB" w:eastAsia="zh-CN"/>
        </w:rPr>
        <w:t>投标</w:t>
      </w:r>
      <w:r>
        <w:rPr>
          <w:rFonts w:hint="eastAsia" w:ascii="宋体" w:hAnsi="宋体" w:cs="宋体"/>
          <w:sz w:val="24"/>
          <w:szCs w:val="24"/>
          <w:highlight w:val="none"/>
          <w:lang w:val="en-GB" w:eastAsia="zh-CN"/>
        </w:rPr>
        <w:t>投标人</w:t>
      </w:r>
      <w:r>
        <w:rPr>
          <w:rFonts w:hint="eastAsia" w:ascii="宋体" w:hAnsi="宋体" w:eastAsia="宋体" w:cs="宋体"/>
          <w:sz w:val="24"/>
          <w:szCs w:val="24"/>
          <w:highlight w:val="none"/>
          <w:lang w:val="en-GB"/>
        </w:rPr>
        <w:t>既可提供本国产品，也可以提供进口产品。在提供的进口产品中，优先采购向我国企业转让技术、与我国企业签订消化吸收再创新方案的</w:t>
      </w:r>
      <w:r>
        <w:rPr>
          <w:rFonts w:hint="eastAsia" w:ascii="宋体" w:hAnsi="宋体" w:cs="宋体"/>
          <w:sz w:val="24"/>
          <w:szCs w:val="24"/>
          <w:highlight w:val="none"/>
          <w:lang w:val="en-GB" w:eastAsia="zh-CN"/>
        </w:rPr>
        <w:t>投标人</w:t>
      </w:r>
      <w:r>
        <w:rPr>
          <w:rFonts w:hint="eastAsia" w:ascii="宋体" w:hAnsi="宋体" w:eastAsia="宋体" w:cs="宋体"/>
          <w:sz w:val="24"/>
          <w:szCs w:val="24"/>
          <w:highlight w:val="none"/>
          <w:lang w:val="en-GB"/>
        </w:rPr>
        <w:t>的进口产品。进口产品必须同时具备原产地证明、中国商检证明及合法进货渠道全套单证。</w:t>
      </w:r>
    </w:p>
    <w:p>
      <w:pPr>
        <w:spacing w:line="360" w:lineRule="auto"/>
        <w:outlineLvl w:val="1"/>
        <w:rPr>
          <w:rFonts w:hint="eastAsia" w:ascii="宋体" w:hAnsi="宋体" w:eastAsia="宋体" w:cs="宋体"/>
          <w:b/>
          <w:bCs/>
          <w:color w:val="auto"/>
          <w:sz w:val="24"/>
          <w:szCs w:val="24"/>
          <w:highlight w:val="none"/>
          <w:lang w:val="zh-CN"/>
        </w:rPr>
      </w:pPr>
      <w:bookmarkStart w:id="255" w:name="_Toc16926"/>
      <w:bookmarkStart w:id="256" w:name="_Toc3404"/>
      <w:bookmarkStart w:id="257" w:name="_Toc24135"/>
      <w:r>
        <w:rPr>
          <w:rFonts w:hint="eastAsia" w:ascii="宋体" w:hAnsi="宋体" w:eastAsia="宋体" w:cs="宋体"/>
          <w:b/>
          <w:bCs/>
          <w:color w:val="auto"/>
          <w:sz w:val="24"/>
          <w:szCs w:val="24"/>
          <w:highlight w:val="none"/>
          <w:lang w:val="zh-CN"/>
        </w:rPr>
        <w:t>十</w:t>
      </w:r>
      <w:r>
        <w:rPr>
          <w:rFonts w:hint="eastAsia" w:ascii="宋体" w:hAnsi="宋体" w:cs="宋体"/>
          <w:b/>
          <w:bCs/>
          <w:color w:val="auto"/>
          <w:sz w:val="24"/>
          <w:szCs w:val="24"/>
          <w:highlight w:val="none"/>
          <w:lang w:val="zh-CN"/>
        </w:rPr>
        <w:t>五</w:t>
      </w:r>
      <w:r>
        <w:rPr>
          <w:rFonts w:hint="eastAsia" w:ascii="宋体" w:hAnsi="宋体" w:eastAsia="宋体" w:cs="宋体"/>
          <w:b/>
          <w:bCs/>
          <w:color w:val="auto"/>
          <w:sz w:val="24"/>
          <w:szCs w:val="24"/>
          <w:highlight w:val="none"/>
          <w:lang w:val="zh-CN"/>
        </w:rPr>
        <w:t>、评标办法</w:t>
      </w:r>
      <w:bookmarkEnd w:id="253"/>
      <w:bookmarkEnd w:id="255"/>
      <w:bookmarkEnd w:id="256"/>
      <w:bookmarkEnd w:id="257"/>
    </w:p>
    <w:p>
      <w:pPr>
        <w:tabs>
          <w:tab w:val="left" w:pos="7797"/>
        </w:tabs>
        <w:autoSpaceDE w:val="0"/>
        <w:autoSpaceDN w:val="0"/>
        <w:adjustRightInd w:val="0"/>
        <w:spacing w:line="360" w:lineRule="auto"/>
        <w:ind w:firstLine="646"/>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本次招标的评标方法采用综合评分法，即在最大限度地满足招标文件实质性要求前提下，按照招标文件中规定的各项因素进行综合评审。</w:t>
      </w:r>
    </w:p>
    <w:p>
      <w:pPr>
        <w:tabs>
          <w:tab w:val="left" w:pos="7797"/>
        </w:tabs>
        <w:autoSpaceDE w:val="0"/>
        <w:autoSpaceDN w:val="0"/>
        <w:adjustRightInd w:val="0"/>
        <w:spacing w:line="360" w:lineRule="auto"/>
        <w:ind w:firstLine="646"/>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评标委员会严格按照招标文件的要求、条件及投标人所作的实质性响应内容，对投标人的投标文件进行综合打分。评标委员会由业主代表及相关专家五人</w:t>
      </w:r>
      <w:r>
        <w:rPr>
          <w:rFonts w:hint="eastAsia" w:ascii="宋体" w:hAnsi="宋体" w:eastAsia="宋体" w:cs="宋体"/>
          <w:color w:val="auto"/>
          <w:sz w:val="24"/>
          <w:szCs w:val="24"/>
          <w:highlight w:val="none"/>
          <w:lang w:val="en-US" w:eastAsia="zh-CN"/>
        </w:rPr>
        <w:t>及以上单数组成</w:t>
      </w:r>
      <w:r>
        <w:rPr>
          <w:rFonts w:hint="eastAsia" w:ascii="宋体" w:hAnsi="宋体" w:eastAsia="宋体" w:cs="宋体"/>
          <w:color w:val="auto"/>
          <w:sz w:val="24"/>
          <w:szCs w:val="24"/>
          <w:highlight w:val="none"/>
          <w:lang w:val="zh-CN"/>
        </w:rPr>
        <w:t>，负责对投标文件进行审查、评审和比较等工作。投标人的得分为各评委所给分数的平均分。计算结果值在小数点后均保留两位小数，后余位数四舍五入计。并以综合评分法进行评估，总分值为100分。</w:t>
      </w:r>
    </w:p>
    <w:p>
      <w:pPr>
        <w:pStyle w:val="11"/>
        <w:jc w:val="center"/>
        <w:outlineLvl w:val="2"/>
        <w:rPr>
          <w:rFonts w:hint="eastAsia" w:ascii="宋体" w:hAnsi="宋体" w:eastAsia="宋体" w:cs="宋体"/>
          <w:sz w:val="24"/>
          <w:szCs w:val="24"/>
          <w:lang w:val="zh-CN" w:eastAsia="zh-CN"/>
        </w:rPr>
      </w:pPr>
      <w:bookmarkStart w:id="258" w:name="_Toc9533"/>
      <w:bookmarkStart w:id="259" w:name="_Toc9331"/>
      <w:bookmarkStart w:id="260" w:name="_Toc23209"/>
      <w:bookmarkStart w:id="261" w:name="_Toc10859"/>
      <w:r>
        <w:rPr>
          <w:rFonts w:hint="eastAsia" w:ascii="宋体" w:hAnsi="宋体" w:eastAsia="宋体" w:cs="宋体"/>
          <w:b/>
          <w:bCs/>
          <w:sz w:val="24"/>
          <w:szCs w:val="24"/>
          <w:lang w:eastAsia="zh-CN"/>
        </w:rPr>
        <w:t>资格</w:t>
      </w:r>
      <w:bookmarkEnd w:id="258"/>
      <w:bookmarkStart w:id="262" w:name="_Toc12650"/>
      <w:r>
        <w:rPr>
          <w:rFonts w:hint="eastAsia" w:ascii="宋体" w:hAnsi="宋体" w:eastAsia="宋体" w:cs="宋体"/>
          <w:b/>
          <w:bCs/>
          <w:sz w:val="24"/>
          <w:szCs w:val="24"/>
          <w:lang w:eastAsia="zh-CN"/>
        </w:rPr>
        <w:t>性审查表</w:t>
      </w:r>
      <w:bookmarkEnd w:id="259"/>
      <w:bookmarkEnd w:id="260"/>
      <w:bookmarkEnd w:id="261"/>
      <w:bookmarkEnd w:id="262"/>
    </w:p>
    <w:tbl>
      <w:tblPr>
        <w:tblStyle w:val="24"/>
        <w:tblW w:w="9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75"/>
        <w:gridCol w:w="8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8" w:type="dxa"/>
            <w:vMerge w:val="restart"/>
            <w:noWrap w:val="0"/>
            <w:vAlign w:val="center"/>
          </w:tcPr>
          <w:p>
            <w:pPr>
              <w:keepNext w:val="0"/>
              <w:keepLines w:val="0"/>
              <w:suppressLineNumbers w:val="0"/>
              <w:tabs>
                <w:tab w:val="left" w:pos="7797"/>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 w:val="24"/>
                <w:szCs w:val="24"/>
                <w:highlight w:val="none"/>
                <w:vertAlign w:val="baseline"/>
                <w:lang w:val="zh-CN"/>
              </w:rPr>
            </w:pPr>
            <w:r>
              <w:rPr>
                <w:rFonts w:hint="eastAsia" w:ascii="宋体" w:hAnsi="宋体" w:eastAsia="宋体" w:cs="宋体"/>
                <w:color w:val="auto"/>
                <w:sz w:val="24"/>
                <w:szCs w:val="24"/>
                <w:highlight w:val="none"/>
                <w:vertAlign w:val="baseline"/>
                <w:lang w:val="zh-CN"/>
              </w:rPr>
              <w:t>资格性审查</w:t>
            </w:r>
          </w:p>
        </w:tc>
        <w:tc>
          <w:tcPr>
            <w:tcW w:w="575" w:type="dxa"/>
            <w:noWrap w:val="0"/>
            <w:vAlign w:val="center"/>
          </w:tcPr>
          <w:p>
            <w:pPr>
              <w:keepNext w:val="0"/>
              <w:keepLines w:val="0"/>
              <w:suppressLineNumbers w:val="0"/>
              <w:tabs>
                <w:tab w:val="left" w:pos="7797"/>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8313" w:type="dxa"/>
            <w:noWrap w:val="0"/>
            <w:vAlign w:val="center"/>
          </w:tcPr>
          <w:p>
            <w:pPr>
              <w:keepNext w:val="0"/>
              <w:keepLines w:val="0"/>
              <w:suppressLineNumbers w:val="0"/>
              <w:tabs>
                <w:tab w:val="left" w:pos="7797"/>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Merge w:val="continue"/>
            <w:noWrap w:val="0"/>
            <w:vAlign w:val="center"/>
          </w:tcPr>
          <w:p>
            <w:pPr>
              <w:keepNext w:val="0"/>
              <w:keepLines w:val="0"/>
              <w:suppressLineNumbers w:val="0"/>
              <w:tabs>
                <w:tab w:val="left" w:pos="7797"/>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 w:val="24"/>
                <w:szCs w:val="24"/>
                <w:highlight w:val="none"/>
                <w:vertAlign w:val="baseline"/>
                <w:lang w:val="zh-CN"/>
              </w:rPr>
            </w:pPr>
          </w:p>
        </w:tc>
        <w:tc>
          <w:tcPr>
            <w:tcW w:w="575" w:type="dxa"/>
            <w:noWrap w:val="0"/>
            <w:vAlign w:val="center"/>
          </w:tcPr>
          <w:p>
            <w:pPr>
              <w:keepNext w:val="0"/>
              <w:keepLines w:val="0"/>
              <w:suppressLineNumbers w:val="0"/>
              <w:tabs>
                <w:tab w:val="left" w:pos="7797"/>
              </w:tabs>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w:t>
            </w:r>
          </w:p>
        </w:tc>
        <w:tc>
          <w:tcPr>
            <w:tcW w:w="8313" w:type="dxa"/>
            <w:noWrap w:val="0"/>
            <w:vAlign w:val="center"/>
          </w:tcPr>
          <w:p>
            <w:pPr>
              <w:keepNext w:val="0"/>
              <w:keepLines w:val="0"/>
              <w:suppressLineNumbers w:val="0"/>
              <w:tabs>
                <w:tab w:val="left" w:pos="7797"/>
              </w:tabs>
              <w:autoSpaceDE w:val="0"/>
              <w:autoSpaceDN w:val="0"/>
              <w:adjustRightInd w:val="0"/>
              <w:spacing w:before="0" w:beforeAutospacing="0" w:after="0" w:afterAutospacing="0" w:line="360" w:lineRule="auto"/>
              <w:ind w:left="0" w:leftChars="0" w:right="0" w:rightChars="0"/>
              <w:jc w:val="both"/>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sz w:val="24"/>
                <w:szCs w:val="24"/>
                <w:highlight w:val="none"/>
                <w:lang w:val="en-US" w:eastAsia="zh-CN"/>
              </w:rPr>
              <w:t>法定代表人</w:t>
            </w:r>
            <w:r>
              <w:rPr>
                <w:rFonts w:hint="eastAsia" w:ascii="宋体" w:hAnsi="宋体" w:eastAsia="宋体" w:cs="宋体"/>
                <w:sz w:val="24"/>
                <w:szCs w:val="24"/>
                <w:highlight w:val="none"/>
              </w:rPr>
              <w:t>授权书</w:t>
            </w:r>
            <w:r>
              <w:rPr>
                <w:rFonts w:hint="eastAsia" w:ascii="宋体" w:hAnsi="宋体" w:eastAsia="宋体" w:cs="宋体"/>
                <w:sz w:val="24"/>
                <w:szCs w:val="24"/>
                <w:highlight w:val="none"/>
                <w:lang w:eastAsia="zh-CN"/>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18" w:type="dxa"/>
            <w:vMerge w:val="continue"/>
            <w:noWrap w:val="0"/>
            <w:vAlign w:val="center"/>
          </w:tcPr>
          <w:p>
            <w:pPr>
              <w:keepNext w:val="0"/>
              <w:keepLines w:val="0"/>
              <w:suppressLineNumbers w:val="0"/>
              <w:tabs>
                <w:tab w:val="left" w:pos="7797"/>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 w:val="24"/>
                <w:szCs w:val="24"/>
                <w:highlight w:val="none"/>
                <w:vertAlign w:val="baseline"/>
                <w:lang w:val="zh-CN"/>
              </w:rPr>
            </w:pPr>
          </w:p>
        </w:tc>
        <w:tc>
          <w:tcPr>
            <w:tcW w:w="575" w:type="dxa"/>
            <w:noWrap w:val="0"/>
            <w:vAlign w:val="center"/>
          </w:tcPr>
          <w:p>
            <w:pPr>
              <w:keepNext w:val="0"/>
              <w:keepLines w:val="0"/>
              <w:suppressLineNumbers w:val="0"/>
              <w:tabs>
                <w:tab w:val="left" w:pos="7797"/>
              </w:tabs>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w:t>
            </w:r>
          </w:p>
        </w:tc>
        <w:tc>
          <w:tcPr>
            <w:tcW w:w="8313" w:type="dxa"/>
            <w:noWrap w:val="0"/>
            <w:vAlign w:val="center"/>
          </w:tcPr>
          <w:p>
            <w:pPr>
              <w:keepNext w:val="0"/>
              <w:keepLines w:val="0"/>
              <w:suppressLineNumbers w:val="0"/>
              <w:tabs>
                <w:tab w:val="left" w:pos="7797"/>
              </w:tabs>
              <w:autoSpaceDE w:val="0"/>
              <w:autoSpaceDN w:val="0"/>
              <w:adjustRightInd w:val="0"/>
              <w:spacing w:before="0" w:beforeAutospacing="0" w:after="0" w:afterAutospacing="0" w:line="360" w:lineRule="auto"/>
              <w:ind w:left="0" w:leftChars="0" w:right="0" w:rightChars="0"/>
              <w:jc w:val="both"/>
              <w:rPr>
                <w:rFonts w:hint="eastAsia" w:ascii="宋体" w:hAnsi="宋体" w:eastAsia="宋体" w:cs="宋体"/>
                <w:color w:val="auto"/>
                <w:kern w:val="2"/>
                <w:sz w:val="24"/>
                <w:szCs w:val="24"/>
                <w:highlight w:val="none"/>
                <w:vertAlign w:val="baseline"/>
                <w:lang w:val="zh-CN" w:eastAsia="zh-CN" w:bidi="ar-SA"/>
              </w:rPr>
            </w:pPr>
            <w:r>
              <w:rPr>
                <w:rFonts w:hint="eastAsia" w:cs="宋体"/>
                <w:color w:val="auto"/>
                <w:sz w:val="24"/>
                <w:szCs w:val="24"/>
                <w:highlight w:val="none"/>
                <w:lang w:val="en-US" w:eastAsia="zh-CN"/>
              </w:rPr>
              <w:t>投标人为非所投进口产品制造商的，需提供进口产品制造商对投标人所投进口产品的授权，或具有授权权限的代理商对投标人所投进口产品的授权书原件（且需提供该代理商具有效授权权限的相关证明文件，证明文件需能显示进口产品制造商对所投产品授权链条的完整性）（进口产品制造商直投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18" w:type="dxa"/>
            <w:noWrap w:val="0"/>
            <w:vAlign w:val="center"/>
          </w:tcPr>
          <w:p>
            <w:pPr>
              <w:keepNext w:val="0"/>
              <w:keepLines w:val="0"/>
              <w:suppressLineNumbers w:val="0"/>
              <w:tabs>
                <w:tab w:val="left" w:pos="7797"/>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 w:val="24"/>
                <w:szCs w:val="24"/>
                <w:highlight w:val="none"/>
                <w:vertAlign w:val="baseline"/>
                <w:lang w:val="zh-CN"/>
              </w:rPr>
            </w:pPr>
          </w:p>
        </w:tc>
        <w:tc>
          <w:tcPr>
            <w:tcW w:w="575" w:type="dxa"/>
            <w:noWrap w:val="0"/>
            <w:vAlign w:val="center"/>
          </w:tcPr>
          <w:p>
            <w:pPr>
              <w:keepNext w:val="0"/>
              <w:keepLines w:val="0"/>
              <w:suppressLineNumbers w:val="0"/>
              <w:tabs>
                <w:tab w:val="left" w:pos="7797"/>
              </w:tabs>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8313" w:type="dxa"/>
            <w:noWrap w:val="0"/>
            <w:vAlign w:val="center"/>
          </w:tcPr>
          <w:p>
            <w:pPr>
              <w:keepNext w:val="0"/>
              <w:keepLines w:val="0"/>
              <w:suppressLineNumbers w:val="0"/>
              <w:tabs>
                <w:tab w:val="left" w:pos="7797"/>
              </w:tabs>
              <w:autoSpaceDE w:val="0"/>
              <w:autoSpaceDN w:val="0"/>
              <w:adjustRightInd w:val="0"/>
              <w:spacing w:before="0" w:beforeAutospacing="0" w:after="0" w:afterAutospacing="0" w:line="360" w:lineRule="auto"/>
              <w:ind w:left="0" w:leftChars="0" w:right="0" w:rightChars="0"/>
              <w:jc w:val="both"/>
              <w:rPr>
                <w:rFonts w:hint="eastAsia"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本项目不接受联合体投标，单位负责人为同一人或者存在直接控股、管理关系的不同单位，不得参加同一项下的政府采购活动。对列入失信被执行人、政府采购严重违法失信行为记录名单的</w:t>
            </w:r>
            <w:r>
              <w:rPr>
                <w:rFonts w:hint="eastAsia" w:ascii="宋体" w:hAnsi="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，拒绝参与本项目政府采购活动。</w:t>
            </w:r>
          </w:p>
        </w:tc>
      </w:tr>
    </w:tbl>
    <w:p>
      <w:pPr>
        <w:autoSpaceDE w:val="0"/>
        <w:autoSpaceDN w:val="0"/>
        <w:adjustRightInd w:val="0"/>
        <w:snapToGrid w:val="0"/>
        <w:spacing w:line="360" w:lineRule="auto"/>
        <w:jc w:val="center"/>
        <w:rPr>
          <w:rFonts w:hint="eastAsia" w:ascii="宋体" w:hAnsi="宋体" w:eastAsia="宋体" w:cs="宋体"/>
          <w:b/>
          <w:bCs/>
          <w:color w:val="000000"/>
          <w:kern w:val="2"/>
          <w:sz w:val="24"/>
          <w:szCs w:val="24"/>
          <w:lang w:val="zh-CN" w:eastAsia="zh-CN" w:bidi="ar-SA"/>
        </w:rPr>
      </w:pPr>
    </w:p>
    <w:p>
      <w:pPr>
        <w:autoSpaceDE w:val="0"/>
        <w:autoSpaceDN w:val="0"/>
        <w:adjustRightInd w:val="0"/>
        <w:snapToGrid w:val="0"/>
        <w:spacing w:line="360" w:lineRule="auto"/>
        <w:jc w:val="center"/>
        <w:outlineLvl w:val="2"/>
        <w:rPr>
          <w:rFonts w:hint="eastAsia" w:ascii="宋体" w:hAnsi="宋体" w:eastAsia="宋体" w:cs="宋体"/>
          <w:b/>
          <w:bCs/>
          <w:color w:val="000000"/>
          <w:kern w:val="2"/>
          <w:sz w:val="24"/>
          <w:szCs w:val="24"/>
          <w:lang w:val="zh-CN" w:eastAsia="zh-CN" w:bidi="ar-SA"/>
        </w:rPr>
      </w:pPr>
      <w:bookmarkStart w:id="263" w:name="_Toc27413"/>
      <w:bookmarkStart w:id="264" w:name="_Toc24058"/>
      <w:bookmarkStart w:id="265" w:name="_Toc6730"/>
      <w:bookmarkStart w:id="266" w:name="_Toc8372"/>
      <w:r>
        <w:rPr>
          <w:rFonts w:hint="eastAsia" w:ascii="宋体" w:hAnsi="宋体" w:eastAsia="宋体" w:cs="宋体"/>
          <w:b/>
          <w:bCs/>
          <w:color w:val="000000"/>
          <w:kern w:val="2"/>
          <w:sz w:val="24"/>
          <w:szCs w:val="24"/>
          <w:lang w:val="zh-CN" w:eastAsia="zh-CN" w:bidi="ar-SA"/>
        </w:rPr>
        <w:t>符合性审查表</w:t>
      </w:r>
      <w:bookmarkEnd w:id="263"/>
      <w:bookmarkEnd w:id="264"/>
      <w:bookmarkEnd w:id="265"/>
      <w:bookmarkEnd w:id="266"/>
    </w:p>
    <w:tbl>
      <w:tblPr>
        <w:tblStyle w:val="23"/>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005"/>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5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实质性条款要求</w:t>
            </w:r>
          </w:p>
        </w:tc>
        <w:tc>
          <w:tcPr>
            <w:tcW w:w="6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4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有效性</w:t>
            </w:r>
          </w:p>
        </w:tc>
        <w:tc>
          <w:tcPr>
            <w:tcW w:w="3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投标文件份数</w:t>
            </w:r>
          </w:p>
        </w:tc>
        <w:tc>
          <w:tcPr>
            <w:tcW w:w="6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均符合招标文件要求。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545"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zh-CN" w:eastAsia="zh-CN"/>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投标文件中的项目名称、项目编号、包号</w:t>
            </w:r>
          </w:p>
        </w:tc>
        <w:tc>
          <w:tcPr>
            <w:tcW w:w="6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无遗漏，且与所投项目名称、项目编号、包号完全一致。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5"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zh-CN" w:eastAsia="zh-CN"/>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投标文件签署、盖章</w:t>
            </w:r>
          </w:p>
        </w:tc>
        <w:tc>
          <w:tcPr>
            <w:tcW w:w="6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均按招标文件要求签字、盖章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45"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投标文件的计量单位、语言、报价货币、投标有效期</w:t>
            </w:r>
          </w:p>
        </w:tc>
        <w:tc>
          <w:tcPr>
            <w:tcW w:w="6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计量单位、语言、报价货币、投标有效期均符合招标文件的要求。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完整性</w:t>
            </w:r>
          </w:p>
        </w:tc>
        <w:tc>
          <w:tcPr>
            <w:tcW w:w="3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投标文件组成</w:t>
            </w:r>
          </w:p>
        </w:tc>
        <w:tc>
          <w:tcPr>
            <w:tcW w:w="6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按照招标文件第</w:t>
            </w:r>
            <w:r>
              <w:rPr>
                <w:rFonts w:hint="eastAsia" w:ascii="宋体" w:hAnsi="宋体" w:eastAsia="宋体" w:cs="宋体"/>
                <w:sz w:val="24"/>
                <w:szCs w:val="24"/>
                <w:lang w:val="en-US" w:eastAsia="zh-CN"/>
              </w:rPr>
              <w:t>五</w:t>
            </w:r>
            <w:r>
              <w:rPr>
                <w:rFonts w:hint="eastAsia" w:ascii="宋体" w:hAnsi="宋体" w:eastAsia="宋体" w:cs="宋体"/>
                <w:sz w:val="24"/>
                <w:szCs w:val="24"/>
                <w:lang w:val="zh-CN" w:eastAsia="zh-CN"/>
              </w:rPr>
              <w:t>部分格式编写，无缺漏项。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45"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zh-CN" w:eastAsia="zh-CN"/>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投标内容的完整性</w:t>
            </w:r>
          </w:p>
        </w:tc>
        <w:tc>
          <w:tcPr>
            <w:tcW w:w="6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投标内容未出现漏项或数量与要求不符。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4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zh-CN" w:eastAsia="zh-CN"/>
              </w:rPr>
            </w:pPr>
          </w:p>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zh-CN" w:eastAsia="zh-CN"/>
              </w:rPr>
            </w:pPr>
          </w:p>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响应程度</w:t>
            </w:r>
          </w:p>
        </w:tc>
        <w:tc>
          <w:tcPr>
            <w:tcW w:w="300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w:t>
            </w:r>
          </w:p>
        </w:tc>
        <w:tc>
          <w:tcPr>
            <w:tcW w:w="600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符合招标文件要求。</w:t>
            </w:r>
          </w:p>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（1）投标报价符合唯一性要求：</w:t>
            </w:r>
          </w:p>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报价一览表</w:t>
            </w:r>
            <w:r>
              <w:rPr>
                <w:rFonts w:hint="eastAsia" w:ascii="宋体" w:hAnsi="宋体" w:eastAsia="宋体" w:cs="宋体"/>
                <w:sz w:val="24"/>
                <w:szCs w:val="24"/>
                <w:lang w:val="en-US" w:eastAsia="zh-CN"/>
              </w:rPr>
              <w:t>填写符合要求；</w:t>
            </w:r>
          </w:p>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投标人的报价明显低于其他通过符合性审查投标人的报价，有可能影响</w:t>
            </w:r>
            <w:r>
              <w:rPr>
                <w:rFonts w:hint="eastAsia" w:ascii="宋体" w:hAnsi="宋体" w:eastAsia="宋体" w:cs="宋体"/>
                <w:sz w:val="24"/>
                <w:szCs w:val="24"/>
                <w:lang w:val="en-US" w:eastAsia="zh-CN"/>
              </w:rPr>
              <w:t>服务</w:t>
            </w:r>
            <w:r>
              <w:rPr>
                <w:rFonts w:hint="eastAsia" w:ascii="宋体" w:hAnsi="宋体" w:eastAsia="宋体" w:cs="宋体"/>
                <w:sz w:val="24"/>
                <w:szCs w:val="24"/>
                <w:lang w:val="zh-CN" w:eastAsia="zh-CN"/>
              </w:rPr>
              <w:t>质量或者不能诚信履约的，但投标人能证明其报价合理性的。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545"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zh-CN" w:eastAsia="zh-CN"/>
              </w:rPr>
            </w:pPr>
          </w:p>
        </w:tc>
        <w:tc>
          <w:tcPr>
            <w:tcW w:w="300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p>
        </w:tc>
        <w:tc>
          <w:tcPr>
            <w:tcW w:w="600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45" w:type="dxa"/>
            <w:vMerge w:val="continue"/>
            <w:tcBorders>
              <w:left w:val="single" w:color="auto" w:sz="4" w:space="0"/>
              <w:right w:val="single" w:color="auto" w:sz="4" w:space="0"/>
            </w:tcBorders>
            <w:noWrap w:val="0"/>
            <w:vAlign w:val="top"/>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合同条款响应</w:t>
            </w:r>
          </w:p>
        </w:tc>
        <w:tc>
          <w:tcPr>
            <w:tcW w:w="6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完全响应招标文件合同条款无负偏差或响应的内容未含有采购人不能接受的附加条件。</w:t>
            </w:r>
          </w:p>
        </w:tc>
      </w:tr>
    </w:tbl>
    <w:p>
      <w:pPr>
        <w:numPr>
          <w:ilvl w:val="0"/>
          <w:numId w:val="0"/>
        </w:numPr>
        <w:autoSpaceDE w:val="0"/>
        <w:autoSpaceDN w:val="0"/>
        <w:adjustRightInd w:val="0"/>
        <w:snapToGri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投标文件的澄清、说明或者补正：</w:t>
      </w:r>
    </w:p>
    <w:p>
      <w:pPr>
        <w:numPr>
          <w:ilvl w:val="0"/>
          <w:numId w:val="0"/>
        </w:num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val="zh-CN"/>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代表签字。投标人的澄清、说明或者补正不得超出投标文件的范围或者改变投标文件的实质性内容。</w:t>
      </w:r>
    </w:p>
    <w:p>
      <w:pPr>
        <w:numPr>
          <w:ilvl w:val="0"/>
          <w:numId w:val="0"/>
        </w:num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lang w:val="zh-CN"/>
        </w:rPr>
        <w:t>报价出现前后不一致的，按照下列规定修正：</w:t>
      </w:r>
    </w:p>
    <w:p>
      <w:pPr>
        <w:numPr>
          <w:ilvl w:val="0"/>
          <w:numId w:val="0"/>
        </w:num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 xml:space="preserve">3.2.1 </w:t>
      </w:r>
      <w:r>
        <w:rPr>
          <w:rFonts w:hint="eastAsia" w:ascii="宋体" w:hAnsi="宋体" w:eastAsia="宋体" w:cs="宋体"/>
          <w:sz w:val="24"/>
          <w:szCs w:val="24"/>
          <w:highlight w:val="none"/>
          <w:lang w:val="zh-CN"/>
        </w:rPr>
        <w:t>正本与副本不一致的，以正本为准；</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 xml:space="preserve">3.2.2 </w:t>
      </w:r>
      <w:r>
        <w:rPr>
          <w:rFonts w:hint="eastAsia" w:ascii="宋体" w:hAnsi="宋体" w:eastAsia="宋体" w:cs="宋体"/>
          <w:sz w:val="24"/>
          <w:szCs w:val="24"/>
          <w:highlight w:val="none"/>
          <w:lang w:val="zh-CN"/>
        </w:rPr>
        <w:t>大写金额和小写金额不一致的，以大写金额为准；</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 xml:space="preserve">3.3.3 </w:t>
      </w:r>
      <w:r>
        <w:rPr>
          <w:rFonts w:hint="eastAsia" w:ascii="宋体" w:hAnsi="宋体" w:eastAsia="宋体" w:cs="宋体"/>
          <w:sz w:val="24"/>
          <w:szCs w:val="24"/>
          <w:highlight w:val="none"/>
          <w:lang w:val="zh-CN"/>
        </w:rPr>
        <w:t>投标文件中报价一览表内容与投标文件中相应内容不一致的，以报价一览表为准；</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 xml:space="preserve">3.3.4 </w:t>
      </w:r>
      <w:r>
        <w:rPr>
          <w:rFonts w:hint="eastAsia" w:ascii="宋体" w:hAnsi="宋体" w:eastAsia="宋体" w:cs="宋体"/>
          <w:sz w:val="24"/>
          <w:szCs w:val="24"/>
          <w:highlight w:val="none"/>
          <w:lang w:val="zh-CN"/>
        </w:rPr>
        <w:t>单价金额小数点或者百分比有明显错位的，以报价一览表的总价为准，并修改单价；</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3.3.5</w:t>
      </w:r>
      <w:r>
        <w:rPr>
          <w:rFonts w:hint="eastAsia" w:ascii="宋体" w:hAnsi="宋体" w:eastAsia="宋体" w:cs="宋体"/>
          <w:sz w:val="24"/>
          <w:szCs w:val="24"/>
          <w:highlight w:val="none"/>
          <w:lang w:val="zh-CN"/>
        </w:rPr>
        <w:t>总价金额与按单价汇总金额不一致的，以单价金额计算结果为准。</w:t>
      </w:r>
    </w:p>
    <w:p>
      <w:pPr>
        <w:autoSpaceDE w:val="0"/>
        <w:autoSpaceDN w:val="0"/>
        <w:adjustRightInd w:val="0"/>
        <w:snapToGrid w:val="0"/>
        <w:spacing w:line="360" w:lineRule="auto"/>
        <w:ind w:firstLine="627"/>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同时出现两种以上不一致的，按照前款规定的顺序修正。修正后的报价经投标人书面确认后产生约束力，投标人不确认的，其投标无效。</w:t>
      </w:r>
    </w:p>
    <w:p>
      <w:pPr>
        <w:autoSpaceDE w:val="0"/>
        <w:autoSpaceDN w:val="0"/>
        <w:adjustRightInd w:val="0"/>
        <w:snapToGrid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rPr>
        <w:t>投标文件出现前后不一致的，按照下列规定修正：</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lang w:val="zh-CN"/>
        </w:rPr>
        <w:t xml:space="preserve">正本与副本不一致的，以正本为准； </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lang w:val="zh-CN"/>
        </w:rPr>
        <w:t>文字与图表不一致的，以文字为准；</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lang w:val="zh-CN"/>
        </w:rPr>
        <w:t>对不同文字文本投标文件的解释发生异议的，以中文文本为准；</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修正后的内容经投标人确认后产生约束力，投标人不确认的，其投标无效。</w:t>
      </w:r>
    </w:p>
    <w:p>
      <w:pPr>
        <w:tabs>
          <w:tab w:val="left" w:pos="9030"/>
        </w:tabs>
        <w:snapToGrid w:val="0"/>
        <w:spacing w:line="360" w:lineRule="auto"/>
        <w:ind w:right="-6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比较与评价</w:t>
      </w:r>
    </w:p>
    <w:p>
      <w:pPr>
        <w:autoSpaceDE w:val="0"/>
        <w:autoSpaceDN w:val="0"/>
        <w:adjustRightInd w:val="0"/>
        <w:snapToGrid w:val="0"/>
        <w:spacing w:line="360" w:lineRule="auto"/>
        <w:ind w:firstLine="627"/>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按照招标文件规定的评标方法和标准，对资格性审查和符合性审查合格的文件进行评审，综合比较和评价。</w:t>
      </w:r>
    </w:p>
    <w:p>
      <w:pPr>
        <w:autoSpaceDE w:val="0"/>
        <w:autoSpaceDN w:val="0"/>
        <w:adjustRightInd w:val="0"/>
        <w:snapToGrid w:val="0"/>
        <w:spacing w:line="360" w:lineRule="auto"/>
        <w:ind w:firstLine="627"/>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评标方法:综合评分法，指投标文件满足招标文件全部实质性要求，且按照评审因素的量化指标评审得分最高的投标人为中标候选</w:t>
      </w:r>
      <w:r>
        <w:rPr>
          <w:rFonts w:hint="eastAsia" w:ascii="宋体" w:hAnsi="宋体" w:cs="宋体"/>
          <w:color w:val="auto"/>
          <w:sz w:val="24"/>
          <w:szCs w:val="24"/>
          <w:highlight w:val="none"/>
          <w:lang w:val="zh-CN"/>
        </w:rPr>
        <w:t>投标人</w:t>
      </w:r>
      <w:r>
        <w:rPr>
          <w:rFonts w:hint="eastAsia" w:ascii="宋体" w:hAnsi="宋体" w:eastAsia="宋体" w:cs="宋体"/>
          <w:color w:val="auto"/>
          <w:sz w:val="24"/>
          <w:szCs w:val="24"/>
          <w:highlight w:val="none"/>
          <w:lang w:val="zh-CN"/>
        </w:rPr>
        <w:t>的评标方法。</w:t>
      </w:r>
    </w:p>
    <w:p>
      <w:pPr>
        <w:autoSpaceDE w:val="0"/>
        <w:autoSpaceDN w:val="0"/>
        <w:adjustRightInd w:val="0"/>
        <w:snapToGrid w:val="0"/>
        <w:spacing w:line="360" w:lineRule="auto"/>
        <w:ind w:firstLine="627"/>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评标因素及分值分解表（总计100分）</w:t>
      </w:r>
    </w:p>
    <w:p>
      <w:pPr>
        <w:pStyle w:val="11"/>
        <w:rPr>
          <w:rFonts w:hint="eastAsia"/>
          <w:lang w:val="zh-CN"/>
        </w:rPr>
      </w:pPr>
    </w:p>
    <w:p>
      <w:pPr>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autoSpaceDE w:val="0"/>
        <w:autoSpaceDN w:val="0"/>
        <w:adjustRightInd w:val="0"/>
        <w:snapToGrid w:val="0"/>
        <w:spacing w:line="360" w:lineRule="auto"/>
        <w:jc w:val="center"/>
        <w:rPr>
          <w:rFonts w:hint="eastAsia" w:ascii="宋体" w:hAnsi="宋体" w:eastAsia="宋体" w:cs="宋体"/>
          <w:b/>
          <w:color w:val="auto"/>
          <w:kern w:val="2"/>
          <w:sz w:val="24"/>
          <w:szCs w:val="24"/>
          <w:highlight w:val="none"/>
          <w:lang w:val="zh-CN" w:eastAsia="zh-CN" w:bidi="ar-SA"/>
        </w:rPr>
      </w:pPr>
      <w:bookmarkStart w:id="267" w:name="_Toc16114"/>
      <w:r>
        <w:rPr>
          <w:rFonts w:hint="eastAsia" w:ascii="宋体" w:hAnsi="宋体" w:eastAsia="宋体" w:cs="宋体"/>
          <w:b/>
          <w:color w:val="auto"/>
          <w:kern w:val="2"/>
          <w:sz w:val="24"/>
          <w:szCs w:val="24"/>
          <w:highlight w:val="none"/>
          <w:lang w:val="zh-CN" w:eastAsia="zh-CN" w:bidi="ar-SA"/>
        </w:rPr>
        <w:t>详细评审表</w:t>
      </w:r>
      <w:bookmarkEnd w:id="267"/>
    </w:p>
    <w:tbl>
      <w:tblPr>
        <w:tblStyle w:val="23"/>
        <w:tblW w:w="92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96"/>
        <w:gridCol w:w="7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center"/>
          </w:tcPr>
          <w:p>
            <w:pPr>
              <w:keepNext w:val="0"/>
              <w:keepLines w:val="0"/>
              <w:pageBreakBefore w:val="0"/>
              <w:widowControl w:val="0"/>
              <w:kinsoku/>
              <w:wordWrap/>
              <w:overflowPunct/>
              <w:topLinePunct w:val="0"/>
              <w:bidi w:val="0"/>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评审内容</w:t>
            </w:r>
          </w:p>
        </w:tc>
        <w:tc>
          <w:tcPr>
            <w:tcW w:w="796" w:type="dxa"/>
            <w:noWrap w:val="0"/>
            <w:vAlign w:val="center"/>
          </w:tcPr>
          <w:p>
            <w:pPr>
              <w:keepNext w:val="0"/>
              <w:keepLines w:val="0"/>
              <w:pageBreakBefore w:val="0"/>
              <w:widowControl w:val="0"/>
              <w:kinsoku/>
              <w:wordWrap/>
              <w:overflowPunct/>
              <w:topLinePunct w:val="0"/>
              <w:bidi w:val="0"/>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分数</w:t>
            </w:r>
          </w:p>
        </w:tc>
        <w:tc>
          <w:tcPr>
            <w:tcW w:w="7182" w:type="dxa"/>
            <w:noWrap w:val="0"/>
            <w:vAlign w:val="center"/>
          </w:tcPr>
          <w:p>
            <w:pPr>
              <w:keepNext w:val="0"/>
              <w:keepLines w:val="0"/>
              <w:pageBreakBefore w:val="0"/>
              <w:widowControl w:val="0"/>
              <w:kinsoku/>
              <w:wordWrap/>
              <w:overflowPunct/>
              <w:topLinePunct w:val="0"/>
              <w:bidi w:val="0"/>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评审原则与标准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276" w:type="dxa"/>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  价</w:t>
            </w:r>
          </w:p>
        </w:tc>
        <w:tc>
          <w:tcPr>
            <w:tcW w:w="796" w:type="dxa"/>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30分</w:t>
            </w:r>
          </w:p>
        </w:tc>
        <w:tc>
          <w:tcPr>
            <w:tcW w:w="7182" w:type="dxa"/>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lang w:val="en-US" w:eastAsia="zh-CN"/>
              </w:rPr>
            </w:pPr>
            <w:r>
              <w:rPr>
                <w:rFonts w:hint="eastAsia"/>
                <w:lang w:val="en-US" w:eastAsia="zh-CN"/>
              </w:rPr>
              <w:t>实质性满足招标文件要求且投标价格最低的投标报价为评标基准价，其报价分为满分30分。</w:t>
            </w:r>
          </w:p>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lang w:val="en-US" w:eastAsia="zh-CN"/>
              </w:rPr>
            </w:pPr>
            <w:r>
              <w:rPr>
                <w:rFonts w:hint="eastAsia"/>
                <w:lang w:val="en-US" w:eastAsia="zh-CN"/>
              </w:rPr>
              <w:t>其它投标报价得分=（评标基准价/投标报价）*30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276" w:type="dxa"/>
            <w:vMerge w:val="restart"/>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技术方案</w:t>
            </w:r>
          </w:p>
        </w:tc>
        <w:tc>
          <w:tcPr>
            <w:tcW w:w="796" w:type="dxa"/>
            <w:vMerge w:val="restart"/>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40</w:t>
            </w:r>
            <w:r>
              <w:rPr>
                <w:rFonts w:hint="eastAsia" w:ascii="宋体" w:hAnsi="宋体" w:eastAsia="宋体" w:cs="宋体"/>
                <w:sz w:val="24"/>
                <w:szCs w:val="24"/>
                <w:lang w:val="en-US" w:eastAsia="zh-CN"/>
              </w:rPr>
              <w:t>分</w:t>
            </w:r>
          </w:p>
        </w:tc>
        <w:tc>
          <w:tcPr>
            <w:tcW w:w="7182" w:type="dxa"/>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所投产品、选型、规格指标、功能配置、数量准确，技术资料齐全，产品彩页、配置效果图等，满分</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分。</w:t>
            </w:r>
          </w:p>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所投产品规格指标、功能优，技术资料</w:t>
            </w:r>
            <w:r>
              <w:rPr>
                <w:rFonts w:hint="eastAsia" w:ascii="宋体" w:hAnsi="宋体" w:cs="宋体"/>
                <w:sz w:val="24"/>
                <w:szCs w:val="24"/>
                <w:lang w:val="en-US" w:eastAsia="zh-CN"/>
              </w:rPr>
              <w:t>完整</w:t>
            </w:r>
            <w:r>
              <w:rPr>
                <w:rFonts w:hint="eastAsia" w:ascii="宋体" w:hAnsi="宋体" w:eastAsia="宋体" w:cs="宋体"/>
                <w:sz w:val="24"/>
                <w:szCs w:val="24"/>
                <w:lang w:val="en-US" w:eastAsia="zh-CN"/>
              </w:rPr>
              <w:t>，得</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.1-1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所投产品规格指标、功能</w:t>
            </w:r>
            <w:r>
              <w:rPr>
                <w:rFonts w:hint="eastAsia" w:ascii="宋体" w:hAnsi="宋体" w:cs="宋体"/>
                <w:sz w:val="24"/>
                <w:szCs w:val="24"/>
                <w:lang w:val="en-US" w:eastAsia="zh-CN"/>
              </w:rPr>
              <w:t>较好</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技术</w:t>
            </w:r>
            <w:r>
              <w:rPr>
                <w:rFonts w:hint="eastAsia" w:ascii="宋体" w:hAnsi="宋体" w:eastAsia="宋体" w:cs="宋体"/>
                <w:sz w:val="24"/>
                <w:szCs w:val="24"/>
                <w:lang w:val="en-US" w:eastAsia="zh-CN"/>
              </w:rPr>
              <w:t>资料</w:t>
            </w:r>
            <w:r>
              <w:rPr>
                <w:rFonts w:hint="eastAsia" w:ascii="宋体" w:hAnsi="宋体" w:cs="宋体"/>
                <w:sz w:val="24"/>
                <w:szCs w:val="24"/>
                <w:lang w:val="en-US" w:eastAsia="zh-CN"/>
              </w:rPr>
              <w:t>较完整</w:t>
            </w:r>
            <w:r>
              <w:rPr>
                <w:rFonts w:hint="eastAsia" w:ascii="宋体" w:hAnsi="宋体" w:eastAsia="宋体" w:cs="宋体"/>
                <w:sz w:val="24"/>
                <w:szCs w:val="24"/>
                <w:lang w:val="en-US" w:eastAsia="zh-CN"/>
              </w:rPr>
              <w:t>，得</w:t>
            </w:r>
            <w:r>
              <w:rPr>
                <w:rFonts w:hint="eastAsia" w:ascii="宋体" w:hAnsi="宋体" w:cs="宋体"/>
                <w:sz w:val="24"/>
                <w:szCs w:val="24"/>
                <w:lang w:val="en-US" w:eastAsia="zh-CN"/>
              </w:rPr>
              <w:t>5.1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所投产品规格指标、功能简单，</w:t>
            </w:r>
            <w:r>
              <w:rPr>
                <w:rFonts w:hint="eastAsia" w:ascii="宋体" w:hAnsi="宋体" w:cs="宋体"/>
                <w:sz w:val="24"/>
                <w:szCs w:val="24"/>
                <w:lang w:val="en-US" w:eastAsia="zh-CN"/>
              </w:rPr>
              <w:t>技术</w:t>
            </w:r>
            <w:r>
              <w:rPr>
                <w:rFonts w:hint="eastAsia" w:ascii="宋体" w:hAnsi="宋体" w:eastAsia="宋体" w:cs="宋体"/>
                <w:sz w:val="24"/>
                <w:szCs w:val="24"/>
                <w:lang w:val="en-US" w:eastAsia="zh-CN"/>
              </w:rPr>
              <w:t>资料不全，得</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rPr>
        <w:tc>
          <w:tcPr>
            <w:tcW w:w="1276" w:type="dxa"/>
            <w:vMerge w:val="continue"/>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p>
        </w:tc>
        <w:tc>
          <w:tcPr>
            <w:tcW w:w="796" w:type="dxa"/>
            <w:vMerge w:val="continue"/>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p>
        </w:tc>
        <w:tc>
          <w:tcPr>
            <w:tcW w:w="7182" w:type="dxa"/>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投标产品中每有一项为节能产品政府采购清单中的产品的得1分，每有一项为环境标志产品政府采购清单中的产品的得1分，供应商所投产品中每有一项产品同时为节能产品政府采购清单和环境标志产品政府采购清单中的产品的得</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分，最多得</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w:t>
            </w:r>
          </w:p>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（提供清单复印件）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rPr>
        <w:tc>
          <w:tcPr>
            <w:tcW w:w="1276" w:type="dxa"/>
            <w:vMerge w:val="continue"/>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p>
        </w:tc>
        <w:tc>
          <w:tcPr>
            <w:tcW w:w="796" w:type="dxa"/>
            <w:vMerge w:val="continue"/>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p>
        </w:tc>
        <w:tc>
          <w:tcPr>
            <w:tcW w:w="7182" w:type="dxa"/>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提供详细、完善、科学的技术方案，满分15分。</w:t>
            </w:r>
          </w:p>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1.提供详细完善、科学的方案，有针对性且优于采购要求得</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.1-1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2.提供的方案完整或内容简单得</w:t>
            </w:r>
            <w:r>
              <w:rPr>
                <w:rFonts w:hint="eastAsia" w:ascii="宋体" w:hAnsi="宋体" w:cs="宋体"/>
                <w:sz w:val="24"/>
                <w:szCs w:val="24"/>
                <w:lang w:val="en-US" w:eastAsia="zh-CN"/>
              </w:rPr>
              <w:t>5.1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lang w:val="en-US" w:eastAsia="zh-CN"/>
              </w:rPr>
            </w:pPr>
            <w:r>
              <w:rPr>
                <w:rFonts w:hint="eastAsia" w:ascii="宋体" w:hAnsi="宋体" w:eastAsia="宋体" w:cs="宋体"/>
                <w:sz w:val="24"/>
                <w:szCs w:val="24"/>
                <w:lang w:val="en-US" w:eastAsia="zh-CN"/>
              </w:rPr>
              <w:t>3.提供的方案完整或内容不完整1-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76" w:type="dxa"/>
            <w:vMerge w:val="continue"/>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p>
        </w:tc>
        <w:tc>
          <w:tcPr>
            <w:tcW w:w="796" w:type="dxa"/>
            <w:vMerge w:val="continue"/>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p>
        </w:tc>
        <w:tc>
          <w:tcPr>
            <w:tcW w:w="7182" w:type="dxa"/>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针对本项目有具体的供货组织安排，详细可行的安装方案，时间进度安排合理，确保安全、文明施工，满分</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1276" w:type="dxa"/>
            <w:vMerge w:val="restart"/>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质量保证及售后服务措施              </w:t>
            </w:r>
          </w:p>
        </w:tc>
        <w:tc>
          <w:tcPr>
            <w:tcW w:w="796" w:type="dxa"/>
            <w:vMerge w:val="restart"/>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20</w:t>
            </w:r>
            <w:r>
              <w:rPr>
                <w:rFonts w:hint="eastAsia" w:ascii="宋体" w:hAnsi="宋体" w:eastAsia="宋体" w:cs="宋体"/>
                <w:sz w:val="24"/>
                <w:szCs w:val="24"/>
                <w:lang w:val="en-US" w:eastAsia="zh-CN"/>
              </w:rPr>
              <w:t>分</w:t>
            </w:r>
          </w:p>
        </w:tc>
        <w:tc>
          <w:tcPr>
            <w:tcW w:w="7182" w:type="dxa"/>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配件及辅材货源渠道正常，有质量保障，满分</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trPr>
        <w:tc>
          <w:tcPr>
            <w:tcW w:w="1276" w:type="dxa"/>
            <w:vMerge w:val="continue"/>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p>
        </w:tc>
        <w:tc>
          <w:tcPr>
            <w:tcW w:w="796" w:type="dxa"/>
            <w:vMerge w:val="continue"/>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p>
        </w:tc>
        <w:tc>
          <w:tcPr>
            <w:tcW w:w="7182" w:type="dxa"/>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有详细的培训计划和设备交付用户使用后出现故障能提供应急备用设备并立即解决问题的承诺，满分5分。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276" w:type="dxa"/>
            <w:vMerge w:val="continue"/>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p>
        </w:tc>
        <w:tc>
          <w:tcPr>
            <w:tcW w:w="796" w:type="dxa"/>
            <w:vMerge w:val="continue"/>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p>
        </w:tc>
        <w:tc>
          <w:tcPr>
            <w:tcW w:w="7182" w:type="dxa"/>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售后服务承诺详细具体，有针对性。售后服务问题能及时处理。提供本地化服务，响应到场时效优，并常驻有售后服务人员（须提供相关证明材料），满分</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76" w:type="dxa"/>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 绩</w:t>
            </w:r>
          </w:p>
        </w:tc>
        <w:tc>
          <w:tcPr>
            <w:tcW w:w="796" w:type="dxa"/>
            <w:noWrap w:val="0"/>
            <w:vAlign w:val="center"/>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7182" w:type="dxa"/>
            <w:noWrap w:val="0"/>
            <w:vAlign w:val="top"/>
          </w:tcPr>
          <w:p>
            <w:pPr>
              <w:keepNext w:val="0"/>
              <w:keepLines w:val="0"/>
              <w:pageBreakBefore w:val="0"/>
              <w:widowControl w:val="0"/>
              <w:tabs>
                <w:tab w:val="left" w:pos="7797"/>
              </w:tabs>
              <w:kinsoku/>
              <w:wordWrap/>
              <w:overflowPunct/>
              <w:topLinePunct w:val="0"/>
              <w:autoSpaceDE w:val="0"/>
              <w:autoSpaceDN w:val="0"/>
              <w:bidi w:val="0"/>
              <w:adjustRightInd w:val="0"/>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提供近三年（2019年6月至今）类似项目业绩，每提供1分得2分，最高得10分。（以合同复印件加盖公章为准）</w:t>
            </w:r>
          </w:p>
        </w:tc>
      </w:tr>
    </w:tbl>
    <w:p>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p>
    <w:p>
      <w:pPr>
        <w:autoSpaceDE w:val="0"/>
        <w:autoSpaceDN w:val="0"/>
        <w:adjustRightInd w:val="0"/>
        <w:snapToGri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其他事项说明</w:t>
      </w:r>
    </w:p>
    <w:p>
      <w:pPr>
        <w:tabs>
          <w:tab w:val="left" w:pos="9030"/>
        </w:tabs>
        <w:snapToGrid w:val="0"/>
        <w:spacing w:line="360" w:lineRule="auto"/>
        <w:ind w:right="-65"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评标时，评标委员会根据以上内容进行综合比较，自主打分，分数四舍五入保留两位小数，独立对每个投标人的投标文件进行评价，并汇总每个投标人的得分。</w:t>
      </w:r>
    </w:p>
    <w:p>
      <w:pPr>
        <w:tabs>
          <w:tab w:val="left" w:pos="9030"/>
        </w:tabs>
        <w:snapToGrid w:val="0"/>
        <w:spacing w:line="360" w:lineRule="auto"/>
        <w:ind w:right="-6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推荐中标候选</w:t>
      </w:r>
      <w:r>
        <w:rPr>
          <w:rFonts w:hint="eastAsia" w:ascii="宋体" w:hAnsi="宋体" w:cs="宋体"/>
          <w:color w:val="auto"/>
          <w:sz w:val="24"/>
          <w:szCs w:val="24"/>
          <w:highlight w:val="none"/>
          <w:lang w:val="zh-CN"/>
        </w:rPr>
        <w:t>投标人</w:t>
      </w:r>
      <w:r>
        <w:rPr>
          <w:rFonts w:hint="eastAsia" w:ascii="宋体" w:hAnsi="宋体" w:eastAsia="宋体" w:cs="宋体"/>
          <w:color w:val="auto"/>
          <w:sz w:val="24"/>
          <w:szCs w:val="24"/>
          <w:highlight w:val="none"/>
          <w:lang w:val="zh-CN"/>
        </w:rPr>
        <w:t>名单</w:t>
      </w:r>
    </w:p>
    <w:p>
      <w:pPr>
        <w:autoSpaceDE w:val="0"/>
        <w:autoSpaceDN w:val="0"/>
        <w:adjustRightInd w:val="0"/>
        <w:snapToGrid w:val="0"/>
        <w:spacing w:line="360" w:lineRule="auto"/>
        <w:ind w:right="0" w:firstLine="627" w:firstLineChars="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评标委员会根据以上内容综合比较，自主打分，分数四舍五入保留两位小数，评标委员会根据综合评分情况，按照评审得分由高到低顺序推荐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名中标候选</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。中标候选</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得分相同的，按投标报价由低到高顺序排列。得分且投标报价相同的并列，由采购人自行确定中标候选</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 xml:space="preserve">，评标委员会依据评标结果写出评标报告。                             </w:t>
      </w:r>
    </w:p>
    <w:p>
      <w:pPr>
        <w:numPr>
          <w:ilvl w:val="0"/>
          <w:numId w:val="0"/>
        </w:num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268" w:name="_Toc7085"/>
      <w:bookmarkStart w:id="269" w:name="_Toc10523"/>
      <w:bookmarkStart w:id="270" w:name="_Toc3917"/>
      <w:bookmarkStart w:id="271" w:name="_Toc27771"/>
      <w:bookmarkStart w:id="272" w:name="_Toc3720"/>
      <w:bookmarkStart w:id="273" w:name="_Toc27212"/>
      <w:bookmarkStart w:id="274" w:name="_Toc26093"/>
      <w:bookmarkStart w:id="275" w:name="_Toc13513"/>
      <w:bookmarkStart w:id="276" w:name="_Toc3947"/>
      <w:bookmarkStart w:id="277" w:name="_Toc30264"/>
      <w:bookmarkStart w:id="278" w:name="_Toc31822"/>
      <w:bookmarkStart w:id="279" w:name="_Toc13244"/>
      <w:bookmarkStart w:id="280" w:name="_Toc12564"/>
      <w:bookmarkStart w:id="281" w:name="_Toc16196"/>
      <w:bookmarkStart w:id="282" w:name="_Toc8074"/>
      <w:bookmarkStart w:id="283" w:name="_Toc10225"/>
      <w:bookmarkStart w:id="284" w:name="_Toc20503"/>
      <w:bookmarkStart w:id="285" w:name="_Toc16087"/>
      <w:bookmarkStart w:id="286" w:name="_Toc6120"/>
      <w:bookmarkStart w:id="287" w:name="_Toc25029"/>
      <w:bookmarkStart w:id="288" w:name="_Toc3402"/>
      <w:bookmarkStart w:id="289" w:name="_Toc19917"/>
      <w:bookmarkStart w:id="290" w:name="_Toc19474"/>
      <w:bookmarkStart w:id="291" w:name="_Toc6012"/>
      <w:bookmarkStart w:id="292" w:name="_Toc27093"/>
      <w:bookmarkStart w:id="293" w:name="_Toc26839"/>
      <w:bookmarkStart w:id="294" w:name="_Toc5315"/>
      <w:bookmarkStart w:id="295" w:name="_Toc6028"/>
      <w:bookmarkStart w:id="296" w:name="_Toc1801"/>
      <w:bookmarkStart w:id="297" w:name="_Toc2344"/>
      <w:bookmarkStart w:id="298" w:name="_Toc6241"/>
      <w:bookmarkStart w:id="299" w:name="_Toc14654"/>
      <w:bookmarkStart w:id="300" w:name="_Toc10670"/>
      <w:bookmarkStart w:id="301" w:name="_Toc750"/>
      <w:bookmarkStart w:id="302" w:name="_Toc19007"/>
      <w:bookmarkStart w:id="303" w:name="_Toc5424"/>
      <w:r>
        <w:rPr>
          <w:rFonts w:hint="eastAsia" w:ascii="宋体" w:hAnsi="宋体" w:eastAsia="宋体" w:cs="宋体"/>
          <w:b/>
          <w:sz w:val="24"/>
          <w:szCs w:val="24"/>
          <w:highlight w:val="none"/>
          <w:lang w:val="zh-CN"/>
        </w:rPr>
        <w:t>十五、确定</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rFonts w:hint="eastAsia" w:ascii="宋体" w:hAnsi="宋体" w:eastAsia="宋体" w:cs="宋体"/>
          <w:b/>
          <w:sz w:val="24"/>
          <w:szCs w:val="24"/>
          <w:highlight w:val="none"/>
          <w:lang w:val="zh-CN"/>
        </w:rPr>
        <w:t>中标</w:t>
      </w:r>
      <w:bookmarkEnd w:id="299"/>
      <w:bookmarkEnd w:id="300"/>
      <w:bookmarkEnd w:id="301"/>
      <w:bookmarkEnd w:id="302"/>
      <w:r>
        <w:rPr>
          <w:rFonts w:hint="eastAsia" w:ascii="宋体" w:hAnsi="宋体" w:cs="宋体"/>
          <w:b/>
          <w:sz w:val="24"/>
          <w:szCs w:val="24"/>
          <w:highlight w:val="none"/>
          <w:lang w:val="zh-CN"/>
        </w:rPr>
        <w:t>投标人</w:t>
      </w:r>
      <w:bookmarkEnd w:id="303"/>
    </w:p>
    <w:p>
      <w:pPr>
        <w:numPr>
          <w:ilvl w:val="0"/>
          <w:numId w:val="0"/>
        </w:numPr>
        <w:autoSpaceDE w:val="0"/>
        <w:autoSpaceDN w:val="0"/>
        <w:adjustRightInd w:val="0"/>
        <w:snapToGrid w:val="0"/>
        <w:spacing w:line="360" w:lineRule="auto"/>
        <w:ind w:firstLine="480" w:firstLineChars="200"/>
        <w:outlineLvl w:val="1"/>
        <w:rPr>
          <w:rFonts w:hint="eastAsia" w:ascii="宋体" w:hAnsi="宋体" w:eastAsia="宋体" w:cs="宋体"/>
          <w:sz w:val="24"/>
          <w:szCs w:val="24"/>
          <w:highlight w:val="none"/>
          <w:lang w:val="zh-CN"/>
        </w:rPr>
      </w:pPr>
      <w:bookmarkStart w:id="304" w:name="_Toc14324"/>
      <w:bookmarkStart w:id="305" w:name="_Toc8600"/>
      <w:bookmarkStart w:id="306" w:name="_Toc9225"/>
      <w:bookmarkStart w:id="307" w:name="_Toc19492"/>
      <w:bookmarkStart w:id="308" w:name="_Toc15206"/>
      <w:bookmarkStart w:id="309" w:name="_Toc12693"/>
      <w:bookmarkStart w:id="310" w:name="_Toc13913"/>
      <w:bookmarkStart w:id="311" w:name="_Toc5565"/>
      <w:bookmarkStart w:id="312" w:name="_Toc18868"/>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采购代理机构应当在评标结束后2个工作日内将评标报告送采购人。</w:t>
      </w:r>
      <w:bookmarkEnd w:id="304"/>
      <w:bookmarkEnd w:id="305"/>
      <w:bookmarkEnd w:id="306"/>
      <w:bookmarkEnd w:id="307"/>
      <w:bookmarkEnd w:id="308"/>
      <w:bookmarkEnd w:id="309"/>
      <w:bookmarkEnd w:id="310"/>
      <w:bookmarkEnd w:id="311"/>
      <w:bookmarkEnd w:id="312"/>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采购人应当自收到评标报告之日起5个工作日内，在评标报告确定的中标候选</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名单中按顺序确定中标</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，复函采购代理机构。</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采购代理机构当自中标</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确定之日起2个工作日内，在省级</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lang w:val="zh-CN"/>
        </w:rPr>
        <w:t>以上财政部门指定的媒体上公告中标结果，公告期限为1个工作日，并向中标</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发“中标通知书”。</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313" w:name="_Toc7005"/>
      <w:bookmarkStart w:id="314" w:name="_Toc10206"/>
      <w:bookmarkStart w:id="315" w:name="_Toc13319"/>
      <w:bookmarkStart w:id="316" w:name="_Toc10023"/>
      <w:bookmarkStart w:id="317" w:name="_Toc28867"/>
      <w:bookmarkStart w:id="318" w:name="_Toc12235"/>
      <w:bookmarkStart w:id="319" w:name="_Toc14862"/>
      <w:bookmarkStart w:id="320" w:name="_Toc29047"/>
      <w:bookmarkStart w:id="321" w:name="_Toc31894"/>
      <w:bookmarkStart w:id="322" w:name="_Toc18414"/>
      <w:bookmarkStart w:id="323" w:name="_Toc23107"/>
      <w:bookmarkStart w:id="324" w:name="_Toc15998"/>
      <w:bookmarkStart w:id="325" w:name="_Toc7448"/>
      <w:bookmarkStart w:id="326" w:name="_Toc28769"/>
      <w:bookmarkStart w:id="327" w:name="_Toc1187"/>
      <w:bookmarkStart w:id="328" w:name="_Toc11337"/>
      <w:bookmarkStart w:id="329" w:name="_Toc7908"/>
      <w:bookmarkStart w:id="330" w:name="_Toc14845"/>
      <w:bookmarkStart w:id="331" w:name="_Toc19433"/>
      <w:bookmarkStart w:id="332" w:name="_Toc7878"/>
      <w:bookmarkStart w:id="333" w:name="_Toc23319"/>
      <w:bookmarkStart w:id="334" w:name="_Toc11404"/>
      <w:bookmarkStart w:id="335" w:name="_Toc13169"/>
      <w:bookmarkStart w:id="336" w:name="_Toc16902"/>
      <w:bookmarkStart w:id="337" w:name="_Toc1019"/>
      <w:bookmarkStart w:id="338" w:name="_Toc24752"/>
      <w:bookmarkStart w:id="339" w:name="_Toc7993"/>
      <w:bookmarkStart w:id="340" w:name="_Toc7679"/>
      <w:bookmarkStart w:id="341" w:name="_Toc19553"/>
      <w:bookmarkStart w:id="342" w:name="_Toc1288"/>
      <w:bookmarkStart w:id="343" w:name="_Toc13623"/>
      <w:bookmarkStart w:id="344" w:name="_Toc31743"/>
      <w:bookmarkStart w:id="345" w:name="_Toc8209"/>
      <w:bookmarkStart w:id="346" w:name="_Toc26689"/>
      <w:bookmarkStart w:id="347" w:name="_Toc3302"/>
      <w:bookmarkStart w:id="348" w:name="_Toc29072"/>
      <w:r>
        <w:rPr>
          <w:rFonts w:hint="eastAsia" w:ascii="宋体" w:hAnsi="宋体" w:eastAsia="宋体" w:cs="宋体"/>
          <w:b/>
          <w:sz w:val="24"/>
          <w:szCs w:val="24"/>
          <w:highlight w:val="none"/>
          <w:lang w:val="zh-CN"/>
        </w:rPr>
        <w:t>十六、合同</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采购人应当自中标通知书发出之日起30日内，按照招标文件和中标</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投标文件（包括评标中形成的澄清文件）的规定，与中标</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签订书面合同。所签订的合同不得对招标文件确定的事项和中标</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投标文件作实质性修改。</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定标后，中标</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无正当理由拖延或拒绝与采购人签订合同的，采购人可以按照评审报告推荐的中标候选</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名单排序，确定下一候选人为中标</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，也可以重新开展政府采购活动。同时报请监督机构通报，取消其进入政府采购市场的资格，按规定予以处罚。</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349" w:name="_Toc3493"/>
      <w:bookmarkStart w:id="350" w:name="_Toc5355"/>
      <w:bookmarkStart w:id="351" w:name="_Toc1763"/>
      <w:bookmarkStart w:id="352" w:name="_Toc11424"/>
      <w:bookmarkStart w:id="353" w:name="_Toc2800"/>
      <w:bookmarkStart w:id="354" w:name="_Toc6133"/>
      <w:bookmarkStart w:id="355" w:name="_Toc11011"/>
      <w:bookmarkStart w:id="356" w:name="_Toc9932"/>
      <w:bookmarkStart w:id="357" w:name="_Toc1837"/>
      <w:bookmarkStart w:id="358" w:name="_Toc14445"/>
      <w:bookmarkStart w:id="359" w:name="_Toc30312"/>
      <w:bookmarkStart w:id="360" w:name="_Toc9326"/>
      <w:bookmarkStart w:id="361" w:name="_Toc6767"/>
      <w:bookmarkStart w:id="362" w:name="_Toc12719"/>
      <w:bookmarkStart w:id="363" w:name="_Toc6968"/>
      <w:bookmarkStart w:id="364" w:name="_Toc9941"/>
      <w:bookmarkStart w:id="365" w:name="_Toc20802"/>
      <w:bookmarkStart w:id="366" w:name="_Toc19341"/>
      <w:bookmarkStart w:id="367" w:name="_Toc20722"/>
      <w:bookmarkStart w:id="368" w:name="_Toc26040"/>
      <w:bookmarkStart w:id="369" w:name="_Toc10694"/>
      <w:bookmarkStart w:id="370" w:name="_Toc19559"/>
      <w:bookmarkStart w:id="371" w:name="_Toc28105"/>
      <w:bookmarkStart w:id="372" w:name="_Toc12809"/>
      <w:bookmarkStart w:id="373" w:name="_Toc1161"/>
      <w:bookmarkStart w:id="374" w:name="_Toc4632"/>
      <w:bookmarkStart w:id="375" w:name="_Toc29051"/>
      <w:bookmarkStart w:id="376" w:name="_Toc21909"/>
      <w:bookmarkStart w:id="377" w:name="_Toc62"/>
      <w:bookmarkStart w:id="378" w:name="_Toc367"/>
      <w:bookmarkStart w:id="379" w:name="_Toc5083"/>
      <w:bookmarkStart w:id="380" w:name="_Toc31667"/>
      <w:bookmarkStart w:id="381" w:name="_Toc13984"/>
      <w:bookmarkStart w:id="382" w:name="_Toc11606"/>
      <w:bookmarkStart w:id="383" w:name="_Toc17489"/>
      <w:bookmarkStart w:id="384" w:name="_Toc26470"/>
      <w:bookmarkStart w:id="385" w:name="_Toc2695"/>
      <w:bookmarkStart w:id="386" w:name="_Toc7755"/>
      <w:r>
        <w:rPr>
          <w:rFonts w:hint="eastAsia" w:ascii="宋体" w:hAnsi="宋体" w:eastAsia="宋体" w:cs="宋体"/>
          <w:b/>
          <w:sz w:val="24"/>
          <w:szCs w:val="24"/>
          <w:highlight w:val="none"/>
          <w:lang w:val="zh-CN"/>
        </w:rPr>
        <w:t>十七、中标合同的履约验收</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autoSpaceDE w:val="0"/>
        <w:autoSpaceDN w:val="0"/>
        <w:adjustRightInd w:val="0"/>
        <w:snapToGrid w:val="0"/>
        <w:spacing w:line="360" w:lineRule="auto"/>
        <w:ind w:firstLine="480" w:firstLineChars="200"/>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政府采购合同的履行、违约责任和解决争议的方法等适用《中华人民共和国合同法》，采购人按照政府采购合同规定的技术、服务、安全标准组织对投标人履约情况进行验收，并出具验收书。</w:t>
      </w:r>
    </w:p>
    <w:bookmarkEnd w:id="378"/>
    <w:bookmarkEnd w:id="379"/>
    <w:bookmarkEnd w:id="380"/>
    <w:bookmarkEnd w:id="381"/>
    <w:bookmarkEnd w:id="382"/>
    <w:bookmarkEnd w:id="383"/>
    <w:bookmarkEnd w:id="384"/>
    <w:bookmarkEnd w:id="385"/>
    <w:bookmarkEnd w:id="386"/>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387" w:name="_Toc23865"/>
      <w:bookmarkStart w:id="388" w:name="_Toc25225"/>
      <w:bookmarkStart w:id="389" w:name="_Toc7650"/>
      <w:bookmarkStart w:id="390" w:name="_Toc27973"/>
      <w:bookmarkStart w:id="391" w:name="_Toc4930"/>
      <w:bookmarkStart w:id="392" w:name="_Toc8624"/>
      <w:bookmarkStart w:id="393" w:name="_Toc18383"/>
      <w:bookmarkStart w:id="394" w:name="_Toc13109"/>
      <w:bookmarkStart w:id="395" w:name="_Toc6822"/>
      <w:bookmarkStart w:id="396" w:name="_Toc11422"/>
      <w:bookmarkStart w:id="397" w:name="_Toc6484"/>
      <w:bookmarkStart w:id="398" w:name="_Toc10499"/>
      <w:bookmarkStart w:id="399" w:name="_Toc14672"/>
      <w:bookmarkStart w:id="400" w:name="_Toc22334"/>
      <w:bookmarkStart w:id="401" w:name="_Toc32529"/>
      <w:bookmarkStart w:id="402" w:name="_Toc26279"/>
      <w:bookmarkStart w:id="403" w:name="_Toc4647"/>
      <w:bookmarkStart w:id="404" w:name="_Toc11321"/>
      <w:bookmarkStart w:id="405" w:name="_Toc9100"/>
      <w:bookmarkStart w:id="406" w:name="_Toc27196"/>
      <w:bookmarkStart w:id="407" w:name="_Toc1577"/>
      <w:bookmarkStart w:id="408" w:name="_Toc7998"/>
      <w:bookmarkStart w:id="409" w:name="_Toc175"/>
      <w:bookmarkStart w:id="410" w:name="_Toc12096"/>
      <w:bookmarkStart w:id="411" w:name="_Toc10114"/>
      <w:bookmarkStart w:id="412" w:name="_Toc3765"/>
      <w:bookmarkStart w:id="413" w:name="_Toc8229"/>
      <w:bookmarkStart w:id="414" w:name="_Toc15764"/>
      <w:bookmarkStart w:id="415" w:name="_Toc3125"/>
      <w:bookmarkStart w:id="416" w:name="_Toc19338"/>
      <w:bookmarkStart w:id="417" w:name="_Toc11944"/>
      <w:bookmarkStart w:id="418" w:name="_Toc3955"/>
      <w:bookmarkStart w:id="419" w:name="_Toc11712"/>
      <w:bookmarkStart w:id="420" w:name="_Toc24237"/>
      <w:r>
        <w:rPr>
          <w:rFonts w:hint="eastAsia" w:ascii="宋体" w:hAnsi="宋体" w:eastAsia="宋体" w:cs="宋体"/>
          <w:b/>
          <w:sz w:val="24"/>
          <w:szCs w:val="24"/>
          <w:highlight w:val="none"/>
          <w:lang w:val="zh-CN"/>
        </w:rPr>
        <w:t>十八、废标</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bookmarkEnd w:id="420"/>
    <w:p>
      <w:pPr>
        <w:autoSpaceDE w:val="0"/>
        <w:autoSpaceDN w:val="0"/>
        <w:adjustRightInd w:val="0"/>
        <w:spacing w:line="360" w:lineRule="auto"/>
        <w:ind w:firstLine="645"/>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在招标过程中，提交投标文件或者通过资格审查或符合性审查的投标人</w:t>
      </w:r>
      <w:r>
        <w:rPr>
          <w:rFonts w:hint="eastAsia" w:ascii="宋体" w:hAnsi="宋体" w:eastAsia="宋体" w:cs="宋体"/>
          <w:sz w:val="24"/>
          <w:szCs w:val="24"/>
          <w:highlight w:val="none"/>
          <w:lang w:val="zh-CN" w:eastAsia="zh-CN"/>
        </w:rPr>
        <w:t>不足</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家时，按废标处理，重新开展采购活动。</w:t>
      </w:r>
    </w:p>
    <w:p>
      <w:pPr>
        <w:pStyle w:val="4"/>
        <w:rPr>
          <w:rFonts w:hint="eastAsia" w:ascii="宋体" w:hAnsi="宋体" w:eastAsia="宋体" w:cs="宋体"/>
          <w:b/>
          <w:bCs/>
          <w:color w:val="auto"/>
          <w:sz w:val="24"/>
          <w:szCs w:val="24"/>
          <w:highlight w:val="none"/>
          <w:lang w:val="zh-CN"/>
        </w:rPr>
        <w:sectPr>
          <w:footerReference r:id="rId11" w:type="default"/>
          <w:pgSz w:w="11905" w:h="16838"/>
          <w:pgMar w:top="1134" w:right="1134" w:bottom="1134" w:left="1134" w:header="952" w:footer="533"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421" w:name="_Toc21317"/>
      <w:bookmarkStart w:id="422" w:name="_Toc14843"/>
      <w:bookmarkStart w:id="423" w:name="_Toc4320"/>
      <w:bookmarkStart w:id="424" w:name="_Toc21960"/>
      <w:bookmarkStart w:id="425" w:name="_Toc570"/>
      <w:bookmarkStart w:id="426" w:name="_Toc26946"/>
      <w:bookmarkStart w:id="427" w:name="_Toc29532"/>
      <w:bookmarkStart w:id="428" w:name="_Toc27728"/>
      <w:bookmarkStart w:id="429" w:name="_Toc5569"/>
      <w:bookmarkStart w:id="430" w:name="_Toc14994"/>
      <w:bookmarkStart w:id="431" w:name="_Toc17449"/>
      <w:bookmarkStart w:id="432" w:name="_Toc8540"/>
      <w:bookmarkStart w:id="433" w:name="_Toc21687"/>
      <w:bookmarkStart w:id="434" w:name="_Toc13107"/>
      <w:bookmarkStart w:id="435" w:name="_Toc29757"/>
      <w:bookmarkStart w:id="436" w:name="_Toc21535"/>
      <w:bookmarkStart w:id="437" w:name="_Toc20952"/>
      <w:bookmarkStart w:id="438" w:name="_Toc25119"/>
      <w:bookmarkStart w:id="439" w:name="_Toc9507"/>
      <w:bookmarkStart w:id="440" w:name="_Toc4349"/>
      <w:bookmarkStart w:id="441" w:name="_Toc10800"/>
      <w:bookmarkStart w:id="442" w:name="_Toc3563"/>
      <w:bookmarkStart w:id="443" w:name="_Toc1400"/>
      <w:bookmarkStart w:id="444" w:name="_Toc25094"/>
      <w:bookmarkStart w:id="445" w:name="_Toc20980"/>
      <w:bookmarkStart w:id="446" w:name="_Toc1204"/>
      <w:bookmarkStart w:id="447" w:name="_Toc4211"/>
      <w:bookmarkStart w:id="448" w:name="_Toc16918"/>
      <w:bookmarkStart w:id="449" w:name="_Toc27333"/>
      <w:bookmarkStart w:id="450" w:name="_Toc16257"/>
      <w:bookmarkStart w:id="451" w:name="_Toc16117"/>
      <w:bookmarkStart w:id="452" w:name="_Toc31362"/>
    </w:p>
    <w:p>
      <w:pPr>
        <w:rPr>
          <w:rFonts w:hint="eastAsia"/>
          <w:lang w:val="zh-CN"/>
        </w:rPr>
      </w:pPr>
    </w:p>
    <w:p>
      <w:pPr>
        <w:rPr>
          <w:rFonts w:hint="eastAsia" w:ascii="宋体" w:hAnsi="宋体" w:eastAsia="宋体" w:cs="宋体"/>
          <w:b/>
          <w:bCs/>
          <w:color w:val="auto"/>
          <w:sz w:val="24"/>
          <w:szCs w:val="24"/>
          <w:highlight w:val="none"/>
          <w:lang w:val="zh-CN"/>
        </w:rPr>
      </w:pP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Pr>
        <w:numPr>
          <w:ilvl w:val="0"/>
          <w:numId w:val="5"/>
        </w:numPr>
        <w:spacing w:line="360" w:lineRule="auto"/>
        <w:jc w:val="center"/>
        <w:outlineLvl w:val="0"/>
        <w:rPr>
          <w:rFonts w:hint="eastAsia" w:ascii="宋体" w:hAnsi="宋体" w:eastAsia="宋体" w:cs="宋体"/>
          <w:b/>
          <w:color w:val="auto"/>
          <w:sz w:val="24"/>
          <w:szCs w:val="24"/>
          <w:highlight w:val="none"/>
          <w:lang w:val="en-US" w:eastAsia="zh-CN"/>
        </w:rPr>
      </w:pPr>
      <w:bookmarkStart w:id="453" w:name="_Toc4455"/>
      <w:r>
        <w:rPr>
          <w:rFonts w:hint="eastAsia" w:ascii="宋体" w:hAnsi="宋体" w:eastAsia="宋体" w:cs="宋体"/>
          <w:b/>
          <w:color w:val="auto"/>
          <w:sz w:val="24"/>
          <w:szCs w:val="24"/>
          <w:highlight w:val="none"/>
          <w:lang w:val="en-US" w:eastAsia="zh-CN"/>
        </w:rPr>
        <w:t>采购需求</w:t>
      </w:r>
      <w:bookmarkEnd w:id="453"/>
    </w:p>
    <w:tbl>
      <w:tblPr>
        <w:tblStyle w:val="23"/>
        <w:tblW w:w="1377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732"/>
        <w:gridCol w:w="8169"/>
        <w:gridCol w:w="1551"/>
        <w:gridCol w:w="684"/>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3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16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仪器参数</w:t>
            </w:r>
          </w:p>
        </w:tc>
        <w:tc>
          <w:tcPr>
            <w:tcW w:w="155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684"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纯水和超纯水系统</w:t>
            </w:r>
          </w:p>
        </w:tc>
        <w:tc>
          <w:tcPr>
            <w:tcW w:w="816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 w:val="18"/>
                <w:szCs w:val="18"/>
                <w:lang w:bidi="ar"/>
              </w:rPr>
              <w:t>原装进口</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进水要求：城市自来水纯水产量：16L/hr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ASTM TYPE I 超纯水水质：电阻率：18.2 MΩ-cm @25℃，电导率：0.055μs/cm@25℃ ，ASTM TYPE II 纯水水质：电阻率：达10 MΩ-cm @25℃  电导率：达0.1 μs/cm@25℃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TOC水平：1-5 ppb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4.热源：≤ 0.001 EU/ml  RNase: &lt;0.003 ng/ml DNase:&lt;0.4pg/μl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5.微生物：≤ 0.01 CFU/ml，颗粒≤ 1/ml (&gt;0.2μm)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6.出水流速：0– 1.0 L/min，连续可调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7.185/254 nm 双波长紫外灯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8.超纯水取水口标配有0.1μm终端滤器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内置超滤膜UF，可自动冲洗，寿命长达2年以上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显示面板角度可调节，自动检测，自动维护提示，自动报警等功能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漏液监测，漏液时系统自动关闭，防止持续漏水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有RS232接口可与计算机或专用打印机相联记录水质资料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水箱带CO2吸收和隔绝细菌0.2μm滤膜的呼吸器，可根据颜色变化更换呼吸器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配备30L带循环功能的水箱，水箱中贮存的是长期稳定的II级纯水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有包含纯水箱，DI柱，UF柱，UV灯的大循环功能，保证水箱中II级纯水长期稳定</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（二）配置清单：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1.主机1套（包含水质监测器，内置超滤装置，双波长紫外灯，超纯化柱一套，0.1μm终端微滤器，30升外置水箱）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2.预处理系统1套</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96通道洗板机</w:t>
            </w:r>
          </w:p>
        </w:tc>
        <w:tc>
          <w:tcPr>
            <w:tcW w:w="816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原装进口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1.用途：同时兼任ELISA清洗和细胞清洗，清洗细胞无需更换清洗头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2.洗头类型：可兼容洗涤96和384孔板，中间无需更换洗头。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3.洗液通道：2通道可选。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4.注液功能：具备逐滴注液模式，减少贴壁细胞脱落液面；亦具备追随模式，加液时注液针可随液面自动上升，减少液体对板底冲击。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5.吸液注液速度：70-350ul/s，5档精确可调。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6.摇动：自动振板混匀，速度中，低，高三档可通过软件调节。时间秒或分钟。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7.防堵：具备自动针孔防堵功能，闲置时自动灌注和浸泡清洗头。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8.升级：可升级磁珠清洗及真空抽滤功能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9.软件控制： 机载触摸屏，简便节省实验空间，或连接电脑。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10.废液液面监控：具有自动压力感应液面探测系统，非传统浮子传感器，避免废液过量风险，无需清洁。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11.注液量：96孔板：50-3000µL，50µL步进；384孔板：10-1000µL，10µL步进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12.96/384孔板清洗时间 15秒/清洗循环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13.注液准确度 ：≤ 5% @300µL，96孔板； @100µL，384孔板；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14.注液均一度：≤ 3% @300µL，96孔板；≤ 4% @100µL，384孔板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15.洗液残留量：&lt; 2µL/孔</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自动分液器</w:t>
            </w:r>
          </w:p>
        </w:tc>
        <w:tc>
          <w:tcPr>
            <w:tcW w:w="816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原装进口</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（一）主要技术参数：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1、分液原理：采用蠕动泵分液技术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2、八通道分液盒设计，三种可选：包括标准分液盒、细管塑料分液盒和细管金属分液盒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3、分液体积：细管分液盒0.5- 50 μl，标准分液盒5-2500μl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4、适用板型：6-1536孔板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5、彩色图形化用户界面，直观选择板型、分液盒、分液体积以及分液方法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6、分液方式：整板或任意列，每列可设置不同的分液体积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7、分液速度：三档可选，可满足细胞分液的要求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8、分液高度：5-50mm，自动可调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9、可拆卸式预洗槽设计，中间带凸起，防止液体溅出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10、具有独立预冲洗按键及保护功能，防止未冲洗就直接分液的误操作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11、具有振荡功能，有助于分液后的混匀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12、USB接口连接电脑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13、分液速度：20 µl 96孔板整板分液4 s，10 μl 384孔板整板分液6 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14、分液精度：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细管分液盒：2µl: CV≤ 5%，  10 µl: CV≤ 3%，&gt;10 µl: CV≤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标准分液盒：20µl: CV≤ 1.5%，100 µl: CV≤ 1%，&gt;100 µl: CV≤ 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15、分液准确性：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细管分液盒：2 µl:±10%，10 µl:±5%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标准分液盒：5 µl:±3%，20 µl:±2%，100 µl:±1%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16、终端滤器可选，适用于细管分液盒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17、FillIt分液软件可选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（二）配置清单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主机一台，标准分液盒1个，细管塑料分液盒和细管金属分液盒各1个</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压力蒸汽灭菌器（灭菌锅）</w:t>
            </w:r>
          </w:p>
        </w:tc>
        <w:tc>
          <w:tcPr>
            <w:tcW w:w="816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有效容积：50L，腔体总体积54L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可选杀菌温度：105-135℃，灭菌定时：1-250min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琼脂培养基灭菌模式：（保温）温度范围：45-60℃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最大可允许压力（表压）：0.26Mpa，压力计量程：0-0.4Mpa，温度显示范围：5-137℃，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温度显示方法：数字式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穿透式针式锁系统：采用钢栓穿透腔体钢板的方式锁住灭菌器腔体和盖子，避免挂扣式和螺栓式锁可能出现的安全隐患。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开盖方式:采用垂直向上打开箱盖设计，使用电动辅助锁盖和开启系统，仅用触摸控制器可以轻易和安全地开启箱盖，防止盖子意外开启。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双联安全锁：同时检测腔内压力和温度，只有当两者都在安全范围内才释放箱盖，确保最大的安全性。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双联排气检测系统：同时检测腔内压力和温度，以此判断腔内残余空气是否排放干净。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脉冲排汽系统：pulse脉冲多级防暴沸排气系统，电脑控制脉冲阀门高速开合，在保证液体培养基不暴沸的前提下，加速腔内排汽，使灭菌腔更快地冷却下来，并有效防止危险性气溶胶喷出（避免在培养基沸腾或溢出的情况下，拿出灭菌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危险性疾病防御双路排气方式：分离式双排气系统，后置低温未灭菌气溶胶排气系统，前置高温气溶胶排气系统，防止在100度之前未灭菌的致病性气溶胶以及病毒排放到空气中。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分离式温度传感器：位于腔体中部，与加热圈分离，实时探测腔内实际温度，不受加热圈温度影响,腔体兼容7个温度探头,可对腔体内温度进行全方位监测和记录。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记忆（储存）支持系统：可以改变各种参数（如灭菌、排气、加热等参数），一旦发生改变（包括停电故障）上述参数仍能被保留下来。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密封圈防护系统：盖子分离式水平安装设计。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过程状况显示：明亮指示灯设置在操作面板的上部。根据压力状态（正常压力/实际工作压力），指示灯光颜色变化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多种灭菌模式：温度设定多样化，温度设定范围可以从45℃到135℃分级设定或者设定一个温度，包括培养基保温模式，液体灭菌模式，正常灭菌等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独立控制按钮, 更清晰的操作界面和数字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 材料</w:t>
            </w:r>
            <w:r>
              <w:rPr>
                <w:rFonts w:hint="eastAsia" w:ascii="宋体" w:hAnsi="宋体" w:eastAsia="宋体" w:cs="宋体"/>
                <w:i w:val="0"/>
                <w:iCs w:val="0"/>
                <w:color w:val="auto"/>
                <w:kern w:val="0"/>
                <w:sz w:val="18"/>
                <w:szCs w:val="18"/>
                <w:u w:val="none"/>
                <w:lang w:val="en-US" w:eastAsia="zh-CN" w:bidi="ar"/>
              </w:rPr>
              <w:t>为SUS304不锈钢，</w:t>
            </w:r>
            <w:r>
              <w:rPr>
                <w:rFonts w:hint="eastAsia" w:ascii="宋体" w:hAnsi="宋体" w:eastAsia="宋体" w:cs="宋体"/>
                <w:i w:val="0"/>
                <w:iCs w:val="0"/>
                <w:color w:val="000000"/>
                <w:kern w:val="0"/>
                <w:sz w:val="18"/>
                <w:szCs w:val="18"/>
                <w:u w:val="none"/>
                <w:lang w:val="en-US" w:eastAsia="zh-CN" w:bidi="ar"/>
              </w:rPr>
              <w:t>具极强的抗压，抗高温，抗腐蚀能力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 温度数据，压力数据输出，监控系统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 安全装置： 安全功能设置及示警系统：双联锁盖系统、双联排气检查系统、超温超压断电、锁盖检测、温敏探头断路检测、压力安全阀、灭菌时间读数定时器、加热故障检测、缺水保护装置、漏电断路器等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 安全阀制造商在中国特种设备检测研究院有备案认证，并可查询编号。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带中华人民共和国特种设备制造许可证（压力容器）</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光学显微镜</w:t>
            </w:r>
          </w:p>
        </w:tc>
        <w:tc>
          <w:tcPr>
            <w:tcW w:w="816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光学系统：无限远光学矫正系统，齐焦距离必须为国际标准45mm。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载物台：钢丝传动，无齿条结构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调焦机构：有粗调限位，可以进行张力调节，避免标本或物镜的损伤。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聚光镜：带有孔径光阑的阿贝聚光镜，N.A. 1.25，带有蓝色滤色片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照明系统：20000小时寿命LED光源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双目观察筒：瞳距调整范围48-75mm， 倾斜角度30°，带屈光度调节，360°可旋转，铰链式，眼点高度≥432.9 mm，视场数≥20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目镜：10X，带眼罩，视场数≥2</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物镜转盘：与显微镜机身固定的内旋式4孔物镜转盘，便于放置标本等操作。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物镜：平场消色差物镜4X（N.A.≥0.1 W.D≥27）、10X（N.A.≥0.25 W.D≥8）、40X（N.A.≥0.65 W.D≥0.6）、100X（N.A.≥1.25 W.D≥0.12）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防霉装置：在双目观察筒、目镜、物镜都做了防霉处理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所采用光学元件均为环保无铅玻璃</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迷你手掌离心机（离心管）</w:t>
            </w:r>
          </w:p>
        </w:tc>
        <w:tc>
          <w:tcPr>
            <w:tcW w:w="8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输入电压 AC100-250V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电源保险管 PPTC/自恢复保险丝/无需更换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输入功率 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电机 DC24V/直流永磁电机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最高转速 7000rpm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最大相对离心力 2650Xg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噪音 ≤45dB</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迷你手掌离心机</w:t>
            </w:r>
            <w:r>
              <w:rPr>
                <w:rFonts w:hint="eastAsia" w:ascii="宋体" w:hAnsi="宋体" w:eastAsia="宋体" w:cs="宋体"/>
                <w:i w:val="0"/>
                <w:iCs w:val="0"/>
                <w:color w:val="auto"/>
                <w:kern w:val="0"/>
                <w:sz w:val="18"/>
                <w:szCs w:val="18"/>
                <w:highlight w:val="none"/>
                <w:u w:val="none"/>
                <w:lang w:val="en-US" w:eastAsia="zh-CN" w:bidi="ar"/>
              </w:rPr>
              <w:t>（八</w:t>
            </w:r>
            <w:r>
              <w:rPr>
                <w:rFonts w:hint="eastAsia" w:ascii="宋体" w:hAnsi="宋体" w:cs="宋体"/>
                <w:i w:val="0"/>
                <w:iCs w:val="0"/>
                <w:color w:val="auto"/>
                <w:kern w:val="0"/>
                <w:sz w:val="18"/>
                <w:szCs w:val="18"/>
                <w:highlight w:val="none"/>
                <w:u w:val="none"/>
                <w:lang w:val="en-US" w:eastAsia="zh-CN" w:bidi="ar"/>
              </w:rPr>
              <w:t>联</w:t>
            </w:r>
            <w:r>
              <w:rPr>
                <w:rFonts w:hint="eastAsia" w:ascii="宋体" w:hAnsi="宋体" w:eastAsia="宋体" w:cs="宋体"/>
                <w:i w:val="0"/>
                <w:iCs w:val="0"/>
                <w:color w:val="auto"/>
                <w:kern w:val="0"/>
                <w:sz w:val="18"/>
                <w:szCs w:val="18"/>
                <w:highlight w:val="none"/>
                <w:u w:val="none"/>
                <w:lang w:val="en-US" w:eastAsia="zh-CN" w:bidi="ar"/>
              </w:rPr>
              <w:t>管）</w:t>
            </w:r>
          </w:p>
        </w:tc>
        <w:tc>
          <w:tcPr>
            <w:tcW w:w="8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输入电压 AC100-250V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电源保险管 PPTC/自恢复保险丝/无需更换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输入功率 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电机 DC24V/直流永磁电机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最高转速 7000rpm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最大相对离心力 2650Xg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噪音 ≤45dB</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低速通用型水平离心机</w:t>
            </w:r>
          </w:p>
        </w:tc>
        <w:tc>
          <w:tcPr>
            <w:tcW w:w="8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具有医疗器械备案号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电源参数 （220±10%）VAC（50/60±10%）Hz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整机功率 550W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最高转速 5000r/min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最大制备容量 4×500ml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最大相对离心力 4390×g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温控范围 常温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转速控制精度 ±1%rpm或20rpm（取最高）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定时范围 1～999min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噪音 ≤65dB</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多功能混匀仪（离心管模块和培养板模块）</w:t>
            </w:r>
          </w:p>
        </w:tc>
        <w:tc>
          <w:tcPr>
            <w:tcW w:w="8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转速/精度 200-3000rpm/ ±5rpm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时间 0-9999 min/s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振幅范围 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振荡方式 圆周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工作模式 点振、连续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控制形式 压力传感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功率 35W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供电电压 110-240V/50HZ</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Ⅱ级生物安全柜</w:t>
            </w:r>
          </w:p>
        </w:tc>
        <w:tc>
          <w:tcPr>
            <w:tcW w:w="8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1、基本参数：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（1）分类：A2型，30%外排，70%循环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）风速： 平均下降风速：0.33±0.025m/s； 平均吸入口风速0.53±0.025m/s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）系统排风总量：500 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）额定功率：1800W（包含操作区插座负载500W）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）噪音等级：≤65dB（A）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）照明：≥1000lx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）过滤效率:送风和排风过滤器均采用世界知名品牌的硼硅酸盐玻璃纤维材质的ULPA高效过滤器，对0.12μm颗粒过滤效率≥99.9995%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2、生物安全性：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（1）人员安全性：用碘化钾（KI）法测试，前窗操作口的保护因子应不小于1×105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产品安全性：菌落数≤5CFU/次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交叉污染安全性：菌落数≤2CFU/次</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恒温水浴锅</w:t>
            </w:r>
          </w:p>
        </w:tc>
        <w:tc>
          <w:tcPr>
            <w:tcW w:w="8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规格 2孔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温度范围 室温+5～99.9℃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温度均匀性 ±0.5℃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温度波动度 ±0.5℃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温度显示 数显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功    率 1000W</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超净工作台</w:t>
            </w:r>
          </w:p>
        </w:tc>
        <w:tc>
          <w:tcPr>
            <w:tcW w:w="8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洁净台分类：垂直层流、单面操作；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2过滤效率:过滤器均采用无隔板高效过滤器，对直径0.3μm颗粒过滤效率为99.995%；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具有预过滤器，能够有效拦截大的颗粒物及杂质，有效延长高效过滤器的使用寿命；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工作区台面</w:t>
            </w:r>
            <w:r>
              <w:rPr>
                <w:rFonts w:hint="eastAsia" w:ascii="宋体" w:hAnsi="宋体" w:eastAsia="宋体" w:cs="宋体"/>
                <w:i w:val="0"/>
                <w:iCs w:val="0"/>
                <w:color w:val="auto"/>
                <w:kern w:val="0"/>
                <w:sz w:val="18"/>
                <w:szCs w:val="18"/>
                <w:u w:val="none"/>
                <w:lang w:val="en-US" w:eastAsia="zh-CN" w:bidi="ar"/>
              </w:rPr>
              <w:t>选用优质304不锈钢材质，美观、</w:t>
            </w:r>
            <w:r>
              <w:rPr>
                <w:rFonts w:hint="eastAsia" w:ascii="宋体" w:hAnsi="宋体" w:eastAsia="宋体" w:cs="宋体"/>
                <w:i w:val="0"/>
                <w:iCs w:val="0"/>
                <w:color w:val="000000"/>
                <w:kern w:val="0"/>
                <w:sz w:val="18"/>
                <w:szCs w:val="18"/>
                <w:u w:val="none"/>
                <w:lang w:val="en-US" w:eastAsia="zh-CN" w:bidi="ar"/>
              </w:rPr>
              <w:t>易清理、耐腐蚀；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控制面板采用轻触式开关，按键由风机键、照明键、紫外键、电源键、插座键、风量减小键、风量增大键组成，易于操作；显示屏显示内容有：风机的风速、显示时间、紫外灯的工作时间、过滤器的工作时间；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 xml:space="preserve"> 紫外灯与风机、日光灯互锁功能，即当风机、日光灯工作时，紫外灯无法开启，保护操作人员；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具有紫外灯、风机预约定时功能；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 xml:space="preserve"> 具有压力单位转换功能，进行PA和m/s之间的单位切换；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紫外灯延时5S开启，保护操作人员安全；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设置前窗开口安全高度，在低于或高于安全高度时报警，保证设备使用时性能稳定；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额定功率：750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气流流速：0.30～0.45m/s；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 紫外灯功率：40W；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 xml:space="preserve"> LED日光灯功率：16W；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噪音≤65dB(A)；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 xml:space="preserve"> 风机转速:2460 RPM，流量：750 m³/h，功率90W；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17</w:t>
            </w:r>
            <w:r>
              <w:rPr>
                <w:rFonts w:hint="eastAsia" w:ascii="宋体" w:hAnsi="宋体" w:eastAsia="宋体" w:cs="宋体"/>
                <w:i w:val="0"/>
                <w:iCs w:val="0"/>
                <w:color w:val="000000"/>
                <w:kern w:val="0"/>
                <w:sz w:val="18"/>
                <w:szCs w:val="18"/>
                <w:u w:val="none"/>
                <w:lang w:val="en-US" w:eastAsia="zh-CN" w:bidi="ar"/>
              </w:rPr>
              <w:t xml:space="preserve"> 产品安全性：菌落数≤0.5CFU/30min；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18</w:t>
            </w:r>
            <w:r>
              <w:rPr>
                <w:rFonts w:hint="eastAsia" w:ascii="宋体" w:hAnsi="宋体" w:eastAsia="宋体" w:cs="宋体"/>
                <w:i w:val="0"/>
                <w:iCs w:val="0"/>
                <w:color w:val="000000"/>
                <w:kern w:val="0"/>
                <w:sz w:val="18"/>
                <w:szCs w:val="18"/>
                <w:u w:val="none"/>
                <w:lang w:val="en-US" w:eastAsia="zh-CN" w:bidi="ar"/>
              </w:rPr>
              <w:t>照明：≥300lx；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 具有医疗器械注册证</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单道移液器</w:t>
            </w:r>
          </w:p>
        </w:tc>
        <w:tc>
          <w:tcPr>
            <w:tcW w:w="8169" w:type="dxa"/>
            <w:vMerge w:val="restar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原装进口</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采用高科技材质，坚固耐用，耐高温抗腐蚀。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人体工程学设计，重量轻，显著减少操作用力，避免发生手部重复性劳损（RSI）；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不同量程范围移液器，操作按钮颜色不同，易于辨认；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密度调节窗口：根据液体的不同密度自行调节，确保移液精准性；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可整支高温高压灭菌和紫外消毒；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移液器的量程设定单手可调，快速简单，在操作过程中随时可观察到量程的数值；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体积显示：量程刻度由四位数字放大显示，数字框设计位置合理，便于移液时观察；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弹性吸嘴：伸缩式弹性吸嘴设计，确保吸头装配的气密性和移液均一性（不包括5ml和10ml移液器）</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2 </w:t>
            </w:r>
          </w:p>
          <w:p>
            <w:pPr>
              <w:pStyle w:val="2"/>
              <w:rPr>
                <w:rFonts w:hint="eastAsia"/>
              </w:rPr>
            </w:pPr>
            <w:r>
              <w:rPr>
                <w:rFonts w:hint="eastAsia" w:ascii="宋体" w:hAnsi="宋体" w:cs="宋体"/>
                <w:i w:val="0"/>
                <w:iCs w:val="0"/>
                <w:color w:val="000000"/>
                <w:kern w:val="0"/>
                <w:sz w:val="18"/>
                <w:szCs w:val="18"/>
                <w:u w:val="none"/>
                <w:lang w:val="en-US" w:eastAsia="zh-CN" w:bidi="ar"/>
              </w:rPr>
              <w:t>（0.5-10μL）</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4"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69" w:type="dxa"/>
            <w:vMerge w:val="continue"/>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4 </w:t>
            </w:r>
          </w:p>
          <w:p>
            <w:pPr>
              <w:pStyle w:val="2"/>
              <w:rPr>
                <w:rFonts w:hint="eastAsia" w:eastAsia="宋体"/>
                <w:lang w:eastAsia="zh-CN"/>
              </w:rPr>
            </w:pPr>
            <w:r>
              <w:rPr>
                <w:rFonts w:hint="eastAsia"/>
                <w:lang w:eastAsia="zh-CN"/>
              </w:rPr>
              <w:t>（</w:t>
            </w:r>
            <w:r>
              <w:rPr>
                <w:rFonts w:hint="eastAsia"/>
              </w:rPr>
              <w:t>2-20μL</w:t>
            </w:r>
            <w:r>
              <w:rPr>
                <w:rFonts w:hint="eastAsia"/>
                <w:lang w:eastAsia="zh-CN"/>
              </w:rPr>
              <w:t>）</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w:t>
            </w: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69" w:type="dxa"/>
            <w:vMerge w:val="continue"/>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7 </w:t>
            </w:r>
          </w:p>
          <w:p>
            <w:pPr>
              <w:pStyle w:val="2"/>
              <w:rPr>
                <w:rFonts w:hint="eastAsia"/>
              </w:rPr>
            </w:pPr>
            <w:r>
              <w:rPr>
                <w:rFonts w:hint="eastAsia" w:ascii="宋体" w:hAnsi="宋体" w:cs="宋体"/>
                <w:i w:val="0"/>
                <w:iCs w:val="0"/>
                <w:color w:val="000000"/>
                <w:kern w:val="0"/>
                <w:sz w:val="18"/>
                <w:szCs w:val="18"/>
                <w:u w:val="none"/>
                <w:lang w:val="en-US" w:eastAsia="zh-CN" w:bidi="ar"/>
              </w:rPr>
              <w:t>（10-100μL）</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6</w:t>
            </w: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69" w:type="dxa"/>
            <w:vMerge w:val="continue"/>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5 </w:t>
            </w:r>
          </w:p>
          <w:p>
            <w:pPr>
              <w:pStyle w:val="2"/>
              <w:rPr>
                <w:rFonts w:hint="eastAsia"/>
              </w:rPr>
            </w:pPr>
            <w:r>
              <w:rPr>
                <w:rFonts w:hint="eastAsia" w:ascii="宋体" w:hAnsi="宋体" w:cs="宋体"/>
                <w:i w:val="0"/>
                <w:iCs w:val="0"/>
                <w:color w:val="000000"/>
                <w:kern w:val="0"/>
                <w:sz w:val="18"/>
                <w:szCs w:val="18"/>
                <w:u w:val="none"/>
                <w:lang w:val="en-US" w:eastAsia="zh-CN" w:bidi="ar"/>
              </w:rPr>
              <w:t>（20-200μL）</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7</w:t>
            </w: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69" w:type="dxa"/>
            <w:vMerge w:val="continue"/>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1 </w:t>
            </w:r>
          </w:p>
          <w:p>
            <w:pPr>
              <w:pStyle w:val="2"/>
              <w:rPr>
                <w:rFonts w:hint="eastAsia"/>
              </w:rPr>
            </w:pPr>
            <w:r>
              <w:rPr>
                <w:rFonts w:hint="eastAsia" w:ascii="宋体" w:hAnsi="宋体" w:cs="宋体"/>
                <w:i w:val="0"/>
                <w:iCs w:val="0"/>
                <w:color w:val="000000"/>
                <w:kern w:val="0"/>
                <w:sz w:val="18"/>
                <w:szCs w:val="18"/>
                <w:u w:val="none"/>
                <w:lang w:val="en-US" w:eastAsia="zh-CN" w:bidi="ar"/>
              </w:rPr>
              <w:t>（30-300μL）</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8</w:t>
            </w: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69" w:type="dxa"/>
            <w:vMerge w:val="continue"/>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5 </w:t>
            </w:r>
          </w:p>
          <w:p>
            <w:pPr>
              <w:keepNext w:val="0"/>
              <w:keepLines w:val="0"/>
              <w:widowControl/>
              <w:suppressLineNumbers w:val="0"/>
              <w:jc w:val="center"/>
              <w:textAlignment w:val="center"/>
              <w:rPr>
                <w:rFonts w:hint="eastAsia"/>
              </w:rPr>
            </w:pPr>
            <w:r>
              <w:rPr>
                <w:rFonts w:hint="eastAsia" w:ascii="宋体" w:hAnsi="宋体" w:cs="宋体"/>
                <w:i w:val="0"/>
                <w:iCs w:val="0"/>
                <w:color w:val="000000"/>
                <w:kern w:val="0"/>
                <w:sz w:val="18"/>
                <w:szCs w:val="18"/>
                <w:u w:val="none"/>
                <w:lang w:val="en-US" w:eastAsia="zh-CN" w:bidi="ar"/>
              </w:rPr>
              <w:t>（100-1000μL）</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4"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12道移液器</w:t>
            </w:r>
          </w:p>
        </w:tc>
        <w:tc>
          <w:tcPr>
            <w:tcW w:w="8169" w:type="dxa"/>
            <w:vMerge w:val="restar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原装进口</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采用高科技材质，坚固耐用，耐高温抗腐蚀。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人体工程学设计，重量轻，显著减少操作用力，避免发生手部重复性劳损（RSI）；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不同量程范围移液器，操作按钮颜色不同，易于辨认；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密度调节窗口：根据液体的不同密度自行调节，确保移液精准性；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可整支高温高压灭菌和紫外消毒；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移液器的量程设定单手可调，快速简单，在操作过程中随时可观察到量程的数值；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体积显示：量程刻度由四位数字放大显示，数字框设计位置合理，便于移液时观察；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弹性吸嘴：伸缩式弹性吸嘴设计，确保吸头装配的气密性和移液均一性</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3 </w:t>
            </w:r>
          </w:p>
          <w:p>
            <w:pPr>
              <w:pStyle w:val="2"/>
              <w:rPr>
                <w:rFonts w:hint="eastAsia" w:eastAsia="宋体"/>
                <w:lang w:val="en-US" w:eastAsia="zh-CN"/>
              </w:rPr>
            </w:pPr>
            <w:r>
              <w:rPr>
                <w:rFonts w:hint="eastAsia"/>
                <w:lang w:val="en-US" w:eastAsia="zh-CN"/>
              </w:rPr>
              <w:t>（10-100μL）</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4"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0</w:t>
            </w: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69" w:type="dxa"/>
            <w:vMerge w:val="continue"/>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（30-300μL）</w:t>
            </w:r>
            <w:r>
              <w:rPr>
                <w:rFonts w:hint="eastAsia" w:ascii="宋体" w:hAnsi="宋体" w:eastAsia="宋体" w:cs="宋体"/>
                <w:i w:val="0"/>
                <w:iCs w:val="0"/>
                <w:color w:val="000000"/>
                <w:kern w:val="0"/>
                <w:sz w:val="18"/>
                <w:szCs w:val="18"/>
                <w:u w:val="none"/>
                <w:lang w:val="en-US" w:eastAsia="zh-CN" w:bidi="ar"/>
              </w:rPr>
              <w:t xml:space="preserve">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4"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大容量电动移液器</w:t>
            </w:r>
          </w:p>
        </w:tc>
        <w:tc>
          <w:tcPr>
            <w:tcW w:w="816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原装进口</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适用于0.1-100ml体积范围的移液管；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重量轻，平衡用力设计，操作舒适，无疲劳；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可设定吸液速率；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管内液面容易控制；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吸液速度快：25ml/5秒；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单指掌控吸液和排液过程；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移液器的适配器和过滤托架可高压灭菌；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可更换过滤膜</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洗衣机（滚筒10KG洗烘一体）</w:t>
            </w:r>
          </w:p>
        </w:tc>
        <w:tc>
          <w:tcPr>
            <w:tcW w:w="816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显示类型：LED显示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开门方式：前开式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操控方式：电脑式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自动化程度：全自动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规格标准程序耗电量：0.69kW·h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洗净比：1.08比值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 xml:space="preserve"> 脱水功率：450W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洗涤容量：10kg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洗涤功率：200W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烘干容量：6kg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 脱水容量：10kg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 烘干功率：1050W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脱水转速：1200转/分钟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 xml:space="preserve"> 标准程序耗水量：54L</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23</w:t>
            </w:r>
          </w:p>
        </w:tc>
        <w:tc>
          <w:tcPr>
            <w:tcW w:w="1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微波炉</w:t>
            </w:r>
          </w:p>
        </w:tc>
        <w:tc>
          <w:tcPr>
            <w:tcW w:w="816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 额定频率：50Hz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变频/定频：定频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微波功率：800W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容量：23L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额定电压：220V</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 </w:t>
            </w: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r>
    </w:tbl>
    <w:p>
      <w:pPr>
        <w:rPr>
          <w:rFonts w:hint="eastAsia" w:ascii="宋体" w:hAnsi="宋体" w:eastAsia="宋体" w:cs="宋体"/>
          <w:sz w:val="24"/>
          <w:szCs w:val="24"/>
          <w:highlight w:val="none"/>
          <w:lang w:val="zh-CN"/>
        </w:rPr>
      </w:pPr>
    </w:p>
    <w:p>
      <w:pPr>
        <w:pStyle w:val="4"/>
        <w:rPr>
          <w:rFonts w:hint="eastAsia" w:ascii="宋体" w:hAnsi="宋体" w:eastAsia="宋体" w:cs="宋体"/>
          <w:sz w:val="24"/>
          <w:szCs w:val="24"/>
          <w:highlight w:val="none"/>
          <w:lang w:val="zh-CN"/>
        </w:rPr>
        <w:sectPr>
          <w:pgSz w:w="16838" w:h="11905" w:orient="landscape"/>
          <w:pgMar w:top="1134" w:right="1134" w:bottom="1134" w:left="1134" w:header="952" w:footer="533" w:gutter="567"/>
          <w:pgBorders>
            <w:top w:val="none" w:sz="0" w:space="0"/>
            <w:left w:val="none" w:sz="0" w:space="0"/>
            <w:bottom w:val="none" w:sz="0" w:space="0"/>
            <w:right w:val="none" w:sz="0" w:space="0"/>
          </w:pgBorders>
          <w:pgNumType w:fmt="decimal"/>
          <w:cols w:space="0" w:num="1"/>
          <w:titlePg/>
          <w:rtlGutter w:val="0"/>
          <w:docGrid w:linePitch="312" w:charSpace="0"/>
        </w:sectPr>
      </w:pPr>
    </w:p>
    <w:p>
      <w:pPr>
        <w:numPr>
          <w:ilvl w:val="0"/>
          <w:numId w:val="0"/>
        </w:numPr>
        <w:tabs>
          <w:tab w:val="left" w:pos="9030"/>
        </w:tabs>
        <w:snapToGrid w:val="0"/>
        <w:spacing w:line="360" w:lineRule="auto"/>
        <w:ind w:right="-62" w:rightChars="0"/>
        <w:jc w:val="center"/>
        <w:outlineLvl w:val="9"/>
        <w:rPr>
          <w:rFonts w:hint="eastAsia" w:ascii="宋体" w:hAnsi="宋体" w:eastAsia="宋体" w:cs="宋体"/>
          <w:b/>
          <w:bCs/>
          <w:color w:val="auto"/>
          <w:sz w:val="24"/>
          <w:szCs w:val="24"/>
          <w:highlight w:val="none"/>
          <w:lang w:val="zh-CN"/>
        </w:rPr>
      </w:pPr>
      <w:bookmarkStart w:id="454" w:name="_Toc21454"/>
      <w:bookmarkStart w:id="455" w:name="_Toc10675"/>
    </w:p>
    <w:p>
      <w:pPr>
        <w:numPr>
          <w:ilvl w:val="0"/>
          <w:numId w:val="0"/>
        </w:numPr>
        <w:spacing w:line="360" w:lineRule="auto"/>
        <w:jc w:val="center"/>
        <w:outlineLvl w:val="0"/>
        <w:rPr>
          <w:rFonts w:hint="eastAsia" w:ascii="宋体" w:hAnsi="宋体" w:eastAsia="宋体" w:cs="宋体"/>
          <w:b/>
          <w:color w:val="auto"/>
          <w:sz w:val="24"/>
          <w:szCs w:val="24"/>
          <w:highlight w:val="none"/>
          <w:lang w:val="zh-CN"/>
        </w:rPr>
      </w:pPr>
      <w:bookmarkStart w:id="456" w:name="_Toc12257"/>
      <w:r>
        <w:rPr>
          <w:rFonts w:hint="eastAsia" w:ascii="宋体" w:hAnsi="宋体" w:eastAsia="宋体" w:cs="宋体"/>
          <w:b/>
          <w:color w:val="auto"/>
          <w:sz w:val="24"/>
          <w:szCs w:val="24"/>
          <w:highlight w:val="none"/>
          <w:lang w:val="zh-CN"/>
        </w:rPr>
        <w:t>第四部分</w:t>
      </w:r>
      <w:r>
        <w:rPr>
          <w:rFonts w:hint="eastAsia" w:ascii="宋体" w:hAnsi="宋体" w:eastAsia="宋体" w:cs="宋体"/>
          <w:b/>
          <w:color w:val="auto"/>
          <w:sz w:val="24"/>
          <w:szCs w:val="24"/>
          <w:highlight w:val="none"/>
          <w:lang w:val="en-US" w:eastAsia="zh-CN"/>
        </w:rPr>
        <w:t xml:space="preserve">  商务要求及</w:t>
      </w:r>
      <w:r>
        <w:rPr>
          <w:rFonts w:hint="eastAsia" w:ascii="宋体" w:hAnsi="宋体" w:eastAsia="宋体" w:cs="宋体"/>
          <w:b/>
          <w:color w:val="auto"/>
          <w:sz w:val="24"/>
          <w:szCs w:val="24"/>
          <w:highlight w:val="none"/>
          <w:lang w:val="zh-CN"/>
        </w:rPr>
        <w:t>合同范本</w:t>
      </w:r>
      <w:bookmarkEnd w:id="454"/>
      <w:bookmarkEnd w:id="455"/>
      <w:bookmarkEnd w:id="456"/>
    </w:p>
    <w:p>
      <w:pPr>
        <w:pStyle w:val="11"/>
        <w:shd w:val="clear"/>
        <w:spacing w:line="360" w:lineRule="auto"/>
        <w:rPr>
          <w:rFonts w:hint="eastAsia" w:ascii="宋体" w:hAnsi="宋体" w:eastAsia="宋体" w:cs="宋体"/>
          <w:color w:val="auto"/>
          <w:highlight w:val="none"/>
        </w:rPr>
      </w:pPr>
      <w:bookmarkStart w:id="457" w:name="_Toc26094"/>
      <w:bookmarkStart w:id="458" w:name="_Toc26173_WPSOffice_Level1"/>
      <w:bookmarkStart w:id="459" w:name="_Toc530042256"/>
      <w:bookmarkStart w:id="460" w:name="_Toc855"/>
      <w:bookmarkStart w:id="461" w:name="_Toc27820"/>
    </w:p>
    <w:p>
      <w:pPr>
        <w:shd w:val="clear"/>
        <w:spacing w:before="120" w:line="360" w:lineRule="auto"/>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政府采购合同</w:t>
      </w:r>
    </w:p>
    <w:p>
      <w:pPr>
        <w:shd w:val="clear"/>
        <w:spacing w:before="120" w:line="360" w:lineRule="auto"/>
        <w:jc w:val="center"/>
        <w:rPr>
          <w:rFonts w:hint="eastAsia" w:ascii="宋体" w:hAnsi="宋体" w:eastAsia="宋体" w:cs="宋体"/>
          <w:color w:val="auto"/>
          <w:sz w:val="28"/>
          <w:szCs w:val="28"/>
          <w:highlight w:val="none"/>
        </w:rPr>
      </w:pPr>
      <w:bookmarkStart w:id="462" w:name="_Toc109542396"/>
      <w:bookmarkStart w:id="463" w:name="_Toc109543216"/>
      <w:r>
        <w:rPr>
          <w:rFonts w:hint="eastAsia" w:ascii="宋体" w:hAnsi="宋体" w:eastAsia="宋体" w:cs="宋体"/>
          <w:color w:val="auto"/>
          <w:sz w:val="28"/>
          <w:szCs w:val="28"/>
          <w:highlight w:val="none"/>
        </w:rPr>
        <w:t>（参考格式）</w:t>
      </w:r>
    </w:p>
    <w:p>
      <w:pPr>
        <w:pStyle w:val="11"/>
        <w:shd w:val="clear"/>
        <w:rPr>
          <w:rFonts w:hint="eastAsia" w:ascii="宋体" w:hAnsi="宋体" w:eastAsia="宋体" w:cs="宋体"/>
          <w:color w:val="auto"/>
          <w:sz w:val="28"/>
          <w:szCs w:val="28"/>
          <w:highlight w:val="none"/>
        </w:rPr>
      </w:pPr>
    </w:p>
    <w:p>
      <w:pPr>
        <w:pStyle w:val="19"/>
        <w:shd w:val="clear"/>
        <w:rPr>
          <w:rFonts w:hint="eastAsia" w:ascii="宋体" w:hAnsi="宋体" w:eastAsia="宋体" w:cs="宋体"/>
          <w:color w:val="auto"/>
          <w:sz w:val="28"/>
          <w:szCs w:val="28"/>
          <w:highlight w:val="none"/>
        </w:rPr>
      </w:pPr>
    </w:p>
    <w:p>
      <w:pPr>
        <w:pStyle w:val="19"/>
        <w:shd w:val="clear"/>
        <w:rPr>
          <w:rFonts w:hint="eastAsia" w:ascii="宋体" w:hAnsi="宋体" w:eastAsia="宋体" w:cs="宋体"/>
          <w:color w:val="auto"/>
          <w:sz w:val="28"/>
          <w:szCs w:val="28"/>
          <w:highlight w:val="none"/>
        </w:rPr>
      </w:pPr>
    </w:p>
    <w:p>
      <w:pPr>
        <w:pStyle w:val="19"/>
        <w:shd w:val="clear"/>
        <w:rPr>
          <w:rFonts w:hint="eastAsia" w:ascii="宋体" w:hAnsi="宋体" w:eastAsia="宋体" w:cs="宋体"/>
          <w:color w:val="auto"/>
          <w:sz w:val="28"/>
          <w:szCs w:val="28"/>
          <w:highlight w:val="none"/>
        </w:rPr>
      </w:pPr>
    </w:p>
    <w:p>
      <w:pPr>
        <w:shd w:val="clear"/>
        <w:spacing w:before="120" w:line="360" w:lineRule="auto"/>
        <w:ind w:firstLine="3064" w:firstLineChars="1090"/>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合同编号：</w:t>
      </w:r>
      <w:bookmarkEnd w:id="462"/>
      <w:bookmarkEnd w:id="463"/>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rPr>
        <w:tab/>
      </w:r>
    </w:p>
    <w:p>
      <w:pPr>
        <w:shd w:val="clear"/>
        <w:spacing w:before="120" w:line="360" w:lineRule="auto"/>
        <w:rPr>
          <w:rFonts w:hint="eastAsia" w:ascii="宋体" w:hAnsi="宋体" w:eastAsia="宋体" w:cs="宋体"/>
          <w:color w:val="auto"/>
          <w:sz w:val="28"/>
          <w:szCs w:val="28"/>
          <w:highlight w:val="none"/>
        </w:rPr>
      </w:pPr>
    </w:p>
    <w:p>
      <w:pPr>
        <w:shd w:val="clear"/>
        <w:spacing w:before="120" w:line="360" w:lineRule="auto"/>
        <w:rPr>
          <w:rFonts w:hint="eastAsia" w:ascii="宋体" w:hAnsi="宋体" w:eastAsia="宋体" w:cs="宋体"/>
          <w:color w:val="auto"/>
          <w:sz w:val="28"/>
          <w:szCs w:val="28"/>
          <w:highlight w:val="none"/>
        </w:rPr>
      </w:pPr>
    </w:p>
    <w:p>
      <w:pPr>
        <w:pStyle w:val="11"/>
        <w:shd w:val="clear"/>
        <w:rPr>
          <w:rFonts w:hint="eastAsia" w:ascii="宋体" w:hAnsi="宋体" w:eastAsia="宋体" w:cs="宋体"/>
          <w:color w:val="auto"/>
          <w:sz w:val="28"/>
          <w:szCs w:val="28"/>
          <w:highlight w:val="none"/>
        </w:rPr>
      </w:pPr>
    </w:p>
    <w:p>
      <w:pPr>
        <w:pStyle w:val="19"/>
        <w:shd w:val="clear"/>
        <w:rPr>
          <w:rFonts w:hint="eastAsia" w:ascii="宋体" w:hAnsi="宋体" w:eastAsia="宋体" w:cs="宋体"/>
          <w:color w:val="auto"/>
          <w:sz w:val="28"/>
          <w:szCs w:val="28"/>
          <w:highlight w:val="none"/>
        </w:rPr>
      </w:pPr>
    </w:p>
    <w:p>
      <w:pPr>
        <w:pStyle w:val="19"/>
        <w:shd w:val="clear"/>
        <w:rPr>
          <w:rFonts w:hint="eastAsia" w:ascii="宋体" w:hAnsi="宋体" w:eastAsia="宋体" w:cs="宋体"/>
          <w:color w:val="auto"/>
          <w:sz w:val="28"/>
          <w:szCs w:val="28"/>
          <w:highlight w:val="none"/>
        </w:rPr>
      </w:pPr>
    </w:p>
    <w:p>
      <w:pPr>
        <w:shd w:val="clear"/>
        <w:spacing w:before="120" w:line="360" w:lineRule="auto"/>
        <w:ind w:firstLine="843" w:firstLineChars="30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p>
    <w:p>
      <w:pPr>
        <w:shd w:val="clear"/>
        <w:spacing w:before="120" w:line="360" w:lineRule="auto"/>
        <w:ind w:firstLine="843" w:firstLineChars="30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lang w:eastAsia="zh-CN"/>
        </w:rPr>
        <w:t>采</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购</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人</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p>
    <w:p>
      <w:pPr>
        <w:shd w:val="clear"/>
        <w:spacing w:before="120" w:line="360" w:lineRule="auto"/>
        <w:ind w:firstLine="843" w:firstLineChars="30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lang w:eastAsia="zh-CN"/>
        </w:rPr>
        <w:t>供</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应</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rPr>
        <w:tab/>
      </w:r>
    </w:p>
    <w:p>
      <w:pPr>
        <w:shd w:val="clear"/>
        <w:spacing w:line="360" w:lineRule="auto"/>
        <w:ind w:firstLine="843" w:firstLineChars="300"/>
        <w:rPr>
          <w:rFonts w:hint="eastAsia" w:ascii="宋体" w:hAnsi="宋体" w:eastAsia="宋体" w:cs="宋体"/>
          <w:b/>
          <w:bCs/>
          <w:color w:val="auto"/>
          <w:szCs w:val="24"/>
          <w:highlight w:val="none"/>
        </w:rPr>
      </w:pPr>
      <w:r>
        <w:rPr>
          <w:rFonts w:hint="eastAsia" w:ascii="宋体" w:hAnsi="宋体" w:eastAsia="宋体" w:cs="宋体"/>
          <w:b/>
          <w:bCs/>
          <w:color w:val="auto"/>
          <w:sz w:val="28"/>
          <w:szCs w:val="28"/>
          <w:highlight w:val="none"/>
        </w:rPr>
        <w:t>签署日期：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rPr>
        <w:tab/>
      </w:r>
    </w:p>
    <w:p>
      <w:pPr>
        <w:shd w:val="clear"/>
        <w:spacing w:before="166" w:beforeLines="50" w:line="360" w:lineRule="auto"/>
        <w:jc w:val="center"/>
        <w:rPr>
          <w:rFonts w:hint="eastAsia" w:ascii="宋体" w:hAnsi="宋体" w:eastAsia="宋体" w:cs="宋体"/>
          <w:b/>
          <w:bCs/>
          <w:color w:val="auto"/>
          <w:sz w:val="32"/>
          <w:szCs w:val="32"/>
          <w:highlight w:val="none"/>
          <w:lang w:eastAsia="zh-CN"/>
        </w:rPr>
      </w:pPr>
      <w:bookmarkStart w:id="464" w:name="_Toc233435953"/>
      <w:bookmarkStart w:id="465" w:name="_Toc356927946"/>
      <w:r>
        <w:rPr>
          <w:rFonts w:hint="eastAsia" w:ascii="宋体" w:hAnsi="宋体" w:eastAsia="宋体" w:cs="宋体"/>
          <w:color w:val="auto"/>
          <w:sz w:val="28"/>
          <w:szCs w:val="28"/>
          <w:highlight w:val="yellow"/>
        </w:rPr>
        <w:br w:type="page"/>
      </w:r>
      <w:bookmarkEnd w:id="464"/>
      <w:bookmarkEnd w:id="465"/>
      <w:r>
        <w:rPr>
          <w:rFonts w:hint="eastAsia" w:hAnsi="宋体" w:eastAsia="宋体" w:cs="宋体"/>
          <w:b/>
          <w:bCs/>
          <w:color w:val="auto"/>
          <w:sz w:val="40"/>
          <w:szCs w:val="40"/>
          <w:highlight w:val="none"/>
          <w:lang w:eastAsia="zh-CN"/>
        </w:rPr>
        <w:t>合同条款</w:t>
      </w:r>
    </w:p>
    <w:p>
      <w:pPr>
        <w:keepNext w:val="0"/>
        <w:keepLines w:val="0"/>
        <w:pageBreakBefore w:val="0"/>
        <w:widowControl w:val="0"/>
        <w:shd w:val="clear"/>
        <w:kinsoku/>
        <w:wordWrap/>
        <w:overflowPunct/>
        <w:topLinePunct w:val="0"/>
        <w:bidi w:val="0"/>
        <w:spacing w:line="500" w:lineRule="exact"/>
        <w:textAlignment w:val="auto"/>
        <w:rPr>
          <w:rFonts w:hint="eastAsia" w:ascii="宋体" w:hAnsi="宋体" w:cs="仿宋"/>
          <w:sz w:val="24"/>
          <w:szCs w:val="24"/>
          <w:highlight w:val="none"/>
        </w:rPr>
      </w:pPr>
      <w:r>
        <w:rPr>
          <w:rFonts w:hint="eastAsia" w:ascii="宋体" w:hAnsi="宋体" w:cs="仿宋"/>
          <w:sz w:val="24"/>
          <w:szCs w:val="24"/>
          <w:highlight w:val="none"/>
        </w:rPr>
        <w:t>一、供货合同格式</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pacing w:val="-10"/>
          <w:kern w:val="0"/>
          <w:sz w:val="24"/>
          <w:szCs w:val="24"/>
          <w:highlight w:val="none"/>
        </w:rPr>
      </w:pPr>
      <w:r>
        <w:rPr>
          <w:rFonts w:hint="eastAsia" w:ascii="宋体" w:hAnsi="宋体" w:cs="仿宋"/>
          <w:sz w:val="24"/>
          <w:szCs w:val="24"/>
          <w:highlight w:val="none"/>
          <w:lang w:val="en-US" w:eastAsia="zh-CN"/>
        </w:rPr>
        <w:t xml:space="preserve">陕西省动物疫病预防控制中心实验室仪器采购项目 </w:t>
      </w:r>
      <w:r>
        <w:rPr>
          <w:rFonts w:hint="eastAsia" w:ascii="宋体" w:hAnsi="宋体" w:cs="仿宋"/>
          <w:sz w:val="24"/>
          <w:szCs w:val="24"/>
          <w:highlight w:val="none"/>
        </w:rPr>
        <w:t>，</w:t>
      </w:r>
      <w:r>
        <w:rPr>
          <w:rFonts w:hint="eastAsia" w:ascii="宋体" w:hAnsi="宋体" w:eastAsia="宋体" w:cs="宋体"/>
          <w:kern w:val="0"/>
          <w:sz w:val="24"/>
          <w:szCs w:val="24"/>
          <w:highlight w:val="none"/>
        </w:rPr>
        <w:t>在</w:t>
      </w:r>
      <w:r>
        <w:rPr>
          <w:rFonts w:hint="eastAsia" w:ascii="宋体" w:hAnsi="宋体" w:cs="宋体"/>
          <w:color w:val="auto"/>
          <w:sz w:val="24"/>
          <w:szCs w:val="24"/>
          <w:highlight w:val="none"/>
          <w:lang w:val="en-US" w:eastAsia="zh-CN"/>
        </w:rPr>
        <w:t>陕西省财政厅</w:t>
      </w:r>
      <w:r>
        <w:rPr>
          <w:rFonts w:hint="eastAsia" w:ascii="宋体" w:hAnsi="宋体" w:eastAsia="宋体" w:cs="宋体"/>
          <w:kern w:val="0"/>
          <w:sz w:val="24"/>
          <w:szCs w:val="24"/>
          <w:highlight w:val="none"/>
        </w:rPr>
        <w:t>的监督管理下，</w:t>
      </w:r>
      <w:r>
        <w:rPr>
          <w:rFonts w:hint="eastAsia" w:ascii="宋体" w:hAnsi="宋体" w:cs="仿宋"/>
          <w:kern w:val="0"/>
          <w:sz w:val="24"/>
          <w:szCs w:val="24"/>
          <w:highlight w:val="none"/>
        </w:rPr>
        <w:t>由陕西中海招标有限公司组织</w:t>
      </w:r>
      <w:r>
        <w:rPr>
          <w:rFonts w:hint="eastAsia" w:ascii="宋体" w:hAnsi="宋体" w:cs="仿宋"/>
          <w:kern w:val="0"/>
          <w:sz w:val="24"/>
          <w:szCs w:val="24"/>
          <w:highlight w:val="none"/>
          <w:lang w:val="en-US" w:eastAsia="zh-CN"/>
        </w:rPr>
        <w:t>公开招标方式采购</w:t>
      </w:r>
      <w:r>
        <w:rPr>
          <w:rFonts w:hint="eastAsia" w:ascii="宋体" w:hAnsi="宋体" w:cs="仿宋"/>
          <w:kern w:val="0"/>
          <w:sz w:val="24"/>
          <w:szCs w:val="24"/>
          <w:highlight w:val="none"/>
        </w:rPr>
        <w:t>，</w:t>
      </w:r>
      <w:r>
        <w:rPr>
          <w:rFonts w:hint="eastAsia" w:ascii="宋体" w:hAnsi="宋体" w:eastAsia="宋体" w:cs="宋体"/>
          <w:sz w:val="24"/>
          <w:szCs w:val="24"/>
          <w:lang w:eastAsia="zh-CN"/>
        </w:rPr>
        <w:t>陕西省动物疫病预防控制中心</w:t>
      </w:r>
      <w:r>
        <w:rPr>
          <w:rFonts w:hint="eastAsia" w:ascii="宋体" w:hAnsi="宋体" w:cs="仿宋"/>
          <w:kern w:val="0"/>
          <w:sz w:val="24"/>
          <w:szCs w:val="24"/>
          <w:highlight w:val="none"/>
        </w:rPr>
        <w:t>(以下简称“买方”)确定 (中标单位名称) （以下简称“卖方”）为中标单位。</w:t>
      </w:r>
    </w:p>
    <w:p>
      <w:pPr>
        <w:keepNext w:val="0"/>
        <w:keepLines w:val="0"/>
        <w:pageBreakBefore w:val="0"/>
        <w:widowControl w:val="0"/>
        <w:shd w:val="clear"/>
        <w:kinsoku/>
        <w:wordWrap/>
        <w:overflowPunct/>
        <w:topLinePunct w:val="0"/>
        <w:bidi w:val="0"/>
        <w:spacing w:line="500" w:lineRule="exact"/>
        <w:ind w:right="210" w:rightChars="100" w:firstLine="480" w:firstLineChars="200"/>
        <w:textAlignment w:val="auto"/>
        <w:rPr>
          <w:rFonts w:hint="eastAsia" w:ascii="宋体" w:hAnsi="宋体" w:cs="仿宋"/>
          <w:kern w:val="0"/>
          <w:sz w:val="24"/>
          <w:szCs w:val="24"/>
          <w:highlight w:val="none"/>
        </w:rPr>
      </w:pPr>
      <w:r>
        <w:rPr>
          <w:rFonts w:hint="eastAsia" w:ascii="宋体" w:hAnsi="宋体" w:cs="仿宋"/>
          <w:kern w:val="0"/>
          <w:sz w:val="24"/>
          <w:szCs w:val="24"/>
          <w:highlight w:val="none"/>
        </w:rPr>
        <w:t>依据《中华人民共和国合同法》和《中华人民共和国政府采购法》，买方通过</w:t>
      </w:r>
      <w:r>
        <w:rPr>
          <w:rFonts w:hint="eastAsia" w:ascii="宋体" w:hAnsi="宋体" w:cs="仿宋"/>
          <w:kern w:val="0"/>
          <w:sz w:val="24"/>
          <w:szCs w:val="24"/>
          <w:highlight w:val="none"/>
          <w:lang w:val="en-US" w:eastAsia="zh-CN"/>
        </w:rPr>
        <w:t>公开招标方式</w:t>
      </w:r>
      <w:r>
        <w:rPr>
          <w:rFonts w:hint="eastAsia" w:ascii="宋体" w:hAnsi="宋体" w:cs="仿宋"/>
          <w:kern w:val="0"/>
          <w:sz w:val="24"/>
          <w:szCs w:val="24"/>
          <w:highlight w:val="none"/>
        </w:rPr>
        <w:t>采购</w:t>
      </w:r>
      <w:r>
        <w:rPr>
          <w:rFonts w:hint="eastAsia" w:ascii="宋体" w:hAnsi="宋体" w:cs="仿宋"/>
          <w:kern w:val="0"/>
          <w:sz w:val="24"/>
          <w:szCs w:val="24"/>
          <w:highlight w:val="none"/>
          <w:u w:val="single"/>
        </w:rPr>
        <w:t>（</w:t>
      </w:r>
      <w:r>
        <w:rPr>
          <w:rFonts w:hint="eastAsia" w:hAnsi="宋体" w:cs="仿宋"/>
          <w:kern w:val="0"/>
          <w:sz w:val="24"/>
          <w:szCs w:val="24"/>
          <w:highlight w:val="none"/>
          <w:u w:val="single"/>
          <w:lang w:val="en-US" w:eastAsia="zh-CN"/>
        </w:rPr>
        <w:t>项目名称</w:t>
      </w:r>
      <w:r>
        <w:rPr>
          <w:rFonts w:hint="eastAsia" w:ascii="宋体" w:hAnsi="宋体" w:cs="仿宋"/>
          <w:kern w:val="0"/>
          <w:sz w:val="24"/>
          <w:szCs w:val="24"/>
          <w:highlight w:val="none"/>
          <w:u w:val="single"/>
        </w:rPr>
        <w:t xml:space="preserve">） </w:t>
      </w:r>
      <w:r>
        <w:rPr>
          <w:rFonts w:hint="eastAsia" w:ascii="宋体" w:hAnsi="宋体" w:cs="仿宋"/>
          <w:kern w:val="0"/>
          <w:sz w:val="24"/>
          <w:szCs w:val="24"/>
          <w:highlight w:val="none"/>
        </w:rPr>
        <w:t>，并接受了卖方以价格</w:t>
      </w:r>
      <w:r>
        <w:rPr>
          <w:rFonts w:hint="eastAsia" w:ascii="宋体" w:hAnsi="宋体" w:cs="仿宋"/>
          <w:kern w:val="0"/>
          <w:sz w:val="24"/>
          <w:szCs w:val="24"/>
          <w:highlight w:val="none"/>
          <w:u w:val="single"/>
        </w:rPr>
        <w:t xml:space="preserve"> (中标金额大写)</w:t>
      </w:r>
      <w:r>
        <w:rPr>
          <w:rFonts w:hint="eastAsia" w:ascii="宋体" w:hAnsi="宋体" w:cs="仿宋"/>
          <w:kern w:val="0"/>
          <w:sz w:val="24"/>
          <w:szCs w:val="24"/>
          <w:highlight w:val="none"/>
        </w:rPr>
        <w:t>(以下简称“合同价”)提供的产品及服务。</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bookmarkStart w:id="466" w:name="_Toc193126879"/>
      <w:bookmarkStart w:id="467" w:name="_Toc193187095"/>
      <w:bookmarkStart w:id="468" w:name="_Toc194663916"/>
      <w:bookmarkStart w:id="469" w:name="_Toc188808831"/>
      <w:r>
        <w:rPr>
          <w:rFonts w:hint="eastAsia" w:ascii="宋体" w:hAnsi="宋体" w:cs="仿宋"/>
          <w:sz w:val="24"/>
          <w:szCs w:val="24"/>
          <w:highlight w:val="none"/>
        </w:rPr>
        <w:t>本合同在此声明如下：</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1、本合同中的词语和术语的含义与合同条款中定义的相同。</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2、下述文件是本合同的一部分，并与本合同一起阅读和解释：</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1）合同条款</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2）合同条款附件</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3）中标通知书</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4）招标文件</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5）投标文件</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3、考虑到买方将按照本合同向卖方支付货款，卖方在此保证全部按照合同的规定向买方提供货物和服务，并修补缺陷。</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4、考虑到卖方提供的货物和服务并修补缺陷，买方在此保证按照合同规定的时间和方式向卖方支付合同价或其他按合同规定应支付的金额。</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default" w:ascii="宋体" w:hAnsi="宋体" w:eastAsia="宋体" w:cs="仿宋"/>
          <w:kern w:val="0"/>
          <w:sz w:val="24"/>
          <w:szCs w:val="24"/>
          <w:highlight w:val="none"/>
          <w:lang w:val="en-US" w:eastAsia="zh-CN"/>
        </w:rPr>
      </w:pPr>
      <w:r>
        <w:rPr>
          <w:rFonts w:hint="eastAsia" w:ascii="宋体" w:hAnsi="宋体" w:cs="仿宋"/>
          <w:kern w:val="0"/>
          <w:sz w:val="24"/>
          <w:szCs w:val="24"/>
          <w:highlight w:val="none"/>
        </w:rPr>
        <w:t>5、付款方式：</w:t>
      </w:r>
      <w:r>
        <w:rPr>
          <w:rFonts w:hint="eastAsia" w:hAnsi="宋体" w:cs="仿宋"/>
          <w:kern w:val="0"/>
          <w:sz w:val="24"/>
          <w:szCs w:val="24"/>
          <w:highlight w:val="none"/>
          <w:u w:val="single"/>
          <w:lang w:val="en-US" w:eastAsia="zh-CN"/>
        </w:rPr>
        <w:t xml:space="preserve">  </w:t>
      </w:r>
      <w:r>
        <w:rPr>
          <w:rFonts w:hint="eastAsia" w:ascii="宋体" w:hAnsi="宋体" w:cs="宋体"/>
          <w:b w:val="0"/>
          <w:bCs w:val="0"/>
          <w:color w:val="000000"/>
          <w:kern w:val="0"/>
          <w:sz w:val="24"/>
          <w:szCs w:val="24"/>
          <w:highlight w:val="none"/>
          <w:u w:val="single"/>
          <w:lang w:val="en-US" w:eastAsia="zh-CN" w:bidi="ar"/>
        </w:rPr>
        <w:t>签订合同后付款60%</w:t>
      </w:r>
      <w:r>
        <w:rPr>
          <w:rFonts w:hint="eastAsia" w:ascii="宋体" w:hAnsi="宋体" w:eastAsia="宋体" w:cs="宋体"/>
          <w:b w:val="0"/>
          <w:bCs w:val="0"/>
          <w:color w:val="000000"/>
          <w:kern w:val="0"/>
          <w:sz w:val="24"/>
          <w:szCs w:val="24"/>
          <w:highlight w:val="none"/>
          <w:u w:val="single"/>
          <w:lang w:val="en-US" w:eastAsia="zh-CN" w:bidi="ar"/>
        </w:rPr>
        <w:t xml:space="preserve"> </w:t>
      </w:r>
      <w:r>
        <w:rPr>
          <w:rFonts w:hint="eastAsia" w:ascii="宋体" w:hAnsi="宋体" w:cs="宋体"/>
          <w:b w:val="0"/>
          <w:bCs w:val="0"/>
          <w:color w:val="000000"/>
          <w:kern w:val="0"/>
          <w:sz w:val="24"/>
          <w:szCs w:val="24"/>
          <w:highlight w:val="none"/>
          <w:u w:val="single"/>
          <w:lang w:val="en-US" w:eastAsia="zh-CN" w:bidi="ar"/>
        </w:rPr>
        <w:t>，项目验收合格后付款35%，质保期一年后付款5%</w:t>
      </w:r>
      <w:r>
        <w:rPr>
          <w:rFonts w:hint="eastAsia" w:ascii="宋体" w:hAnsi="宋体" w:eastAsia="宋体" w:cs="宋体"/>
          <w:b w:val="0"/>
          <w:bCs w:val="0"/>
          <w:color w:val="000000"/>
          <w:kern w:val="0"/>
          <w:sz w:val="24"/>
          <w:szCs w:val="24"/>
          <w:highlight w:val="none"/>
          <w:u w:val="single"/>
          <w:lang w:val="en-US" w:eastAsia="zh-CN" w:bidi="ar"/>
        </w:rPr>
        <w:t>。</w:t>
      </w:r>
    </w:p>
    <w:p>
      <w:pPr>
        <w:keepNext w:val="0"/>
        <w:keepLines w:val="0"/>
        <w:pageBreakBefore w:val="0"/>
        <w:widowControl w:val="0"/>
        <w:shd w:val="clear"/>
        <w:kinsoku/>
        <w:wordWrap/>
        <w:overflowPunct/>
        <w:topLinePunct w:val="0"/>
        <w:bidi w:val="0"/>
        <w:adjustRightInd w:val="0"/>
        <w:snapToGrid w:val="0"/>
        <w:spacing w:line="500" w:lineRule="exact"/>
        <w:ind w:firstLine="480" w:firstLineChars="200"/>
        <w:textAlignment w:val="auto"/>
        <w:rPr>
          <w:rFonts w:hint="eastAsia" w:ascii="宋体" w:hAnsi="宋体" w:cs="仿宋"/>
          <w:kern w:val="0"/>
          <w:sz w:val="24"/>
          <w:szCs w:val="24"/>
          <w:highlight w:val="none"/>
        </w:rPr>
      </w:pPr>
      <w:r>
        <w:rPr>
          <w:rFonts w:hint="eastAsia" w:ascii="宋体" w:hAnsi="宋体" w:cs="仿宋"/>
          <w:kern w:val="0"/>
          <w:sz w:val="24"/>
          <w:szCs w:val="24"/>
          <w:highlight w:val="none"/>
          <w:lang w:val="en-US" w:eastAsia="zh-CN"/>
        </w:rPr>
        <w:t>6</w:t>
      </w:r>
      <w:r>
        <w:rPr>
          <w:rFonts w:hint="eastAsia" w:ascii="宋体" w:hAnsi="宋体" w:cs="仿宋"/>
          <w:kern w:val="0"/>
          <w:sz w:val="24"/>
          <w:szCs w:val="24"/>
          <w:highlight w:val="none"/>
        </w:rPr>
        <w:t>、本合同由买卖双方共同签字盖章，自签字盖章之日起生效。</w:t>
      </w:r>
    </w:p>
    <w:tbl>
      <w:tblPr>
        <w:tblStyle w:val="23"/>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noWrap w:val="0"/>
            <w:tcMar>
              <w:top w:w="113" w:type="dxa"/>
              <w:left w:w="113" w:type="dxa"/>
              <w:bottom w:w="113" w:type="dxa"/>
              <w:right w:w="113" w:type="dxa"/>
            </w:tcMar>
            <w:vAlign w:val="top"/>
          </w:tcPr>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买方名称： </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地    址： </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邮    编：</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电    话：</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传    真：</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代表签字：</w:t>
            </w:r>
          </w:p>
          <w:p>
            <w:pPr>
              <w:keepNext w:val="0"/>
              <w:keepLines w:val="0"/>
              <w:pageBreakBefore w:val="0"/>
              <w:widowControl w:val="0"/>
              <w:shd w:val="clear"/>
              <w:kinsoku/>
              <w:wordWrap/>
              <w:overflowPunct/>
              <w:topLinePunct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盖章：</w:t>
            </w:r>
          </w:p>
          <w:p>
            <w:pPr>
              <w:keepNext w:val="0"/>
              <w:keepLines w:val="0"/>
              <w:pageBreakBefore w:val="0"/>
              <w:widowControl w:val="0"/>
              <w:shd w:val="clear"/>
              <w:kinsoku/>
              <w:wordWrap/>
              <w:overflowPunct/>
              <w:topLinePunct w:val="0"/>
              <w:autoSpaceDE w:val="0"/>
              <w:autoSpaceDN w:val="0"/>
              <w:bidi w:val="0"/>
              <w:spacing w:line="500" w:lineRule="exact"/>
              <w:textAlignment w:val="auto"/>
              <w:rPr>
                <w:rFonts w:hint="eastAsia" w:ascii="宋体" w:hAnsi="宋体" w:cs="仿宋"/>
                <w:sz w:val="24"/>
                <w:szCs w:val="24"/>
                <w:highlight w:val="none"/>
              </w:rPr>
            </w:pPr>
            <w:r>
              <w:rPr>
                <w:rFonts w:hint="eastAsia" w:ascii="宋体" w:hAnsi="宋体" w:cs="仿宋"/>
                <w:sz w:val="24"/>
                <w:szCs w:val="24"/>
                <w:highlight w:val="none"/>
              </w:rPr>
              <w:t xml:space="preserve">            年  月  日      </w:t>
            </w:r>
          </w:p>
          <w:p>
            <w:pPr>
              <w:keepNext w:val="0"/>
              <w:keepLines w:val="0"/>
              <w:pageBreakBefore w:val="0"/>
              <w:widowControl w:val="0"/>
              <w:shd w:val="clear"/>
              <w:kinsoku/>
              <w:wordWrap/>
              <w:overflowPunct/>
              <w:topLinePunct w:val="0"/>
              <w:autoSpaceDE w:val="0"/>
              <w:autoSpaceDN w:val="0"/>
              <w:bidi w:val="0"/>
              <w:spacing w:line="500" w:lineRule="exact"/>
              <w:textAlignment w:val="auto"/>
              <w:rPr>
                <w:rFonts w:hint="eastAsia" w:ascii="宋体" w:hAnsi="宋体" w:cs="仿宋"/>
                <w:sz w:val="24"/>
                <w:szCs w:val="24"/>
                <w:highlight w:val="none"/>
              </w:rPr>
            </w:pPr>
          </w:p>
        </w:tc>
        <w:tc>
          <w:tcPr>
            <w:tcW w:w="3936" w:type="dxa"/>
            <w:noWrap w:val="0"/>
            <w:tcMar>
              <w:top w:w="113" w:type="dxa"/>
              <w:left w:w="113" w:type="dxa"/>
              <w:bottom w:w="113" w:type="dxa"/>
              <w:right w:w="113" w:type="dxa"/>
            </w:tcMar>
            <w:vAlign w:val="top"/>
          </w:tcPr>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卖方名称：</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地    址： </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邮    编： </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电    话： </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传    真：  </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开户银行：</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帐    号：</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代表签字</w:t>
            </w:r>
          </w:p>
          <w:p>
            <w:pPr>
              <w:keepNext w:val="0"/>
              <w:keepLines w:val="0"/>
              <w:pageBreakBefore w:val="0"/>
              <w:widowControl w:val="0"/>
              <w:shd w:val="clear"/>
              <w:kinsoku/>
              <w:wordWrap/>
              <w:overflowPunct/>
              <w:topLinePunct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盖章：</w:t>
            </w:r>
          </w:p>
          <w:p>
            <w:pPr>
              <w:keepNext w:val="0"/>
              <w:keepLines w:val="0"/>
              <w:pageBreakBefore w:val="0"/>
              <w:widowControl w:val="0"/>
              <w:shd w:val="clear"/>
              <w:kinsoku/>
              <w:wordWrap/>
              <w:overflowPunct/>
              <w:topLinePunct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           年  月  日</w:t>
            </w:r>
          </w:p>
        </w:tc>
      </w:tr>
      <w:bookmarkEnd w:id="466"/>
      <w:bookmarkEnd w:id="467"/>
      <w:bookmarkEnd w:id="468"/>
      <w:bookmarkEnd w:id="469"/>
    </w:tbl>
    <w:p>
      <w:pPr>
        <w:shd w:val="clear"/>
        <w:rPr>
          <w:rFonts w:hint="eastAsia" w:ascii="宋体" w:hAnsi="宋体" w:cs="宋体"/>
          <w:szCs w:val="24"/>
          <w:highlight w:val="none"/>
        </w:rPr>
      </w:pPr>
    </w:p>
    <w:p>
      <w:pPr>
        <w:keepNext w:val="0"/>
        <w:keepLines w:val="0"/>
        <w:pageBreakBefore w:val="0"/>
        <w:widowControl w:val="0"/>
        <w:shd w:val="clear"/>
        <w:kinsoku/>
        <w:wordWrap/>
        <w:overflowPunct/>
        <w:topLinePunct w:val="0"/>
        <w:autoSpaceDE w:val="0"/>
        <w:autoSpaceDN w:val="0"/>
        <w:bidi w:val="0"/>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widowControl/>
        <w:snapToGrid w:val="0"/>
        <w:spacing w:line="360" w:lineRule="auto"/>
        <w:jc w:val="center"/>
        <w:outlineLvl w:val="0"/>
        <w:rPr>
          <w:rFonts w:hint="eastAsia" w:ascii="宋体" w:hAnsi="宋体" w:eastAsia="宋体" w:cs="宋体"/>
          <w:b/>
          <w:color w:val="auto"/>
          <w:kern w:val="44"/>
          <w:sz w:val="24"/>
          <w:szCs w:val="24"/>
          <w:highlight w:val="none"/>
        </w:rPr>
      </w:pPr>
    </w:p>
    <w:p>
      <w:pPr>
        <w:widowControl/>
        <w:snapToGrid w:val="0"/>
        <w:spacing w:line="360" w:lineRule="auto"/>
        <w:jc w:val="center"/>
        <w:outlineLvl w:val="0"/>
        <w:rPr>
          <w:rFonts w:hint="eastAsia" w:ascii="宋体" w:hAnsi="宋体" w:eastAsia="宋体" w:cs="宋体"/>
          <w:b/>
          <w:color w:val="auto"/>
          <w:kern w:val="44"/>
          <w:sz w:val="24"/>
          <w:szCs w:val="24"/>
          <w:highlight w:val="none"/>
        </w:rPr>
      </w:pPr>
      <w:bookmarkStart w:id="470" w:name="_Toc17101"/>
      <w:r>
        <w:rPr>
          <w:rFonts w:hint="eastAsia" w:ascii="宋体" w:hAnsi="宋体" w:eastAsia="宋体" w:cs="宋体"/>
          <w:b/>
          <w:color w:val="auto"/>
          <w:kern w:val="44"/>
          <w:sz w:val="24"/>
          <w:szCs w:val="24"/>
          <w:highlight w:val="none"/>
        </w:rPr>
        <w:t>第</w:t>
      </w:r>
      <w:r>
        <w:rPr>
          <w:rFonts w:hint="eastAsia" w:ascii="宋体" w:hAnsi="宋体" w:eastAsia="宋体" w:cs="宋体"/>
          <w:b/>
          <w:color w:val="auto"/>
          <w:kern w:val="44"/>
          <w:sz w:val="24"/>
          <w:szCs w:val="24"/>
          <w:highlight w:val="none"/>
          <w:lang w:eastAsia="zh-CN"/>
        </w:rPr>
        <w:t>五</w:t>
      </w:r>
      <w:r>
        <w:rPr>
          <w:rFonts w:hint="eastAsia" w:ascii="宋体" w:hAnsi="宋体" w:eastAsia="宋体" w:cs="宋体"/>
          <w:b/>
          <w:color w:val="auto"/>
          <w:kern w:val="44"/>
          <w:sz w:val="24"/>
          <w:szCs w:val="24"/>
          <w:highlight w:val="none"/>
        </w:rPr>
        <w:t xml:space="preserve">部分  </w:t>
      </w:r>
      <w:r>
        <w:rPr>
          <w:rFonts w:hint="eastAsia" w:ascii="宋体" w:hAnsi="宋体" w:eastAsia="宋体" w:cs="宋体"/>
          <w:b/>
          <w:color w:val="auto"/>
          <w:kern w:val="44"/>
          <w:sz w:val="24"/>
          <w:szCs w:val="24"/>
          <w:highlight w:val="none"/>
          <w:lang w:eastAsia="zh-CN"/>
        </w:rPr>
        <w:t>投标文件</w:t>
      </w:r>
      <w:r>
        <w:rPr>
          <w:rFonts w:hint="eastAsia" w:ascii="宋体" w:hAnsi="宋体" w:eastAsia="宋体" w:cs="宋体"/>
          <w:b/>
          <w:color w:val="auto"/>
          <w:kern w:val="44"/>
          <w:sz w:val="24"/>
          <w:szCs w:val="24"/>
          <w:highlight w:val="none"/>
        </w:rPr>
        <w:t>格式</w:t>
      </w:r>
      <w:bookmarkEnd w:id="457"/>
      <w:bookmarkEnd w:id="458"/>
      <w:bookmarkEnd w:id="459"/>
      <w:bookmarkEnd w:id="460"/>
      <w:bookmarkEnd w:id="461"/>
      <w:bookmarkEnd w:id="470"/>
    </w:p>
    <w:p>
      <w:pPr>
        <w:spacing w:line="360" w:lineRule="auto"/>
        <w:jc w:val="center"/>
        <w:rPr>
          <w:rFonts w:hint="eastAsia" w:ascii="宋体" w:hAnsi="宋体" w:eastAsia="宋体" w:cs="宋体"/>
          <w:b/>
          <w:color w:val="auto"/>
          <w:sz w:val="24"/>
          <w:szCs w:val="24"/>
          <w:highlight w:val="none"/>
        </w:rPr>
      </w:pPr>
    </w:p>
    <w:p>
      <w:pPr>
        <w:pStyle w:val="14"/>
        <w:ind w:firstLine="56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投标文件编制说明</w:t>
      </w:r>
    </w:p>
    <w:p>
      <w:pPr>
        <w:pStyle w:val="14"/>
        <w:ind w:firstLine="560"/>
        <w:jc w:val="center"/>
        <w:rPr>
          <w:rFonts w:hint="eastAsia" w:ascii="宋体" w:hAnsi="宋体" w:eastAsia="宋体" w:cs="宋体"/>
          <w:b/>
          <w:color w:val="000000"/>
          <w:sz w:val="24"/>
          <w:szCs w:val="24"/>
        </w:rPr>
      </w:pPr>
    </w:p>
    <w:p>
      <w:pPr>
        <w:pStyle w:val="14"/>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1.本次招标提供的投标文件格式，只起到样式作用，编制投标文件前，请详细阅读招标文件，理解招标文件中的每一项要求。</w:t>
      </w:r>
    </w:p>
    <w:p>
      <w:pPr>
        <w:pStyle w:val="14"/>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2.投标文件的编制可按照样本格式提供内容，根据招标文件的各项要求，逐一做出明确的答复；投标人认为有必要，还可以做其它补充说明。</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报价必须按“</w:t>
      </w:r>
      <w:r>
        <w:rPr>
          <w:rFonts w:hint="eastAsia" w:ascii="宋体" w:hAnsi="宋体" w:eastAsia="宋体" w:cs="宋体"/>
          <w:color w:val="auto"/>
          <w:sz w:val="24"/>
          <w:szCs w:val="24"/>
          <w:highlight w:val="none"/>
          <w:lang w:val="en-US" w:eastAsia="zh-CN"/>
        </w:rPr>
        <w:t>报价一览表</w:t>
      </w:r>
      <w:r>
        <w:rPr>
          <w:rFonts w:hint="eastAsia" w:ascii="宋体" w:hAnsi="宋体" w:eastAsia="宋体" w:cs="宋体"/>
          <w:color w:val="auto"/>
          <w:sz w:val="24"/>
          <w:szCs w:val="24"/>
          <w:highlight w:val="none"/>
        </w:rPr>
        <w:t>”的要求</w:t>
      </w:r>
      <w:r>
        <w:rPr>
          <w:rFonts w:hint="eastAsia" w:ascii="宋体" w:hAnsi="宋体" w:eastAsia="宋体" w:cs="宋体"/>
          <w:color w:val="auto"/>
          <w:sz w:val="24"/>
          <w:szCs w:val="24"/>
          <w:highlight w:val="none"/>
          <w:lang w:eastAsia="zh-CN"/>
        </w:rPr>
        <w:t>填写</w:t>
      </w:r>
      <w:r>
        <w:rPr>
          <w:rFonts w:hint="eastAsia" w:ascii="宋体" w:hAnsi="宋体" w:eastAsia="宋体" w:cs="宋体"/>
          <w:color w:val="auto"/>
          <w:sz w:val="24"/>
          <w:szCs w:val="24"/>
          <w:highlight w:val="none"/>
        </w:rPr>
        <w:t>，不允许自创格式。</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.招标文件中没有格式规定的部分内容需投标人自行编制。</w:t>
      </w:r>
    </w:p>
    <w:p>
      <w:pPr>
        <w:pStyle w:val="14"/>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5、招标文件中规定的格式不得修改，若内容较多，可对表格进行增项。</w:t>
      </w: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outlineLvl w:val="9"/>
        <w:rPr>
          <w:rFonts w:hint="eastAsia" w:ascii="宋体" w:hAnsi="宋体" w:eastAsia="宋体" w:cs="宋体"/>
          <w:b/>
          <w:bCs/>
          <w:color w:val="auto"/>
          <w:sz w:val="24"/>
          <w:szCs w:val="24"/>
          <w:highlight w:val="none"/>
          <w:lang w:val="zh-CN"/>
        </w:rPr>
      </w:pPr>
      <w:bookmarkStart w:id="471" w:name="_Toc12791_WPSOffice_Level1"/>
      <w:bookmarkStart w:id="472" w:name="_Toc23986"/>
      <w:bookmarkStart w:id="473" w:name="_Toc11934_WPSOffice_Level1"/>
      <w:bookmarkStart w:id="474" w:name="_Toc30953"/>
      <w:bookmarkStart w:id="475" w:name="_Toc29115"/>
      <w:bookmarkStart w:id="476" w:name="_Toc32002"/>
      <w:bookmarkStart w:id="477" w:name="_Toc31607"/>
      <w:bookmarkStart w:id="478" w:name="_Toc19034"/>
      <w:bookmarkStart w:id="479" w:name="_Toc2988_WPSOffice_Level1"/>
    </w:p>
    <w:p>
      <w:pPr>
        <w:autoSpaceDE w:val="0"/>
        <w:autoSpaceDN w:val="0"/>
        <w:adjustRightInd w:val="0"/>
        <w:snapToGrid w:val="0"/>
        <w:spacing w:line="360" w:lineRule="auto"/>
        <w:jc w:val="right"/>
        <w:outlineLvl w:val="9"/>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outlineLvl w:val="9"/>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outlineLvl w:val="9"/>
        <w:rPr>
          <w:rFonts w:hint="eastAsia" w:ascii="宋体" w:hAnsi="宋体" w:eastAsia="宋体" w:cs="宋体"/>
          <w:b/>
          <w:bCs/>
          <w:color w:val="auto"/>
          <w:sz w:val="24"/>
          <w:szCs w:val="24"/>
          <w:highlight w:val="none"/>
          <w:lang w:val="zh-CN"/>
        </w:rPr>
      </w:pPr>
      <w:bookmarkStart w:id="480" w:name="_Toc17313"/>
      <w:bookmarkStart w:id="481" w:name="_Toc28898"/>
    </w:p>
    <w:p>
      <w:pPr>
        <w:autoSpaceDE w:val="0"/>
        <w:autoSpaceDN w:val="0"/>
        <w:adjustRightInd w:val="0"/>
        <w:snapToGrid w:val="0"/>
        <w:spacing w:line="360" w:lineRule="auto"/>
        <w:jc w:val="right"/>
        <w:outlineLvl w:val="9"/>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outlineLvl w:val="9"/>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both"/>
        <w:outlineLvl w:val="9"/>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right"/>
        <w:outlineLvl w:val="0"/>
        <w:rPr>
          <w:rFonts w:hint="eastAsia" w:ascii="宋体" w:hAnsi="宋体" w:eastAsia="宋体" w:cs="宋体"/>
          <w:b/>
          <w:bCs/>
          <w:color w:val="auto"/>
          <w:sz w:val="24"/>
          <w:szCs w:val="24"/>
          <w:highlight w:val="none"/>
          <w:lang w:val="zh-CN"/>
        </w:rPr>
      </w:pPr>
      <w:bookmarkStart w:id="482" w:name="_Toc16333"/>
      <w:bookmarkStart w:id="483" w:name="_Toc32164"/>
      <w:bookmarkStart w:id="484" w:name="_Toc23561"/>
      <w:r>
        <w:rPr>
          <w:rFonts w:hint="eastAsia" w:ascii="宋体" w:hAnsi="宋体" w:eastAsia="宋体" w:cs="宋体"/>
          <w:b/>
          <w:bCs/>
          <w:color w:val="auto"/>
          <w:sz w:val="24"/>
          <w:szCs w:val="24"/>
          <w:highlight w:val="none"/>
          <w:lang w:val="zh-CN"/>
        </w:rPr>
        <w:t>正本/副本</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autoSpaceDE w:val="0"/>
        <w:autoSpaceDN w:val="0"/>
        <w:adjustRightInd w:val="0"/>
        <w:spacing w:line="360" w:lineRule="auto"/>
        <w:jc w:val="left"/>
        <w:rPr>
          <w:rFonts w:hint="eastAsia" w:ascii="宋体" w:hAnsi="宋体" w:eastAsia="宋体" w:cs="宋体"/>
          <w:b/>
          <w:bCs/>
          <w:color w:val="auto"/>
          <w:sz w:val="24"/>
          <w:szCs w:val="24"/>
          <w:highlight w:val="none"/>
          <w:lang w:val="zh-CN"/>
        </w:rPr>
      </w:pPr>
    </w:p>
    <w:p>
      <w:pPr>
        <w:tabs>
          <w:tab w:val="left" w:pos="5670"/>
        </w:tabs>
        <w:autoSpaceDE w:val="0"/>
        <w:autoSpaceDN w:val="0"/>
        <w:adjustRightInd w:val="0"/>
        <w:spacing w:line="360" w:lineRule="auto"/>
        <w:ind w:firstLine="300"/>
        <w:outlineLvl w:val="0"/>
        <w:rPr>
          <w:rFonts w:hint="eastAsia" w:ascii="宋体" w:hAnsi="宋体" w:eastAsia="宋体" w:cs="宋体"/>
          <w:b/>
          <w:bCs/>
          <w:color w:val="auto"/>
          <w:sz w:val="24"/>
          <w:szCs w:val="24"/>
          <w:highlight w:val="none"/>
          <w:lang w:val="zh-CN"/>
        </w:rPr>
      </w:pPr>
      <w:bookmarkStart w:id="485" w:name="_Toc11581"/>
      <w:bookmarkStart w:id="486" w:name="_Toc16683"/>
      <w:bookmarkStart w:id="487" w:name="_Toc11064_WPSOffice_Level1"/>
      <w:bookmarkStart w:id="488" w:name="_Toc20529"/>
      <w:bookmarkStart w:id="489" w:name="_Toc26182_WPSOffice_Level1"/>
      <w:bookmarkStart w:id="490" w:name="_Toc19514"/>
      <w:bookmarkStart w:id="491" w:name="_Toc8922_WPSOffice_Level1"/>
      <w:bookmarkStart w:id="492" w:name="_Toc19476"/>
      <w:bookmarkStart w:id="493" w:name="_Toc7259"/>
      <w:bookmarkStart w:id="494" w:name="_Toc20987"/>
      <w:bookmarkStart w:id="495" w:name="_Toc13446"/>
      <w:bookmarkStart w:id="496" w:name="_Toc12190"/>
      <w:bookmarkStart w:id="497" w:name="_Toc10178"/>
      <w:bookmarkStart w:id="498" w:name="_Toc15417"/>
      <w:bookmarkStart w:id="499" w:name="_Toc22075"/>
      <w:r>
        <w:rPr>
          <w:rFonts w:hint="eastAsia" w:ascii="宋体" w:hAnsi="宋体" w:eastAsia="宋体" w:cs="宋体"/>
          <w:b/>
          <w:bCs/>
          <w:color w:val="auto"/>
          <w:sz w:val="24"/>
          <w:szCs w:val="24"/>
          <w:highlight w:val="none"/>
          <w:lang w:val="zh-CN"/>
        </w:rPr>
        <w:t>项目编号：</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tabs>
          <w:tab w:val="left" w:pos="5670"/>
        </w:tabs>
        <w:autoSpaceDE w:val="0"/>
        <w:autoSpaceDN w:val="0"/>
        <w:adjustRightInd w:val="0"/>
        <w:spacing w:line="360" w:lineRule="auto"/>
        <w:jc w:val="both"/>
        <w:rPr>
          <w:rFonts w:hint="eastAsia" w:ascii="宋体" w:hAnsi="宋体" w:eastAsia="宋体" w:cs="宋体"/>
          <w:color w:val="auto"/>
          <w:sz w:val="24"/>
          <w:szCs w:val="24"/>
          <w:highlight w:val="none"/>
        </w:rPr>
      </w:pPr>
    </w:p>
    <w:p>
      <w:pPr>
        <w:autoSpaceDE w:val="0"/>
        <w:autoSpaceDN w:val="0"/>
        <w:adjustRightInd w:val="0"/>
        <w:spacing w:line="360" w:lineRule="auto"/>
        <w:jc w:val="center"/>
        <w:rPr>
          <w:rFonts w:hint="eastAsia" w:ascii="宋体" w:hAnsi="宋体" w:eastAsia="宋体" w:cs="宋体"/>
          <w:color w:val="auto"/>
          <w:sz w:val="36"/>
          <w:szCs w:val="36"/>
          <w:highlight w:val="none"/>
        </w:rPr>
      </w:pPr>
    </w:p>
    <w:p>
      <w:pPr>
        <w:autoSpaceDE w:val="0"/>
        <w:autoSpaceDN w:val="0"/>
        <w:adjustRightInd w:val="0"/>
        <w:spacing w:line="360" w:lineRule="auto"/>
        <w:jc w:val="center"/>
        <w:outlineLvl w:val="9"/>
        <w:rPr>
          <w:rFonts w:hint="eastAsia" w:ascii="宋体" w:hAnsi="宋体" w:eastAsia="宋体" w:cs="宋体"/>
          <w:b/>
          <w:bCs/>
          <w:color w:val="auto"/>
          <w:sz w:val="36"/>
          <w:szCs w:val="36"/>
          <w:highlight w:val="none"/>
          <w:lang w:eastAsia="zh-CN"/>
        </w:rPr>
      </w:pPr>
      <w:bookmarkStart w:id="500" w:name="_Toc16302"/>
      <w:bookmarkStart w:id="501" w:name="_Toc2154"/>
      <w:bookmarkStart w:id="502" w:name="_Toc19836"/>
      <w:bookmarkStart w:id="503" w:name="_Toc19739"/>
      <w:bookmarkStart w:id="504" w:name="_Toc12218"/>
      <w:bookmarkStart w:id="505" w:name="_Toc27160"/>
      <w:bookmarkStart w:id="506" w:name="_Toc1074"/>
      <w:r>
        <w:rPr>
          <w:rFonts w:hint="eastAsia" w:ascii="宋体" w:hAnsi="宋体" w:eastAsia="宋体" w:cs="宋体"/>
          <w:b/>
          <w:bCs/>
          <w:color w:val="auto"/>
          <w:sz w:val="36"/>
          <w:szCs w:val="36"/>
          <w:highlight w:val="none"/>
          <w:lang w:val="en-US" w:eastAsia="zh-CN"/>
        </w:rPr>
        <w:t xml:space="preserve">陕西省动物疫病预防控制中心实验室仪器采购项目    </w:t>
      </w: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lang w:eastAsia="zh-CN"/>
        </w:rPr>
      </w:pPr>
    </w:p>
    <w:p>
      <w:pPr>
        <w:autoSpaceDE w:val="0"/>
        <w:autoSpaceDN w:val="0"/>
        <w:adjustRightInd w:val="0"/>
        <w:spacing w:line="360" w:lineRule="auto"/>
        <w:jc w:val="center"/>
        <w:outlineLvl w:val="1"/>
        <w:rPr>
          <w:rFonts w:hint="eastAsia" w:ascii="宋体" w:hAnsi="宋体" w:eastAsia="宋体" w:cs="宋体"/>
          <w:b/>
          <w:bCs/>
          <w:color w:val="auto"/>
          <w:sz w:val="24"/>
          <w:szCs w:val="24"/>
          <w:highlight w:val="none"/>
        </w:rPr>
      </w:pPr>
      <w:bookmarkStart w:id="507" w:name="_Toc16571"/>
      <w:bookmarkStart w:id="508" w:name="_Toc15274"/>
      <w:bookmarkStart w:id="509" w:name="_Toc32023"/>
      <w:bookmarkStart w:id="510" w:name="_Toc836"/>
      <w:r>
        <w:rPr>
          <w:rFonts w:hint="eastAsia" w:ascii="宋体" w:hAnsi="宋体" w:eastAsia="宋体" w:cs="宋体"/>
          <w:b/>
          <w:bCs/>
          <w:color w:val="auto"/>
          <w:sz w:val="36"/>
          <w:szCs w:val="36"/>
          <w:highlight w:val="none"/>
          <w:lang w:eastAsia="zh-CN"/>
        </w:rPr>
        <w:t>投</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标</w:t>
      </w:r>
      <w:r>
        <w:rPr>
          <w:rFonts w:hint="eastAsia" w:ascii="宋体" w:hAnsi="宋体" w:eastAsia="宋体" w:cs="宋体"/>
          <w:b/>
          <w:bCs/>
          <w:color w:val="auto"/>
          <w:sz w:val="36"/>
          <w:szCs w:val="36"/>
          <w:highlight w:val="none"/>
        </w:rPr>
        <w:t xml:space="preserve"> 文 件</w:t>
      </w:r>
      <w:bookmarkEnd w:id="500"/>
      <w:bookmarkEnd w:id="501"/>
      <w:bookmarkEnd w:id="502"/>
      <w:bookmarkEnd w:id="503"/>
      <w:bookmarkEnd w:id="504"/>
      <w:bookmarkEnd w:id="505"/>
      <w:bookmarkEnd w:id="506"/>
      <w:bookmarkEnd w:id="507"/>
      <w:bookmarkEnd w:id="508"/>
      <w:bookmarkEnd w:id="509"/>
      <w:bookmarkEnd w:id="510"/>
      <w:r>
        <w:rPr>
          <w:rFonts w:hint="eastAsia" w:ascii="宋体" w:hAnsi="宋体" w:eastAsia="宋体" w:cs="宋体"/>
          <w:b/>
          <w:bCs/>
          <w:color w:val="auto"/>
          <w:sz w:val="24"/>
          <w:szCs w:val="24"/>
          <w:highlight w:val="none"/>
        </w:rPr>
        <w:t xml:space="preserve"> </w:t>
      </w: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pStyle w:val="9"/>
        <w:rPr>
          <w:rFonts w:hint="eastAsia" w:ascii="宋体" w:hAnsi="宋体" w:eastAsia="宋体" w:cs="宋体"/>
          <w:sz w:val="24"/>
          <w:szCs w:val="24"/>
          <w:lang w:val="zh-CN"/>
        </w:rPr>
      </w:pPr>
    </w:p>
    <w:p>
      <w:pPr>
        <w:autoSpaceDE w:val="0"/>
        <w:autoSpaceDN w:val="0"/>
        <w:adjustRightInd w:val="0"/>
        <w:spacing w:line="360" w:lineRule="auto"/>
        <w:jc w:val="center"/>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rPr>
          <w:rFonts w:hint="eastAsia"/>
        </w:rPr>
      </w:pPr>
    </w:p>
    <w:p>
      <w:pPr>
        <w:autoSpaceDE w:val="0"/>
        <w:autoSpaceDN w:val="0"/>
        <w:adjustRightInd w:val="0"/>
        <w:spacing w:line="360" w:lineRule="auto"/>
        <w:jc w:val="center"/>
        <w:rPr>
          <w:rFonts w:hint="eastAsia" w:ascii="宋体" w:hAnsi="宋体" w:eastAsia="宋体" w:cs="宋体"/>
          <w:color w:val="auto"/>
          <w:sz w:val="24"/>
          <w:szCs w:val="24"/>
          <w:highlight w:val="none"/>
        </w:rPr>
      </w:pPr>
    </w:p>
    <w:p>
      <w:pPr>
        <w:autoSpaceDE w:val="0"/>
        <w:autoSpaceDN w:val="0"/>
        <w:adjustRightInd w:val="0"/>
        <w:spacing w:line="360" w:lineRule="auto"/>
        <w:ind w:firstLine="1546" w:firstLineChars="550"/>
        <w:outlineLvl w:val="1"/>
        <w:rPr>
          <w:rFonts w:hint="eastAsia" w:ascii="宋体" w:hAnsi="宋体" w:eastAsia="宋体" w:cs="宋体"/>
          <w:b/>
          <w:color w:val="auto"/>
          <w:sz w:val="28"/>
          <w:szCs w:val="28"/>
          <w:highlight w:val="none"/>
        </w:rPr>
      </w:pPr>
      <w:bookmarkStart w:id="511" w:name="_Toc225"/>
      <w:bookmarkStart w:id="512" w:name="_Toc10322"/>
      <w:bookmarkStart w:id="513" w:name="_Toc24257"/>
      <w:bookmarkStart w:id="514" w:name="_Toc15705"/>
      <w:bookmarkStart w:id="515" w:name="_Toc798"/>
      <w:bookmarkStart w:id="516" w:name="_Toc917"/>
      <w:bookmarkStart w:id="517" w:name="_Toc8998"/>
      <w:bookmarkStart w:id="518" w:name="_Toc1293"/>
      <w:bookmarkStart w:id="519" w:name="_Toc14821"/>
      <w:bookmarkStart w:id="520" w:name="_Toc18595"/>
      <w:bookmarkStart w:id="521" w:name="_Toc812"/>
      <w:r>
        <w:rPr>
          <w:rFonts w:hint="eastAsia" w:ascii="宋体" w:hAnsi="宋体" w:eastAsia="宋体" w:cs="宋体"/>
          <w:b/>
          <w:bCs/>
          <w:color w:val="auto"/>
          <w:sz w:val="28"/>
          <w:szCs w:val="28"/>
          <w:highlight w:val="none"/>
          <w:lang w:eastAsia="zh-CN"/>
        </w:rPr>
        <w:t>投</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标</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人</w:t>
      </w:r>
      <w:r>
        <w:rPr>
          <w:rFonts w:hint="eastAsia" w:ascii="宋体" w:hAnsi="宋体" w:eastAsia="宋体" w:cs="宋体"/>
          <w:b/>
          <w:bCs/>
          <w:color w:val="auto"/>
          <w:sz w:val="28"/>
          <w:szCs w:val="28"/>
          <w:highlight w:val="none"/>
          <w:lang w:val="zh-CN"/>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color w:val="auto"/>
          <w:sz w:val="28"/>
          <w:szCs w:val="28"/>
          <w:highlight w:val="none"/>
        </w:rPr>
        <w:t>（单位</w:t>
      </w:r>
      <w:r>
        <w:rPr>
          <w:rFonts w:hint="eastAsia" w:ascii="宋体" w:hAnsi="宋体" w:eastAsia="宋体" w:cs="宋体"/>
          <w:b/>
          <w:color w:val="auto"/>
          <w:sz w:val="28"/>
          <w:szCs w:val="28"/>
          <w:highlight w:val="none"/>
          <w:lang w:eastAsia="zh-CN"/>
        </w:rPr>
        <w:t>公</w:t>
      </w:r>
      <w:r>
        <w:rPr>
          <w:rFonts w:hint="eastAsia" w:ascii="宋体" w:hAnsi="宋体" w:eastAsia="宋体" w:cs="宋体"/>
          <w:b/>
          <w:color w:val="auto"/>
          <w:sz w:val="28"/>
          <w:szCs w:val="28"/>
          <w:highlight w:val="none"/>
        </w:rPr>
        <w:t>章）</w:t>
      </w:r>
      <w:bookmarkEnd w:id="511"/>
      <w:bookmarkEnd w:id="512"/>
      <w:bookmarkEnd w:id="513"/>
      <w:bookmarkEnd w:id="514"/>
      <w:bookmarkEnd w:id="515"/>
      <w:bookmarkEnd w:id="516"/>
      <w:bookmarkEnd w:id="517"/>
      <w:bookmarkEnd w:id="518"/>
      <w:bookmarkEnd w:id="519"/>
      <w:bookmarkEnd w:id="520"/>
      <w:bookmarkEnd w:id="521"/>
    </w:p>
    <w:p>
      <w:pPr>
        <w:autoSpaceDE w:val="0"/>
        <w:autoSpaceDN w:val="0"/>
        <w:adjustRightInd w:val="0"/>
        <w:spacing w:line="360" w:lineRule="auto"/>
        <w:ind w:firstLine="1546" w:firstLineChars="550"/>
        <w:rPr>
          <w:rFonts w:hint="eastAsia" w:ascii="宋体" w:hAnsi="宋体" w:eastAsia="宋体" w:cs="宋体"/>
          <w:b/>
          <w:color w:val="auto"/>
          <w:sz w:val="28"/>
          <w:szCs w:val="28"/>
          <w:highlight w:val="none"/>
        </w:rPr>
      </w:pPr>
    </w:p>
    <w:p>
      <w:pPr>
        <w:pStyle w:val="7"/>
        <w:spacing w:before="120" w:beforeLines="50" w:line="360" w:lineRule="auto"/>
        <w:ind w:firstLine="1515" w:firstLineChars="539"/>
        <w:outlineLvl w:val="1"/>
        <w:rPr>
          <w:rFonts w:hint="eastAsia" w:ascii="宋体" w:hAnsi="宋体" w:eastAsia="宋体" w:cs="宋体"/>
          <w:b/>
          <w:color w:val="auto"/>
          <w:sz w:val="28"/>
          <w:szCs w:val="28"/>
          <w:highlight w:val="none"/>
        </w:rPr>
      </w:pPr>
      <w:bookmarkStart w:id="522" w:name="_Toc30033"/>
      <w:bookmarkStart w:id="523" w:name="_Toc27407"/>
      <w:bookmarkStart w:id="524" w:name="_Toc6497"/>
      <w:bookmarkStart w:id="525" w:name="_Toc3988"/>
      <w:bookmarkStart w:id="526" w:name="_Toc2385"/>
      <w:bookmarkStart w:id="527" w:name="_Toc11312"/>
      <w:bookmarkStart w:id="528" w:name="_Toc13158"/>
      <w:bookmarkStart w:id="529" w:name="_Toc14883"/>
      <w:bookmarkStart w:id="530" w:name="_Toc908"/>
      <w:bookmarkStart w:id="531" w:name="_Toc18410"/>
      <w:bookmarkStart w:id="532" w:name="_Toc10574"/>
      <w:r>
        <w:rPr>
          <w:rFonts w:hint="eastAsia" w:ascii="宋体" w:hAnsi="宋体" w:eastAsia="宋体" w:cs="宋体"/>
          <w:b/>
          <w:color w:val="auto"/>
          <w:sz w:val="28"/>
          <w:szCs w:val="28"/>
          <w:highlight w:val="none"/>
        </w:rPr>
        <w:t>法定代表人或</w:t>
      </w:r>
      <w:r>
        <w:rPr>
          <w:rFonts w:hint="eastAsia" w:ascii="宋体" w:hAnsi="宋体" w:eastAsia="宋体" w:cs="宋体"/>
          <w:b/>
          <w:color w:val="auto"/>
          <w:sz w:val="28"/>
          <w:szCs w:val="28"/>
          <w:highlight w:val="none"/>
          <w:lang w:eastAsia="zh-CN"/>
        </w:rPr>
        <w:t>被授权代表</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（签字</w:t>
      </w:r>
      <w:r>
        <w:rPr>
          <w:rFonts w:hint="eastAsia" w:ascii="宋体" w:hAnsi="宋体" w:eastAsia="宋体" w:cs="宋体"/>
          <w:b/>
          <w:color w:val="auto"/>
          <w:sz w:val="28"/>
          <w:szCs w:val="28"/>
          <w:highlight w:val="none"/>
          <w:lang w:val="en-US" w:eastAsia="zh-CN"/>
        </w:rPr>
        <w:t>/章</w:t>
      </w:r>
      <w:r>
        <w:rPr>
          <w:rFonts w:hint="eastAsia" w:ascii="宋体" w:hAnsi="宋体" w:eastAsia="宋体" w:cs="宋体"/>
          <w:b/>
          <w:color w:val="auto"/>
          <w:sz w:val="28"/>
          <w:szCs w:val="28"/>
          <w:highlight w:val="none"/>
        </w:rPr>
        <w:t>）</w:t>
      </w:r>
      <w:bookmarkEnd w:id="522"/>
      <w:bookmarkEnd w:id="523"/>
      <w:bookmarkEnd w:id="524"/>
      <w:bookmarkEnd w:id="525"/>
      <w:bookmarkEnd w:id="526"/>
      <w:bookmarkEnd w:id="527"/>
      <w:bookmarkEnd w:id="528"/>
      <w:bookmarkEnd w:id="529"/>
      <w:bookmarkEnd w:id="530"/>
      <w:bookmarkEnd w:id="531"/>
      <w:bookmarkEnd w:id="532"/>
    </w:p>
    <w:p>
      <w:pPr>
        <w:pStyle w:val="7"/>
        <w:spacing w:before="120" w:beforeLines="50" w:line="360" w:lineRule="auto"/>
        <w:ind w:firstLine="1509" w:firstLineChars="539"/>
        <w:rPr>
          <w:rFonts w:hint="eastAsia" w:ascii="宋体" w:hAnsi="宋体" w:eastAsia="宋体" w:cs="宋体"/>
          <w:color w:val="auto"/>
          <w:sz w:val="28"/>
          <w:szCs w:val="28"/>
          <w:highlight w:val="none"/>
        </w:rPr>
      </w:pPr>
    </w:p>
    <w:p>
      <w:pPr>
        <w:autoSpaceDE w:val="0"/>
        <w:autoSpaceDN w:val="0"/>
        <w:adjustRightInd w:val="0"/>
        <w:spacing w:line="360" w:lineRule="auto"/>
        <w:ind w:firstLine="1546" w:firstLineChars="550"/>
        <w:outlineLvl w:val="1"/>
        <w:rPr>
          <w:rFonts w:hint="eastAsia" w:ascii="宋体" w:hAnsi="宋体" w:eastAsia="宋体" w:cs="宋体"/>
          <w:b/>
          <w:bCs/>
          <w:color w:val="auto"/>
          <w:sz w:val="24"/>
          <w:szCs w:val="24"/>
          <w:highlight w:val="none"/>
          <w:u w:val="single"/>
        </w:rPr>
      </w:pPr>
      <w:bookmarkStart w:id="533" w:name="_Toc27360"/>
      <w:bookmarkStart w:id="534" w:name="_Toc4675"/>
      <w:bookmarkStart w:id="535" w:name="_Toc23166"/>
      <w:bookmarkStart w:id="536" w:name="_Toc8756"/>
      <w:bookmarkStart w:id="537" w:name="_Toc3424"/>
      <w:bookmarkStart w:id="538" w:name="_Toc4644"/>
      <w:bookmarkStart w:id="539" w:name="_Toc22981"/>
      <w:bookmarkStart w:id="540" w:name="_Toc25272"/>
      <w:bookmarkStart w:id="541" w:name="_Toc4499"/>
      <w:bookmarkStart w:id="542" w:name="_Toc17289"/>
      <w:bookmarkStart w:id="543" w:name="_Toc14841"/>
      <w:r>
        <w:rPr>
          <w:rFonts w:hint="eastAsia" w:ascii="宋体" w:hAnsi="宋体" w:eastAsia="宋体" w:cs="宋体"/>
          <w:b/>
          <w:bCs/>
          <w:color w:val="auto"/>
          <w:sz w:val="28"/>
          <w:szCs w:val="28"/>
          <w:highlight w:val="none"/>
          <w:lang w:val="zh-CN"/>
        </w:rPr>
        <w:t>时</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zh-CN"/>
        </w:rPr>
        <w:t>间：</w:t>
      </w:r>
      <w:bookmarkEnd w:id="533"/>
      <w:bookmarkEnd w:id="534"/>
      <w:bookmarkEnd w:id="535"/>
      <w:bookmarkEnd w:id="536"/>
      <w:bookmarkEnd w:id="537"/>
      <w:bookmarkEnd w:id="538"/>
      <w:bookmarkEnd w:id="539"/>
      <w:bookmarkEnd w:id="540"/>
      <w:bookmarkEnd w:id="541"/>
      <w:bookmarkEnd w:id="542"/>
      <w:bookmarkEnd w:id="543"/>
      <w:r>
        <w:rPr>
          <w:rFonts w:hint="eastAsia" w:ascii="宋体" w:hAnsi="宋体" w:eastAsia="宋体" w:cs="宋体"/>
          <w:b/>
          <w:bCs/>
          <w:color w:val="auto"/>
          <w:sz w:val="28"/>
          <w:szCs w:val="28"/>
          <w:highlight w:val="none"/>
          <w:u w:val="single"/>
        </w:rPr>
        <w:t xml:space="preserve">                             </w:t>
      </w:r>
    </w:p>
    <w:p>
      <w:pPr>
        <w:pStyle w:val="7"/>
        <w:spacing w:before="120" w:beforeLines="50" w:after="120" w:afterLines="50" w:line="360" w:lineRule="auto"/>
        <w:ind w:firstLine="0"/>
        <w:jc w:val="center"/>
        <w:rPr>
          <w:rFonts w:hint="eastAsia" w:ascii="宋体" w:hAnsi="宋体" w:eastAsia="宋体" w:cs="宋体"/>
          <w:b/>
          <w:color w:val="auto"/>
          <w:sz w:val="24"/>
          <w:szCs w:val="24"/>
          <w:highlight w:val="none"/>
        </w:rPr>
      </w:pPr>
    </w:p>
    <w:p>
      <w:pPr>
        <w:pStyle w:val="7"/>
        <w:spacing w:before="120" w:beforeLines="50" w:after="120" w:afterLines="50" w:line="360" w:lineRule="auto"/>
        <w:ind w:firstLine="0"/>
        <w:jc w:val="center"/>
        <w:rPr>
          <w:rFonts w:hint="eastAsia" w:ascii="宋体" w:hAnsi="宋体" w:eastAsia="宋体" w:cs="宋体"/>
          <w:b/>
          <w:color w:val="auto"/>
          <w:sz w:val="24"/>
          <w:szCs w:val="24"/>
          <w:highlight w:val="none"/>
        </w:rPr>
      </w:pPr>
    </w:p>
    <w:p>
      <w:pPr>
        <w:pStyle w:val="7"/>
        <w:spacing w:before="120" w:beforeLines="50" w:after="120" w:afterLines="50" w:line="360" w:lineRule="auto"/>
        <w:ind w:firstLine="0"/>
        <w:jc w:val="center"/>
        <w:outlineLvl w:val="9"/>
        <w:rPr>
          <w:rFonts w:hint="eastAsia" w:ascii="宋体" w:hAnsi="宋体" w:eastAsia="宋体" w:cs="宋体"/>
          <w:b/>
          <w:color w:val="auto"/>
          <w:sz w:val="24"/>
          <w:szCs w:val="24"/>
          <w:highlight w:val="none"/>
        </w:rPr>
      </w:pPr>
      <w:bookmarkStart w:id="544" w:name="_Toc29492"/>
      <w:bookmarkStart w:id="545" w:name="_Toc30716"/>
      <w:bookmarkStart w:id="546" w:name="_Toc18552"/>
      <w:bookmarkStart w:id="547" w:name="_Toc31655"/>
      <w:bookmarkStart w:id="548" w:name="_Toc31133"/>
      <w:bookmarkStart w:id="549" w:name="_Toc23571"/>
      <w:bookmarkStart w:id="550" w:name="_Toc30822"/>
    </w:p>
    <w:p>
      <w:pPr>
        <w:pStyle w:val="7"/>
        <w:spacing w:before="120" w:beforeLines="50" w:after="120" w:afterLines="50" w:line="360" w:lineRule="auto"/>
        <w:ind w:firstLine="0"/>
        <w:jc w:val="center"/>
        <w:outlineLvl w:val="9"/>
        <w:rPr>
          <w:rFonts w:hint="eastAsia" w:ascii="宋体" w:hAnsi="宋体" w:eastAsia="宋体" w:cs="宋体"/>
          <w:b/>
          <w:color w:val="auto"/>
          <w:sz w:val="24"/>
          <w:szCs w:val="24"/>
          <w:highlight w:val="none"/>
        </w:rPr>
      </w:pPr>
    </w:p>
    <w:p>
      <w:pPr>
        <w:pStyle w:val="22"/>
        <w:ind w:left="0" w:leftChars="0" w:firstLine="0" w:firstLineChars="0"/>
        <w:rPr>
          <w:rFonts w:hint="eastAsia"/>
        </w:rPr>
      </w:pPr>
    </w:p>
    <w:p>
      <w:pPr>
        <w:pStyle w:val="7"/>
        <w:spacing w:before="120" w:beforeLines="50" w:after="120" w:afterLines="50" w:line="360" w:lineRule="auto"/>
        <w:ind w:firstLine="0"/>
        <w:jc w:val="center"/>
        <w:outlineLvl w:val="9"/>
        <w:rPr>
          <w:rFonts w:hint="eastAsia" w:ascii="宋体" w:hAnsi="宋体" w:eastAsia="宋体" w:cs="宋体"/>
          <w:b/>
          <w:color w:val="auto"/>
          <w:sz w:val="24"/>
          <w:szCs w:val="24"/>
          <w:highlight w:val="none"/>
        </w:rPr>
      </w:pPr>
    </w:p>
    <w:p>
      <w:pPr>
        <w:pStyle w:val="7"/>
        <w:spacing w:before="120" w:beforeLines="50" w:after="120" w:afterLines="50" w:line="360" w:lineRule="auto"/>
        <w:ind w:firstLine="0"/>
        <w:jc w:val="center"/>
        <w:outlineLvl w:val="1"/>
        <w:rPr>
          <w:rFonts w:hint="eastAsia" w:ascii="宋体" w:hAnsi="宋体" w:eastAsia="宋体" w:cs="宋体"/>
          <w:b/>
          <w:color w:val="auto"/>
          <w:sz w:val="24"/>
          <w:szCs w:val="24"/>
          <w:highlight w:val="none"/>
        </w:rPr>
      </w:pPr>
      <w:bookmarkStart w:id="551" w:name="_Toc24552"/>
      <w:bookmarkStart w:id="552" w:name="_Toc14583"/>
      <w:bookmarkStart w:id="553" w:name="_Toc17176"/>
      <w:bookmarkStart w:id="554" w:name="_Toc9678"/>
      <w:r>
        <w:rPr>
          <w:rFonts w:hint="eastAsia" w:ascii="宋体" w:hAnsi="宋体" w:eastAsia="宋体" w:cs="宋体"/>
          <w:b/>
          <w:color w:val="auto"/>
          <w:sz w:val="24"/>
          <w:szCs w:val="24"/>
          <w:highlight w:val="none"/>
        </w:rPr>
        <w:t>目  录</w:t>
      </w:r>
      <w:bookmarkEnd w:id="544"/>
      <w:bookmarkEnd w:id="545"/>
      <w:bookmarkEnd w:id="546"/>
      <w:bookmarkEnd w:id="547"/>
      <w:bookmarkEnd w:id="548"/>
      <w:bookmarkEnd w:id="549"/>
      <w:bookmarkEnd w:id="550"/>
      <w:bookmarkEnd w:id="551"/>
      <w:bookmarkEnd w:id="552"/>
      <w:bookmarkEnd w:id="553"/>
      <w:bookmarkEnd w:id="554"/>
    </w:p>
    <w:p>
      <w:pPr>
        <w:pStyle w:val="7"/>
        <w:spacing w:before="120" w:beforeLines="50" w:line="360" w:lineRule="auto"/>
        <w:ind w:firstLine="1392" w:firstLineChars="580"/>
        <w:rPr>
          <w:rFonts w:hint="eastAsia" w:ascii="宋体" w:hAnsi="宋体" w:eastAsia="宋体" w:cs="宋体"/>
          <w:color w:val="auto"/>
          <w:sz w:val="24"/>
          <w:szCs w:val="24"/>
          <w:highlight w:val="none"/>
        </w:rPr>
      </w:pPr>
    </w:p>
    <w:p>
      <w:pPr>
        <w:pStyle w:val="7"/>
        <w:numPr>
          <w:ilvl w:val="0"/>
          <w:numId w:val="0"/>
        </w:numPr>
        <w:spacing w:before="120" w:beforeLines="50" w:line="360" w:lineRule="auto"/>
        <w:outlineLvl w:val="1"/>
        <w:rPr>
          <w:rFonts w:hint="eastAsia" w:ascii="宋体" w:hAnsi="宋体" w:eastAsia="宋体" w:cs="宋体"/>
          <w:color w:val="auto"/>
          <w:sz w:val="24"/>
          <w:szCs w:val="24"/>
          <w:highlight w:val="none"/>
        </w:rPr>
      </w:pPr>
      <w:bookmarkStart w:id="555" w:name="_Toc25465"/>
      <w:bookmarkStart w:id="556" w:name="_Toc22776"/>
      <w:bookmarkStart w:id="557" w:name="_Toc13541"/>
      <w:bookmarkStart w:id="558" w:name="_Toc10772"/>
      <w:bookmarkStart w:id="559" w:name="_Toc20459"/>
      <w:bookmarkStart w:id="560" w:name="_Toc12469"/>
      <w:bookmarkStart w:id="561" w:name="_Toc22722"/>
      <w:r>
        <w:rPr>
          <w:rFonts w:hint="eastAsia" w:ascii="宋体" w:hAnsi="宋体" w:eastAsia="宋体" w:cs="宋体"/>
          <w:color w:val="auto"/>
          <w:sz w:val="24"/>
          <w:szCs w:val="24"/>
          <w:highlight w:val="none"/>
          <w:lang w:eastAsia="zh-CN"/>
        </w:rPr>
        <w:t>一、</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函</w:t>
      </w:r>
      <w:bookmarkEnd w:id="555"/>
      <w:bookmarkEnd w:id="556"/>
      <w:bookmarkEnd w:id="557"/>
      <w:bookmarkEnd w:id="558"/>
      <w:bookmarkEnd w:id="559"/>
      <w:bookmarkEnd w:id="560"/>
      <w:bookmarkEnd w:id="561"/>
      <w:r>
        <w:rPr>
          <w:rFonts w:hint="eastAsia" w:ascii="宋体" w:hAnsi="宋体" w:eastAsia="宋体" w:cs="宋体"/>
          <w:color w:val="auto"/>
          <w:sz w:val="24"/>
          <w:szCs w:val="24"/>
          <w:highlight w:val="none"/>
        </w:rPr>
        <w:t xml:space="preserve"> </w:t>
      </w:r>
    </w:p>
    <w:p>
      <w:pPr>
        <w:pStyle w:val="7"/>
        <w:numPr>
          <w:ilvl w:val="0"/>
          <w:numId w:val="0"/>
        </w:numPr>
        <w:spacing w:before="120" w:beforeLines="50" w:line="360" w:lineRule="auto"/>
        <w:outlineLvl w:val="1"/>
        <w:rPr>
          <w:rFonts w:hint="eastAsia" w:ascii="宋体" w:hAnsi="宋体" w:eastAsia="宋体" w:cs="宋体"/>
          <w:color w:val="auto"/>
          <w:sz w:val="24"/>
          <w:szCs w:val="24"/>
          <w:highlight w:val="none"/>
        </w:rPr>
      </w:pPr>
      <w:bookmarkStart w:id="562" w:name="_Toc9413"/>
      <w:bookmarkStart w:id="563" w:name="_Toc10579"/>
      <w:bookmarkStart w:id="564" w:name="_Toc8456"/>
      <w:bookmarkStart w:id="565" w:name="_Toc19700"/>
      <w:bookmarkStart w:id="566" w:name="_Toc11402"/>
      <w:bookmarkStart w:id="567" w:name="_Toc32004"/>
      <w:bookmarkStart w:id="568" w:name="_Toc6023"/>
      <w:r>
        <w:rPr>
          <w:rFonts w:hint="eastAsia" w:ascii="宋体" w:hAnsi="宋体" w:eastAsia="宋体" w:cs="宋体"/>
          <w:color w:val="auto"/>
          <w:sz w:val="24"/>
          <w:szCs w:val="24"/>
          <w:highlight w:val="none"/>
          <w:lang w:eastAsia="zh-CN"/>
        </w:rPr>
        <w:t>二、报价一览</w:t>
      </w:r>
      <w:r>
        <w:rPr>
          <w:rFonts w:hint="eastAsia" w:ascii="宋体" w:hAnsi="宋体" w:eastAsia="宋体" w:cs="宋体"/>
          <w:color w:val="auto"/>
          <w:sz w:val="24"/>
          <w:szCs w:val="24"/>
          <w:highlight w:val="none"/>
        </w:rPr>
        <w:t>表</w:t>
      </w:r>
      <w:bookmarkEnd w:id="562"/>
      <w:bookmarkEnd w:id="563"/>
      <w:bookmarkEnd w:id="564"/>
      <w:bookmarkEnd w:id="565"/>
      <w:bookmarkEnd w:id="566"/>
      <w:bookmarkEnd w:id="567"/>
      <w:bookmarkEnd w:id="568"/>
    </w:p>
    <w:p>
      <w:pPr>
        <w:pStyle w:val="7"/>
        <w:spacing w:before="120" w:beforeLines="50" w:line="360" w:lineRule="auto"/>
        <w:ind w:left="0" w:leftChars="0" w:firstLine="0" w:firstLineChars="0"/>
        <w:outlineLvl w:val="1"/>
        <w:rPr>
          <w:rFonts w:hint="eastAsia" w:ascii="宋体" w:hAnsi="宋体" w:eastAsia="宋体" w:cs="宋体"/>
          <w:color w:val="auto"/>
          <w:sz w:val="24"/>
          <w:szCs w:val="24"/>
          <w:highlight w:val="none"/>
        </w:rPr>
      </w:pPr>
      <w:bookmarkStart w:id="569" w:name="_Toc9782"/>
      <w:bookmarkStart w:id="570" w:name="_Toc29143"/>
      <w:bookmarkStart w:id="571" w:name="_Toc3207"/>
      <w:bookmarkStart w:id="572" w:name="_Toc9799"/>
      <w:bookmarkStart w:id="573" w:name="_Toc2577"/>
      <w:bookmarkStart w:id="574" w:name="_Toc24806"/>
      <w:bookmarkStart w:id="575" w:name="_Toc10041"/>
      <w:r>
        <w:rPr>
          <w:rFonts w:hint="eastAsia" w:ascii="宋体" w:hAnsi="宋体" w:eastAsia="宋体" w:cs="宋体"/>
          <w:color w:val="auto"/>
          <w:sz w:val="24"/>
          <w:szCs w:val="24"/>
          <w:highlight w:val="none"/>
          <w:lang w:eastAsia="zh-CN"/>
        </w:rPr>
        <w:t>三、</w:t>
      </w:r>
      <w:bookmarkEnd w:id="569"/>
      <w:bookmarkEnd w:id="570"/>
      <w:bookmarkEnd w:id="571"/>
      <w:bookmarkEnd w:id="572"/>
      <w:r>
        <w:rPr>
          <w:rFonts w:hint="eastAsia" w:ascii="宋体" w:hAnsi="宋体" w:cs="宋体"/>
          <w:color w:val="auto"/>
          <w:sz w:val="24"/>
          <w:szCs w:val="24"/>
          <w:highlight w:val="none"/>
          <w:lang w:eastAsia="zh-CN"/>
        </w:rPr>
        <w:t>分项报价表</w:t>
      </w:r>
      <w:bookmarkEnd w:id="573"/>
      <w:bookmarkEnd w:id="574"/>
      <w:bookmarkEnd w:id="575"/>
    </w:p>
    <w:p>
      <w:pPr>
        <w:pStyle w:val="7"/>
        <w:spacing w:before="120" w:beforeLines="50" w:line="360" w:lineRule="auto"/>
        <w:ind w:left="0" w:leftChars="0" w:firstLine="0" w:firstLineChars="0"/>
        <w:outlineLvl w:val="1"/>
        <w:rPr>
          <w:rFonts w:hint="eastAsia" w:ascii="宋体" w:hAnsi="宋体" w:eastAsia="宋体" w:cs="宋体"/>
          <w:color w:val="auto"/>
          <w:sz w:val="24"/>
          <w:szCs w:val="24"/>
          <w:highlight w:val="none"/>
          <w:lang w:eastAsia="zh-CN"/>
        </w:rPr>
      </w:pPr>
      <w:bookmarkStart w:id="576" w:name="_Toc11832"/>
      <w:bookmarkStart w:id="577" w:name="_Toc28930"/>
      <w:bookmarkStart w:id="578" w:name="_Toc26337"/>
      <w:bookmarkStart w:id="579" w:name="_Toc19451"/>
      <w:bookmarkStart w:id="580" w:name="_Toc16636"/>
      <w:bookmarkStart w:id="581" w:name="_Toc6605"/>
      <w:bookmarkStart w:id="582" w:name="_Toc8104"/>
      <w:r>
        <w:rPr>
          <w:rFonts w:hint="eastAsia" w:ascii="宋体" w:hAnsi="宋体" w:eastAsia="宋体" w:cs="宋体"/>
          <w:color w:val="auto"/>
          <w:sz w:val="24"/>
          <w:szCs w:val="24"/>
          <w:highlight w:val="none"/>
          <w:lang w:eastAsia="zh-CN"/>
        </w:rPr>
        <w:t>四、</w:t>
      </w:r>
      <w:bookmarkEnd w:id="576"/>
      <w:bookmarkEnd w:id="577"/>
      <w:bookmarkEnd w:id="578"/>
      <w:bookmarkEnd w:id="579"/>
      <w:r>
        <w:rPr>
          <w:rFonts w:hint="eastAsia" w:ascii="宋体" w:hAnsi="宋体" w:eastAsia="宋体" w:cs="宋体"/>
          <w:color w:val="auto"/>
          <w:sz w:val="24"/>
          <w:szCs w:val="24"/>
          <w:highlight w:val="none"/>
          <w:lang w:eastAsia="zh-CN"/>
        </w:rPr>
        <w:t>技术规格响应偏离表</w:t>
      </w:r>
      <w:bookmarkEnd w:id="580"/>
      <w:bookmarkEnd w:id="581"/>
      <w:bookmarkEnd w:id="582"/>
    </w:p>
    <w:p>
      <w:pPr>
        <w:pStyle w:val="7"/>
        <w:spacing w:before="120" w:beforeLines="50" w:line="360" w:lineRule="auto"/>
        <w:ind w:left="0" w:leftChars="0" w:firstLine="0" w:firstLineChars="0"/>
        <w:outlineLvl w:val="1"/>
        <w:rPr>
          <w:rFonts w:hint="eastAsia"/>
        </w:rPr>
      </w:pPr>
      <w:bookmarkStart w:id="583" w:name="_Toc28765"/>
      <w:bookmarkStart w:id="584" w:name="_Toc18415"/>
      <w:bookmarkStart w:id="585" w:name="_Toc20619"/>
      <w:r>
        <w:rPr>
          <w:rFonts w:hint="eastAsia" w:ascii="宋体" w:hAnsi="宋体" w:eastAsia="宋体" w:cs="宋体"/>
          <w:color w:val="auto"/>
          <w:sz w:val="24"/>
          <w:szCs w:val="24"/>
          <w:highlight w:val="none"/>
          <w:lang w:val="zh-CN" w:eastAsia="zh-CN"/>
        </w:rPr>
        <w:t>五、商务条款响应</w:t>
      </w:r>
      <w:r>
        <w:rPr>
          <w:rFonts w:hint="eastAsia" w:ascii="宋体" w:hAnsi="宋体" w:eastAsia="宋体" w:cs="宋体"/>
          <w:color w:val="auto"/>
          <w:sz w:val="24"/>
          <w:szCs w:val="24"/>
          <w:highlight w:val="none"/>
          <w:lang w:eastAsia="zh-CN"/>
        </w:rPr>
        <w:t>偏离表</w:t>
      </w:r>
      <w:bookmarkEnd w:id="583"/>
      <w:bookmarkEnd w:id="584"/>
      <w:bookmarkEnd w:id="585"/>
    </w:p>
    <w:p>
      <w:pPr>
        <w:pStyle w:val="7"/>
        <w:spacing w:before="120" w:beforeLines="50" w:line="360" w:lineRule="auto"/>
        <w:ind w:left="0" w:leftChars="0" w:firstLine="0" w:firstLineChars="0"/>
        <w:outlineLvl w:val="1"/>
        <w:rPr>
          <w:rFonts w:hint="eastAsia" w:ascii="宋体" w:hAnsi="宋体" w:eastAsia="宋体" w:cs="宋体"/>
          <w:color w:val="auto"/>
          <w:sz w:val="24"/>
          <w:szCs w:val="24"/>
          <w:highlight w:val="none"/>
        </w:rPr>
      </w:pPr>
      <w:bookmarkStart w:id="586" w:name="_Toc3429"/>
      <w:bookmarkStart w:id="587" w:name="_Toc8524"/>
      <w:bookmarkStart w:id="588" w:name="_Toc10991"/>
      <w:bookmarkStart w:id="589" w:name="_Toc27770"/>
      <w:bookmarkStart w:id="590" w:name="_Toc27202"/>
      <w:bookmarkStart w:id="591" w:name="_Toc29139"/>
      <w:bookmarkStart w:id="592" w:name="_Toc2287"/>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基本情况表</w:t>
      </w:r>
      <w:bookmarkEnd w:id="586"/>
      <w:bookmarkEnd w:id="587"/>
      <w:bookmarkEnd w:id="588"/>
      <w:bookmarkEnd w:id="589"/>
      <w:bookmarkEnd w:id="590"/>
      <w:bookmarkEnd w:id="591"/>
      <w:bookmarkEnd w:id="592"/>
    </w:p>
    <w:p>
      <w:pPr>
        <w:pStyle w:val="7"/>
        <w:spacing w:before="120" w:beforeLines="50" w:line="360" w:lineRule="auto"/>
        <w:ind w:left="0" w:leftChars="0" w:firstLine="0" w:firstLineChars="0"/>
        <w:outlineLvl w:val="1"/>
        <w:rPr>
          <w:rFonts w:hint="eastAsia" w:ascii="宋体" w:hAnsi="宋体" w:eastAsia="宋体" w:cs="宋体"/>
          <w:color w:val="auto"/>
          <w:sz w:val="24"/>
          <w:szCs w:val="24"/>
          <w:highlight w:val="none"/>
        </w:rPr>
      </w:pPr>
      <w:bookmarkStart w:id="593" w:name="_Toc5835"/>
      <w:bookmarkStart w:id="594" w:name="_Toc2165"/>
      <w:bookmarkStart w:id="595" w:name="_Toc18884"/>
      <w:bookmarkStart w:id="596" w:name="_Toc89"/>
      <w:bookmarkStart w:id="597" w:name="_Toc24219"/>
      <w:bookmarkStart w:id="598" w:name="_Toc93"/>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方案说明</w:t>
      </w:r>
      <w:bookmarkEnd w:id="593"/>
      <w:bookmarkEnd w:id="594"/>
      <w:bookmarkEnd w:id="595"/>
      <w:bookmarkEnd w:id="596"/>
      <w:bookmarkEnd w:id="597"/>
      <w:bookmarkEnd w:id="598"/>
    </w:p>
    <w:p>
      <w:pPr>
        <w:pStyle w:val="7"/>
        <w:spacing w:before="120" w:beforeLines="50" w:line="360" w:lineRule="auto"/>
        <w:ind w:left="0" w:leftChars="0" w:firstLine="0" w:firstLineChars="0"/>
        <w:outlineLvl w:val="1"/>
        <w:rPr>
          <w:rFonts w:hint="eastAsia" w:ascii="宋体" w:hAnsi="宋体" w:eastAsia="宋体" w:cs="宋体"/>
          <w:color w:val="auto"/>
          <w:sz w:val="24"/>
          <w:szCs w:val="24"/>
          <w:highlight w:val="none"/>
        </w:rPr>
      </w:pPr>
      <w:bookmarkStart w:id="599" w:name="_Toc31046"/>
      <w:bookmarkStart w:id="600" w:name="_Toc13800"/>
      <w:bookmarkStart w:id="601" w:name="_Toc28373"/>
      <w:bookmarkStart w:id="602" w:name="_Toc29987"/>
      <w:bookmarkStart w:id="603" w:name="_Toc15621"/>
      <w:bookmarkStart w:id="604" w:name="_Toc5680"/>
      <w:bookmarkStart w:id="605" w:name="_Toc5645"/>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业绩一览表</w:t>
      </w:r>
      <w:bookmarkEnd w:id="599"/>
      <w:bookmarkEnd w:id="600"/>
      <w:bookmarkEnd w:id="601"/>
      <w:bookmarkEnd w:id="602"/>
      <w:bookmarkEnd w:id="603"/>
      <w:bookmarkEnd w:id="604"/>
      <w:bookmarkEnd w:id="605"/>
    </w:p>
    <w:p>
      <w:pPr>
        <w:pStyle w:val="7"/>
        <w:spacing w:before="120" w:beforeLines="50" w:line="360" w:lineRule="auto"/>
        <w:ind w:left="0" w:leftChars="0" w:firstLine="0" w:firstLineChars="0"/>
        <w:outlineLvl w:val="1"/>
        <w:rPr>
          <w:rFonts w:hint="eastAsia" w:ascii="宋体" w:hAnsi="宋体" w:eastAsia="宋体" w:cs="宋体"/>
          <w:color w:val="auto"/>
          <w:sz w:val="24"/>
          <w:szCs w:val="24"/>
          <w:highlight w:val="none"/>
        </w:rPr>
      </w:pPr>
      <w:bookmarkStart w:id="606" w:name="_Toc18052"/>
      <w:bookmarkStart w:id="607" w:name="_Toc10549"/>
      <w:bookmarkStart w:id="608" w:name="_Toc22090"/>
      <w:bookmarkStart w:id="609" w:name="_Toc14170"/>
      <w:bookmarkStart w:id="610" w:name="_Toc8958"/>
      <w:bookmarkStart w:id="611" w:name="_Toc32098"/>
      <w:bookmarkStart w:id="612" w:name="_Toc5317"/>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资格证明</w:t>
      </w:r>
      <w:r>
        <w:rPr>
          <w:rFonts w:hint="eastAsia" w:ascii="宋体" w:hAnsi="宋体" w:eastAsia="宋体" w:cs="宋体"/>
          <w:color w:val="auto"/>
          <w:sz w:val="24"/>
          <w:szCs w:val="24"/>
          <w:highlight w:val="none"/>
        </w:rPr>
        <w:t>文件</w:t>
      </w:r>
      <w:bookmarkEnd w:id="606"/>
      <w:bookmarkEnd w:id="607"/>
      <w:bookmarkEnd w:id="608"/>
      <w:bookmarkEnd w:id="609"/>
      <w:bookmarkEnd w:id="610"/>
      <w:bookmarkEnd w:id="611"/>
      <w:bookmarkEnd w:id="612"/>
    </w:p>
    <w:p>
      <w:pPr>
        <w:pStyle w:val="7"/>
        <w:spacing w:before="120" w:beforeLines="50" w:line="360" w:lineRule="auto"/>
        <w:ind w:left="0" w:leftChars="0" w:firstLine="0" w:firstLineChars="0"/>
        <w:outlineLvl w:val="1"/>
        <w:rPr>
          <w:rFonts w:hint="eastAsia" w:ascii="宋体" w:hAnsi="宋体" w:eastAsia="宋体" w:cs="宋体"/>
          <w:color w:val="auto"/>
          <w:sz w:val="24"/>
          <w:szCs w:val="24"/>
          <w:highlight w:val="none"/>
          <w:lang w:val="en-US" w:eastAsia="zh-CN"/>
        </w:rPr>
      </w:pPr>
      <w:bookmarkStart w:id="613" w:name="_Toc7038"/>
      <w:bookmarkStart w:id="614" w:name="_Toc3635"/>
      <w:bookmarkStart w:id="615" w:name="_Toc1404"/>
      <w:bookmarkStart w:id="616" w:name="_Toc13410"/>
      <w:bookmarkStart w:id="617" w:name="_Toc12735"/>
      <w:bookmarkStart w:id="618" w:name="_Toc29947"/>
      <w:bookmarkStart w:id="619" w:name="_Toc18268"/>
      <w:r>
        <w:rPr>
          <w:rFonts w:hint="eastAsia" w:ascii="宋体" w:hAnsi="宋体" w:cs="宋体"/>
          <w:color w:val="auto"/>
          <w:sz w:val="24"/>
          <w:szCs w:val="24"/>
          <w:highlight w:val="none"/>
          <w:lang w:val="en-US" w:eastAsia="zh-CN"/>
        </w:rPr>
        <w:t>十</w:t>
      </w:r>
      <w:r>
        <w:rPr>
          <w:rFonts w:hint="eastAsia" w:ascii="宋体" w:hAnsi="宋体" w:eastAsia="宋体" w:cs="宋体"/>
          <w:color w:val="auto"/>
          <w:sz w:val="24"/>
          <w:szCs w:val="24"/>
          <w:highlight w:val="none"/>
          <w:lang w:val="en-US" w:eastAsia="zh-CN"/>
        </w:rPr>
        <w:t>、落实政府采购政策需提供的相关材料</w:t>
      </w:r>
      <w:bookmarkEnd w:id="613"/>
      <w:bookmarkEnd w:id="614"/>
      <w:bookmarkEnd w:id="615"/>
      <w:bookmarkEnd w:id="616"/>
    </w:p>
    <w:p>
      <w:pPr>
        <w:pStyle w:val="7"/>
        <w:spacing w:before="120" w:beforeLines="50" w:line="360" w:lineRule="auto"/>
        <w:ind w:left="0" w:leftChars="0" w:firstLine="0" w:firstLineChars="0"/>
        <w:outlineLvl w:val="1"/>
        <w:rPr>
          <w:rFonts w:hint="eastAsia" w:ascii="宋体" w:hAnsi="宋体" w:eastAsia="宋体" w:cs="宋体"/>
          <w:color w:val="auto"/>
          <w:sz w:val="24"/>
          <w:szCs w:val="24"/>
          <w:highlight w:val="none"/>
          <w:lang w:val="en-US" w:eastAsia="zh-CN"/>
        </w:rPr>
      </w:pPr>
      <w:bookmarkStart w:id="620" w:name="_Toc25176"/>
      <w:bookmarkStart w:id="621" w:name="_Toc5160"/>
      <w:bookmarkStart w:id="622" w:name="_Toc1424"/>
      <w:bookmarkStart w:id="623" w:name="_Toc23246"/>
      <w:r>
        <w:rPr>
          <w:rFonts w:hint="eastAsia" w:ascii="宋体" w:hAnsi="宋体" w:eastAsia="宋体" w:cs="宋体"/>
          <w:color w:val="auto"/>
          <w:sz w:val="24"/>
          <w:szCs w:val="24"/>
          <w:highlight w:val="none"/>
          <w:lang w:val="en-US" w:eastAsia="zh-CN"/>
        </w:rPr>
        <w:t>十</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投标保证金</w:t>
      </w:r>
      <w:bookmarkEnd w:id="620"/>
    </w:p>
    <w:p>
      <w:pPr>
        <w:pStyle w:val="7"/>
        <w:spacing w:before="120" w:beforeLines="50" w:line="360" w:lineRule="auto"/>
        <w:ind w:left="0" w:leftChars="0" w:firstLine="0" w:firstLineChars="0"/>
        <w:outlineLvl w:val="1"/>
        <w:rPr>
          <w:rFonts w:hint="eastAsia" w:ascii="宋体" w:hAnsi="宋体" w:eastAsia="宋体" w:cs="宋体"/>
          <w:color w:val="auto"/>
          <w:sz w:val="24"/>
          <w:szCs w:val="24"/>
          <w:highlight w:val="none"/>
          <w:lang w:val="en-US" w:eastAsia="zh-CN"/>
        </w:rPr>
      </w:pPr>
      <w:bookmarkStart w:id="624" w:name="_Toc275"/>
      <w:r>
        <w:rPr>
          <w:rFonts w:hint="eastAsia" w:ascii="宋体" w:hAnsi="宋体" w:cs="宋体"/>
          <w:color w:val="auto"/>
          <w:sz w:val="24"/>
          <w:szCs w:val="24"/>
          <w:highlight w:val="none"/>
          <w:lang w:val="en-US" w:eastAsia="zh-CN"/>
        </w:rPr>
        <w:t>十二、投标人</w:t>
      </w:r>
      <w:r>
        <w:rPr>
          <w:rFonts w:hint="eastAsia" w:ascii="宋体" w:hAnsi="宋体" w:eastAsia="宋体" w:cs="宋体"/>
          <w:color w:val="auto"/>
          <w:sz w:val="24"/>
          <w:szCs w:val="24"/>
          <w:highlight w:val="none"/>
          <w:lang w:val="en-US" w:eastAsia="zh-CN"/>
        </w:rPr>
        <w:t>认为有必要补充说明的事项</w:t>
      </w:r>
      <w:bookmarkEnd w:id="617"/>
      <w:bookmarkEnd w:id="618"/>
      <w:bookmarkEnd w:id="619"/>
      <w:bookmarkEnd w:id="621"/>
      <w:bookmarkEnd w:id="622"/>
      <w:bookmarkEnd w:id="623"/>
      <w:bookmarkEnd w:id="624"/>
    </w:p>
    <w:p>
      <w:pPr>
        <w:pStyle w:val="7"/>
        <w:spacing w:before="120" w:beforeLines="50" w:after="120" w:afterLines="50" w:line="360" w:lineRule="auto"/>
        <w:ind w:firstLine="0"/>
        <w:jc w:val="center"/>
        <w:outlineLvl w:val="2"/>
        <w:rPr>
          <w:rFonts w:hint="eastAsia" w:ascii="宋体" w:hAnsi="宋体" w:eastAsia="宋体" w:cs="宋体"/>
          <w:b/>
          <w:color w:val="auto"/>
          <w:sz w:val="24"/>
          <w:szCs w:val="24"/>
          <w:highlight w:val="none"/>
          <w:lang w:eastAsia="zh-CN"/>
        </w:rPr>
      </w:pPr>
      <w:bookmarkStart w:id="625" w:name="_Toc1626"/>
      <w:bookmarkStart w:id="626" w:name="_Toc32271"/>
      <w:bookmarkStart w:id="627" w:name="_Toc21524"/>
      <w:bookmarkStart w:id="628" w:name="_Toc21861"/>
      <w:r>
        <w:rPr>
          <w:rFonts w:hint="eastAsia" w:ascii="宋体" w:hAnsi="宋体" w:eastAsia="宋体" w:cs="宋体"/>
          <w:b/>
          <w:color w:val="auto"/>
          <w:sz w:val="24"/>
          <w:szCs w:val="24"/>
          <w:highlight w:val="none"/>
          <w:lang w:eastAsia="zh-CN"/>
        </w:rPr>
        <w:t>注：本目录</w:t>
      </w:r>
      <w:r>
        <w:rPr>
          <w:rFonts w:hint="eastAsia" w:ascii="宋体" w:hAnsi="宋体" w:eastAsia="宋体" w:cs="宋体"/>
          <w:b/>
          <w:color w:val="auto"/>
          <w:sz w:val="24"/>
          <w:szCs w:val="24"/>
          <w:highlight w:val="none"/>
          <w:lang w:val="en-US" w:eastAsia="zh-CN"/>
        </w:rPr>
        <w:t>仅供参考，投标人可自行</w:t>
      </w:r>
      <w:r>
        <w:rPr>
          <w:rFonts w:hint="eastAsia" w:ascii="宋体" w:hAnsi="宋体" w:eastAsia="宋体" w:cs="宋体"/>
          <w:b/>
          <w:color w:val="auto"/>
          <w:sz w:val="24"/>
          <w:szCs w:val="24"/>
          <w:highlight w:val="none"/>
          <w:lang w:eastAsia="zh-CN"/>
        </w:rPr>
        <w:t>编写。</w:t>
      </w:r>
      <w:bookmarkEnd w:id="625"/>
      <w:bookmarkEnd w:id="626"/>
      <w:bookmarkEnd w:id="627"/>
      <w:bookmarkEnd w:id="628"/>
    </w:p>
    <w:p>
      <w:pPr>
        <w:pStyle w:val="7"/>
        <w:spacing w:before="120" w:beforeLines="50" w:after="120" w:afterLines="50" w:line="360" w:lineRule="auto"/>
        <w:ind w:firstLine="0"/>
        <w:jc w:val="center"/>
        <w:rPr>
          <w:rFonts w:hint="eastAsia" w:ascii="宋体" w:hAnsi="宋体" w:eastAsia="宋体" w:cs="宋体"/>
          <w:b/>
          <w:color w:val="auto"/>
          <w:sz w:val="24"/>
          <w:szCs w:val="24"/>
          <w:highlight w:val="none"/>
          <w:lang w:eastAsia="zh-CN"/>
        </w:rPr>
      </w:pPr>
    </w:p>
    <w:p>
      <w:pPr>
        <w:pStyle w:val="37"/>
        <w:spacing w:line="360" w:lineRule="auto"/>
        <w:rPr>
          <w:rFonts w:hint="eastAsia" w:ascii="宋体" w:hAnsi="宋体" w:eastAsia="宋体" w:cs="宋体"/>
          <w:sz w:val="24"/>
          <w:szCs w:val="24"/>
          <w:highlight w:val="none"/>
          <w:lang w:val="en-US" w:eastAsia="zh-CN"/>
        </w:rPr>
      </w:pPr>
    </w:p>
    <w:p>
      <w:pPr>
        <w:pStyle w:val="37"/>
        <w:spacing w:line="360" w:lineRule="auto"/>
        <w:rPr>
          <w:rFonts w:hint="eastAsia" w:ascii="宋体" w:hAnsi="宋体" w:eastAsia="宋体" w:cs="宋体"/>
          <w:sz w:val="24"/>
          <w:szCs w:val="24"/>
          <w:highlight w:val="none"/>
          <w:lang w:val="en-US" w:eastAsia="zh-CN"/>
        </w:rPr>
      </w:pPr>
    </w:p>
    <w:p>
      <w:pPr>
        <w:pStyle w:val="37"/>
        <w:spacing w:line="360" w:lineRule="auto"/>
        <w:rPr>
          <w:rFonts w:hint="eastAsia" w:ascii="宋体" w:hAnsi="宋体" w:eastAsia="宋体" w:cs="宋体"/>
          <w:sz w:val="24"/>
          <w:szCs w:val="24"/>
          <w:highlight w:val="none"/>
          <w:lang w:val="en-US" w:eastAsia="zh-CN"/>
        </w:rPr>
      </w:pPr>
    </w:p>
    <w:p>
      <w:pPr>
        <w:pStyle w:val="37"/>
        <w:spacing w:line="360" w:lineRule="auto"/>
        <w:rPr>
          <w:rFonts w:hint="eastAsia" w:ascii="宋体" w:hAnsi="宋体" w:eastAsia="宋体" w:cs="宋体"/>
          <w:sz w:val="24"/>
          <w:szCs w:val="24"/>
          <w:highlight w:val="none"/>
          <w:lang w:val="en-US" w:eastAsia="zh-CN"/>
        </w:rPr>
      </w:pPr>
    </w:p>
    <w:p>
      <w:pPr>
        <w:pStyle w:val="37"/>
        <w:spacing w:line="360" w:lineRule="auto"/>
        <w:rPr>
          <w:rFonts w:hint="eastAsia" w:ascii="宋体" w:hAnsi="宋体" w:eastAsia="宋体" w:cs="宋体"/>
          <w:sz w:val="24"/>
          <w:szCs w:val="24"/>
          <w:highlight w:val="none"/>
          <w:lang w:val="en-US" w:eastAsia="zh-CN"/>
        </w:rPr>
      </w:pPr>
    </w:p>
    <w:p>
      <w:pPr>
        <w:pStyle w:val="37"/>
        <w:spacing w:line="360" w:lineRule="auto"/>
        <w:rPr>
          <w:rFonts w:hint="eastAsia" w:ascii="宋体" w:hAnsi="宋体" w:eastAsia="宋体" w:cs="宋体"/>
          <w:sz w:val="24"/>
          <w:szCs w:val="24"/>
          <w:highlight w:val="none"/>
          <w:lang w:val="en-US" w:eastAsia="zh-CN"/>
        </w:rPr>
      </w:pPr>
    </w:p>
    <w:p>
      <w:pPr>
        <w:pStyle w:val="37"/>
        <w:spacing w:line="360" w:lineRule="auto"/>
        <w:rPr>
          <w:rFonts w:hint="eastAsia" w:ascii="宋体" w:hAnsi="宋体" w:eastAsia="宋体" w:cs="宋体"/>
          <w:sz w:val="24"/>
          <w:szCs w:val="24"/>
          <w:highlight w:val="none"/>
          <w:lang w:val="en-US" w:eastAsia="zh-CN"/>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lang w:val="zh-CN"/>
        </w:rPr>
      </w:pPr>
      <w:bookmarkStart w:id="629" w:name="_Toc7840_WPSOffice_Level1"/>
      <w:bookmarkStart w:id="630" w:name="_Toc30003"/>
      <w:bookmarkStart w:id="631" w:name="_Toc32584"/>
      <w:bookmarkStart w:id="632" w:name="_Toc6714"/>
      <w:bookmarkStart w:id="633" w:name="_Toc12946"/>
      <w:bookmarkStart w:id="634" w:name="_Toc7215"/>
      <w:bookmarkStart w:id="635" w:name="_Toc10056"/>
    </w:p>
    <w:p>
      <w:pPr>
        <w:pStyle w:val="11"/>
        <w:pageBreakBefore w:val="0"/>
        <w:numPr>
          <w:ilvl w:val="0"/>
          <w:numId w:val="0"/>
        </w:numPr>
        <w:shd w:val="clear"/>
        <w:overflowPunct/>
        <w:bidi w:val="0"/>
        <w:spacing w:line="500" w:lineRule="exact"/>
        <w:jc w:val="both"/>
        <w:outlineLvl w:val="1"/>
        <w:rPr>
          <w:rFonts w:hint="eastAsia" w:ascii="宋体" w:hAnsi="宋体" w:cs="宋体"/>
          <w:b/>
          <w:bCs/>
          <w:color w:val="000000"/>
          <w:kern w:val="0"/>
          <w:sz w:val="24"/>
          <w:szCs w:val="24"/>
          <w:lang w:val="zh-CN" w:eastAsia="zh-CN" w:bidi="ar"/>
        </w:rPr>
      </w:pPr>
    </w:p>
    <w:p>
      <w:pPr>
        <w:pStyle w:val="11"/>
        <w:pageBreakBefore w:val="0"/>
        <w:numPr>
          <w:ilvl w:val="0"/>
          <w:numId w:val="0"/>
        </w:numPr>
        <w:shd w:val="clear"/>
        <w:overflowPunct/>
        <w:bidi w:val="0"/>
        <w:spacing w:line="500" w:lineRule="exact"/>
        <w:jc w:val="center"/>
        <w:outlineLvl w:val="1"/>
        <w:rPr>
          <w:rFonts w:hint="eastAsia" w:ascii="宋体" w:hAnsi="宋体" w:cs="宋体"/>
          <w:b/>
          <w:bCs/>
          <w:color w:val="000000"/>
          <w:kern w:val="0"/>
          <w:sz w:val="24"/>
          <w:szCs w:val="24"/>
          <w:lang w:val="en-US" w:eastAsia="zh-CN" w:bidi="ar"/>
        </w:rPr>
      </w:pPr>
      <w:bookmarkStart w:id="636" w:name="_Toc15229"/>
      <w:r>
        <w:rPr>
          <w:rFonts w:hint="eastAsia" w:ascii="宋体" w:hAnsi="宋体" w:cs="宋体"/>
          <w:b/>
          <w:bCs/>
          <w:color w:val="000000"/>
          <w:kern w:val="0"/>
          <w:sz w:val="24"/>
          <w:szCs w:val="24"/>
          <w:lang w:val="zh-CN" w:eastAsia="zh-CN" w:bidi="ar"/>
        </w:rPr>
        <w:t>一</w:t>
      </w:r>
      <w:r>
        <w:rPr>
          <w:rFonts w:hint="eastAsia" w:ascii="宋体" w:hAnsi="宋体" w:cs="宋体"/>
          <w:b/>
          <w:bCs/>
          <w:color w:val="000000"/>
          <w:kern w:val="0"/>
          <w:sz w:val="24"/>
          <w:szCs w:val="24"/>
          <w:lang w:val="en-US" w:eastAsia="zh-CN" w:bidi="ar"/>
        </w:rPr>
        <w:t>、</w:t>
      </w:r>
      <w:bookmarkEnd w:id="629"/>
      <w:r>
        <w:rPr>
          <w:rFonts w:hint="eastAsia" w:ascii="宋体" w:hAnsi="宋体" w:cs="宋体"/>
          <w:b/>
          <w:bCs/>
          <w:color w:val="000000"/>
          <w:kern w:val="0"/>
          <w:sz w:val="24"/>
          <w:szCs w:val="24"/>
          <w:lang w:val="zh-CN" w:eastAsia="zh-CN" w:bidi="ar"/>
        </w:rPr>
        <w:t>投标函</w:t>
      </w:r>
      <w:bookmarkEnd w:id="630"/>
      <w:bookmarkEnd w:id="631"/>
      <w:bookmarkEnd w:id="632"/>
      <w:bookmarkEnd w:id="633"/>
      <w:bookmarkEnd w:id="634"/>
      <w:bookmarkEnd w:id="635"/>
      <w:bookmarkEnd w:id="636"/>
    </w:p>
    <w:p>
      <w:pPr>
        <w:autoSpaceDE w:val="0"/>
        <w:autoSpaceDN w:val="0"/>
        <w:adjustRightIn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陕西中海招标有限公司：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（项目编号）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招标文件</w:t>
      </w:r>
      <w:r>
        <w:rPr>
          <w:rFonts w:hint="eastAsia" w:ascii="宋体" w:hAnsi="宋体" w:eastAsia="宋体" w:cs="宋体"/>
          <w:sz w:val="24"/>
          <w:szCs w:val="24"/>
        </w:rPr>
        <w:t>，经详细研究，我们决定参加本</w:t>
      </w:r>
      <w:r>
        <w:rPr>
          <w:rFonts w:hint="eastAsia" w:ascii="宋体" w:hAnsi="宋体" w:eastAsia="宋体" w:cs="宋体"/>
          <w:sz w:val="24"/>
          <w:szCs w:val="24"/>
          <w:lang w:val="en-US" w:eastAsia="zh-CN"/>
        </w:rPr>
        <w:t>项目第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包招标活动</w:t>
      </w:r>
      <w:r>
        <w:rPr>
          <w:rFonts w:hint="eastAsia" w:ascii="宋体" w:hAnsi="宋体" w:eastAsia="宋体" w:cs="宋体"/>
          <w:sz w:val="24"/>
          <w:szCs w:val="24"/>
        </w:rPr>
        <w:t>并</w:t>
      </w:r>
      <w:r>
        <w:rPr>
          <w:rFonts w:hint="eastAsia" w:ascii="宋体" w:hAnsi="宋体" w:eastAsia="宋体" w:cs="宋体"/>
          <w:sz w:val="24"/>
          <w:szCs w:val="24"/>
          <w:lang w:eastAsia="zh-CN"/>
        </w:rPr>
        <w:t>投标</w:t>
      </w:r>
      <w:r>
        <w:rPr>
          <w:rFonts w:hint="eastAsia" w:ascii="宋体" w:hAnsi="宋体" w:eastAsia="宋体" w:cs="宋体"/>
          <w:sz w:val="24"/>
          <w:szCs w:val="24"/>
        </w:rPr>
        <w:t>。为此，我方郑重声明以下诸点，并负法律责任。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1、愿意按照</w:t>
      </w:r>
      <w:r>
        <w:rPr>
          <w:rFonts w:hint="eastAsia" w:ascii="宋体" w:hAnsi="宋体" w:eastAsia="宋体" w:cs="宋体"/>
          <w:sz w:val="24"/>
          <w:szCs w:val="24"/>
          <w:lang w:eastAsia="zh-CN"/>
        </w:rPr>
        <w:t>招标文件</w:t>
      </w:r>
      <w:r>
        <w:rPr>
          <w:rFonts w:hint="eastAsia" w:ascii="宋体" w:hAnsi="宋体" w:eastAsia="宋体" w:cs="宋体"/>
          <w:sz w:val="24"/>
          <w:szCs w:val="24"/>
        </w:rPr>
        <w:t>中的一切要求，提供</w:t>
      </w:r>
      <w:r>
        <w:rPr>
          <w:rFonts w:hint="eastAsia" w:ascii="宋体" w:hAnsi="宋体" w:eastAsia="宋体" w:cs="宋体"/>
          <w:sz w:val="24"/>
          <w:szCs w:val="24"/>
          <w:lang w:eastAsia="zh-CN"/>
        </w:rPr>
        <w:t>投标</w:t>
      </w:r>
      <w:r>
        <w:rPr>
          <w:rFonts w:hint="eastAsia" w:ascii="宋体" w:hAnsi="宋体" w:eastAsia="宋体" w:cs="宋体"/>
          <w:sz w:val="24"/>
          <w:szCs w:val="24"/>
        </w:rPr>
        <w:t>服务，完成合同的责任和义务。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2、如若中标，将根据招标文件的要求、投标文件及承诺条件，全面签约并履行合同规定的责任和义务。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3、我方提交的投标文件：正本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份及电子版投标文件（U盘）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报价一览表</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4、我方按招标文件要求投标报价为：</w:t>
      </w:r>
      <w:r>
        <w:rPr>
          <w:rFonts w:hint="eastAsia" w:ascii="宋体" w:hAnsi="宋体" w:eastAsia="宋体" w:cs="宋体"/>
          <w:sz w:val="24"/>
          <w:szCs w:val="24"/>
          <w:lang w:eastAsia="zh-CN"/>
        </w:rPr>
        <w:t>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、我方按招标文件要求交纳投标保证金为：</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、我方已详细阅读和核实全部招标文件内容，完全理解并同意放弃提出含糊不清和误解问题的权力。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、同意提供贵方要求的与本次招标有关的任何证明资料。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、中标后按照本招标文件规定向贵方缴纳</w:t>
      </w:r>
      <w:r>
        <w:rPr>
          <w:rFonts w:hint="eastAsia" w:ascii="宋体" w:hAnsi="宋体" w:eastAsia="宋体" w:cs="宋体"/>
          <w:sz w:val="24"/>
          <w:szCs w:val="24"/>
          <w:lang w:eastAsia="zh-CN"/>
        </w:rPr>
        <w:t>招标代理服务费</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、我方的投标文件自开标之日起计算有效期为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日历日。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、有关于本标书的函电，请按下列地址联系。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帐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传    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    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授权代表（签字）：                                          </w:t>
      </w:r>
    </w:p>
    <w:p>
      <w:pPr>
        <w:autoSpaceDE w:val="0"/>
        <w:autoSpaceDN w:val="0"/>
        <w:adjustRightInd w:val="0"/>
        <w:spacing w:line="360" w:lineRule="auto"/>
        <w:jc w:val="center"/>
        <w:rPr>
          <w:rFonts w:hint="eastAsia" w:ascii="宋体" w:hAnsi="宋体" w:eastAsia="宋体" w:cs="宋体"/>
          <w:color w:val="auto"/>
          <w:sz w:val="24"/>
          <w:szCs w:val="24"/>
          <w:highlight w:val="none"/>
        </w:rPr>
      </w:pPr>
      <w:bookmarkStart w:id="637" w:name="_Toc22915_WPSOffice_Level2"/>
      <w:bookmarkStart w:id="638" w:name="_Toc17992_WPSOffice_Level1"/>
      <w:bookmarkStart w:id="639" w:name="_Toc11184_WPSOffice_Level1"/>
      <w:r>
        <w:rPr>
          <w:rFonts w:hint="eastAsia" w:ascii="宋体" w:hAnsi="宋体" w:eastAsia="宋体" w:cs="宋体"/>
          <w:color w:val="auto"/>
          <w:sz w:val="24"/>
          <w:szCs w:val="24"/>
          <w:highlight w:val="none"/>
        </w:rPr>
        <w:t>年      月      日</w:t>
      </w:r>
      <w:bookmarkEnd w:id="637"/>
      <w:bookmarkEnd w:id="638"/>
      <w:bookmarkEnd w:id="639"/>
    </w:p>
    <w:p>
      <w:pPr>
        <w:pStyle w:val="11"/>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1"/>
        <w:pageBreakBefore w:val="0"/>
        <w:numPr>
          <w:ilvl w:val="0"/>
          <w:numId w:val="0"/>
        </w:numPr>
        <w:shd w:val="clear"/>
        <w:overflowPunct/>
        <w:bidi w:val="0"/>
        <w:spacing w:line="500" w:lineRule="exact"/>
        <w:jc w:val="both"/>
        <w:outlineLvl w:val="1"/>
        <w:rPr>
          <w:rFonts w:hint="eastAsia" w:ascii="宋体" w:hAnsi="宋体" w:cs="宋体"/>
          <w:b/>
          <w:bCs/>
          <w:color w:val="000000"/>
          <w:kern w:val="0"/>
          <w:sz w:val="24"/>
          <w:szCs w:val="24"/>
          <w:lang w:val="zh-CN" w:eastAsia="zh-CN" w:bidi="ar"/>
        </w:rPr>
      </w:pPr>
    </w:p>
    <w:p>
      <w:pPr>
        <w:pStyle w:val="11"/>
        <w:pageBreakBefore w:val="0"/>
        <w:numPr>
          <w:ilvl w:val="0"/>
          <w:numId w:val="0"/>
        </w:numPr>
        <w:shd w:val="clear"/>
        <w:overflowPunct/>
        <w:bidi w:val="0"/>
        <w:spacing w:line="500" w:lineRule="exact"/>
        <w:jc w:val="center"/>
        <w:outlineLvl w:val="1"/>
        <w:rPr>
          <w:rFonts w:hint="eastAsia" w:ascii="宋体" w:hAnsi="宋体" w:cs="宋体"/>
          <w:b/>
          <w:bCs/>
          <w:color w:val="000000"/>
          <w:kern w:val="0"/>
          <w:sz w:val="24"/>
          <w:szCs w:val="24"/>
          <w:lang w:val="zh-CN" w:eastAsia="zh-CN" w:bidi="ar"/>
        </w:rPr>
      </w:pPr>
      <w:bookmarkStart w:id="640" w:name="_Toc21540"/>
      <w:bookmarkStart w:id="641" w:name="_Toc26173"/>
      <w:bookmarkStart w:id="642" w:name="_Toc10563"/>
      <w:bookmarkStart w:id="643" w:name="_Toc18033"/>
      <w:bookmarkStart w:id="644" w:name="_Toc22270"/>
      <w:bookmarkStart w:id="645" w:name="_Toc4948_WPSOffice_Level1"/>
      <w:bookmarkStart w:id="646" w:name="_Toc11441"/>
      <w:bookmarkStart w:id="647" w:name="_Toc7946"/>
      <w:r>
        <w:rPr>
          <w:rFonts w:hint="eastAsia" w:ascii="宋体" w:hAnsi="宋体" w:cs="宋体"/>
          <w:b/>
          <w:bCs/>
          <w:color w:val="000000"/>
          <w:kern w:val="0"/>
          <w:sz w:val="24"/>
          <w:szCs w:val="24"/>
          <w:lang w:val="en-US" w:eastAsia="zh-CN" w:bidi="ar"/>
        </w:rPr>
        <w:t>二、报价一览表</w:t>
      </w:r>
      <w:bookmarkEnd w:id="640"/>
      <w:bookmarkEnd w:id="641"/>
      <w:bookmarkEnd w:id="642"/>
      <w:bookmarkEnd w:id="643"/>
      <w:bookmarkEnd w:id="644"/>
      <w:bookmarkEnd w:id="645"/>
      <w:bookmarkEnd w:id="646"/>
      <w:bookmarkEnd w:id="647"/>
    </w:p>
    <w:p>
      <w:pPr>
        <w:numPr>
          <w:ilvl w:val="0"/>
          <w:numId w:val="0"/>
        </w:numPr>
        <w:autoSpaceDE w:val="0"/>
        <w:autoSpaceDN w:val="0"/>
        <w:adjustRightInd w:val="0"/>
        <w:spacing w:line="360" w:lineRule="auto"/>
        <w:jc w:val="left"/>
        <w:outlineLvl w:val="9"/>
        <w:rPr>
          <w:rFonts w:hint="eastAsia" w:ascii="宋体" w:hAnsi="宋体"/>
          <w:bCs/>
          <w:kern w:val="0"/>
          <w:szCs w:val="24"/>
        </w:rPr>
      </w:pPr>
      <w:r>
        <w:rPr>
          <w:rFonts w:hint="eastAsia" w:ascii="宋体" w:hAnsi="宋体"/>
          <w:bCs/>
          <w:kern w:val="0"/>
          <w:szCs w:val="24"/>
        </w:rPr>
        <w:t>投标人名称：</w:t>
      </w:r>
      <w:r>
        <w:rPr>
          <w:rFonts w:hint="eastAsia" w:ascii="宋体" w:hAnsi="宋体"/>
          <w:bCs/>
          <w:kern w:val="0"/>
          <w:szCs w:val="24"/>
          <w:u w:val="single"/>
        </w:rPr>
        <w:t xml:space="preserve">                    </w:t>
      </w:r>
      <w:r>
        <w:rPr>
          <w:rFonts w:hint="eastAsia" w:ascii="宋体" w:hAnsi="宋体"/>
          <w:bCs/>
          <w:kern w:val="0"/>
          <w:szCs w:val="24"/>
        </w:rPr>
        <w:t xml:space="preserve">   </w:t>
      </w:r>
    </w:p>
    <w:tbl>
      <w:tblPr>
        <w:tblStyle w:val="23"/>
        <w:tblW w:w="75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7"/>
        <w:gridCol w:w="1715"/>
        <w:gridCol w:w="1563"/>
        <w:gridCol w:w="2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90" w:hRule="atLeast"/>
          <w:jc w:val="center"/>
        </w:trPr>
        <w:tc>
          <w:tcPr>
            <w:tcW w:w="1537" w:type="dxa"/>
            <w:noWrap w:val="0"/>
            <w:vAlign w:val="center"/>
          </w:tcPr>
          <w:p>
            <w:pPr>
              <w:spacing w:line="480" w:lineRule="exact"/>
              <w:ind w:left="210" w:leftChars="100"/>
              <w:jc w:val="center"/>
              <w:rPr>
                <w:rFonts w:hint="eastAsia" w:ascii="宋体" w:hAnsi="宋体"/>
                <w:b/>
                <w:szCs w:val="24"/>
              </w:rPr>
            </w:pPr>
            <w:r>
              <w:rPr>
                <w:rFonts w:hint="eastAsia" w:ascii="宋体" w:hAnsi="宋体"/>
                <w:b/>
                <w:szCs w:val="24"/>
              </w:rPr>
              <w:t>投标总价</w:t>
            </w:r>
          </w:p>
          <w:p>
            <w:pPr>
              <w:spacing w:line="480" w:lineRule="exact"/>
              <w:ind w:left="210" w:leftChars="100"/>
              <w:jc w:val="center"/>
              <w:rPr>
                <w:rFonts w:hint="eastAsia" w:ascii="宋体" w:hAnsi="宋体"/>
                <w:b/>
                <w:szCs w:val="24"/>
              </w:rPr>
            </w:pPr>
            <w:r>
              <w:rPr>
                <w:rFonts w:hint="eastAsia" w:ascii="宋体" w:hAnsi="宋体"/>
                <w:b/>
                <w:szCs w:val="24"/>
              </w:rPr>
              <w:t>（人民币:元）</w:t>
            </w:r>
          </w:p>
        </w:tc>
        <w:tc>
          <w:tcPr>
            <w:tcW w:w="1715" w:type="dxa"/>
            <w:noWrap w:val="0"/>
            <w:tcMar>
              <w:top w:w="57" w:type="dxa"/>
              <w:left w:w="28" w:type="dxa"/>
              <w:bottom w:w="57" w:type="dxa"/>
              <w:right w:w="28" w:type="dxa"/>
            </w:tcMar>
            <w:vAlign w:val="center"/>
          </w:tcPr>
          <w:p>
            <w:pPr>
              <w:spacing w:line="480" w:lineRule="exact"/>
              <w:ind w:left="210" w:leftChars="100"/>
              <w:jc w:val="center"/>
              <w:rPr>
                <w:rFonts w:hint="eastAsia" w:ascii="宋体" w:hAnsi="宋体"/>
                <w:b/>
                <w:szCs w:val="24"/>
              </w:rPr>
            </w:pPr>
            <w:r>
              <w:rPr>
                <w:rFonts w:hint="eastAsia" w:ascii="宋体" w:hAnsi="宋体"/>
                <w:b/>
                <w:szCs w:val="24"/>
              </w:rPr>
              <w:t>交货期</w:t>
            </w:r>
          </w:p>
          <w:p>
            <w:pPr>
              <w:spacing w:line="480" w:lineRule="exact"/>
              <w:ind w:left="210" w:leftChars="100"/>
              <w:jc w:val="center"/>
              <w:rPr>
                <w:rFonts w:hint="eastAsia" w:ascii="宋体" w:hAnsi="宋体"/>
                <w:b/>
                <w:szCs w:val="24"/>
              </w:rPr>
            </w:pPr>
            <w:r>
              <w:rPr>
                <w:rFonts w:hint="eastAsia" w:ascii="宋体" w:hAnsi="宋体"/>
                <w:b/>
                <w:szCs w:val="24"/>
              </w:rPr>
              <w:t>（日历日）</w:t>
            </w:r>
          </w:p>
        </w:tc>
        <w:tc>
          <w:tcPr>
            <w:tcW w:w="1563" w:type="dxa"/>
            <w:noWrap w:val="0"/>
            <w:tcMar>
              <w:top w:w="57" w:type="dxa"/>
              <w:left w:w="28" w:type="dxa"/>
              <w:bottom w:w="57" w:type="dxa"/>
              <w:right w:w="28" w:type="dxa"/>
            </w:tcMar>
            <w:vAlign w:val="center"/>
          </w:tcPr>
          <w:p>
            <w:pPr>
              <w:spacing w:line="480" w:lineRule="exact"/>
              <w:ind w:left="210" w:leftChars="100"/>
              <w:jc w:val="center"/>
              <w:rPr>
                <w:rFonts w:hint="eastAsia" w:ascii="宋体" w:hAnsi="宋体"/>
                <w:b/>
                <w:szCs w:val="24"/>
              </w:rPr>
            </w:pPr>
            <w:r>
              <w:rPr>
                <w:rFonts w:hint="eastAsia" w:ascii="宋体" w:hAnsi="宋体"/>
                <w:b/>
                <w:szCs w:val="24"/>
              </w:rPr>
              <w:t>质保期</w:t>
            </w:r>
          </w:p>
          <w:p>
            <w:pPr>
              <w:spacing w:line="480" w:lineRule="exact"/>
              <w:ind w:left="210" w:leftChars="100"/>
              <w:jc w:val="center"/>
              <w:rPr>
                <w:rFonts w:hint="eastAsia" w:ascii="宋体" w:hAnsi="宋体"/>
                <w:b/>
                <w:szCs w:val="24"/>
              </w:rPr>
            </w:pPr>
            <w:r>
              <w:rPr>
                <w:rFonts w:hint="eastAsia" w:ascii="宋体" w:hAnsi="宋体"/>
                <w:b/>
                <w:szCs w:val="24"/>
              </w:rPr>
              <w:t>（月）</w:t>
            </w:r>
          </w:p>
        </w:tc>
        <w:tc>
          <w:tcPr>
            <w:tcW w:w="2708" w:type="dxa"/>
            <w:noWrap w:val="0"/>
            <w:vAlign w:val="top"/>
          </w:tcPr>
          <w:p>
            <w:pPr>
              <w:spacing w:line="480" w:lineRule="exact"/>
              <w:ind w:left="210" w:leftChars="100"/>
              <w:jc w:val="center"/>
              <w:rPr>
                <w:rFonts w:hint="eastAsia" w:ascii="宋体" w:hAnsi="宋体"/>
                <w:b/>
                <w:szCs w:val="24"/>
              </w:rPr>
            </w:pPr>
            <w:r>
              <w:rPr>
                <w:rFonts w:hint="eastAsia" w:ascii="宋体" w:hAnsi="宋体"/>
                <w:b/>
                <w:szCs w:val="24"/>
              </w:rPr>
              <w:t>小型、微型企业/监狱</w:t>
            </w:r>
            <w:r>
              <w:rPr>
                <w:rFonts w:hint="eastAsia" w:ascii="宋体" w:hAnsi="宋体"/>
                <w:b/>
                <w:szCs w:val="24"/>
                <w:lang w:val="en-US" w:eastAsia="zh-CN"/>
              </w:rPr>
              <w:t>/戒毒</w:t>
            </w:r>
            <w:r>
              <w:rPr>
                <w:rFonts w:hint="eastAsia" w:ascii="宋体" w:hAnsi="宋体"/>
                <w:b/>
                <w:szCs w:val="24"/>
              </w:rPr>
              <w:t>企业/残疾人福利性单位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1537" w:type="dxa"/>
            <w:noWrap w:val="0"/>
            <w:vAlign w:val="center"/>
          </w:tcPr>
          <w:p>
            <w:pPr>
              <w:spacing w:line="480" w:lineRule="exact"/>
              <w:ind w:left="210" w:leftChars="100"/>
              <w:jc w:val="center"/>
              <w:rPr>
                <w:rFonts w:hint="eastAsia" w:ascii="宋体" w:hAnsi="宋体"/>
                <w:szCs w:val="24"/>
              </w:rPr>
            </w:pPr>
          </w:p>
        </w:tc>
        <w:tc>
          <w:tcPr>
            <w:tcW w:w="1715" w:type="dxa"/>
            <w:noWrap w:val="0"/>
            <w:tcMar>
              <w:top w:w="57" w:type="dxa"/>
              <w:left w:w="28" w:type="dxa"/>
              <w:bottom w:w="57" w:type="dxa"/>
              <w:right w:w="28" w:type="dxa"/>
            </w:tcMar>
            <w:vAlign w:val="center"/>
          </w:tcPr>
          <w:p>
            <w:pPr>
              <w:spacing w:line="480" w:lineRule="exact"/>
              <w:ind w:left="210" w:leftChars="100"/>
              <w:jc w:val="center"/>
              <w:rPr>
                <w:rFonts w:hint="eastAsia" w:ascii="宋体" w:hAnsi="宋体"/>
                <w:szCs w:val="24"/>
              </w:rPr>
            </w:pPr>
          </w:p>
        </w:tc>
        <w:tc>
          <w:tcPr>
            <w:tcW w:w="1563" w:type="dxa"/>
            <w:noWrap w:val="0"/>
            <w:tcMar>
              <w:top w:w="57" w:type="dxa"/>
              <w:left w:w="28" w:type="dxa"/>
              <w:bottom w:w="57" w:type="dxa"/>
              <w:right w:w="28" w:type="dxa"/>
            </w:tcMar>
            <w:vAlign w:val="center"/>
          </w:tcPr>
          <w:p>
            <w:pPr>
              <w:spacing w:line="480" w:lineRule="exact"/>
              <w:ind w:left="210" w:leftChars="100"/>
              <w:jc w:val="center"/>
              <w:rPr>
                <w:rFonts w:hint="eastAsia" w:ascii="宋体" w:hAnsi="宋体"/>
                <w:szCs w:val="24"/>
              </w:rPr>
            </w:pPr>
          </w:p>
        </w:tc>
        <w:tc>
          <w:tcPr>
            <w:tcW w:w="2708" w:type="dxa"/>
            <w:noWrap w:val="0"/>
            <w:vAlign w:val="top"/>
          </w:tcPr>
          <w:p>
            <w:pPr>
              <w:spacing w:line="480" w:lineRule="exact"/>
              <w:ind w:left="210" w:leftChars="100"/>
              <w:jc w:val="center"/>
              <w:rPr>
                <w:rFonts w:hint="eastAsia"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4815" w:type="dxa"/>
            <w:gridSpan w:val="3"/>
            <w:tcBorders>
              <w:top w:val="single" w:color="auto" w:sz="4" w:space="0"/>
            </w:tcBorders>
            <w:noWrap w:val="0"/>
            <w:vAlign w:val="center"/>
          </w:tcPr>
          <w:p>
            <w:pPr>
              <w:spacing w:line="480" w:lineRule="exact"/>
              <w:ind w:left="210" w:leftChars="100"/>
              <w:rPr>
                <w:rFonts w:hint="eastAsia" w:ascii="宋体" w:hAnsi="宋体"/>
                <w:b/>
                <w:szCs w:val="24"/>
              </w:rPr>
            </w:pPr>
            <w:r>
              <w:rPr>
                <w:rFonts w:hint="eastAsia" w:ascii="宋体" w:hAnsi="宋体"/>
                <w:b/>
                <w:szCs w:val="24"/>
              </w:rPr>
              <w:t xml:space="preserve">（大写）                                </w:t>
            </w:r>
          </w:p>
        </w:tc>
        <w:tc>
          <w:tcPr>
            <w:tcW w:w="2708" w:type="dxa"/>
            <w:tcBorders>
              <w:top w:val="single" w:color="auto" w:sz="4" w:space="0"/>
            </w:tcBorders>
            <w:noWrap w:val="0"/>
            <w:vAlign w:val="top"/>
          </w:tcPr>
          <w:p>
            <w:pPr>
              <w:spacing w:line="480" w:lineRule="exact"/>
              <w:ind w:left="210" w:leftChars="100"/>
              <w:rPr>
                <w:rFonts w:hint="eastAsia" w:ascii="宋体" w:hAnsi="宋体"/>
                <w:b/>
                <w:szCs w:val="24"/>
              </w:rPr>
            </w:pPr>
          </w:p>
        </w:tc>
      </w:tr>
    </w:tbl>
    <w:p>
      <w:pPr>
        <w:spacing w:line="480" w:lineRule="exact"/>
        <w:rPr>
          <w:rFonts w:hint="eastAsia" w:ascii="宋体" w:hAnsi="宋体"/>
          <w:iCs/>
          <w:szCs w:val="24"/>
        </w:rPr>
      </w:pPr>
      <w:r>
        <w:rPr>
          <w:rFonts w:hint="eastAsia" w:ascii="宋体" w:hAnsi="宋体"/>
          <w:iCs/>
          <w:szCs w:val="24"/>
        </w:rPr>
        <w:t>注：1、本表价格应按投标总价填写，同时应保证投标文件的正、副本中仍有此表且一致。</w:t>
      </w:r>
    </w:p>
    <w:p>
      <w:pPr>
        <w:spacing w:line="480" w:lineRule="exact"/>
        <w:ind w:firstLine="315" w:firstLineChars="150"/>
        <w:rPr>
          <w:rFonts w:hint="eastAsia" w:ascii="宋体" w:hAnsi="宋体"/>
          <w:iCs/>
          <w:szCs w:val="24"/>
        </w:rPr>
      </w:pPr>
      <w:r>
        <w:rPr>
          <w:rFonts w:hint="eastAsia" w:ascii="宋体" w:hAnsi="宋体"/>
          <w:iCs/>
          <w:szCs w:val="24"/>
        </w:rPr>
        <w:t xml:space="preserve"> 2、报价精确到元。</w:t>
      </w:r>
    </w:p>
    <w:p>
      <w:pPr>
        <w:spacing w:line="480" w:lineRule="exact"/>
        <w:ind w:firstLine="525" w:firstLineChars="250"/>
        <w:rPr>
          <w:rFonts w:hint="eastAsia" w:ascii="宋体" w:hAnsi="宋体"/>
          <w:iCs/>
          <w:szCs w:val="24"/>
        </w:rPr>
      </w:pPr>
      <w:r>
        <w:rPr>
          <w:rFonts w:hint="eastAsia" w:ascii="宋体" w:hAnsi="宋体" w:cs="宋体"/>
          <w:color w:val="000000"/>
          <w:kern w:val="0"/>
          <w:szCs w:val="24"/>
        </w:rPr>
        <w:t>3、</w:t>
      </w:r>
      <w:r>
        <w:rPr>
          <w:rFonts w:hint="eastAsia" w:ascii="宋体" w:hAnsi="宋体"/>
          <w:iCs/>
          <w:szCs w:val="24"/>
        </w:rPr>
        <w:t>小型、微型企业/监狱企业/残疾人福利性单位一栏填写“是”或“否”</w:t>
      </w:r>
    </w:p>
    <w:p>
      <w:pPr>
        <w:spacing w:line="480" w:lineRule="exact"/>
        <w:ind w:left="210" w:leftChars="100" w:firstLine="420" w:firstLineChars="200"/>
        <w:rPr>
          <w:rFonts w:hint="eastAsia" w:ascii="宋体" w:hAnsi="宋体"/>
          <w:szCs w:val="24"/>
        </w:rPr>
      </w:pPr>
    </w:p>
    <w:p>
      <w:pPr>
        <w:numPr>
          <w:ilvl w:val="0"/>
          <w:numId w:val="0"/>
        </w:numPr>
        <w:autoSpaceDE w:val="0"/>
        <w:autoSpaceDN w:val="0"/>
        <w:adjustRightIn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bCs/>
          <w:kern w:val="0"/>
          <w:szCs w:val="24"/>
        </w:rPr>
        <w:t xml:space="preserve">  </w:t>
      </w:r>
    </w:p>
    <w:p>
      <w:pPr>
        <w:autoSpaceDE w:val="0"/>
        <w:autoSpaceDN w:val="0"/>
        <w:adjustRightInd w:val="0"/>
        <w:snapToGrid w:val="0"/>
        <w:spacing w:line="360" w:lineRule="auto"/>
        <w:rPr>
          <w:rFonts w:hint="eastAsia" w:ascii="宋体" w:hAnsi="宋体" w:eastAsia="宋体" w:cs="宋体"/>
          <w:color w:val="auto"/>
          <w:sz w:val="24"/>
          <w:szCs w:val="24"/>
          <w:highlight w:val="none"/>
        </w:rPr>
      </w:pPr>
    </w:p>
    <w:p>
      <w:pPr>
        <w:autoSpaceDE w:val="0"/>
        <w:autoSpaceDN w:val="0"/>
        <w:adjustRightInd w:val="0"/>
        <w:spacing w:line="360" w:lineRule="auto"/>
        <w:ind w:firstLine="241" w:firstLineChars="100"/>
        <w:rPr>
          <w:rFonts w:hint="eastAsia" w:ascii="宋体" w:hAnsi="宋体" w:eastAsia="宋体" w:cs="宋体"/>
          <w:b/>
          <w:color w:val="auto"/>
          <w:sz w:val="24"/>
          <w:szCs w:val="24"/>
          <w:highlight w:val="none"/>
          <w:lang w:val="zh-CN"/>
        </w:rPr>
      </w:pPr>
    </w:p>
    <w:p>
      <w:pPr>
        <w:spacing w:line="600" w:lineRule="auto"/>
        <w:ind w:right="-161" w:firstLine="2400" w:firstLineChars="1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pPr>
        <w:spacing w:line="600" w:lineRule="auto"/>
        <w:ind w:right="-161"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或被授权代表：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pPr>
        <w:tabs>
          <w:tab w:val="left" w:pos="9070"/>
        </w:tabs>
        <w:spacing w:line="600" w:lineRule="auto"/>
        <w:ind w:right="-428"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241" w:firstLineChars="100"/>
        <w:jc w:val="right"/>
        <w:rPr>
          <w:rFonts w:hint="eastAsia" w:ascii="宋体" w:hAnsi="宋体" w:eastAsia="宋体" w:cs="宋体"/>
          <w:b/>
          <w:color w:val="auto"/>
          <w:sz w:val="24"/>
          <w:szCs w:val="24"/>
          <w:highlight w:val="none"/>
          <w:lang w:val="zh-CN"/>
        </w:rPr>
      </w:pPr>
    </w:p>
    <w:p>
      <w:pPr>
        <w:autoSpaceDE w:val="0"/>
        <w:autoSpaceDN w:val="0"/>
        <w:adjustRightInd w:val="0"/>
        <w:spacing w:line="360" w:lineRule="auto"/>
        <w:ind w:firstLine="241" w:firstLineChars="100"/>
        <w:jc w:val="right"/>
        <w:rPr>
          <w:rFonts w:hint="eastAsia" w:ascii="宋体" w:hAnsi="宋体" w:eastAsia="宋体" w:cs="宋体"/>
          <w:b/>
          <w:color w:val="auto"/>
          <w:sz w:val="24"/>
          <w:szCs w:val="24"/>
          <w:highlight w:val="none"/>
          <w:lang w:val="zh-CN"/>
        </w:rPr>
      </w:pPr>
    </w:p>
    <w:p>
      <w:pPr>
        <w:pStyle w:val="11"/>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11"/>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11"/>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11"/>
        <w:pageBreakBefore w:val="0"/>
        <w:numPr>
          <w:ilvl w:val="0"/>
          <w:numId w:val="0"/>
        </w:numPr>
        <w:shd w:val="clear"/>
        <w:overflowPunct/>
        <w:bidi w:val="0"/>
        <w:spacing w:line="500" w:lineRule="exact"/>
        <w:jc w:val="center"/>
        <w:outlineLvl w:val="1"/>
        <w:rPr>
          <w:rFonts w:hint="default" w:ascii="宋体" w:hAnsi="宋体" w:eastAsia="宋体" w:cs="宋体"/>
          <w:b/>
          <w:bCs/>
          <w:color w:val="000000"/>
          <w:kern w:val="0"/>
          <w:sz w:val="24"/>
          <w:szCs w:val="24"/>
          <w:lang w:val="en-US" w:eastAsia="zh-CN" w:bidi="ar"/>
        </w:rPr>
      </w:pPr>
      <w:bookmarkStart w:id="648" w:name="_Toc31825"/>
      <w:r>
        <w:rPr>
          <w:rFonts w:hint="eastAsia" w:ascii="宋体" w:hAnsi="宋体" w:cs="宋体"/>
          <w:b/>
          <w:bCs/>
          <w:color w:val="000000"/>
          <w:kern w:val="0"/>
          <w:sz w:val="24"/>
          <w:szCs w:val="24"/>
          <w:lang w:val="en-US" w:eastAsia="zh-CN" w:bidi="ar"/>
        </w:rPr>
        <w:t>三、分项报价</w:t>
      </w:r>
      <w:r>
        <w:rPr>
          <w:rFonts w:hint="eastAsia" w:ascii="宋体" w:hAnsi="宋体" w:eastAsia="宋体" w:cs="宋体"/>
          <w:b/>
          <w:bCs/>
          <w:color w:val="000000"/>
          <w:kern w:val="0"/>
          <w:sz w:val="24"/>
          <w:szCs w:val="24"/>
          <w:lang w:val="en-US" w:eastAsia="zh-CN" w:bidi="ar"/>
        </w:rPr>
        <w:t>表</w:t>
      </w:r>
      <w:bookmarkEnd w:id="648"/>
    </w:p>
    <w:p>
      <w:pPr>
        <w:pStyle w:val="19"/>
        <w:shd w:val="clear"/>
        <w:spacing w:line="360" w:lineRule="auto"/>
        <w:rPr>
          <w:rFonts w:hint="eastAsia"/>
          <w:lang w:val="en-US" w:eastAsia="zh-CN"/>
        </w:rPr>
      </w:pPr>
      <w:r>
        <w:rPr>
          <w:rFonts w:hint="eastAsia" w:ascii="宋体" w:hAnsi="宋体" w:cs="宋体"/>
          <w:sz w:val="24"/>
        </w:rPr>
        <w:t>项目名称：</w:t>
      </w:r>
      <w:r>
        <w:rPr>
          <w:rFonts w:hint="eastAsia" w:ascii="宋体" w:hAnsi="宋体" w:cs="宋体"/>
          <w:sz w:val="24"/>
          <w:lang w:val="en-US" w:eastAsia="zh-CN"/>
        </w:rPr>
        <w:t xml:space="preserve">          项目编号：                           </w:t>
      </w:r>
      <w:r>
        <w:rPr>
          <w:rFonts w:hint="eastAsia" w:ascii="宋体" w:hAnsi="宋体" w:cs="宋体"/>
          <w:sz w:val="24"/>
          <w:highlight w:val="none"/>
          <w:u w:val="none"/>
          <w:lang w:val="en-US" w:eastAsia="zh-CN"/>
        </w:rPr>
        <w:t xml:space="preserve">   </w:t>
      </w:r>
      <w:r>
        <w:rPr>
          <w:rFonts w:hint="eastAsia" w:ascii="宋体" w:hAnsi="宋体" w:cs="宋体"/>
          <w:sz w:val="24"/>
        </w:rPr>
        <w:t>单位：</w:t>
      </w:r>
      <w:r>
        <w:rPr>
          <w:rFonts w:hint="eastAsia" w:ascii="宋体" w:hAnsi="宋体" w:cs="宋体"/>
          <w:sz w:val="24"/>
          <w:szCs w:val="24"/>
        </w:rPr>
        <w:t>元</w:t>
      </w:r>
    </w:p>
    <w:tbl>
      <w:tblPr>
        <w:tblStyle w:val="23"/>
        <w:tblpPr w:leftFromText="180" w:rightFromText="180" w:vertAnchor="text" w:horzAnchor="page" w:tblpXSpec="center" w:tblpY="373"/>
        <w:tblOverlap w:val="never"/>
        <w:tblW w:w="97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48"/>
        <w:gridCol w:w="883"/>
        <w:gridCol w:w="862"/>
        <w:gridCol w:w="555"/>
        <w:gridCol w:w="863"/>
        <w:gridCol w:w="1310"/>
        <w:gridCol w:w="1221"/>
        <w:gridCol w:w="1560"/>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748"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序号</w:t>
            </w:r>
          </w:p>
        </w:tc>
        <w:tc>
          <w:tcPr>
            <w:tcW w:w="883"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名称</w:t>
            </w:r>
          </w:p>
        </w:tc>
        <w:tc>
          <w:tcPr>
            <w:tcW w:w="862"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品牌</w:t>
            </w:r>
          </w:p>
        </w:tc>
        <w:tc>
          <w:tcPr>
            <w:tcW w:w="1418" w:type="dxa"/>
            <w:gridSpan w:val="2"/>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规格</w:t>
            </w:r>
          </w:p>
        </w:tc>
        <w:tc>
          <w:tcPr>
            <w:tcW w:w="1310"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产地及制造</w:t>
            </w:r>
          </w:p>
          <w:p>
            <w:pPr>
              <w:widowControl/>
              <w:shd w:val="clear"/>
              <w:spacing w:line="240" w:lineRule="auto"/>
              <w:jc w:val="center"/>
              <w:rPr>
                <w:rFonts w:hint="eastAsia" w:ascii="宋体" w:hAnsi="宋体" w:cs="宋体"/>
                <w:sz w:val="24"/>
              </w:rPr>
            </w:pPr>
            <w:r>
              <w:rPr>
                <w:rFonts w:hint="eastAsia" w:ascii="宋体" w:hAnsi="宋体" w:cs="宋体"/>
                <w:sz w:val="24"/>
              </w:rPr>
              <w:t>厂名</w:t>
            </w:r>
          </w:p>
        </w:tc>
        <w:tc>
          <w:tcPr>
            <w:tcW w:w="1221"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数量</w:t>
            </w:r>
          </w:p>
        </w:tc>
        <w:tc>
          <w:tcPr>
            <w:tcW w:w="1560"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单价</w:t>
            </w:r>
          </w:p>
          <w:p>
            <w:pPr>
              <w:widowControl/>
              <w:shd w:val="clear"/>
              <w:spacing w:line="240" w:lineRule="auto"/>
              <w:jc w:val="center"/>
              <w:rPr>
                <w:rFonts w:hint="eastAsia" w:ascii="宋体" w:hAnsi="宋体" w:cs="宋体"/>
                <w:sz w:val="24"/>
              </w:rPr>
            </w:pPr>
            <w:r>
              <w:rPr>
                <w:rFonts w:hint="eastAsia" w:ascii="宋体" w:hAnsi="宋体" w:cs="宋体"/>
                <w:sz w:val="24"/>
              </w:rPr>
              <w:t>（元）</w:t>
            </w:r>
          </w:p>
        </w:tc>
        <w:tc>
          <w:tcPr>
            <w:tcW w:w="1751"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总价</w:t>
            </w:r>
          </w:p>
          <w:p>
            <w:pPr>
              <w:widowControl/>
              <w:shd w:val="clear"/>
              <w:spacing w:line="240" w:lineRule="auto"/>
              <w:jc w:val="center"/>
              <w:rPr>
                <w:rFonts w:hint="eastAsia" w:ascii="宋体" w:hAnsi="宋体" w:cs="宋体"/>
                <w:sz w:val="24"/>
              </w:rPr>
            </w:pPr>
            <w:r>
              <w:rPr>
                <w:rFonts w:hint="eastAsia" w:ascii="宋体" w:hAnsi="宋体" w:cs="宋体"/>
                <w:sz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748" w:type="dxa"/>
            <w:tcBorders>
              <w:tl2br w:val="nil"/>
              <w:tr2bl w:val="nil"/>
            </w:tcBorders>
            <w:noWrap w:val="0"/>
            <w:vAlign w:val="center"/>
          </w:tcPr>
          <w:p>
            <w:pPr>
              <w:widowControl/>
              <w:shd w:val="clear"/>
              <w:spacing w:line="460" w:lineRule="exact"/>
              <w:jc w:val="center"/>
              <w:rPr>
                <w:rFonts w:hint="eastAsia" w:ascii="宋体" w:hAnsi="宋体" w:cs="宋体"/>
                <w:sz w:val="24"/>
              </w:rPr>
            </w:pPr>
            <w:r>
              <w:rPr>
                <w:rFonts w:hint="eastAsia" w:ascii="宋体" w:hAnsi="宋体" w:cs="宋体"/>
                <w:sz w:val="24"/>
              </w:rPr>
              <w:t>1</w:t>
            </w:r>
          </w:p>
        </w:tc>
        <w:tc>
          <w:tcPr>
            <w:tcW w:w="883"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862"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418" w:type="dxa"/>
            <w:gridSpan w:val="2"/>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310"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221" w:type="dxa"/>
            <w:tcBorders>
              <w:tl2br w:val="nil"/>
              <w:tr2bl w:val="nil"/>
            </w:tcBorders>
            <w:noWrap w:val="0"/>
            <w:vAlign w:val="center"/>
          </w:tcPr>
          <w:p>
            <w:pPr>
              <w:widowControl/>
              <w:shd w:val="clear"/>
              <w:spacing w:line="460" w:lineRule="exact"/>
              <w:jc w:val="center"/>
              <w:rPr>
                <w:rFonts w:hint="eastAsia" w:ascii="宋体" w:hAnsi="宋体" w:eastAsia="宋体" w:cs="宋体"/>
                <w:sz w:val="24"/>
                <w:lang w:val="en-US" w:eastAsia="zh-CN"/>
              </w:rPr>
            </w:pPr>
          </w:p>
        </w:tc>
        <w:tc>
          <w:tcPr>
            <w:tcW w:w="1560" w:type="dxa"/>
            <w:tcBorders>
              <w:tl2br w:val="nil"/>
              <w:tr2bl w:val="nil"/>
            </w:tcBorders>
            <w:noWrap w:val="0"/>
            <w:vAlign w:val="center"/>
          </w:tcPr>
          <w:p>
            <w:pPr>
              <w:widowControl/>
              <w:shd w:val="clear"/>
              <w:spacing w:line="460" w:lineRule="exact"/>
              <w:jc w:val="left"/>
              <w:rPr>
                <w:rFonts w:hint="eastAsia" w:ascii="宋体" w:hAnsi="宋体" w:cs="宋体"/>
                <w:sz w:val="24"/>
              </w:rPr>
            </w:pPr>
          </w:p>
        </w:tc>
        <w:tc>
          <w:tcPr>
            <w:tcW w:w="1751" w:type="dxa"/>
            <w:tcBorders>
              <w:tl2br w:val="nil"/>
              <w:tr2bl w:val="nil"/>
            </w:tcBorders>
            <w:noWrap w:val="0"/>
            <w:vAlign w:val="center"/>
          </w:tcPr>
          <w:p>
            <w:pPr>
              <w:widowControl/>
              <w:shd w:val="clear"/>
              <w:spacing w:line="46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748" w:type="dxa"/>
            <w:tcBorders>
              <w:tl2br w:val="nil"/>
              <w:tr2bl w:val="nil"/>
            </w:tcBorders>
            <w:noWrap w:val="0"/>
            <w:vAlign w:val="center"/>
          </w:tcPr>
          <w:p>
            <w:pPr>
              <w:widowControl/>
              <w:shd w:val="clear"/>
              <w:spacing w:line="460" w:lineRule="exact"/>
              <w:jc w:val="center"/>
              <w:rPr>
                <w:rFonts w:hint="eastAsia" w:ascii="宋体" w:hAnsi="宋体" w:cs="宋体"/>
                <w:sz w:val="24"/>
              </w:rPr>
            </w:pPr>
            <w:r>
              <w:rPr>
                <w:rFonts w:hint="eastAsia" w:ascii="宋体" w:hAnsi="宋体" w:cs="宋体"/>
                <w:sz w:val="24"/>
              </w:rPr>
              <w:t>2</w:t>
            </w:r>
          </w:p>
        </w:tc>
        <w:tc>
          <w:tcPr>
            <w:tcW w:w="883"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862"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418" w:type="dxa"/>
            <w:gridSpan w:val="2"/>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310"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221" w:type="dxa"/>
            <w:tcBorders>
              <w:tl2br w:val="nil"/>
              <w:tr2bl w:val="nil"/>
            </w:tcBorders>
            <w:noWrap w:val="0"/>
            <w:vAlign w:val="center"/>
          </w:tcPr>
          <w:p>
            <w:pPr>
              <w:widowControl/>
              <w:shd w:val="clear"/>
              <w:spacing w:line="460" w:lineRule="exact"/>
              <w:jc w:val="center"/>
              <w:rPr>
                <w:rFonts w:hint="eastAsia" w:ascii="宋体" w:hAnsi="宋体" w:eastAsia="宋体" w:cs="宋体"/>
                <w:sz w:val="24"/>
                <w:lang w:val="en-US" w:eastAsia="zh-CN"/>
              </w:rPr>
            </w:pPr>
          </w:p>
        </w:tc>
        <w:tc>
          <w:tcPr>
            <w:tcW w:w="1560" w:type="dxa"/>
            <w:tcBorders>
              <w:tl2br w:val="nil"/>
              <w:tr2bl w:val="nil"/>
            </w:tcBorders>
            <w:noWrap w:val="0"/>
            <w:vAlign w:val="center"/>
          </w:tcPr>
          <w:p>
            <w:pPr>
              <w:widowControl/>
              <w:shd w:val="clear"/>
              <w:spacing w:line="460" w:lineRule="exact"/>
              <w:jc w:val="left"/>
              <w:rPr>
                <w:rFonts w:hint="eastAsia" w:ascii="宋体" w:hAnsi="宋体" w:cs="宋体"/>
                <w:sz w:val="24"/>
              </w:rPr>
            </w:pPr>
          </w:p>
        </w:tc>
        <w:tc>
          <w:tcPr>
            <w:tcW w:w="1751" w:type="dxa"/>
            <w:tcBorders>
              <w:tl2br w:val="nil"/>
              <w:tr2bl w:val="nil"/>
            </w:tcBorders>
            <w:noWrap w:val="0"/>
            <w:vAlign w:val="center"/>
          </w:tcPr>
          <w:p>
            <w:pPr>
              <w:widowControl/>
              <w:shd w:val="clear"/>
              <w:spacing w:line="46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748" w:type="dxa"/>
            <w:tcBorders>
              <w:tl2br w:val="nil"/>
              <w:tr2bl w:val="nil"/>
            </w:tcBorders>
            <w:noWrap w:val="0"/>
            <w:vAlign w:val="center"/>
          </w:tcPr>
          <w:p>
            <w:pPr>
              <w:widowControl/>
              <w:shd w:val="clear"/>
              <w:spacing w:line="460" w:lineRule="exact"/>
              <w:jc w:val="center"/>
              <w:rPr>
                <w:rFonts w:hint="eastAsia" w:ascii="宋体" w:hAnsi="宋体" w:cs="宋体"/>
                <w:sz w:val="24"/>
              </w:rPr>
            </w:pPr>
            <w:r>
              <w:rPr>
                <w:rFonts w:hint="eastAsia" w:ascii="宋体" w:hAnsi="宋体" w:cs="宋体"/>
                <w:sz w:val="24"/>
              </w:rPr>
              <w:t>3</w:t>
            </w:r>
          </w:p>
        </w:tc>
        <w:tc>
          <w:tcPr>
            <w:tcW w:w="883"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862"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418" w:type="dxa"/>
            <w:gridSpan w:val="2"/>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310"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221" w:type="dxa"/>
            <w:tcBorders>
              <w:tl2br w:val="nil"/>
              <w:tr2bl w:val="nil"/>
            </w:tcBorders>
            <w:noWrap w:val="0"/>
            <w:vAlign w:val="center"/>
          </w:tcPr>
          <w:p>
            <w:pPr>
              <w:widowControl/>
              <w:shd w:val="clear"/>
              <w:spacing w:line="460" w:lineRule="exact"/>
              <w:jc w:val="center"/>
              <w:rPr>
                <w:rFonts w:hint="eastAsia" w:ascii="宋体" w:hAnsi="宋体" w:eastAsia="宋体" w:cs="宋体"/>
                <w:sz w:val="24"/>
                <w:lang w:val="en-US" w:eastAsia="zh-CN"/>
              </w:rPr>
            </w:pPr>
          </w:p>
        </w:tc>
        <w:tc>
          <w:tcPr>
            <w:tcW w:w="1560" w:type="dxa"/>
            <w:tcBorders>
              <w:tl2br w:val="nil"/>
              <w:tr2bl w:val="nil"/>
            </w:tcBorders>
            <w:noWrap w:val="0"/>
            <w:vAlign w:val="center"/>
          </w:tcPr>
          <w:p>
            <w:pPr>
              <w:widowControl/>
              <w:shd w:val="clear"/>
              <w:spacing w:line="460" w:lineRule="exact"/>
              <w:jc w:val="left"/>
              <w:rPr>
                <w:rFonts w:hint="eastAsia" w:ascii="宋体" w:hAnsi="宋体" w:cs="宋体"/>
                <w:sz w:val="24"/>
              </w:rPr>
            </w:pPr>
          </w:p>
        </w:tc>
        <w:tc>
          <w:tcPr>
            <w:tcW w:w="1751" w:type="dxa"/>
            <w:tcBorders>
              <w:tl2br w:val="nil"/>
              <w:tr2bl w:val="nil"/>
            </w:tcBorders>
            <w:noWrap w:val="0"/>
            <w:vAlign w:val="center"/>
          </w:tcPr>
          <w:p>
            <w:pPr>
              <w:widowControl/>
              <w:shd w:val="clear"/>
              <w:spacing w:line="46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748" w:type="dxa"/>
            <w:tcBorders>
              <w:tl2br w:val="nil"/>
              <w:tr2bl w:val="nil"/>
            </w:tcBorders>
            <w:noWrap w:val="0"/>
            <w:vAlign w:val="center"/>
          </w:tcPr>
          <w:p>
            <w:pPr>
              <w:widowControl/>
              <w:shd w:val="clear"/>
              <w:spacing w:line="460" w:lineRule="exact"/>
              <w:jc w:val="center"/>
              <w:rPr>
                <w:rFonts w:hint="eastAsia" w:ascii="宋体" w:hAnsi="宋体" w:cs="宋体"/>
                <w:sz w:val="24"/>
              </w:rPr>
            </w:pPr>
            <w:r>
              <w:rPr>
                <w:rFonts w:hint="eastAsia" w:ascii="宋体" w:hAnsi="宋体" w:cs="宋体"/>
                <w:sz w:val="24"/>
              </w:rPr>
              <w:t>……</w:t>
            </w:r>
          </w:p>
        </w:tc>
        <w:tc>
          <w:tcPr>
            <w:tcW w:w="883"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862"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418" w:type="dxa"/>
            <w:gridSpan w:val="2"/>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310"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221" w:type="dxa"/>
            <w:tcBorders>
              <w:tl2br w:val="nil"/>
              <w:tr2bl w:val="nil"/>
            </w:tcBorders>
            <w:noWrap w:val="0"/>
            <w:vAlign w:val="center"/>
          </w:tcPr>
          <w:p>
            <w:pPr>
              <w:widowControl/>
              <w:shd w:val="clear"/>
              <w:spacing w:line="460" w:lineRule="exact"/>
              <w:jc w:val="center"/>
              <w:rPr>
                <w:rFonts w:hint="eastAsia" w:ascii="宋体" w:hAnsi="宋体" w:eastAsia="宋体" w:cs="宋体"/>
                <w:sz w:val="24"/>
                <w:lang w:val="en-US" w:eastAsia="zh-CN"/>
              </w:rPr>
            </w:pPr>
          </w:p>
        </w:tc>
        <w:tc>
          <w:tcPr>
            <w:tcW w:w="1560" w:type="dxa"/>
            <w:tcBorders>
              <w:tl2br w:val="nil"/>
              <w:tr2bl w:val="nil"/>
            </w:tcBorders>
            <w:noWrap w:val="0"/>
            <w:vAlign w:val="center"/>
          </w:tcPr>
          <w:p>
            <w:pPr>
              <w:widowControl/>
              <w:shd w:val="clear"/>
              <w:spacing w:line="460" w:lineRule="exact"/>
              <w:jc w:val="left"/>
              <w:rPr>
                <w:rFonts w:hint="eastAsia" w:ascii="宋体" w:hAnsi="宋体" w:cs="宋体"/>
                <w:sz w:val="24"/>
              </w:rPr>
            </w:pPr>
          </w:p>
        </w:tc>
        <w:tc>
          <w:tcPr>
            <w:tcW w:w="1751" w:type="dxa"/>
            <w:tcBorders>
              <w:tl2br w:val="nil"/>
              <w:tr2bl w:val="nil"/>
            </w:tcBorders>
            <w:noWrap w:val="0"/>
            <w:vAlign w:val="center"/>
          </w:tcPr>
          <w:p>
            <w:pPr>
              <w:widowControl/>
              <w:shd w:val="clear"/>
              <w:spacing w:line="46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748" w:type="dxa"/>
            <w:tcBorders>
              <w:tl2br w:val="nil"/>
              <w:tr2bl w:val="nil"/>
            </w:tcBorders>
            <w:noWrap w:val="0"/>
            <w:vAlign w:val="center"/>
          </w:tcPr>
          <w:p>
            <w:pPr>
              <w:widowControl/>
              <w:shd w:val="clear"/>
              <w:spacing w:line="460" w:lineRule="exact"/>
              <w:jc w:val="center"/>
              <w:rPr>
                <w:rFonts w:hint="eastAsia" w:ascii="宋体" w:hAnsi="宋体" w:cs="宋体"/>
                <w:sz w:val="24"/>
              </w:rPr>
            </w:pPr>
            <w:r>
              <w:rPr>
                <w:rFonts w:hint="eastAsia" w:ascii="宋体" w:hAnsi="宋体" w:cs="宋体"/>
                <w:sz w:val="24"/>
              </w:rPr>
              <w:t>……</w:t>
            </w:r>
          </w:p>
        </w:tc>
        <w:tc>
          <w:tcPr>
            <w:tcW w:w="883"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862"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418" w:type="dxa"/>
            <w:gridSpan w:val="2"/>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310"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221" w:type="dxa"/>
            <w:tcBorders>
              <w:tl2br w:val="nil"/>
              <w:tr2bl w:val="nil"/>
            </w:tcBorders>
            <w:noWrap w:val="0"/>
            <w:vAlign w:val="center"/>
          </w:tcPr>
          <w:p>
            <w:pPr>
              <w:widowControl/>
              <w:shd w:val="clear"/>
              <w:spacing w:line="460" w:lineRule="exact"/>
              <w:jc w:val="center"/>
              <w:rPr>
                <w:rFonts w:hint="eastAsia" w:ascii="宋体" w:hAnsi="宋体" w:eastAsia="宋体" w:cs="宋体"/>
                <w:sz w:val="24"/>
                <w:lang w:val="en-US" w:eastAsia="zh-CN"/>
              </w:rPr>
            </w:pPr>
          </w:p>
        </w:tc>
        <w:tc>
          <w:tcPr>
            <w:tcW w:w="1560" w:type="dxa"/>
            <w:tcBorders>
              <w:tl2br w:val="nil"/>
              <w:tr2bl w:val="nil"/>
            </w:tcBorders>
            <w:noWrap w:val="0"/>
            <w:vAlign w:val="center"/>
          </w:tcPr>
          <w:p>
            <w:pPr>
              <w:widowControl/>
              <w:shd w:val="clear"/>
              <w:spacing w:line="460" w:lineRule="exact"/>
              <w:jc w:val="left"/>
              <w:rPr>
                <w:rFonts w:hint="eastAsia" w:ascii="宋体" w:hAnsi="宋体" w:cs="宋体"/>
                <w:sz w:val="24"/>
              </w:rPr>
            </w:pPr>
          </w:p>
        </w:tc>
        <w:tc>
          <w:tcPr>
            <w:tcW w:w="1751" w:type="dxa"/>
            <w:tcBorders>
              <w:tl2br w:val="nil"/>
              <w:tr2bl w:val="nil"/>
            </w:tcBorders>
            <w:noWrap w:val="0"/>
            <w:vAlign w:val="center"/>
          </w:tcPr>
          <w:p>
            <w:pPr>
              <w:widowControl/>
              <w:shd w:val="clear"/>
              <w:spacing w:line="46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3048" w:type="dxa"/>
            <w:gridSpan w:val="4"/>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其他费用</w:t>
            </w:r>
          </w:p>
        </w:tc>
        <w:tc>
          <w:tcPr>
            <w:tcW w:w="6705" w:type="dxa"/>
            <w:gridSpan w:val="5"/>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3048" w:type="dxa"/>
            <w:gridSpan w:val="4"/>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w:t>
            </w:r>
          </w:p>
        </w:tc>
        <w:tc>
          <w:tcPr>
            <w:tcW w:w="6705" w:type="dxa"/>
            <w:gridSpan w:val="5"/>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3048" w:type="dxa"/>
            <w:gridSpan w:val="4"/>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lang w:eastAsia="zh-CN"/>
              </w:rPr>
              <w:t>投标</w:t>
            </w:r>
            <w:r>
              <w:rPr>
                <w:rFonts w:hint="eastAsia" w:ascii="宋体" w:hAnsi="宋体" w:cs="宋体"/>
                <w:sz w:val="24"/>
              </w:rPr>
              <w:t>总报价（元）</w:t>
            </w:r>
          </w:p>
        </w:tc>
        <w:tc>
          <w:tcPr>
            <w:tcW w:w="6705" w:type="dxa"/>
            <w:gridSpan w:val="5"/>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大写：</w:t>
            </w:r>
            <w:r>
              <w:rPr>
                <w:rFonts w:hint="eastAsia" w:ascii="宋体" w:hAnsi="宋体" w:cs="宋体"/>
                <w:sz w:val="24"/>
                <w:lang w:val="en-US" w:eastAsia="zh-CN"/>
              </w:rPr>
              <w:t xml:space="preserve">                   </w:t>
            </w:r>
            <w:r>
              <w:rPr>
                <w:rFonts w:hint="eastAsia" w:ascii="宋体" w:hAnsi="宋体" w:cs="宋体"/>
                <w:sz w:val="24"/>
              </w:rPr>
              <w:t>小写：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3048" w:type="dxa"/>
            <w:gridSpan w:val="4"/>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备注</w:t>
            </w:r>
          </w:p>
        </w:tc>
        <w:tc>
          <w:tcPr>
            <w:tcW w:w="6705" w:type="dxa"/>
            <w:gridSpan w:val="5"/>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保留小数点后两位。</w:t>
            </w:r>
          </w:p>
        </w:tc>
      </w:tr>
    </w:tbl>
    <w:p>
      <w:pPr>
        <w:pStyle w:val="19"/>
        <w:numPr>
          <w:ilvl w:val="0"/>
          <w:numId w:val="0"/>
        </w:numPr>
        <w:shd w:val="clear"/>
        <w:ind w:leftChars="0"/>
        <w:rPr>
          <w:rFonts w:hint="eastAsia"/>
          <w:lang w:val="en-US" w:eastAsia="zh-CN"/>
        </w:rPr>
      </w:pPr>
    </w:p>
    <w:p>
      <w:pPr>
        <w:widowControl/>
        <w:shd w:val="clear"/>
        <w:spacing w:line="480" w:lineRule="auto"/>
        <w:ind w:firstLine="4320" w:firstLineChars="1800"/>
        <w:jc w:val="left"/>
        <w:rPr>
          <w:rFonts w:hint="eastAsia" w:ascii="宋体" w:hAnsi="宋体" w:cs="宋体"/>
          <w:sz w:val="24"/>
          <w:lang w:eastAsia="zh-CN"/>
        </w:rPr>
      </w:pPr>
    </w:p>
    <w:p>
      <w:pPr>
        <w:widowControl/>
        <w:shd w:val="clear"/>
        <w:spacing w:line="480" w:lineRule="auto"/>
        <w:ind w:firstLine="4320" w:firstLineChars="1800"/>
        <w:jc w:val="left"/>
        <w:rPr>
          <w:rFonts w:hint="eastAsia" w:ascii="宋体" w:hAnsi="宋体" w:cs="宋体"/>
          <w:sz w:val="24"/>
          <w:lang w:eastAsia="zh-CN"/>
        </w:rPr>
      </w:pPr>
    </w:p>
    <w:p>
      <w:pPr>
        <w:spacing w:line="600" w:lineRule="auto"/>
        <w:ind w:right="-161" w:firstLine="2400" w:firstLineChars="1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pPr>
        <w:spacing w:line="600" w:lineRule="auto"/>
        <w:ind w:right="-161"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或被授权代表：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pPr>
        <w:tabs>
          <w:tab w:val="left" w:pos="9070"/>
        </w:tabs>
        <w:spacing w:line="600" w:lineRule="auto"/>
        <w:ind w:right="-428"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pStyle w:val="11"/>
        <w:rPr>
          <w:rFonts w:hint="eastAsia"/>
          <w:lang w:val="zh-CN"/>
        </w:rPr>
      </w:pPr>
    </w:p>
    <w:p>
      <w:pPr>
        <w:rPr>
          <w:rFonts w:hint="eastAsia"/>
          <w:lang w:val="zh-CN"/>
        </w:rPr>
      </w:pPr>
    </w:p>
    <w:p>
      <w:pPr>
        <w:autoSpaceDE w:val="0"/>
        <w:autoSpaceDN w:val="0"/>
        <w:adjustRightInd w:val="0"/>
        <w:spacing w:line="360" w:lineRule="auto"/>
        <w:ind w:firstLine="241" w:firstLineChars="100"/>
        <w:jc w:val="right"/>
        <w:rPr>
          <w:rFonts w:hint="eastAsia" w:ascii="宋体" w:hAnsi="宋体" w:eastAsia="宋体" w:cs="宋体"/>
          <w:b/>
          <w:color w:val="auto"/>
          <w:sz w:val="24"/>
          <w:szCs w:val="24"/>
          <w:highlight w:val="none"/>
          <w:lang w:val="zh-CN"/>
        </w:rPr>
      </w:pPr>
    </w:p>
    <w:p>
      <w:pPr>
        <w:pStyle w:val="14"/>
        <w:spacing w:line="336" w:lineRule="auto"/>
        <w:ind w:firstLine="482" w:firstLineChars="200"/>
        <w:jc w:val="center"/>
        <w:rPr>
          <w:rFonts w:hint="eastAsia" w:ascii="宋体" w:hAnsi="宋体" w:eastAsia="宋体" w:cs="宋体"/>
          <w:b/>
          <w:bCs/>
          <w:color w:val="auto"/>
          <w:sz w:val="24"/>
          <w:szCs w:val="24"/>
          <w:highlight w:val="none"/>
          <w:lang w:val="en-US" w:eastAsia="zh-CN"/>
        </w:rPr>
      </w:pPr>
      <w:bookmarkStart w:id="649" w:name="_Toc16000"/>
      <w:bookmarkStart w:id="650" w:name="_Toc27893"/>
      <w:bookmarkStart w:id="651" w:name="_Toc28663"/>
      <w:bookmarkStart w:id="652" w:name="_Toc12112"/>
      <w:bookmarkStart w:id="653" w:name="_Toc23870_WPSOffice_Level1"/>
      <w:bookmarkStart w:id="654" w:name="_Toc20530"/>
      <w:bookmarkStart w:id="655" w:name="_Toc25344"/>
      <w:bookmarkStart w:id="656" w:name="_Toc21332"/>
      <w:bookmarkStart w:id="657" w:name="_Toc16446"/>
      <w:bookmarkStart w:id="658" w:name="_Toc12439"/>
      <w:bookmarkStart w:id="659" w:name="_Toc28801"/>
    </w:p>
    <w:p>
      <w:pPr>
        <w:pStyle w:val="14"/>
        <w:spacing w:line="336" w:lineRule="auto"/>
        <w:ind w:firstLine="482" w:firstLineChars="200"/>
        <w:jc w:val="center"/>
        <w:rPr>
          <w:rFonts w:hint="eastAsia" w:ascii="宋体" w:hAnsi="宋体" w:eastAsia="宋体" w:cs="宋体"/>
          <w:b/>
          <w:bCs/>
          <w:color w:val="auto"/>
          <w:sz w:val="24"/>
          <w:szCs w:val="24"/>
          <w:highlight w:val="none"/>
          <w:lang w:val="en-US" w:eastAsia="zh-CN"/>
        </w:rPr>
      </w:pPr>
    </w:p>
    <w:bookmarkEnd w:id="649"/>
    <w:bookmarkEnd w:id="650"/>
    <w:bookmarkEnd w:id="651"/>
    <w:bookmarkEnd w:id="652"/>
    <w:bookmarkEnd w:id="653"/>
    <w:bookmarkEnd w:id="654"/>
    <w:bookmarkEnd w:id="655"/>
    <w:bookmarkEnd w:id="656"/>
    <w:bookmarkEnd w:id="657"/>
    <w:bookmarkEnd w:id="658"/>
    <w:bookmarkEnd w:id="659"/>
    <w:p>
      <w:pPr>
        <w:numPr>
          <w:ilvl w:val="0"/>
          <w:numId w:val="0"/>
        </w:numPr>
        <w:autoSpaceDE w:val="0"/>
        <w:autoSpaceDN w:val="0"/>
        <w:adjustRightInd w:val="0"/>
        <w:snapToGrid w:val="0"/>
        <w:spacing w:line="360" w:lineRule="auto"/>
        <w:jc w:val="center"/>
        <w:outlineLvl w:val="0"/>
        <w:rPr>
          <w:rFonts w:hint="eastAsia" w:ascii="宋体" w:hAnsi="宋体" w:eastAsia="宋体" w:cs="宋体"/>
          <w:b/>
          <w:bCs/>
          <w:color w:val="auto"/>
          <w:sz w:val="24"/>
          <w:szCs w:val="24"/>
          <w:highlight w:val="none"/>
          <w:lang w:val="en-US" w:eastAsia="zh-CN"/>
        </w:rPr>
      </w:pPr>
      <w:bookmarkStart w:id="660" w:name="_Toc2906"/>
      <w:bookmarkStart w:id="661" w:name="_Toc30920"/>
      <w:bookmarkStart w:id="662" w:name="_Toc23537"/>
      <w:bookmarkStart w:id="663" w:name="_Toc11364"/>
      <w:bookmarkStart w:id="664" w:name="_Toc9276"/>
      <w:bookmarkStart w:id="665" w:name="_Toc741"/>
      <w:bookmarkStart w:id="666" w:name="_Toc12959"/>
      <w:bookmarkStart w:id="667" w:name="_Toc19073"/>
      <w:bookmarkStart w:id="668" w:name="_Toc30872"/>
      <w:bookmarkStart w:id="669" w:name="_Toc8722"/>
      <w:r>
        <w:rPr>
          <w:rFonts w:hint="eastAsia" w:ascii="宋体" w:hAnsi="宋体" w:eastAsia="宋体" w:cs="宋体"/>
          <w:b/>
          <w:bCs/>
          <w:color w:val="auto"/>
          <w:sz w:val="24"/>
          <w:szCs w:val="24"/>
          <w:highlight w:val="none"/>
          <w:lang w:val="en-US" w:eastAsia="zh-CN"/>
        </w:rPr>
        <w:t>四、技术规格响应偏离表</w:t>
      </w:r>
      <w:bookmarkEnd w:id="660"/>
      <w:bookmarkEnd w:id="661"/>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252"/>
        <w:gridCol w:w="1900"/>
        <w:gridCol w:w="1901"/>
        <w:gridCol w:w="2321"/>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0" w:type="auto"/>
            <w:gridSpan w:val="6"/>
            <w:noWrap w:val="0"/>
            <w:vAlign w:val="center"/>
          </w:tcPr>
          <w:p>
            <w:pPr>
              <w:adjustRightInd w:val="0"/>
              <w:snapToGrid w:val="0"/>
              <w:spacing w:line="360" w:lineRule="auto"/>
              <w:jc w:val="left"/>
              <w:rPr>
                <w:b/>
                <w:color w:val="000000"/>
                <w:sz w:val="24"/>
              </w:rPr>
            </w:pPr>
            <w:r>
              <w:rPr>
                <w:b/>
                <w:color w:val="000000"/>
                <w:sz w:val="24"/>
              </w:rPr>
              <w:t>对本</w:t>
            </w:r>
            <w:r>
              <w:rPr>
                <w:rFonts w:hint="eastAsia"/>
                <w:b/>
                <w:color w:val="000000"/>
                <w:sz w:val="24"/>
              </w:rPr>
              <w:t>项目</w:t>
            </w:r>
            <w:r>
              <w:rPr>
                <w:rFonts w:hint="eastAsia" w:ascii="宋体" w:hAnsi="宋体" w:eastAsia="宋体" w:cs="宋体"/>
                <w:b/>
                <w:bCs/>
                <w:color w:val="auto"/>
                <w:sz w:val="24"/>
                <w:szCs w:val="24"/>
                <w:highlight w:val="none"/>
                <w:lang w:eastAsia="zh-CN"/>
              </w:rPr>
              <w:t>技术规格响应</w:t>
            </w:r>
            <w:r>
              <w:rPr>
                <w:b/>
                <w:color w:val="000000"/>
                <w:sz w:val="24"/>
              </w:rPr>
              <w:t>的偏离情况（请进行勾选）：</w:t>
            </w:r>
          </w:p>
          <w:p>
            <w:pPr>
              <w:adjustRightInd w:val="0"/>
              <w:snapToGrid w:val="0"/>
              <w:spacing w:line="360" w:lineRule="auto"/>
              <w:jc w:val="left"/>
              <w:rPr>
                <w:b/>
                <w:color w:val="000000"/>
                <w:sz w:val="24"/>
              </w:rPr>
            </w:pPr>
            <w:r>
              <w:rPr>
                <w:b/>
                <w:color w:val="000000"/>
                <w:sz w:val="24"/>
              </w:rPr>
              <w:t>□无偏离</w:t>
            </w:r>
            <w:r>
              <w:rPr>
                <w:color w:val="000000"/>
                <w:sz w:val="24"/>
              </w:rPr>
              <w:t>（</w:t>
            </w:r>
            <w:r>
              <w:rPr>
                <w:color w:val="000000"/>
                <w:sz w:val="24"/>
                <w:szCs w:val="21"/>
              </w:rPr>
              <w:t>如无偏离，仅勾选无偏离即可</w:t>
            </w:r>
            <w:r>
              <w:rPr>
                <w:color w:val="000000"/>
                <w:sz w:val="24"/>
              </w:rPr>
              <w:t>）</w:t>
            </w:r>
          </w:p>
          <w:p>
            <w:pPr>
              <w:adjustRightInd w:val="0"/>
              <w:snapToGrid w:val="0"/>
              <w:spacing w:line="360" w:lineRule="auto"/>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03" w:type="dxa"/>
            <w:noWrap w:val="0"/>
            <w:vAlign w:val="center"/>
          </w:tcPr>
          <w:p>
            <w:pPr>
              <w:adjustRightInd w:val="0"/>
              <w:snapToGrid w:val="0"/>
              <w:jc w:val="center"/>
              <w:rPr>
                <w:color w:val="000000"/>
                <w:sz w:val="24"/>
              </w:rPr>
            </w:pPr>
            <w:r>
              <w:rPr>
                <w:color w:val="000000"/>
                <w:sz w:val="24"/>
              </w:rPr>
              <w:t>序号</w:t>
            </w:r>
          </w:p>
        </w:tc>
        <w:tc>
          <w:tcPr>
            <w:tcW w:w="1252" w:type="dxa"/>
            <w:noWrap w:val="0"/>
            <w:vAlign w:val="center"/>
          </w:tcPr>
          <w:p>
            <w:pPr>
              <w:adjustRightInd w:val="0"/>
              <w:snapToGrid w:val="0"/>
              <w:jc w:val="center"/>
              <w:rPr>
                <w:color w:val="000000"/>
                <w:sz w:val="24"/>
              </w:rPr>
            </w:pPr>
            <w:r>
              <w:rPr>
                <w:rFonts w:hint="eastAsia"/>
                <w:color w:val="000000"/>
                <w:sz w:val="24"/>
              </w:rPr>
              <w:t>产品名称</w:t>
            </w:r>
          </w:p>
        </w:tc>
        <w:tc>
          <w:tcPr>
            <w:tcW w:w="1900" w:type="dxa"/>
            <w:noWrap w:val="0"/>
            <w:vAlign w:val="center"/>
          </w:tcPr>
          <w:p>
            <w:pPr>
              <w:adjustRightInd w:val="0"/>
              <w:snapToGrid w:val="0"/>
              <w:jc w:val="center"/>
              <w:rPr>
                <w:rFonts w:hint="eastAsia"/>
                <w:color w:val="000000"/>
                <w:sz w:val="24"/>
              </w:rPr>
            </w:pPr>
            <w:r>
              <w:rPr>
                <w:rFonts w:hint="eastAsia"/>
                <w:color w:val="000000"/>
                <w:sz w:val="24"/>
              </w:rPr>
              <w:t>招标文件</w:t>
            </w:r>
          </w:p>
          <w:p>
            <w:pPr>
              <w:adjustRightInd w:val="0"/>
              <w:snapToGrid w:val="0"/>
              <w:jc w:val="center"/>
              <w:rPr>
                <w:color w:val="000000"/>
                <w:sz w:val="24"/>
              </w:rPr>
            </w:pPr>
            <w:r>
              <w:rPr>
                <w:rFonts w:hint="eastAsia"/>
                <w:color w:val="000000"/>
                <w:sz w:val="24"/>
              </w:rPr>
              <w:t>要求技术指标</w:t>
            </w:r>
          </w:p>
        </w:tc>
        <w:tc>
          <w:tcPr>
            <w:tcW w:w="1901" w:type="dxa"/>
            <w:noWrap w:val="0"/>
            <w:vAlign w:val="center"/>
          </w:tcPr>
          <w:p>
            <w:pPr>
              <w:adjustRightInd w:val="0"/>
              <w:snapToGrid w:val="0"/>
              <w:jc w:val="center"/>
              <w:rPr>
                <w:rFonts w:hint="eastAsia"/>
                <w:color w:val="000000"/>
                <w:sz w:val="24"/>
              </w:rPr>
            </w:pPr>
            <w:r>
              <w:rPr>
                <w:rFonts w:hint="eastAsia"/>
                <w:color w:val="000000"/>
                <w:sz w:val="24"/>
              </w:rPr>
              <w:t>投标产品</w:t>
            </w:r>
          </w:p>
          <w:p>
            <w:pPr>
              <w:adjustRightInd w:val="0"/>
              <w:snapToGrid w:val="0"/>
              <w:jc w:val="center"/>
              <w:rPr>
                <w:color w:val="000000"/>
                <w:sz w:val="24"/>
              </w:rPr>
            </w:pPr>
            <w:r>
              <w:rPr>
                <w:rFonts w:hint="eastAsia"/>
                <w:color w:val="000000"/>
                <w:sz w:val="24"/>
              </w:rPr>
              <w:t>技术指标</w:t>
            </w:r>
          </w:p>
        </w:tc>
        <w:tc>
          <w:tcPr>
            <w:tcW w:w="2321" w:type="dxa"/>
            <w:noWrap w:val="0"/>
            <w:vAlign w:val="center"/>
          </w:tcPr>
          <w:p>
            <w:pPr>
              <w:adjustRightInd w:val="0"/>
              <w:snapToGrid w:val="0"/>
              <w:jc w:val="center"/>
              <w:rPr>
                <w:color w:val="000000"/>
                <w:sz w:val="24"/>
              </w:rPr>
            </w:pPr>
            <w:r>
              <w:rPr>
                <w:color w:val="000000"/>
                <w:sz w:val="24"/>
              </w:rPr>
              <w:t>偏离情况</w:t>
            </w:r>
          </w:p>
        </w:tc>
        <w:tc>
          <w:tcPr>
            <w:tcW w:w="763" w:type="dxa"/>
            <w:noWrap w:val="0"/>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03" w:type="dxa"/>
            <w:noWrap w:val="0"/>
            <w:vAlign w:val="center"/>
          </w:tcPr>
          <w:p>
            <w:pPr>
              <w:adjustRightInd w:val="0"/>
              <w:snapToGrid w:val="0"/>
              <w:jc w:val="center"/>
              <w:rPr>
                <w:rFonts w:hint="eastAsia" w:eastAsia="宋体"/>
                <w:color w:val="000000"/>
                <w:sz w:val="24"/>
                <w:lang w:val="en-US" w:eastAsia="zh-CN"/>
              </w:rPr>
            </w:pPr>
            <w:r>
              <w:rPr>
                <w:rFonts w:hint="eastAsia"/>
                <w:color w:val="000000"/>
                <w:sz w:val="24"/>
                <w:lang w:val="en-US" w:eastAsia="zh-CN"/>
              </w:rPr>
              <w:t>1</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03" w:type="dxa"/>
            <w:noWrap w:val="0"/>
            <w:vAlign w:val="center"/>
          </w:tcPr>
          <w:p>
            <w:pPr>
              <w:adjustRightInd w:val="0"/>
              <w:snapToGrid w:val="0"/>
              <w:jc w:val="center"/>
              <w:rPr>
                <w:rFonts w:hint="eastAsia" w:eastAsia="宋体"/>
                <w:color w:val="000000"/>
                <w:sz w:val="24"/>
                <w:lang w:val="en-US" w:eastAsia="zh-CN"/>
              </w:rPr>
            </w:pPr>
            <w:r>
              <w:rPr>
                <w:rFonts w:hint="eastAsia"/>
                <w:color w:val="000000"/>
                <w:sz w:val="24"/>
                <w:lang w:val="en-US" w:eastAsia="zh-CN"/>
              </w:rPr>
              <w:t>2</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03" w:type="dxa"/>
            <w:noWrap w:val="0"/>
            <w:vAlign w:val="center"/>
          </w:tcPr>
          <w:p>
            <w:pPr>
              <w:adjustRightInd w:val="0"/>
              <w:snapToGrid w:val="0"/>
              <w:jc w:val="center"/>
              <w:rPr>
                <w:rFonts w:hint="eastAsia" w:eastAsia="宋体"/>
                <w:color w:val="000000"/>
                <w:sz w:val="24"/>
                <w:lang w:val="en-US" w:eastAsia="zh-CN"/>
              </w:rPr>
            </w:pPr>
            <w:r>
              <w:rPr>
                <w:rFonts w:hint="eastAsia"/>
                <w:color w:val="000000"/>
                <w:sz w:val="24"/>
                <w:lang w:val="en-US" w:eastAsia="zh-CN"/>
              </w:rPr>
              <w:t>3</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803" w:type="dxa"/>
            <w:noWrap w:val="0"/>
            <w:vAlign w:val="center"/>
          </w:tcPr>
          <w:p>
            <w:pPr>
              <w:adjustRightInd w:val="0"/>
              <w:snapToGrid w:val="0"/>
              <w:jc w:val="center"/>
              <w:rPr>
                <w:rFonts w:hint="default" w:eastAsia="宋体"/>
                <w:color w:val="000000"/>
                <w:sz w:val="24"/>
                <w:lang w:val="en-US" w:eastAsia="zh-CN"/>
              </w:rPr>
            </w:pPr>
            <w:r>
              <w:rPr>
                <w:rFonts w:hint="eastAsia"/>
                <w:color w:val="000000"/>
                <w:sz w:val="24"/>
                <w:lang w:val="en-US" w:eastAsia="zh-CN"/>
              </w:rPr>
              <w:t>...</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rFonts w:hint="eastAsia"/>
          <w:color w:val="000000"/>
          <w:sz w:val="24"/>
        </w:rPr>
        <w:t>1</w:t>
      </w:r>
      <w:r>
        <w:rPr>
          <w:color w:val="000000"/>
          <w:sz w:val="24"/>
        </w:rPr>
        <w:t xml:space="preserve">. </w:t>
      </w:r>
      <w:r>
        <w:rPr>
          <w:sz w:val="24"/>
        </w:rPr>
        <w:t>对</w:t>
      </w:r>
      <w:r>
        <w:rPr>
          <w:rFonts w:hint="eastAsia"/>
          <w:sz w:val="24"/>
          <w:lang w:eastAsia="zh-CN"/>
        </w:rPr>
        <w:t>技术规格</w:t>
      </w:r>
      <w:r>
        <w:rPr>
          <w:sz w:val="24"/>
        </w:rPr>
        <w:t>中的所有要求，除本表所列明的所有偏离外，均视作</w:t>
      </w:r>
      <w:r>
        <w:rPr>
          <w:rFonts w:hint="eastAsia"/>
          <w:sz w:val="24"/>
          <w:lang w:eastAsia="zh-CN"/>
        </w:rPr>
        <w:t>投标人</w:t>
      </w:r>
      <w:r>
        <w:rPr>
          <w:sz w:val="24"/>
        </w:rPr>
        <w:t>已对之理解和</w:t>
      </w:r>
      <w:r>
        <w:rPr>
          <w:rFonts w:hint="eastAsia"/>
          <w:sz w:val="24"/>
        </w:rPr>
        <w:t>响应</w:t>
      </w:r>
      <w:r>
        <w:rPr>
          <w:sz w:val="24"/>
        </w:rPr>
        <w:t>。</w:t>
      </w:r>
    </w:p>
    <w:p>
      <w:pPr>
        <w:tabs>
          <w:tab w:val="left" w:pos="1800"/>
          <w:tab w:val="left" w:pos="5580"/>
        </w:tabs>
        <w:jc w:val="left"/>
        <w:rPr>
          <w:rFonts w:hint="eastAsia"/>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pPr>
        <w:tabs>
          <w:tab w:val="left" w:pos="1800"/>
          <w:tab w:val="left" w:pos="5580"/>
        </w:tabs>
        <w:jc w:val="left"/>
        <w:rPr>
          <w:rFonts w:hint="default"/>
          <w:color w:val="000000"/>
          <w:sz w:val="24"/>
          <w:lang w:val="en-US" w:eastAsia="zh-CN"/>
        </w:rPr>
      </w:pPr>
      <w:r>
        <w:rPr>
          <w:rFonts w:hint="eastAsia"/>
          <w:color w:val="000000"/>
          <w:sz w:val="24"/>
          <w:lang w:val="en-US" w:eastAsia="zh-CN"/>
        </w:rPr>
        <w:t>3.仪器参数中“★”项为必须完全响应项，如有偏离，视为废标。</w:t>
      </w:r>
    </w:p>
    <w:p>
      <w:pPr>
        <w:spacing w:line="360" w:lineRule="auto"/>
        <w:rPr>
          <w:color w:val="000000"/>
          <w:sz w:val="24"/>
          <w:szCs w:val="20"/>
        </w:rPr>
      </w:pPr>
    </w:p>
    <w:p>
      <w:pPr>
        <w:spacing w:line="600" w:lineRule="auto"/>
        <w:ind w:right="-161" w:firstLine="2400" w:firstLineChars="1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pPr>
        <w:tabs>
          <w:tab w:val="left" w:pos="9070"/>
        </w:tabs>
        <w:spacing w:line="600" w:lineRule="auto"/>
        <w:ind w:right="-428"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autoSpaceDE w:val="0"/>
        <w:autoSpaceDN w:val="0"/>
        <w:adjustRightInd w:val="0"/>
        <w:snapToGrid w:val="0"/>
        <w:spacing w:line="360" w:lineRule="auto"/>
        <w:jc w:val="center"/>
        <w:outlineLvl w:val="9"/>
        <w:rPr>
          <w:rFonts w:hint="eastAsia" w:asciiTheme="majorEastAsia" w:hAnsiTheme="majorEastAsia" w:eastAsiaTheme="majorEastAsia" w:cstheme="majorEastAsia"/>
          <w:b/>
          <w:bCs/>
          <w:color w:val="auto"/>
          <w:sz w:val="24"/>
          <w:szCs w:val="24"/>
          <w:highlight w:val="none"/>
          <w:lang w:val="en-US" w:eastAsia="zh-CN"/>
        </w:rPr>
      </w:pPr>
    </w:p>
    <w:p>
      <w:pPr>
        <w:pStyle w:val="11"/>
        <w:rPr>
          <w:rFonts w:hint="eastAsia" w:asciiTheme="majorEastAsia" w:hAnsiTheme="majorEastAsia" w:eastAsiaTheme="majorEastAsia" w:cstheme="majorEastAsia"/>
          <w:b/>
          <w:bCs/>
          <w:color w:val="auto"/>
          <w:sz w:val="24"/>
          <w:szCs w:val="24"/>
          <w:highlight w:val="none"/>
          <w:lang w:val="en-US" w:eastAsia="zh-CN"/>
        </w:rPr>
      </w:pPr>
    </w:p>
    <w:p>
      <w:pPr>
        <w:rPr>
          <w:rFonts w:hint="eastAsia"/>
          <w:lang w:val="en-US" w:eastAsia="zh-CN"/>
        </w:rPr>
      </w:pPr>
    </w:p>
    <w:p>
      <w:pPr>
        <w:spacing w:line="360" w:lineRule="auto"/>
        <w:jc w:val="center"/>
        <w:outlineLvl w:val="0"/>
        <w:rPr>
          <w:rFonts w:hint="eastAsia" w:ascii="宋体" w:hAnsi="宋体" w:eastAsia="宋体" w:cs="宋体"/>
          <w:b/>
          <w:bCs/>
          <w:color w:val="000000"/>
          <w:sz w:val="24"/>
          <w:szCs w:val="20"/>
        </w:rPr>
      </w:pPr>
      <w:bookmarkStart w:id="670" w:name="_Toc13454"/>
      <w:bookmarkStart w:id="671" w:name="_Toc5681"/>
      <w:bookmarkStart w:id="672" w:name="_Toc17714"/>
      <w:bookmarkStart w:id="673" w:name="_Toc16661"/>
      <w:bookmarkStart w:id="674" w:name="_Toc22666"/>
      <w:bookmarkStart w:id="675" w:name="_Toc14559"/>
      <w:bookmarkStart w:id="676" w:name="_Toc573"/>
      <w:r>
        <w:rPr>
          <w:rFonts w:hint="eastAsia" w:ascii="宋体" w:hAnsi="宋体" w:eastAsia="宋体" w:cs="宋体"/>
          <w:b/>
          <w:bCs/>
          <w:color w:val="auto"/>
          <w:sz w:val="24"/>
          <w:szCs w:val="24"/>
          <w:highlight w:val="none"/>
          <w:lang w:val="zh-CN"/>
        </w:rPr>
        <w:t>五、</w:t>
      </w:r>
      <w:bookmarkEnd w:id="670"/>
      <w:bookmarkEnd w:id="671"/>
      <w:bookmarkEnd w:id="672"/>
      <w:bookmarkEnd w:id="673"/>
      <w:r>
        <w:rPr>
          <w:rFonts w:hint="eastAsia" w:ascii="宋体" w:hAnsi="宋体" w:eastAsia="宋体" w:cs="宋体"/>
          <w:b/>
          <w:bCs/>
          <w:color w:val="auto"/>
          <w:sz w:val="24"/>
          <w:szCs w:val="24"/>
          <w:highlight w:val="none"/>
          <w:lang w:val="zh-CN"/>
        </w:rPr>
        <w:t>商务条款响应</w:t>
      </w:r>
      <w:r>
        <w:rPr>
          <w:rFonts w:hint="eastAsia" w:ascii="宋体" w:hAnsi="宋体" w:eastAsia="宋体" w:cs="宋体"/>
          <w:b/>
          <w:bCs/>
          <w:color w:val="000000"/>
          <w:sz w:val="24"/>
          <w:szCs w:val="20"/>
        </w:rPr>
        <w:t>偏离表</w:t>
      </w:r>
      <w:bookmarkEnd w:id="674"/>
      <w:bookmarkEnd w:id="675"/>
      <w:bookmarkEnd w:id="676"/>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252"/>
        <w:gridCol w:w="1900"/>
        <w:gridCol w:w="1901"/>
        <w:gridCol w:w="2321"/>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0" w:type="auto"/>
            <w:gridSpan w:val="6"/>
            <w:noWrap w:val="0"/>
            <w:vAlign w:val="center"/>
          </w:tcPr>
          <w:p>
            <w:pPr>
              <w:adjustRightInd w:val="0"/>
              <w:snapToGrid w:val="0"/>
              <w:spacing w:line="360" w:lineRule="auto"/>
              <w:jc w:val="left"/>
              <w:rPr>
                <w:b/>
                <w:color w:val="000000"/>
                <w:sz w:val="24"/>
              </w:rPr>
            </w:pPr>
            <w:r>
              <w:rPr>
                <w:b/>
                <w:color w:val="000000"/>
                <w:sz w:val="24"/>
              </w:rPr>
              <w:t>对本</w:t>
            </w:r>
            <w:r>
              <w:rPr>
                <w:rFonts w:hint="eastAsia"/>
                <w:b/>
                <w:color w:val="000000"/>
                <w:sz w:val="24"/>
              </w:rPr>
              <w:t>项目</w:t>
            </w:r>
            <w:r>
              <w:rPr>
                <w:rFonts w:hint="eastAsia" w:ascii="宋体" w:hAnsi="宋体" w:eastAsia="宋体" w:cs="宋体"/>
                <w:b/>
                <w:bCs/>
                <w:color w:val="auto"/>
                <w:sz w:val="24"/>
                <w:szCs w:val="24"/>
                <w:highlight w:val="none"/>
                <w:lang w:val="zh-CN"/>
              </w:rPr>
              <w:t>商务条款响应</w:t>
            </w:r>
            <w:r>
              <w:rPr>
                <w:b/>
                <w:color w:val="000000"/>
                <w:sz w:val="24"/>
              </w:rPr>
              <w:t>的偏离情况（请进行勾选）：</w:t>
            </w:r>
          </w:p>
          <w:p>
            <w:pPr>
              <w:adjustRightInd w:val="0"/>
              <w:snapToGrid w:val="0"/>
              <w:spacing w:line="360" w:lineRule="auto"/>
              <w:jc w:val="left"/>
              <w:rPr>
                <w:b/>
                <w:color w:val="000000"/>
                <w:sz w:val="24"/>
              </w:rPr>
            </w:pPr>
            <w:r>
              <w:rPr>
                <w:b/>
                <w:color w:val="000000"/>
                <w:sz w:val="24"/>
              </w:rPr>
              <w:t>□无偏离</w:t>
            </w:r>
            <w:r>
              <w:rPr>
                <w:color w:val="000000"/>
                <w:sz w:val="24"/>
              </w:rPr>
              <w:t>（</w:t>
            </w:r>
            <w:r>
              <w:rPr>
                <w:color w:val="000000"/>
                <w:sz w:val="24"/>
                <w:szCs w:val="21"/>
              </w:rPr>
              <w:t>如无偏离，仅勾选无偏离即可</w:t>
            </w:r>
            <w:r>
              <w:rPr>
                <w:color w:val="000000"/>
                <w:sz w:val="24"/>
              </w:rPr>
              <w:t>）</w:t>
            </w:r>
          </w:p>
          <w:p>
            <w:pPr>
              <w:adjustRightInd w:val="0"/>
              <w:snapToGrid w:val="0"/>
              <w:spacing w:line="360" w:lineRule="auto"/>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03" w:type="dxa"/>
            <w:noWrap w:val="0"/>
            <w:vAlign w:val="center"/>
          </w:tcPr>
          <w:p>
            <w:pPr>
              <w:adjustRightInd w:val="0"/>
              <w:snapToGrid w:val="0"/>
              <w:jc w:val="center"/>
              <w:rPr>
                <w:color w:val="000000"/>
                <w:sz w:val="24"/>
              </w:rPr>
            </w:pPr>
            <w:r>
              <w:rPr>
                <w:color w:val="000000"/>
                <w:sz w:val="24"/>
              </w:rPr>
              <w:t>序号</w:t>
            </w:r>
          </w:p>
        </w:tc>
        <w:tc>
          <w:tcPr>
            <w:tcW w:w="1252" w:type="dxa"/>
            <w:noWrap w:val="0"/>
            <w:vAlign w:val="center"/>
          </w:tcPr>
          <w:p>
            <w:pPr>
              <w:adjustRightInd w:val="0"/>
              <w:snapToGrid w:val="0"/>
              <w:jc w:val="center"/>
              <w:rPr>
                <w:color w:val="000000"/>
                <w:sz w:val="24"/>
              </w:rPr>
            </w:pPr>
            <w:r>
              <w:rPr>
                <w:rFonts w:hint="eastAsia"/>
                <w:color w:val="000000"/>
                <w:sz w:val="24"/>
                <w:szCs w:val="21"/>
                <w:lang w:eastAsia="zh-CN"/>
              </w:rPr>
              <w:t>招标文件</w:t>
            </w:r>
            <w:r>
              <w:rPr>
                <w:color w:val="000000"/>
                <w:sz w:val="24"/>
              </w:rPr>
              <w:t>条目号（页码）</w:t>
            </w:r>
          </w:p>
        </w:tc>
        <w:tc>
          <w:tcPr>
            <w:tcW w:w="1900" w:type="dxa"/>
            <w:noWrap w:val="0"/>
            <w:vAlign w:val="center"/>
          </w:tcPr>
          <w:p>
            <w:pPr>
              <w:adjustRightInd w:val="0"/>
              <w:snapToGrid w:val="0"/>
              <w:jc w:val="center"/>
              <w:rPr>
                <w:color w:val="000000"/>
                <w:sz w:val="24"/>
              </w:rPr>
            </w:pPr>
            <w:r>
              <w:rPr>
                <w:rFonts w:hint="eastAsia"/>
                <w:color w:val="000000"/>
                <w:sz w:val="24"/>
                <w:szCs w:val="21"/>
                <w:lang w:eastAsia="zh-CN"/>
              </w:rPr>
              <w:t>招标文件</w:t>
            </w:r>
            <w:r>
              <w:rPr>
                <w:color w:val="000000"/>
                <w:sz w:val="24"/>
              </w:rPr>
              <w:t>要求</w:t>
            </w:r>
          </w:p>
        </w:tc>
        <w:tc>
          <w:tcPr>
            <w:tcW w:w="1901" w:type="dxa"/>
            <w:noWrap w:val="0"/>
            <w:vAlign w:val="center"/>
          </w:tcPr>
          <w:p>
            <w:pPr>
              <w:adjustRightInd w:val="0"/>
              <w:snapToGrid w:val="0"/>
              <w:jc w:val="center"/>
              <w:rPr>
                <w:color w:val="000000"/>
                <w:sz w:val="24"/>
              </w:rPr>
            </w:pPr>
            <w:r>
              <w:rPr>
                <w:rFonts w:hint="eastAsia"/>
                <w:color w:val="000000"/>
                <w:sz w:val="24"/>
                <w:lang w:eastAsia="zh-CN"/>
              </w:rPr>
              <w:t>响应文件</w:t>
            </w:r>
            <w:r>
              <w:rPr>
                <w:color w:val="000000"/>
                <w:sz w:val="24"/>
              </w:rPr>
              <w:t>内容</w:t>
            </w:r>
          </w:p>
        </w:tc>
        <w:tc>
          <w:tcPr>
            <w:tcW w:w="2321" w:type="dxa"/>
            <w:noWrap w:val="0"/>
            <w:vAlign w:val="center"/>
          </w:tcPr>
          <w:p>
            <w:pPr>
              <w:adjustRightInd w:val="0"/>
              <w:snapToGrid w:val="0"/>
              <w:jc w:val="center"/>
              <w:rPr>
                <w:color w:val="000000"/>
                <w:sz w:val="24"/>
              </w:rPr>
            </w:pPr>
            <w:r>
              <w:rPr>
                <w:color w:val="000000"/>
                <w:sz w:val="24"/>
              </w:rPr>
              <w:t>偏离情况</w:t>
            </w:r>
          </w:p>
        </w:tc>
        <w:tc>
          <w:tcPr>
            <w:tcW w:w="763" w:type="dxa"/>
            <w:noWrap w:val="0"/>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03" w:type="dxa"/>
            <w:noWrap w:val="0"/>
            <w:vAlign w:val="center"/>
          </w:tcPr>
          <w:p>
            <w:pPr>
              <w:adjustRightInd w:val="0"/>
              <w:snapToGrid w:val="0"/>
              <w:jc w:val="center"/>
              <w:rPr>
                <w:rFonts w:hint="eastAsia" w:eastAsia="宋体"/>
                <w:color w:val="000000"/>
                <w:sz w:val="24"/>
                <w:lang w:val="en-US" w:eastAsia="zh-CN"/>
              </w:rPr>
            </w:pPr>
            <w:r>
              <w:rPr>
                <w:rFonts w:hint="eastAsia"/>
                <w:color w:val="000000"/>
                <w:sz w:val="24"/>
                <w:lang w:val="en-US" w:eastAsia="zh-CN"/>
              </w:rPr>
              <w:t>1</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03" w:type="dxa"/>
            <w:noWrap w:val="0"/>
            <w:vAlign w:val="center"/>
          </w:tcPr>
          <w:p>
            <w:pPr>
              <w:adjustRightInd w:val="0"/>
              <w:snapToGrid w:val="0"/>
              <w:jc w:val="center"/>
              <w:rPr>
                <w:rFonts w:hint="eastAsia" w:eastAsia="宋体"/>
                <w:color w:val="000000"/>
                <w:sz w:val="24"/>
                <w:lang w:val="en-US" w:eastAsia="zh-CN"/>
              </w:rPr>
            </w:pPr>
            <w:r>
              <w:rPr>
                <w:rFonts w:hint="eastAsia"/>
                <w:color w:val="000000"/>
                <w:sz w:val="24"/>
                <w:lang w:val="en-US" w:eastAsia="zh-CN"/>
              </w:rPr>
              <w:t>2</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03" w:type="dxa"/>
            <w:noWrap w:val="0"/>
            <w:vAlign w:val="center"/>
          </w:tcPr>
          <w:p>
            <w:pPr>
              <w:adjustRightInd w:val="0"/>
              <w:snapToGrid w:val="0"/>
              <w:jc w:val="center"/>
              <w:rPr>
                <w:rFonts w:hint="eastAsia" w:eastAsia="宋体"/>
                <w:color w:val="000000"/>
                <w:sz w:val="24"/>
                <w:lang w:val="en-US" w:eastAsia="zh-CN"/>
              </w:rPr>
            </w:pPr>
            <w:r>
              <w:rPr>
                <w:rFonts w:hint="eastAsia"/>
                <w:color w:val="000000"/>
                <w:sz w:val="24"/>
                <w:lang w:val="en-US" w:eastAsia="zh-CN"/>
              </w:rPr>
              <w:t>3</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803" w:type="dxa"/>
            <w:noWrap w:val="0"/>
            <w:vAlign w:val="center"/>
          </w:tcPr>
          <w:p>
            <w:pPr>
              <w:adjustRightInd w:val="0"/>
              <w:snapToGrid w:val="0"/>
              <w:jc w:val="center"/>
              <w:rPr>
                <w:rFonts w:hint="default" w:eastAsia="宋体"/>
                <w:color w:val="000000"/>
                <w:sz w:val="24"/>
                <w:lang w:val="en-US" w:eastAsia="zh-CN"/>
              </w:rPr>
            </w:pPr>
            <w:r>
              <w:rPr>
                <w:rFonts w:hint="eastAsia"/>
                <w:color w:val="000000"/>
                <w:sz w:val="24"/>
                <w:lang w:val="en-US" w:eastAsia="zh-CN"/>
              </w:rPr>
              <w:t>...</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rFonts w:hint="eastAsia"/>
          <w:color w:val="000000"/>
          <w:sz w:val="24"/>
        </w:rPr>
        <w:t>1</w:t>
      </w:r>
      <w:r>
        <w:rPr>
          <w:color w:val="000000"/>
          <w:sz w:val="24"/>
        </w:rPr>
        <w:t xml:space="preserve">. </w:t>
      </w:r>
      <w:r>
        <w:rPr>
          <w:sz w:val="24"/>
        </w:rPr>
        <w:t>对</w:t>
      </w:r>
      <w:r>
        <w:rPr>
          <w:rFonts w:hint="eastAsia"/>
          <w:sz w:val="24"/>
          <w:lang w:eastAsia="zh-CN"/>
        </w:rPr>
        <w:t>商务</w:t>
      </w:r>
      <w:r>
        <w:rPr>
          <w:sz w:val="24"/>
        </w:rPr>
        <w:t>条款中的所有要求，除本表所列明的所有偏离外，均视作</w:t>
      </w:r>
      <w:r>
        <w:rPr>
          <w:rFonts w:hint="eastAsia"/>
          <w:sz w:val="24"/>
          <w:lang w:eastAsia="zh-CN"/>
        </w:rPr>
        <w:t>投标人</w:t>
      </w:r>
      <w:r>
        <w:rPr>
          <w:sz w:val="24"/>
        </w:rPr>
        <w:t>已对之理解和</w:t>
      </w:r>
      <w:r>
        <w:rPr>
          <w:rFonts w:hint="eastAsia"/>
          <w:sz w:val="24"/>
        </w:rPr>
        <w:t>响应</w:t>
      </w:r>
      <w:r>
        <w:rPr>
          <w:sz w:val="24"/>
        </w:rPr>
        <w:t>。</w:t>
      </w:r>
    </w:p>
    <w:p>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p>
    <w:p>
      <w:pPr>
        <w:spacing w:line="600" w:lineRule="auto"/>
        <w:ind w:right="-161" w:firstLine="2400" w:firstLineChars="1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pPr>
        <w:tabs>
          <w:tab w:val="left" w:pos="9070"/>
        </w:tabs>
        <w:spacing w:line="600" w:lineRule="auto"/>
        <w:ind w:right="-428"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pStyle w:val="4"/>
        <w:rPr>
          <w:rFonts w:hint="eastAsia"/>
          <w:lang w:val="zh-CN"/>
        </w:rPr>
      </w:pPr>
    </w:p>
    <w:p>
      <w:pPr>
        <w:autoSpaceDE w:val="0"/>
        <w:autoSpaceDN w:val="0"/>
        <w:adjustRightInd w:val="0"/>
        <w:snapToGrid w:val="0"/>
        <w:spacing w:line="360" w:lineRule="auto"/>
        <w:jc w:val="center"/>
        <w:outlineLvl w:val="9"/>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center"/>
        <w:outlineLvl w:val="2"/>
        <w:rPr>
          <w:rFonts w:hint="eastAsia" w:ascii="宋体" w:hAnsi="宋体" w:eastAsia="宋体" w:cs="宋体"/>
          <w:b/>
          <w:bCs/>
          <w:color w:val="auto"/>
          <w:sz w:val="24"/>
          <w:szCs w:val="24"/>
          <w:highlight w:val="none"/>
          <w:lang w:val="zh-CN"/>
        </w:rPr>
      </w:pPr>
      <w:bookmarkStart w:id="677" w:name="_Toc30848"/>
      <w:r>
        <w:rPr>
          <w:rFonts w:hint="eastAsia" w:ascii="宋体" w:hAnsi="宋体" w:cs="宋体"/>
          <w:b/>
          <w:bCs/>
          <w:color w:val="auto"/>
          <w:sz w:val="24"/>
          <w:szCs w:val="24"/>
          <w:highlight w:val="none"/>
          <w:lang w:val="zh-CN"/>
        </w:rPr>
        <w:t>六</w:t>
      </w:r>
      <w:r>
        <w:rPr>
          <w:rFonts w:hint="eastAsia" w:ascii="宋体" w:hAnsi="宋体" w:eastAsia="宋体" w:cs="宋体"/>
          <w:b/>
          <w:bCs/>
          <w:color w:val="auto"/>
          <w:sz w:val="24"/>
          <w:szCs w:val="24"/>
          <w:highlight w:val="none"/>
          <w:lang w:val="zh-CN"/>
        </w:rPr>
        <w:t>、</w:t>
      </w:r>
      <w:r>
        <w:rPr>
          <w:rFonts w:hint="eastAsia" w:ascii="宋体" w:hAnsi="宋体" w:cs="宋体"/>
          <w:b/>
          <w:bCs/>
          <w:color w:val="auto"/>
          <w:sz w:val="24"/>
          <w:szCs w:val="24"/>
          <w:highlight w:val="none"/>
          <w:lang w:val="zh-CN"/>
        </w:rPr>
        <w:t>投标人</w:t>
      </w:r>
      <w:r>
        <w:rPr>
          <w:rFonts w:hint="eastAsia" w:ascii="宋体" w:hAnsi="宋体" w:eastAsia="宋体" w:cs="宋体"/>
          <w:b/>
          <w:bCs/>
          <w:color w:val="auto"/>
          <w:sz w:val="24"/>
          <w:szCs w:val="24"/>
          <w:highlight w:val="none"/>
          <w:lang w:val="zh-CN"/>
        </w:rPr>
        <w:t>基本情况表</w:t>
      </w:r>
      <w:bookmarkEnd w:id="662"/>
      <w:bookmarkEnd w:id="663"/>
      <w:bookmarkEnd w:id="664"/>
      <w:bookmarkEnd w:id="665"/>
      <w:bookmarkEnd w:id="666"/>
      <w:bookmarkEnd w:id="667"/>
      <w:bookmarkEnd w:id="668"/>
      <w:bookmarkEnd w:id="669"/>
      <w:bookmarkEnd w:id="677"/>
    </w:p>
    <w:tbl>
      <w:tblPr>
        <w:tblStyle w:val="23"/>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403"/>
        <w:gridCol w:w="1895"/>
        <w:gridCol w:w="63"/>
        <w:gridCol w:w="1450"/>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2051"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7768" w:type="dxa"/>
            <w:gridSpan w:val="5"/>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05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298" w:type="dxa"/>
            <w:gridSpan w:val="2"/>
            <w:noWrap w:val="0"/>
            <w:vAlign w:val="center"/>
          </w:tcPr>
          <w:p>
            <w:pPr>
              <w:spacing w:line="360" w:lineRule="auto"/>
              <w:jc w:val="center"/>
              <w:rPr>
                <w:rFonts w:hint="eastAsia" w:ascii="宋体" w:hAnsi="宋体" w:eastAsia="宋体" w:cs="宋体"/>
                <w:color w:val="auto"/>
                <w:sz w:val="24"/>
                <w:szCs w:val="24"/>
                <w:highlight w:val="none"/>
              </w:rPr>
            </w:pPr>
          </w:p>
        </w:tc>
        <w:tc>
          <w:tcPr>
            <w:tcW w:w="1513" w:type="dxa"/>
            <w:gridSpan w:val="2"/>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957"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051" w:type="dxa"/>
            <w:vMerge w:val="restar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403"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895" w:type="dxa"/>
            <w:noWrap w:val="0"/>
            <w:vAlign w:val="center"/>
          </w:tcPr>
          <w:p>
            <w:pPr>
              <w:spacing w:line="360" w:lineRule="auto"/>
              <w:jc w:val="center"/>
              <w:rPr>
                <w:rFonts w:hint="eastAsia" w:ascii="宋体" w:hAnsi="宋体" w:eastAsia="宋体" w:cs="宋体"/>
                <w:color w:val="auto"/>
                <w:sz w:val="24"/>
                <w:szCs w:val="24"/>
                <w:highlight w:val="none"/>
              </w:rPr>
            </w:pPr>
          </w:p>
        </w:tc>
        <w:tc>
          <w:tcPr>
            <w:tcW w:w="1513" w:type="dxa"/>
            <w:gridSpan w:val="2"/>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957"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051" w:type="dxa"/>
            <w:vMerge w:val="continue"/>
            <w:noWrap w:val="0"/>
            <w:vAlign w:val="center"/>
          </w:tcPr>
          <w:p>
            <w:pPr>
              <w:spacing w:line="360" w:lineRule="auto"/>
              <w:jc w:val="center"/>
              <w:rPr>
                <w:rFonts w:hint="eastAsia" w:ascii="宋体" w:hAnsi="宋体" w:eastAsia="宋体" w:cs="宋体"/>
                <w:color w:val="auto"/>
                <w:sz w:val="24"/>
                <w:szCs w:val="24"/>
                <w:highlight w:val="none"/>
              </w:rPr>
            </w:pPr>
          </w:p>
        </w:tc>
        <w:tc>
          <w:tcPr>
            <w:tcW w:w="1403"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895" w:type="dxa"/>
            <w:noWrap w:val="0"/>
            <w:vAlign w:val="center"/>
          </w:tcPr>
          <w:p>
            <w:pPr>
              <w:spacing w:line="360" w:lineRule="auto"/>
              <w:jc w:val="center"/>
              <w:rPr>
                <w:rFonts w:hint="eastAsia" w:ascii="宋体" w:hAnsi="宋体" w:eastAsia="宋体" w:cs="宋体"/>
                <w:color w:val="auto"/>
                <w:sz w:val="24"/>
                <w:szCs w:val="24"/>
                <w:highlight w:val="none"/>
              </w:rPr>
            </w:pPr>
          </w:p>
        </w:tc>
        <w:tc>
          <w:tcPr>
            <w:tcW w:w="1513" w:type="dxa"/>
            <w:gridSpan w:val="2"/>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957"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5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768" w:type="dxa"/>
            <w:gridSpan w:val="5"/>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05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403"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58" w:type="dxa"/>
            <w:gridSpan w:val="2"/>
            <w:noWrap w:val="0"/>
            <w:vAlign w:val="center"/>
          </w:tcPr>
          <w:p>
            <w:pPr>
              <w:spacing w:line="360" w:lineRule="auto"/>
              <w:jc w:val="center"/>
              <w:rPr>
                <w:rFonts w:hint="eastAsia" w:ascii="宋体" w:hAnsi="宋体" w:eastAsia="宋体" w:cs="宋体"/>
                <w:color w:val="auto"/>
                <w:sz w:val="24"/>
                <w:szCs w:val="24"/>
                <w:highlight w:val="none"/>
              </w:rPr>
            </w:pPr>
          </w:p>
        </w:tc>
        <w:tc>
          <w:tcPr>
            <w:tcW w:w="145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957"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5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3361" w:type="dxa"/>
            <w:gridSpan w:val="3"/>
            <w:noWrap w:val="0"/>
            <w:vAlign w:val="center"/>
          </w:tcPr>
          <w:p>
            <w:pPr>
              <w:spacing w:line="360" w:lineRule="auto"/>
              <w:jc w:val="center"/>
              <w:rPr>
                <w:rFonts w:hint="eastAsia" w:ascii="宋体" w:hAnsi="宋体" w:eastAsia="宋体" w:cs="宋体"/>
                <w:color w:val="auto"/>
                <w:sz w:val="24"/>
                <w:szCs w:val="24"/>
                <w:highlight w:val="none"/>
              </w:rPr>
            </w:pPr>
          </w:p>
        </w:tc>
        <w:tc>
          <w:tcPr>
            <w:tcW w:w="4407" w:type="dxa"/>
            <w:gridSpan w:val="2"/>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5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资质证书</w:t>
            </w:r>
          </w:p>
        </w:tc>
        <w:tc>
          <w:tcPr>
            <w:tcW w:w="7768" w:type="dxa"/>
            <w:gridSpan w:val="5"/>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5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7768" w:type="dxa"/>
            <w:gridSpan w:val="5"/>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05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7768" w:type="dxa"/>
            <w:gridSpan w:val="5"/>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205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经营范围备注</w:t>
            </w:r>
          </w:p>
        </w:tc>
        <w:tc>
          <w:tcPr>
            <w:tcW w:w="7768" w:type="dxa"/>
            <w:gridSpan w:val="5"/>
            <w:noWrap w:val="0"/>
            <w:vAlign w:val="top"/>
          </w:tcPr>
          <w:p>
            <w:pPr>
              <w:spacing w:line="360" w:lineRule="auto"/>
              <w:ind w:firstLine="480" w:firstLineChars="200"/>
              <w:rPr>
                <w:rFonts w:hint="eastAsia" w:ascii="宋体" w:hAnsi="宋体" w:eastAsia="宋体" w:cs="宋体"/>
                <w:color w:val="auto"/>
                <w:sz w:val="24"/>
                <w:szCs w:val="24"/>
                <w:highlight w:val="none"/>
              </w:rPr>
            </w:pPr>
          </w:p>
        </w:tc>
      </w:tr>
    </w:tbl>
    <w:p>
      <w:pPr>
        <w:snapToGrid w:val="0"/>
        <w:spacing w:line="360" w:lineRule="auto"/>
        <w:outlineLvl w:val="9"/>
        <w:rPr>
          <w:rFonts w:hint="eastAsia" w:ascii="宋体" w:hAnsi="宋体" w:eastAsia="宋体" w:cs="宋体"/>
          <w:b/>
          <w:bCs/>
          <w:color w:val="auto"/>
          <w:sz w:val="24"/>
          <w:szCs w:val="24"/>
          <w:highlight w:val="none"/>
        </w:rPr>
      </w:pPr>
      <w:bookmarkStart w:id="678" w:name="_Toc28071"/>
      <w:bookmarkStart w:id="679" w:name="_Toc25011"/>
      <w:bookmarkStart w:id="680" w:name="_Toc31773"/>
    </w:p>
    <w:p>
      <w:pPr>
        <w:snapToGrid w:val="0"/>
        <w:spacing w:line="360" w:lineRule="auto"/>
        <w:outlineLvl w:val="0"/>
        <w:rPr>
          <w:rFonts w:hint="eastAsia" w:ascii="宋体" w:hAnsi="宋体" w:eastAsia="宋体" w:cs="宋体"/>
          <w:color w:val="auto"/>
          <w:sz w:val="24"/>
          <w:szCs w:val="24"/>
          <w:highlight w:val="none"/>
          <w:u w:val="single"/>
        </w:rPr>
      </w:pPr>
      <w:bookmarkStart w:id="681" w:name="_Toc12361"/>
      <w:bookmarkStart w:id="682" w:name="_Toc3343"/>
      <w:bookmarkStart w:id="683" w:name="_Toc21940"/>
      <w:bookmarkStart w:id="684" w:name="_Toc10575"/>
      <w:bookmarkStart w:id="685" w:name="_Toc8523"/>
      <w:bookmarkStart w:id="686" w:name="_Toc29941"/>
      <w:bookmarkStart w:id="687" w:name="_Toc17999"/>
      <w:bookmarkStart w:id="688" w:name="_Toc1482"/>
      <w:bookmarkStart w:id="689" w:name="_Toc28739"/>
      <w:r>
        <w:rPr>
          <w:rFonts w:hint="eastAsia" w:ascii="宋体" w:hAnsi="宋体" w:eastAsia="宋体" w:cs="宋体"/>
          <w:b/>
          <w:bCs/>
          <w:color w:val="auto"/>
          <w:sz w:val="24"/>
          <w:szCs w:val="24"/>
          <w:highlight w:val="none"/>
        </w:rPr>
        <w:t>注：填写上表后，</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如认为有必要也可附其他补充</w:t>
      </w:r>
      <w:r>
        <w:rPr>
          <w:rFonts w:hint="eastAsia" w:ascii="宋体" w:hAnsi="宋体" w:eastAsia="宋体" w:cs="宋体"/>
          <w:b/>
          <w:bCs/>
          <w:color w:val="auto"/>
          <w:sz w:val="24"/>
          <w:szCs w:val="24"/>
          <w:highlight w:val="none"/>
          <w:lang w:eastAsia="zh-CN"/>
        </w:rPr>
        <w:t>内容</w:t>
      </w:r>
      <w:r>
        <w:rPr>
          <w:rFonts w:hint="eastAsia" w:ascii="宋体" w:hAnsi="宋体" w:eastAsia="宋体" w:cs="宋体"/>
          <w:color w:val="auto"/>
          <w:sz w:val="24"/>
          <w:szCs w:val="24"/>
          <w:highlight w:val="none"/>
        </w:rPr>
        <w:t>。</w:t>
      </w:r>
      <w:bookmarkEnd w:id="678"/>
      <w:bookmarkEnd w:id="679"/>
      <w:bookmarkEnd w:id="680"/>
      <w:bookmarkEnd w:id="681"/>
      <w:bookmarkEnd w:id="682"/>
      <w:bookmarkEnd w:id="683"/>
      <w:bookmarkEnd w:id="684"/>
      <w:bookmarkEnd w:id="685"/>
      <w:bookmarkEnd w:id="686"/>
      <w:bookmarkEnd w:id="687"/>
      <w:bookmarkEnd w:id="688"/>
      <w:bookmarkEnd w:id="689"/>
    </w:p>
    <w:p>
      <w:pPr>
        <w:spacing w:line="360" w:lineRule="auto"/>
        <w:ind w:right="-161" w:firstLine="2520" w:firstLineChars="1050"/>
        <w:rPr>
          <w:rFonts w:hint="eastAsia" w:ascii="宋体" w:hAnsi="宋体" w:eastAsia="宋体" w:cs="宋体"/>
          <w:color w:val="auto"/>
          <w:sz w:val="24"/>
          <w:szCs w:val="24"/>
          <w:highlight w:val="none"/>
        </w:rPr>
      </w:pPr>
    </w:p>
    <w:p>
      <w:pPr>
        <w:spacing w:line="360" w:lineRule="auto"/>
        <w:ind w:right="-161" w:firstLine="2400" w:firstLineChars="10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pPr>
        <w:spacing w:line="360" w:lineRule="auto"/>
        <w:ind w:right="-161"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或被授权代表：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pPr>
        <w:tabs>
          <w:tab w:val="left" w:pos="9070"/>
        </w:tabs>
        <w:spacing w:line="360" w:lineRule="auto"/>
        <w:ind w:right="-428"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pStyle w:val="11"/>
        <w:spacing w:line="360" w:lineRule="auto"/>
        <w:rPr>
          <w:rFonts w:hint="eastAsia" w:ascii="宋体" w:hAnsi="宋体" w:eastAsia="宋体" w:cs="宋体"/>
          <w:sz w:val="24"/>
          <w:szCs w:val="24"/>
        </w:rPr>
      </w:pPr>
    </w:p>
    <w:p>
      <w:pPr>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24"/>
          <w:szCs w:val="24"/>
          <w:highlight w:val="none"/>
          <w:lang w:val="zh-CN"/>
        </w:rPr>
      </w:pPr>
      <w:bookmarkStart w:id="690" w:name="_Toc8577"/>
      <w:bookmarkStart w:id="691" w:name="_Toc3051"/>
      <w:bookmarkStart w:id="692" w:name="_Toc27350"/>
      <w:bookmarkStart w:id="693" w:name="_Toc11706"/>
      <w:bookmarkStart w:id="694" w:name="_Toc10957"/>
      <w:bookmarkStart w:id="695" w:name="_Toc20886"/>
      <w:bookmarkStart w:id="696" w:name="_Toc22000"/>
      <w:bookmarkStart w:id="697" w:name="_Toc4257"/>
    </w:p>
    <w:p>
      <w:pPr>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24"/>
          <w:szCs w:val="24"/>
          <w:highlight w:val="none"/>
          <w:lang w:val="zh-CN"/>
        </w:rPr>
      </w:pPr>
    </w:p>
    <w:p>
      <w:pPr>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24"/>
          <w:szCs w:val="24"/>
          <w:highlight w:val="none"/>
          <w:lang w:val="zh-CN"/>
        </w:rPr>
      </w:pPr>
    </w:p>
    <w:p>
      <w:pPr>
        <w:numPr>
          <w:ilvl w:val="0"/>
          <w:numId w:val="0"/>
        </w:numPr>
        <w:autoSpaceDE w:val="0"/>
        <w:autoSpaceDN w:val="0"/>
        <w:adjustRightInd w:val="0"/>
        <w:snapToGrid w:val="0"/>
        <w:spacing w:line="360" w:lineRule="auto"/>
        <w:jc w:val="center"/>
        <w:outlineLvl w:val="0"/>
        <w:rPr>
          <w:rFonts w:hint="eastAsia" w:ascii="宋体" w:hAnsi="宋体" w:eastAsia="宋体" w:cs="宋体"/>
          <w:b/>
          <w:bCs/>
          <w:color w:val="auto"/>
          <w:sz w:val="24"/>
          <w:szCs w:val="24"/>
          <w:highlight w:val="none"/>
          <w:lang w:val="zh-CN"/>
        </w:rPr>
      </w:pPr>
      <w:bookmarkStart w:id="698" w:name="_Toc522"/>
      <w:r>
        <w:rPr>
          <w:rFonts w:hint="eastAsia" w:ascii="宋体" w:hAnsi="宋体" w:cs="宋体"/>
          <w:b/>
          <w:bCs/>
          <w:color w:val="auto"/>
          <w:sz w:val="24"/>
          <w:szCs w:val="24"/>
          <w:highlight w:val="none"/>
          <w:lang w:val="zh-CN"/>
        </w:rPr>
        <w:t>七</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lang w:val="zh-CN"/>
        </w:rPr>
        <w:t>方案</w:t>
      </w:r>
      <w:bookmarkEnd w:id="690"/>
      <w:bookmarkEnd w:id="691"/>
      <w:bookmarkEnd w:id="692"/>
      <w:bookmarkEnd w:id="693"/>
      <w:bookmarkEnd w:id="694"/>
      <w:bookmarkEnd w:id="695"/>
      <w:bookmarkEnd w:id="696"/>
      <w:bookmarkEnd w:id="697"/>
      <w:bookmarkEnd w:id="698"/>
    </w:p>
    <w:p>
      <w:pPr>
        <w:pStyle w:val="36"/>
        <w:widowControl w:val="0"/>
        <w:numPr>
          <w:ilvl w:val="0"/>
          <w:numId w:val="0"/>
        </w:numPr>
        <w:spacing w:before="156" w:after="156" w:line="360" w:lineRule="auto"/>
        <w:jc w:val="both"/>
        <w:rPr>
          <w:rFonts w:hint="eastAsia" w:ascii="宋体" w:hAnsi="宋体" w:eastAsia="宋体" w:cs="宋体"/>
          <w:sz w:val="24"/>
          <w:szCs w:val="24"/>
          <w:highlight w:val="none"/>
          <w:lang w:val="zh-CN"/>
        </w:rPr>
      </w:pPr>
    </w:p>
    <w:p>
      <w:pPr>
        <w:pStyle w:val="36"/>
        <w:widowControl w:val="0"/>
        <w:numPr>
          <w:ilvl w:val="0"/>
          <w:numId w:val="0"/>
        </w:numPr>
        <w:spacing w:before="156" w:after="156" w:line="360" w:lineRule="auto"/>
        <w:jc w:val="both"/>
        <w:rPr>
          <w:rFonts w:hint="eastAsia" w:ascii="宋体" w:hAnsi="宋体" w:eastAsia="宋体" w:cs="宋体"/>
          <w:sz w:val="24"/>
          <w:szCs w:val="24"/>
          <w:highlight w:val="none"/>
          <w:lang w:val="zh-CN"/>
        </w:rPr>
      </w:pPr>
    </w:p>
    <w:p>
      <w:pPr>
        <w:widowControl/>
        <w:snapToGrid w:val="0"/>
        <w:spacing w:line="360" w:lineRule="auto"/>
        <w:ind w:firstLine="482" w:firstLineChars="200"/>
        <w:jc w:val="center"/>
        <w:outlineLvl w:val="1"/>
        <w:rPr>
          <w:rFonts w:hint="eastAsia" w:ascii="宋体" w:hAnsi="宋体" w:eastAsia="宋体" w:cs="宋体"/>
          <w:b/>
          <w:color w:val="auto"/>
          <w:sz w:val="24"/>
          <w:szCs w:val="24"/>
          <w:highlight w:val="none"/>
          <w:lang w:val="zh-CN"/>
        </w:rPr>
      </w:pPr>
      <w:bookmarkStart w:id="699" w:name="_Toc26778"/>
      <w:bookmarkStart w:id="700" w:name="_Toc5368"/>
      <w:bookmarkStart w:id="701" w:name="_Toc21544"/>
      <w:bookmarkStart w:id="702" w:name="_Toc3918"/>
      <w:bookmarkStart w:id="703" w:name="_Toc16109"/>
      <w:bookmarkStart w:id="704" w:name="_Toc12115"/>
      <w:bookmarkStart w:id="705" w:name="_Toc6013"/>
      <w:bookmarkStart w:id="706" w:name="_Toc21210"/>
      <w:bookmarkStart w:id="707" w:name="_Toc1906"/>
      <w:r>
        <w:rPr>
          <w:rFonts w:hint="eastAsia" w:ascii="宋体" w:hAnsi="宋体" w:eastAsia="宋体" w:cs="宋体"/>
          <w:b/>
          <w:color w:val="auto"/>
          <w:sz w:val="24"/>
          <w:szCs w:val="24"/>
          <w:highlight w:val="none"/>
          <w:lang w:val="zh-CN"/>
        </w:rPr>
        <w:t>格式自拟，参考评标办法及采购人要求编制</w:t>
      </w: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lang w:val="zh-CN"/>
        </w:rPr>
        <w:t>方案</w:t>
      </w:r>
      <w:bookmarkEnd w:id="699"/>
      <w:bookmarkEnd w:id="700"/>
      <w:bookmarkEnd w:id="701"/>
      <w:r>
        <w:rPr>
          <w:rFonts w:hint="eastAsia" w:ascii="宋体" w:hAnsi="宋体" w:eastAsia="宋体" w:cs="宋体"/>
          <w:b/>
          <w:color w:val="auto"/>
          <w:sz w:val="24"/>
          <w:szCs w:val="24"/>
          <w:highlight w:val="none"/>
          <w:lang w:val="zh-CN"/>
        </w:rPr>
        <w:t>。</w:t>
      </w:r>
      <w:bookmarkEnd w:id="702"/>
      <w:bookmarkEnd w:id="703"/>
      <w:bookmarkEnd w:id="704"/>
      <w:bookmarkEnd w:id="705"/>
      <w:bookmarkEnd w:id="706"/>
      <w:bookmarkEnd w:id="707"/>
    </w:p>
    <w:p>
      <w:pPr>
        <w:autoSpaceDE w:val="0"/>
        <w:autoSpaceDN w:val="0"/>
        <w:adjustRightInd w:val="0"/>
        <w:spacing w:line="360" w:lineRule="auto"/>
        <w:jc w:val="center"/>
        <w:rPr>
          <w:rFonts w:hint="eastAsia" w:ascii="宋体" w:hAnsi="宋体" w:eastAsia="宋体" w:cs="宋体"/>
          <w:b/>
          <w:bCs/>
          <w:color w:val="auto"/>
          <w:sz w:val="24"/>
          <w:szCs w:val="24"/>
          <w:highlight w:val="none"/>
        </w:rPr>
      </w:pPr>
    </w:p>
    <w:p>
      <w:pPr>
        <w:autoSpaceDE w:val="0"/>
        <w:autoSpaceDN w:val="0"/>
        <w:adjustRightInd w:val="0"/>
        <w:spacing w:line="360" w:lineRule="auto"/>
        <w:jc w:val="both"/>
        <w:rPr>
          <w:rFonts w:hint="eastAsia" w:ascii="宋体" w:hAnsi="宋体" w:eastAsia="宋体" w:cs="宋体"/>
          <w:b/>
          <w:bCs/>
          <w:color w:val="auto"/>
          <w:sz w:val="24"/>
          <w:szCs w:val="24"/>
          <w:highlight w:val="none"/>
          <w:lang w:val="zh-CN"/>
        </w:rPr>
      </w:pPr>
    </w:p>
    <w:p>
      <w:pPr>
        <w:pStyle w:val="36"/>
        <w:spacing w:line="360" w:lineRule="auto"/>
        <w:rPr>
          <w:rFonts w:hint="eastAsia" w:ascii="宋体" w:hAnsi="宋体" w:eastAsia="宋体" w:cs="宋体"/>
          <w:b/>
          <w:bCs/>
          <w:color w:val="auto"/>
          <w:sz w:val="24"/>
          <w:szCs w:val="24"/>
          <w:highlight w:val="none"/>
          <w:lang w:val="zh-CN"/>
        </w:rPr>
      </w:pPr>
    </w:p>
    <w:p>
      <w:pPr>
        <w:pStyle w:val="36"/>
        <w:spacing w:line="360" w:lineRule="auto"/>
        <w:rPr>
          <w:rFonts w:hint="eastAsia" w:ascii="宋体" w:hAnsi="宋体" w:eastAsia="宋体" w:cs="宋体"/>
          <w:b/>
          <w:bCs/>
          <w:color w:val="auto"/>
          <w:sz w:val="24"/>
          <w:szCs w:val="24"/>
          <w:highlight w:val="none"/>
          <w:lang w:val="zh-CN"/>
        </w:rPr>
      </w:pPr>
    </w:p>
    <w:p>
      <w:pPr>
        <w:pStyle w:val="36"/>
        <w:spacing w:line="360" w:lineRule="auto"/>
        <w:rPr>
          <w:rFonts w:hint="eastAsia" w:ascii="宋体" w:hAnsi="宋体" w:eastAsia="宋体" w:cs="宋体"/>
          <w:b/>
          <w:bCs/>
          <w:color w:val="auto"/>
          <w:sz w:val="24"/>
          <w:szCs w:val="24"/>
          <w:highlight w:val="none"/>
          <w:lang w:val="zh-CN"/>
        </w:rPr>
      </w:pPr>
    </w:p>
    <w:p>
      <w:pPr>
        <w:pStyle w:val="36"/>
        <w:spacing w:line="360" w:lineRule="auto"/>
        <w:rPr>
          <w:rFonts w:hint="eastAsia" w:ascii="宋体" w:hAnsi="宋体" w:eastAsia="宋体" w:cs="宋体"/>
          <w:b/>
          <w:bCs/>
          <w:color w:val="auto"/>
          <w:sz w:val="24"/>
          <w:szCs w:val="24"/>
          <w:highlight w:val="none"/>
          <w:lang w:val="zh-CN"/>
        </w:rPr>
      </w:pPr>
    </w:p>
    <w:p>
      <w:pPr>
        <w:pStyle w:val="36"/>
        <w:spacing w:line="360" w:lineRule="auto"/>
        <w:rPr>
          <w:rFonts w:hint="eastAsia" w:ascii="宋体" w:hAnsi="宋体" w:eastAsia="宋体" w:cs="宋体"/>
          <w:b/>
          <w:bCs/>
          <w:color w:val="auto"/>
          <w:sz w:val="24"/>
          <w:szCs w:val="24"/>
          <w:highlight w:val="none"/>
          <w:lang w:val="zh-CN"/>
        </w:rPr>
      </w:pPr>
    </w:p>
    <w:p>
      <w:pPr>
        <w:pStyle w:val="36"/>
        <w:spacing w:line="360" w:lineRule="auto"/>
        <w:rPr>
          <w:rFonts w:hint="eastAsia" w:ascii="宋体" w:hAnsi="宋体" w:eastAsia="宋体" w:cs="宋体"/>
          <w:b/>
          <w:bCs/>
          <w:color w:val="auto"/>
          <w:sz w:val="24"/>
          <w:szCs w:val="24"/>
          <w:highlight w:val="none"/>
          <w:lang w:val="zh-CN"/>
        </w:rPr>
      </w:pPr>
    </w:p>
    <w:p>
      <w:pPr>
        <w:pStyle w:val="36"/>
        <w:spacing w:line="360" w:lineRule="auto"/>
        <w:rPr>
          <w:rFonts w:hint="eastAsia" w:ascii="宋体" w:hAnsi="宋体" w:eastAsia="宋体" w:cs="宋体"/>
          <w:b/>
          <w:bCs/>
          <w:color w:val="auto"/>
          <w:sz w:val="24"/>
          <w:szCs w:val="24"/>
          <w:highlight w:val="none"/>
          <w:lang w:val="zh-CN"/>
        </w:rPr>
      </w:pPr>
    </w:p>
    <w:p>
      <w:pPr>
        <w:pStyle w:val="36"/>
        <w:spacing w:line="360" w:lineRule="auto"/>
        <w:rPr>
          <w:rFonts w:hint="eastAsia" w:ascii="宋体" w:hAnsi="宋体" w:eastAsia="宋体" w:cs="宋体"/>
          <w:b/>
          <w:bCs/>
          <w:color w:val="auto"/>
          <w:sz w:val="24"/>
          <w:szCs w:val="24"/>
          <w:highlight w:val="none"/>
          <w:lang w:val="zh-CN"/>
        </w:rPr>
      </w:pPr>
    </w:p>
    <w:p>
      <w:pPr>
        <w:pStyle w:val="36"/>
        <w:spacing w:line="360" w:lineRule="auto"/>
        <w:rPr>
          <w:rFonts w:hint="eastAsia" w:ascii="宋体" w:hAnsi="宋体" w:eastAsia="宋体" w:cs="宋体"/>
          <w:b/>
          <w:bCs/>
          <w:color w:val="auto"/>
          <w:sz w:val="24"/>
          <w:szCs w:val="24"/>
          <w:highlight w:val="none"/>
          <w:lang w:val="zh-CN"/>
        </w:rPr>
      </w:pPr>
    </w:p>
    <w:p>
      <w:pPr>
        <w:pStyle w:val="36"/>
        <w:spacing w:line="360" w:lineRule="auto"/>
        <w:rPr>
          <w:rFonts w:hint="eastAsia" w:ascii="宋体" w:hAnsi="宋体" w:eastAsia="宋体" w:cs="宋体"/>
          <w:b/>
          <w:bCs/>
          <w:color w:val="auto"/>
          <w:sz w:val="24"/>
          <w:szCs w:val="24"/>
          <w:highlight w:val="none"/>
          <w:lang w:val="zh-CN"/>
        </w:rPr>
      </w:pPr>
    </w:p>
    <w:p>
      <w:pPr>
        <w:pStyle w:val="36"/>
        <w:spacing w:line="360" w:lineRule="auto"/>
        <w:rPr>
          <w:rFonts w:hint="eastAsia" w:ascii="宋体" w:hAnsi="宋体" w:eastAsia="宋体" w:cs="宋体"/>
          <w:b/>
          <w:bCs/>
          <w:color w:val="auto"/>
          <w:sz w:val="24"/>
          <w:szCs w:val="24"/>
          <w:highlight w:val="none"/>
          <w:lang w:val="zh-CN"/>
        </w:rPr>
      </w:pPr>
    </w:p>
    <w:p>
      <w:pPr>
        <w:pStyle w:val="36"/>
        <w:spacing w:line="360" w:lineRule="auto"/>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center"/>
        <w:outlineLvl w:val="9"/>
        <w:rPr>
          <w:rFonts w:hint="eastAsia" w:ascii="宋体" w:hAnsi="宋体" w:eastAsia="宋体" w:cs="宋体"/>
          <w:b/>
          <w:bCs/>
          <w:color w:val="auto"/>
          <w:sz w:val="24"/>
          <w:szCs w:val="24"/>
          <w:highlight w:val="none"/>
          <w:lang w:val="zh-CN"/>
        </w:rPr>
      </w:pPr>
      <w:bookmarkStart w:id="708" w:name="_Toc22564"/>
      <w:bookmarkStart w:id="709" w:name="_Toc15418"/>
      <w:bookmarkStart w:id="710" w:name="_Toc30163"/>
    </w:p>
    <w:p>
      <w:pPr>
        <w:pStyle w:val="9"/>
        <w:spacing w:line="360" w:lineRule="auto"/>
        <w:rPr>
          <w:rFonts w:hint="eastAsia" w:ascii="宋体" w:hAnsi="宋体" w:eastAsia="宋体" w:cs="宋体"/>
          <w:sz w:val="24"/>
          <w:szCs w:val="24"/>
          <w:lang w:val="zh-CN"/>
        </w:rPr>
      </w:pPr>
    </w:p>
    <w:p>
      <w:pPr>
        <w:autoSpaceDE w:val="0"/>
        <w:autoSpaceDN w:val="0"/>
        <w:adjustRightInd w:val="0"/>
        <w:snapToGrid w:val="0"/>
        <w:spacing w:line="360" w:lineRule="auto"/>
        <w:jc w:val="center"/>
        <w:outlineLvl w:val="9"/>
        <w:rPr>
          <w:rFonts w:hint="eastAsia" w:ascii="宋体" w:hAnsi="宋体" w:eastAsia="宋体" w:cs="宋体"/>
          <w:b/>
          <w:bCs/>
          <w:color w:val="auto"/>
          <w:sz w:val="24"/>
          <w:szCs w:val="24"/>
          <w:highlight w:val="none"/>
          <w:lang w:val="zh-CN"/>
        </w:rPr>
      </w:pPr>
      <w:bookmarkStart w:id="711" w:name="_Toc9485"/>
      <w:bookmarkStart w:id="712" w:name="_Toc12912"/>
      <w:bookmarkStart w:id="713" w:name="_Toc14504"/>
      <w:bookmarkStart w:id="714" w:name="_Toc10403"/>
      <w:bookmarkStart w:id="715" w:name="_Toc9695"/>
    </w:p>
    <w:p>
      <w:pPr>
        <w:autoSpaceDE w:val="0"/>
        <w:autoSpaceDN w:val="0"/>
        <w:adjustRightInd w:val="0"/>
        <w:snapToGrid w:val="0"/>
        <w:spacing w:line="360" w:lineRule="auto"/>
        <w:jc w:val="center"/>
        <w:outlineLvl w:val="9"/>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center"/>
        <w:outlineLvl w:val="9"/>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center"/>
        <w:outlineLvl w:val="9"/>
        <w:rPr>
          <w:rFonts w:hint="eastAsia" w:ascii="宋体" w:hAnsi="宋体" w:eastAsia="宋体" w:cs="宋体"/>
          <w:b/>
          <w:bCs/>
          <w:color w:val="auto"/>
          <w:sz w:val="24"/>
          <w:szCs w:val="24"/>
          <w:highlight w:val="none"/>
          <w:lang w:val="zh-CN"/>
        </w:rPr>
      </w:pPr>
    </w:p>
    <w:p>
      <w:pPr>
        <w:autoSpaceDE w:val="0"/>
        <w:autoSpaceDN w:val="0"/>
        <w:adjustRightInd w:val="0"/>
        <w:snapToGrid w:val="0"/>
        <w:spacing w:line="360" w:lineRule="auto"/>
        <w:jc w:val="center"/>
        <w:outlineLvl w:val="0"/>
        <w:rPr>
          <w:rFonts w:hint="eastAsia" w:ascii="宋体" w:hAnsi="宋体" w:eastAsia="宋体" w:cs="宋体"/>
          <w:b/>
          <w:bCs/>
          <w:color w:val="auto"/>
          <w:sz w:val="24"/>
          <w:szCs w:val="24"/>
          <w:highlight w:val="none"/>
          <w:lang w:val="zh-CN"/>
        </w:rPr>
      </w:pPr>
      <w:bookmarkStart w:id="716" w:name="_Toc26500"/>
      <w:r>
        <w:rPr>
          <w:rFonts w:hint="eastAsia" w:ascii="宋体" w:hAnsi="宋体" w:cs="宋体"/>
          <w:b/>
          <w:bCs/>
          <w:color w:val="auto"/>
          <w:sz w:val="24"/>
          <w:szCs w:val="24"/>
          <w:highlight w:val="none"/>
          <w:lang w:val="zh-CN"/>
        </w:rPr>
        <w:t>八</w:t>
      </w:r>
      <w:r>
        <w:rPr>
          <w:rFonts w:hint="eastAsia" w:ascii="宋体" w:hAnsi="宋体" w:eastAsia="宋体" w:cs="宋体"/>
          <w:b/>
          <w:bCs/>
          <w:color w:val="auto"/>
          <w:sz w:val="24"/>
          <w:szCs w:val="24"/>
          <w:highlight w:val="none"/>
          <w:lang w:val="zh-CN"/>
        </w:rPr>
        <w:t>、</w:t>
      </w:r>
      <w:r>
        <w:rPr>
          <w:rFonts w:hint="eastAsia" w:ascii="宋体" w:hAnsi="宋体" w:cs="宋体"/>
          <w:b/>
          <w:bCs/>
          <w:color w:val="auto"/>
          <w:sz w:val="24"/>
          <w:szCs w:val="24"/>
          <w:highlight w:val="none"/>
          <w:lang w:val="zh-CN"/>
        </w:rPr>
        <w:t>投标人</w:t>
      </w:r>
      <w:r>
        <w:rPr>
          <w:rFonts w:hint="eastAsia" w:ascii="宋体" w:hAnsi="宋体" w:eastAsia="宋体" w:cs="宋体"/>
          <w:b/>
          <w:bCs/>
          <w:color w:val="auto"/>
          <w:sz w:val="24"/>
          <w:szCs w:val="24"/>
          <w:highlight w:val="none"/>
          <w:lang w:val="zh-CN"/>
        </w:rPr>
        <w:t>业绩一览表</w:t>
      </w:r>
      <w:bookmarkEnd w:id="708"/>
      <w:bookmarkEnd w:id="709"/>
      <w:bookmarkEnd w:id="710"/>
      <w:bookmarkEnd w:id="711"/>
      <w:bookmarkEnd w:id="712"/>
      <w:bookmarkEnd w:id="713"/>
      <w:bookmarkEnd w:id="714"/>
      <w:bookmarkEnd w:id="715"/>
      <w:bookmarkEnd w:id="716"/>
    </w:p>
    <w:tbl>
      <w:tblPr>
        <w:tblStyle w:val="23"/>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4566"/>
        <w:gridCol w:w="1791"/>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538"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0"/>
              <w:rPr>
                <w:rFonts w:hint="eastAsia" w:ascii="宋体" w:hAnsi="宋体" w:eastAsia="宋体" w:cs="宋体"/>
                <w:color w:val="auto"/>
                <w:sz w:val="24"/>
                <w:szCs w:val="24"/>
                <w:highlight w:val="none"/>
              </w:rPr>
            </w:pPr>
            <w:bookmarkStart w:id="717" w:name="_Toc8823"/>
            <w:bookmarkStart w:id="718" w:name="_Toc6587"/>
            <w:bookmarkStart w:id="719" w:name="_Toc18361"/>
            <w:bookmarkStart w:id="720" w:name="_Toc10505"/>
            <w:bookmarkStart w:id="721" w:name="_Toc9606"/>
            <w:bookmarkStart w:id="722" w:name="_Toc27600"/>
            <w:bookmarkStart w:id="723" w:name="_Toc1722"/>
            <w:bookmarkStart w:id="724" w:name="_Toc15762"/>
            <w:r>
              <w:rPr>
                <w:rFonts w:hint="eastAsia" w:ascii="宋体" w:hAnsi="宋体" w:eastAsia="宋体" w:cs="宋体"/>
                <w:b/>
                <w:kern w:val="2"/>
                <w:sz w:val="24"/>
                <w:szCs w:val="24"/>
                <w:lang w:val="en-US" w:eastAsia="zh-CN" w:bidi="ar"/>
              </w:rPr>
              <w:t>序号</w:t>
            </w:r>
            <w:bookmarkEnd w:id="717"/>
            <w:bookmarkEnd w:id="718"/>
            <w:bookmarkEnd w:id="719"/>
            <w:bookmarkEnd w:id="720"/>
            <w:bookmarkEnd w:id="721"/>
            <w:bookmarkEnd w:id="722"/>
            <w:bookmarkEnd w:id="723"/>
            <w:bookmarkEnd w:id="724"/>
          </w:p>
        </w:tc>
        <w:tc>
          <w:tcPr>
            <w:tcW w:w="4566"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0"/>
              <w:rPr>
                <w:rFonts w:hint="eastAsia" w:ascii="宋体" w:hAnsi="宋体" w:eastAsia="宋体" w:cs="宋体"/>
                <w:color w:val="auto"/>
                <w:sz w:val="24"/>
                <w:szCs w:val="24"/>
                <w:highlight w:val="none"/>
              </w:rPr>
            </w:pPr>
            <w:bookmarkStart w:id="725" w:name="_Toc22680"/>
            <w:bookmarkStart w:id="726" w:name="_Toc30453"/>
            <w:bookmarkStart w:id="727" w:name="_Toc26607"/>
            <w:bookmarkStart w:id="728" w:name="_Toc11907"/>
            <w:bookmarkStart w:id="729" w:name="_Toc6127"/>
            <w:bookmarkStart w:id="730" w:name="_Toc24601"/>
            <w:bookmarkStart w:id="731" w:name="_Toc32521"/>
            <w:bookmarkStart w:id="732" w:name="_Toc21813"/>
            <w:r>
              <w:rPr>
                <w:rFonts w:hint="eastAsia" w:ascii="宋体" w:hAnsi="宋体" w:eastAsia="宋体" w:cs="宋体"/>
                <w:b/>
                <w:kern w:val="2"/>
                <w:sz w:val="24"/>
                <w:szCs w:val="24"/>
                <w:lang w:val="en-US" w:eastAsia="zh-CN" w:bidi="ar"/>
              </w:rPr>
              <w:t>项目名称</w:t>
            </w:r>
            <w:bookmarkEnd w:id="725"/>
            <w:bookmarkEnd w:id="726"/>
            <w:bookmarkEnd w:id="727"/>
            <w:bookmarkEnd w:id="728"/>
            <w:bookmarkEnd w:id="729"/>
            <w:bookmarkEnd w:id="730"/>
            <w:bookmarkEnd w:id="731"/>
            <w:bookmarkEnd w:id="732"/>
          </w:p>
        </w:tc>
        <w:tc>
          <w:tcPr>
            <w:tcW w:w="179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0"/>
              <w:rPr>
                <w:rFonts w:hint="eastAsia" w:ascii="宋体" w:hAnsi="宋体" w:eastAsia="宋体" w:cs="宋体"/>
                <w:b/>
                <w:kern w:val="2"/>
                <w:sz w:val="24"/>
                <w:szCs w:val="24"/>
                <w:lang w:eastAsia="zh-CN" w:bidi="ar"/>
              </w:rPr>
            </w:pPr>
            <w:bookmarkStart w:id="733" w:name="_Toc7022"/>
            <w:bookmarkStart w:id="734" w:name="_Toc26373"/>
            <w:bookmarkStart w:id="735" w:name="_Toc17338"/>
            <w:bookmarkStart w:id="736" w:name="_Toc2315"/>
            <w:bookmarkStart w:id="737" w:name="_Toc16079"/>
            <w:bookmarkStart w:id="738" w:name="_Toc17451"/>
            <w:bookmarkStart w:id="739" w:name="_Toc24776"/>
            <w:bookmarkStart w:id="740" w:name="_Toc32275"/>
            <w:r>
              <w:rPr>
                <w:rFonts w:hint="eastAsia" w:ascii="宋体" w:hAnsi="宋体" w:eastAsia="宋体" w:cs="宋体"/>
                <w:b/>
                <w:kern w:val="2"/>
                <w:sz w:val="24"/>
                <w:szCs w:val="24"/>
                <w:lang w:eastAsia="zh-CN" w:bidi="ar"/>
              </w:rPr>
              <w:t>采购单位</w:t>
            </w:r>
            <w:bookmarkEnd w:id="733"/>
            <w:bookmarkEnd w:id="734"/>
            <w:bookmarkEnd w:id="735"/>
            <w:bookmarkEnd w:id="736"/>
            <w:bookmarkEnd w:id="737"/>
            <w:bookmarkEnd w:id="738"/>
            <w:bookmarkEnd w:id="739"/>
            <w:bookmarkEnd w:id="740"/>
          </w:p>
        </w:tc>
        <w:tc>
          <w:tcPr>
            <w:tcW w:w="200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0"/>
              <w:rPr>
                <w:rFonts w:hint="eastAsia" w:ascii="宋体" w:hAnsi="宋体" w:eastAsia="宋体" w:cs="宋体"/>
                <w:b/>
                <w:kern w:val="2"/>
                <w:sz w:val="24"/>
                <w:szCs w:val="24"/>
                <w:lang w:eastAsia="zh-CN" w:bidi="ar"/>
              </w:rPr>
            </w:pPr>
            <w:bookmarkStart w:id="741" w:name="_Toc18514"/>
            <w:bookmarkStart w:id="742" w:name="_Toc30967"/>
            <w:bookmarkStart w:id="743" w:name="_Toc22860"/>
            <w:bookmarkStart w:id="744" w:name="_Toc31428"/>
            <w:bookmarkStart w:id="745" w:name="_Toc27635"/>
            <w:bookmarkStart w:id="746" w:name="_Toc4969"/>
            <w:bookmarkStart w:id="747" w:name="_Toc987"/>
            <w:bookmarkStart w:id="748" w:name="_Toc15508"/>
            <w:r>
              <w:rPr>
                <w:rFonts w:hint="eastAsia" w:ascii="宋体" w:hAnsi="宋体" w:eastAsia="宋体" w:cs="宋体"/>
                <w:b/>
                <w:kern w:val="2"/>
                <w:sz w:val="24"/>
                <w:szCs w:val="24"/>
                <w:lang w:eastAsia="zh-CN" w:bidi="ar"/>
              </w:rPr>
              <w:t>合同金额</w:t>
            </w:r>
            <w:bookmarkEnd w:id="741"/>
            <w:bookmarkEnd w:id="742"/>
            <w:bookmarkEnd w:id="743"/>
            <w:bookmarkEnd w:id="744"/>
            <w:bookmarkEnd w:id="745"/>
            <w:bookmarkEnd w:id="746"/>
            <w:bookmarkEnd w:id="747"/>
            <w:bookmarkEnd w:id="7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38"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566"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79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200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38"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566"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79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200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38"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566"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79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200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38"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566"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79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200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38"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566"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79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200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38"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566"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79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200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38"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566"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79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200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38"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566"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79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200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38"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566"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79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2001"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38" w:type="dxa"/>
            <w:noWrap w:val="0"/>
            <w:vAlign w:val="center"/>
          </w:tcPr>
          <w:p>
            <w:pPr>
              <w:keepNext w:val="0"/>
              <w:keepLines w:val="0"/>
              <w:suppressLineNumbers w:val="0"/>
              <w:topLinePunct/>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566" w:type="dxa"/>
            <w:noWrap w:val="0"/>
            <w:vAlign w:val="top"/>
          </w:tcPr>
          <w:p>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791" w:type="dxa"/>
            <w:noWrap w:val="0"/>
            <w:vAlign w:val="top"/>
          </w:tcPr>
          <w:p>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001" w:type="dxa"/>
            <w:noWrap w:val="0"/>
            <w:vAlign w:val="top"/>
          </w:tcPr>
          <w:p>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highlight w:val="none"/>
              </w:rPr>
            </w:pPr>
          </w:p>
        </w:tc>
      </w:tr>
    </w:tbl>
    <w:p>
      <w:pPr>
        <w:autoSpaceDE w:val="0"/>
        <w:autoSpaceDN w:val="0"/>
        <w:adjustRightIn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注：后附合同或</w:t>
      </w:r>
      <w:r>
        <w:rPr>
          <w:rFonts w:hint="eastAsia" w:ascii="宋体" w:hAnsi="宋体" w:cs="宋体"/>
          <w:b/>
          <w:bCs/>
          <w:color w:val="auto"/>
          <w:sz w:val="24"/>
          <w:szCs w:val="24"/>
          <w:highlight w:val="none"/>
          <w:lang w:eastAsia="zh-CN"/>
        </w:rPr>
        <w:t>中标通知书</w:t>
      </w:r>
      <w:r>
        <w:rPr>
          <w:rFonts w:hint="eastAsia" w:ascii="宋体" w:hAnsi="宋体" w:eastAsia="宋体" w:cs="宋体"/>
          <w:b/>
          <w:bCs/>
          <w:color w:val="auto"/>
          <w:sz w:val="24"/>
          <w:szCs w:val="24"/>
          <w:highlight w:val="none"/>
        </w:rPr>
        <w:t>复印件为依据。</w:t>
      </w: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spacing w:line="360" w:lineRule="auto"/>
        <w:ind w:right="-161" w:firstLine="2400" w:firstLineChars="10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pPr>
        <w:spacing w:line="360" w:lineRule="auto"/>
        <w:ind w:right="-161"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或被授权代表：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pPr>
        <w:tabs>
          <w:tab w:val="left" w:pos="9070"/>
        </w:tabs>
        <w:spacing w:line="360" w:lineRule="auto"/>
        <w:ind w:right="-428"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bookmarkStart w:id="749" w:name="_Toc21237_WPSOffice_Level1"/>
      <w:bookmarkStart w:id="750" w:name="_Toc9809"/>
      <w:bookmarkStart w:id="751" w:name="_Toc28369"/>
      <w:bookmarkStart w:id="752" w:name="_Toc11276"/>
      <w:bookmarkStart w:id="753" w:name="_Toc21764"/>
      <w:bookmarkStart w:id="754" w:name="_Toc20320"/>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bookmarkStart w:id="755" w:name="_Toc3667"/>
      <w:bookmarkStart w:id="756" w:name="_Toc6690"/>
      <w:bookmarkStart w:id="757" w:name="_Toc17029"/>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0"/>
        <w:rPr>
          <w:rFonts w:hint="eastAsia" w:ascii="宋体" w:hAnsi="宋体" w:eastAsia="宋体" w:cs="宋体"/>
          <w:b/>
          <w:bCs/>
          <w:color w:val="auto"/>
          <w:sz w:val="24"/>
          <w:szCs w:val="24"/>
          <w:highlight w:val="yellow"/>
        </w:rPr>
      </w:pPr>
      <w:bookmarkStart w:id="758" w:name="_Toc31860"/>
      <w:r>
        <w:rPr>
          <w:rFonts w:hint="eastAsia" w:ascii="宋体" w:hAnsi="宋体" w:cs="宋体"/>
          <w:b/>
          <w:bCs/>
          <w:color w:val="auto"/>
          <w:sz w:val="24"/>
          <w:szCs w:val="24"/>
          <w:highlight w:val="none"/>
          <w:lang w:eastAsia="zh-CN"/>
        </w:rPr>
        <w:t>九</w:t>
      </w:r>
      <w:r>
        <w:rPr>
          <w:rFonts w:hint="eastAsia" w:ascii="宋体" w:hAnsi="宋体" w:eastAsia="宋体" w:cs="宋体"/>
          <w:b/>
          <w:bCs/>
          <w:color w:val="auto"/>
          <w:sz w:val="24"/>
          <w:szCs w:val="24"/>
          <w:highlight w:val="none"/>
        </w:rPr>
        <w:t>、</w:t>
      </w:r>
      <w:bookmarkEnd w:id="749"/>
      <w:r>
        <w:rPr>
          <w:rFonts w:hint="eastAsia" w:ascii="宋体" w:hAnsi="宋体" w:eastAsia="宋体" w:cs="宋体"/>
          <w:b/>
          <w:bCs/>
          <w:color w:val="auto"/>
          <w:sz w:val="24"/>
          <w:szCs w:val="24"/>
          <w:highlight w:val="none"/>
          <w:lang w:val="en-US" w:eastAsia="zh-CN"/>
        </w:rPr>
        <w:t>资格</w:t>
      </w:r>
      <w:r>
        <w:rPr>
          <w:rFonts w:hint="eastAsia" w:ascii="宋体" w:hAnsi="宋体" w:eastAsia="宋体" w:cs="宋体"/>
          <w:b/>
          <w:bCs/>
          <w:color w:val="auto"/>
          <w:sz w:val="24"/>
          <w:szCs w:val="24"/>
          <w:highlight w:val="none"/>
          <w:lang w:val="zh-CN"/>
        </w:rPr>
        <w:t>证明文件</w:t>
      </w:r>
      <w:bookmarkEnd w:id="750"/>
      <w:bookmarkEnd w:id="751"/>
      <w:bookmarkEnd w:id="752"/>
      <w:bookmarkEnd w:id="753"/>
      <w:bookmarkEnd w:id="754"/>
      <w:bookmarkEnd w:id="755"/>
      <w:bookmarkEnd w:id="756"/>
      <w:bookmarkEnd w:id="757"/>
      <w:bookmarkEnd w:id="758"/>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为合法注册的法人、其他组织或自然人，具有独立承担民事责任的能力，提供具有统一社会信用代码证的营业执照（或事业单位法人证），</w:t>
      </w:r>
      <w:r>
        <w:rPr>
          <w:rFonts w:hint="eastAsia" w:ascii="宋体" w:hAnsi="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为自然人的提供身份证；</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应授权合法的人员参加投标全过程，其中法定代表人直接参加投标的，须出具法定代表人身份证，并与营业执照上信息一致。法定代表人授权代表参加投标的，须出具法定代表人授权书及授权代表身份证；</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cs="宋体"/>
          <w:color w:val="auto"/>
          <w:sz w:val="24"/>
          <w:szCs w:val="24"/>
          <w:highlight w:val="none"/>
          <w:lang w:val="en-US" w:eastAsia="zh-CN"/>
        </w:rPr>
        <w:t>投标人为非所投进口产品制造商的，需提供进口产品制造商对投标人所投进口产品的授权，或具有授权权限的代理商对投标人所投进口产品的授权书原件（且需提供该代理商具有效授权权限的相关证明文件，证明文件需能显示进口产品制造商对所投产品授权链条的完整性）（进口产品制造商直投不需提供）</w:t>
      </w:r>
      <w:r>
        <w:rPr>
          <w:rFonts w:hint="default" w:ascii="宋体" w:hAnsi="宋体" w:eastAsia="宋体" w:cs="宋体"/>
          <w:color w:val="auto"/>
          <w:sz w:val="24"/>
          <w:szCs w:val="24"/>
          <w:highlight w:val="none"/>
          <w:lang w:val="en-US" w:eastAsia="zh-CN"/>
        </w:rPr>
        <w:t>；</w:t>
      </w:r>
    </w:p>
    <w:p>
      <w:pPr>
        <w:keepNext w:val="0"/>
        <w:keepLines w:val="0"/>
        <w:suppressLineNumbers w:val="0"/>
        <w:autoSpaceDE w:val="0"/>
        <w:autoSpaceDN w:val="0"/>
        <w:adjustRightInd w:val="0"/>
        <w:spacing w:before="0" w:beforeAutospacing="0" w:after="0" w:afterAutospacing="0" w:line="360" w:lineRule="auto"/>
        <w:ind w:right="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4、本项目不接受联合体投标，单位负责人为同一人或者存在直接控股、管理关系的不同单位，不得参加同一项下的政府采购活动。对列入失信被执行人、政府采购严重违法失信行为记录名单的</w:t>
      </w:r>
      <w:r>
        <w:rPr>
          <w:rFonts w:hint="eastAsia" w:ascii="宋体" w:hAnsi="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，拒绝参与本项目政府采购活动。</w:t>
      </w:r>
    </w:p>
    <w:p>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以上内容资质为必备资质。</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1"/>
        <w:rPr>
          <w:rFonts w:hint="eastAsia"/>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bookmarkStart w:id="759" w:name="_Toc4000"/>
    </w:p>
    <w:p>
      <w:pPr>
        <w:adjustRightInd w:val="0"/>
        <w:snapToGrid w:val="0"/>
        <w:spacing w:line="360" w:lineRule="auto"/>
        <w:jc w:val="both"/>
        <w:outlineLvl w:val="0"/>
        <w:rPr>
          <w:rFonts w:hint="eastAsia" w:ascii="宋体" w:hAnsi="宋体" w:eastAsia="宋体" w:cs="宋体"/>
          <w:b/>
          <w:color w:val="auto"/>
          <w:sz w:val="24"/>
          <w:szCs w:val="24"/>
          <w:highlight w:val="none"/>
          <w:lang w:val="en-US" w:eastAsia="zh-CN"/>
        </w:rPr>
      </w:pPr>
      <w:bookmarkStart w:id="760" w:name="_Toc20417"/>
    </w:p>
    <w:p>
      <w:pPr>
        <w:adjustRightInd w:val="0"/>
        <w:snapToGrid w:val="0"/>
        <w:spacing w:line="360" w:lineRule="auto"/>
        <w:jc w:val="both"/>
        <w:outlineLvl w:val="0"/>
        <w:rPr>
          <w:rFonts w:hint="eastAsia" w:ascii="宋体" w:hAnsi="宋体" w:eastAsia="宋体" w:cs="宋体"/>
          <w:b/>
          <w:color w:val="auto"/>
          <w:sz w:val="24"/>
          <w:szCs w:val="24"/>
          <w:highlight w:val="none"/>
          <w:lang w:val="en-US" w:eastAsia="zh-CN"/>
        </w:rPr>
      </w:pPr>
      <w:bookmarkStart w:id="761" w:name="_Toc6692"/>
      <w:bookmarkStart w:id="762" w:name="_Toc12666"/>
      <w:bookmarkStart w:id="763" w:name="_Toc5788"/>
      <w:r>
        <w:rPr>
          <w:rFonts w:hint="eastAsia" w:ascii="宋体" w:hAnsi="宋体" w:eastAsia="宋体" w:cs="宋体"/>
          <w:b/>
          <w:color w:val="auto"/>
          <w:sz w:val="24"/>
          <w:szCs w:val="24"/>
          <w:highlight w:val="none"/>
          <w:lang w:val="en-US" w:eastAsia="zh-CN"/>
        </w:rPr>
        <w:t>附件1</w:t>
      </w:r>
      <w:bookmarkEnd w:id="759"/>
      <w:bookmarkEnd w:id="760"/>
      <w:bookmarkEnd w:id="761"/>
      <w:bookmarkEnd w:id="762"/>
      <w:bookmarkEnd w:id="763"/>
    </w:p>
    <w:p>
      <w:pPr>
        <w:adjustRightInd w:val="0"/>
        <w:snapToGrid w:val="0"/>
        <w:spacing w:line="360" w:lineRule="auto"/>
        <w:jc w:val="center"/>
        <w:outlineLvl w:val="0"/>
        <w:rPr>
          <w:rFonts w:hint="eastAsia" w:ascii="宋体" w:hAnsi="宋体" w:eastAsia="宋体" w:cs="宋体"/>
          <w:color w:val="auto"/>
          <w:sz w:val="24"/>
          <w:szCs w:val="24"/>
          <w:highlight w:val="none"/>
          <w:lang w:eastAsia="zh-CN"/>
        </w:rPr>
      </w:pPr>
      <w:bookmarkStart w:id="764" w:name="_Toc13171"/>
      <w:bookmarkStart w:id="765" w:name="_Toc15804"/>
      <w:bookmarkStart w:id="766" w:name="_Toc23463"/>
      <w:bookmarkStart w:id="767" w:name="_Toc16166"/>
      <w:bookmarkStart w:id="768" w:name="_Toc4817"/>
      <w:bookmarkStart w:id="769" w:name="_Toc5575"/>
      <w:bookmarkStart w:id="770" w:name="_Toc30270"/>
      <w:bookmarkStart w:id="771" w:name="_Toc4434"/>
      <w:bookmarkStart w:id="772" w:name="_Toc14494"/>
      <w:bookmarkStart w:id="773" w:name="_Toc3134"/>
      <w:bookmarkStart w:id="774" w:name="_Toc21495"/>
      <w:bookmarkStart w:id="775" w:name="_Toc5880"/>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法定代表人身份证明</w:t>
      </w:r>
      <w:bookmarkEnd w:id="764"/>
      <w:bookmarkEnd w:id="765"/>
      <w:bookmarkEnd w:id="766"/>
      <w:r>
        <w:rPr>
          <w:rFonts w:hint="eastAsia" w:ascii="宋体" w:hAnsi="宋体" w:eastAsia="宋体" w:cs="宋体"/>
          <w:b/>
          <w:color w:val="auto"/>
          <w:sz w:val="24"/>
          <w:szCs w:val="24"/>
          <w:highlight w:val="none"/>
          <w:lang w:eastAsia="zh-CN"/>
        </w:rPr>
        <w:t>书</w:t>
      </w:r>
      <w:bookmarkEnd w:id="767"/>
      <w:bookmarkEnd w:id="768"/>
      <w:bookmarkEnd w:id="769"/>
      <w:bookmarkEnd w:id="770"/>
      <w:bookmarkEnd w:id="771"/>
      <w:bookmarkEnd w:id="772"/>
      <w:bookmarkEnd w:id="773"/>
      <w:bookmarkEnd w:id="774"/>
      <w:bookmarkEnd w:id="775"/>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商</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名称）的法定代表人。</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附：法定代表人身份证复印件</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635</wp:posOffset>
                </wp:positionV>
                <wp:extent cx="2867025" cy="1676400"/>
                <wp:effectExtent l="4445" t="4445" r="5080" b="14605"/>
                <wp:wrapNone/>
                <wp:docPr id="3" name="文本框 3"/>
                <wp:cNvGraphicFramePr/>
                <a:graphic xmlns:a="http://schemas.openxmlformats.org/drawingml/2006/main">
                  <a:graphicData uri="http://schemas.microsoft.com/office/word/2010/wordprocessingShape">
                    <wps:wsp>
                      <wps:cNvSpPr txBox="1"/>
                      <wps:spPr>
                        <a:xfrm>
                          <a:off x="0" y="0"/>
                          <a:ext cx="2867025" cy="1676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28"/>
                                <w:szCs w:val="28"/>
                              </w:rPr>
                            </w:pPr>
                            <w:r>
                              <w:rPr>
                                <w:rFonts w:hint="eastAsia" w:ascii="宋体" w:hAnsi="宋体"/>
                                <w:sz w:val="28"/>
                                <w:szCs w:val="28"/>
                              </w:rPr>
                              <w:t>法定代表人身份证复印件</w:t>
                            </w:r>
                          </w:p>
                          <w:p>
                            <w:pPr>
                              <w:adjustRightInd w:val="0"/>
                              <w:snapToGrid w:val="0"/>
                              <w:spacing w:line="348" w:lineRule="auto"/>
                              <w:jc w:val="center"/>
                              <w:rPr>
                                <w:rFonts w:hint="eastAsia" w:ascii="宋体" w:hAnsi="宋体"/>
                                <w:sz w:val="28"/>
                                <w:szCs w:val="28"/>
                              </w:rPr>
                            </w:pPr>
                            <w:r>
                              <w:rPr>
                                <w:rFonts w:hint="eastAsia" w:ascii="宋体" w:hAnsi="宋体"/>
                                <w:sz w:val="28"/>
                                <w:szCs w:val="28"/>
                              </w:rPr>
                              <w:t>（</w:t>
                            </w:r>
                            <w:r>
                              <w:rPr>
                                <w:rFonts w:hint="eastAsia" w:ascii="宋体" w:hAnsi="宋体"/>
                                <w:b/>
                                <w:bCs/>
                                <w:sz w:val="28"/>
                                <w:szCs w:val="28"/>
                              </w:rPr>
                              <w:t>反面</w:t>
                            </w:r>
                            <w:r>
                              <w:rPr>
                                <w:rFonts w:hint="eastAsia" w:ascii="宋体" w:hAnsi="宋体"/>
                                <w:sz w:val="28"/>
                                <w:szCs w:val="28"/>
                              </w:rPr>
                              <w:t>）</w:t>
                            </w:r>
                          </w:p>
                        </w:txbxContent>
                      </wps:txbx>
                      <wps:bodyPr upright="1"/>
                    </wps:wsp>
                  </a:graphicData>
                </a:graphic>
              </wp:anchor>
            </w:drawing>
          </mc:Choice>
          <mc:Fallback>
            <w:pict>
              <v:shape id="_x0000_s1026" o:spid="_x0000_s1026" o:spt="202" type="#_x0000_t202" style="position:absolute;left:0pt;margin-left:228.75pt;margin-top:0.05pt;height:132pt;width:225.75pt;z-index:251660288;mso-width-relative:page;mso-height-relative:page;" fillcolor="#FFFFFF" filled="t" stroked="t" coordsize="21600,21600" o:gfxdata="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HXny1wAAAAgBAAAPAAAAAAAA&#10;AAEAIAAAACIAAABkcnMvZG93bnJldi54bWxQSwECFAAUAAAACACHTuJAN0RYoxMCAABFBAAADgAA&#10;AAAAAAABACAAAAAmAQAAZHJzL2Uyb0RvYy54bWxQSwUGAAAAAAYABgBZAQAAqwUAAAAA&#10;">
                <v:fill on="t" focussize="0,0"/>
                <v:stroke color="#000000" joinstyle="miter"/>
                <v:imagedata o:title=""/>
                <o:lock v:ext="edit" aspectratio="f"/>
                <v:textbox>
                  <w:txbxContent>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28"/>
                          <w:szCs w:val="28"/>
                        </w:rPr>
                      </w:pPr>
                      <w:r>
                        <w:rPr>
                          <w:rFonts w:hint="eastAsia" w:ascii="宋体" w:hAnsi="宋体"/>
                          <w:sz w:val="28"/>
                          <w:szCs w:val="28"/>
                        </w:rPr>
                        <w:t>法定代表人身份证复印件</w:t>
                      </w:r>
                    </w:p>
                    <w:p>
                      <w:pPr>
                        <w:adjustRightInd w:val="0"/>
                        <w:snapToGrid w:val="0"/>
                        <w:spacing w:line="348" w:lineRule="auto"/>
                        <w:jc w:val="center"/>
                        <w:rPr>
                          <w:rFonts w:hint="eastAsia" w:ascii="宋体" w:hAnsi="宋体"/>
                          <w:sz w:val="28"/>
                          <w:szCs w:val="28"/>
                        </w:rPr>
                      </w:pPr>
                      <w:r>
                        <w:rPr>
                          <w:rFonts w:hint="eastAsia" w:ascii="宋体" w:hAnsi="宋体"/>
                          <w:sz w:val="28"/>
                          <w:szCs w:val="28"/>
                        </w:rPr>
                        <w:t>（</w:t>
                      </w:r>
                      <w:r>
                        <w:rPr>
                          <w:rFonts w:hint="eastAsia" w:ascii="宋体" w:hAnsi="宋体"/>
                          <w:b/>
                          <w:bCs/>
                          <w:sz w:val="28"/>
                          <w:szCs w:val="28"/>
                        </w:rPr>
                        <w:t>反面</w:t>
                      </w:r>
                      <w:r>
                        <w:rPr>
                          <w:rFonts w:hint="eastAsia" w:ascii="宋体" w:hAnsi="宋体"/>
                          <w:sz w:val="28"/>
                          <w:szCs w:val="28"/>
                        </w:rPr>
                        <w:t>）</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635</wp:posOffset>
                </wp:positionV>
                <wp:extent cx="2867025" cy="16764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2867025" cy="1676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28"/>
                                <w:szCs w:val="28"/>
                              </w:rPr>
                            </w:pPr>
                            <w:r>
                              <w:rPr>
                                <w:rFonts w:hint="eastAsia" w:ascii="宋体" w:hAnsi="宋体"/>
                                <w:sz w:val="28"/>
                                <w:szCs w:val="28"/>
                              </w:rPr>
                              <w:t>法定代表人身份证复印件</w:t>
                            </w:r>
                          </w:p>
                          <w:p>
                            <w:pPr>
                              <w:adjustRightInd w:val="0"/>
                              <w:snapToGrid w:val="0"/>
                              <w:spacing w:line="348" w:lineRule="auto"/>
                              <w:jc w:val="center"/>
                              <w:rPr>
                                <w:rFonts w:hint="eastAsia" w:ascii="宋体" w:hAnsi="宋体"/>
                                <w:sz w:val="28"/>
                                <w:szCs w:val="28"/>
                              </w:rPr>
                            </w:pPr>
                            <w:r>
                              <w:rPr>
                                <w:rFonts w:hint="eastAsia" w:ascii="宋体" w:hAnsi="宋体"/>
                                <w:sz w:val="28"/>
                                <w:szCs w:val="28"/>
                              </w:rPr>
                              <w:t>（</w:t>
                            </w:r>
                            <w:r>
                              <w:rPr>
                                <w:rFonts w:hint="eastAsia" w:ascii="宋体" w:hAnsi="宋体"/>
                                <w:b/>
                                <w:bCs/>
                                <w:sz w:val="28"/>
                                <w:szCs w:val="28"/>
                              </w:rPr>
                              <w:t>正面</w:t>
                            </w:r>
                            <w:r>
                              <w:rPr>
                                <w:rFonts w:hint="eastAsia" w:ascii="宋体" w:hAnsi="宋体"/>
                                <w:sz w:val="28"/>
                                <w:szCs w:val="28"/>
                              </w:rPr>
                              <w:t>）</w:t>
                            </w:r>
                          </w:p>
                        </w:txbxContent>
                      </wps:txbx>
                      <wps:bodyPr upright="1"/>
                    </wps:wsp>
                  </a:graphicData>
                </a:graphic>
              </wp:anchor>
            </w:drawing>
          </mc:Choice>
          <mc:Fallback>
            <w:pict>
              <v:shape id="_x0000_s1026" o:spid="_x0000_s1026" o:spt="202" type="#_x0000_t202" style="position:absolute;left:0pt;margin-left:3pt;margin-top:0.05pt;height:132pt;width:225.75pt;z-index:251659264;mso-width-relative:page;mso-height-relative:page;" fillcolor="#FFFFFF" filled="t" stroked="t" coordsize="21600,21600" o:gfxdata="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2/u4rWAAAABgEAAA8AAAAAAAAA&#10;AQAgAAAAIgAAAGRycy9kb3ducmV2LnhtbFBLAQIUABQAAAAIAIdO4kCqhugBEwIAAEUEAAAOAAAA&#10;AAAAAAEAIAAAACUBAABkcnMvZTJvRG9jLnhtbFBLBQYAAAAABgAGAFkBAACqBQAAAAA=&#10;">
                <v:fill on="t" focussize="0,0"/>
                <v:stroke color="#000000" joinstyle="miter"/>
                <v:imagedata o:title=""/>
                <o:lock v:ext="edit" aspectratio="f"/>
                <v:textbox>
                  <w:txbxContent>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10"/>
                          <w:szCs w:val="10"/>
                        </w:rPr>
                      </w:pPr>
                    </w:p>
                    <w:p>
                      <w:pPr>
                        <w:adjustRightInd w:val="0"/>
                        <w:snapToGrid w:val="0"/>
                        <w:spacing w:line="348" w:lineRule="auto"/>
                        <w:jc w:val="center"/>
                        <w:rPr>
                          <w:rFonts w:hint="eastAsia" w:ascii="宋体" w:hAnsi="宋体"/>
                          <w:sz w:val="28"/>
                          <w:szCs w:val="28"/>
                        </w:rPr>
                      </w:pPr>
                      <w:r>
                        <w:rPr>
                          <w:rFonts w:hint="eastAsia" w:ascii="宋体" w:hAnsi="宋体"/>
                          <w:sz w:val="28"/>
                          <w:szCs w:val="28"/>
                        </w:rPr>
                        <w:t>法定代表人身份证复印件</w:t>
                      </w:r>
                    </w:p>
                    <w:p>
                      <w:pPr>
                        <w:adjustRightInd w:val="0"/>
                        <w:snapToGrid w:val="0"/>
                        <w:spacing w:line="348" w:lineRule="auto"/>
                        <w:jc w:val="center"/>
                        <w:rPr>
                          <w:rFonts w:hint="eastAsia" w:ascii="宋体" w:hAnsi="宋体"/>
                          <w:sz w:val="28"/>
                          <w:szCs w:val="28"/>
                        </w:rPr>
                      </w:pPr>
                      <w:r>
                        <w:rPr>
                          <w:rFonts w:hint="eastAsia" w:ascii="宋体" w:hAnsi="宋体"/>
                          <w:sz w:val="28"/>
                          <w:szCs w:val="28"/>
                        </w:rPr>
                        <w:t>（</w:t>
                      </w:r>
                      <w:r>
                        <w:rPr>
                          <w:rFonts w:hint="eastAsia" w:ascii="宋体" w:hAnsi="宋体"/>
                          <w:b/>
                          <w:bCs/>
                          <w:sz w:val="28"/>
                          <w:szCs w:val="28"/>
                        </w:rPr>
                        <w:t>正面</w:t>
                      </w:r>
                      <w:r>
                        <w:rPr>
                          <w:rFonts w:hint="eastAsia" w:ascii="宋体" w:hAnsi="宋体"/>
                          <w:sz w:val="28"/>
                          <w:szCs w:val="28"/>
                        </w:rPr>
                        <w:t>）</w:t>
                      </w:r>
                    </w:p>
                  </w:txbxContent>
                </v:textbox>
              </v:shape>
            </w:pict>
          </mc:Fallback>
        </mc:AlternateContent>
      </w:r>
    </w:p>
    <w:p>
      <w:pPr>
        <w:snapToGrid w:val="0"/>
        <w:spacing w:line="36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p>
    <w:p>
      <w:pPr>
        <w:spacing w:line="360" w:lineRule="auto"/>
        <w:ind w:right="-161" w:firstLine="2400" w:firstLineChars="10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pPr>
        <w:spacing w:line="360" w:lineRule="auto"/>
        <w:ind w:right="-161"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或被授权代表：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pPr>
        <w:tabs>
          <w:tab w:val="left" w:pos="9070"/>
        </w:tabs>
        <w:spacing w:line="360" w:lineRule="auto"/>
        <w:ind w:right="-428"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right="420"/>
        <w:rPr>
          <w:rFonts w:hint="eastAsia" w:ascii="宋体" w:hAnsi="宋体" w:eastAsia="宋体" w:cs="宋体"/>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lang w:val="en-US" w:eastAsia="zh-CN"/>
        </w:rPr>
      </w:pPr>
      <w:bookmarkStart w:id="776" w:name="_Toc30115"/>
      <w:bookmarkStart w:id="777" w:name="_Toc18851"/>
    </w:p>
    <w:p>
      <w:pPr>
        <w:pStyle w:val="9"/>
        <w:spacing w:line="360" w:lineRule="auto"/>
        <w:rPr>
          <w:rFonts w:hint="eastAsia" w:ascii="宋体" w:hAnsi="宋体" w:eastAsia="宋体" w:cs="宋体"/>
          <w:sz w:val="24"/>
          <w:szCs w:val="24"/>
          <w:lang w:val="en-US" w:eastAsia="zh-CN"/>
        </w:rPr>
      </w:pPr>
    </w:p>
    <w:p>
      <w:pPr>
        <w:pStyle w:val="4"/>
        <w:rPr>
          <w:rFonts w:hint="eastAsia"/>
          <w:lang w:val="en-US" w:eastAsia="zh-CN"/>
        </w:rPr>
      </w:pPr>
      <w:bookmarkStart w:id="778" w:name="_Toc30813"/>
      <w:bookmarkStart w:id="779" w:name="_Toc3336"/>
      <w:bookmarkStart w:id="780" w:name="_Toc11697"/>
      <w:bookmarkStart w:id="781" w:name="_Toc27378"/>
      <w:bookmarkStart w:id="782" w:name="_Toc16813"/>
    </w:p>
    <w:p>
      <w:pPr>
        <w:pStyle w:val="4"/>
        <w:rPr>
          <w:rFonts w:hint="eastAsia" w:ascii="宋体" w:hAnsi="宋体" w:eastAsia="宋体" w:cs="宋体"/>
          <w:b/>
          <w:color w:val="auto"/>
          <w:sz w:val="24"/>
          <w:szCs w:val="24"/>
          <w:highlight w:val="none"/>
          <w:lang w:val="en-US" w:eastAsia="zh-CN"/>
        </w:rPr>
      </w:pPr>
      <w:bookmarkStart w:id="783" w:name="_Toc5510"/>
    </w:p>
    <w:p>
      <w:pPr>
        <w:rPr>
          <w:rFonts w:hint="eastAsia"/>
          <w:lang w:val="en-US" w:eastAsia="zh-CN"/>
        </w:rPr>
      </w:pPr>
    </w:p>
    <w:p>
      <w:pPr>
        <w:rPr>
          <w:rFonts w:hint="eastAsia"/>
          <w:lang w:val="en-US" w:eastAsia="zh-CN"/>
        </w:rPr>
      </w:pPr>
    </w:p>
    <w:p>
      <w:pPr>
        <w:adjustRightInd w:val="0"/>
        <w:snapToGrid w:val="0"/>
        <w:spacing w:line="360" w:lineRule="auto"/>
        <w:jc w:val="both"/>
        <w:outlineLvl w:val="0"/>
        <w:rPr>
          <w:rFonts w:hint="eastAsia" w:ascii="宋体" w:hAnsi="宋体" w:eastAsia="宋体" w:cs="宋体"/>
          <w:b/>
          <w:color w:val="auto"/>
          <w:sz w:val="24"/>
          <w:szCs w:val="24"/>
          <w:highlight w:val="none"/>
          <w:lang w:val="en-US" w:eastAsia="zh-CN"/>
        </w:rPr>
      </w:pPr>
      <w:bookmarkStart w:id="784" w:name="_Toc22621"/>
      <w:bookmarkStart w:id="785" w:name="_Toc3219"/>
      <w:bookmarkStart w:id="786" w:name="_Toc29327"/>
      <w:bookmarkStart w:id="787" w:name="_Toc21720"/>
      <w:r>
        <w:rPr>
          <w:rFonts w:hint="eastAsia" w:ascii="宋体" w:hAnsi="宋体" w:eastAsia="宋体" w:cs="宋体"/>
          <w:b/>
          <w:color w:val="auto"/>
          <w:sz w:val="24"/>
          <w:szCs w:val="24"/>
          <w:highlight w:val="none"/>
          <w:lang w:val="en-US" w:eastAsia="zh-CN"/>
        </w:rPr>
        <w:t>附件2</w:t>
      </w:r>
      <w:bookmarkEnd w:id="783"/>
      <w:bookmarkEnd w:id="784"/>
      <w:bookmarkEnd w:id="785"/>
      <w:bookmarkEnd w:id="786"/>
      <w:bookmarkEnd w:id="787"/>
    </w:p>
    <w:p>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bookmarkStart w:id="788" w:name="_Toc14368"/>
      <w:bookmarkStart w:id="789" w:name="_Toc17976"/>
      <w:bookmarkStart w:id="790" w:name="_Toc21228"/>
      <w:bookmarkStart w:id="791" w:name="_Toc27188"/>
      <w:bookmarkStart w:id="792" w:name="_Toc7181"/>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法定代表人授权书</w:t>
      </w:r>
      <w:bookmarkEnd w:id="776"/>
      <w:bookmarkEnd w:id="777"/>
      <w:bookmarkEnd w:id="778"/>
      <w:bookmarkEnd w:id="779"/>
      <w:bookmarkEnd w:id="780"/>
      <w:bookmarkEnd w:id="781"/>
      <w:bookmarkEnd w:id="782"/>
      <w:bookmarkEnd w:id="788"/>
      <w:bookmarkEnd w:id="789"/>
      <w:bookmarkEnd w:id="790"/>
      <w:bookmarkEnd w:id="791"/>
      <w:bookmarkEnd w:id="792"/>
    </w:p>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陕西中海招标有限公司：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为我方代理人。代理人根据授权，以我方名义签署、澄清、说明、递交、撤回、修改</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、签订合同和处理有关事宜，其法律后果由我方承担。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本授权有效期：    年    月   日至     年   月   日   </w:t>
      </w:r>
    </w:p>
    <w:p>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-127000</wp:posOffset>
                </wp:positionH>
                <wp:positionV relativeFrom="paragraph">
                  <wp:posOffset>379730</wp:posOffset>
                </wp:positionV>
                <wp:extent cx="5445760" cy="2473960"/>
                <wp:effectExtent l="4445" t="5080" r="17145" b="16510"/>
                <wp:wrapNone/>
                <wp:docPr id="1" name="组合 1"/>
                <wp:cNvGraphicFramePr/>
                <a:graphic xmlns:a="http://schemas.openxmlformats.org/drawingml/2006/main">
                  <a:graphicData uri="http://schemas.microsoft.com/office/word/2010/wordprocessingGroup">
                    <wpg:wgp>
                      <wpg:cNvGrpSpPr/>
                      <wpg:grpSpPr>
                        <a:xfrm>
                          <a:off x="0" y="0"/>
                          <a:ext cx="5445760" cy="2473960"/>
                          <a:chOff x="26975" y="352411"/>
                          <a:chExt cx="9029" cy="4513"/>
                        </a:xfrm>
                        <a:effectLst/>
                      </wpg:grpSpPr>
                      <wps:wsp>
                        <wps:cNvPr id="8" name="文本框 8"/>
                        <wps:cNvSpPr txBox="1"/>
                        <wps:spPr>
                          <a:xfrm>
                            <a:off x="31490" y="354668"/>
                            <a:ext cx="4515" cy="225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黑体" w:eastAsia="黑体"/>
                                  <w:sz w:val="32"/>
                                  <w:szCs w:val="32"/>
                                </w:rPr>
                              </w:pPr>
                            </w:p>
                            <w:p>
                              <w:pPr>
                                <w:adjustRightInd w:val="0"/>
                                <w:snapToGrid w:val="0"/>
                                <w:spacing w:line="348" w:lineRule="auto"/>
                                <w:jc w:val="center"/>
                                <w:rPr>
                                  <w:rFonts w:hint="eastAsia" w:ascii="宋体" w:hAnsi="宋体"/>
                                  <w:sz w:val="28"/>
                                  <w:szCs w:val="28"/>
                                </w:rPr>
                              </w:pPr>
                              <w:r>
                                <w:rPr>
                                  <w:rFonts w:hint="eastAsia" w:ascii="宋体" w:hAnsi="宋体"/>
                                  <w:sz w:val="28"/>
                                  <w:szCs w:val="28"/>
                                </w:rPr>
                                <w:t>授权代表身份证复印件</w:t>
                              </w:r>
                            </w:p>
                            <w:p>
                              <w:pPr>
                                <w:adjustRightInd w:val="0"/>
                                <w:snapToGrid w:val="0"/>
                                <w:spacing w:line="348" w:lineRule="auto"/>
                                <w:jc w:val="center"/>
                                <w:rPr>
                                  <w:rFonts w:hint="eastAsia" w:ascii="宋体" w:hAnsi="宋体"/>
                                  <w:sz w:val="28"/>
                                  <w:szCs w:val="28"/>
                                </w:rPr>
                              </w:pPr>
                              <w:r>
                                <w:rPr>
                                  <w:rFonts w:hint="eastAsia" w:ascii="宋体" w:hAnsi="宋体"/>
                                  <w:sz w:val="28"/>
                                  <w:szCs w:val="28"/>
                                </w:rPr>
                                <w:t>（反面）</w:t>
                              </w:r>
                            </w:p>
                          </w:txbxContent>
                        </wps:txbx>
                        <wps:bodyPr upright="1"/>
                      </wps:wsp>
                      <wps:wsp>
                        <wps:cNvPr id="4" name="文本框 4"/>
                        <wps:cNvSpPr txBox="1"/>
                        <wps:spPr>
                          <a:xfrm>
                            <a:off x="26975" y="354668"/>
                            <a:ext cx="4515" cy="225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黑体" w:eastAsia="黑体"/>
                                  <w:sz w:val="32"/>
                                  <w:szCs w:val="32"/>
                                </w:rPr>
                              </w:pPr>
                            </w:p>
                            <w:p>
                              <w:pPr>
                                <w:adjustRightInd w:val="0"/>
                                <w:snapToGrid w:val="0"/>
                                <w:spacing w:line="348" w:lineRule="auto"/>
                                <w:jc w:val="center"/>
                                <w:rPr>
                                  <w:rFonts w:hint="eastAsia" w:ascii="宋体" w:hAnsi="宋体"/>
                                  <w:sz w:val="28"/>
                                  <w:szCs w:val="28"/>
                                </w:rPr>
                              </w:pPr>
                              <w:r>
                                <w:rPr>
                                  <w:rFonts w:hint="eastAsia" w:ascii="宋体" w:hAnsi="宋体"/>
                                  <w:sz w:val="28"/>
                                  <w:szCs w:val="28"/>
                                </w:rPr>
                                <w:t>法定代表人身份证复印件</w:t>
                              </w:r>
                            </w:p>
                            <w:p>
                              <w:pPr>
                                <w:adjustRightInd w:val="0"/>
                                <w:snapToGrid w:val="0"/>
                                <w:spacing w:line="348" w:lineRule="auto"/>
                                <w:jc w:val="center"/>
                                <w:rPr>
                                  <w:rFonts w:hint="eastAsia" w:ascii="宋体" w:hAnsi="宋体"/>
                                  <w:sz w:val="28"/>
                                  <w:szCs w:val="28"/>
                                </w:rPr>
                              </w:pPr>
                              <w:r>
                                <w:rPr>
                                  <w:rFonts w:hint="eastAsia" w:ascii="宋体" w:hAnsi="宋体"/>
                                  <w:sz w:val="28"/>
                                  <w:szCs w:val="28"/>
                                </w:rPr>
                                <w:t>（反面）</w:t>
                              </w:r>
                            </w:p>
                          </w:txbxContent>
                        </wps:txbx>
                        <wps:bodyPr upright="1"/>
                      </wps:wsp>
                      <wps:wsp>
                        <wps:cNvPr id="5" name="文本框 5"/>
                        <wps:cNvSpPr txBox="1"/>
                        <wps:spPr>
                          <a:xfrm>
                            <a:off x="31490" y="352411"/>
                            <a:ext cx="4515" cy="225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黑体" w:eastAsia="黑体"/>
                                  <w:sz w:val="32"/>
                                  <w:szCs w:val="32"/>
                                </w:rPr>
                              </w:pPr>
                            </w:p>
                            <w:p>
                              <w:pPr>
                                <w:adjustRightInd w:val="0"/>
                                <w:snapToGrid w:val="0"/>
                                <w:spacing w:line="348" w:lineRule="auto"/>
                                <w:jc w:val="center"/>
                                <w:rPr>
                                  <w:rFonts w:hint="eastAsia" w:ascii="宋体" w:hAnsi="宋体"/>
                                  <w:sz w:val="28"/>
                                  <w:szCs w:val="28"/>
                                </w:rPr>
                              </w:pPr>
                              <w:r>
                                <w:rPr>
                                  <w:rFonts w:hint="eastAsia" w:ascii="宋体" w:hAnsi="宋体"/>
                                  <w:sz w:val="28"/>
                                  <w:szCs w:val="28"/>
                                </w:rPr>
                                <w:t>授权代表身份证复印件</w:t>
                              </w:r>
                            </w:p>
                            <w:p>
                              <w:pPr>
                                <w:adjustRightInd w:val="0"/>
                                <w:snapToGrid w:val="0"/>
                                <w:spacing w:line="348" w:lineRule="auto"/>
                                <w:jc w:val="center"/>
                                <w:rPr>
                                  <w:rFonts w:hint="eastAsia" w:ascii="宋体" w:hAnsi="宋体"/>
                                  <w:sz w:val="28"/>
                                  <w:szCs w:val="28"/>
                                </w:rPr>
                              </w:pPr>
                              <w:r>
                                <w:rPr>
                                  <w:rFonts w:hint="eastAsia" w:ascii="宋体" w:hAnsi="宋体"/>
                                  <w:sz w:val="28"/>
                                  <w:szCs w:val="28"/>
                                </w:rPr>
                                <w:t>（正面）</w:t>
                              </w:r>
                            </w:p>
                          </w:txbxContent>
                        </wps:txbx>
                        <wps:bodyPr upright="1"/>
                      </wps:wsp>
                      <wps:wsp>
                        <wps:cNvPr id="7" name="文本框 7"/>
                        <wps:cNvSpPr txBox="1"/>
                        <wps:spPr>
                          <a:xfrm>
                            <a:off x="26975" y="352411"/>
                            <a:ext cx="4515" cy="225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黑体" w:eastAsia="黑体"/>
                                  <w:sz w:val="32"/>
                                  <w:szCs w:val="32"/>
                                </w:rPr>
                              </w:pPr>
                            </w:p>
                            <w:p>
                              <w:pPr>
                                <w:adjustRightInd w:val="0"/>
                                <w:snapToGrid w:val="0"/>
                                <w:spacing w:line="348" w:lineRule="auto"/>
                                <w:jc w:val="center"/>
                                <w:rPr>
                                  <w:rFonts w:hint="eastAsia" w:ascii="宋体" w:hAnsi="宋体"/>
                                  <w:sz w:val="28"/>
                                  <w:szCs w:val="28"/>
                                </w:rPr>
                              </w:pPr>
                              <w:r>
                                <w:rPr>
                                  <w:rFonts w:hint="eastAsia" w:ascii="宋体" w:hAnsi="宋体"/>
                                  <w:sz w:val="28"/>
                                  <w:szCs w:val="28"/>
                                </w:rPr>
                                <w:t>法定代表人身份证复印件</w:t>
                              </w:r>
                            </w:p>
                            <w:p>
                              <w:pPr>
                                <w:adjustRightInd w:val="0"/>
                                <w:snapToGrid w:val="0"/>
                                <w:spacing w:line="348" w:lineRule="auto"/>
                                <w:jc w:val="center"/>
                                <w:rPr>
                                  <w:rFonts w:hint="eastAsia" w:ascii="宋体" w:hAnsi="宋体"/>
                                  <w:sz w:val="28"/>
                                  <w:szCs w:val="28"/>
                                </w:rPr>
                              </w:pPr>
                              <w:r>
                                <w:rPr>
                                  <w:rFonts w:hint="eastAsia" w:ascii="宋体" w:hAnsi="宋体"/>
                                  <w:sz w:val="28"/>
                                  <w:szCs w:val="28"/>
                                </w:rPr>
                                <w:t>（正面）</w:t>
                              </w:r>
                            </w:p>
                          </w:txbxContent>
                        </wps:txbx>
                        <wps:bodyPr upright="1"/>
                      </wps:wsp>
                    </wpg:wgp>
                  </a:graphicData>
                </a:graphic>
              </wp:anchor>
            </w:drawing>
          </mc:Choice>
          <mc:Fallback>
            <w:pict>
              <v:group id="_x0000_s1026" o:spid="_x0000_s1026" o:spt="203" style="position:absolute;left:0pt;margin-left:-10pt;margin-top:29.9pt;height:194.8pt;width:428.8pt;z-index:251661312;mso-width-relative:page;mso-height-relative:page;" coordorigin="26975,352411" coordsize="9029,4513" o:gfxdata="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Sm+uvtoAAAAKAQAADwAAAAAAAAABACAAAAAiAAAAZHJzL2Rvd25y&#10;ZXYueG1sUEsBAhQAFAAAAAgAh07iQC8UIdzgAgAAyAwAAA4AAAAAAAAAAQAgAAAAKQEAAGRycy9l&#10;Mm9Eb2MueG1sUEsFBgAAAAAGAAYAWQEAAHsGAAAAAA==&#10;">
                <o:lock v:ext="edit" aspectratio="f"/>
                <v:shape id="_x0000_s1026" o:spid="_x0000_s1026" o:spt="202" type="#_x0000_t202" style="position:absolute;left:31490;top:354668;height:2257;width:4515;"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黑体" w:eastAsia="黑体"/>
                            <w:sz w:val="32"/>
                            <w:szCs w:val="32"/>
                          </w:rPr>
                        </w:pPr>
                      </w:p>
                      <w:p>
                        <w:pPr>
                          <w:adjustRightInd w:val="0"/>
                          <w:snapToGrid w:val="0"/>
                          <w:spacing w:line="348" w:lineRule="auto"/>
                          <w:jc w:val="center"/>
                          <w:rPr>
                            <w:rFonts w:hint="eastAsia" w:ascii="宋体" w:hAnsi="宋体"/>
                            <w:sz w:val="28"/>
                            <w:szCs w:val="28"/>
                          </w:rPr>
                        </w:pPr>
                        <w:r>
                          <w:rPr>
                            <w:rFonts w:hint="eastAsia" w:ascii="宋体" w:hAnsi="宋体"/>
                            <w:sz w:val="28"/>
                            <w:szCs w:val="28"/>
                          </w:rPr>
                          <w:t>授权代表身份证复印件</w:t>
                        </w:r>
                      </w:p>
                      <w:p>
                        <w:pPr>
                          <w:adjustRightInd w:val="0"/>
                          <w:snapToGrid w:val="0"/>
                          <w:spacing w:line="348" w:lineRule="auto"/>
                          <w:jc w:val="center"/>
                          <w:rPr>
                            <w:rFonts w:hint="eastAsia" w:ascii="宋体" w:hAnsi="宋体"/>
                            <w:sz w:val="28"/>
                            <w:szCs w:val="28"/>
                          </w:rPr>
                        </w:pPr>
                        <w:r>
                          <w:rPr>
                            <w:rFonts w:hint="eastAsia" w:ascii="宋体" w:hAnsi="宋体"/>
                            <w:sz w:val="28"/>
                            <w:szCs w:val="28"/>
                          </w:rPr>
                          <w:t>（反面）</w:t>
                        </w:r>
                      </w:p>
                    </w:txbxContent>
                  </v:textbox>
                </v:shape>
                <v:shape id="_x0000_s1026" o:spid="_x0000_s1026" o:spt="202" type="#_x0000_t202" style="position:absolute;left:26975;top:354668;height:2257;width:4515;"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黑体" w:eastAsia="黑体"/>
                            <w:sz w:val="32"/>
                            <w:szCs w:val="32"/>
                          </w:rPr>
                        </w:pPr>
                      </w:p>
                      <w:p>
                        <w:pPr>
                          <w:adjustRightInd w:val="0"/>
                          <w:snapToGrid w:val="0"/>
                          <w:spacing w:line="348" w:lineRule="auto"/>
                          <w:jc w:val="center"/>
                          <w:rPr>
                            <w:rFonts w:hint="eastAsia" w:ascii="宋体" w:hAnsi="宋体"/>
                            <w:sz w:val="28"/>
                            <w:szCs w:val="28"/>
                          </w:rPr>
                        </w:pPr>
                        <w:r>
                          <w:rPr>
                            <w:rFonts w:hint="eastAsia" w:ascii="宋体" w:hAnsi="宋体"/>
                            <w:sz w:val="28"/>
                            <w:szCs w:val="28"/>
                          </w:rPr>
                          <w:t>法定代表人身份证复印件</w:t>
                        </w:r>
                      </w:p>
                      <w:p>
                        <w:pPr>
                          <w:adjustRightInd w:val="0"/>
                          <w:snapToGrid w:val="0"/>
                          <w:spacing w:line="348" w:lineRule="auto"/>
                          <w:jc w:val="center"/>
                          <w:rPr>
                            <w:rFonts w:hint="eastAsia" w:ascii="宋体" w:hAnsi="宋体"/>
                            <w:sz w:val="28"/>
                            <w:szCs w:val="28"/>
                          </w:rPr>
                        </w:pPr>
                        <w:r>
                          <w:rPr>
                            <w:rFonts w:hint="eastAsia" w:ascii="宋体" w:hAnsi="宋体"/>
                            <w:sz w:val="28"/>
                            <w:szCs w:val="28"/>
                          </w:rPr>
                          <w:t>（反面）</w:t>
                        </w:r>
                      </w:p>
                    </w:txbxContent>
                  </v:textbox>
                </v:shape>
                <v:shape id="_x0000_s1026" o:spid="_x0000_s1026" o:spt="202" type="#_x0000_t202" style="position:absolute;left:31490;top:352411;height:2257;width:4515;"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黑体" w:eastAsia="黑体"/>
                            <w:sz w:val="32"/>
                            <w:szCs w:val="32"/>
                          </w:rPr>
                        </w:pPr>
                      </w:p>
                      <w:p>
                        <w:pPr>
                          <w:adjustRightInd w:val="0"/>
                          <w:snapToGrid w:val="0"/>
                          <w:spacing w:line="348" w:lineRule="auto"/>
                          <w:jc w:val="center"/>
                          <w:rPr>
                            <w:rFonts w:hint="eastAsia" w:ascii="宋体" w:hAnsi="宋体"/>
                            <w:sz w:val="28"/>
                            <w:szCs w:val="28"/>
                          </w:rPr>
                        </w:pPr>
                        <w:r>
                          <w:rPr>
                            <w:rFonts w:hint="eastAsia" w:ascii="宋体" w:hAnsi="宋体"/>
                            <w:sz w:val="28"/>
                            <w:szCs w:val="28"/>
                          </w:rPr>
                          <w:t>授权代表身份证复印件</w:t>
                        </w:r>
                      </w:p>
                      <w:p>
                        <w:pPr>
                          <w:adjustRightInd w:val="0"/>
                          <w:snapToGrid w:val="0"/>
                          <w:spacing w:line="348" w:lineRule="auto"/>
                          <w:jc w:val="center"/>
                          <w:rPr>
                            <w:rFonts w:hint="eastAsia" w:ascii="宋体" w:hAnsi="宋体"/>
                            <w:sz w:val="28"/>
                            <w:szCs w:val="28"/>
                          </w:rPr>
                        </w:pPr>
                        <w:r>
                          <w:rPr>
                            <w:rFonts w:hint="eastAsia" w:ascii="宋体" w:hAnsi="宋体"/>
                            <w:sz w:val="28"/>
                            <w:szCs w:val="28"/>
                          </w:rPr>
                          <w:t>（正面）</w:t>
                        </w:r>
                      </w:p>
                    </w:txbxContent>
                  </v:textbox>
                </v:shape>
                <v:shape id="_x0000_s1026" o:spid="_x0000_s1026" o:spt="202" type="#_x0000_t202" style="position:absolute;left:26975;top:352411;height:2257;width:4515;"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黑体" w:eastAsia="黑体"/>
                            <w:sz w:val="32"/>
                            <w:szCs w:val="32"/>
                          </w:rPr>
                        </w:pPr>
                      </w:p>
                      <w:p>
                        <w:pPr>
                          <w:adjustRightInd w:val="0"/>
                          <w:snapToGrid w:val="0"/>
                          <w:spacing w:line="348" w:lineRule="auto"/>
                          <w:jc w:val="center"/>
                          <w:rPr>
                            <w:rFonts w:hint="eastAsia" w:ascii="宋体" w:hAnsi="宋体"/>
                            <w:sz w:val="28"/>
                            <w:szCs w:val="28"/>
                          </w:rPr>
                        </w:pPr>
                        <w:r>
                          <w:rPr>
                            <w:rFonts w:hint="eastAsia" w:ascii="宋体" w:hAnsi="宋体"/>
                            <w:sz w:val="28"/>
                            <w:szCs w:val="28"/>
                          </w:rPr>
                          <w:t>法定代表人身份证复印件</w:t>
                        </w:r>
                      </w:p>
                      <w:p>
                        <w:pPr>
                          <w:adjustRightInd w:val="0"/>
                          <w:snapToGrid w:val="0"/>
                          <w:spacing w:line="348" w:lineRule="auto"/>
                          <w:jc w:val="center"/>
                          <w:rPr>
                            <w:rFonts w:hint="eastAsia" w:ascii="宋体" w:hAnsi="宋体"/>
                            <w:sz w:val="28"/>
                            <w:szCs w:val="28"/>
                          </w:rPr>
                        </w:pPr>
                        <w:r>
                          <w:rPr>
                            <w:rFonts w:hint="eastAsia" w:ascii="宋体" w:hAnsi="宋体"/>
                            <w:sz w:val="28"/>
                            <w:szCs w:val="28"/>
                          </w:rPr>
                          <w:t>（正面）</w:t>
                        </w:r>
                      </w:p>
                    </w:txbxContent>
                  </v:textbox>
                </v:shape>
              </v:group>
            </w:pict>
          </mc:Fallback>
        </mc:AlternateContent>
      </w:r>
    </w:p>
    <w:p>
      <w:pPr>
        <w:spacing w:line="360" w:lineRule="auto"/>
        <w:ind w:firstLine="420"/>
        <w:rPr>
          <w:rFonts w:hint="eastAsia" w:ascii="宋体" w:hAnsi="宋体" w:eastAsia="宋体" w:cs="宋体"/>
          <w:bCs/>
          <w:color w:val="auto"/>
          <w:sz w:val="24"/>
          <w:szCs w:val="24"/>
          <w:highlight w:val="none"/>
        </w:rPr>
      </w:pPr>
    </w:p>
    <w:p>
      <w:pPr>
        <w:spacing w:line="360" w:lineRule="auto"/>
        <w:ind w:firstLine="420"/>
        <w:rPr>
          <w:rFonts w:hint="eastAsia" w:ascii="宋体" w:hAnsi="宋体" w:eastAsia="宋体" w:cs="宋体"/>
          <w:bCs/>
          <w:color w:val="auto"/>
          <w:sz w:val="24"/>
          <w:szCs w:val="24"/>
          <w:highlight w:val="none"/>
        </w:rPr>
      </w:pPr>
    </w:p>
    <w:p>
      <w:pPr>
        <w:spacing w:line="360" w:lineRule="auto"/>
        <w:ind w:firstLine="480" w:firstLineChars="200"/>
        <w:outlineLvl w:val="9"/>
        <w:rPr>
          <w:rFonts w:hint="eastAsia" w:ascii="宋体" w:hAnsi="宋体" w:eastAsia="宋体" w:cs="宋体"/>
          <w:bCs/>
          <w:color w:val="auto"/>
          <w:sz w:val="24"/>
          <w:szCs w:val="24"/>
          <w:highlight w:val="none"/>
        </w:rPr>
      </w:pPr>
    </w:p>
    <w:p>
      <w:pPr>
        <w:spacing w:line="360" w:lineRule="auto"/>
        <w:ind w:firstLine="480" w:firstLineChars="200"/>
        <w:outlineLvl w:val="9"/>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ind w:firstLine="2248" w:firstLineChars="937"/>
        <w:rPr>
          <w:rFonts w:hint="eastAsia" w:ascii="宋体" w:hAnsi="宋体" w:eastAsia="宋体" w:cs="宋体"/>
          <w:color w:val="auto"/>
          <w:sz w:val="24"/>
          <w:szCs w:val="24"/>
          <w:highlight w:val="none"/>
        </w:rPr>
      </w:pPr>
    </w:p>
    <w:p>
      <w:pPr>
        <w:spacing w:line="360" w:lineRule="auto"/>
        <w:ind w:firstLine="5760" w:firstLineChars="2400"/>
        <w:rPr>
          <w:rFonts w:hint="eastAsia" w:ascii="宋体" w:hAnsi="宋体" w:eastAsia="宋体" w:cs="宋体"/>
          <w:color w:val="auto"/>
          <w:sz w:val="24"/>
          <w:szCs w:val="24"/>
          <w:highlight w:val="none"/>
        </w:rPr>
      </w:pPr>
    </w:p>
    <w:p>
      <w:pPr>
        <w:pStyle w:val="14"/>
        <w:adjustRightInd w:val="0"/>
        <w:snapToGrid w:val="0"/>
        <w:spacing w:line="360" w:lineRule="auto"/>
        <w:jc w:val="center"/>
        <w:rPr>
          <w:rFonts w:hint="eastAsia" w:ascii="宋体" w:hAnsi="宋体" w:eastAsia="宋体" w:cs="宋体"/>
          <w:b/>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bookmarkStart w:id="793" w:name="_Toc12461"/>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pStyle w:val="11"/>
        <w:rPr>
          <w:rFonts w:hint="eastAsia"/>
          <w:lang w:val="en-US" w:eastAsia="zh-CN"/>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adjustRightInd w:val="0"/>
        <w:snapToGrid w:val="0"/>
        <w:spacing w:line="360" w:lineRule="auto"/>
        <w:jc w:val="both"/>
        <w:outlineLvl w:val="0"/>
        <w:rPr>
          <w:rFonts w:hint="eastAsia" w:ascii="宋体" w:hAnsi="宋体" w:eastAsia="宋体" w:cs="宋体"/>
          <w:b/>
          <w:color w:val="auto"/>
          <w:sz w:val="24"/>
          <w:szCs w:val="24"/>
          <w:highlight w:val="none"/>
          <w:lang w:val="en-US" w:eastAsia="zh-CN"/>
        </w:rPr>
      </w:pPr>
      <w:bookmarkStart w:id="794" w:name="_Toc1532"/>
      <w:bookmarkStart w:id="795" w:name="_Toc28581"/>
      <w:bookmarkStart w:id="796" w:name="_Toc23642"/>
      <w:bookmarkStart w:id="797" w:name="_Toc19166"/>
      <w:r>
        <w:rPr>
          <w:rFonts w:hint="eastAsia" w:ascii="宋体" w:hAnsi="宋体" w:eastAsia="宋体" w:cs="宋体"/>
          <w:b/>
          <w:color w:val="auto"/>
          <w:sz w:val="24"/>
          <w:szCs w:val="24"/>
          <w:highlight w:val="none"/>
          <w:lang w:val="en-US" w:eastAsia="zh-CN"/>
        </w:rPr>
        <w:t>附件3</w:t>
      </w:r>
      <w:bookmarkEnd w:id="793"/>
      <w:bookmarkEnd w:id="794"/>
      <w:bookmarkEnd w:id="795"/>
      <w:bookmarkEnd w:id="796"/>
      <w:bookmarkEnd w:id="797"/>
    </w:p>
    <w:p>
      <w:pPr>
        <w:pStyle w:val="14"/>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履行合同所必需的设备和专业技术能力的书面声明</w:t>
      </w:r>
    </w:p>
    <w:p>
      <w:pPr>
        <w:pStyle w:val="14"/>
        <w:adjustRightInd w:val="0"/>
        <w:snapToGrid w:val="0"/>
        <w:spacing w:line="360" w:lineRule="auto"/>
        <w:jc w:val="center"/>
        <w:rPr>
          <w:rFonts w:hint="eastAsia" w:ascii="宋体" w:hAnsi="宋体" w:eastAsia="宋体" w:cs="宋体"/>
          <w:b/>
          <w:color w:val="FF0000"/>
          <w:sz w:val="24"/>
          <w:szCs w:val="24"/>
          <w:highlight w:val="none"/>
        </w:rPr>
      </w:pPr>
    </w:p>
    <w:p>
      <w:pPr>
        <w:spacing w:line="360" w:lineRule="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 xml:space="preserve">   （采购人名称）    ：</w:t>
      </w:r>
    </w:p>
    <w:p>
      <w:pPr>
        <w:pStyle w:val="14"/>
        <w:adjustRightInd w:val="0"/>
        <w:snapToGrid w:val="0"/>
        <w:spacing w:line="360" w:lineRule="auto"/>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single"/>
          <w:lang w:eastAsia="zh-CN"/>
        </w:rPr>
        <w:t>投标人</w:t>
      </w:r>
      <w:r>
        <w:rPr>
          <w:rFonts w:hint="eastAsia" w:ascii="宋体" w:hAnsi="宋体" w:eastAsia="宋体" w:cs="宋体"/>
          <w:spacing w:val="4"/>
          <w:sz w:val="24"/>
          <w:szCs w:val="24"/>
          <w:highlight w:val="none"/>
          <w:u w:val="single"/>
        </w:rPr>
        <w:t xml:space="preserve">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，营业（生产经营）面积为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 ，现有员工数量为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，本公司郑重声明，具有履行本合同所必需的设备和专业技术能力。</w:t>
      </w:r>
      <w:r>
        <w:rPr>
          <w:rFonts w:hint="eastAsia" w:ascii="宋体" w:hAnsi="宋体" w:eastAsia="宋体" w:cs="宋体"/>
          <w:sz w:val="24"/>
          <w:szCs w:val="24"/>
          <w:highlight w:val="none"/>
        </w:rPr>
        <w:t>如有不实，我方将无条件地退出本项目的采购活动，并遵照《政府采购法》有关"提供虚假材料的规定"接受处罚。</w:t>
      </w:r>
    </w:p>
    <w:p>
      <w:pPr>
        <w:spacing w:before="240" w:beforeLines="100" w:after="120" w:afterLines="50" w:line="360" w:lineRule="auto"/>
        <w:rPr>
          <w:rFonts w:hint="eastAsia" w:ascii="宋体" w:hAnsi="宋体" w:eastAsia="宋体" w:cs="宋体"/>
          <w:spacing w:val="4"/>
          <w:sz w:val="24"/>
          <w:szCs w:val="24"/>
          <w:highlight w:val="none"/>
        </w:rPr>
      </w:pPr>
    </w:p>
    <w:p>
      <w:pPr>
        <w:pStyle w:val="2"/>
        <w:spacing w:line="360" w:lineRule="auto"/>
        <w:rPr>
          <w:rFonts w:hint="eastAsia" w:ascii="宋体" w:hAnsi="宋体" w:eastAsia="宋体" w:cs="宋体"/>
          <w:sz w:val="24"/>
          <w:szCs w:val="24"/>
          <w:highlight w:val="none"/>
        </w:rPr>
      </w:pPr>
    </w:p>
    <w:p>
      <w:pPr>
        <w:spacing w:line="360" w:lineRule="auto"/>
        <w:ind w:right="-161" w:firstLine="2400" w:firstLineChars="10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pPr>
        <w:spacing w:line="360" w:lineRule="auto"/>
        <w:ind w:right="-161"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或被授权代表：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pPr>
        <w:tabs>
          <w:tab w:val="left" w:pos="9070"/>
        </w:tabs>
        <w:spacing w:line="360" w:lineRule="auto"/>
        <w:ind w:right="-428"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spacing w:line="360" w:lineRule="auto"/>
        <w:ind w:right="-161" w:firstLine="2640" w:firstLineChars="1100"/>
        <w:rPr>
          <w:rFonts w:hint="eastAsia" w:ascii="宋体" w:hAnsi="宋体" w:eastAsia="宋体" w:cs="宋体"/>
          <w:color w:val="auto"/>
          <w:sz w:val="24"/>
          <w:szCs w:val="24"/>
          <w:highlight w:val="none"/>
          <w:u w:val="single"/>
        </w:rPr>
      </w:pPr>
    </w:p>
    <w:p>
      <w:pPr>
        <w:pStyle w:val="2"/>
        <w:spacing w:line="360" w:lineRule="auto"/>
        <w:jc w:val="both"/>
        <w:rPr>
          <w:rFonts w:hint="eastAsia" w:ascii="宋体" w:hAnsi="宋体" w:eastAsia="宋体" w:cs="宋体"/>
          <w:color w:val="auto"/>
          <w:sz w:val="24"/>
          <w:szCs w:val="24"/>
          <w:highlight w:val="none"/>
          <w:u w:val="single"/>
        </w:rPr>
      </w:pPr>
    </w:p>
    <w:p>
      <w:pPr>
        <w:pStyle w:val="2"/>
        <w:spacing w:line="360" w:lineRule="auto"/>
        <w:jc w:val="both"/>
        <w:rPr>
          <w:rFonts w:hint="eastAsia" w:ascii="宋体" w:hAnsi="宋体" w:eastAsia="宋体" w:cs="宋体"/>
          <w:color w:val="auto"/>
          <w:sz w:val="24"/>
          <w:szCs w:val="24"/>
          <w:highlight w:val="none"/>
          <w:u w:val="single"/>
        </w:rPr>
      </w:pPr>
    </w:p>
    <w:p>
      <w:pPr>
        <w:pStyle w:val="2"/>
        <w:spacing w:line="360" w:lineRule="auto"/>
        <w:jc w:val="both"/>
        <w:rPr>
          <w:rFonts w:hint="eastAsia" w:ascii="宋体" w:hAnsi="宋体" w:eastAsia="宋体" w:cs="宋体"/>
          <w:color w:val="auto"/>
          <w:sz w:val="24"/>
          <w:szCs w:val="24"/>
          <w:highlight w:val="none"/>
          <w:u w:val="single"/>
        </w:rPr>
      </w:pPr>
    </w:p>
    <w:p>
      <w:pPr>
        <w:pStyle w:val="2"/>
        <w:spacing w:line="360" w:lineRule="auto"/>
        <w:jc w:val="both"/>
        <w:rPr>
          <w:rFonts w:hint="eastAsia" w:ascii="宋体" w:hAnsi="宋体" w:eastAsia="宋体" w:cs="宋体"/>
          <w:color w:val="auto"/>
          <w:sz w:val="24"/>
          <w:szCs w:val="24"/>
          <w:highlight w:val="none"/>
          <w:u w:val="single"/>
        </w:rPr>
      </w:pPr>
    </w:p>
    <w:p>
      <w:pPr>
        <w:pStyle w:val="2"/>
        <w:spacing w:line="360" w:lineRule="auto"/>
        <w:jc w:val="both"/>
        <w:rPr>
          <w:rFonts w:hint="eastAsia" w:ascii="宋体" w:hAnsi="宋体" w:eastAsia="宋体" w:cs="宋体"/>
          <w:color w:val="auto"/>
          <w:sz w:val="24"/>
          <w:szCs w:val="24"/>
          <w:highlight w:val="none"/>
          <w:u w:val="single"/>
        </w:rPr>
      </w:pPr>
    </w:p>
    <w:p>
      <w:pPr>
        <w:tabs>
          <w:tab w:val="left" w:pos="0"/>
        </w:tabs>
        <w:spacing w:line="360" w:lineRule="auto"/>
        <w:jc w:val="left"/>
        <w:outlineLvl w:val="9"/>
        <w:rPr>
          <w:rFonts w:hint="eastAsia" w:ascii="宋体" w:hAnsi="宋体" w:eastAsia="宋体" w:cs="宋体"/>
          <w:b/>
          <w:bCs/>
          <w:sz w:val="24"/>
          <w:szCs w:val="24"/>
          <w:highlight w:val="none"/>
          <w:lang w:val="en-US" w:eastAsia="zh-CN"/>
        </w:rPr>
      </w:pPr>
      <w:bookmarkStart w:id="798" w:name="_Toc17181"/>
      <w:bookmarkStart w:id="799" w:name="_Toc6058"/>
      <w:bookmarkStart w:id="800" w:name="_Toc26377"/>
      <w:bookmarkStart w:id="801" w:name="_Toc7439"/>
      <w:bookmarkStart w:id="802" w:name="_Toc23934"/>
    </w:p>
    <w:p>
      <w:pPr>
        <w:tabs>
          <w:tab w:val="left" w:pos="0"/>
        </w:tabs>
        <w:spacing w:line="360" w:lineRule="auto"/>
        <w:jc w:val="left"/>
        <w:outlineLvl w:val="9"/>
        <w:rPr>
          <w:rFonts w:hint="eastAsia" w:ascii="宋体" w:hAnsi="宋体" w:eastAsia="宋体" w:cs="宋体"/>
          <w:b/>
          <w:bCs/>
          <w:sz w:val="24"/>
          <w:szCs w:val="24"/>
          <w:highlight w:val="none"/>
          <w:lang w:val="en-US" w:eastAsia="zh-CN"/>
        </w:rPr>
      </w:pPr>
    </w:p>
    <w:p>
      <w:pPr>
        <w:tabs>
          <w:tab w:val="left" w:pos="0"/>
        </w:tabs>
        <w:spacing w:line="360" w:lineRule="auto"/>
        <w:jc w:val="left"/>
        <w:outlineLvl w:val="9"/>
        <w:rPr>
          <w:rFonts w:hint="eastAsia" w:ascii="宋体" w:hAnsi="宋体" w:eastAsia="宋体" w:cs="宋体"/>
          <w:b/>
          <w:bCs/>
          <w:sz w:val="24"/>
          <w:szCs w:val="24"/>
          <w:highlight w:val="none"/>
          <w:lang w:val="en-US" w:eastAsia="zh-CN"/>
        </w:rPr>
      </w:pPr>
    </w:p>
    <w:p>
      <w:pPr>
        <w:pStyle w:val="4"/>
        <w:rPr>
          <w:rFonts w:hint="eastAsia"/>
          <w:lang w:val="en-US" w:eastAsia="zh-CN"/>
        </w:rPr>
      </w:pPr>
    </w:p>
    <w:p>
      <w:pPr>
        <w:tabs>
          <w:tab w:val="left" w:pos="0"/>
        </w:tabs>
        <w:spacing w:line="360" w:lineRule="auto"/>
        <w:jc w:val="left"/>
        <w:outlineLvl w:val="9"/>
        <w:rPr>
          <w:rFonts w:hint="eastAsia" w:ascii="宋体" w:hAnsi="宋体" w:eastAsia="宋体" w:cs="宋体"/>
          <w:b/>
          <w:bCs/>
          <w:sz w:val="24"/>
          <w:szCs w:val="24"/>
          <w:highlight w:val="none"/>
          <w:lang w:val="en-US" w:eastAsia="zh-CN"/>
        </w:rPr>
      </w:pPr>
    </w:p>
    <w:p>
      <w:pPr>
        <w:tabs>
          <w:tab w:val="left" w:pos="0"/>
        </w:tabs>
        <w:spacing w:line="360" w:lineRule="auto"/>
        <w:jc w:val="left"/>
        <w:outlineLvl w:val="9"/>
        <w:rPr>
          <w:rFonts w:hint="eastAsia" w:ascii="宋体" w:hAnsi="宋体" w:eastAsia="宋体" w:cs="宋体"/>
          <w:b/>
          <w:bCs/>
          <w:sz w:val="24"/>
          <w:szCs w:val="24"/>
          <w:highlight w:val="none"/>
          <w:lang w:val="en-US" w:eastAsia="zh-CN"/>
        </w:rPr>
      </w:pPr>
    </w:p>
    <w:p>
      <w:pPr>
        <w:tabs>
          <w:tab w:val="left" w:pos="0"/>
        </w:tabs>
        <w:spacing w:line="360" w:lineRule="auto"/>
        <w:jc w:val="left"/>
        <w:outlineLvl w:val="9"/>
        <w:rPr>
          <w:rFonts w:hint="eastAsia" w:ascii="宋体" w:hAnsi="宋体" w:eastAsia="宋体" w:cs="宋体"/>
          <w:b/>
          <w:bCs/>
          <w:sz w:val="24"/>
          <w:szCs w:val="24"/>
          <w:highlight w:val="none"/>
          <w:lang w:val="en-US" w:eastAsia="zh-CN"/>
        </w:rPr>
      </w:pPr>
    </w:p>
    <w:bookmarkEnd w:id="798"/>
    <w:bookmarkEnd w:id="799"/>
    <w:bookmarkEnd w:id="800"/>
    <w:bookmarkEnd w:id="801"/>
    <w:bookmarkEnd w:id="802"/>
    <w:p>
      <w:pPr>
        <w:adjustRightInd w:val="0"/>
        <w:snapToGrid w:val="0"/>
        <w:spacing w:line="360" w:lineRule="auto"/>
        <w:jc w:val="both"/>
        <w:outlineLvl w:val="0"/>
        <w:rPr>
          <w:rFonts w:hint="default" w:ascii="宋体" w:hAnsi="宋体" w:eastAsia="宋体" w:cs="宋体"/>
          <w:b/>
          <w:color w:val="auto"/>
          <w:sz w:val="24"/>
          <w:szCs w:val="24"/>
          <w:highlight w:val="none"/>
          <w:lang w:val="en-US" w:eastAsia="zh-CN"/>
        </w:rPr>
      </w:pPr>
      <w:bookmarkStart w:id="803" w:name="_Toc19211"/>
      <w:bookmarkStart w:id="804" w:name="_Toc19873"/>
      <w:bookmarkStart w:id="805" w:name="_Toc29730"/>
      <w:bookmarkStart w:id="806" w:name="_Toc21298"/>
      <w:bookmarkStart w:id="807" w:name="_Toc23625"/>
      <w:r>
        <w:rPr>
          <w:rFonts w:hint="eastAsia" w:ascii="宋体" w:hAnsi="宋体" w:eastAsia="宋体" w:cs="宋体"/>
          <w:b/>
          <w:color w:val="auto"/>
          <w:sz w:val="24"/>
          <w:szCs w:val="24"/>
          <w:highlight w:val="none"/>
          <w:lang w:val="en-US" w:eastAsia="zh-CN"/>
        </w:rPr>
        <w:t>附件</w:t>
      </w:r>
      <w:bookmarkEnd w:id="803"/>
      <w:bookmarkEnd w:id="804"/>
      <w:r>
        <w:rPr>
          <w:rFonts w:hint="eastAsia" w:ascii="宋体" w:hAnsi="宋体" w:cs="宋体"/>
          <w:b/>
          <w:color w:val="auto"/>
          <w:sz w:val="24"/>
          <w:szCs w:val="24"/>
          <w:highlight w:val="none"/>
          <w:lang w:val="en-US" w:eastAsia="zh-CN"/>
        </w:rPr>
        <w:t>4</w:t>
      </w:r>
      <w:bookmarkEnd w:id="805"/>
      <w:bookmarkEnd w:id="806"/>
      <w:bookmarkEnd w:id="807"/>
    </w:p>
    <w:p>
      <w:pPr>
        <w:pStyle w:val="14"/>
        <w:adjustRightInd w:val="0"/>
        <w:snapToGrid w:val="0"/>
        <w:spacing w:line="360" w:lineRule="auto"/>
        <w:jc w:val="center"/>
        <w:rPr>
          <w:rFonts w:hint="eastAsia" w:ascii="宋体" w:hAnsi="宋体" w:eastAsia="宋体" w:cs="宋体"/>
          <w:b/>
          <w:sz w:val="24"/>
          <w:szCs w:val="24"/>
          <w:highlight w:val="none"/>
          <w:lang w:val="en-US" w:eastAsia="zh-CN"/>
        </w:rPr>
      </w:pPr>
    </w:p>
    <w:p>
      <w:pPr>
        <w:pStyle w:val="14"/>
        <w:adjustRightInd w:val="0"/>
        <w:snapToGrid w:val="0"/>
        <w:spacing w:line="360" w:lineRule="auto"/>
        <w:jc w:val="center"/>
        <w:outlineLvl w:val="2"/>
        <w:rPr>
          <w:rFonts w:hint="eastAsia" w:ascii="宋体" w:hAnsi="宋体" w:eastAsia="宋体" w:cs="宋体"/>
          <w:b/>
          <w:sz w:val="24"/>
          <w:szCs w:val="24"/>
          <w:highlight w:val="none"/>
        </w:rPr>
      </w:pPr>
      <w:bookmarkStart w:id="808" w:name="_Toc16708"/>
      <w:bookmarkStart w:id="809" w:name="_Toc15668"/>
      <w:bookmarkStart w:id="810" w:name="_Toc5933"/>
      <w:bookmarkStart w:id="811" w:name="_Toc3298"/>
      <w:r>
        <w:rPr>
          <w:rFonts w:hint="eastAsia" w:ascii="宋体" w:hAnsi="宋体" w:eastAsia="宋体" w:cs="宋体"/>
          <w:b/>
          <w:sz w:val="24"/>
          <w:szCs w:val="24"/>
          <w:highlight w:val="none"/>
        </w:rPr>
        <w:t>参加政府采购活动前三年内无重大违法记录的书面声明</w:t>
      </w:r>
      <w:bookmarkEnd w:id="808"/>
      <w:bookmarkEnd w:id="809"/>
      <w:bookmarkEnd w:id="810"/>
      <w:bookmarkEnd w:id="811"/>
    </w:p>
    <w:p>
      <w:pPr>
        <w:snapToGrid w:val="0"/>
        <w:spacing w:line="360" w:lineRule="auto"/>
        <w:ind w:firstLine="480" w:firstLineChars="200"/>
        <w:rPr>
          <w:rFonts w:hint="eastAsia" w:ascii="宋体" w:hAnsi="宋体" w:eastAsia="宋体" w:cs="宋体"/>
          <w:color w:val="FF0000"/>
          <w:sz w:val="24"/>
          <w:szCs w:val="24"/>
          <w:highlight w:val="none"/>
        </w:rPr>
      </w:pPr>
    </w:p>
    <w:p>
      <w:pPr>
        <w:spacing w:line="360" w:lineRule="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 xml:space="preserve">   （采购人名称）    ：</w:t>
      </w:r>
    </w:p>
    <w:p>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我方_______________（</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名称）郑重声明在参加本次政府采购活动前3年内的经营活动没有重大违法记录。如有不实，我方将无条件地退出本项目的采购活动，并遵照《政府采购法》有关"提供虚假材料的规定"接受处罚。     特此声明。</w:t>
      </w:r>
    </w:p>
    <w:p>
      <w:pPr>
        <w:autoSpaceDE w:val="0"/>
        <w:autoSpaceDN w:val="0"/>
        <w:adjustRightInd w:val="0"/>
        <w:spacing w:line="360" w:lineRule="auto"/>
        <w:ind w:firstLine="480" w:firstLineChars="200"/>
        <w:rPr>
          <w:rFonts w:hint="eastAsia" w:ascii="宋体" w:hAnsi="宋体" w:eastAsia="宋体" w:cs="宋体"/>
          <w:sz w:val="24"/>
          <w:szCs w:val="24"/>
          <w:highlight w:val="none"/>
        </w:rPr>
      </w:pPr>
    </w:p>
    <w:p>
      <w:pPr>
        <w:autoSpaceDE w:val="0"/>
        <w:autoSpaceDN w:val="0"/>
        <w:adjustRightInd w:val="0"/>
        <w:spacing w:line="360" w:lineRule="auto"/>
        <w:ind w:firstLine="480" w:firstLineChars="200"/>
        <w:rPr>
          <w:rFonts w:hint="eastAsia" w:ascii="宋体" w:hAnsi="宋体" w:eastAsia="宋体" w:cs="宋体"/>
          <w:sz w:val="24"/>
          <w:szCs w:val="24"/>
          <w:highlight w:val="none"/>
        </w:rPr>
      </w:pPr>
    </w:p>
    <w:p>
      <w:pPr>
        <w:autoSpaceDE w:val="0"/>
        <w:autoSpaceDN w:val="0"/>
        <w:adjustRightInd w:val="0"/>
        <w:spacing w:line="360" w:lineRule="auto"/>
        <w:ind w:firstLine="480" w:firstLineChars="200"/>
        <w:rPr>
          <w:rFonts w:hint="eastAsia" w:ascii="宋体" w:hAnsi="宋体" w:eastAsia="宋体" w:cs="宋体"/>
          <w:sz w:val="24"/>
          <w:szCs w:val="24"/>
          <w:highlight w:val="none"/>
        </w:rPr>
      </w:pPr>
    </w:p>
    <w:p>
      <w:pPr>
        <w:spacing w:line="360" w:lineRule="auto"/>
        <w:ind w:right="-161" w:firstLine="2400" w:firstLineChars="10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pPr>
        <w:spacing w:line="360" w:lineRule="auto"/>
        <w:ind w:right="-161"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或被授权代表：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pPr>
        <w:tabs>
          <w:tab w:val="left" w:pos="9070"/>
        </w:tabs>
        <w:spacing w:line="360" w:lineRule="auto"/>
        <w:ind w:right="-428"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spacing w:line="360" w:lineRule="auto"/>
        <w:ind w:right="-161"/>
        <w:jc w:val="both"/>
        <w:rPr>
          <w:rFonts w:hint="eastAsia" w:ascii="宋体" w:hAnsi="宋体" w:eastAsia="宋体" w:cs="宋体"/>
          <w:b/>
          <w:kern w:val="2"/>
          <w:sz w:val="24"/>
          <w:szCs w:val="24"/>
          <w:highlight w:val="none"/>
          <w:lang w:val="en-US" w:eastAsia="zh-CN" w:bidi="ar-SA"/>
        </w:rPr>
      </w:pPr>
    </w:p>
    <w:p>
      <w:pPr>
        <w:spacing w:line="360" w:lineRule="auto"/>
        <w:ind w:right="-161"/>
        <w:jc w:val="both"/>
        <w:rPr>
          <w:rFonts w:hint="eastAsia" w:ascii="宋体" w:hAnsi="宋体" w:eastAsia="宋体" w:cs="宋体"/>
          <w:b/>
          <w:kern w:val="2"/>
          <w:sz w:val="24"/>
          <w:szCs w:val="24"/>
          <w:highlight w:val="none"/>
          <w:lang w:val="en-US" w:eastAsia="zh-CN" w:bidi="ar-SA"/>
        </w:rPr>
      </w:pPr>
    </w:p>
    <w:p>
      <w:pPr>
        <w:spacing w:line="360" w:lineRule="auto"/>
        <w:ind w:right="-161"/>
        <w:jc w:val="both"/>
        <w:rPr>
          <w:rFonts w:hint="eastAsia" w:ascii="宋体" w:hAnsi="宋体" w:eastAsia="宋体" w:cs="宋体"/>
          <w:b/>
          <w:kern w:val="2"/>
          <w:sz w:val="24"/>
          <w:szCs w:val="24"/>
          <w:highlight w:val="none"/>
          <w:lang w:val="en-US" w:eastAsia="zh-CN" w:bidi="ar-SA"/>
        </w:rPr>
      </w:pPr>
    </w:p>
    <w:p>
      <w:pPr>
        <w:spacing w:line="360" w:lineRule="auto"/>
        <w:ind w:right="-161"/>
        <w:jc w:val="both"/>
        <w:rPr>
          <w:rFonts w:hint="eastAsia" w:ascii="宋体" w:hAnsi="宋体" w:eastAsia="宋体" w:cs="宋体"/>
          <w:b/>
          <w:kern w:val="2"/>
          <w:sz w:val="24"/>
          <w:szCs w:val="24"/>
          <w:highlight w:val="none"/>
          <w:lang w:val="en-US" w:eastAsia="zh-CN" w:bidi="ar-SA"/>
        </w:rPr>
      </w:pPr>
    </w:p>
    <w:p>
      <w:pPr>
        <w:spacing w:line="360" w:lineRule="auto"/>
        <w:ind w:right="-161"/>
        <w:jc w:val="both"/>
        <w:rPr>
          <w:rFonts w:hint="eastAsia" w:ascii="宋体" w:hAnsi="宋体" w:eastAsia="宋体" w:cs="宋体"/>
          <w:b/>
          <w:kern w:val="2"/>
          <w:sz w:val="24"/>
          <w:szCs w:val="24"/>
          <w:highlight w:val="none"/>
          <w:lang w:val="en-US" w:eastAsia="zh-CN" w:bidi="ar-SA"/>
        </w:rPr>
      </w:pPr>
    </w:p>
    <w:p>
      <w:pPr>
        <w:spacing w:line="360" w:lineRule="auto"/>
        <w:ind w:right="-161"/>
        <w:jc w:val="both"/>
        <w:rPr>
          <w:rFonts w:hint="eastAsia" w:ascii="宋体" w:hAnsi="宋体" w:eastAsia="宋体" w:cs="宋体"/>
          <w:b/>
          <w:kern w:val="2"/>
          <w:sz w:val="24"/>
          <w:szCs w:val="24"/>
          <w:highlight w:val="none"/>
          <w:lang w:val="en-US" w:eastAsia="zh-CN" w:bidi="ar-SA"/>
        </w:rPr>
      </w:pPr>
    </w:p>
    <w:p>
      <w:pPr>
        <w:spacing w:line="360" w:lineRule="auto"/>
        <w:ind w:right="-161"/>
        <w:jc w:val="both"/>
        <w:rPr>
          <w:rFonts w:hint="eastAsia" w:ascii="宋体" w:hAnsi="宋体" w:eastAsia="宋体" w:cs="宋体"/>
          <w:b/>
          <w:kern w:val="2"/>
          <w:sz w:val="24"/>
          <w:szCs w:val="24"/>
          <w:highlight w:val="none"/>
          <w:lang w:val="en-US" w:eastAsia="zh-CN" w:bidi="ar-SA"/>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bookmarkStart w:id="812" w:name="_Toc9173"/>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pStyle w:val="4"/>
        <w:rPr>
          <w:rFonts w:hint="eastAsia"/>
          <w:lang w:val="en-US" w:eastAsia="zh-CN"/>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pStyle w:val="11"/>
        <w:rPr>
          <w:rFonts w:hint="eastAsia"/>
          <w:lang w:val="en-US" w:eastAsia="zh-CN"/>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adjustRightInd w:val="0"/>
        <w:snapToGrid w:val="0"/>
        <w:spacing w:line="360" w:lineRule="auto"/>
        <w:jc w:val="both"/>
        <w:outlineLvl w:val="0"/>
        <w:rPr>
          <w:rFonts w:hint="default" w:ascii="宋体" w:hAnsi="宋体" w:eastAsia="宋体" w:cs="宋体"/>
          <w:b/>
          <w:color w:val="auto"/>
          <w:sz w:val="24"/>
          <w:szCs w:val="24"/>
          <w:highlight w:val="none"/>
          <w:lang w:val="en-US" w:eastAsia="zh-CN"/>
        </w:rPr>
      </w:pPr>
      <w:bookmarkStart w:id="813" w:name="_Toc26364"/>
      <w:bookmarkStart w:id="814" w:name="_Toc4019"/>
      <w:bookmarkStart w:id="815" w:name="_Toc15289"/>
      <w:bookmarkStart w:id="816" w:name="_Toc20794"/>
      <w:r>
        <w:rPr>
          <w:rFonts w:hint="eastAsia" w:ascii="宋体" w:hAnsi="宋体" w:eastAsia="宋体" w:cs="宋体"/>
          <w:b/>
          <w:color w:val="auto"/>
          <w:sz w:val="24"/>
          <w:szCs w:val="24"/>
          <w:highlight w:val="none"/>
          <w:lang w:val="en-US" w:eastAsia="zh-CN"/>
        </w:rPr>
        <w:t>附件</w:t>
      </w:r>
      <w:bookmarkEnd w:id="812"/>
      <w:bookmarkEnd w:id="813"/>
      <w:r>
        <w:rPr>
          <w:rFonts w:hint="eastAsia" w:ascii="宋体" w:hAnsi="宋体" w:cs="宋体"/>
          <w:b/>
          <w:color w:val="auto"/>
          <w:sz w:val="24"/>
          <w:szCs w:val="24"/>
          <w:highlight w:val="none"/>
          <w:lang w:val="en-US" w:eastAsia="zh-CN"/>
        </w:rPr>
        <w:t>5</w:t>
      </w:r>
      <w:bookmarkEnd w:id="814"/>
      <w:bookmarkEnd w:id="815"/>
      <w:bookmarkEnd w:id="816"/>
    </w:p>
    <w:p>
      <w:pPr>
        <w:numPr>
          <w:ilvl w:val="0"/>
          <w:numId w:val="0"/>
        </w:numPr>
        <w:spacing w:line="360" w:lineRule="auto"/>
        <w:ind w:left="420" w:leftChars="0" w:right="-161" w:rightChars="0"/>
        <w:jc w:val="center"/>
        <w:outlineLvl w:val="2"/>
        <w:rPr>
          <w:rFonts w:hint="eastAsia" w:ascii="宋体" w:hAnsi="宋体" w:eastAsia="宋体" w:cs="宋体"/>
          <w:b/>
          <w:kern w:val="2"/>
          <w:sz w:val="24"/>
          <w:szCs w:val="24"/>
          <w:highlight w:val="none"/>
          <w:lang w:val="en-US" w:eastAsia="zh-CN" w:bidi="ar-SA"/>
        </w:rPr>
      </w:pPr>
      <w:bookmarkStart w:id="817" w:name="_Toc26526"/>
      <w:bookmarkStart w:id="818" w:name="_Toc20985"/>
      <w:bookmarkStart w:id="819" w:name="_Toc15127"/>
      <w:bookmarkStart w:id="820" w:name="_Toc13240"/>
      <w:r>
        <w:rPr>
          <w:rFonts w:hint="eastAsia" w:ascii="宋体" w:hAnsi="宋体" w:cs="宋体"/>
          <w:b/>
          <w:kern w:val="2"/>
          <w:sz w:val="24"/>
          <w:szCs w:val="24"/>
          <w:highlight w:val="none"/>
          <w:lang w:val="en-US" w:eastAsia="zh-CN" w:bidi="ar-SA"/>
        </w:rPr>
        <w:t>投标人</w:t>
      </w:r>
      <w:r>
        <w:rPr>
          <w:rFonts w:hint="eastAsia" w:ascii="宋体" w:hAnsi="宋体" w:eastAsia="宋体" w:cs="宋体"/>
          <w:b/>
          <w:kern w:val="2"/>
          <w:sz w:val="24"/>
          <w:szCs w:val="24"/>
          <w:highlight w:val="none"/>
          <w:lang w:val="en-US" w:eastAsia="zh-CN" w:bidi="ar-SA"/>
        </w:rPr>
        <w:t>企业关系关联承诺书</w:t>
      </w:r>
      <w:bookmarkEnd w:id="817"/>
      <w:bookmarkEnd w:id="818"/>
      <w:bookmarkEnd w:id="819"/>
      <w:bookmarkEnd w:id="820"/>
    </w:p>
    <w:p>
      <w:pPr>
        <w:pStyle w:val="9"/>
        <w:numPr>
          <w:ilvl w:val="0"/>
          <w:numId w:val="0"/>
        </w:numPr>
        <w:spacing w:line="360" w:lineRule="auto"/>
        <w:ind w:left="420" w:leftChars="0"/>
        <w:rPr>
          <w:rFonts w:hint="eastAsia" w:ascii="宋体" w:hAnsi="宋体" w:eastAsia="宋体" w:cs="宋体"/>
          <w:sz w:val="24"/>
          <w:szCs w:val="24"/>
          <w:lang w:val="en-US" w:eastAsia="zh-CN"/>
        </w:rPr>
      </w:pPr>
    </w:p>
    <w:p>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在本</w:t>
      </w:r>
      <w:r>
        <w:rPr>
          <w:rFonts w:hint="eastAsia" w:ascii="宋体" w:hAnsi="宋体" w:eastAsia="宋体" w:cs="宋体"/>
          <w:sz w:val="24"/>
          <w:szCs w:val="24"/>
          <w:highlight w:val="none"/>
          <w:lang w:eastAsia="zh-CN"/>
        </w:rPr>
        <w:t>次采购活动</w:t>
      </w:r>
      <w:r>
        <w:rPr>
          <w:rFonts w:hint="eastAsia" w:ascii="宋体" w:hAnsi="宋体" w:eastAsia="宋体" w:cs="宋体"/>
          <w:sz w:val="24"/>
          <w:szCs w:val="24"/>
          <w:highlight w:val="none"/>
        </w:rPr>
        <w:t>中，不存在与</w:t>
      </w:r>
      <w:r>
        <w:rPr>
          <w:rFonts w:hint="eastAsia" w:ascii="宋体" w:hAnsi="宋体" w:eastAsia="宋体" w:cs="宋体"/>
          <w:sz w:val="24"/>
          <w:szCs w:val="24"/>
          <w:highlight w:val="none"/>
          <w:lang w:eastAsia="zh-CN"/>
        </w:rPr>
        <w:t>其他</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负责人为同一人，有控股、管理等关联关系承诺。</w:t>
      </w:r>
    </w:p>
    <w:p>
      <w:pPr>
        <w:autoSpaceDE w:val="0"/>
        <w:autoSpaceDN w:val="0"/>
        <w:adjustRightInd w:val="0"/>
        <w:spacing w:line="360" w:lineRule="auto"/>
        <w:ind w:firstLine="480" w:firstLineChars="200"/>
        <w:outlineLvl w:val="2"/>
        <w:rPr>
          <w:rFonts w:hint="eastAsia" w:ascii="宋体" w:hAnsi="宋体" w:eastAsia="宋体" w:cs="宋体"/>
          <w:sz w:val="24"/>
          <w:szCs w:val="24"/>
          <w:highlight w:val="none"/>
        </w:rPr>
      </w:pPr>
      <w:bookmarkStart w:id="821" w:name="_Toc17277"/>
      <w:bookmarkStart w:id="822" w:name="_Toc5043"/>
      <w:bookmarkStart w:id="823" w:name="_Toc10266"/>
      <w:bookmarkStart w:id="824" w:name="_Toc10208"/>
      <w:r>
        <w:rPr>
          <w:rFonts w:hint="eastAsia" w:ascii="宋体" w:hAnsi="宋体" w:eastAsia="宋体" w:cs="宋体"/>
          <w:sz w:val="24"/>
          <w:szCs w:val="24"/>
          <w:highlight w:val="none"/>
        </w:rPr>
        <w:t>（一）管理关系说明：</w:t>
      </w:r>
      <w:bookmarkEnd w:id="821"/>
      <w:bookmarkEnd w:id="822"/>
      <w:bookmarkEnd w:id="823"/>
      <w:bookmarkEnd w:id="824"/>
    </w:p>
    <w:p>
      <w:pPr>
        <w:autoSpaceDE w:val="0"/>
        <w:autoSpaceDN w:val="0"/>
        <w:adjustRightIn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我单位管理的具有独立法人的下属单位：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w:t>
      </w:r>
    </w:p>
    <w:p>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我单位的上级管理单位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(没有填无)。</w:t>
      </w:r>
    </w:p>
    <w:p>
      <w:pPr>
        <w:autoSpaceDE w:val="0"/>
        <w:autoSpaceDN w:val="0"/>
        <w:adjustRightInd w:val="0"/>
        <w:spacing w:line="360" w:lineRule="auto"/>
        <w:ind w:firstLine="480" w:firstLineChars="200"/>
        <w:outlineLvl w:val="2"/>
        <w:rPr>
          <w:rFonts w:hint="eastAsia" w:ascii="宋体" w:hAnsi="宋体" w:eastAsia="宋体" w:cs="宋体"/>
          <w:sz w:val="24"/>
          <w:szCs w:val="24"/>
          <w:highlight w:val="none"/>
        </w:rPr>
      </w:pPr>
      <w:bookmarkStart w:id="825" w:name="_Toc23818"/>
      <w:bookmarkStart w:id="826" w:name="_Toc10204"/>
      <w:bookmarkStart w:id="827" w:name="_Toc21781"/>
      <w:bookmarkStart w:id="828" w:name="_Toc14835"/>
      <w:r>
        <w:rPr>
          <w:rFonts w:hint="eastAsia" w:ascii="宋体" w:hAnsi="宋体" w:eastAsia="宋体" w:cs="宋体"/>
          <w:sz w:val="24"/>
          <w:szCs w:val="24"/>
          <w:highlight w:val="none"/>
        </w:rPr>
        <w:t>（二）股权关系说明：</w:t>
      </w:r>
      <w:bookmarkEnd w:id="825"/>
      <w:bookmarkEnd w:id="826"/>
      <w:bookmarkEnd w:id="827"/>
      <w:bookmarkEnd w:id="828"/>
    </w:p>
    <w:p>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我单位控股的单位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 。</w:t>
      </w:r>
    </w:p>
    <w:p>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(没有填无)被</w:t>
      </w:r>
      <w:r>
        <w:rPr>
          <w:rFonts w:hint="eastAsia" w:ascii="宋体" w:hAnsi="宋体" w:eastAsia="宋体" w:cs="宋体"/>
          <w:sz w:val="24"/>
          <w:szCs w:val="24"/>
          <w:highlight w:val="none"/>
          <w:u w:val="single"/>
        </w:rPr>
        <w:t xml:space="preserve">   （控股单位全称）  </w:t>
      </w:r>
      <w:r>
        <w:rPr>
          <w:rFonts w:hint="eastAsia" w:ascii="宋体" w:hAnsi="宋体" w:eastAsia="宋体" w:cs="宋体"/>
          <w:sz w:val="24"/>
          <w:szCs w:val="24"/>
          <w:highlight w:val="none"/>
        </w:rPr>
        <w:t>单位控股。</w:t>
      </w:r>
    </w:p>
    <w:p>
      <w:pPr>
        <w:autoSpaceDE w:val="0"/>
        <w:autoSpaceDN w:val="0"/>
        <w:adjustRightInd w:val="0"/>
        <w:spacing w:line="360" w:lineRule="auto"/>
        <w:ind w:firstLine="480" w:firstLineChars="200"/>
        <w:outlineLvl w:val="2"/>
        <w:rPr>
          <w:rFonts w:hint="eastAsia" w:ascii="宋体" w:hAnsi="宋体" w:eastAsia="宋体" w:cs="宋体"/>
          <w:sz w:val="24"/>
          <w:szCs w:val="24"/>
          <w:highlight w:val="none"/>
        </w:rPr>
      </w:pPr>
      <w:bookmarkStart w:id="829" w:name="_Toc9491"/>
      <w:bookmarkStart w:id="830" w:name="_Toc22307"/>
      <w:bookmarkStart w:id="831" w:name="_Toc20910"/>
      <w:bookmarkStart w:id="832" w:name="_Toc13255"/>
      <w:r>
        <w:rPr>
          <w:rFonts w:hint="eastAsia" w:ascii="宋体" w:hAnsi="宋体" w:eastAsia="宋体" w:cs="宋体"/>
          <w:sz w:val="24"/>
          <w:szCs w:val="24"/>
          <w:highlight w:val="none"/>
        </w:rPr>
        <w:t>（三）单位负责人：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(没有填无)。</w:t>
      </w:r>
      <w:bookmarkEnd w:id="829"/>
      <w:bookmarkEnd w:id="830"/>
      <w:bookmarkEnd w:id="831"/>
      <w:bookmarkEnd w:id="832"/>
    </w:p>
    <w:p>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w:t>
      </w:r>
      <w:r>
        <w:rPr>
          <w:rFonts w:hint="eastAsia" w:ascii="宋体" w:hAnsi="宋体" w:eastAsia="宋体" w:cs="宋体"/>
          <w:sz w:val="24"/>
          <w:szCs w:val="24"/>
          <w:highlight w:val="none"/>
          <w:u w:val="single"/>
          <w:lang w:val="en-US" w:eastAsia="zh-CN"/>
        </w:rPr>
        <w:t>承诺未</w:t>
      </w:r>
      <w:r>
        <w:rPr>
          <w:rFonts w:hint="eastAsia" w:ascii="宋体" w:hAnsi="宋体" w:eastAsia="宋体" w:cs="宋体"/>
          <w:sz w:val="24"/>
          <w:szCs w:val="24"/>
          <w:highlight w:val="none"/>
        </w:rPr>
        <w:t>为本</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rPr>
        <w:t>项目提供过整体设计、规范编制或者项目管理、</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监理、检测等服务的</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w:t>
      </w:r>
    </w:p>
    <w:p>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三、其他与本项目有关的利害关系说明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(没有填无)。</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我单位承诺以上说明真实有效，无虚假内容或隐瞒。如有不实，我方将无条件地退出本项目的采购活动，并遵照《政府采购法》有关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提供虚假材料的规定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接受处罚</w:t>
      </w:r>
      <w:r>
        <w:rPr>
          <w:rFonts w:hint="eastAsia" w:ascii="宋体" w:hAnsi="宋体" w:eastAsia="宋体" w:cs="宋体"/>
          <w:sz w:val="24"/>
          <w:szCs w:val="24"/>
          <w:highlight w:val="none"/>
          <w:lang w:eastAsia="zh-CN"/>
        </w:rPr>
        <w:t>。</w:t>
      </w:r>
    </w:p>
    <w:p>
      <w:pPr>
        <w:spacing w:line="360" w:lineRule="auto"/>
        <w:ind w:right="-161" w:firstLine="2640" w:firstLineChars="1100"/>
        <w:rPr>
          <w:rFonts w:hint="eastAsia" w:ascii="宋体" w:hAnsi="宋体" w:eastAsia="宋体" w:cs="宋体"/>
          <w:color w:val="auto"/>
          <w:sz w:val="24"/>
          <w:szCs w:val="24"/>
          <w:highlight w:val="none"/>
        </w:rPr>
      </w:pPr>
    </w:p>
    <w:p>
      <w:pPr>
        <w:spacing w:line="360" w:lineRule="auto"/>
        <w:ind w:right="-161" w:firstLine="2400" w:firstLineChars="10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pPr>
        <w:spacing w:line="360" w:lineRule="auto"/>
        <w:ind w:right="-161"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或被授权代表：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pPr>
        <w:tabs>
          <w:tab w:val="left" w:pos="9070"/>
        </w:tabs>
        <w:spacing w:line="360" w:lineRule="auto"/>
        <w:ind w:right="-428"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bookmarkStart w:id="833" w:name="_Toc27233"/>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pStyle w:val="4"/>
        <w:rPr>
          <w:rFonts w:hint="eastAsia"/>
          <w:lang w:val="en-US" w:eastAsia="zh-CN"/>
        </w:rPr>
      </w:pPr>
    </w:p>
    <w:p>
      <w:pPr>
        <w:adjustRightInd w:val="0"/>
        <w:snapToGrid w:val="0"/>
        <w:spacing w:line="360" w:lineRule="auto"/>
        <w:jc w:val="both"/>
        <w:outlineLvl w:val="9"/>
        <w:rPr>
          <w:rFonts w:hint="eastAsia" w:ascii="宋体" w:hAnsi="宋体" w:eastAsia="宋体" w:cs="宋体"/>
          <w:b/>
          <w:color w:val="auto"/>
          <w:sz w:val="24"/>
          <w:szCs w:val="24"/>
          <w:highlight w:val="none"/>
          <w:lang w:val="en-US" w:eastAsia="zh-CN"/>
        </w:rPr>
      </w:pPr>
    </w:p>
    <w:p>
      <w:pPr>
        <w:adjustRightInd w:val="0"/>
        <w:snapToGrid w:val="0"/>
        <w:spacing w:line="360" w:lineRule="auto"/>
        <w:jc w:val="both"/>
        <w:outlineLvl w:val="0"/>
        <w:rPr>
          <w:rFonts w:hint="default" w:ascii="宋体" w:hAnsi="宋体" w:eastAsia="宋体" w:cs="宋体"/>
          <w:b/>
          <w:color w:val="auto"/>
          <w:sz w:val="24"/>
          <w:szCs w:val="24"/>
          <w:highlight w:val="none"/>
          <w:lang w:val="en-US" w:eastAsia="zh-CN"/>
        </w:rPr>
      </w:pPr>
      <w:bookmarkStart w:id="834" w:name="_Toc25400"/>
      <w:bookmarkStart w:id="835" w:name="_Toc10011"/>
      <w:bookmarkStart w:id="836" w:name="_Toc16701"/>
      <w:bookmarkStart w:id="837" w:name="_Toc783"/>
      <w:r>
        <w:rPr>
          <w:rFonts w:hint="eastAsia" w:ascii="宋体" w:hAnsi="宋体" w:eastAsia="宋体" w:cs="宋体"/>
          <w:b/>
          <w:color w:val="auto"/>
          <w:sz w:val="24"/>
          <w:szCs w:val="24"/>
          <w:highlight w:val="none"/>
          <w:lang w:val="en-US" w:eastAsia="zh-CN"/>
        </w:rPr>
        <w:t>附件</w:t>
      </w:r>
      <w:bookmarkEnd w:id="833"/>
      <w:bookmarkEnd w:id="834"/>
      <w:r>
        <w:rPr>
          <w:rFonts w:hint="eastAsia" w:ascii="宋体" w:hAnsi="宋体" w:cs="宋体"/>
          <w:b/>
          <w:color w:val="auto"/>
          <w:sz w:val="24"/>
          <w:szCs w:val="24"/>
          <w:highlight w:val="none"/>
          <w:lang w:val="en-US" w:eastAsia="zh-CN"/>
        </w:rPr>
        <w:t>6</w:t>
      </w:r>
      <w:bookmarkEnd w:id="835"/>
      <w:bookmarkEnd w:id="836"/>
      <w:bookmarkEnd w:id="837"/>
    </w:p>
    <w:p>
      <w:pPr>
        <w:numPr>
          <w:ilvl w:val="0"/>
          <w:numId w:val="0"/>
        </w:numPr>
        <w:spacing w:line="360" w:lineRule="auto"/>
        <w:ind w:right="-161" w:rightChars="0"/>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拒绝政府采购领域商业贿赂承诺书</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为响应党中央、国务院关于治理政府采购领域商业贿赂行为的号召，我公司在此庄严承诺：    </w:t>
      </w:r>
    </w:p>
    <w:p>
      <w:pPr>
        <w:numPr>
          <w:ilvl w:val="0"/>
          <w:numId w:val="7"/>
        </w:num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在参与政府采购活动中遵纪守法、诚信经营、公平竞标。</w:t>
      </w:r>
    </w:p>
    <w:p>
      <w:pPr>
        <w:numPr>
          <w:ilvl w:val="0"/>
          <w:numId w:val="7"/>
        </w:numPr>
        <w:autoSpaceDE w:val="0"/>
        <w:autoSpaceDN w:val="0"/>
        <w:adjustRightInd w:val="0"/>
        <w:spacing w:line="360" w:lineRule="auto"/>
        <w:ind w:left="0" w:leftChars="0"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不向政府采购人、采购代理机构和政府采购评审专家进行任何形式的商业贿赂以谋取交易机会。</w:t>
      </w:r>
    </w:p>
    <w:p>
      <w:pPr>
        <w:numPr>
          <w:ilvl w:val="0"/>
          <w:numId w:val="7"/>
        </w:numPr>
        <w:autoSpaceDE w:val="0"/>
        <w:autoSpaceDN w:val="0"/>
        <w:adjustRightInd w:val="0"/>
        <w:spacing w:line="360" w:lineRule="auto"/>
        <w:ind w:left="0" w:leftChars="0"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不向政府采购代理机构和采购人提供虚假资质证明文件或采用虚假应标方式参与政府采购市场竞争并谋取成交、成交。    </w:t>
      </w:r>
    </w:p>
    <w:p>
      <w:pPr>
        <w:numPr>
          <w:ilvl w:val="0"/>
          <w:numId w:val="7"/>
        </w:numPr>
        <w:autoSpaceDE w:val="0"/>
        <w:autoSpaceDN w:val="0"/>
        <w:adjustRightInd w:val="0"/>
        <w:spacing w:line="360" w:lineRule="auto"/>
        <w:ind w:left="0" w:leftChars="0"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不采取“围标、陪标”等商业欺诈手段获得政府采购订单。 </w:t>
      </w:r>
    </w:p>
    <w:p>
      <w:pPr>
        <w:numPr>
          <w:ilvl w:val="0"/>
          <w:numId w:val="7"/>
        </w:numPr>
        <w:autoSpaceDE w:val="0"/>
        <w:autoSpaceDN w:val="0"/>
        <w:adjustRightInd w:val="0"/>
        <w:spacing w:line="360" w:lineRule="auto"/>
        <w:ind w:left="0" w:leftChars="0"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不采取不正当手段诋毁、排挤其他</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 xml:space="preserve">。  </w:t>
      </w:r>
    </w:p>
    <w:p>
      <w:pPr>
        <w:numPr>
          <w:ilvl w:val="0"/>
          <w:numId w:val="7"/>
        </w:numPr>
        <w:autoSpaceDE w:val="0"/>
        <w:autoSpaceDN w:val="0"/>
        <w:adjustRightInd w:val="0"/>
        <w:spacing w:line="360" w:lineRule="auto"/>
        <w:ind w:left="0" w:leftChars="0"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不在提供货物和服务时“偷梁换柱、以次充好”损害采购人的合法权益。  </w:t>
      </w:r>
    </w:p>
    <w:p>
      <w:pPr>
        <w:numPr>
          <w:ilvl w:val="0"/>
          <w:numId w:val="7"/>
        </w:numPr>
        <w:autoSpaceDE w:val="0"/>
        <w:autoSpaceDN w:val="0"/>
        <w:adjustRightInd w:val="0"/>
        <w:spacing w:line="360" w:lineRule="auto"/>
        <w:ind w:left="0" w:leftChars="0"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不与采购人、采购代理机构、政府采购评审专家或其他</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 xml:space="preserve">恶意串通，进行质疑和投诉，维护政府采购市场秩序。    </w:t>
      </w:r>
    </w:p>
    <w:p>
      <w:pPr>
        <w:numPr>
          <w:ilvl w:val="0"/>
          <w:numId w:val="7"/>
        </w:numPr>
        <w:autoSpaceDE w:val="0"/>
        <w:autoSpaceDN w:val="0"/>
        <w:adjustRightInd w:val="0"/>
        <w:spacing w:line="360" w:lineRule="auto"/>
        <w:ind w:left="0" w:leftChars="0"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尊重和接受政府采购监督管理部门的监督和政府采购代理机构采购要求，承担因违约行为给采购人造成的损失。    </w:t>
      </w:r>
    </w:p>
    <w:p>
      <w:pPr>
        <w:numPr>
          <w:ilvl w:val="0"/>
          <w:numId w:val="0"/>
        </w:numPr>
        <w:autoSpaceDE w:val="0"/>
        <w:autoSpaceDN w:val="0"/>
        <w:adjustRightInd w:val="0"/>
        <w:spacing w:line="360" w:lineRule="auto"/>
        <w:ind w:left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九、不发生其他有悖于政府采购公开、公平、公正和诚信原则的行为。                                    </w:t>
      </w:r>
    </w:p>
    <w:p>
      <w:pPr>
        <w:spacing w:line="360" w:lineRule="auto"/>
        <w:ind w:right="-161" w:firstLine="2640" w:firstLineChars="1100"/>
        <w:rPr>
          <w:rFonts w:hint="eastAsia" w:ascii="宋体" w:hAnsi="宋体" w:eastAsia="宋体" w:cs="宋体"/>
          <w:color w:val="auto"/>
          <w:sz w:val="24"/>
          <w:szCs w:val="24"/>
          <w:highlight w:val="none"/>
        </w:rPr>
      </w:pPr>
    </w:p>
    <w:p>
      <w:pPr>
        <w:spacing w:line="360" w:lineRule="auto"/>
        <w:ind w:right="-161" w:firstLine="2400" w:firstLineChars="10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pPr>
        <w:spacing w:line="360" w:lineRule="auto"/>
        <w:ind w:right="-161"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或被授权代表：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pPr>
        <w:tabs>
          <w:tab w:val="left" w:pos="9070"/>
        </w:tabs>
        <w:spacing w:line="360" w:lineRule="auto"/>
        <w:ind w:right="-428"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pStyle w:val="9"/>
        <w:spacing w:line="360" w:lineRule="auto"/>
        <w:rPr>
          <w:rFonts w:hint="eastAsia" w:ascii="宋体" w:hAnsi="宋体" w:eastAsia="宋体" w:cs="宋体"/>
          <w:color w:val="auto"/>
          <w:sz w:val="24"/>
          <w:szCs w:val="24"/>
          <w:highlight w:val="none"/>
          <w:u w:val="single"/>
          <w:lang w:val="en-US" w:eastAsia="zh-CN"/>
        </w:rPr>
      </w:pPr>
    </w:p>
    <w:p>
      <w:pPr>
        <w:spacing w:line="360" w:lineRule="auto"/>
        <w:rPr>
          <w:rFonts w:hint="eastAsia" w:ascii="宋体" w:hAnsi="宋体" w:eastAsia="宋体" w:cs="宋体"/>
          <w:sz w:val="24"/>
          <w:szCs w:val="24"/>
          <w:lang w:val="en-US" w:eastAsia="zh-CN"/>
        </w:rPr>
      </w:pPr>
    </w:p>
    <w:p>
      <w:pPr>
        <w:numPr>
          <w:ilvl w:val="0"/>
          <w:numId w:val="0"/>
        </w:numPr>
        <w:spacing w:line="360" w:lineRule="auto"/>
        <w:ind w:right="-161" w:rightChars="0"/>
        <w:jc w:val="center"/>
        <w:outlineLvl w:val="9"/>
        <w:rPr>
          <w:rFonts w:hint="eastAsia" w:ascii="宋体" w:hAnsi="宋体" w:eastAsia="宋体" w:cs="宋体"/>
          <w:b/>
          <w:kern w:val="2"/>
          <w:sz w:val="24"/>
          <w:szCs w:val="24"/>
          <w:highlight w:val="none"/>
          <w:lang w:val="en-US" w:eastAsia="zh-CN" w:bidi="ar-SA"/>
        </w:rPr>
      </w:pPr>
      <w:bookmarkStart w:id="838" w:name="_Toc27145"/>
      <w:bookmarkStart w:id="839" w:name="_Toc12660"/>
      <w:bookmarkStart w:id="840" w:name="_Toc4928"/>
    </w:p>
    <w:p>
      <w:pPr>
        <w:numPr>
          <w:ilvl w:val="0"/>
          <w:numId w:val="0"/>
        </w:numPr>
        <w:spacing w:line="360" w:lineRule="auto"/>
        <w:ind w:right="-161" w:rightChars="0"/>
        <w:jc w:val="center"/>
        <w:outlineLvl w:val="9"/>
        <w:rPr>
          <w:rFonts w:hint="eastAsia" w:ascii="宋体" w:hAnsi="宋体" w:eastAsia="宋体" w:cs="宋体"/>
          <w:b/>
          <w:kern w:val="2"/>
          <w:sz w:val="24"/>
          <w:szCs w:val="24"/>
          <w:highlight w:val="none"/>
          <w:lang w:val="en-US" w:eastAsia="zh-CN" w:bidi="ar-SA"/>
        </w:rPr>
      </w:pPr>
    </w:p>
    <w:p>
      <w:pPr>
        <w:pStyle w:val="11"/>
        <w:rPr>
          <w:rFonts w:hint="eastAsia" w:ascii="宋体" w:hAnsi="宋体" w:eastAsia="宋体" w:cs="宋体"/>
          <w:b/>
          <w:kern w:val="2"/>
          <w:sz w:val="24"/>
          <w:szCs w:val="24"/>
          <w:highlight w:val="none"/>
          <w:lang w:val="en-US" w:eastAsia="zh-CN" w:bidi="ar-SA"/>
        </w:rPr>
      </w:pPr>
    </w:p>
    <w:p>
      <w:pPr>
        <w:rPr>
          <w:rFonts w:hint="eastAsia"/>
          <w:lang w:val="en-US" w:eastAsia="zh-CN"/>
        </w:rPr>
      </w:pPr>
    </w:p>
    <w:p>
      <w:pPr>
        <w:numPr>
          <w:ilvl w:val="0"/>
          <w:numId w:val="0"/>
        </w:numPr>
        <w:spacing w:line="360" w:lineRule="auto"/>
        <w:ind w:right="-161" w:rightChars="0"/>
        <w:jc w:val="center"/>
        <w:outlineLvl w:val="9"/>
        <w:rPr>
          <w:rFonts w:hint="eastAsia" w:ascii="宋体" w:hAnsi="宋体" w:eastAsia="宋体" w:cs="宋体"/>
          <w:b/>
          <w:kern w:val="2"/>
          <w:sz w:val="24"/>
          <w:szCs w:val="24"/>
          <w:highlight w:val="none"/>
          <w:lang w:val="en-US" w:eastAsia="zh-CN" w:bidi="ar-SA"/>
        </w:rPr>
      </w:pPr>
    </w:p>
    <w:p>
      <w:pPr>
        <w:numPr>
          <w:ilvl w:val="0"/>
          <w:numId w:val="0"/>
        </w:numPr>
        <w:spacing w:line="360" w:lineRule="auto"/>
        <w:ind w:right="-161" w:rightChars="0"/>
        <w:jc w:val="both"/>
        <w:outlineLvl w:val="9"/>
        <w:rPr>
          <w:rFonts w:hint="eastAsia" w:ascii="宋体" w:hAnsi="宋体" w:eastAsia="宋体" w:cs="宋体"/>
          <w:b/>
          <w:kern w:val="2"/>
          <w:sz w:val="24"/>
          <w:szCs w:val="24"/>
          <w:highlight w:val="none"/>
          <w:lang w:val="en-US" w:eastAsia="zh-CN" w:bidi="ar-SA"/>
        </w:rPr>
      </w:pPr>
    </w:p>
    <w:p>
      <w:pPr>
        <w:numPr>
          <w:ilvl w:val="0"/>
          <w:numId w:val="0"/>
        </w:numPr>
        <w:spacing w:line="360" w:lineRule="auto"/>
        <w:ind w:right="-161" w:rightChars="0"/>
        <w:jc w:val="center"/>
        <w:outlineLvl w:val="9"/>
        <w:rPr>
          <w:rFonts w:hint="eastAsia" w:ascii="宋体" w:hAnsi="宋体" w:eastAsia="宋体" w:cs="宋体"/>
          <w:b/>
          <w:kern w:val="2"/>
          <w:sz w:val="24"/>
          <w:szCs w:val="24"/>
          <w:highlight w:val="none"/>
          <w:lang w:val="en-US" w:eastAsia="zh-CN" w:bidi="ar-SA"/>
        </w:rPr>
      </w:pPr>
    </w:p>
    <w:p>
      <w:pPr>
        <w:numPr>
          <w:ilvl w:val="0"/>
          <w:numId w:val="0"/>
        </w:numPr>
        <w:spacing w:line="360" w:lineRule="auto"/>
        <w:ind w:right="-161" w:rightChars="0"/>
        <w:jc w:val="center"/>
        <w:outlineLvl w:val="0"/>
        <w:rPr>
          <w:rFonts w:hint="eastAsia" w:ascii="宋体" w:hAnsi="宋体" w:eastAsia="宋体" w:cs="宋体"/>
          <w:b/>
          <w:kern w:val="2"/>
          <w:sz w:val="24"/>
          <w:szCs w:val="24"/>
          <w:highlight w:val="none"/>
          <w:lang w:val="en-US" w:eastAsia="zh-CN" w:bidi="ar-SA"/>
        </w:rPr>
      </w:pPr>
      <w:bookmarkStart w:id="841" w:name="_Toc14363"/>
      <w:r>
        <w:rPr>
          <w:rFonts w:hint="eastAsia" w:ascii="宋体" w:hAnsi="宋体" w:cs="宋体"/>
          <w:b/>
          <w:kern w:val="2"/>
          <w:sz w:val="24"/>
          <w:szCs w:val="24"/>
          <w:highlight w:val="none"/>
          <w:lang w:val="en-US" w:eastAsia="zh-CN" w:bidi="ar-SA"/>
        </w:rPr>
        <w:t>十</w:t>
      </w:r>
      <w:r>
        <w:rPr>
          <w:rFonts w:hint="eastAsia" w:ascii="宋体" w:hAnsi="宋体" w:eastAsia="宋体" w:cs="宋体"/>
          <w:b/>
          <w:kern w:val="2"/>
          <w:sz w:val="24"/>
          <w:szCs w:val="24"/>
          <w:highlight w:val="none"/>
          <w:lang w:val="en-US" w:eastAsia="zh-CN" w:bidi="ar-SA"/>
        </w:rPr>
        <w:t>、落实政府采购政策需提供的相关材料</w:t>
      </w:r>
      <w:bookmarkEnd w:id="838"/>
      <w:bookmarkEnd w:id="839"/>
      <w:bookmarkEnd w:id="840"/>
      <w:bookmarkEnd w:id="841"/>
    </w:p>
    <w:p>
      <w:pPr>
        <w:numPr>
          <w:ilvl w:val="0"/>
          <w:numId w:val="0"/>
        </w:numPr>
        <w:spacing w:line="360" w:lineRule="auto"/>
        <w:ind w:leftChars="0" w:right="-161" w:rightChars="0"/>
        <w:jc w:val="left"/>
        <w:outlineLvl w:val="9"/>
        <w:rPr>
          <w:rFonts w:hint="eastAsia" w:ascii="宋体" w:hAnsi="宋体" w:eastAsia="宋体" w:cs="宋体"/>
          <w:b/>
          <w:kern w:val="2"/>
          <w:sz w:val="24"/>
          <w:szCs w:val="24"/>
          <w:highlight w:val="none"/>
          <w:lang w:val="en-US" w:eastAsia="zh-CN" w:bidi="ar-SA"/>
        </w:rPr>
      </w:pPr>
      <w:bookmarkStart w:id="842" w:name="_Toc29451"/>
      <w:bookmarkStart w:id="843" w:name="_Toc30364"/>
    </w:p>
    <w:p>
      <w:pPr>
        <w:numPr>
          <w:ilvl w:val="0"/>
          <w:numId w:val="0"/>
        </w:numPr>
        <w:spacing w:line="360" w:lineRule="auto"/>
        <w:ind w:leftChars="0" w:right="-161" w:rightChars="0" w:firstLine="480" w:firstLineChars="200"/>
        <w:jc w:val="left"/>
        <w:outlineLvl w:val="0"/>
        <w:rPr>
          <w:rFonts w:hint="eastAsia" w:ascii="宋体" w:hAnsi="宋体" w:eastAsia="宋体" w:cs="宋体"/>
          <w:b w:val="0"/>
          <w:bCs/>
          <w:kern w:val="2"/>
          <w:sz w:val="24"/>
          <w:szCs w:val="24"/>
          <w:highlight w:val="none"/>
          <w:lang w:val="en-US" w:eastAsia="zh-CN" w:bidi="ar-SA"/>
        </w:rPr>
      </w:pPr>
      <w:bookmarkStart w:id="844" w:name="_Toc31924"/>
      <w:bookmarkStart w:id="845" w:name="_Toc14003"/>
      <w:bookmarkStart w:id="846" w:name="_Toc23261"/>
      <w:bookmarkStart w:id="847" w:name="_Toc15888"/>
      <w:bookmarkStart w:id="848" w:name="_Toc25790"/>
      <w:r>
        <w:rPr>
          <w:rFonts w:hint="eastAsia" w:ascii="宋体" w:hAnsi="宋体" w:eastAsia="宋体" w:cs="宋体"/>
          <w:b w:val="0"/>
          <w:bCs/>
          <w:kern w:val="2"/>
          <w:sz w:val="24"/>
          <w:szCs w:val="24"/>
          <w:highlight w:val="none"/>
          <w:lang w:val="en-US" w:eastAsia="zh-CN" w:bidi="ar-SA"/>
        </w:rPr>
        <w:t>投标人自拟格式，自行编写认为有必要的其他补充说明内容，文字图片等不限。</w:t>
      </w:r>
      <w:bookmarkEnd w:id="844"/>
      <w:bookmarkEnd w:id="845"/>
      <w:bookmarkEnd w:id="846"/>
      <w:bookmarkEnd w:id="847"/>
      <w:bookmarkEnd w:id="848"/>
    </w:p>
    <w:p>
      <w:pPr>
        <w:numPr>
          <w:ilvl w:val="0"/>
          <w:numId w:val="0"/>
        </w:numPr>
        <w:spacing w:line="360" w:lineRule="auto"/>
        <w:ind w:leftChars="0" w:right="-161" w:rightChars="0" w:firstLine="480" w:firstLineChars="200"/>
        <w:jc w:val="left"/>
        <w:outlineLvl w:val="9"/>
        <w:rPr>
          <w:rFonts w:hint="eastAsia" w:ascii="宋体" w:hAnsi="宋体" w:eastAsia="宋体" w:cs="宋体"/>
          <w:b w:val="0"/>
          <w:bCs/>
          <w:kern w:val="2"/>
          <w:sz w:val="24"/>
          <w:szCs w:val="24"/>
          <w:highlight w:val="none"/>
          <w:lang w:val="en-US" w:eastAsia="zh-CN" w:bidi="ar-SA"/>
        </w:rPr>
      </w:pPr>
    </w:p>
    <w:p>
      <w:pPr>
        <w:numPr>
          <w:ilvl w:val="0"/>
          <w:numId w:val="0"/>
        </w:numPr>
        <w:spacing w:line="360" w:lineRule="auto"/>
        <w:ind w:leftChars="0" w:right="-161" w:rightChars="0"/>
        <w:jc w:val="left"/>
        <w:outlineLvl w:val="0"/>
        <w:rPr>
          <w:rFonts w:hint="eastAsia" w:ascii="宋体" w:hAnsi="宋体" w:eastAsia="宋体" w:cs="宋体"/>
          <w:b/>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br w:type="page"/>
      </w:r>
      <w:bookmarkStart w:id="849" w:name="_Toc23170"/>
      <w:bookmarkStart w:id="850" w:name="_Toc23237"/>
      <w:bookmarkStart w:id="851" w:name="_Toc889"/>
      <w:bookmarkStart w:id="852" w:name="_Toc20480"/>
      <w:bookmarkStart w:id="853" w:name="_Toc28883"/>
      <w:bookmarkStart w:id="854" w:name="_Toc7723"/>
      <w:r>
        <w:rPr>
          <w:rFonts w:hint="eastAsia" w:ascii="宋体" w:hAnsi="宋体" w:eastAsia="宋体" w:cs="宋体"/>
          <w:b/>
          <w:kern w:val="2"/>
          <w:sz w:val="24"/>
          <w:szCs w:val="24"/>
          <w:highlight w:val="none"/>
          <w:lang w:val="en-US" w:eastAsia="zh-CN" w:bidi="ar-SA"/>
        </w:rPr>
        <w:t>附件1</w:t>
      </w:r>
      <w:bookmarkEnd w:id="842"/>
      <w:bookmarkEnd w:id="843"/>
      <w:bookmarkEnd w:id="849"/>
      <w:bookmarkEnd w:id="850"/>
      <w:bookmarkEnd w:id="851"/>
      <w:r>
        <w:rPr>
          <w:rFonts w:hint="eastAsia" w:ascii="宋体" w:hAnsi="宋体" w:eastAsia="宋体" w:cs="宋体"/>
          <w:b/>
          <w:kern w:val="2"/>
          <w:sz w:val="24"/>
          <w:szCs w:val="24"/>
          <w:highlight w:val="none"/>
          <w:lang w:val="en-US" w:eastAsia="zh-CN" w:bidi="ar-SA"/>
        </w:rPr>
        <w:t>（若无可直接删除）</w:t>
      </w:r>
      <w:bookmarkEnd w:id="852"/>
      <w:bookmarkEnd w:id="853"/>
      <w:bookmarkEnd w:id="854"/>
    </w:p>
    <w:p>
      <w:pPr>
        <w:numPr>
          <w:ilvl w:val="0"/>
          <w:numId w:val="0"/>
        </w:numPr>
        <w:spacing w:line="360" w:lineRule="auto"/>
        <w:ind w:leftChars="0" w:right="-161" w:rightChars="0"/>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中小企业声明函（非中小企业不填写、货物）</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本公司（联合体）郑重声明，根据《政府采购促进中小企业发展管理办法》（财库﹝2020﹞46 号）的规定，本公司（联合体）参加（单位名称）的</w:t>
      </w:r>
      <w:r>
        <w:rPr>
          <w:rFonts w:hint="eastAsia" w:ascii="宋体" w:hAnsi="宋体" w:eastAsia="宋体" w:cs="宋体"/>
          <w:sz w:val="24"/>
          <w:szCs w:val="24"/>
          <w:highlight w:val="none"/>
          <w:u w:val="single"/>
          <w:lang w:val="en-US" w:eastAsia="zh-CN"/>
        </w:rPr>
        <w:t>（项目名称）</w:t>
      </w:r>
      <w:r>
        <w:rPr>
          <w:rFonts w:hint="eastAsia" w:ascii="宋体" w:hAnsi="宋体" w:eastAsia="宋体" w:cs="宋体"/>
          <w:sz w:val="24"/>
          <w:szCs w:val="24"/>
          <w:highlight w:val="none"/>
          <w:lang w:val="en-US" w:eastAsia="zh-CN"/>
        </w:rPr>
        <w:t xml:space="preserve">采购活动，提供的货物全部由符合政策要求的中小企业制造。相关企业（含联合体中的中小企业、签订分包意向协议的中小企业）的具体情况如下：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u w:val="single"/>
          <w:lang w:val="en-US" w:eastAsia="zh-CN"/>
        </w:rPr>
        <w:t>（标的名称）</w:t>
      </w:r>
      <w:r>
        <w:rPr>
          <w:rFonts w:hint="eastAsia" w:ascii="宋体" w:hAnsi="宋体" w:eastAsia="宋体" w:cs="宋体"/>
          <w:sz w:val="24"/>
          <w:szCs w:val="24"/>
          <w:highlight w:val="none"/>
          <w:lang w:val="en-US" w:eastAsia="zh-CN"/>
        </w:rPr>
        <w:t xml:space="preserve"> ，属于</w:t>
      </w:r>
      <w:r>
        <w:rPr>
          <w:rFonts w:hint="eastAsia" w:ascii="宋体" w:hAnsi="宋体" w:eastAsia="宋体" w:cs="宋体"/>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行业；制造商为</w:t>
      </w:r>
      <w:r>
        <w:rPr>
          <w:rFonts w:hint="eastAsia" w:ascii="宋体" w:hAnsi="宋体" w:eastAsia="宋体" w:cs="宋体"/>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万元,属于</w:t>
      </w:r>
      <w:r>
        <w:rPr>
          <w:rFonts w:hint="eastAsia" w:ascii="宋体" w:hAnsi="宋体" w:eastAsia="宋体" w:cs="宋体"/>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u w:val="single"/>
          <w:lang w:val="en-US" w:eastAsia="zh-CN"/>
        </w:rPr>
        <w:t xml:space="preserve"> （标的名称） </w:t>
      </w:r>
      <w:r>
        <w:rPr>
          <w:rFonts w:hint="eastAsia" w:ascii="宋体" w:hAnsi="宋体" w:eastAsia="宋体" w:cs="宋体"/>
          <w:sz w:val="24"/>
          <w:szCs w:val="24"/>
          <w:highlight w:val="none"/>
          <w:lang w:val="en-US" w:eastAsia="zh-CN"/>
        </w:rPr>
        <w:t>，属于（采购文件中明确的所属行业）行业；制造商为</w:t>
      </w:r>
      <w:r>
        <w:rPr>
          <w:rFonts w:hint="eastAsia" w:ascii="宋体" w:hAnsi="宋体" w:eastAsia="宋体" w:cs="宋体"/>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万元，属于</w:t>
      </w:r>
      <w:r>
        <w:rPr>
          <w:rFonts w:hint="eastAsia" w:ascii="宋体" w:hAnsi="宋体" w:eastAsia="宋体" w:cs="宋体"/>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本企业对上述声明内容的真实性负责。如有虚假，将依法承担相应责任。 </w:t>
      </w:r>
    </w:p>
    <w:p>
      <w:pPr>
        <w:spacing w:line="360" w:lineRule="auto"/>
        <w:ind w:firstLine="480" w:firstLineChars="200"/>
        <w:rPr>
          <w:rFonts w:hint="eastAsia" w:ascii="宋体" w:hAnsi="宋体" w:eastAsia="宋体" w:cs="宋体"/>
          <w:sz w:val="24"/>
          <w:szCs w:val="24"/>
          <w:highlight w:val="none"/>
          <w:lang w:val="en-US" w:eastAsia="zh-CN"/>
        </w:rPr>
      </w:pP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公</w:t>
      </w:r>
      <w:r>
        <w:rPr>
          <w:rFonts w:hint="eastAsia" w:ascii="宋体" w:hAnsi="宋体" w:eastAsia="宋体" w:cs="宋体"/>
          <w:sz w:val="24"/>
          <w:szCs w:val="24"/>
          <w:highlight w:val="none"/>
        </w:rPr>
        <w:t>章）：</w:t>
      </w:r>
      <w:r>
        <w:rPr>
          <w:rFonts w:hint="eastAsia" w:ascii="宋体" w:hAnsi="宋体" w:eastAsia="宋体" w:cs="宋体"/>
          <w:sz w:val="24"/>
          <w:szCs w:val="24"/>
          <w:highlight w:val="none"/>
          <w:u w:val="singl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numPr>
          <w:ilvl w:val="0"/>
          <w:numId w:val="0"/>
        </w:numPr>
        <w:spacing w:line="360" w:lineRule="auto"/>
        <w:ind w:right="-161" w:rightChars="0"/>
        <w:jc w:val="center"/>
        <w:rPr>
          <w:rFonts w:hint="eastAsia" w:ascii="宋体" w:hAnsi="宋体" w:eastAsia="宋体" w:cs="宋体"/>
          <w:b/>
          <w:color w:val="0000FF"/>
          <w:kern w:val="2"/>
          <w:sz w:val="24"/>
          <w:szCs w:val="24"/>
          <w:highlight w:val="none"/>
          <w:lang w:val="en-US" w:eastAsia="zh-CN" w:bidi="ar-SA"/>
        </w:rPr>
      </w:pPr>
    </w:p>
    <w:p>
      <w:pPr>
        <w:numPr>
          <w:ilvl w:val="0"/>
          <w:numId w:val="0"/>
        </w:numPr>
        <w:spacing w:line="360" w:lineRule="auto"/>
        <w:ind w:right="-161" w:rightChars="0"/>
        <w:jc w:val="center"/>
        <w:rPr>
          <w:rFonts w:hint="eastAsia" w:ascii="宋体" w:hAnsi="宋体" w:eastAsia="宋体" w:cs="宋体"/>
          <w:b/>
          <w:color w:val="0000FF"/>
          <w:kern w:val="2"/>
          <w:sz w:val="24"/>
          <w:szCs w:val="24"/>
          <w:highlight w:val="none"/>
          <w:lang w:val="en-US" w:eastAsia="zh-CN" w:bidi="ar-SA"/>
        </w:rPr>
      </w:pPr>
    </w:p>
    <w:p>
      <w:pPr>
        <w:numPr>
          <w:ilvl w:val="0"/>
          <w:numId w:val="0"/>
        </w:numPr>
        <w:spacing w:line="360" w:lineRule="auto"/>
        <w:ind w:right="-161" w:rightChars="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0000FF"/>
          <w:kern w:val="2"/>
          <w:sz w:val="24"/>
          <w:szCs w:val="24"/>
          <w:highlight w:val="none"/>
          <w:lang w:val="en-US" w:eastAsia="zh-CN" w:bidi="ar-SA"/>
        </w:rPr>
        <w:br w:type="page"/>
      </w:r>
      <w:r>
        <w:rPr>
          <w:rFonts w:hint="eastAsia" w:ascii="宋体" w:hAnsi="宋体" w:eastAsia="宋体" w:cs="宋体"/>
          <w:b/>
          <w:color w:val="auto"/>
          <w:kern w:val="2"/>
          <w:sz w:val="24"/>
          <w:szCs w:val="24"/>
          <w:highlight w:val="none"/>
          <w:lang w:val="en-US" w:eastAsia="zh-CN" w:bidi="ar-SA"/>
        </w:rPr>
        <w:t xml:space="preserve">中小企业声明函（非中小企业不填写、工程、服务）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本公司（联合体）郑重声明，根据《政府采购促进中小企业发展管理办法》（财库﹝2020﹞46 号）的规定，本公司（联合体）参加（单位名称）的</w:t>
      </w:r>
      <w:r>
        <w:rPr>
          <w:rFonts w:hint="eastAsia" w:ascii="宋体" w:hAnsi="宋体" w:eastAsia="宋体" w:cs="宋体"/>
          <w:sz w:val="24"/>
          <w:szCs w:val="24"/>
          <w:highlight w:val="none"/>
          <w:u w:val="single"/>
          <w:lang w:val="en-US" w:eastAsia="zh-CN"/>
        </w:rPr>
        <w:t>（项目名称）</w:t>
      </w:r>
      <w:r>
        <w:rPr>
          <w:rFonts w:hint="eastAsia" w:ascii="宋体" w:hAnsi="宋体" w:eastAsia="宋体" w:cs="宋体"/>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lang w:val="en-US" w:eastAsia="zh-CN"/>
        </w:rPr>
        <w:t xml:space="preserve"> （标的名称）</w:t>
      </w:r>
      <w:r>
        <w:rPr>
          <w:rFonts w:hint="eastAsia" w:ascii="宋体" w:hAnsi="宋体" w:eastAsia="宋体" w:cs="宋体"/>
          <w:sz w:val="24"/>
          <w:szCs w:val="24"/>
          <w:highlight w:val="none"/>
          <w:lang w:val="en-US" w:eastAsia="zh-CN"/>
        </w:rPr>
        <w:t xml:space="preserve"> ，属于</w:t>
      </w:r>
      <w:r>
        <w:rPr>
          <w:rFonts w:hint="eastAsia" w:ascii="宋体" w:hAnsi="宋体" w:eastAsia="宋体" w:cs="宋体"/>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；承建（承接）企业为</w:t>
      </w:r>
      <w:r>
        <w:rPr>
          <w:rFonts w:hint="eastAsia" w:ascii="宋体" w:hAnsi="宋体" w:eastAsia="宋体" w:cs="宋体"/>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万元，属于</w:t>
      </w:r>
      <w:r>
        <w:rPr>
          <w:rFonts w:hint="eastAsia" w:ascii="宋体" w:hAnsi="宋体" w:eastAsia="宋体" w:cs="宋体"/>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u w:val="single"/>
          <w:lang w:val="en-US" w:eastAsia="zh-CN"/>
        </w:rPr>
        <w:t xml:space="preserve">（标的名称） </w:t>
      </w:r>
      <w:r>
        <w:rPr>
          <w:rFonts w:hint="eastAsia" w:ascii="宋体" w:hAnsi="宋体" w:eastAsia="宋体" w:cs="宋体"/>
          <w:sz w:val="24"/>
          <w:szCs w:val="24"/>
          <w:highlight w:val="none"/>
          <w:lang w:val="en-US" w:eastAsia="zh-CN"/>
        </w:rPr>
        <w:t>，属于</w:t>
      </w:r>
      <w:r>
        <w:rPr>
          <w:rFonts w:hint="eastAsia" w:ascii="宋体" w:hAnsi="宋体" w:eastAsia="宋体" w:cs="宋体"/>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；承建（承接）企业为</w:t>
      </w:r>
      <w:r>
        <w:rPr>
          <w:rFonts w:hint="eastAsia" w:ascii="宋体" w:hAnsi="宋体" w:eastAsia="宋体" w:cs="宋体"/>
          <w:sz w:val="24"/>
          <w:szCs w:val="24"/>
          <w:highlight w:val="none"/>
          <w:u w:val="single"/>
          <w:lang w:val="en-US" w:eastAsia="zh-CN"/>
        </w:rPr>
        <w:t>（企业名称）</w:t>
      </w:r>
      <w:r>
        <w:rPr>
          <w:rFonts w:hint="eastAsia" w:ascii="宋体" w:hAnsi="宋体" w:eastAsia="宋体" w:cs="宋体"/>
          <w:sz w:val="24"/>
          <w:szCs w:val="24"/>
          <w:highlight w:val="none"/>
          <w:lang w:val="en-US" w:eastAsia="zh-CN"/>
        </w:rPr>
        <w:t xml:space="preserve">，从业人员 </w:t>
      </w:r>
      <w:r>
        <w:rPr>
          <w:rFonts w:hint="eastAsia" w:ascii="宋体" w:hAnsi="宋体" w:eastAsia="宋体" w:cs="宋体"/>
          <w:sz w:val="24"/>
          <w:szCs w:val="24"/>
          <w:highlight w:val="none"/>
          <w:u w:val="single"/>
          <w:lang w:val="en-US" w:eastAsia="zh-CN"/>
        </w:rPr>
        <w:t xml:space="preserve">   人</w:t>
      </w:r>
      <w:r>
        <w:rPr>
          <w:rFonts w:hint="eastAsia" w:ascii="宋体" w:hAnsi="宋体" w:eastAsia="宋体" w:cs="宋体"/>
          <w:sz w:val="24"/>
          <w:szCs w:val="24"/>
          <w:highlight w:val="none"/>
          <w:lang w:val="en-US" w:eastAsia="zh-CN"/>
        </w:rPr>
        <w:t>，营业收入为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万元，属于</w:t>
      </w:r>
      <w:r>
        <w:rPr>
          <w:rFonts w:hint="eastAsia" w:ascii="宋体" w:hAnsi="宋体" w:eastAsia="宋体" w:cs="宋体"/>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本企业对上述声明内容的真实性负责。如有虚假，将依法承担相应责任。 </w:t>
      </w:r>
    </w:p>
    <w:p>
      <w:pPr>
        <w:spacing w:line="360" w:lineRule="auto"/>
        <w:ind w:firstLine="480" w:firstLineChars="200"/>
        <w:rPr>
          <w:rFonts w:hint="eastAsia" w:ascii="宋体" w:hAnsi="宋体" w:eastAsia="宋体" w:cs="宋体"/>
          <w:sz w:val="24"/>
          <w:szCs w:val="24"/>
          <w:highlight w:val="none"/>
          <w:lang w:eastAsia="zh-CN"/>
        </w:rPr>
      </w:pP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公</w:t>
      </w:r>
      <w:r>
        <w:rPr>
          <w:rFonts w:hint="eastAsia" w:ascii="宋体" w:hAnsi="宋体" w:eastAsia="宋体" w:cs="宋体"/>
          <w:sz w:val="24"/>
          <w:szCs w:val="24"/>
          <w:highlight w:val="none"/>
        </w:rPr>
        <w:t>章）：</w:t>
      </w:r>
      <w:r>
        <w:rPr>
          <w:rFonts w:hint="eastAsia" w:ascii="宋体" w:hAnsi="宋体" w:eastAsia="宋体" w:cs="宋体"/>
          <w:sz w:val="24"/>
          <w:szCs w:val="24"/>
          <w:highlight w:val="none"/>
          <w:u w:val="single"/>
        </w:rPr>
        <w:t xml:space="preserve">                        </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Style w:val="11"/>
        <w:spacing w:line="360" w:lineRule="auto"/>
        <w:ind w:firstLine="480" w:firstLineChars="200"/>
        <w:rPr>
          <w:rFonts w:hint="eastAsia" w:ascii="宋体" w:hAnsi="宋体" w:eastAsia="宋体" w:cs="宋体"/>
          <w:color w:val="auto"/>
          <w:kern w:val="2"/>
          <w:sz w:val="24"/>
          <w:szCs w:val="24"/>
          <w:highlight w:val="none"/>
          <w:lang w:val="en-US" w:eastAsia="zh-CN" w:bidi="ar-SA"/>
        </w:rPr>
      </w:pPr>
    </w:p>
    <w:p>
      <w:pPr>
        <w:pStyle w:val="11"/>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备注：1、如属于小型、微型企业的，须提供网页截图等相关证明材料。2、未按上述要求提供、填写的，评审时不予以考虑。</w:t>
      </w:r>
    </w:p>
    <w:p>
      <w:pPr>
        <w:numPr>
          <w:ilvl w:val="0"/>
          <w:numId w:val="0"/>
        </w:numPr>
        <w:spacing w:line="360" w:lineRule="auto"/>
        <w:ind w:leftChars="0" w:right="-161" w:rightChars="0"/>
        <w:jc w:val="left"/>
        <w:outlineLvl w:val="9"/>
        <w:rPr>
          <w:rFonts w:hint="eastAsia" w:ascii="宋体" w:hAnsi="宋体" w:eastAsia="宋体" w:cs="宋体"/>
          <w:b/>
          <w:kern w:val="2"/>
          <w:sz w:val="24"/>
          <w:szCs w:val="24"/>
          <w:highlight w:val="none"/>
          <w:lang w:val="en-US" w:eastAsia="zh-CN" w:bidi="ar-SA"/>
        </w:rPr>
      </w:pPr>
      <w:bookmarkStart w:id="855" w:name="_Toc15217"/>
      <w:bookmarkStart w:id="856" w:name="_Toc31628"/>
      <w:bookmarkStart w:id="857" w:name="_Toc15874"/>
      <w:bookmarkStart w:id="858" w:name="_Toc17872"/>
      <w:bookmarkStart w:id="859" w:name="_Toc13963"/>
    </w:p>
    <w:p>
      <w:pPr>
        <w:numPr>
          <w:ilvl w:val="0"/>
          <w:numId w:val="0"/>
        </w:numPr>
        <w:spacing w:line="360" w:lineRule="auto"/>
        <w:ind w:leftChars="0" w:right="-161" w:rightChars="0"/>
        <w:jc w:val="left"/>
        <w:outlineLvl w:val="9"/>
        <w:rPr>
          <w:rFonts w:hint="eastAsia" w:ascii="宋体" w:hAnsi="宋体" w:eastAsia="宋体" w:cs="宋体"/>
          <w:b/>
          <w:kern w:val="2"/>
          <w:sz w:val="24"/>
          <w:szCs w:val="24"/>
          <w:highlight w:val="none"/>
          <w:lang w:val="en-US" w:eastAsia="zh-CN" w:bidi="ar-SA"/>
        </w:rPr>
      </w:pPr>
    </w:p>
    <w:p>
      <w:pPr>
        <w:numPr>
          <w:ilvl w:val="0"/>
          <w:numId w:val="0"/>
        </w:numPr>
        <w:spacing w:line="360" w:lineRule="auto"/>
        <w:ind w:leftChars="0" w:right="-161" w:rightChars="0"/>
        <w:jc w:val="left"/>
        <w:outlineLvl w:val="9"/>
        <w:rPr>
          <w:rFonts w:hint="eastAsia" w:ascii="宋体" w:hAnsi="宋体" w:eastAsia="宋体" w:cs="宋体"/>
          <w:b/>
          <w:kern w:val="2"/>
          <w:sz w:val="24"/>
          <w:szCs w:val="24"/>
          <w:highlight w:val="none"/>
          <w:lang w:val="en-US" w:eastAsia="zh-CN" w:bidi="ar-SA"/>
        </w:rPr>
      </w:pPr>
    </w:p>
    <w:p>
      <w:pPr>
        <w:numPr>
          <w:ilvl w:val="0"/>
          <w:numId w:val="0"/>
        </w:numPr>
        <w:spacing w:line="360" w:lineRule="auto"/>
        <w:ind w:leftChars="0" w:right="-161" w:rightChars="0"/>
        <w:jc w:val="left"/>
        <w:outlineLvl w:val="9"/>
        <w:rPr>
          <w:rFonts w:hint="eastAsia" w:ascii="宋体" w:hAnsi="宋体" w:eastAsia="宋体" w:cs="宋体"/>
          <w:b/>
          <w:kern w:val="2"/>
          <w:sz w:val="24"/>
          <w:szCs w:val="24"/>
          <w:highlight w:val="none"/>
          <w:lang w:val="en-US" w:eastAsia="zh-CN" w:bidi="ar-SA"/>
        </w:rPr>
      </w:pPr>
    </w:p>
    <w:p>
      <w:pPr>
        <w:numPr>
          <w:ilvl w:val="0"/>
          <w:numId w:val="0"/>
        </w:numPr>
        <w:spacing w:line="360" w:lineRule="auto"/>
        <w:ind w:leftChars="0" w:right="-161" w:rightChars="0"/>
        <w:jc w:val="left"/>
        <w:outlineLvl w:val="9"/>
        <w:rPr>
          <w:rFonts w:hint="eastAsia" w:ascii="宋体" w:hAnsi="宋体" w:eastAsia="宋体" w:cs="宋体"/>
          <w:b/>
          <w:kern w:val="2"/>
          <w:sz w:val="24"/>
          <w:szCs w:val="24"/>
          <w:highlight w:val="none"/>
          <w:lang w:val="en-US" w:eastAsia="zh-CN" w:bidi="ar-SA"/>
        </w:rPr>
      </w:pPr>
    </w:p>
    <w:p>
      <w:pPr>
        <w:numPr>
          <w:ilvl w:val="0"/>
          <w:numId w:val="0"/>
        </w:numPr>
        <w:spacing w:line="360" w:lineRule="auto"/>
        <w:ind w:leftChars="0" w:right="-161" w:rightChars="0"/>
        <w:jc w:val="left"/>
        <w:outlineLvl w:val="9"/>
        <w:rPr>
          <w:rFonts w:hint="eastAsia" w:ascii="宋体" w:hAnsi="宋体" w:eastAsia="宋体" w:cs="宋体"/>
          <w:b/>
          <w:kern w:val="2"/>
          <w:sz w:val="24"/>
          <w:szCs w:val="24"/>
          <w:highlight w:val="none"/>
          <w:lang w:val="en-US" w:eastAsia="zh-CN" w:bidi="ar-SA"/>
        </w:rPr>
      </w:pPr>
    </w:p>
    <w:p>
      <w:pPr>
        <w:numPr>
          <w:ilvl w:val="0"/>
          <w:numId w:val="0"/>
        </w:numPr>
        <w:spacing w:line="360" w:lineRule="auto"/>
        <w:ind w:leftChars="0" w:right="-161" w:rightChars="0"/>
        <w:jc w:val="left"/>
        <w:outlineLvl w:val="9"/>
        <w:rPr>
          <w:rFonts w:hint="eastAsia" w:ascii="宋体" w:hAnsi="宋体" w:eastAsia="宋体" w:cs="宋体"/>
          <w:b/>
          <w:kern w:val="2"/>
          <w:sz w:val="24"/>
          <w:szCs w:val="24"/>
          <w:highlight w:val="none"/>
          <w:lang w:val="en-US" w:eastAsia="zh-CN" w:bidi="ar-SA"/>
        </w:rPr>
      </w:pPr>
    </w:p>
    <w:p>
      <w:pPr>
        <w:numPr>
          <w:ilvl w:val="0"/>
          <w:numId w:val="0"/>
        </w:numPr>
        <w:spacing w:line="360" w:lineRule="auto"/>
        <w:ind w:leftChars="0" w:right="-161" w:rightChars="0"/>
        <w:jc w:val="left"/>
        <w:outlineLvl w:val="0"/>
        <w:rPr>
          <w:rFonts w:hint="eastAsia" w:ascii="宋体" w:hAnsi="宋体" w:eastAsia="宋体" w:cs="宋体"/>
          <w:b/>
          <w:kern w:val="2"/>
          <w:sz w:val="24"/>
          <w:szCs w:val="24"/>
          <w:highlight w:val="none"/>
          <w:lang w:val="en-US" w:eastAsia="zh-CN" w:bidi="ar-SA"/>
        </w:rPr>
      </w:pPr>
      <w:bookmarkStart w:id="860" w:name="_Toc15839"/>
      <w:bookmarkStart w:id="861" w:name="_Toc22437"/>
      <w:bookmarkStart w:id="862" w:name="_Toc3030"/>
      <w:r>
        <w:rPr>
          <w:rFonts w:hint="eastAsia" w:ascii="宋体" w:hAnsi="宋体" w:eastAsia="宋体" w:cs="宋体"/>
          <w:b/>
          <w:kern w:val="2"/>
          <w:sz w:val="24"/>
          <w:szCs w:val="24"/>
          <w:highlight w:val="none"/>
          <w:lang w:val="en-US" w:eastAsia="zh-CN" w:bidi="ar-SA"/>
        </w:rPr>
        <w:t>附件2</w:t>
      </w:r>
      <w:bookmarkEnd w:id="855"/>
      <w:bookmarkEnd w:id="856"/>
      <w:bookmarkEnd w:id="857"/>
      <w:bookmarkEnd w:id="858"/>
      <w:bookmarkEnd w:id="859"/>
      <w:r>
        <w:rPr>
          <w:rFonts w:hint="eastAsia" w:ascii="宋体" w:hAnsi="宋体" w:eastAsia="宋体" w:cs="宋体"/>
          <w:b/>
          <w:kern w:val="2"/>
          <w:sz w:val="24"/>
          <w:szCs w:val="24"/>
          <w:highlight w:val="none"/>
          <w:lang w:val="en-US" w:eastAsia="zh-CN" w:bidi="ar-SA"/>
        </w:rPr>
        <w:t>（若无可直接删除）</w:t>
      </w:r>
      <w:bookmarkEnd w:id="860"/>
      <w:bookmarkEnd w:id="861"/>
      <w:bookmarkEnd w:id="862"/>
    </w:p>
    <w:p>
      <w:pPr>
        <w:spacing w:line="360" w:lineRule="auto"/>
        <w:jc w:val="center"/>
        <w:rPr>
          <w:rFonts w:hint="eastAsia" w:ascii="宋体" w:hAnsi="宋体" w:eastAsia="宋体" w:cs="宋体"/>
          <w:sz w:val="24"/>
          <w:szCs w:val="24"/>
          <w:highlight w:val="none"/>
        </w:rPr>
      </w:pPr>
    </w:p>
    <w:p>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en-US" w:eastAsia="zh-CN" w:bidi="ar-SA"/>
        </w:rPr>
      </w:pPr>
      <w:bookmarkStart w:id="863" w:name="_Toc13343"/>
      <w:bookmarkStart w:id="864" w:name="_Toc9806"/>
      <w:bookmarkStart w:id="865" w:name="_Toc11571"/>
      <w:r>
        <w:rPr>
          <w:rFonts w:hint="eastAsia" w:ascii="宋体" w:hAnsi="宋体" w:eastAsia="宋体" w:cs="宋体"/>
          <w:b/>
          <w:kern w:val="2"/>
          <w:sz w:val="24"/>
          <w:szCs w:val="24"/>
          <w:highlight w:val="none"/>
          <w:lang w:val="en-US" w:eastAsia="zh-CN" w:bidi="ar-SA"/>
        </w:rPr>
        <w:t>残疾人福利单位声明函（非残疾人福利单位不填写）</w:t>
      </w:r>
      <w:bookmarkEnd w:id="863"/>
      <w:bookmarkEnd w:id="864"/>
      <w:bookmarkEnd w:id="865"/>
    </w:p>
    <w:p>
      <w:pPr>
        <w:spacing w:line="360" w:lineRule="auto"/>
        <w:ind w:firstLine="567"/>
        <w:rPr>
          <w:rFonts w:hint="eastAsia" w:ascii="宋体" w:hAnsi="宋体" w:eastAsia="宋体" w:cs="宋体"/>
          <w:kern w:val="0"/>
          <w:sz w:val="24"/>
          <w:szCs w:val="24"/>
          <w:highlight w:val="none"/>
        </w:rPr>
      </w:pPr>
    </w:p>
    <w:p>
      <w:pPr>
        <w:spacing w:line="360" w:lineRule="auto"/>
        <w:ind w:firstLine="56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auto"/>
        <w:ind w:left="1080" w:leftChars="257" w:hanging="54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本单位对上述声明的真实性负责。如有虚假，将依法承担相应责任。</w:t>
      </w:r>
    </w:p>
    <w:p>
      <w:pPr>
        <w:spacing w:line="360" w:lineRule="auto"/>
        <w:ind w:left="1080" w:leftChars="257" w:hanging="540"/>
        <w:jc w:val="center"/>
        <w:rPr>
          <w:rFonts w:hint="eastAsia" w:ascii="宋体" w:hAnsi="宋体" w:eastAsia="宋体" w:cs="宋体"/>
          <w:kern w:val="0"/>
          <w:sz w:val="24"/>
          <w:szCs w:val="24"/>
          <w:highlight w:val="none"/>
        </w:rPr>
      </w:pPr>
    </w:p>
    <w:p>
      <w:pPr>
        <w:spacing w:line="360" w:lineRule="auto"/>
        <w:ind w:firstLine="480" w:firstLineChars="200"/>
        <w:rPr>
          <w:rFonts w:hint="eastAsia" w:ascii="宋体" w:hAnsi="宋体" w:eastAsia="宋体" w:cs="宋体"/>
          <w:sz w:val="24"/>
          <w:szCs w:val="24"/>
          <w:highlight w:val="none"/>
          <w:lang w:eastAsia="zh-CN"/>
        </w:rPr>
      </w:pP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公</w:t>
      </w:r>
      <w:r>
        <w:rPr>
          <w:rFonts w:hint="eastAsia" w:ascii="宋体" w:hAnsi="宋体" w:eastAsia="宋体" w:cs="宋体"/>
          <w:sz w:val="24"/>
          <w:szCs w:val="24"/>
          <w:highlight w:val="none"/>
        </w:rPr>
        <w:t>章）：</w:t>
      </w:r>
      <w:r>
        <w:rPr>
          <w:rFonts w:hint="eastAsia" w:ascii="宋体" w:hAnsi="宋体" w:eastAsia="宋体" w:cs="宋体"/>
          <w:sz w:val="24"/>
          <w:szCs w:val="24"/>
          <w:highlight w:val="none"/>
          <w:u w:val="single"/>
        </w:rPr>
        <w:t xml:space="preserve">                        </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numPr>
          <w:ilvl w:val="0"/>
          <w:numId w:val="0"/>
        </w:numPr>
        <w:spacing w:line="360" w:lineRule="auto"/>
        <w:ind w:right="-161" w:rightChars="0"/>
        <w:jc w:val="both"/>
        <w:rPr>
          <w:rFonts w:hint="eastAsia" w:ascii="宋体" w:hAnsi="宋体" w:eastAsia="宋体" w:cs="宋体"/>
          <w:b/>
          <w:kern w:val="2"/>
          <w:sz w:val="24"/>
          <w:szCs w:val="24"/>
          <w:highlight w:val="none"/>
          <w:lang w:val="en-US" w:eastAsia="zh-CN" w:bidi="ar-SA"/>
        </w:rPr>
      </w:pPr>
    </w:p>
    <w:p>
      <w:pPr>
        <w:spacing w:line="360" w:lineRule="auto"/>
        <w:rPr>
          <w:rFonts w:hint="eastAsia" w:ascii="宋体" w:hAnsi="宋体" w:eastAsia="宋体" w:cs="宋体"/>
          <w:b/>
          <w:kern w:val="2"/>
          <w:sz w:val="24"/>
          <w:szCs w:val="24"/>
          <w:highlight w:val="none"/>
          <w:lang w:val="en-US" w:eastAsia="zh-CN" w:bidi="ar-SA"/>
        </w:rPr>
      </w:pPr>
    </w:p>
    <w:p>
      <w:pPr>
        <w:pStyle w:val="11"/>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r>
        <w:rPr>
          <w:rFonts w:hint="eastAsia" w:cs="宋体"/>
          <w:color w:val="auto"/>
          <w:kern w:val="2"/>
          <w:sz w:val="24"/>
          <w:szCs w:val="24"/>
          <w:highlight w:val="none"/>
          <w:lang w:val="en-US" w:eastAsia="zh-CN" w:bidi="ar-SA"/>
        </w:rPr>
        <w:t>投标人</w:t>
      </w:r>
      <w:r>
        <w:rPr>
          <w:rFonts w:hint="eastAsia" w:ascii="宋体" w:hAnsi="宋体" w:eastAsia="宋体" w:cs="宋体"/>
          <w:color w:val="auto"/>
          <w:kern w:val="2"/>
          <w:sz w:val="24"/>
          <w:szCs w:val="24"/>
          <w:highlight w:val="none"/>
          <w:lang w:val="en-US" w:eastAsia="zh-CN" w:bidi="ar-SA"/>
        </w:rPr>
        <w:t>提供的《残疾人福利性单位声明函》必须真实有效，如果被举报经查实出具虚假声明函的，将被取消</w:t>
      </w:r>
      <w:r>
        <w:rPr>
          <w:rFonts w:hint="eastAsia" w:cs="宋体"/>
          <w:color w:val="auto"/>
          <w:kern w:val="2"/>
          <w:sz w:val="24"/>
          <w:szCs w:val="24"/>
          <w:highlight w:val="none"/>
          <w:lang w:val="en-US" w:eastAsia="zh-CN" w:bidi="ar-SA"/>
        </w:rPr>
        <w:t>投标</w:t>
      </w:r>
      <w:r>
        <w:rPr>
          <w:rFonts w:hint="eastAsia" w:ascii="宋体" w:hAnsi="宋体" w:eastAsia="宋体" w:cs="宋体"/>
          <w:color w:val="auto"/>
          <w:kern w:val="2"/>
          <w:sz w:val="24"/>
          <w:szCs w:val="24"/>
          <w:highlight w:val="none"/>
          <w:lang w:val="en-US" w:eastAsia="zh-CN" w:bidi="ar-SA"/>
        </w:rPr>
        <w:t>资格，并按有关规定予以处理。</w:t>
      </w:r>
    </w:p>
    <w:p>
      <w:pPr>
        <w:pStyle w:val="11"/>
        <w:spacing w:line="360" w:lineRule="auto"/>
        <w:rPr>
          <w:rFonts w:hint="eastAsia" w:ascii="宋体" w:hAnsi="宋体" w:eastAsia="宋体" w:cs="宋体"/>
          <w:b/>
          <w:kern w:val="2"/>
          <w:sz w:val="24"/>
          <w:szCs w:val="24"/>
          <w:highlight w:val="none"/>
          <w:lang w:val="en-US" w:eastAsia="zh-CN" w:bidi="ar-SA"/>
        </w:rPr>
      </w:pPr>
    </w:p>
    <w:p>
      <w:pPr>
        <w:numPr>
          <w:ilvl w:val="0"/>
          <w:numId w:val="0"/>
        </w:numPr>
        <w:spacing w:line="360" w:lineRule="auto"/>
        <w:ind w:right="-161" w:rightChars="0"/>
        <w:jc w:val="left"/>
        <w:outlineLvl w:val="9"/>
        <w:rPr>
          <w:rFonts w:hint="eastAsia" w:ascii="宋体" w:hAnsi="宋体" w:eastAsia="宋体" w:cs="宋体"/>
          <w:b/>
          <w:kern w:val="2"/>
          <w:sz w:val="24"/>
          <w:szCs w:val="24"/>
          <w:highlight w:val="none"/>
          <w:lang w:val="zh-CN" w:eastAsia="zh-CN" w:bidi="ar-SA"/>
        </w:rPr>
      </w:pPr>
      <w:bookmarkStart w:id="866" w:name="_Toc1588"/>
      <w:bookmarkStart w:id="867" w:name="_Toc30966"/>
      <w:bookmarkStart w:id="868" w:name="_Hlk18049907"/>
    </w:p>
    <w:p>
      <w:pPr>
        <w:numPr>
          <w:ilvl w:val="0"/>
          <w:numId w:val="0"/>
        </w:numPr>
        <w:spacing w:line="360" w:lineRule="auto"/>
        <w:ind w:right="-161" w:rightChars="0"/>
        <w:jc w:val="left"/>
        <w:outlineLvl w:val="9"/>
        <w:rPr>
          <w:rFonts w:hint="eastAsia" w:ascii="宋体" w:hAnsi="宋体" w:eastAsia="宋体" w:cs="宋体"/>
          <w:b/>
          <w:kern w:val="2"/>
          <w:sz w:val="24"/>
          <w:szCs w:val="24"/>
          <w:highlight w:val="none"/>
          <w:lang w:val="zh-CN" w:eastAsia="zh-CN" w:bidi="ar-SA"/>
        </w:rPr>
      </w:pPr>
    </w:p>
    <w:p>
      <w:pPr>
        <w:numPr>
          <w:ilvl w:val="0"/>
          <w:numId w:val="0"/>
        </w:numPr>
        <w:spacing w:line="360" w:lineRule="auto"/>
        <w:ind w:right="-161" w:rightChars="0"/>
        <w:jc w:val="left"/>
        <w:outlineLvl w:val="9"/>
        <w:rPr>
          <w:rFonts w:hint="eastAsia" w:ascii="宋体" w:hAnsi="宋体" w:eastAsia="宋体" w:cs="宋体"/>
          <w:b/>
          <w:kern w:val="2"/>
          <w:sz w:val="24"/>
          <w:szCs w:val="24"/>
          <w:highlight w:val="none"/>
          <w:lang w:val="zh-CN" w:eastAsia="zh-CN" w:bidi="ar-SA"/>
        </w:rPr>
      </w:pPr>
    </w:p>
    <w:p>
      <w:pPr>
        <w:numPr>
          <w:ilvl w:val="0"/>
          <w:numId w:val="0"/>
        </w:numPr>
        <w:spacing w:line="360" w:lineRule="auto"/>
        <w:ind w:right="-161" w:rightChars="0"/>
        <w:jc w:val="left"/>
        <w:outlineLvl w:val="9"/>
        <w:rPr>
          <w:rFonts w:hint="eastAsia" w:ascii="宋体" w:hAnsi="宋体" w:eastAsia="宋体" w:cs="宋体"/>
          <w:b/>
          <w:kern w:val="2"/>
          <w:sz w:val="24"/>
          <w:szCs w:val="24"/>
          <w:highlight w:val="none"/>
          <w:lang w:val="zh-CN" w:eastAsia="zh-CN" w:bidi="ar-SA"/>
        </w:rPr>
      </w:pPr>
      <w:bookmarkStart w:id="869" w:name="_Toc29631"/>
      <w:bookmarkStart w:id="870" w:name="_Toc4039"/>
      <w:bookmarkStart w:id="871" w:name="_Toc21507"/>
    </w:p>
    <w:p>
      <w:pPr>
        <w:numPr>
          <w:ilvl w:val="0"/>
          <w:numId w:val="0"/>
        </w:numPr>
        <w:spacing w:line="360" w:lineRule="auto"/>
        <w:ind w:right="-161" w:rightChars="0"/>
        <w:jc w:val="left"/>
        <w:outlineLvl w:val="9"/>
        <w:rPr>
          <w:rFonts w:hint="eastAsia" w:ascii="宋体" w:hAnsi="宋体" w:eastAsia="宋体" w:cs="宋体"/>
          <w:b/>
          <w:kern w:val="2"/>
          <w:sz w:val="24"/>
          <w:szCs w:val="24"/>
          <w:highlight w:val="none"/>
          <w:lang w:val="zh-CN" w:eastAsia="zh-CN" w:bidi="ar-SA"/>
        </w:rPr>
      </w:pPr>
    </w:p>
    <w:p>
      <w:pPr>
        <w:numPr>
          <w:ilvl w:val="0"/>
          <w:numId w:val="0"/>
        </w:numPr>
        <w:spacing w:line="360" w:lineRule="auto"/>
        <w:ind w:right="-161" w:rightChars="0"/>
        <w:jc w:val="left"/>
        <w:outlineLvl w:val="9"/>
        <w:rPr>
          <w:rFonts w:hint="eastAsia" w:ascii="宋体" w:hAnsi="宋体" w:eastAsia="宋体" w:cs="宋体"/>
          <w:b/>
          <w:kern w:val="2"/>
          <w:sz w:val="24"/>
          <w:szCs w:val="24"/>
          <w:highlight w:val="none"/>
          <w:lang w:val="zh-CN" w:eastAsia="zh-CN" w:bidi="ar-SA"/>
        </w:rPr>
      </w:pPr>
    </w:p>
    <w:p>
      <w:pPr>
        <w:numPr>
          <w:ilvl w:val="0"/>
          <w:numId w:val="0"/>
        </w:numPr>
        <w:spacing w:line="360" w:lineRule="auto"/>
        <w:ind w:right="-161" w:rightChars="0"/>
        <w:jc w:val="left"/>
        <w:outlineLvl w:val="9"/>
        <w:rPr>
          <w:rFonts w:hint="eastAsia" w:ascii="宋体" w:hAnsi="宋体" w:eastAsia="宋体" w:cs="宋体"/>
          <w:b/>
          <w:kern w:val="2"/>
          <w:sz w:val="24"/>
          <w:szCs w:val="24"/>
          <w:highlight w:val="none"/>
          <w:lang w:val="zh-CN" w:eastAsia="zh-CN" w:bidi="ar-SA"/>
        </w:rPr>
      </w:pPr>
    </w:p>
    <w:p>
      <w:pPr>
        <w:numPr>
          <w:ilvl w:val="0"/>
          <w:numId w:val="0"/>
        </w:numPr>
        <w:spacing w:line="360" w:lineRule="auto"/>
        <w:ind w:right="-161" w:rightChars="0"/>
        <w:jc w:val="left"/>
        <w:outlineLvl w:val="9"/>
        <w:rPr>
          <w:rFonts w:hint="eastAsia" w:ascii="宋体" w:hAnsi="宋体" w:eastAsia="宋体" w:cs="宋体"/>
          <w:b/>
          <w:kern w:val="2"/>
          <w:sz w:val="24"/>
          <w:szCs w:val="24"/>
          <w:highlight w:val="none"/>
          <w:lang w:val="zh-CN" w:eastAsia="zh-CN" w:bidi="ar-SA"/>
        </w:rPr>
      </w:pPr>
    </w:p>
    <w:p>
      <w:pPr>
        <w:numPr>
          <w:ilvl w:val="0"/>
          <w:numId w:val="0"/>
        </w:numPr>
        <w:spacing w:line="360" w:lineRule="auto"/>
        <w:ind w:right="-161" w:rightChars="0"/>
        <w:jc w:val="left"/>
        <w:outlineLvl w:val="9"/>
        <w:rPr>
          <w:rFonts w:hint="eastAsia" w:ascii="宋体" w:hAnsi="宋体" w:eastAsia="宋体" w:cs="宋体"/>
          <w:b/>
          <w:kern w:val="2"/>
          <w:sz w:val="24"/>
          <w:szCs w:val="24"/>
          <w:highlight w:val="none"/>
          <w:lang w:val="zh-CN" w:eastAsia="zh-CN" w:bidi="ar-SA"/>
        </w:rPr>
      </w:pPr>
    </w:p>
    <w:p>
      <w:pPr>
        <w:numPr>
          <w:ilvl w:val="0"/>
          <w:numId w:val="0"/>
        </w:numPr>
        <w:spacing w:line="360" w:lineRule="auto"/>
        <w:ind w:right="-161" w:rightChars="0"/>
        <w:jc w:val="left"/>
        <w:outlineLvl w:val="9"/>
        <w:rPr>
          <w:rFonts w:hint="eastAsia" w:ascii="宋体" w:hAnsi="宋体" w:eastAsia="宋体" w:cs="宋体"/>
          <w:b/>
          <w:kern w:val="2"/>
          <w:sz w:val="24"/>
          <w:szCs w:val="24"/>
          <w:highlight w:val="none"/>
          <w:lang w:val="zh-CN" w:eastAsia="zh-CN" w:bidi="ar-SA"/>
        </w:rPr>
      </w:pPr>
    </w:p>
    <w:p>
      <w:pPr>
        <w:numPr>
          <w:ilvl w:val="0"/>
          <w:numId w:val="0"/>
        </w:numPr>
        <w:spacing w:line="360" w:lineRule="auto"/>
        <w:ind w:right="-161" w:rightChars="0"/>
        <w:jc w:val="left"/>
        <w:outlineLvl w:val="0"/>
        <w:rPr>
          <w:rFonts w:hint="eastAsia" w:ascii="宋体" w:hAnsi="宋体" w:eastAsia="宋体" w:cs="宋体"/>
          <w:b/>
          <w:kern w:val="2"/>
          <w:sz w:val="24"/>
          <w:szCs w:val="24"/>
          <w:highlight w:val="none"/>
          <w:lang w:val="en-US" w:eastAsia="zh-CN" w:bidi="ar-SA"/>
        </w:rPr>
      </w:pPr>
      <w:bookmarkStart w:id="872" w:name="_Toc10474"/>
      <w:bookmarkStart w:id="873" w:name="_Toc23221"/>
      <w:bookmarkStart w:id="874" w:name="_Toc8559"/>
      <w:r>
        <w:rPr>
          <w:rFonts w:hint="eastAsia" w:ascii="宋体" w:hAnsi="宋体" w:eastAsia="宋体" w:cs="宋体"/>
          <w:b/>
          <w:kern w:val="2"/>
          <w:sz w:val="24"/>
          <w:szCs w:val="24"/>
          <w:highlight w:val="none"/>
          <w:lang w:val="zh-CN" w:eastAsia="zh-CN" w:bidi="ar-SA"/>
        </w:rPr>
        <w:t>附件</w:t>
      </w:r>
      <w:r>
        <w:rPr>
          <w:rFonts w:hint="eastAsia" w:ascii="宋体" w:hAnsi="宋体" w:eastAsia="宋体" w:cs="宋体"/>
          <w:b/>
          <w:kern w:val="2"/>
          <w:sz w:val="24"/>
          <w:szCs w:val="24"/>
          <w:highlight w:val="none"/>
          <w:lang w:val="en-US" w:eastAsia="zh-CN" w:bidi="ar-SA"/>
        </w:rPr>
        <w:t>3</w:t>
      </w:r>
      <w:bookmarkEnd w:id="866"/>
      <w:bookmarkEnd w:id="867"/>
      <w:bookmarkEnd w:id="869"/>
      <w:bookmarkEnd w:id="870"/>
      <w:bookmarkEnd w:id="871"/>
      <w:r>
        <w:rPr>
          <w:rFonts w:hint="eastAsia" w:ascii="宋体" w:hAnsi="宋体" w:eastAsia="宋体" w:cs="宋体"/>
          <w:b/>
          <w:kern w:val="2"/>
          <w:sz w:val="24"/>
          <w:szCs w:val="24"/>
          <w:highlight w:val="none"/>
          <w:lang w:val="en-US" w:eastAsia="zh-CN" w:bidi="ar-SA"/>
        </w:rPr>
        <w:t>（若无可直接删除）</w:t>
      </w:r>
      <w:bookmarkEnd w:id="872"/>
      <w:bookmarkEnd w:id="873"/>
      <w:bookmarkEnd w:id="874"/>
    </w:p>
    <w:p>
      <w:pPr>
        <w:numPr>
          <w:ilvl w:val="0"/>
          <w:numId w:val="0"/>
        </w:numPr>
        <w:spacing w:line="360" w:lineRule="auto"/>
        <w:ind w:right="-161" w:rightChars="0"/>
        <w:jc w:val="center"/>
        <w:rPr>
          <w:rFonts w:hint="eastAsia" w:ascii="宋体" w:hAnsi="宋体" w:eastAsia="宋体" w:cs="宋体"/>
          <w:b/>
          <w:kern w:val="2"/>
          <w:sz w:val="24"/>
          <w:szCs w:val="24"/>
          <w:highlight w:val="none"/>
          <w:lang w:val="zh-CN" w:eastAsia="zh-CN" w:bidi="ar-SA"/>
        </w:rPr>
      </w:pPr>
    </w:p>
    <w:p>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en-US" w:eastAsia="zh-CN" w:bidi="ar-SA"/>
        </w:rPr>
      </w:pPr>
      <w:bookmarkStart w:id="875" w:name="_Toc11644"/>
      <w:bookmarkStart w:id="876" w:name="_Toc12316"/>
      <w:bookmarkStart w:id="877" w:name="_Toc13682"/>
      <w:r>
        <w:rPr>
          <w:rFonts w:hint="eastAsia" w:ascii="宋体" w:hAnsi="宋体" w:eastAsia="宋体" w:cs="宋体"/>
          <w:b/>
          <w:kern w:val="2"/>
          <w:sz w:val="24"/>
          <w:szCs w:val="24"/>
          <w:highlight w:val="none"/>
          <w:lang w:val="zh-CN" w:eastAsia="zh-CN" w:bidi="ar-SA"/>
        </w:rPr>
        <w:t>监狱、戒毒企业</w:t>
      </w:r>
      <w:bookmarkEnd w:id="868"/>
      <w:r>
        <w:rPr>
          <w:rFonts w:hint="eastAsia" w:ascii="宋体" w:hAnsi="宋体" w:eastAsia="宋体" w:cs="宋体"/>
          <w:b/>
          <w:kern w:val="2"/>
          <w:sz w:val="24"/>
          <w:szCs w:val="24"/>
          <w:highlight w:val="none"/>
          <w:lang w:val="zh-CN" w:eastAsia="zh-CN" w:bidi="ar-SA"/>
        </w:rPr>
        <w:t>声明函（非监狱、戒毒企业不</w:t>
      </w:r>
      <w:r>
        <w:rPr>
          <w:rFonts w:hint="eastAsia" w:ascii="宋体" w:hAnsi="宋体" w:eastAsia="宋体" w:cs="宋体"/>
          <w:b/>
          <w:kern w:val="2"/>
          <w:sz w:val="24"/>
          <w:szCs w:val="24"/>
          <w:highlight w:val="none"/>
          <w:lang w:val="en-US" w:eastAsia="zh-CN" w:bidi="ar-SA"/>
        </w:rPr>
        <w:t>填写</w:t>
      </w:r>
      <w:r>
        <w:rPr>
          <w:rFonts w:hint="eastAsia" w:ascii="宋体" w:hAnsi="宋体" w:eastAsia="宋体" w:cs="宋体"/>
          <w:b/>
          <w:kern w:val="2"/>
          <w:sz w:val="24"/>
          <w:szCs w:val="24"/>
          <w:highlight w:val="none"/>
          <w:lang w:val="zh-CN" w:eastAsia="zh-CN" w:bidi="ar-SA"/>
        </w:rPr>
        <w:t>）</w:t>
      </w:r>
      <w:bookmarkEnd w:id="875"/>
      <w:bookmarkEnd w:id="876"/>
      <w:bookmarkEnd w:id="877"/>
    </w:p>
    <w:p>
      <w:pPr>
        <w:spacing w:line="360" w:lineRule="auto"/>
        <w:rPr>
          <w:rFonts w:hint="eastAsia" w:ascii="宋体" w:hAnsi="宋体" w:eastAsia="宋体" w:cs="宋体"/>
          <w:b/>
          <w:spacing w:val="6"/>
          <w:sz w:val="24"/>
          <w:szCs w:val="24"/>
          <w:shd w:val="pct10" w:color="auto" w:fill="FFFFFF"/>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w:t>
      </w:r>
      <w:r>
        <w:rPr>
          <w:rFonts w:hint="eastAsia" w:ascii="宋体" w:hAnsi="宋体" w:eastAsia="宋体" w:cs="宋体"/>
          <w:spacing w:val="-4"/>
          <w:kern w:val="0"/>
          <w:sz w:val="24"/>
          <w:szCs w:val="24"/>
        </w:rPr>
        <w:t>财政部 司法部 关于政府采购支持监狱企业发展有关问题的通知</w:t>
      </w:r>
      <w:r>
        <w:rPr>
          <w:rFonts w:hint="eastAsia" w:ascii="宋体" w:hAnsi="宋体" w:eastAsia="宋体" w:cs="宋体"/>
          <w:sz w:val="24"/>
          <w:szCs w:val="24"/>
        </w:rPr>
        <w:t>》（财库〔2014〕 68号）的规定，本单位为符合条件的监狱、戒毒企业，且本单位参加的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项目采购活动提供本单位制造的货物（由本单位承担工程/提供服务），或者提供其他监狱、戒毒企业制造的货物（不包括使用非监狱、戒毒企业注册商标的货物）。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tabs>
          <w:tab w:val="left" w:pos="4860"/>
          <w:tab w:val="left" w:pos="8040"/>
          <w:tab w:val="left" w:pos="8160"/>
        </w:tabs>
        <w:spacing w:line="360" w:lineRule="auto"/>
        <w:ind w:right="862" w:firstLine="2160" w:firstLineChars="900"/>
        <w:jc w:val="both"/>
        <w:rPr>
          <w:rFonts w:hint="eastAsia" w:ascii="宋体" w:hAnsi="宋体" w:eastAsia="宋体" w:cs="宋体"/>
          <w:sz w:val="24"/>
          <w:szCs w:val="24"/>
          <w:u w:val="single"/>
        </w:rPr>
      </w:pPr>
      <w:r>
        <w:rPr>
          <w:rFonts w:hint="eastAsia" w:ascii="宋体" w:hAnsi="宋体" w:cs="宋体"/>
          <w:sz w:val="24"/>
          <w:szCs w:val="24"/>
          <w:lang w:eastAsia="zh-CN"/>
        </w:rPr>
        <w:t>投标人</w:t>
      </w:r>
      <w:r>
        <w:rPr>
          <w:rFonts w:hint="eastAsia" w:ascii="宋体" w:hAnsi="宋体" w:eastAsia="宋体" w:cs="宋体"/>
          <w:sz w:val="24"/>
          <w:szCs w:val="24"/>
        </w:rPr>
        <w:t>全称（公章）：</w:t>
      </w:r>
      <w:r>
        <w:rPr>
          <w:rFonts w:hint="eastAsia" w:ascii="宋体" w:hAnsi="宋体" w:eastAsia="宋体" w:cs="宋体"/>
          <w:sz w:val="24"/>
          <w:szCs w:val="24"/>
          <w:u w:val="single"/>
        </w:rPr>
        <w:t xml:space="preserve">                </w:t>
      </w:r>
    </w:p>
    <w:p>
      <w:pPr>
        <w:tabs>
          <w:tab w:val="left" w:pos="4860"/>
        </w:tabs>
        <w:spacing w:line="360" w:lineRule="auto"/>
        <w:ind w:right="1560"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w:t>
      </w:r>
    </w:p>
    <w:p>
      <w:pPr>
        <w:tabs>
          <w:tab w:val="left" w:pos="4860"/>
        </w:tabs>
        <w:spacing w:line="360" w:lineRule="auto"/>
        <w:ind w:right="1560" w:firstLine="480" w:firstLineChars="200"/>
        <w:jc w:val="center"/>
        <w:outlineLvl w:val="0"/>
        <w:rPr>
          <w:rFonts w:hint="eastAsia" w:ascii="宋体" w:hAnsi="宋体" w:eastAsia="宋体" w:cs="宋体"/>
          <w:sz w:val="24"/>
          <w:szCs w:val="24"/>
        </w:rPr>
      </w:pPr>
      <w:r>
        <w:rPr>
          <w:rFonts w:hint="eastAsia" w:ascii="宋体" w:hAnsi="宋体" w:eastAsia="宋体" w:cs="宋体"/>
          <w:sz w:val="24"/>
          <w:szCs w:val="24"/>
        </w:rPr>
        <w:t xml:space="preserve">    </w:t>
      </w:r>
      <w:bookmarkStart w:id="878" w:name="_Toc12801"/>
      <w:bookmarkStart w:id="879" w:name="_Toc6599"/>
      <w:bookmarkStart w:id="880" w:name="_Toc32212"/>
      <w:bookmarkStart w:id="881" w:name="_Toc26066"/>
      <w:bookmarkStart w:id="882" w:name="_Toc25819"/>
      <w:bookmarkStart w:id="883" w:name="_Toc31282"/>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bookmarkEnd w:id="878"/>
      <w:bookmarkEnd w:id="879"/>
      <w:bookmarkEnd w:id="880"/>
      <w:bookmarkEnd w:id="881"/>
      <w:bookmarkEnd w:id="882"/>
      <w:bookmarkEnd w:id="883"/>
    </w:p>
    <w:p>
      <w:pPr>
        <w:spacing w:line="360" w:lineRule="auto"/>
        <w:ind w:firstLine="506" w:firstLineChars="200"/>
        <w:rPr>
          <w:rFonts w:hint="eastAsia" w:ascii="宋体" w:hAnsi="宋体" w:eastAsia="宋体" w:cs="宋体"/>
          <w:b/>
          <w:spacing w:val="6"/>
          <w:sz w:val="24"/>
          <w:szCs w:val="24"/>
          <w:shd w:val="pct10" w:color="auto" w:fill="FFFFFF"/>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lang w:val="zh-CN"/>
        </w:rPr>
        <w:t>备注：</w:t>
      </w:r>
      <w:r>
        <w:rPr>
          <w:rFonts w:hint="eastAsia" w:ascii="宋体" w:hAnsi="宋体" w:cs="宋体"/>
          <w:kern w:val="0"/>
          <w:sz w:val="24"/>
          <w:szCs w:val="24"/>
          <w:lang w:val="zh-CN"/>
        </w:rPr>
        <w:t>投标人</w:t>
      </w:r>
      <w:r>
        <w:rPr>
          <w:rFonts w:hint="eastAsia" w:ascii="宋体" w:hAnsi="宋体" w:eastAsia="宋体" w:cs="宋体"/>
          <w:kern w:val="0"/>
          <w:sz w:val="24"/>
          <w:szCs w:val="24"/>
          <w:lang w:val="zh-CN"/>
        </w:rPr>
        <w:t>提供的《</w:t>
      </w:r>
      <w:r>
        <w:rPr>
          <w:rFonts w:hint="eastAsia" w:ascii="宋体" w:hAnsi="宋体" w:eastAsia="宋体" w:cs="宋体"/>
          <w:sz w:val="24"/>
          <w:szCs w:val="24"/>
        </w:rPr>
        <w:t>监狱、戒毒企业</w:t>
      </w:r>
      <w:r>
        <w:rPr>
          <w:rFonts w:hint="eastAsia" w:ascii="宋体" w:hAnsi="宋体" w:eastAsia="宋体" w:cs="宋体"/>
          <w:kern w:val="0"/>
          <w:sz w:val="24"/>
          <w:szCs w:val="24"/>
          <w:lang w:val="zh-CN"/>
        </w:rPr>
        <w:t>声明函》必须真实有效，</w:t>
      </w:r>
      <w:r>
        <w:rPr>
          <w:rFonts w:hint="eastAsia" w:ascii="宋体" w:hAnsi="宋体" w:cs="宋体"/>
          <w:sz w:val="24"/>
          <w:szCs w:val="24"/>
          <w:lang w:eastAsia="zh-CN"/>
        </w:rPr>
        <w:t>投标人</w:t>
      </w:r>
      <w:r>
        <w:rPr>
          <w:rFonts w:hint="eastAsia" w:ascii="宋体" w:hAnsi="宋体" w:eastAsia="宋体" w:cs="宋体"/>
          <w:sz w:val="24"/>
          <w:szCs w:val="24"/>
        </w:rPr>
        <w:t>应当提供由省级以上监狱管理局、戒毒管理局(含新疆生产建设兵团)出具的属于监狱企业的证明文件。</w:t>
      </w:r>
    </w:p>
    <w:p>
      <w:pPr>
        <w:pStyle w:val="37"/>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pPr>
        <w:pStyle w:val="37"/>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pPr>
        <w:pStyle w:val="37"/>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pPr>
        <w:pStyle w:val="37"/>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pPr>
        <w:pStyle w:val="37"/>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pPr>
        <w:pStyle w:val="37"/>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pPr>
        <w:pStyle w:val="37"/>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pPr>
        <w:pStyle w:val="37"/>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pPr>
        <w:pStyle w:val="37"/>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pPr>
        <w:pStyle w:val="37"/>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pPr>
        <w:pStyle w:val="11"/>
        <w:rPr>
          <w:rFonts w:hint="eastAsia" w:ascii="宋体" w:hAnsi="宋体" w:eastAsia="宋体" w:cs="宋体"/>
          <w:b/>
          <w:color w:val="000000"/>
          <w:sz w:val="24"/>
          <w:szCs w:val="24"/>
          <w:lang w:val="en-US" w:eastAsia="zh-CN"/>
        </w:rPr>
      </w:pPr>
    </w:p>
    <w:p>
      <w:pPr>
        <w:numPr>
          <w:ilvl w:val="0"/>
          <w:numId w:val="8"/>
        </w:numPr>
        <w:spacing w:line="360" w:lineRule="auto"/>
        <w:ind w:right="-161" w:rightChars="0"/>
        <w:jc w:val="center"/>
        <w:outlineLvl w:val="0"/>
        <w:rPr>
          <w:rFonts w:hint="eastAsia" w:ascii="宋体" w:hAnsi="宋体" w:cs="宋体"/>
          <w:b/>
          <w:kern w:val="2"/>
          <w:sz w:val="24"/>
          <w:szCs w:val="24"/>
          <w:highlight w:val="none"/>
          <w:lang w:val="en-US" w:eastAsia="zh-CN" w:bidi="ar-SA"/>
        </w:rPr>
      </w:pPr>
      <w:bookmarkStart w:id="884" w:name="_Toc28873"/>
      <w:r>
        <w:rPr>
          <w:rFonts w:hint="eastAsia" w:ascii="宋体" w:hAnsi="宋体" w:cs="宋体"/>
          <w:b/>
          <w:kern w:val="2"/>
          <w:sz w:val="24"/>
          <w:szCs w:val="24"/>
          <w:highlight w:val="none"/>
          <w:lang w:val="en-US" w:eastAsia="zh-CN" w:bidi="ar-SA"/>
        </w:rPr>
        <w:t>投标保证金</w:t>
      </w:r>
      <w:bookmarkEnd w:id="884"/>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numPr>
          <w:ilvl w:val="0"/>
          <w:numId w:val="0"/>
        </w:numPr>
        <w:spacing w:line="360" w:lineRule="auto"/>
        <w:ind w:right="-161" w:rightChars="0"/>
        <w:jc w:val="center"/>
        <w:outlineLvl w:val="0"/>
        <w:rPr>
          <w:rFonts w:hint="eastAsia" w:ascii="宋体" w:hAnsi="宋体" w:eastAsia="宋体" w:cs="宋体"/>
          <w:b/>
          <w:kern w:val="2"/>
          <w:sz w:val="24"/>
          <w:szCs w:val="24"/>
          <w:highlight w:val="none"/>
          <w:lang w:val="en-US" w:eastAsia="zh-CN" w:bidi="ar-SA"/>
        </w:rPr>
      </w:pPr>
    </w:p>
    <w:p>
      <w:pPr>
        <w:numPr>
          <w:ilvl w:val="0"/>
          <w:numId w:val="0"/>
        </w:numPr>
        <w:spacing w:line="360" w:lineRule="auto"/>
        <w:ind w:right="-161" w:rightChars="0"/>
        <w:jc w:val="center"/>
        <w:outlineLvl w:val="0"/>
        <w:rPr>
          <w:rFonts w:hint="eastAsia" w:ascii="宋体" w:hAnsi="宋体" w:eastAsia="宋体" w:cs="宋体"/>
          <w:b/>
          <w:kern w:val="2"/>
          <w:sz w:val="24"/>
          <w:szCs w:val="24"/>
          <w:highlight w:val="none"/>
          <w:lang w:val="en-US" w:eastAsia="zh-CN" w:bidi="ar-SA"/>
        </w:rPr>
      </w:pPr>
    </w:p>
    <w:p>
      <w:pPr>
        <w:numPr>
          <w:ilvl w:val="0"/>
          <w:numId w:val="0"/>
        </w:numPr>
        <w:spacing w:line="360" w:lineRule="auto"/>
        <w:ind w:right="-161" w:rightChars="0"/>
        <w:jc w:val="center"/>
        <w:outlineLvl w:val="0"/>
        <w:rPr>
          <w:rFonts w:hint="eastAsia" w:ascii="宋体" w:hAnsi="宋体" w:eastAsia="宋体" w:cs="宋体"/>
          <w:b/>
          <w:kern w:val="2"/>
          <w:sz w:val="24"/>
          <w:szCs w:val="24"/>
          <w:highlight w:val="none"/>
          <w:lang w:val="en-US" w:eastAsia="zh-CN" w:bidi="ar-SA"/>
        </w:rPr>
      </w:pPr>
    </w:p>
    <w:p>
      <w:pPr>
        <w:numPr>
          <w:ilvl w:val="0"/>
          <w:numId w:val="0"/>
        </w:numPr>
        <w:spacing w:line="360" w:lineRule="auto"/>
        <w:ind w:right="-161" w:rightChars="0"/>
        <w:jc w:val="center"/>
        <w:outlineLvl w:val="0"/>
        <w:rPr>
          <w:rFonts w:hint="eastAsia" w:ascii="宋体" w:hAnsi="宋体" w:eastAsia="宋体" w:cs="宋体"/>
          <w:b/>
          <w:kern w:val="2"/>
          <w:sz w:val="24"/>
          <w:szCs w:val="24"/>
          <w:highlight w:val="none"/>
          <w:lang w:val="en-US" w:eastAsia="zh-CN" w:bidi="ar-SA"/>
        </w:rPr>
      </w:pPr>
      <w:bookmarkStart w:id="885" w:name="_Toc10476"/>
      <w:r>
        <w:rPr>
          <w:rFonts w:hint="eastAsia" w:ascii="宋体" w:hAnsi="宋体" w:eastAsia="宋体" w:cs="宋体"/>
          <w:b/>
          <w:kern w:val="2"/>
          <w:sz w:val="24"/>
          <w:szCs w:val="24"/>
          <w:highlight w:val="none"/>
          <w:lang w:val="en-US" w:eastAsia="zh-CN" w:bidi="ar-SA"/>
        </w:rPr>
        <w:t>十</w:t>
      </w:r>
      <w:r>
        <w:rPr>
          <w:rFonts w:hint="eastAsia" w:ascii="宋体" w:hAnsi="宋体" w:cs="宋体"/>
          <w:b/>
          <w:kern w:val="2"/>
          <w:sz w:val="24"/>
          <w:szCs w:val="24"/>
          <w:highlight w:val="none"/>
          <w:lang w:val="en-US" w:eastAsia="zh-CN" w:bidi="ar-SA"/>
        </w:rPr>
        <w:t>二</w:t>
      </w:r>
      <w:r>
        <w:rPr>
          <w:rFonts w:hint="eastAsia" w:ascii="宋体" w:hAnsi="宋体" w:eastAsia="宋体" w:cs="宋体"/>
          <w:b/>
          <w:kern w:val="2"/>
          <w:sz w:val="24"/>
          <w:szCs w:val="24"/>
          <w:highlight w:val="none"/>
          <w:lang w:val="en-US" w:eastAsia="zh-CN" w:bidi="ar-SA"/>
        </w:rPr>
        <w:t>、</w:t>
      </w:r>
      <w:r>
        <w:rPr>
          <w:rFonts w:hint="eastAsia" w:ascii="宋体" w:hAnsi="宋体" w:cs="宋体"/>
          <w:b/>
          <w:kern w:val="2"/>
          <w:sz w:val="24"/>
          <w:szCs w:val="24"/>
          <w:highlight w:val="none"/>
          <w:lang w:val="en-US" w:eastAsia="zh-CN" w:bidi="ar-SA"/>
        </w:rPr>
        <w:t>投标人</w:t>
      </w:r>
      <w:r>
        <w:rPr>
          <w:rFonts w:hint="eastAsia" w:ascii="宋体" w:hAnsi="宋体" w:eastAsia="宋体" w:cs="宋体"/>
          <w:b/>
          <w:kern w:val="2"/>
          <w:sz w:val="24"/>
          <w:szCs w:val="24"/>
          <w:highlight w:val="none"/>
          <w:lang w:val="en-US" w:eastAsia="zh-CN" w:bidi="ar-SA"/>
        </w:rPr>
        <w:t>认为有必要补充说明的事项</w:t>
      </w:r>
      <w:bookmarkEnd w:id="885"/>
    </w:p>
    <w:p>
      <w:pPr>
        <w:pStyle w:val="37"/>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pPr>
        <w:bidi w:val="0"/>
        <w:rPr>
          <w:rFonts w:hint="eastAsia"/>
          <w:lang w:val="en-US" w:eastAsia="zh-CN"/>
        </w:rPr>
      </w:pPr>
      <w:r>
        <w:rPr>
          <w:rFonts w:hint="eastAsia"/>
          <w:lang w:val="en-US" w:eastAsia="zh-CN"/>
        </w:rPr>
        <w:t>投标人自拟格式，自行编写认为有必要的其他补充说明内容，文字图片等不限。</w:t>
      </w:r>
    </w:p>
    <w:p>
      <w:pPr>
        <w:rPr>
          <w:rFonts w:hint="eastAsia" w:ascii="宋体" w:hAnsi="宋体" w:eastAsia="宋体" w:cs="宋体"/>
          <w:b/>
          <w:color w:val="000000"/>
          <w:sz w:val="24"/>
          <w:szCs w:val="24"/>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sectPr>
      <w:pgSz w:w="11905" w:h="16838"/>
      <w:pgMar w:top="1134" w:right="1134" w:bottom="1134" w:left="1134" w:header="952" w:footer="533"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207" w:firstLineChars="98"/>
      <w:rPr>
        <w:rFonts w:hint="eastAsia"/>
        <w:b/>
        <w:sz w:val="21"/>
        <w:szCs w:val="21"/>
      </w:rPr>
    </w:pPr>
    <w:r>
      <w:rPr>
        <w:rFonts w:hint="eastAsia"/>
        <w:b/>
        <w:sz w:val="21"/>
        <w:szCs w:val="21"/>
        <w:u w:val="dotDotDash"/>
      </w:rPr>
      <w:t xml:space="preserve">                                                                                </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 xml:space="preserve">     陕西中海招标有限公司</w:t>
    </w:r>
  </w:p>
  <w:p>
    <w:pPr>
      <w:spacing w:line="360" w:lineRule="auto"/>
      <w:jc w:val="center"/>
      <w:rPr>
        <w:rFonts w:hint="eastAsia"/>
      </w:rPr>
    </w:pPr>
    <w:r>
      <w:rPr>
        <w:rFonts w:hint="eastAsia" w:ascii="仿宋" w:hAnsi="仿宋" w:eastAsia="仿宋" w:cs="仿宋"/>
        <w:b/>
        <w:sz w:val="21"/>
        <w:szCs w:val="21"/>
      </w:rPr>
      <w:t>地 址：西安市莲湖区西关正街英达大厦809室  电 话：029-89351688</w:t>
    </w:r>
  </w:p>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27"/>
      </w:rPr>
    </w:pPr>
    <w:r>
      <w:fldChar w:fldCharType="begin"/>
    </w:r>
    <w:r>
      <w:rPr>
        <w:rStyle w:val="27"/>
      </w:rPr>
      <w:instrText xml:space="preserve">PAGE  </w:instrText>
    </w:r>
    <w:r>
      <w:fldChar w:fldCharType="separate"/>
    </w:r>
    <w:r>
      <w:rPr>
        <w:rStyle w:val="27"/>
      </w:rPr>
      <w:t>0</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p>
    <w:pPr>
      <w:pStyle w:val="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rPr>
        <w:rFonts w:hint="eastAsia" w:ascii="仿宋" w:hAnsi="仿宋" w:eastAsia="仿宋" w:cs="仿宋"/>
        <w:b/>
        <w:bCs/>
        <w:color w:val="0000FF"/>
        <w:u w:val="single"/>
        <w:shd w:val="pct10" w:color="auto" w:fill="FFFFFF"/>
      </w:rPr>
    </w:pPr>
    <w:r>
      <w:rPr>
        <w:rFonts w:hint="eastAsia" w:ascii="仿宋" w:hAnsi="仿宋" w:eastAsia="仿宋" w:cs="仿宋"/>
        <w:color w:val="000000"/>
        <w:kern w:val="0"/>
        <w:szCs w:val="21"/>
        <w:u w:val="single"/>
        <w:lang w:eastAsia="zh-CN"/>
      </w:rPr>
      <w:t>陕西省动物疫病预防控制中心</w:t>
    </w:r>
    <w:r>
      <w:rPr>
        <w:rFonts w:hint="eastAsia" w:ascii="仿宋" w:hAnsi="仿宋" w:eastAsia="仿宋" w:cs="仿宋"/>
        <w:color w:val="000000"/>
        <w:kern w:val="0"/>
        <w:szCs w:val="21"/>
        <w:u w:val="single"/>
      </w:rPr>
      <w:t>江北校区图书馆1-3层家具装备采购项目</w:t>
    </w:r>
    <w:r>
      <w:rPr>
        <w:rFonts w:hint="eastAsia" w:ascii="仿宋" w:hAnsi="仿宋" w:eastAsia="仿宋" w:cs="仿宋"/>
        <w:b/>
        <w:bCs/>
        <w:color w:val="0000FF"/>
        <w:spacing w:val="-10"/>
        <w:kern w:val="0"/>
        <w:u w:val="single"/>
      </w:rPr>
      <w:t>招标文件                      项目编号：</w:t>
    </w:r>
    <w:r>
      <w:rPr>
        <w:rFonts w:hint="eastAsia" w:ascii="仿宋" w:hAnsi="仿宋" w:eastAsia="仿宋" w:cs="仿宋"/>
        <w:b/>
        <w:bCs/>
        <w:color w:val="0000FF"/>
        <w:spacing w:val="-10"/>
        <w:kern w:val="0"/>
        <w:u w:val="single"/>
        <w:lang w:val="en-GB"/>
      </w:rPr>
      <w:t>ZHZB201</w:t>
    </w:r>
    <w:r>
      <w:rPr>
        <w:rFonts w:hint="eastAsia" w:ascii="仿宋" w:hAnsi="仿宋" w:eastAsia="仿宋" w:cs="仿宋"/>
        <w:b/>
        <w:bCs/>
        <w:color w:val="0000FF"/>
        <w:spacing w:val="-10"/>
        <w:kern w:val="0"/>
        <w:u w:val="single"/>
      </w:rPr>
      <w:t>8</w:t>
    </w:r>
    <w:r>
      <w:rPr>
        <w:rFonts w:hint="eastAsia" w:ascii="仿宋" w:hAnsi="仿宋" w:eastAsia="仿宋" w:cs="仿宋"/>
        <w:b/>
        <w:bCs/>
        <w:color w:val="0000FF"/>
        <w:spacing w:val="-10"/>
        <w:kern w:val="0"/>
        <w:u w:val="single"/>
        <w:lang w:val="en-GB"/>
      </w:rPr>
      <w:t>-</w:t>
    </w:r>
    <w:r>
      <w:rPr>
        <w:rFonts w:hint="eastAsia" w:ascii="仿宋" w:hAnsi="仿宋" w:eastAsia="仿宋" w:cs="仿宋"/>
        <w:b/>
        <w:bCs/>
        <w:color w:val="0000FF"/>
        <w:spacing w:val="-10"/>
        <w:kern w:val="0"/>
        <w:u w:val="single"/>
      </w:rPr>
      <w:t>CG</w:t>
    </w:r>
    <w:r>
      <w:rPr>
        <w:rFonts w:hint="eastAsia" w:ascii="仿宋" w:hAnsi="仿宋" w:eastAsia="仿宋" w:cs="仿宋"/>
        <w:b/>
        <w:bCs/>
        <w:color w:val="0000FF"/>
        <w:spacing w:val="-10"/>
        <w:kern w:val="0"/>
        <w:u w:val="single"/>
        <w:lang w:val="en-GB"/>
      </w:rPr>
      <w:t>-</w:t>
    </w:r>
    <w:r>
      <w:rPr>
        <w:rFonts w:hint="eastAsia" w:ascii="仿宋" w:hAnsi="仿宋" w:eastAsia="仿宋" w:cs="仿宋"/>
        <w:b/>
        <w:bCs/>
        <w:color w:val="0000FF"/>
        <w:spacing w:val="-10"/>
        <w:kern w:val="0"/>
        <w:u w:val="single"/>
      </w:rPr>
      <w:t>0850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7"/>
      </w:rPr>
    </w:pPr>
    <w:r>
      <w:fldChar w:fldCharType="begin"/>
    </w:r>
    <w:r>
      <w:rPr>
        <w:rStyle w:val="27"/>
      </w:rPr>
      <w:instrText xml:space="preserve">PAGE  </w:instrText>
    </w:r>
    <w:r>
      <w:fldChar w:fldCharType="separate"/>
    </w:r>
    <w:r>
      <w:rPr>
        <w:rStyle w:val="27"/>
      </w:rPr>
      <w:t>0</w:t>
    </w:r>
    <w:r>
      <w:fldChar w:fldCharType="end"/>
    </w:r>
  </w:p>
  <w:p>
    <w:pPr>
      <w:pStyle w:val="1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bidi w:val="0"/>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E09CC"/>
    <w:multiLevelType w:val="singleLevel"/>
    <w:tmpl w:val="9B2E09CC"/>
    <w:lvl w:ilvl="0" w:tentative="0">
      <w:start w:val="11"/>
      <w:numFmt w:val="chineseCounting"/>
      <w:suff w:val="nothing"/>
      <w:lvlText w:val="%1、"/>
      <w:lvlJc w:val="left"/>
      <w:rPr>
        <w:rFonts w:hint="eastAsia"/>
      </w:rPr>
    </w:lvl>
  </w:abstractNum>
  <w:abstractNum w:abstractNumId="1">
    <w:nsid w:val="D0FEF689"/>
    <w:multiLevelType w:val="singleLevel"/>
    <w:tmpl w:val="D0FEF689"/>
    <w:lvl w:ilvl="0" w:tentative="0">
      <w:start w:val="2"/>
      <w:numFmt w:val="decimal"/>
      <w:suff w:val="nothing"/>
      <w:lvlText w:val="（%1）"/>
      <w:lvlJc w:val="left"/>
    </w:lvl>
  </w:abstractNum>
  <w:abstractNum w:abstractNumId="2">
    <w:nsid w:val="192B8FBE"/>
    <w:multiLevelType w:val="singleLevel"/>
    <w:tmpl w:val="192B8FBE"/>
    <w:lvl w:ilvl="0" w:tentative="0">
      <w:start w:val="1"/>
      <w:numFmt w:val="decimal"/>
      <w:suff w:val="nothing"/>
      <w:lvlText w:val="%1、"/>
      <w:lvlJc w:val="left"/>
    </w:lvl>
  </w:abstractNum>
  <w:abstractNum w:abstractNumId="3">
    <w:nsid w:val="3283F468"/>
    <w:multiLevelType w:val="singleLevel"/>
    <w:tmpl w:val="3283F468"/>
    <w:lvl w:ilvl="0" w:tentative="0">
      <w:start w:val="1"/>
      <w:numFmt w:val="decimal"/>
      <w:suff w:val="nothing"/>
      <w:lvlText w:val="%1、"/>
      <w:lvlJc w:val="left"/>
    </w:lvl>
  </w:abstractNum>
  <w:abstractNum w:abstractNumId="4">
    <w:nsid w:val="3D9459D2"/>
    <w:multiLevelType w:val="singleLevel"/>
    <w:tmpl w:val="3D9459D2"/>
    <w:lvl w:ilvl="0" w:tentative="0">
      <w:start w:val="3"/>
      <w:numFmt w:val="chineseCounting"/>
      <w:suff w:val="space"/>
      <w:lvlText w:val="第%1部分"/>
      <w:lvlJc w:val="left"/>
      <w:rPr>
        <w:rFonts w:hint="eastAsia"/>
      </w:rPr>
    </w:lvl>
  </w:abstractNum>
  <w:abstractNum w:abstractNumId="5">
    <w:nsid w:val="6D0F4729"/>
    <w:multiLevelType w:val="singleLevel"/>
    <w:tmpl w:val="6D0F4729"/>
    <w:lvl w:ilvl="0" w:tentative="0">
      <w:start w:val="1"/>
      <w:numFmt w:val="chineseCounting"/>
      <w:suff w:val="nothing"/>
      <w:lvlText w:val="（%1）"/>
      <w:lvlJc w:val="left"/>
      <w:rPr>
        <w:rFonts w:hint="eastAsia"/>
      </w:rPr>
    </w:lvl>
  </w:abstractNum>
  <w:abstractNum w:abstractNumId="6">
    <w:nsid w:val="70BBDB2C"/>
    <w:multiLevelType w:val="singleLevel"/>
    <w:tmpl w:val="70BBDB2C"/>
    <w:lvl w:ilvl="0" w:tentative="0">
      <w:start w:val="1"/>
      <w:numFmt w:val="chineseCounting"/>
      <w:suff w:val="space"/>
      <w:lvlText w:val="第%1部分"/>
      <w:lvlJc w:val="left"/>
      <w:rPr>
        <w:rFonts w:hint="eastAsia"/>
      </w:rPr>
    </w:lvl>
  </w:abstractNum>
  <w:abstractNum w:abstractNumId="7">
    <w:nsid w:val="70D62DBA"/>
    <w:multiLevelType w:val="singleLevel"/>
    <w:tmpl w:val="70D62DBA"/>
    <w:lvl w:ilvl="0" w:tentative="0">
      <w:start w:val="1"/>
      <w:numFmt w:val="chineseCounting"/>
      <w:suff w:val="nothing"/>
      <w:lvlText w:val="%1、"/>
      <w:lvlJc w:val="left"/>
      <w:rPr>
        <w:rFonts w:hint="eastAsia"/>
      </w:rPr>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NjRhNWFjNWNhNGU5MDBlNzM4NjQ3ZDJkODQxZmEifQ=="/>
  </w:docVars>
  <w:rsids>
    <w:rsidRoot w:val="16165A50"/>
    <w:rsid w:val="002A7BF6"/>
    <w:rsid w:val="004E0C5E"/>
    <w:rsid w:val="006B7557"/>
    <w:rsid w:val="007C11A6"/>
    <w:rsid w:val="010E0591"/>
    <w:rsid w:val="01771501"/>
    <w:rsid w:val="023A4A15"/>
    <w:rsid w:val="028E2B97"/>
    <w:rsid w:val="02B75335"/>
    <w:rsid w:val="02C20DED"/>
    <w:rsid w:val="02FA327E"/>
    <w:rsid w:val="035D1C10"/>
    <w:rsid w:val="03BE4CF0"/>
    <w:rsid w:val="03ED2A0D"/>
    <w:rsid w:val="042B26A8"/>
    <w:rsid w:val="04431602"/>
    <w:rsid w:val="048E7039"/>
    <w:rsid w:val="04B26F5A"/>
    <w:rsid w:val="04E33E92"/>
    <w:rsid w:val="05052A0C"/>
    <w:rsid w:val="055A3F8A"/>
    <w:rsid w:val="058A554B"/>
    <w:rsid w:val="05CB181E"/>
    <w:rsid w:val="05D91F2C"/>
    <w:rsid w:val="062058DE"/>
    <w:rsid w:val="06AA5969"/>
    <w:rsid w:val="07147E72"/>
    <w:rsid w:val="07B946C8"/>
    <w:rsid w:val="07C93354"/>
    <w:rsid w:val="07FE2BF1"/>
    <w:rsid w:val="0803773E"/>
    <w:rsid w:val="08277BA9"/>
    <w:rsid w:val="08707CF7"/>
    <w:rsid w:val="087510E6"/>
    <w:rsid w:val="08BD79F7"/>
    <w:rsid w:val="08DF0B39"/>
    <w:rsid w:val="09073F86"/>
    <w:rsid w:val="09785E8A"/>
    <w:rsid w:val="09C340D7"/>
    <w:rsid w:val="09C568DE"/>
    <w:rsid w:val="0A051BCB"/>
    <w:rsid w:val="0A43143C"/>
    <w:rsid w:val="0A7765E5"/>
    <w:rsid w:val="0B185CF6"/>
    <w:rsid w:val="0C055E5A"/>
    <w:rsid w:val="0D073013"/>
    <w:rsid w:val="0D9F1A6C"/>
    <w:rsid w:val="0DAB21F4"/>
    <w:rsid w:val="0DBC057C"/>
    <w:rsid w:val="0E4462C0"/>
    <w:rsid w:val="0E7B766B"/>
    <w:rsid w:val="0E8E268E"/>
    <w:rsid w:val="0EC96D54"/>
    <w:rsid w:val="0EE6729E"/>
    <w:rsid w:val="0F2929E4"/>
    <w:rsid w:val="0F6E47EC"/>
    <w:rsid w:val="0F850E94"/>
    <w:rsid w:val="0FA83B07"/>
    <w:rsid w:val="0FEF08B3"/>
    <w:rsid w:val="10035202"/>
    <w:rsid w:val="10C854C3"/>
    <w:rsid w:val="10D3416B"/>
    <w:rsid w:val="10F24C42"/>
    <w:rsid w:val="10FE7085"/>
    <w:rsid w:val="115D7B60"/>
    <w:rsid w:val="11735916"/>
    <w:rsid w:val="118E286E"/>
    <w:rsid w:val="11C03175"/>
    <w:rsid w:val="11DB44A4"/>
    <w:rsid w:val="12327C3E"/>
    <w:rsid w:val="12B27A3C"/>
    <w:rsid w:val="12C52A99"/>
    <w:rsid w:val="12D73CC7"/>
    <w:rsid w:val="12FD2C26"/>
    <w:rsid w:val="130F4C47"/>
    <w:rsid w:val="134825F1"/>
    <w:rsid w:val="135C3F4F"/>
    <w:rsid w:val="13A30A40"/>
    <w:rsid w:val="13C903CF"/>
    <w:rsid w:val="13D50C7F"/>
    <w:rsid w:val="13E05810"/>
    <w:rsid w:val="13F554B4"/>
    <w:rsid w:val="14305AB4"/>
    <w:rsid w:val="14AB2EE1"/>
    <w:rsid w:val="14D0585E"/>
    <w:rsid w:val="14F346E7"/>
    <w:rsid w:val="14F42246"/>
    <w:rsid w:val="15075F8E"/>
    <w:rsid w:val="150D26A3"/>
    <w:rsid w:val="15214BE0"/>
    <w:rsid w:val="152C692B"/>
    <w:rsid w:val="16165A50"/>
    <w:rsid w:val="163E73CF"/>
    <w:rsid w:val="16436C5F"/>
    <w:rsid w:val="16551523"/>
    <w:rsid w:val="1694623A"/>
    <w:rsid w:val="16C0635A"/>
    <w:rsid w:val="16DC72AC"/>
    <w:rsid w:val="173D4003"/>
    <w:rsid w:val="17430A44"/>
    <w:rsid w:val="177172ED"/>
    <w:rsid w:val="17C97A33"/>
    <w:rsid w:val="17CF4D89"/>
    <w:rsid w:val="17D067DF"/>
    <w:rsid w:val="181172CC"/>
    <w:rsid w:val="181A7F30"/>
    <w:rsid w:val="18457B19"/>
    <w:rsid w:val="18A93974"/>
    <w:rsid w:val="18F86B7F"/>
    <w:rsid w:val="190C6AD9"/>
    <w:rsid w:val="19193EEC"/>
    <w:rsid w:val="194913F1"/>
    <w:rsid w:val="195C15B5"/>
    <w:rsid w:val="19E41038"/>
    <w:rsid w:val="1A1971E5"/>
    <w:rsid w:val="1A516C5F"/>
    <w:rsid w:val="1A61289A"/>
    <w:rsid w:val="1A896458"/>
    <w:rsid w:val="1AB826D1"/>
    <w:rsid w:val="1B025B1B"/>
    <w:rsid w:val="1B0860C4"/>
    <w:rsid w:val="1B287C13"/>
    <w:rsid w:val="1B7179A1"/>
    <w:rsid w:val="1BAB363B"/>
    <w:rsid w:val="1BBE79A3"/>
    <w:rsid w:val="1C80276D"/>
    <w:rsid w:val="1D2C684E"/>
    <w:rsid w:val="1E0E0495"/>
    <w:rsid w:val="1E360774"/>
    <w:rsid w:val="1E851A71"/>
    <w:rsid w:val="1EB53906"/>
    <w:rsid w:val="1F6F65CF"/>
    <w:rsid w:val="1F965514"/>
    <w:rsid w:val="1FBC4A4A"/>
    <w:rsid w:val="1FEC2B4D"/>
    <w:rsid w:val="20666910"/>
    <w:rsid w:val="20B72FE0"/>
    <w:rsid w:val="21031AF8"/>
    <w:rsid w:val="211E157F"/>
    <w:rsid w:val="217C58E7"/>
    <w:rsid w:val="22101439"/>
    <w:rsid w:val="22544096"/>
    <w:rsid w:val="2271206B"/>
    <w:rsid w:val="228D024E"/>
    <w:rsid w:val="22ED65F2"/>
    <w:rsid w:val="23CA4456"/>
    <w:rsid w:val="23FA2089"/>
    <w:rsid w:val="24192AE0"/>
    <w:rsid w:val="24585AFC"/>
    <w:rsid w:val="247D3F3D"/>
    <w:rsid w:val="2482673B"/>
    <w:rsid w:val="24DD080C"/>
    <w:rsid w:val="24FF1C18"/>
    <w:rsid w:val="252E1A4B"/>
    <w:rsid w:val="261A6B09"/>
    <w:rsid w:val="2660724E"/>
    <w:rsid w:val="267E2D13"/>
    <w:rsid w:val="269A50C0"/>
    <w:rsid w:val="26A06FB2"/>
    <w:rsid w:val="26C6283E"/>
    <w:rsid w:val="26F53F4C"/>
    <w:rsid w:val="271524E7"/>
    <w:rsid w:val="274809B6"/>
    <w:rsid w:val="279B6F0B"/>
    <w:rsid w:val="27AD0789"/>
    <w:rsid w:val="27B467A2"/>
    <w:rsid w:val="27BD4EFC"/>
    <w:rsid w:val="284343EA"/>
    <w:rsid w:val="28DB4F49"/>
    <w:rsid w:val="2A13795C"/>
    <w:rsid w:val="2A5342BF"/>
    <w:rsid w:val="2A6B748D"/>
    <w:rsid w:val="2AA0794A"/>
    <w:rsid w:val="2AA9730A"/>
    <w:rsid w:val="2AAD46D0"/>
    <w:rsid w:val="2AE23EB2"/>
    <w:rsid w:val="2B1204EA"/>
    <w:rsid w:val="2BD51BCB"/>
    <w:rsid w:val="2C065E9B"/>
    <w:rsid w:val="2C3A380B"/>
    <w:rsid w:val="2C415387"/>
    <w:rsid w:val="2CE30EBF"/>
    <w:rsid w:val="2CE82C83"/>
    <w:rsid w:val="2D7400E7"/>
    <w:rsid w:val="2D8969C8"/>
    <w:rsid w:val="2E5F493A"/>
    <w:rsid w:val="2E670840"/>
    <w:rsid w:val="2E9235EF"/>
    <w:rsid w:val="2EC63FB1"/>
    <w:rsid w:val="2EC90429"/>
    <w:rsid w:val="2EE50F58"/>
    <w:rsid w:val="2F0B7D85"/>
    <w:rsid w:val="2F362A32"/>
    <w:rsid w:val="30D36BDC"/>
    <w:rsid w:val="31126BC0"/>
    <w:rsid w:val="314714DD"/>
    <w:rsid w:val="31AF2660"/>
    <w:rsid w:val="31C31FCC"/>
    <w:rsid w:val="321513CB"/>
    <w:rsid w:val="32217F09"/>
    <w:rsid w:val="327E2437"/>
    <w:rsid w:val="329D634E"/>
    <w:rsid w:val="32DC1C8C"/>
    <w:rsid w:val="32E02EF8"/>
    <w:rsid w:val="33256283"/>
    <w:rsid w:val="332A572B"/>
    <w:rsid w:val="3358035A"/>
    <w:rsid w:val="34107732"/>
    <w:rsid w:val="34276CB0"/>
    <w:rsid w:val="34386FC0"/>
    <w:rsid w:val="347D6AEA"/>
    <w:rsid w:val="3481632B"/>
    <w:rsid w:val="348D2FD9"/>
    <w:rsid w:val="34B27BEA"/>
    <w:rsid w:val="350C08BE"/>
    <w:rsid w:val="35102067"/>
    <w:rsid w:val="35134CC1"/>
    <w:rsid w:val="352C6D5E"/>
    <w:rsid w:val="354B510F"/>
    <w:rsid w:val="357A3CEE"/>
    <w:rsid w:val="35DD2A12"/>
    <w:rsid w:val="35FA7C22"/>
    <w:rsid w:val="3663357C"/>
    <w:rsid w:val="368570FD"/>
    <w:rsid w:val="371A0057"/>
    <w:rsid w:val="378D0704"/>
    <w:rsid w:val="37EC2177"/>
    <w:rsid w:val="3834236D"/>
    <w:rsid w:val="384F7AA2"/>
    <w:rsid w:val="385B7AD3"/>
    <w:rsid w:val="397B0EF8"/>
    <w:rsid w:val="39913EF6"/>
    <w:rsid w:val="3A07116A"/>
    <w:rsid w:val="3A180A86"/>
    <w:rsid w:val="3A707607"/>
    <w:rsid w:val="3AA80BF3"/>
    <w:rsid w:val="3B2C7B5A"/>
    <w:rsid w:val="3BCD4C43"/>
    <w:rsid w:val="3C362F39"/>
    <w:rsid w:val="3CD30123"/>
    <w:rsid w:val="3CE67560"/>
    <w:rsid w:val="3D184AFF"/>
    <w:rsid w:val="3D586079"/>
    <w:rsid w:val="3DD8407C"/>
    <w:rsid w:val="3E3E64A1"/>
    <w:rsid w:val="3E5D2E07"/>
    <w:rsid w:val="3EC15794"/>
    <w:rsid w:val="3EF30205"/>
    <w:rsid w:val="3F1A3843"/>
    <w:rsid w:val="3F3C6A86"/>
    <w:rsid w:val="3F705479"/>
    <w:rsid w:val="40EB3DF1"/>
    <w:rsid w:val="411F0DAC"/>
    <w:rsid w:val="41930606"/>
    <w:rsid w:val="41965908"/>
    <w:rsid w:val="41D659E7"/>
    <w:rsid w:val="42250968"/>
    <w:rsid w:val="4230261D"/>
    <w:rsid w:val="426A003A"/>
    <w:rsid w:val="429741C8"/>
    <w:rsid w:val="42F82B2F"/>
    <w:rsid w:val="43325D0E"/>
    <w:rsid w:val="433322D7"/>
    <w:rsid w:val="436D54F5"/>
    <w:rsid w:val="441A46E8"/>
    <w:rsid w:val="44215F27"/>
    <w:rsid w:val="445C62A2"/>
    <w:rsid w:val="44801E71"/>
    <w:rsid w:val="4493105E"/>
    <w:rsid w:val="44A44622"/>
    <w:rsid w:val="45825B76"/>
    <w:rsid w:val="458F0727"/>
    <w:rsid w:val="45B158C3"/>
    <w:rsid w:val="45D67906"/>
    <w:rsid w:val="4625589D"/>
    <w:rsid w:val="46834E99"/>
    <w:rsid w:val="46A35779"/>
    <w:rsid w:val="46B50A7E"/>
    <w:rsid w:val="46BA595A"/>
    <w:rsid w:val="47374A86"/>
    <w:rsid w:val="47892622"/>
    <w:rsid w:val="47CF0F0F"/>
    <w:rsid w:val="484A0F6B"/>
    <w:rsid w:val="487E4B9A"/>
    <w:rsid w:val="48B44FC0"/>
    <w:rsid w:val="494302C7"/>
    <w:rsid w:val="49801305"/>
    <w:rsid w:val="49CA262C"/>
    <w:rsid w:val="49D637F7"/>
    <w:rsid w:val="4A58046E"/>
    <w:rsid w:val="4B3342FA"/>
    <w:rsid w:val="4BB44155"/>
    <w:rsid w:val="4C0D0F84"/>
    <w:rsid w:val="4C5D7857"/>
    <w:rsid w:val="4CC64DE6"/>
    <w:rsid w:val="4CDC6AFC"/>
    <w:rsid w:val="4CF738A5"/>
    <w:rsid w:val="4D037CA3"/>
    <w:rsid w:val="4D2628AE"/>
    <w:rsid w:val="4DA50F7F"/>
    <w:rsid w:val="4DBF2D33"/>
    <w:rsid w:val="4DC5211F"/>
    <w:rsid w:val="4E336A86"/>
    <w:rsid w:val="4E367894"/>
    <w:rsid w:val="4F055A98"/>
    <w:rsid w:val="4F89599D"/>
    <w:rsid w:val="4F8A608A"/>
    <w:rsid w:val="4FF15ABC"/>
    <w:rsid w:val="501E5A79"/>
    <w:rsid w:val="5074563B"/>
    <w:rsid w:val="50831801"/>
    <w:rsid w:val="50914324"/>
    <w:rsid w:val="50B40023"/>
    <w:rsid w:val="50D019A2"/>
    <w:rsid w:val="50FA3E13"/>
    <w:rsid w:val="51102B6E"/>
    <w:rsid w:val="511F5C08"/>
    <w:rsid w:val="513B16B9"/>
    <w:rsid w:val="52BE389A"/>
    <w:rsid w:val="52FE25AA"/>
    <w:rsid w:val="53113DDC"/>
    <w:rsid w:val="53AB528E"/>
    <w:rsid w:val="53B305F8"/>
    <w:rsid w:val="53B63F7D"/>
    <w:rsid w:val="540F694F"/>
    <w:rsid w:val="543B0303"/>
    <w:rsid w:val="544F226D"/>
    <w:rsid w:val="547E6241"/>
    <w:rsid w:val="54F04C9A"/>
    <w:rsid w:val="550E1144"/>
    <w:rsid w:val="5553612B"/>
    <w:rsid w:val="55C643CA"/>
    <w:rsid w:val="55CD00F4"/>
    <w:rsid w:val="563A4FB0"/>
    <w:rsid w:val="57524602"/>
    <w:rsid w:val="578C0F8B"/>
    <w:rsid w:val="57C65106"/>
    <w:rsid w:val="582806AA"/>
    <w:rsid w:val="585F1B09"/>
    <w:rsid w:val="58687899"/>
    <w:rsid w:val="588B5295"/>
    <w:rsid w:val="58AC2BA6"/>
    <w:rsid w:val="58D10E3C"/>
    <w:rsid w:val="58DF2B4A"/>
    <w:rsid w:val="58ED79B9"/>
    <w:rsid w:val="590E79F7"/>
    <w:rsid w:val="59523769"/>
    <w:rsid w:val="59A0135C"/>
    <w:rsid w:val="59AF55D9"/>
    <w:rsid w:val="59EC2864"/>
    <w:rsid w:val="5AE60779"/>
    <w:rsid w:val="5B1478C8"/>
    <w:rsid w:val="5B187B16"/>
    <w:rsid w:val="5B992597"/>
    <w:rsid w:val="5B9C0943"/>
    <w:rsid w:val="5C9D3E51"/>
    <w:rsid w:val="5C9F1CB3"/>
    <w:rsid w:val="5CEA0F2D"/>
    <w:rsid w:val="5D300F87"/>
    <w:rsid w:val="5D434613"/>
    <w:rsid w:val="5DE72706"/>
    <w:rsid w:val="5E1F0971"/>
    <w:rsid w:val="5E311DDA"/>
    <w:rsid w:val="5E4132E8"/>
    <w:rsid w:val="5E803BC7"/>
    <w:rsid w:val="5E911275"/>
    <w:rsid w:val="5F523FBD"/>
    <w:rsid w:val="5F9F1700"/>
    <w:rsid w:val="5FAB4B04"/>
    <w:rsid w:val="608C6380"/>
    <w:rsid w:val="60FB223E"/>
    <w:rsid w:val="61392DE5"/>
    <w:rsid w:val="6187629B"/>
    <w:rsid w:val="619A64F6"/>
    <w:rsid w:val="62680212"/>
    <w:rsid w:val="62D91E02"/>
    <w:rsid w:val="63902B8F"/>
    <w:rsid w:val="639B61D9"/>
    <w:rsid w:val="64572496"/>
    <w:rsid w:val="64966672"/>
    <w:rsid w:val="6544351A"/>
    <w:rsid w:val="654922B0"/>
    <w:rsid w:val="65A003B6"/>
    <w:rsid w:val="65B25071"/>
    <w:rsid w:val="65B7443B"/>
    <w:rsid w:val="65EA0CC9"/>
    <w:rsid w:val="66321FD2"/>
    <w:rsid w:val="66E26BB9"/>
    <w:rsid w:val="67357D00"/>
    <w:rsid w:val="686C7582"/>
    <w:rsid w:val="68A427DA"/>
    <w:rsid w:val="69212ACE"/>
    <w:rsid w:val="693132FF"/>
    <w:rsid w:val="693D0E0E"/>
    <w:rsid w:val="697C7B6D"/>
    <w:rsid w:val="69C8025C"/>
    <w:rsid w:val="6A0807E2"/>
    <w:rsid w:val="6A090EB6"/>
    <w:rsid w:val="6A9D6AB6"/>
    <w:rsid w:val="6AB04092"/>
    <w:rsid w:val="6B34721D"/>
    <w:rsid w:val="6B5F2208"/>
    <w:rsid w:val="6BCF26F5"/>
    <w:rsid w:val="6C033469"/>
    <w:rsid w:val="6C0E25C1"/>
    <w:rsid w:val="6C723A06"/>
    <w:rsid w:val="6CA975F6"/>
    <w:rsid w:val="6CF670B2"/>
    <w:rsid w:val="6D2842B4"/>
    <w:rsid w:val="6D8E3500"/>
    <w:rsid w:val="6DBD711B"/>
    <w:rsid w:val="6DCC4041"/>
    <w:rsid w:val="6E191142"/>
    <w:rsid w:val="6E1E530C"/>
    <w:rsid w:val="6E473EA0"/>
    <w:rsid w:val="6E4C763F"/>
    <w:rsid w:val="6EBA61E7"/>
    <w:rsid w:val="6F556CEC"/>
    <w:rsid w:val="6F6F1458"/>
    <w:rsid w:val="6F70009D"/>
    <w:rsid w:val="6FC3791F"/>
    <w:rsid w:val="701A3B70"/>
    <w:rsid w:val="701D481F"/>
    <w:rsid w:val="70431FF2"/>
    <w:rsid w:val="70524A59"/>
    <w:rsid w:val="705A3284"/>
    <w:rsid w:val="706C6926"/>
    <w:rsid w:val="70834729"/>
    <w:rsid w:val="70BC28F5"/>
    <w:rsid w:val="70FE3A31"/>
    <w:rsid w:val="71307EC7"/>
    <w:rsid w:val="71D14F6F"/>
    <w:rsid w:val="71DD0991"/>
    <w:rsid w:val="721353DA"/>
    <w:rsid w:val="727275C0"/>
    <w:rsid w:val="727F594D"/>
    <w:rsid w:val="72C34811"/>
    <w:rsid w:val="72D14E15"/>
    <w:rsid w:val="7346645C"/>
    <w:rsid w:val="74B135C7"/>
    <w:rsid w:val="750C0E7D"/>
    <w:rsid w:val="755F3F86"/>
    <w:rsid w:val="75C975DF"/>
    <w:rsid w:val="76D21D2E"/>
    <w:rsid w:val="770A6EB9"/>
    <w:rsid w:val="77166A09"/>
    <w:rsid w:val="7744287A"/>
    <w:rsid w:val="774F643B"/>
    <w:rsid w:val="77677877"/>
    <w:rsid w:val="77B00E22"/>
    <w:rsid w:val="77F73E06"/>
    <w:rsid w:val="78293BEF"/>
    <w:rsid w:val="78934A93"/>
    <w:rsid w:val="79C93508"/>
    <w:rsid w:val="7A985C61"/>
    <w:rsid w:val="7AAC049A"/>
    <w:rsid w:val="7B037539"/>
    <w:rsid w:val="7BA94B9C"/>
    <w:rsid w:val="7BB211BE"/>
    <w:rsid w:val="7C2C0FCB"/>
    <w:rsid w:val="7C8E2BF8"/>
    <w:rsid w:val="7C90221B"/>
    <w:rsid w:val="7C92399F"/>
    <w:rsid w:val="7CFD46C6"/>
    <w:rsid w:val="7D3D633F"/>
    <w:rsid w:val="7D4472C2"/>
    <w:rsid w:val="7D9560B9"/>
    <w:rsid w:val="7E1A77C7"/>
    <w:rsid w:val="7E84229E"/>
    <w:rsid w:val="7EF45DB1"/>
    <w:rsid w:val="7F3769A2"/>
    <w:rsid w:val="7FF81C46"/>
    <w:rsid w:val="7FFD2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28"/>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4"/>
    <w:basedOn w:val="1"/>
    <w:next w:val="1"/>
    <w:qFormat/>
    <w:uiPriority w:val="0"/>
    <w:pPr>
      <w:keepNext/>
      <w:keepLines/>
      <w:adjustRightInd w:val="0"/>
      <w:spacing w:before="280" w:after="290" w:line="376" w:lineRule="atLeast"/>
      <w:textAlignment w:val="baseline"/>
      <w:outlineLvl w:val="3"/>
    </w:pPr>
    <w:rPr>
      <w:rFonts w:ascii="Arial" w:hAnsi="Arial"/>
      <w:b/>
      <w:spacing w:val="20"/>
      <w:sz w:val="28"/>
    </w:rPr>
  </w:style>
  <w:style w:type="paragraph" w:styleId="6">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1" w:lineRule="atLeast"/>
      <w:ind w:left="0" w:right="0"/>
      <w:jc w:val="left"/>
    </w:pPr>
    <w:rPr>
      <w:rFonts w:hint="eastAsia" w:ascii="宋体" w:hAnsi="宋体" w:eastAsia="宋体" w:cs="宋体"/>
      <w:b/>
      <w:kern w:val="0"/>
      <w:sz w:val="24"/>
      <w:szCs w:val="24"/>
      <w:lang w:val="en-US" w:eastAsia="zh-CN" w:bidi="ar"/>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7">
    <w:name w:val="Normal Indent"/>
    <w:basedOn w:val="1"/>
    <w:next w:val="8"/>
    <w:qFormat/>
    <w:uiPriority w:val="0"/>
    <w:pPr>
      <w:ind w:firstLine="420"/>
    </w:pPr>
  </w:style>
  <w:style w:type="paragraph" w:styleId="8">
    <w:name w:val="toc 4"/>
    <w:basedOn w:val="1"/>
    <w:next w:val="1"/>
    <w:unhideWhenUsed/>
    <w:qFormat/>
    <w:uiPriority w:val="39"/>
    <w:pPr>
      <w:ind w:left="1260" w:leftChars="600"/>
    </w:p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qFormat/>
    <w:uiPriority w:val="0"/>
    <w:pPr>
      <w:jc w:val="left"/>
    </w:pPr>
  </w:style>
  <w:style w:type="paragraph" w:styleId="11">
    <w:name w:val="Body Text"/>
    <w:basedOn w:val="1"/>
    <w:next w:val="1"/>
    <w:qFormat/>
    <w:uiPriority w:val="0"/>
    <w:pPr>
      <w:spacing w:after="156" w:afterLines="50" w:line="360" w:lineRule="auto"/>
    </w:pPr>
    <w:rPr>
      <w:rFonts w:ascii="宋体" w:hAnsi="宋体"/>
      <w:color w:val="000000"/>
      <w:sz w:val="24"/>
    </w:rPr>
  </w:style>
  <w:style w:type="paragraph" w:styleId="12">
    <w:name w:val="Body Text Indent"/>
    <w:basedOn w:val="1"/>
    <w:qFormat/>
    <w:uiPriority w:val="0"/>
    <w:pPr>
      <w:spacing w:line="800" w:lineRule="exact"/>
      <w:ind w:left="315" w:leftChars="150" w:firstLine="664" w:firstLineChars="237"/>
    </w:pPr>
    <w:rPr>
      <w:rFonts w:ascii="仿宋_GB2312" w:eastAsia="仿宋_GB2312"/>
      <w:sz w:val="28"/>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rPr>
  </w:style>
  <w:style w:type="paragraph" w:styleId="15">
    <w:name w:val="Body Text Indent 2"/>
    <w:basedOn w:val="1"/>
    <w:qFormat/>
    <w:uiPriority w:val="0"/>
    <w:pPr>
      <w:spacing w:line="540" w:lineRule="exact"/>
      <w:ind w:firstLine="720" w:firstLineChars="225"/>
      <w:jc w:val="left"/>
    </w:pPr>
    <w:rPr>
      <w:rFonts w:ascii="仿宋_GB2312" w:eastAsia="仿宋_GB2312"/>
      <w:sz w:val="32"/>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Body Text 2"/>
    <w:basedOn w:val="1"/>
    <w:qFormat/>
    <w:uiPriority w:val="0"/>
    <w:pPr>
      <w:spacing w:after="120" w:afterLines="0" w:line="480" w:lineRule="auto"/>
    </w:pPr>
    <w:rPr>
      <w:rFonts w:ascii="Times New Roman" w:hAnsi="Times New Roman" w:cs="Times New Roman"/>
    </w:rPr>
  </w:style>
  <w:style w:type="paragraph" w:styleId="20">
    <w:name w:val="Normal (Web)"/>
    <w:basedOn w:val="1"/>
    <w:qFormat/>
    <w:uiPriority w:val="0"/>
    <w:pPr>
      <w:widowControl/>
      <w:spacing w:beforeAutospacing="1" w:afterAutospacing="1"/>
      <w:jc w:val="left"/>
    </w:pPr>
    <w:rPr>
      <w:rFonts w:ascii="宋体" w:hAnsi="宋体"/>
      <w:kern w:val="0"/>
      <w:sz w:val="24"/>
    </w:rPr>
  </w:style>
  <w:style w:type="paragraph" w:styleId="21">
    <w:name w:val="Body Text First Indent"/>
    <w:basedOn w:val="11"/>
    <w:next w:val="1"/>
    <w:qFormat/>
    <w:uiPriority w:val="0"/>
    <w:pPr>
      <w:adjustRightInd w:val="0"/>
      <w:spacing w:after="120" w:line="312" w:lineRule="atLeast"/>
      <w:ind w:firstLine="420"/>
      <w:textAlignment w:val="baseline"/>
    </w:pPr>
    <w:rPr>
      <w:color w:val="auto"/>
      <w:kern w:val="0"/>
      <w:sz w:val="21"/>
      <w:szCs w:val="20"/>
    </w:rPr>
  </w:style>
  <w:style w:type="paragraph" w:styleId="22">
    <w:name w:val="Body Text First Indent 2"/>
    <w:basedOn w:val="12"/>
    <w:unhideWhenUsed/>
    <w:qFormat/>
    <w:uiPriority w:val="0"/>
    <w:pPr>
      <w:ind w:firstLine="420" w:firstLineChars="200"/>
    </w:pPr>
    <w:rPr>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iCs/>
    </w:rPr>
  </w:style>
  <w:style w:type="character" w:styleId="31">
    <w:name w:val="Hyperlink"/>
    <w:basedOn w:val="25"/>
    <w:qFormat/>
    <w:uiPriority w:val="0"/>
    <w:rPr>
      <w:color w:val="0000FF"/>
      <w:u w:val="single"/>
    </w:rPr>
  </w:style>
  <w:style w:type="character" w:styleId="32">
    <w:name w:val="HTML Code"/>
    <w:basedOn w:val="25"/>
    <w:qFormat/>
    <w:uiPriority w:val="0"/>
    <w:rPr>
      <w:rFonts w:hint="default" w:ascii="Consolas" w:hAnsi="Consolas" w:eastAsia="Consolas" w:cs="Consolas"/>
      <w:color w:val="C7254E"/>
      <w:sz w:val="21"/>
      <w:szCs w:val="21"/>
      <w:shd w:val="clear" w:fill="F9F2F4"/>
    </w:rPr>
  </w:style>
  <w:style w:type="character" w:styleId="33">
    <w:name w:val="HTML Keyboard"/>
    <w:basedOn w:val="25"/>
    <w:qFormat/>
    <w:uiPriority w:val="0"/>
    <w:rPr>
      <w:rFonts w:ascii="Consolas" w:hAnsi="Consolas" w:eastAsia="Consolas" w:cs="Consolas"/>
      <w:color w:val="FFFFFF"/>
      <w:sz w:val="21"/>
      <w:szCs w:val="21"/>
      <w:shd w:val="clear" w:fill="333333"/>
    </w:rPr>
  </w:style>
  <w:style w:type="character" w:styleId="34">
    <w:name w:val="HTML Sample"/>
    <w:basedOn w:val="25"/>
    <w:qFormat/>
    <w:uiPriority w:val="0"/>
    <w:rPr>
      <w:rFonts w:hint="default" w:ascii="Consolas" w:hAnsi="Consolas" w:eastAsia="Consolas" w:cs="Consolas"/>
      <w:sz w:val="21"/>
      <w:szCs w:val="21"/>
    </w:rPr>
  </w:style>
  <w:style w:type="paragraph" w:customStyle="1" w:styleId="35">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正文（缩进）"/>
    <w:basedOn w:val="1"/>
    <w:qFormat/>
    <w:uiPriority w:val="0"/>
    <w:pPr>
      <w:spacing w:before="156" w:after="156" w:line="360" w:lineRule="auto"/>
      <w:ind w:firstLine="480" w:firstLineChars="200"/>
    </w:pPr>
    <w:rPr>
      <w:rFonts w:ascii="Calibri" w:hAnsi="Calibri" w:eastAsia="宋体" w:cs="Times New Roman"/>
      <w:szCs w:val="21"/>
    </w:rPr>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0"/>
    <w:qFormat/>
    <w:uiPriority w:val="0"/>
    <w:rPr>
      <w:rFonts w:ascii="Times New Roman" w:hAnsi="Times New Roman" w:eastAsia="宋体" w:cs="Times New Roman"/>
      <w:sz w:val="21"/>
      <w:lang w:val="en-US" w:eastAsia="zh-CN" w:bidi="ar-SA"/>
    </w:rPr>
  </w:style>
  <w:style w:type="paragraph" w:customStyle="1" w:styleId="39">
    <w:name w:val="正文缩进1"/>
    <w:basedOn w:val="1"/>
    <w:qFormat/>
    <w:uiPriority w:val="0"/>
    <w:pPr>
      <w:ind w:firstLine="420" w:firstLineChars="200"/>
    </w:pPr>
  </w:style>
  <w:style w:type="paragraph" w:customStyle="1" w:styleId="40">
    <w:name w:val="正文自定"/>
    <w:basedOn w:val="1"/>
    <w:qFormat/>
    <w:uiPriority w:val="0"/>
    <w:pPr>
      <w:tabs>
        <w:tab w:val="left" w:pos="7665"/>
      </w:tabs>
      <w:spacing w:line="360" w:lineRule="auto"/>
      <w:ind w:firstLine="200" w:firstLineChars="200"/>
    </w:pPr>
    <w:rPr>
      <w:rFonts w:ascii="宋体"/>
      <w:sz w:val="24"/>
      <w:szCs w:val="24"/>
    </w:rPr>
  </w:style>
  <w:style w:type="character" w:customStyle="1" w:styleId="41">
    <w:name w:val="hour_pm"/>
    <w:basedOn w:val="25"/>
    <w:qFormat/>
    <w:uiPriority w:val="0"/>
  </w:style>
  <w:style w:type="character" w:customStyle="1" w:styleId="42">
    <w:name w:val="tmpztreemove_arrow"/>
    <w:basedOn w:val="25"/>
    <w:qFormat/>
    <w:uiPriority w:val="0"/>
    <w:rPr>
      <w:shd w:val="clear" w:fill="FFFFFF"/>
    </w:rPr>
  </w:style>
  <w:style w:type="character" w:customStyle="1" w:styleId="43">
    <w:name w:val="hover3"/>
    <w:basedOn w:val="25"/>
    <w:qFormat/>
    <w:uiPriority w:val="0"/>
    <w:rPr>
      <w:shd w:val="clear" w:fill="EEEEEE"/>
    </w:rPr>
  </w:style>
  <w:style w:type="character" w:customStyle="1" w:styleId="44">
    <w:name w:val="old"/>
    <w:basedOn w:val="25"/>
    <w:qFormat/>
    <w:uiPriority w:val="0"/>
    <w:rPr>
      <w:color w:val="999999"/>
    </w:rPr>
  </w:style>
  <w:style w:type="character" w:customStyle="1" w:styleId="45">
    <w:name w:val="glyphicon4"/>
    <w:basedOn w:val="25"/>
    <w:qFormat/>
    <w:uiPriority w:val="0"/>
  </w:style>
  <w:style w:type="character" w:customStyle="1" w:styleId="46">
    <w:name w:val="hour_am"/>
    <w:basedOn w:val="25"/>
    <w:qFormat/>
    <w:uiPriority w:val="0"/>
  </w:style>
  <w:style w:type="character" w:customStyle="1" w:styleId="47">
    <w:name w:val="indent"/>
    <w:basedOn w:val="25"/>
    <w:qFormat/>
    <w:uiPriority w:val="0"/>
  </w:style>
  <w:style w:type="character" w:customStyle="1" w:styleId="48">
    <w:name w:val="button"/>
    <w:basedOn w:val="25"/>
    <w:qFormat/>
    <w:uiPriority w:val="0"/>
  </w:style>
  <w:style w:type="character" w:customStyle="1" w:styleId="49">
    <w:name w:val="number"/>
    <w:basedOn w:val="25"/>
    <w:qFormat/>
    <w:uiPriority w:val="0"/>
    <w:rPr>
      <w:color w:val="FF8833"/>
      <w:sz w:val="12"/>
      <w:szCs w:val="12"/>
    </w:rPr>
  </w:style>
  <w:style w:type="character" w:customStyle="1" w:styleId="50">
    <w:name w:val="phone"/>
    <w:basedOn w:val="25"/>
    <w:qFormat/>
    <w:uiPriority w:val="0"/>
    <w:rPr>
      <w:color w:val="FF8833"/>
      <w:sz w:val="12"/>
      <w:szCs w:val="12"/>
    </w:rPr>
  </w:style>
  <w:style w:type="character" w:customStyle="1" w:styleId="51">
    <w:name w:val="stclosebtn"/>
    <w:basedOn w:val="25"/>
    <w:qFormat/>
    <w:uiPriority w:val="0"/>
  </w:style>
  <w:style w:type="character" w:customStyle="1" w:styleId="52">
    <w:name w:val="beforeinfotext"/>
    <w:basedOn w:val="25"/>
    <w:qFormat/>
    <w:uiPriority w:val="0"/>
    <w:rPr>
      <w:color w:val="666666"/>
    </w:rPr>
  </w:style>
  <w:style w:type="character" w:customStyle="1" w:styleId="53">
    <w:name w:val="proollist"/>
    <w:basedOn w:val="25"/>
    <w:qFormat/>
    <w:uiPriority w:val="0"/>
  </w:style>
  <w:style w:type="character" w:customStyle="1" w:styleId="54">
    <w:name w:val="hover2"/>
    <w:basedOn w:val="25"/>
    <w:qFormat/>
    <w:uiPriority w:val="0"/>
    <w:rPr>
      <w:shd w:val="clear" w:fill="EEEEEE"/>
    </w:rPr>
  </w:style>
  <w:style w:type="paragraph" w:styleId="55">
    <w:name w:val="List Paragraph"/>
    <w:basedOn w:val="1"/>
    <w:qFormat/>
    <w:uiPriority w:val="1"/>
    <w:pPr>
      <w:ind w:left="220" w:firstLine="420"/>
    </w:pPr>
    <w:rPr>
      <w:rFonts w:ascii="宋体" w:hAnsi="宋体" w:eastAsia="宋体" w:cs="宋体"/>
      <w:lang w:val="zh-CN" w:eastAsia="zh-CN" w:bidi="zh-CN"/>
    </w:rPr>
  </w:style>
  <w:style w:type="paragraph" w:customStyle="1" w:styleId="56">
    <w:name w:val="Table Paragraph"/>
    <w:basedOn w:val="1"/>
    <w:qFormat/>
    <w:uiPriority w:val="1"/>
    <w:rPr>
      <w:rFonts w:ascii="宋体" w:hAnsi="宋体" w:eastAsia="宋体" w:cs="宋体"/>
      <w:lang w:val="zh-CN" w:eastAsia="zh-CN" w:bidi="zh-CN"/>
    </w:rPr>
  </w:style>
  <w:style w:type="paragraph" w:customStyle="1" w:styleId="57">
    <w:name w:val="WPSOffice手动目录 1"/>
    <w:qFormat/>
    <w:uiPriority w:val="0"/>
    <w:pPr>
      <w:ind w:leftChars="0"/>
    </w:pPr>
    <w:rPr>
      <w:rFonts w:ascii="Times New Roman" w:hAnsi="Times New Roman" w:eastAsia="宋体" w:cs="Times New Roman"/>
      <w:sz w:val="20"/>
      <w:szCs w:val="20"/>
    </w:rPr>
  </w:style>
  <w:style w:type="paragraph" w:customStyle="1" w:styleId="58">
    <w:name w:val="WPSOffice手动目录 2"/>
    <w:qFormat/>
    <w:uiPriority w:val="0"/>
    <w:pPr>
      <w:ind w:leftChars="200"/>
    </w:pPr>
    <w:rPr>
      <w:rFonts w:ascii="Times New Roman" w:hAnsi="Times New Roman" w:eastAsia="宋体" w:cs="Times New Roman"/>
      <w:sz w:val="20"/>
      <w:szCs w:val="20"/>
    </w:rPr>
  </w:style>
  <w:style w:type="paragraph" w:customStyle="1" w:styleId="59">
    <w:name w:val="title1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60">
    <w:name w:val="WPSOffice手动目录 3"/>
    <w:qFormat/>
    <w:uiPriority w:val="0"/>
    <w:pPr>
      <w:ind w:leftChars="400"/>
    </w:pPr>
    <w:rPr>
      <w:rFonts w:ascii="Times New Roman" w:hAnsi="Times New Roman" w:eastAsia="宋体" w:cs="Times New Roman"/>
      <w:sz w:val="20"/>
      <w:szCs w:val="20"/>
    </w:rPr>
  </w:style>
  <w:style w:type="paragraph" w:customStyle="1" w:styleId="61">
    <w:name w:val="样式 仿宋_GB2312 四号 行距: 1.5 倍行距"/>
    <w:basedOn w:val="1"/>
    <w:qFormat/>
    <w:uiPriority w:val="0"/>
    <w:pPr>
      <w:spacing w:line="360" w:lineRule="auto"/>
      <w:ind w:firstLine="560" w:firstLineChars="200"/>
    </w:pPr>
    <w:rPr>
      <w:rFonts w:ascii="仿宋_GB2312" w:eastAsia="仿宋_GB2312" w:cs="宋体"/>
      <w:kern w:val="2"/>
      <w:sz w:val="28"/>
    </w:rPr>
  </w:style>
  <w:style w:type="character" w:customStyle="1" w:styleId="62">
    <w:name w:val="last-child1"/>
    <w:basedOn w:val="25"/>
    <w:qFormat/>
    <w:uiPriority w:val="0"/>
  </w:style>
  <w:style w:type="character" w:customStyle="1" w:styleId="63">
    <w:name w:val="last-child2"/>
    <w:basedOn w:val="25"/>
    <w:qFormat/>
    <w:uiPriority w:val="0"/>
    <w:rPr>
      <w:color w:val="FFFFFF"/>
    </w:rPr>
  </w:style>
  <w:style w:type="character" w:customStyle="1" w:styleId="64">
    <w:name w:val="nth-of-type(10)"/>
    <w:basedOn w:val="25"/>
    <w:qFormat/>
    <w:uiPriority w:val="0"/>
  </w:style>
  <w:style w:type="character" w:customStyle="1" w:styleId="65">
    <w:name w:val="nth-of-type(5)"/>
    <w:basedOn w:val="25"/>
    <w:qFormat/>
    <w:uiPriority w:val="0"/>
    <w:rPr>
      <w:sz w:val="14"/>
      <w:szCs w:val="14"/>
    </w:rPr>
  </w:style>
  <w:style w:type="character" w:customStyle="1" w:styleId="66">
    <w:name w:val="nth-of-type(5)1"/>
    <w:basedOn w:val="25"/>
    <w:qFormat/>
    <w:uiPriority w:val="0"/>
  </w:style>
  <w:style w:type="character" w:customStyle="1" w:styleId="67">
    <w:name w:val="nth-of-type(5)2"/>
    <w:basedOn w:val="25"/>
    <w:qFormat/>
    <w:uiPriority w:val="0"/>
  </w:style>
  <w:style w:type="character" w:customStyle="1" w:styleId="68">
    <w:name w:val="nth-of-type(5)3"/>
    <w:basedOn w:val="25"/>
    <w:qFormat/>
    <w:uiPriority w:val="0"/>
  </w:style>
  <w:style w:type="character" w:customStyle="1" w:styleId="69">
    <w:name w:val="nth-of-type(5)4"/>
    <w:basedOn w:val="25"/>
    <w:qFormat/>
    <w:uiPriority w:val="0"/>
  </w:style>
  <w:style w:type="character" w:customStyle="1" w:styleId="70">
    <w:name w:val="nth-of-type(5)5"/>
    <w:basedOn w:val="25"/>
    <w:qFormat/>
    <w:uiPriority w:val="0"/>
  </w:style>
  <w:style w:type="character" w:customStyle="1" w:styleId="71">
    <w:name w:val="nth-of-type(5)6"/>
    <w:basedOn w:val="25"/>
    <w:qFormat/>
    <w:uiPriority w:val="0"/>
  </w:style>
  <w:style w:type="character" w:customStyle="1" w:styleId="72">
    <w:name w:val="nth-of-type(4)"/>
    <w:basedOn w:val="25"/>
    <w:qFormat/>
    <w:uiPriority w:val="0"/>
    <w:rPr>
      <w:sz w:val="14"/>
      <w:szCs w:val="14"/>
    </w:rPr>
  </w:style>
  <w:style w:type="character" w:customStyle="1" w:styleId="73">
    <w:name w:val="nth-of-type(4)1"/>
    <w:basedOn w:val="25"/>
    <w:qFormat/>
    <w:uiPriority w:val="0"/>
  </w:style>
  <w:style w:type="character" w:customStyle="1" w:styleId="74">
    <w:name w:val="nth-of-type(4)2"/>
    <w:basedOn w:val="25"/>
    <w:qFormat/>
    <w:uiPriority w:val="0"/>
  </w:style>
  <w:style w:type="character" w:customStyle="1" w:styleId="75">
    <w:name w:val="nth-of-type(4)3"/>
    <w:basedOn w:val="25"/>
    <w:qFormat/>
    <w:uiPriority w:val="0"/>
  </w:style>
  <w:style w:type="character" w:customStyle="1" w:styleId="76">
    <w:name w:val="nth-of-type(4)4"/>
    <w:basedOn w:val="25"/>
    <w:qFormat/>
    <w:uiPriority w:val="0"/>
  </w:style>
  <w:style w:type="character" w:customStyle="1" w:styleId="77">
    <w:name w:val="nth-of-type(4)5"/>
    <w:basedOn w:val="25"/>
    <w:qFormat/>
    <w:uiPriority w:val="0"/>
  </w:style>
  <w:style w:type="character" w:customStyle="1" w:styleId="78">
    <w:name w:val="nth-of-type(4)6"/>
    <w:basedOn w:val="25"/>
    <w:qFormat/>
    <w:uiPriority w:val="0"/>
  </w:style>
  <w:style w:type="character" w:customStyle="1" w:styleId="79">
    <w:name w:val="nth-of-type(4)7"/>
    <w:basedOn w:val="25"/>
    <w:qFormat/>
    <w:uiPriority w:val="0"/>
  </w:style>
  <w:style w:type="character" w:customStyle="1" w:styleId="80">
    <w:name w:val="nth-of-type(4)8"/>
    <w:basedOn w:val="25"/>
    <w:qFormat/>
    <w:uiPriority w:val="0"/>
  </w:style>
  <w:style w:type="character" w:customStyle="1" w:styleId="81">
    <w:name w:val="nth-of-type(1)"/>
    <w:basedOn w:val="25"/>
    <w:qFormat/>
    <w:uiPriority w:val="0"/>
    <w:rPr>
      <w:sz w:val="14"/>
      <w:szCs w:val="14"/>
    </w:rPr>
  </w:style>
  <w:style w:type="character" w:customStyle="1" w:styleId="82">
    <w:name w:val="nth-of-type(1)1"/>
    <w:basedOn w:val="25"/>
    <w:qFormat/>
    <w:uiPriority w:val="0"/>
  </w:style>
  <w:style w:type="character" w:customStyle="1" w:styleId="83">
    <w:name w:val="nth-of-type(1)2"/>
    <w:basedOn w:val="25"/>
    <w:qFormat/>
    <w:uiPriority w:val="0"/>
  </w:style>
  <w:style w:type="character" w:customStyle="1" w:styleId="84">
    <w:name w:val="nth-of-type(1)3"/>
    <w:basedOn w:val="25"/>
    <w:qFormat/>
    <w:uiPriority w:val="0"/>
  </w:style>
  <w:style w:type="character" w:customStyle="1" w:styleId="85">
    <w:name w:val="nth-of-type(1)4"/>
    <w:basedOn w:val="25"/>
    <w:qFormat/>
    <w:uiPriority w:val="0"/>
  </w:style>
  <w:style w:type="character" w:customStyle="1" w:styleId="86">
    <w:name w:val="nth-of-type(1)5"/>
    <w:basedOn w:val="25"/>
    <w:qFormat/>
    <w:uiPriority w:val="0"/>
  </w:style>
  <w:style w:type="character" w:customStyle="1" w:styleId="87">
    <w:name w:val="nth-of-type(1)6"/>
    <w:basedOn w:val="25"/>
    <w:qFormat/>
    <w:uiPriority w:val="0"/>
  </w:style>
  <w:style w:type="character" w:customStyle="1" w:styleId="88">
    <w:name w:val="nth-of-type(1)7"/>
    <w:basedOn w:val="25"/>
    <w:qFormat/>
    <w:uiPriority w:val="0"/>
  </w:style>
  <w:style w:type="character" w:customStyle="1" w:styleId="89">
    <w:name w:val="nth-of-type(1)8"/>
    <w:basedOn w:val="25"/>
    <w:qFormat/>
    <w:uiPriority w:val="0"/>
  </w:style>
  <w:style w:type="character" w:customStyle="1" w:styleId="90">
    <w:name w:val="nth-of-type(1)9"/>
    <w:basedOn w:val="25"/>
    <w:qFormat/>
    <w:uiPriority w:val="0"/>
  </w:style>
  <w:style w:type="character" w:customStyle="1" w:styleId="91">
    <w:name w:val="nth-of-type(1)10"/>
    <w:basedOn w:val="25"/>
    <w:qFormat/>
    <w:uiPriority w:val="0"/>
    <w:rPr>
      <w:rFonts w:ascii="SourceHanSansCN-Regular" w:hAnsi="SourceHanSansCN-Regular" w:eastAsia="SourceHanSansCN-Regular" w:cs="SourceHanSansCN-Regular"/>
      <w:color w:val="FB560A"/>
      <w:sz w:val="14"/>
      <w:szCs w:val="14"/>
    </w:rPr>
  </w:style>
  <w:style w:type="character" w:customStyle="1" w:styleId="92">
    <w:name w:val="nth-of-type(1)11"/>
    <w:basedOn w:val="25"/>
    <w:qFormat/>
    <w:uiPriority w:val="0"/>
  </w:style>
  <w:style w:type="character" w:customStyle="1" w:styleId="93">
    <w:name w:val="nth-of-type(1)12"/>
    <w:basedOn w:val="25"/>
    <w:qFormat/>
    <w:uiPriority w:val="0"/>
  </w:style>
  <w:style w:type="character" w:customStyle="1" w:styleId="94">
    <w:name w:val="nth-of-type(1)13"/>
    <w:basedOn w:val="25"/>
    <w:qFormat/>
    <w:uiPriority w:val="0"/>
  </w:style>
  <w:style w:type="character" w:customStyle="1" w:styleId="95">
    <w:name w:val="nth-of-type(1)14"/>
    <w:basedOn w:val="25"/>
    <w:qFormat/>
    <w:uiPriority w:val="0"/>
  </w:style>
  <w:style w:type="character" w:customStyle="1" w:styleId="96">
    <w:name w:val="nth-of-type(1)15"/>
    <w:basedOn w:val="25"/>
    <w:qFormat/>
    <w:uiPriority w:val="0"/>
    <w:rPr>
      <w:color w:val="167AE0"/>
    </w:rPr>
  </w:style>
  <w:style w:type="character" w:customStyle="1" w:styleId="97">
    <w:name w:val="nth-of-type(1)16"/>
    <w:basedOn w:val="25"/>
    <w:qFormat/>
    <w:uiPriority w:val="0"/>
    <w:rPr>
      <w:color w:val="167AE0"/>
    </w:rPr>
  </w:style>
  <w:style w:type="character" w:customStyle="1" w:styleId="98">
    <w:name w:val="nth-of-type(1)17"/>
    <w:basedOn w:val="25"/>
    <w:qFormat/>
    <w:uiPriority w:val="0"/>
  </w:style>
  <w:style w:type="character" w:customStyle="1" w:styleId="99">
    <w:name w:val="nth-of-type(1)18"/>
    <w:basedOn w:val="25"/>
    <w:qFormat/>
    <w:uiPriority w:val="0"/>
  </w:style>
  <w:style w:type="character" w:customStyle="1" w:styleId="100">
    <w:name w:val="nth-of-type(2)"/>
    <w:basedOn w:val="25"/>
    <w:qFormat/>
    <w:uiPriority w:val="0"/>
    <w:rPr>
      <w:sz w:val="14"/>
      <w:szCs w:val="14"/>
    </w:rPr>
  </w:style>
  <w:style w:type="character" w:customStyle="1" w:styleId="101">
    <w:name w:val="nth-of-type(2)1"/>
    <w:basedOn w:val="25"/>
    <w:qFormat/>
    <w:uiPriority w:val="0"/>
  </w:style>
  <w:style w:type="character" w:customStyle="1" w:styleId="102">
    <w:name w:val="nth-of-type(2)2"/>
    <w:basedOn w:val="25"/>
    <w:qFormat/>
    <w:uiPriority w:val="0"/>
  </w:style>
  <w:style w:type="character" w:customStyle="1" w:styleId="103">
    <w:name w:val="nth-of-type(2)3"/>
    <w:basedOn w:val="25"/>
    <w:qFormat/>
    <w:uiPriority w:val="0"/>
  </w:style>
  <w:style w:type="character" w:customStyle="1" w:styleId="104">
    <w:name w:val="nth-of-type(2)4"/>
    <w:basedOn w:val="25"/>
    <w:qFormat/>
    <w:uiPriority w:val="0"/>
  </w:style>
  <w:style w:type="character" w:customStyle="1" w:styleId="105">
    <w:name w:val="nth-of-type(2)5"/>
    <w:basedOn w:val="25"/>
    <w:qFormat/>
    <w:uiPriority w:val="0"/>
  </w:style>
  <w:style w:type="character" w:customStyle="1" w:styleId="106">
    <w:name w:val="nth-of-type(2)6"/>
    <w:basedOn w:val="25"/>
    <w:qFormat/>
    <w:uiPriority w:val="0"/>
  </w:style>
  <w:style w:type="character" w:customStyle="1" w:styleId="107">
    <w:name w:val="nth-of-type(2)7"/>
    <w:basedOn w:val="25"/>
    <w:qFormat/>
    <w:uiPriority w:val="0"/>
  </w:style>
  <w:style w:type="character" w:customStyle="1" w:styleId="108">
    <w:name w:val="nth-of-type(2)8"/>
    <w:basedOn w:val="25"/>
    <w:qFormat/>
    <w:uiPriority w:val="0"/>
  </w:style>
  <w:style w:type="character" w:customStyle="1" w:styleId="109">
    <w:name w:val="nth-of-type(2)9"/>
    <w:basedOn w:val="25"/>
    <w:qFormat/>
    <w:uiPriority w:val="0"/>
  </w:style>
  <w:style w:type="character" w:customStyle="1" w:styleId="110">
    <w:name w:val="nth-of-type(2)10"/>
    <w:basedOn w:val="25"/>
    <w:qFormat/>
    <w:uiPriority w:val="0"/>
  </w:style>
  <w:style w:type="character" w:customStyle="1" w:styleId="111">
    <w:name w:val="nth-of-type(2)11"/>
    <w:basedOn w:val="25"/>
    <w:qFormat/>
    <w:uiPriority w:val="0"/>
  </w:style>
  <w:style w:type="character" w:customStyle="1" w:styleId="112">
    <w:name w:val="nth-of-type(2)12"/>
    <w:basedOn w:val="25"/>
    <w:qFormat/>
    <w:uiPriority w:val="0"/>
  </w:style>
  <w:style w:type="character" w:customStyle="1" w:styleId="113">
    <w:name w:val="nth-of-type(2)13"/>
    <w:basedOn w:val="25"/>
    <w:qFormat/>
    <w:uiPriority w:val="0"/>
  </w:style>
  <w:style w:type="character" w:customStyle="1" w:styleId="114">
    <w:name w:val="nth-of-type(2)14"/>
    <w:basedOn w:val="25"/>
    <w:qFormat/>
    <w:uiPriority w:val="0"/>
  </w:style>
  <w:style w:type="character" w:customStyle="1" w:styleId="115">
    <w:name w:val="nth-of-type(3)"/>
    <w:basedOn w:val="25"/>
    <w:qFormat/>
    <w:uiPriority w:val="0"/>
    <w:rPr>
      <w:sz w:val="14"/>
      <w:szCs w:val="14"/>
    </w:rPr>
  </w:style>
  <w:style w:type="character" w:customStyle="1" w:styleId="116">
    <w:name w:val="nth-of-type(3)1"/>
    <w:basedOn w:val="25"/>
    <w:qFormat/>
    <w:uiPriority w:val="0"/>
  </w:style>
  <w:style w:type="character" w:customStyle="1" w:styleId="117">
    <w:name w:val="nth-of-type(3)2"/>
    <w:basedOn w:val="25"/>
    <w:qFormat/>
    <w:uiPriority w:val="0"/>
  </w:style>
  <w:style w:type="character" w:customStyle="1" w:styleId="118">
    <w:name w:val="nth-of-type(3)3"/>
    <w:basedOn w:val="25"/>
    <w:qFormat/>
    <w:uiPriority w:val="0"/>
  </w:style>
  <w:style w:type="character" w:customStyle="1" w:styleId="119">
    <w:name w:val="nth-of-type(3)4"/>
    <w:basedOn w:val="25"/>
    <w:qFormat/>
    <w:uiPriority w:val="0"/>
  </w:style>
  <w:style w:type="character" w:customStyle="1" w:styleId="120">
    <w:name w:val="nth-of-type(3)5"/>
    <w:basedOn w:val="25"/>
    <w:qFormat/>
    <w:uiPriority w:val="0"/>
  </w:style>
  <w:style w:type="character" w:customStyle="1" w:styleId="121">
    <w:name w:val="nth-of-type(3)6"/>
    <w:basedOn w:val="25"/>
    <w:qFormat/>
    <w:uiPriority w:val="0"/>
  </w:style>
  <w:style w:type="character" w:customStyle="1" w:styleId="122">
    <w:name w:val="nth-of-type(3)7"/>
    <w:basedOn w:val="25"/>
    <w:qFormat/>
    <w:uiPriority w:val="0"/>
  </w:style>
  <w:style w:type="character" w:customStyle="1" w:styleId="123">
    <w:name w:val="nth-of-type(7)"/>
    <w:basedOn w:val="25"/>
    <w:qFormat/>
    <w:uiPriority w:val="0"/>
  </w:style>
  <w:style w:type="character" w:customStyle="1" w:styleId="124">
    <w:name w:val="nth-of-type(7)1"/>
    <w:basedOn w:val="25"/>
    <w:qFormat/>
    <w:uiPriority w:val="0"/>
  </w:style>
  <w:style w:type="character" w:customStyle="1" w:styleId="125">
    <w:name w:val="nth-of-type(7)2"/>
    <w:basedOn w:val="25"/>
    <w:qFormat/>
    <w:uiPriority w:val="0"/>
  </w:style>
  <w:style w:type="character" w:customStyle="1" w:styleId="126">
    <w:name w:val="nth-of-type(9)"/>
    <w:basedOn w:val="25"/>
    <w:qFormat/>
    <w:uiPriority w:val="0"/>
  </w:style>
  <w:style w:type="character" w:customStyle="1" w:styleId="127">
    <w:name w:val="nth-of-type(6)"/>
    <w:basedOn w:val="25"/>
    <w:qFormat/>
    <w:uiPriority w:val="0"/>
  </w:style>
  <w:style w:type="character" w:customStyle="1" w:styleId="128">
    <w:name w:val="nth-of-type(6)1"/>
    <w:basedOn w:val="25"/>
    <w:qFormat/>
    <w:uiPriority w:val="0"/>
  </w:style>
  <w:style w:type="character" w:customStyle="1" w:styleId="129">
    <w:name w:val="nth-of-type(6)2"/>
    <w:basedOn w:val="25"/>
    <w:qFormat/>
    <w:uiPriority w:val="0"/>
  </w:style>
  <w:style w:type="character" w:customStyle="1" w:styleId="130">
    <w:name w:val="nth-of-type(6)3"/>
    <w:basedOn w:val="25"/>
    <w:qFormat/>
    <w:uiPriority w:val="0"/>
  </w:style>
  <w:style w:type="character" w:customStyle="1" w:styleId="131">
    <w:name w:val="nth-of-type(6)4"/>
    <w:basedOn w:val="25"/>
    <w:qFormat/>
    <w:uiPriority w:val="0"/>
  </w:style>
  <w:style w:type="character" w:customStyle="1" w:styleId="132">
    <w:name w:val="nth-of-type(6)5"/>
    <w:basedOn w:val="25"/>
    <w:qFormat/>
    <w:uiPriority w:val="0"/>
    <w:rPr>
      <w:color w:val="0082DF"/>
    </w:rPr>
  </w:style>
  <w:style w:type="character" w:customStyle="1" w:styleId="133">
    <w:name w:val="hover22"/>
    <w:basedOn w:val="25"/>
    <w:qFormat/>
    <w:uiPriority w:val="0"/>
    <w:rPr>
      <w:color w:val="167AE0"/>
    </w:rPr>
  </w:style>
  <w:style w:type="character" w:customStyle="1" w:styleId="134">
    <w:name w:val="hover23"/>
    <w:basedOn w:val="25"/>
    <w:qFormat/>
    <w:uiPriority w:val="0"/>
  </w:style>
  <w:style w:type="character" w:customStyle="1" w:styleId="135">
    <w:name w:val="nth-of-type(8)"/>
    <w:basedOn w:val="25"/>
    <w:qFormat/>
    <w:uiPriority w:val="0"/>
  </w:style>
  <w:style w:type="character" w:customStyle="1" w:styleId="136">
    <w:name w:val="layui-laypage-curr"/>
    <w:basedOn w:val="25"/>
    <w:qFormat/>
    <w:uiPriority w:val="0"/>
  </w:style>
  <w:style w:type="character" w:customStyle="1" w:styleId="137">
    <w:name w:val="nth-child(2)"/>
    <w:basedOn w:val="25"/>
    <w:qFormat/>
    <w:uiPriority w:val="0"/>
  </w:style>
  <w:style w:type="character" w:customStyle="1" w:styleId="138">
    <w:name w:val="first-child"/>
    <w:basedOn w:val="25"/>
    <w:qFormat/>
    <w:uiPriority w:val="0"/>
  </w:style>
  <w:style w:type="character" w:customStyle="1" w:styleId="139">
    <w:name w:val="first-child1"/>
    <w:basedOn w:val="25"/>
    <w:qFormat/>
    <w:uiPriority w:val="0"/>
  </w:style>
  <w:style w:type="character" w:customStyle="1" w:styleId="140">
    <w:name w:val="first-child2"/>
    <w:basedOn w:val="25"/>
    <w:qFormat/>
    <w:uiPriority w:val="0"/>
  </w:style>
  <w:style w:type="character" w:customStyle="1" w:styleId="141">
    <w:name w:val="first-child3"/>
    <w:basedOn w:val="25"/>
    <w:qFormat/>
    <w:uiPriority w:val="0"/>
  </w:style>
  <w:style w:type="character" w:customStyle="1" w:styleId="142">
    <w:name w:val="lineshow"/>
    <w:basedOn w:val="25"/>
    <w:qFormat/>
    <w:uiPriority w:val="0"/>
  </w:style>
  <w:style w:type="character" w:customStyle="1" w:styleId="143">
    <w:name w:val="lineshow1"/>
    <w:basedOn w:val="25"/>
    <w:qFormat/>
    <w:uiPriority w:val="0"/>
  </w:style>
  <w:style w:type="character" w:customStyle="1" w:styleId="144">
    <w:name w:val="nth-child(1)"/>
    <w:basedOn w:val="25"/>
    <w:qFormat/>
    <w:uiPriority w:val="0"/>
  </w:style>
  <w:style w:type="character" w:customStyle="1" w:styleId="145">
    <w:name w:val="titleshow"/>
    <w:basedOn w:val="25"/>
    <w:qFormat/>
    <w:uiPriority w:val="0"/>
    <w:rPr>
      <w:color w:val="3E464C"/>
    </w:rPr>
  </w:style>
  <w:style w:type="character" w:customStyle="1" w:styleId="146">
    <w:name w:val="nth-child(3)"/>
    <w:basedOn w:val="25"/>
    <w:qFormat/>
    <w:uiPriority w:val="0"/>
  </w:style>
  <w:style w:type="character" w:customStyle="1" w:styleId="147">
    <w:name w:val="before2"/>
    <w:basedOn w:val="25"/>
    <w:qFormat/>
    <w:uiPriority w:val="0"/>
    <w:rPr>
      <w:shd w:val="clear" w:fill="C20E0C"/>
    </w:rPr>
  </w:style>
  <w:style w:type="character" w:customStyle="1" w:styleId="148">
    <w:name w:val="layui-this4"/>
    <w:basedOn w:val="25"/>
    <w:qFormat/>
    <w:uiPriority w:val="0"/>
    <w:rPr>
      <w:bdr w:val="single" w:color="EEEEEE"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25169</Words>
  <Characters>27350</Characters>
  <Lines>0</Lines>
  <Paragraphs>0</Paragraphs>
  <TotalTime>2</TotalTime>
  <ScaleCrop>false</ScaleCrop>
  <LinksUpToDate>false</LinksUpToDate>
  <CharactersWithSpaces>30058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2020-12-06T01:10:00Z</dcterms:created>
  <dc:creator>孙辰宇</dc:creator>
  <cp:lastModifiedBy>WPS_1640662227</cp:lastModifiedBy>
  <cp:lastPrinted>2021-08-30T01:56:00Z</cp:lastPrinted>
  <dcterms:modified xsi:type="dcterms:W3CDTF">2022-07-21T02:24:33Z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18F68DF81D9E481A976A5778BAA65E9D</vt:lpwstr>
  </property>
</Properties>
</file>