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723" w:firstLineChars="200"/>
        <w:jc w:val="right"/>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r>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t>政府采购项目</w:t>
      </w:r>
    </w:p>
    <w:p>
      <w:pPr>
        <w:spacing w:line="480" w:lineRule="exact"/>
        <w:ind w:firstLine="723" w:firstLineChars="200"/>
        <w:rPr>
          <w:rFonts w:hint="eastAsia" w:ascii="仿宋" w:hAnsi="仿宋" w:eastAsia="仿宋" w:cs="仿宋"/>
          <w:b/>
          <w:color w:val="000000" w:themeColor="text1"/>
          <w:sz w:val="36"/>
          <w:szCs w:val="36"/>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spacing w:line="480" w:lineRule="exact"/>
        <w:rPr>
          <w:rFonts w:hint="eastAsia" w:ascii="仿宋" w:hAnsi="仿宋" w:eastAsia="仿宋" w:cs="仿宋"/>
          <w:b/>
          <w:color w:val="000000" w:themeColor="text1"/>
          <w:sz w:val="36"/>
          <w:szCs w:val="36"/>
          <w:highlight w:val="none"/>
          <w:lang w:eastAsia="zh-CN"/>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文件编号:</w:t>
      </w:r>
      <w:r>
        <w:rPr>
          <w:rFonts w:hint="eastAsia" w:ascii="仿宋" w:hAnsi="仿宋" w:eastAsia="仿宋" w:cs="仿宋"/>
          <w:b/>
          <w:color w:val="000000" w:themeColor="text1"/>
          <w:sz w:val="36"/>
          <w:szCs w:val="36"/>
          <w:highlight w:val="none"/>
          <w:lang w:eastAsia="zh-CN"/>
          <w14:textFill>
            <w14:solidFill>
              <w14:schemeClr w14:val="tx1"/>
            </w14:solidFill>
          </w14:textFill>
        </w:rPr>
        <w:t>HZGH-2022-062</w:t>
      </w:r>
    </w:p>
    <w:p>
      <w:pPr>
        <w:pStyle w:val="2"/>
        <w:rPr>
          <w:rFonts w:hint="eastAsia"/>
          <w:highlight w:val="none"/>
        </w:rPr>
      </w:pPr>
    </w:p>
    <w:p>
      <w:pPr>
        <w:jc w:val="both"/>
        <w:rPr>
          <w:rFonts w:hint="eastAsia" w:ascii="仿宋" w:hAnsi="仿宋" w:eastAsia="仿宋" w:cs="仿宋"/>
          <w:b/>
          <w:color w:val="000000" w:themeColor="text1"/>
          <w:sz w:val="48"/>
          <w:szCs w:val="48"/>
          <w:highlight w:val="none"/>
          <w:u w:val="wavyHeavy" w:color="FF0000"/>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bCs/>
          <w:color w:val="000000" w:themeColor="text1"/>
          <w:spacing w:val="20"/>
          <w:kern w:val="0"/>
          <w:sz w:val="52"/>
          <w:szCs w:val="52"/>
          <w:highlight w:val="none"/>
          <w:lang w:val="en-US" w:eastAsia="zh-CN" w:bidi="ar-SA"/>
          <w14:textFill>
            <w14:solidFill>
              <w14:schemeClr w14:val="tx1"/>
            </w14:solidFill>
          </w14:textFill>
        </w:rPr>
      </w:pPr>
      <w:r>
        <w:rPr>
          <w:rFonts w:hint="eastAsia" w:ascii="仿宋" w:hAnsi="仿宋" w:eastAsia="仿宋" w:cs="仿宋"/>
          <w:b/>
          <w:bCs/>
          <w:color w:val="000000" w:themeColor="text1"/>
          <w:spacing w:val="20"/>
          <w:kern w:val="0"/>
          <w:sz w:val="52"/>
          <w:szCs w:val="52"/>
          <w:highlight w:val="none"/>
          <w:lang w:val="en-US" w:eastAsia="zh-CN" w:bidi="ar-SA"/>
          <w14:textFill>
            <w14:solidFill>
              <w14:schemeClr w14:val="tx1"/>
            </w14:solidFill>
          </w14:textFill>
        </w:rPr>
        <w:t>陕西福彩公益之声系列宣传服务</w:t>
      </w:r>
    </w:p>
    <w:p>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bCs/>
          <w:color w:val="000000" w:themeColor="text1"/>
          <w:spacing w:val="20"/>
          <w:kern w:val="0"/>
          <w:sz w:val="52"/>
          <w:szCs w:val="52"/>
          <w:highlight w:val="none"/>
          <w:lang w:val="en-US" w:eastAsia="zh-CN" w:bidi="ar-SA"/>
          <w14:textFill>
            <w14:solidFill>
              <w14:schemeClr w14:val="tx1"/>
            </w14:solidFill>
          </w14:textFill>
        </w:rPr>
      </w:pPr>
      <w:r>
        <w:rPr>
          <w:rFonts w:hint="eastAsia" w:ascii="仿宋" w:hAnsi="仿宋" w:eastAsia="仿宋" w:cs="仿宋"/>
          <w:b/>
          <w:bCs/>
          <w:color w:val="000000" w:themeColor="text1"/>
          <w:spacing w:val="20"/>
          <w:kern w:val="0"/>
          <w:sz w:val="52"/>
          <w:szCs w:val="52"/>
          <w:highlight w:val="none"/>
          <w:lang w:val="en-US" w:eastAsia="zh-CN" w:bidi="ar-SA"/>
          <w14:textFill>
            <w14:solidFill>
              <w14:schemeClr w14:val="tx1"/>
            </w14:solidFill>
          </w14:textFill>
        </w:rPr>
        <w:t>采购项目</w:t>
      </w:r>
    </w:p>
    <w:p>
      <w:pPr>
        <w:rPr>
          <w:rFonts w:hint="eastAsia"/>
          <w:highlight w:val="none"/>
          <w:lang w:val="en-US" w:eastAsia="zh-CN"/>
        </w:rPr>
      </w:pPr>
    </w:p>
    <w:p>
      <w:pPr>
        <w:rPr>
          <w:rFonts w:hint="eastAsia"/>
          <w:highlight w:val="none"/>
        </w:rPr>
      </w:pPr>
    </w:p>
    <w:p>
      <w:pPr>
        <w:jc w:val="center"/>
        <w:rPr>
          <w:rFonts w:hint="eastAsia" w:ascii="仿宋" w:hAnsi="仿宋" w:eastAsia="仿宋" w:cs="仿宋"/>
          <w:b/>
          <w:bCs/>
          <w:color w:val="000000" w:themeColor="text1"/>
          <w:spacing w:val="20"/>
          <w:kern w:val="0"/>
          <w:sz w:val="72"/>
          <w:szCs w:val="72"/>
          <w:highlight w:val="none"/>
          <w14:textFill>
            <w14:solidFill>
              <w14:schemeClr w14:val="tx1"/>
            </w14:solidFill>
          </w14:textFill>
        </w:rPr>
      </w:pPr>
      <w:r>
        <w:rPr>
          <w:rFonts w:hint="eastAsia" w:ascii="仿宋" w:hAnsi="仿宋" w:eastAsia="仿宋" w:cs="仿宋"/>
          <w:b/>
          <w:bCs/>
          <w:color w:val="000000" w:themeColor="text1"/>
          <w:spacing w:val="20"/>
          <w:kern w:val="0"/>
          <w:sz w:val="72"/>
          <w:szCs w:val="72"/>
          <w:highlight w:val="none"/>
          <w14:textFill>
            <w14:solidFill>
              <w14:schemeClr w14:val="tx1"/>
            </w14:solidFill>
          </w14:textFill>
        </w:rPr>
        <w:t>竞争性磋商文件</w:t>
      </w:r>
    </w:p>
    <w:p>
      <w:pPr>
        <w:pStyle w:val="2"/>
        <w:jc w:val="center"/>
        <w:rPr>
          <w:rFonts w:hint="eastAsia" w:ascii="仿宋" w:hAnsi="仿宋" w:eastAsia="仿宋" w:cs="仿宋"/>
          <w:b/>
          <w:bCs/>
          <w:color w:val="000000" w:themeColor="text1"/>
          <w:spacing w:val="20"/>
          <w:kern w:val="0"/>
          <w:sz w:val="40"/>
          <w:szCs w:val="40"/>
          <w:highlight w:val="none"/>
          <w:lang w:eastAsia="zh-CN"/>
          <w14:textFill>
            <w14:solidFill>
              <w14:schemeClr w14:val="tx1"/>
            </w14:solidFill>
          </w14:textFill>
        </w:rPr>
      </w:pPr>
      <w:r>
        <w:rPr>
          <w:rFonts w:hint="eastAsia" w:ascii="仿宋" w:hAnsi="仿宋" w:eastAsia="仿宋" w:cs="仿宋"/>
          <w:b/>
          <w:bCs/>
          <w:color w:val="000000" w:themeColor="text1"/>
          <w:spacing w:val="20"/>
          <w:kern w:val="0"/>
          <w:sz w:val="40"/>
          <w:szCs w:val="40"/>
          <w:highlight w:val="none"/>
          <w:lang w:val="en-US" w:eastAsia="zh-CN"/>
          <w14:textFill>
            <w14:solidFill>
              <w14:schemeClr w14:val="tx1"/>
            </w14:solidFill>
          </w14:textFill>
        </w:rPr>
        <w:t>专门面向中小企业项目</w:t>
      </w:r>
    </w:p>
    <w:p>
      <w:pPr>
        <w:rPr>
          <w:rFonts w:hint="eastAsia"/>
          <w:highlight w:val="none"/>
        </w:rPr>
      </w:pPr>
    </w:p>
    <w:p>
      <w:pPr>
        <w:ind w:firstLine="643" w:firstLineChars="200"/>
        <w:jc w:val="center"/>
        <w:outlineLvl w:val="0"/>
        <w:rPr>
          <w:rFonts w:hint="eastAsia" w:ascii="仿宋" w:hAnsi="仿宋" w:eastAsia="仿宋" w:cs="仿宋"/>
          <w:b/>
          <w:bCs/>
          <w:color w:val="000000" w:themeColor="text1"/>
          <w:kern w:val="0"/>
          <w:sz w:val="84"/>
          <w:szCs w:val="84"/>
          <w:highlight w:val="none"/>
          <w14:textFill>
            <w14:solidFill>
              <w14:schemeClr w14:val="tx1"/>
            </w14:solidFill>
          </w14:textFill>
        </w:rPr>
      </w:pPr>
      <w:r>
        <w:rPr>
          <w:rFonts w:hint="eastAsia" w:ascii="仿宋" w:hAnsi="仿宋" w:eastAsia="仿宋" w:cs="仿宋"/>
          <w:b/>
          <w:color w:val="000000" w:themeColor="text1"/>
          <w:sz w:val="32"/>
          <w:szCs w:val="32"/>
          <w:highlight w:val="none"/>
          <w:shd w:val="clear" w:color="auto" w:fill="FFFFFF"/>
          <w14:textFill>
            <w14:solidFill>
              <w14:schemeClr w14:val="tx1"/>
            </w14:solidFill>
          </w14:textFill>
        </w:rPr>
        <w:drawing>
          <wp:anchor distT="0" distB="0" distL="114300" distR="114300" simplePos="0" relativeHeight="251661312" behindDoc="1" locked="0" layoutInCell="1" allowOverlap="1">
            <wp:simplePos x="0" y="0"/>
            <wp:positionH relativeFrom="column">
              <wp:posOffset>2015490</wp:posOffset>
            </wp:positionH>
            <wp:positionV relativeFrom="paragraph">
              <wp:posOffset>45720</wp:posOffset>
            </wp:positionV>
            <wp:extent cx="1466215" cy="1390650"/>
            <wp:effectExtent l="0" t="0" r="635" b="0"/>
            <wp:wrapTight wrapText="bothSides">
              <wp:wrapPolygon>
                <wp:start x="0" y="0"/>
                <wp:lineTo x="0" y="21304"/>
                <wp:lineTo x="21329" y="21304"/>
                <wp:lineTo x="21329" y="0"/>
                <wp:lineTo x="0" y="0"/>
              </wp:wrapPolygon>
            </wp:wrapTight>
            <wp:docPr id="2" name="图片 1" descr="d53eb5700307075d23daf00df32f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53eb5700307075d23daf00df32f9f8"/>
                    <pic:cNvPicPr>
                      <a:picLocks noChangeAspect="1"/>
                    </pic:cNvPicPr>
                  </pic:nvPicPr>
                  <pic:blipFill>
                    <a:blip r:embed="rId24"/>
                    <a:stretch>
                      <a:fillRect/>
                    </a:stretch>
                  </pic:blipFill>
                  <pic:spPr>
                    <a:xfrm>
                      <a:off x="0" y="0"/>
                      <a:ext cx="1466215" cy="1390650"/>
                    </a:xfrm>
                    <a:prstGeom prst="rect">
                      <a:avLst/>
                    </a:prstGeom>
                    <a:noFill/>
                    <a:ln>
                      <a:noFill/>
                    </a:ln>
                  </pic:spPr>
                </pic:pic>
              </a:graphicData>
            </a:graphic>
          </wp:anchor>
        </w:drawing>
      </w: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pStyle w:val="35"/>
        <w:rPr>
          <w:rFonts w:hint="eastAsia" w:ascii="仿宋" w:hAnsi="仿宋" w:eastAsia="仿宋" w:cs="仿宋"/>
          <w:b/>
          <w:color w:val="000000" w:themeColor="text1"/>
          <w:sz w:val="32"/>
          <w:szCs w:val="32"/>
          <w:highlight w:val="none"/>
          <w14:textFill>
            <w14:solidFill>
              <w14:schemeClr w14:val="tx1"/>
            </w14:solidFill>
          </w14:textFill>
        </w:rPr>
      </w:pPr>
    </w:p>
    <w:p>
      <w:pPr>
        <w:pStyle w:val="35"/>
        <w:rPr>
          <w:rFonts w:hint="eastAsia" w:ascii="仿宋" w:hAnsi="仿宋" w:eastAsia="仿宋" w:cs="仿宋"/>
          <w:b/>
          <w:color w:val="000000" w:themeColor="text1"/>
          <w:sz w:val="32"/>
          <w:szCs w:val="32"/>
          <w:highlight w:val="none"/>
          <w14:textFill>
            <w14:solidFill>
              <w14:schemeClr w14:val="tx1"/>
            </w14:solidFill>
          </w14:textFill>
        </w:rPr>
      </w:pPr>
    </w:p>
    <w:p>
      <w:pPr>
        <w:spacing w:line="560" w:lineRule="exact"/>
        <w:ind w:firstLine="1606" w:firstLineChars="500"/>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采购</w:t>
      </w:r>
      <w:r>
        <w:rPr>
          <w:rFonts w:hint="eastAsia" w:ascii="仿宋" w:hAnsi="仿宋" w:eastAsia="仿宋" w:cs="仿宋"/>
          <w:b/>
          <w:color w:val="000000" w:themeColor="text1"/>
          <w:sz w:val="32"/>
          <w:szCs w:val="32"/>
          <w:highlight w:val="none"/>
          <w14:textFill>
            <w14:solidFill>
              <w14:schemeClr w14:val="tx1"/>
            </w14:solidFill>
          </w14:textFill>
        </w:rPr>
        <w:t>人：</w:t>
      </w:r>
      <w:r>
        <w:rPr>
          <w:rFonts w:hint="eastAsia" w:ascii="仿宋" w:hAnsi="仿宋" w:eastAsia="仿宋" w:cs="仿宋"/>
          <w:b/>
          <w:color w:val="000000" w:themeColor="text1"/>
          <w:sz w:val="32"/>
          <w:szCs w:val="32"/>
          <w:highlight w:val="none"/>
          <w:lang w:eastAsia="zh-CN"/>
          <w14:textFill>
            <w14:solidFill>
              <w14:schemeClr w14:val="tx1"/>
            </w14:solidFill>
          </w14:textFill>
        </w:rPr>
        <w:t>陕西省福利彩票发行中心</w:t>
      </w:r>
    </w:p>
    <w:p>
      <w:pPr>
        <w:spacing w:line="560" w:lineRule="exact"/>
        <w:ind w:firstLine="1606" w:firstLineChars="500"/>
        <w:jc w:val="both"/>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采购代理机构：华招广和项目管理有限公司</w:t>
      </w:r>
    </w:p>
    <w:p>
      <w:pPr>
        <w:spacing w:line="560" w:lineRule="exact"/>
        <w:jc w:val="center"/>
        <w:rPr>
          <w:rFonts w:hint="eastAsia" w:ascii="仿宋" w:hAnsi="仿宋" w:eastAsia="仿宋" w:cs="仿宋"/>
          <w:b/>
          <w:bCs/>
          <w:color w:val="000000" w:themeColor="text1"/>
          <w:sz w:val="32"/>
          <w:szCs w:val="32"/>
          <w:highlight w:val="none"/>
          <w14:textFill>
            <w14:solidFill>
              <w14:schemeClr w14:val="tx1"/>
            </w14:solidFill>
          </w14:textFill>
        </w:rPr>
      </w:pPr>
    </w:p>
    <w:p>
      <w:pPr>
        <w:spacing w:line="560" w:lineRule="exact"/>
        <w:jc w:val="center"/>
        <w:rPr>
          <w:rFonts w:hint="eastAsia" w:ascii="仿宋" w:hAnsi="仿宋" w:eastAsia="仿宋" w:cs="仿宋"/>
          <w:b/>
          <w:color w:val="000000" w:themeColor="text1"/>
          <w:sz w:val="48"/>
          <w:szCs w:val="48"/>
          <w:highlight w:val="none"/>
          <w:lang w:val="en-US" w:eastAsia="zh-CN"/>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6" w:h="16838"/>
          <w:pgMar w:top="851" w:right="1286" w:bottom="794" w:left="693" w:header="851" w:footer="992" w:gutter="567"/>
          <w:pgBorders>
            <w:top w:val="none" w:sz="0" w:space="0"/>
            <w:left w:val="none" w:sz="0" w:space="0"/>
            <w:bottom w:val="none" w:sz="0" w:space="0"/>
            <w:right w:val="none" w:sz="0" w:space="0"/>
          </w:pgBorders>
          <w:pgNumType w:start="1"/>
          <w:cols w:space="720" w:num="1"/>
          <w:titlePg/>
          <w:docGrid w:type="lines" w:linePitch="312" w:charSpace="0"/>
        </w:sectPr>
      </w:pPr>
      <w:r>
        <w:rPr>
          <w:rFonts w:hint="eastAsia" w:ascii="仿宋" w:hAnsi="仿宋" w:eastAsia="仿宋" w:cs="仿宋"/>
          <w:b/>
          <w:bCs/>
          <w:color w:val="000000" w:themeColor="text1"/>
          <w:sz w:val="32"/>
          <w:szCs w:val="32"/>
          <w:highlight w:val="none"/>
          <w14:textFill>
            <w14:solidFill>
              <w14:schemeClr w14:val="tx1"/>
            </w14:solidFill>
          </w14:textFill>
        </w:rPr>
        <w:t>二零二</w:t>
      </w:r>
      <w:r>
        <w:rPr>
          <w:rFonts w:hint="eastAsia" w:ascii="仿宋" w:hAnsi="仿宋" w:eastAsia="仿宋" w:cs="仿宋"/>
          <w:b/>
          <w:bCs/>
          <w:color w:val="000000" w:themeColor="text1"/>
          <w:sz w:val="32"/>
          <w:szCs w:val="32"/>
          <w:highlight w:val="none"/>
          <w:lang w:eastAsia="zh-CN"/>
          <w14:textFill>
            <w14:solidFill>
              <w14:schemeClr w14:val="tx1"/>
            </w14:solidFill>
          </w14:textFill>
        </w:rPr>
        <w:t>二</w:t>
      </w:r>
      <w:r>
        <w:rPr>
          <w:rFonts w:hint="eastAsia" w:ascii="仿宋" w:hAnsi="仿宋" w:eastAsia="仿宋" w:cs="仿宋"/>
          <w:b/>
          <w:bCs/>
          <w:color w:val="000000" w:themeColor="text1"/>
          <w:sz w:val="32"/>
          <w:szCs w:val="32"/>
          <w:highlight w:val="none"/>
          <w14:textFill>
            <w14:solidFill>
              <w14:schemeClr w14:val="tx1"/>
            </w14:solidFill>
          </w14:textFill>
        </w:rPr>
        <w:t>年</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七月</w:t>
      </w:r>
    </w:p>
    <w:p>
      <w:pPr>
        <w:spacing w:line="560" w:lineRule="exact"/>
        <w:jc w:val="center"/>
        <w:rPr>
          <w:rFonts w:hint="eastAsia" w:ascii="仿宋" w:hAnsi="仿宋" w:eastAsia="仿宋" w:cs="仿宋"/>
          <w:b/>
          <w:color w:val="000000"/>
          <w:sz w:val="52"/>
          <w:szCs w:val="52"/>
          <w:highlight w:val="none"/>
          <w:u w:val="double"/>
        </w:rPr>
      </w:pPr>
      <w:r>
        <w:rPr>
          <w:rFonts w:hint="eastAsia" w:ascii="仿宋" w:hAnsi="仿宋" w:eastAsia="仿宋" w:cs="仿宋"/>
          <w:b/>
          <w:color w:val="000000"/>
          <w:sz w:val="48"/>
          <w:szCs w:val="48"/>
          <w:highlight w:val="none"/>
          <w:u w:val="double"/>
        </w:rPr>
        <w:t>特 别 提 示</w:t>
      </w:r>
    </w:p>
    <w:p>
      <w:pPr>
        <w:spacing w:line="640" w:lineRule="exact"/>
        <w:rPr>
          <w:rFonts w:hint="eastAsia" w:ascii="仿宋" w:hAnsi="仿宋" w:eastAsia="仿宋" w:cs="仿宋"/>
          <w:b/>
          <w:bCs/>
          <w:color w:val="000000"/>
          <w:sz w:val="24"/>
          <w:highlight w:val="none"/>
        </w:rPr>
      </w:pPr>
    </w:p>
    <w:p>
      <w:pPr>
        <w:spacing w:line="640" w:lineRule="exact"/>
        <w:ind w:firstLine="482" w:firstLineChars="200"/>
        <w:rPr>
          <w:rFonts w:hint="eastAsia" w:ascii="仿宋" w:hAnsi="仿宋" w:eastAsia="仿宋" w:cs="仿宋"/>
          <w:color w:val="000000"/>
          <w:sz w:val="24"/>
          <w:highlight w:val="none"/>
        </w:rPr>
      </w:pPr>
      <w:r>
        <w:rPr>
          <w:rFonts w:hint="eastAsia" w:ascii="仿宋" w:hAnsi="仿宋" w:eastAsia="仿宋" w:cs="仿宋"/>
          <w:b/>
          <w:bCs/>
          <w:color w:val="000000"/>
          <w:sz w:val="24"/>
          <w:highlight w:val="none"/>
        </w:rPr>
        <w:t>各供应商</w:t>
      </w:r>
      <w:r>
        <w:rPr>
          <w:rFonts w:hint="eastAsia" w:ascii="仿宋" w:hAnsi="仿宋" w:eastAsia="仿宋" w:cs="仿宋"/>
          <w:color w:val="000000"/>
          <w:sz w:val="24"/>
          <w:highlight w:val="none"/>
        </w:rPr>
        <w:t>：在此我们特别善意地提醒您注意！</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1、请您仔细地阅读竞争性磋商文件并正确理解竞争性磋商文件中各项具体要求。</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2、请您严格按照竞争性磋商文件载明的竞争性磋商响应文件格式要求编制竞争性磋商响应文件。</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3、请您按照竞争性磋商文件要求密封竞争性磋商响应文件。</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4、请您明确标记竞争性磋商响应文件的正本、副本。</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5、请于购买竞争性磋商文件后按照规定及时递交磋商保证金。</w:t>
      </w:r>
    </w:p>
    <w:p>
      <w:pPr>
        <w:spacing w:line="640" w:lineRule="exact"/>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6、如在竞争性磋商响应文件递交截止时间前放弃本次投标，请以书面形式发出弃标函。</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7、</w:t>
      </w:r>
      <w:r>
        <w:rPr>
          <w:rFonts w:hint="eastAsia" w:ascii="仿宋" w:hAnsi="仿宋" w:eastAsia="仿宋" w:cs="仿宋"/>
          <w:color w:val="auto"/>
          <w:sz w:val="24"/>
          <w:highlight w:val="none"/>
        </w:rPr>
        <w:t>请您于</w:t>
      </w:r>
      <w:r>
        <w:rPr>
          <w:rFonts w:hint="eastAsia" w:ascii="仿宋" w:hAnsi="仿宋" w:eastAsia="仿宋" w:cs="仿宋"/>
          <w:b/>
          <w:bCs/>
          <w:color w:val="auto"/>
          <w:sz w:val="24"/>
          <w:highlight w:val="none"/>
          <w:lang w:eastAsia="zh-CN"/>
        </w:rPr>
        <w:t>202</w:t>
      </w: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lang w:eastAsia="zh-CN"/>
        </w:rPr>
        <w:t>年</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lang w:eastAsia="zh-CN"/>
        </w:rPr>
        <w:t>月</w:t>
      </w: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lang w:eastAsia="zh-CN"/>
        </w:rPr>
        <w:t>日</w:t>
      </w:r>
      <w:r>
        <w:rPr>
          <w:rFonts w:hint="eastAsia" w:ascii="仿宋" w:hAnsi="仿宋" w:eastAsia="仿宋" w:cs="仿宋"/>
          <w:b/>
          <w:bCs/>
          <w:color w:val="auto"/>
          <w:sz w:val="24"/>
          <w:highlight w:val="none"/>
          <w:lang w:val="en-US" w:eastAsia="zh-CN"/>
        </w:rPr>
        <w:t>10</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0</w:t>
      </w:r>
      <w:r>
        <w:rPr>
          <w:rFonts w:hint="eastAsia" w:ascii="仿宋" w:hAnsi="仿宋" w:eastAsia="仿宋" w:cs="仿宋"/>
          <w:b/>
          <w:bCs/>
          <w:color w:val="auto"/>
          <w:sz w:val="24"/>
          <w:highlight w:val="none"/>
        </w:rPr>
        <w:t>0:00</w:t>
      </w:r>
      <w:r>
        <w:rPr>
          <w:rFonts w:hint="eastAsia" w:ascii="仿宋" w:hAnsi="仿宋" w:eastAsia="仿宋" w:cs="仿宋"/>
          <w:color w:val="auto"/>
          <w:sz w:val="24"/>
          <w:highlight w:val="none"/>
        </w:rPr>
        <w:t>，</w:t>
      </w:r>
      <w:r>
        <w:rPr>
          <w:rFonts w:hint="eastAsia" w:ascii="仿宋" w:hAnsi="仿宋" w:eastAsia="仿宋" w:cs="仿宋"/>
          <w:color w:val="000000"/>
          <w:sz w:val="24"/>
          <w:highlight w:val="none"/>
        </w:rPr>
        <w:t>准时到华招广和项目管理有限公司会议室（西安市朱雀大街南段1号汇成天玺C座18层</w:t>
      </w:r>
      <w:r>
        <w:rPr>
          <w:rFonts w:hint="eastAsia" w:ascii="仿宋" w:hAnsi="仿宋" w:eastAsia="仿宋" w:cs="仿宋"/>
          <w:color w:val="000000"/>
          <w:sz w:val="24"/>
          <w:highlight w:val="none"/>
          <w:lang w:eastAsia="zh-CN"/>
        </w:rPr>
        <w:t>1818</w:t>
      </w:r>
      <w:r>
        <w:rPr>
          <w:rFonts w:hint="eastAsia" w:ascii="仿宋" w:hAnsi="仿宋" w:eastAsia="仿宋" w:cs="仿宋"/>
          <w:color w:val="000000"/>
          <w:sz w:val="24"/>
          <w:highlight w:val="none"/>
        </w:rPr>
        <w:t>室）递交竞争性磋商响应文件并参加竞争性磋商会议，避免迟误。</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8、请您到达竞争性磋商会议地点后及时到签到处签字登记。</w:t>
      </w:r>
    </w:p>
    <w:p>
      <w:pPr>
        <w:spacing w:line="640" w:lineRule="exact"/>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9、请您按照《陕西省财政厅关于政府采购供应商注册登记有关事项的通知》中的要求，通过陕西省政府采购网（http://www.ccgp-shaanxi.gov.cn/）注册登记加入陕西省政府采购供应商库，并接受财政部门的监督管理。</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只需拟派1人参与本项目招标会议，须注册西安市“一码通”且为绿码，现场测量体温不得超过37℃，参与招标会议的人员均需佩戴口罩。</w:t>
      </w:r>
    </w:p>
    <w:p>
      <w:pPr>
        <w:spacing w:line="640" w:lineRule="exact"/>
        <w:ind w:firstLine="480" w:firstLineChars="200"/>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谨记上述提示，将有助您顺利地参加投标。若有什么需要帮助，请您与我们的工作人员联系，我们将竭诚为您服务。</w:t>
      </w:r>
    </w:p>
    <w:p>
      <w:pPr>
        <w:spacing w:line="640" w:lineRule="exact"/>
        <w:rPr>
          <w:rFonts w:hint="eastAsia" w:ascii="仿宋" w:hAnsi="仿宋" w:eastAsia="仿宋" w:cs="仿宋"/>
          <w:b/>
          <w:color w:val="000000" w:themeColor="text1"/>
          <w:sz w:val="52"/>
          <w:szCs w:val="52"/>
          <w:highlight w:val="none"/>
          <w14:textFill>
            <w14:solidFill>
              <w14:schemeClr w14:val="tx1"/>
            </w14:solidFill>
          </w14:textFill>
        </w:rPr>
        <w:sectPr>
          <w:footerReference r:id="rId9" w:type="first"/>
          <w:footerReference r:id="rId8" w:type="default"/>
          <w:pgSz w:w="11906" w:h="16838"/>
          <w:pgMar w:top="851" w:right="1286" w:bottom="794" w:left="693" w:header="851" w:footer="992" w:gutter="567"/>
          <w:pgBorders>
            <w:top w:val="none" w:sz="0" w:space="0"/>
            <w:left w:val="none" w:sz="0" w:space="0"/>
            <w:bottom w:val="none" w:sz="0" w:space="0"/>
            <w:right w:val="none" w:sz="0" w:space="0"/>
          </w:pgBorders>
          <w:pgNumType w:start="1"/>
          <w:cols w:space="720" w:num="1"/>
          <w:titlePg/>
          <w:docGrid w:type="lines" w:linePitch="312" w:charSpace="0"/>
        </w:sectPr>
      </w:pPr>
    </w:p>
    <w:p>
      <w:pPr>
        <w:spacing w:line="480" w:lineRule="exact"/>
        <w:jc w:val="center"/>
        <w:rPr>
          <w:rFonts w:hint="eastAsia" w:ascii="仿宋" w:hAnsi="仿宋" w:eastAsia="仿宋" w:cs="仿宋"/>
          <w:color w:val="000000" w:themeColor="text1"/>
          <w:sz w:val="48"/>
          <w:szCs w:val="48"/>
          <w:highlight w:val="none"/>
          <w:lang w:val="zh-CN"/>
          <w14:textFill>
            <w14:solidFill>
              <w14:schemeClr w14:val="tx1"/>
            </w14:solidFill>
          </w14:textFill>
        </w:rPr>
      </w:pPr>
      <w:r>
        <w:rPr>
          <w:rFonts w:hint="eastAsia" w:ascii="仿宋" w:hAnsi="仿宋" w:eastAsia="仿宋" w:cs="仿宋"/>
          <w:color w:val="000000" w:themeColor="text1"/>
          <w:sz w:val="48"/>
          <w:szCs w:val="48"/>
          <w:highlight w:val="none"/>
          <w:lang w:val="zh-CN"/>
          <w14:textFill>
            <w14:solidFill>
              <w14:schemeClr w14:val="tx1"/>
            </w14:solidFill>
          </w14:textFill>
        </w:rPr>
        <w:t>目  录</w:t>
      </w:r>
    </w:p>
    <w:p>
      <w:pPr>
        <w:rPr>
          <w:rFonts w:hint="eastAsia" w:ascii="仿宋" w:hAnsi="仿宋" w:eastAsia="仿宋" w:cs="仿宋"/>
          <w:color w:val="000000" w:themeColor="text1"/>
          <w:highlight w:val="none"/>
          <w:lang w:val="zh-CN"/>
          <w14:textFill>
            <w14:solidFill>
              <w14:schemeClr w14:val="tx1"/>
            </w14:solidFill>
          </w14:textFill>
        </w:rPr>
      </w:pPr>
    </w:p>
    <w:p>
      <w:pPr>
        <w:pStyle w:val="17"/>
        <w:tabs>
          <w:tab w:val="right" w:leader="dot" w:pos="9070"/>
        </w:tabs>
        <w:spacing w:line="480" w:lineRule="auto"/>
        <w:rPr>
          <w:sz w:val="22"/>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TOC \o "1-3" \h \z \u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_Toc20848 </w:instrText>
      </w:r>
      <w:r>
        <w:rPr>
          <w:rFonts w:hint="eastAsia" w:ascii="仿宋" w:hAnsi="仿宋" w:eastAsia="仿宋" w:cs="仿宋"/>
          <w:sz w:val="22"/>
          <w:szCs w:val="28"/>
          <w:highlight w:val="none"/>
        </w:rPr>
        <w:fldChar w:fldCharType="separate"/>
      </w:r>
      <w:r>
        <w:rPr>
          <w:rFonts w:hint="eastAsia" w:ascii="仿宋" w:hAnsi="仿宋" w:eastAsia="仿宋" w:cs="仿宋"/>
          <w:bCs/>
          <w:sz w:val="22"/>
          <w:szCs w:val="52"/>
          <w:highlight w:val="none"/>
        </w:rPr>
        <w:t>第一章 竞争性磋商邀请书</w:t>
      </w:r>
      <w:r>
        <w:rPr>
          <w:sz w:val="22"/>
          <w:szCs w:val="28"/>
          <w:highlight w:val="none"/>
        </w:rPr>
        <w:tab/>
      </w:r>
      <w:r>
        <w:rPr>
          <w:sz w:val="22"/>
          <w:szCs w:val="28"/>
          <w:highlight w:val="none"/>
        </w:rPr>
        <w:fldChar w:fldCharType="begin"/>
      </w:r>
      <w:r>
        <w:rPr>
          <w:sz w:val="22"/>
          <w:szCs w:val="28"/>
          <w:highlight w:val="none"/>
        </w:rPr>
        <w:instrText xml:space="preserve"> PAGEREF _Toc20848 \h </w:instrText>
      </w:r>
      <w:r>
        <w:rPr>
          <w:sz w:val="22"/>
          <w:szCs w:val="28"/>
          <w:highlight w:val="none"/>
        </w:rPr>
        <w:fldChar w:fldCharType="separate"/>
      </w:r>
      <w:r>
        <w:rPr>
          <w:sz w:val="22"/>
          <w:szCs w:val="28"/>
          <w:highlight w:val="none"/>
        </w:rPr>
        <w:t>2</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7"/>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_Toc19749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28"/>
          <w:highlight w:val="none"/>
        </w:rPr>
        <w:t>第二章 供应商须知</w:t>
      </w:r>
      <w:r>
        <w:rPr>
          <w:sz w:val="22"/>
          <w:szCs w:val="28"/>
          <w:highlight w:val="none"/>
        </w:rPr>
        <w:tab/>
      </w:r>
      <w:r>
        <w:rPr>
          <w:sz w:val="22"/>
          <w:szCs w:val="28"/>
          <w:highlight w:val="none"/>
        </w:rPr>
        <w:fldChar w:fldCharType="begin"/>
      </w:r>
      <w:r>
        <w:rPr>
          <w:sz w:val="22"/>
          <w:szCs w:val="28"/>
          <w:highlight w:val="none"/>
        </w:rPr>
        <w:instrText xml:space="preserve"> PAGEREF _Toc19749 \h </w:instrText>
      </w:r>
      <w:r>
        <w:rPr>
          <w:sz w:val="22"/>
          <w:szCs w:val="28"/>
          <w:highlight w:val="none"/>
        </w:rPr>
        <w:fldChar w:fldCharType="separate"/>
      </w:r>
      <w:r>
        <w:rPr>
          <w:sz w:val="22"/>
          <w:szCs w:val="28"/>
          <w:highlight w:val="none"/>
        </w:rPr>
        <w:t>7</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_Toc1739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一、供应商须知前附表</w:t>
      </w:r>
      <w:r>
        <w:rPr>
          <w:sz w:val="22"/>
          <w:szCs w:val="28"/>
          <w:highlight w:val="none"/>
        </w:rPr>
        <w:tab/>
      </w:r>
      <w:r>
        <w:rPr>
          <w:sz w:val="22"/>
          <w:szCs w:val="28"/>
          <w:highlight w:val="none"/>
        </w:rPr>
        <w:fldChar w:fldCharType="begin"/>
      </w:r>
      <w:r>
        <w:rPr>
          <w:sz w:val="22"/>
          <w:szCs w:val="28"/>
          <w:highlight w:val="none"/>
        </w:rPr>
        <w:instrText xml:space="preserve"> PAGEREF _Toc1739 \h </w:instrText>
      </w:r>
      <w:r>
        <w:rPr>
          <w:sz w:val="22"/>
          <w:szCs w:val="28"/>
          <w:highlight w:val="none"/>
        </w:rPr>
        <w:fldChar w:fldCharType="separate"/>
      </w:r>
      <w:r>
        <w:rPr>
          <w:sz w:val="22"/>
          <w:szCs w:val="28"/>
          <w:highlight w:val="none"/>
        </w:rPr>
        <w:t>7</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_Toc12152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rPr>
        <w:t>二、项目说明</w:t>
      </w:r>
      <w:r>
        <w:rPr>
          <w:sz w:val="22"/>
          <w:szCs w:val="28"/>
          <w:highlight w:val="none"/>
        </w:rPr>
        <w:tab/>
      </w:r>
      <w:r>
        <w:rPr>
          <w:sz w:val="22"/>
          <w:szCs w:val="28"/>
          <w:highlight w:val="none"/>
        </w:rPr>
        <w:fldChar w:fldCharType="begin"/>
      </w:r>
      <w:r>
        <w:rPr>
          <w:sz w:val="22"/>
          <w:szCs w:val="28"/>
          <w:highlight w:val="none"/>
        </w:rPr>
        <w:instrText xml:space="preserve"> PAGEREF _Toc12152 \h </w:instrText>
      </w:r>
      <w:r>
        <w:rPr>
          <w:sz w:val="22"/>
          <w:szCs w:val="28"/>
          <w:highlight w:val="none"/>
        </w:rPr>
        <w:fldChar w:fldCharType="separate"/>
      </w:r>
      <w:r>
        <w:rPr>
          <w:sz w:val="22"/>
          <w:szCs w:val="28"/>
          <w:highlight w:val="none"/>
        </w:rPr>
        <w:t>13</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_Toc24776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rPr>
        <w:t>三、竞争性磋商文件</w:t>
      </w:r>
      <w:r>
        <w:rPr>
          <w:sz w:val="22"/>
          <w:szCs w:val="28"/>
          <w:highlight w:val="none"/>
        </w:rPr>
        <w:tab/>
      </w:r>
      <w:r>
        <w:rPr>
          <w:sz w:val="22"/>
          <w:szCs w:val="28"/>
          <w:highlight w:val="none"/>
        </w:rPr>
        <w:fldChar w:fldCharType="begin"/>
      </w:r>
      <w:r>
        <w:rPr>
          <w:sz w:val="22"/>
          <w:szCs w:val="28"/>
          <w:highlight w:val="none"/>
        </w:rPr>
        <w:instrText xml:space="preserve"> PAGEREF _Toc24776 \h </w:instrText>
      </w:r>
      <w:r>
        <w:rPr>
          <w:sz w:val="22"/>
          <w:szCs w:val="28"/>
          <w:highlight w:val="none"/>
        </w:rPr>
        <w:fldChar w:fldCharType="separate"/>
      </w:r>
      <w:r>
        <w:rPr>
          <w:sz w:val="22"/>
          <w:szCs w:val="28"/>
          <w:highlight w:val="none"/>
        </w:rPr>
        <w:t>13</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_Toc1600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rPr>
        <w:t>四、竞争性磋商响应文件</w:t>
      </w:r>
      <w:r>
        <w:rPr>
          <w:sz w:val="22"/>
          <w:szCs w:val="28"/>
          <w:highlight w:val="none"/>
        </w:rPr>
        <w:tab/>
      </w:r>
      <w:r>
        <w:rPr>
          <w:sz w:val="22"/>
          <w:szCs w:val="28"/>
          <w:highlight w:val="none"/>
        </w:rPr>
        <w:fldChar w:fldCharType="begin"/>
      </w:r>
      <w:r>
        <w:rPr>
          <w:sz w:val="22"/>
          <w:szCs w:val="28"/>
          <w:highlight w:val="none"/>
        </w:rPr>
        <w:instrText xml:space="preserve"> PAGEREF _Toc1600 \h </w:instrText>
      </w:r>
      <w:r>
        <w:rPr>
          <w:sz w:val="22"/>
          <w:szCs w:val="28"/>
          <w:highlight w:val="none"/>
        </w:rPr>
        <w:fldChar w:fldCharType="separate"/>
      </w:r>
      <w:r>
        <w:rPr>
          <w:sz w:val="22"/>
          <w:szCs w:val="28"/>
          <w:highlight w:val="none"/>
        </w:rPr>
        <w:t>14</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rFonts w:hint="eastAsia" w:ascii="仿宋" w:hAnsi="仿宋" w:eastAsia="仿宋" w:cs="仿宋"/>
          <w:color w:val="000000" w:themeColor="text1"/>
          <w:sz w:val="22"/>
          <w:szCs w:val="28"/>
          <w:highlight w:val="none"/>
          <w14:textFill>
            <w14:solidFill>
              <w14:schemeClr w14:val="tx1"/>
            </w14:solidFill>
          </w14:textFill>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color w:val="000000" w:themeColor="text1"/>
          <w:sz w:val="22"/>
          <w:szCs w:val="28"/>
          <w:highlight w:val="none"/>
          <w14:textFill>
            <w14:solidFill>
              <w14:schemeClr w14:val="tx1"/>
            </w14:solidFill>
          </w14:textFill>
        </w:rPr>
        <w:instrText xml:space="preserve"> HYPERLINK \l _Toc27461 </w:instrText>
      </w:r>
      <w:r>
        <w:rPr>
          <w:rFonts w:hint="eastAsia" w:ascii="仿宋" w:hAnsi="仿宋" w:eastAsia="仿宋" w:cs="仿宋"/>
          <w:color w:val="000000" w:themeColor="text1"/>
          <w:sz w:val="22"/>
          <w:szCs w:val="28"/>
          <w:highlight w:val="none"/>
          <w14:textFill>
            <w14:solidFill>
              <w14:schemeClr w14:val="tx1"/>
            </w14:solidFill>
          </w14:textFill>
        </w:rPr>
        <w:fldChar w:fldCharType="separate"/>
      </w:r>
      <w:r>
        <w:rPr>
          <w:rFonts w:hint="eastAsia" w:ascii="仿宋" w:hAnsi="仿宋" w:eastAsia="仿宋" w:cs="仿宋"/>
          <w:color w:val="000000" w:themeColor="text1"/>
          <w:sz w:val="22"/>
          <w:szCs w:val="28"/>
          <w:highlight w:val="none"/>
          <w14:textFill>
            <w14:solidFill>
              <w14:schemeClr w14:val="tx1"/>
            </w14:solidFill>
          </w14:textFill>
        </w:rPr>
        <w:t>五、磋商担保</w:t>
      </w:r>
      <w:r>
        <w:rPr>
          <w:sz w:val="22"/>
          <w:szCs w:val="28"/>
          <w:highlight w:val="none"/>
        </w:rPr>
        <w:tab/>
      </w:r>
      <w:r>
        <w:rPr>
          <w:sz w:val="22"/>
          <w:szCs w:val="28"/>
          <w:highlight w:val="none"/>
        </w:rPr>
        <w:fldChar w:fldCharType="begin"/>
      </w:r>
      <w:r>
        <w:rPr>
          <w:sz w:val="22"/>
          <w:szCs w:val="28"/>
          <w:highlight w:val="none"/>
        </w:rPr>
        <w:instrText xml:space="preserve"> PAGEREF _Toc5793 \h </w:instrText>
      </w:r>
      <w:r>
        <w:rPr>
          <w:sz w:val="22"/>
          <w:szCs w:val="28"/>
          <w:highlight w:val="none"/>
        </w:rPr>
        <w:fldChar w:fldCharType="separate"/>
      </w:r>
      <w:r>
        <w:rPr>
          <w:sz w:val="22"/>
          <w:szCs w:val="28"/>
          <w:highlight w:val="none"/>
        </w:rPr>
        <w:t>19</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_Toc5793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lang w:val="en-US" w:eastAsia="zh-CN"/>
        </w:rPr>
        <w:t>六</w:t>
      </w:r>
      <w:r>
        <w:rPr>
          <w:rFonts w:hint="eastAsia" w:ascii="仿宋" w:hAnsi="仿宋" w:eastAsia="仿宋" w:cs="仿宋"/>
          <w:kern w:val="0"/>
          <w:sz w:val="22"/>
          <w:szCs w:val="32"/>
          <w:highlight w:val="none"/>
        </w:rPr>
        <w:t>、磋商响应</w:t>
      </w:r>
      <w:r>
        <w:rPr>
          <w:sz w:val="22"/>
          <w:szCs w:val="28"/>
          <w:highlight w:val="none"/>
        </w:rPr>
        <w:tab/>
      </w:r>
      <w:r>
        <w:rPr>
          <w:sz w:val="22"/>
          <w:szCs w:val="28"/>
          <w:highlight w:val="none"/>
        </w:rPr>
        <w:fldChar w:fldCharType="begin"/>
      </w:r>
      <w:r>
        <w:rPr>
          <w:sz w:val="22"/>
          <w:szCs w:val="28"/>
          <w:highlight w:val="none"/>
        </w:rPr>
        <w:instrText xml:space="preserve"> PAGEREF _Toc5793 \h </w:instrText>
      </w:r>
      <w:r>
        <w:rPr>
          <w:sz w:val="22"/>
          <w:szCs w:val="28"/>
          <w:highlight w:val="none"/>
        </w:rPr>
        <w:fldChar w:fldCharType="separate"/>
      </w:r>
      <w:r>
        <w:rPr>
          <w:sz w:val="22"/>
          <w:szCs w:val="28"/>
          <w:highlight w:val="none"/>
        </w:rPr>
        <w:t>19</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_Toc23636 </w:instrText>
      </w:r>
      <w:r>
        <w:rPr>
          <w:rFonts w:hint="eastAsia" w:ascii="仿宋" w:hAnsi="仿宋" w:eastAsia="仿宋" w:cs="仿宋"/>
          <w:sz w:val="22"/>
          <w:szCs w:val="28"/>
          <w:highlight w:val="none"/>
        </w:rPr>
        <w:fldChar w:fldCharType="separate"/>
      </w:r>
      <w:r>
        <w:rPr>
          <w:rFonts w:hint="eastAsia" w:ascii="仿宋" w:hAnsi="仿宋" w:eastAsia="仿宋" w:cs="仿宋"/>
          <w:bCs/>
          <w:sz w:val="22"/>
          <w:szCs w:val="32"/>
          <w:highlight w:val="none"/>
          <w:lang w:val="en-US" w:eastAsia="zh-CN"/>
        </w:rPr>
        <w:t>七</w:t>
      </w:r>
      <w:r>
        <w:rPr>
          <w:rFonts w:hint="eastAsia" w:ascii="仿宋" w:hAnsi="仿宋" w:eastAsia="仿宋" w:cs="仿宋"/>
          <w:bCs/>
          <w:sz w:val="22"/>
          <w:szCs w:val="32"/>
          <w:highlight w:val="none"/>
        </w:rPr>
        <w:t>、磋商、评审及定标</w:t>
      </w:r>
      <w:r>
        <w:rPr>
          <w:sz w:val="22"/>
          <w:szCs w:val="28"/>
          <w:highlight w:val="none"/>
        </w:rPr>
        <w:tab/>
      </w:r>
      <w:r>
        <w:rPr>
          <w:sz w:val="22"/>
          <w:szCs w:val="28"/>
          <w:highlight w:val="none"/>
        </w:rPr>
        <w:fldChar w:fldCharType="begin"/>
      </w:r>
      <w:r>
        <w:rPr>
          <w:sz w:val="22"/>
          <w:szCs w:val="28"/>
          <w:highlight w:val="none"/>
        </w:rPr>
        <w:instrText xml:space="preserve"> PAGEREF _Toc23636 \h </w:instrText>
      </w:r>
      <w:r>
        <w:rPr>
          <w:sz w:val="22"/>
          <w:szCs w:val="28"/>
          <w:highlight w:val="none"/>
        </w:rPr>
        <w:fldChar w:fldCharType="separate"/>
      </w:r>
      <w:r>
        <w:rPr>
          <w:sz w:val="22"/>
          <w:szCs w:val="28"/>
          <w:highlight w:val="none"/>
        </w:rPr>
        <w:t>22</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_Toc28361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lang w:val="en-US" w:eastAsia="zh-CN"/>
        </w:rPr>
        <w:t>八</w:t>
      </w:r>
      <w:r>
        <w:rPr>
          <w:rFonts w:hint="eastAsia" w:ascii="仿宋" w:hAnsi="仿宋" w:eastAsia="仿宋" w:cs="仿宋"/>
          <w:sz w:val="22"/>
          <w:szCs w:val="32"/>
          <w:highlight w:val="none"/>
        </w:rPr>
        <w:t>、合同</w:t>
      </w:r>
      <w:r>
        <w:rPr>
          <w:sz w:val="22"/>
          <w:szCs w:val="28"/>
          <w:highlight w:val="none"/>
        </w:rPr>
        <w:tab/>
      </w:r>
      <w:r>
        <w:rPr>
          <w:sz w:val="22"/>
          <w:szCs w:val="28"/>
          <w:highlight w:val="none"/>
        </w:rPr>
        <w:fldChar w:fldCharType="begin"/>
      </w:r>
      <w:r>
        <w:rPr>
          <w:sz w:val="22"/>
          <w:szCs w:val="28"/>
          <w:highlight w:val="none"/>
        </w:rPr>
        <w:instrText xml:space="preserve"> PAGEREF _Toc28361 \h </w:instrText>
      </w:r>
      <w:r>
        <w:rPr>
          <w:sz w:val="22"/>
          <w:szCs w:val="28"/>
          <w:highlight w:val="none"/>
        </w:rPr>
        <w:fldChar w:fldCharType="separate"/>
      </w:r>
      <w:r>
        <w:rPr>
          <w:sz w:val="22"/>
          <w:szCs w:val="28"/>
          <w:highlight w:val="none"/>
        </w:rPr>
        <w:t>34</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_Toc24945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lang w:val="en-US" w:eastAsia="zh-CN"/>
        </w:rPr>
        <w:t>九</w:t>
      </w:r>
      <w:r>
        <w:rPr>
          <w:rFonts w:hint="eastAsia" w:ascii="仿宋" w:hAnsi="仿宋" w:eastAsia="仿宋" w:cs="仿宋"/>
          <w:sz w:val="22"/>
          <w:szCs w:val="32"/>
          <w:highlight w:val="none"/>
        </w:rPr>
        <w:t>、合同的履约验收</w:t>
      </w:r>
      <w:r>
        <w:rPr>
          <w:sz w:val="22"/>
          <w:szCs w:val="28"/>
          <w:highlight w:val="none"/>
        </w:rPr>
        <w:tab/>
      </w:r>
      <w:r>
        <w:rPr>
          <w:sz w:val="22"/>
          <w:szCs w:val="28"/>
          <w:highlight w:val="none"/>
        </w:rPr>
        <w:fldChar w:fldCharType="begin"/>
      </w:r>
      <w:r>
        <w:rPr>
          <w:sz w:val="22"/>
          <w:szCs w:val="28"/>
          <w:highlight w:val="none"/>
        </w:rPr>
        <w:instrText xml:space="preserve"> PAGEREF _Toc24945 \h </w:instrText>
      </w:r>
      <w:r>
        <w:rPr>
          <w:sz w:val="22"/>
          <w:szCs w:val="28"/>
          <w:highlight w:val="none"/>
        </w:rPr>
        <w:fldChar w:fldCharType="separate"/>
      </w:r>
      <w:r>
        <w:rPr>
          <w:sz w:val="22"/>
          <w:szCs w:val="28"/>
          <w:highlight w:val="none"/>
        </w:rPr>
        <w:t>35</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_Toc19792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lang w:val="en-US" w:eastAsia="zh-CN"/>
        </w:rPr>
        <w:t>十</w:t>
      </w:r>
      <w:r>
        <w:rPr>
          <w:rFonts w:hint="eastAsia" w:ascii="仿宋" w:hAnsi="仿宋" w:eastAsia="仿宋" w:cs="仿宋"/>
          <w:sz w:val="22"/>
          <w:szCs w:val="32"/>
          <w:highlight w:val="none"/>
        </w:rPr>
        <w:t>、招标服务费</w:t>
      </w:r>
      <w:r>
        <w:rPr>
          <w:sz w:val="22"/>
          <w:szCs w:val="28"/>
          <w:highlight w:val="none"/>
        </w:rPr>
        <w:tab/>
      </w:r>
      <w:r>
        <w:rPr>
          <w:sz w:val="22"/>
          <w:szCs w:val="28"/>
          <w:highlight w:val="none"/>
        </w:rPr>
        <w:fldChar w:fldCharType="begin"/>
      </w:r>
      <w:r>
        <w:rPr>
          <w:sz w:val="22"/>
          <w:szCs w:val="28"/>
          <w:highlight w:val="none"/>
        </w:rPr>
        <w:instrText xml:space="preserve"> PAGEREF _Toc19792 \h </w:instrText>
      </w:r>
      <w:r>
        <w:rPr>
          <w:sz w:val="22"/>
          <w:szCs w:val="28"/>
          <w:highlight w:val="none"/>
        </w:rPr>
        <w:fldChar w:fldCharType="separate"/>
      </w:r>
      <w:r>
        <w:rPr>
          <w:sz w:val="22"/>
          <w:szCs w:val="28"/>
          <w:highlight w:val="none"/>
        </w:rPr>
        <w:t>35</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_Toc14425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十</w:t>
      </w:r>
      <w:r>
        <w:rPr>
          <w:rFonts w:hint="eastAsia" w:ascii="仿宋" w:hAnsi="仿宋" w:eastAsia="仿宋" w:cs="仿宋"/>
          <w:sz w:val="22"/>
          <w:szCs w:val="32"/>
          <w:highlight w:val="none"/>
          <w:lang w:val="en-US" w:eastAsia="zh-CN"/>
        </w:rPr>
        <w:t>一</w:t>
      </w:r>
      <w:r>
        <w:rPr>
          <w:rFonts w:hint="eastAsia" w:ascii="仿宋" w:hAnsi="仿宋" w:eastAsia="仿宋" w:cs="仿宋"/>
          <w:sz w:val="22"/>
          <w:szCs w:val="32"/>
          <w:highlight w:val="none"/>
        </w:rPr>
        <w:t>、重新组织采购活动</w:t>
      </w:r>
      <w:r>
        <w:rPr>
          <w:sz w:val="22"/>
          <w:szCs w:val="28"/>
          <w:highlight w:val="none"/>
        </w:rPr>
        <w:tab/>
      </w:r>
      <w:r>
        <w:rPr>
          <w:sz w:val="22"/>
          <w:szCs w:val="28"/>
          <w:highlight w:val="none"/>
        </w:rPr>
        <w:fldChar w:fldCharType="begin"/>
      </w:r>
      <w:r>
        <w:rPr>
          <w:sz w:val="22"/>
          <w:szCs w:val="28"/>
          <w:highlight w:val="none"/>
        </w:rPr>
        <w:instrText xml:space="preserve"> PAGEREF _Toc14425 \h </w:instrText>
      </w:r>
      <w:r>
        <w:rPr>
          <w:sz w:val="22"/>
          <w:szCs w:val="28"/>
          <w:highlight w:val="none"/>
        </w:rPr>
        <w:fldChar w:fldCharType="separate"/>
      </w:r>
      <w:r>
        <w:rPr>
          <w:sz w:val="22"/>
          <w:szCs w:val="28"/>
          <w:highlight w:val="none"/>
        </w:rPr>
        <w:t>35</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rFonts w:hint="eastAsia" w:ascii="仿宋" w:hAnsi="仿宋" w:eastAsia="仿宋" w:cs="仿宋"/>
          <w:color w:val="000000" w:themeColor="text1"/>
          <w:sz w:val="22"/>
          <w:szCs w:val="28"/>
          <w:highlight w:val="none"/>
          <w:lang w:val="en-US" w:eastAsia="zh-CN"/>
          <w14:textFill>
            <w14:solidFill>
              <w14:schemeClr w14:val="tx1"/>
            </w14:solidFill>
          </w14:textFill>
        </w:rPr>
      </w:pPr>
      <w:r>
        <w:rPr>
          <w:rFonts w:hint="eastAsia" w:ascii="仿宋" w:hAnsi="仿宋" w:eastAsia="仿宋" w:cs="仿宋"/>
          <w:color w:val="000000" w:themeColor="text1"/>
          <w:sz w:val="22"/>
          <w:szCs w:val="28"/>
          <w:highlight w:val="none"/>
          <w:lang w:val="en-US" w:eastAsia="zh-CN"/>
          <w14:textFill>
            <w14:solidFill>
              <w14:schemeClr w14:val="tx1"/>
            </w14:solidFill>
          </w14:textFill>
        </w:rPr>
        <w:t>十二、特殊情形的处理</w:t>
      </w:r>
      <w:r>
        <w:rPr>
          <w:sz w:val="22"/>
          <w:szCs w:val="28"/>
          <w:highlight w:val="none"/>
        </w:rPr>
        <w:tab/>
      </w:r>
      <w:r>
        <w:rPr>
          <w:sz w:val="22"/>
          <w:szCs w:val="28"/>
          <w:highlight w:val="none"/>
        </w:rPr>
        <w:fldChar w:fldCharType="begin"/>
      </w:r>
      <w:r>
        <w:rPr>
          <w:sz w:val="22"/>
          <w:szCs w:val="28"/>
          <w:highlight w:val="none"/>
        </w:rPr>
        <w:instrText xml:space="preserve"> PAGEREF _Toc14425 \h </w:instrText>
      </w:r>
      <w:r>
        <w:rPr>
          <w:sz w:val="22"/>
          <w:szCs w:val="28"/>
          <w:highlight w:val="none"/>
        </w:rPr>
        <w:fldChar w:fldCharType="separate"/>
      </w:r>
      <w:r>
        <w:rPr>
          <w:sz w:val="22"/>
          <w:szCs w:val="28"/>
          <w:highlight w:val="none"/>
        </w:rPr>
        <w:t>35</w:t>
      </w:r>
      <w:r>
        <w:rPr>
          <w:sz w:val="22"/>
          <w:szCs w:val="28"/>
          <w:highlight w:val="none"/>
        </w:rPr>
        <w:fldChar w:fldCharType="end"/>
      </w:r>
    </w:p>
    <w:p>
      <w:pPr>
        <w:pStyle w:val="18"/>
        <w:tabs>
          <w:tab w:val="right" w:leader="dot" w:pos="9070"/>
        </w:tabs>
        <w:spacing w:line="480" w:lineRule="auto"/>
        <w:rPr>
          <w:rFonts w:hint="eastAsia" w:ascii="仿宋" w:hAnsi="仿宋" w:eastAsia="仿宋" w:cs="仿宋"/>
          <w:color w:val="000000" w:themeColor="text1"/>
          <w:sz w:val="22"/>
          <w:szCs w:val="28"/>
          <w:highlight w:val="none"/>
          <w14:textFill>
            <w14:solidFill>
              <w14:schemeClr w14:val="tx1"/>
            </w14:solidFill>
          </w14:textFill>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_Toc15549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十</w:t>
      </w:r>
      <w:r>
        <w:rPr>
          <w:rFonts w:hint="eastAsia" w:ascii="仿宋" w:hAnsi="仿宋" w:eastAsia="仿宋" w:cs="仿宋"/>
          <w:sz w:val="22"/>
          <w:szCs w:val="32"/>
          <w:highlight w:val="none"/>
          <w:lang w:val="en-US" w:eastAsia="zh-CN"/>
        </w:rPr>
        <w:t>三</w:t>
      </w:r>
      <w:r>
        <w:rPr>
          <w:rFonts w:hint="eastAsia" w:ascii="仿宋" w:hAnsi="仿宋" w:eastAsia="仿宋" w:cs="仿宋"/>
          <w:sz w:val="22"/>
          <w:szCs w:val="32"/>
          <w:highlight w:val="none"/>
        </w:rPr>
        <w:t>、询问、质疑与投诉</w:t>
      </w:r>
      <w:r>
        <w:rPr>
          <w:sz w:val="22"/>
          <w:szCs w:val="28"/>
          <w:highlight w:val="none"/>
        </w:rPr>
        <w:tab/>
      </w:r>
      <w:r>
        <w:rPr>
          <w:sz w:val="22"/>
          <w:szCs w:val="28"/>
          <w:highlight w:val="none"/>
        </w:rPr>
        <w:fldChar w:fldCharType="begin"/>
      </w:r>
      <w:r>
        <w:rPr>
          <w:sz w:val="22"/>
          <w:szCs w:val="28"/>
          <w:highlight w:val="none"/>
        </w:rPr>
        <w:instrText xml:space="preserve"> PAGEREF _Toc15549 \h </w:instrText>
      </w:r>
      <w:r>
        <w:rPr>
          <w:sz w:val="22"/>
          <w:szCs w:val="28"/>
          <w:highlight w:val="none"/>
        </w:rPr>
        <w:fldChar w:fldCharType="separate"/>
      </w:r>
      <w:r>
        <w:rPr>
          <w:sz w:val="22"/>
          <w:szCs w:val="28"/>
          <w:highlight w:val="none"/>
        </w:rPr>
        <w:t>35</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_Toc19464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十</w:t>
      </w:r>
      <w:r>
        <w:rPr>
          <w:rFonts w:hint="eastAsia" w:ascii="仿宋" w:hAnsi="仿宋" w:eastAsia="仿宋" w:cs="仿宋"/>
          <w:sz w:val="22"/>
          <w:szCs w:val="32"/>
          <w:highlight w:val="none"/>
          <w:lang w:val="en-US" w:eastAsia="zh-CN"/>
        </w:rPr>
        <w:t>四</w:t>
      </w:r>
      <w:r>
        <w:rPr>
          <w:rFonts w:hint="eastAsia" w:ascii="仿宋" w:hAnsi="仿宋" w:eastAsia="仿宋" w:cs="仿宋"/>
          <w:sz w:val="22"/>
          <w:szCs w:val="32"/>
          <w:highlight w:val="none"/>
        </w:rPr>
        <w:t>、拒绝商业贿赂</w:t>
      </w:r>
      <w:r>
        <w:rPr>
          <w:sz w:val="22"/>
          <w:szCs w:val="28"/>
          <w:highlight w:val="none"/>
        </w:rPr>
        <w:tab/>
      </w:r>
      <w:r>
        <w:rPr>
          <w:sz w:val="22"/>
          <w:szCs w:val="28"/>
          <w:highlight w:val="none"/>
        </w:rPr>
        <w:fldChar w:fldCharType="begin"/>
      </w:r>
      <w:r>
        <w:rPr>
          <w:sz w:val="22"/>
          <w:szCs w:val="28"/>
          <w:highlight w:val="none"/>
        </w:rPr>
        <w:instrText xml:space="preserve"> PAGEREF _Toc19464 \h </w:instrText>
      </w:r>
      <w:r>
        <w:rPr>
          <w:sz w:val="22"/>
          <w:szCs w:val="28"/>
          <w:highlight w:val="none"/>
        </w:rPr>
        <w:fldChar w:fldCharType="separate"/>
      </w:r>
      <w:r>
        <w:rPr>
          <w:sz w:val="22"/>
          <w:szCs w:val="28"/>
          <w:highlight w:val="none"/>
        </w:rPr>
        <w:t>37</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7"/>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_Toc20324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28"/>
          <w:highlight w:val="none"/>
        </w:rPr>
        <w:t>第三章  服务内容及要求</w:t>
      </w:r>
      <w:r>
        <w:rPr>
          <w:sz w:val="22"/>
          <w:szCs w:val="28"/>
          <w:highlight w:val="none"/>
        </w:rPr>
        <w:tab/>
      </w:r>
      <w:r>
        <w:rPr>
          <w:sz w:val="22"/>
          <w:szCs w:val="28"/>
          <w:highlight w:val="none"/>
        </w:rPr>
        <w:fldChar w:fldCharType="begin"/>
      </w:r>
      <w:r>
        <w:rPr>
          <w:sz w:val="22"/>
          <w:szCs w:val="28"/>
          <w:highlight w:val="none"/>
        </w:rPr>
        <w:instrText xml:space="preserve"> PAGEREF _Toc20324 \h </w:instrText>
      </w:r>
      <w:r>
        <w:rPr>
          <w:sz w:val="22"/>
          <w:szCs w:val="28"/>
          <w:highlight w:val="none"/>
        </w:rPr>
        <w:fldChar w:fldCharType="separate"/>
      </w:r>
      <w:r>
        <w:rPr>
          <w:sz w:val="22"/>
          <w:szCs w:val="28"/>
          <w:highlight w:val="none"/>
        </w:rPr>
        <w:t>38</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7"/>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_Toc21581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28"/>
          <w:highlight w:val="none"/>
        </w:rPr>
        <w:t>第四章  商务要求</w:t>
      </w:r>
      <w:r>
        <w:rPr>
          <w:sz w:val="22"/>
          <w:szCs w:val="28"/>
          <w:highlight w:val="none"/>
        </w:rPr>
        <w:tab/>
      </w:r>
      <w:r>
        <w:rPr>
          <w:sz w:val="22"/>
          <w:szCs w:val="28"/>
          <w:highlight w:val="none"/>
        </w:rPr>
        <w:fldChar w:fldCharType="begin"/>
      </w:r>
      <w:r>
        <w:rPr>
          <w:sz w:val="22"/>
          <w:szCs w:val="28"/>
          <w:highlight w:val="none"/>
        </w:rPr>
        <w:instrText xml:space="preserve"> PAGEREF _Toc21581 \h </w:instrText>
      </w:r>
      <w:r>
        <w:rPr>
          <w:sz w:val="22"/>
          <w:szCs w:val="28"/>
          <w:highlight w:val="none"/>
        </w:rPr>
        <w:fldChar w:fldCharType="separate"/>
      </w:r>
      <w:r>
        <w:rPr>
          <w:sz w:val="22"/>
          <w:szCs w:val="28"/>
          <w:highlight w:val="none"/>
        </w:rPr>
        <w:t>42</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7"/>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_Toc2890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28"/>
          <w:highlight w:val="none"/>
        </w:rPr>
        <w:t>第五章  合同条款</w:t>
      </w:r>
      <w:r>
        <w:rPr>
          <w:sz w:val="22"/>
          <w:szCs w:val="28"/>
          <w:highlight w:val="none"/>
        </w:rPr>
        <w:tab/>
      </w:r>
      <w:r>
        <w:rPr>
          <w:sz w:val="22"/>
          <w:szCs w:val="28"/>
          <w:highlight w:val="none"/>
        </w:rPr>
        <w:fldChar w:fldCharType="begin"/>
      </w:r>
      <w:r>
        <w:rPr>
          <w:sz w:val="22"/>
          <w:szCs w:val="28"/>
          <w:highlight w:val="none"/>
        </w:rPr>
        <w:instrText xml:space="preserve"> PAGEREF _Toc2890 \h </w:instrText>
      </w:r>
      <w:r>
        <w:rPr>
          <w:sz w:val="22"/>
          <w:szCs w:val="28"/>
          <w:highlight w:val="none"/>
        </w:rPr>
        <w:fldChar w:fldCharType="separate"/>
      </w:r>
      <w:r>
        <w:rPr>
          <w:sz w:val="22"/>
          <w:szCs w:val="28"/>
          <w:highlight w:val="none"/>
        </w:rPr>
        <w:t>43</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7"/>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_Toc32022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28"/>
          <w:highlight w:val="none"/>
        </w:rPr>
        <w:t>第六章  竞争性磋商响应文件格式</w:t>
      </w:r>
      <w:r>
        <w:rPr>
          <w:sz w:val="22"/>
          <w:szCs w:val="28"/>
          <w:highlight w:val="none"/>
        </w:rPr>
        <w:tab/>
      </w:r>
      <w:r>
        <w:rPr>
          <w:sz w:val="22"/>
          <w:szCs w:val="28"/>
          <w:highlight w:val="none"/>
        </w:rPr>
        <w:fldChar w:fldCharType="begin"/>
      </w:r>
      <w:r>
        <w:rPr>
          <w:sz w:val="22"/>
          <w:szCs w:val="28"/>
          <w:highlight w:val="none"/>
        </w:rPr>
        <w:instrText xml:space="preserve"> PAGEREF _Toc32022 \h </w:instrText>
      </w:r>
      <w:r>
        <w:rPr>
          <w:sz w:val="22"/>
          <w:szCs w:val="28"/>
          <w:highlight w:val="none"/>
        </w:rPr>
        <w:fldChar w:fldCharType="separate"/>
      </w:r>
      <w:r>
        <w:rPr>
          <w:sz w:val="22"/>
          <w:szCs w:val="28"/>
          <w:highlight w:val="none"/>
        </w:rPr>
        <w:t>48</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000000" w:themeColor="text1"/>
          <w:sz w:val="24"/>
          <w:highlight w:val="none"/>
          <w14:textFill>
            <w14:solidFill>
              <w14:schemeClr w14:val="tx1"/>
            </w14:solidFill>
          </w14:textFill>
        </w:rPr>
        <w:sectPr>
          <w:footerReference r:id="rId10" w:type="default"/>
          <w:pgSz w:w="11906" w:h="16838"/>
          <w:pgMar w:top="1418" w:right="1418" w:bottom="1418" w:left="1418" w:header="720" w:footer="720" w:gutter="0"/>
          <w:pgBorders>
            <w:top w:val="none" w:sz="0" w:space="0"/>
            <w:left w:val="none" w:sz="0" w:space="0"/>
            <w:bottom w:val="none" w:sz="0" w:space="0"/>
            <w:right w:val="none" w:sz="0" w:space="0"/>
          </w:pgBorders>
          <w:pgNumType w:start="1"/>
          <w:cols w:space="720" w:num="1"/>
          <w:docGrid w:linePitch="312" w:charSpace="0"/>
        </w:sectPr>
      </w:pP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spacing w:line="480" w:lineRule="exact"/>
        <w:jc w:val="center"/>
        <w:outlineLvl w:val="0"/>
        <w:rPr>
          <w:rFonts w:hint="eastAsia" w:ascii="仿宋" w:hAnsi="仿宋" w:eastAsia="仿宋" w:cs="仿宋"/>
          <w:b/>
          <w:bCs/>
          <w:color w:val="000000" w:themeColor="text1"/>
          <w:sz w:val="48"/>
          <w:szCs w:val="48"/>
          <w:highlight w:val="none"/>
          <w14:textFill>
            <w14:solidFill>
              <w14:schemeClr w14:val="tx1"/>
            </w14:solidFill>
          </w14:textFill>
        </w:rPr>
      </w:pPr>
      <w:bookmarkStart w:id="0" w:name="_Toc20848"/>
      <w:r>
        <w:rPr>
          <w:rFonts w:hint="eastAsia" w:ascii="仿宋" w:hAnsi="仿宋" w:eastAsia="仿宋" w:cs="仿宋"/>
          <w:b/>
          <w:bCs/>
          <w:color w:val="000000" w:themeColor="text1"/>
          <w:sz w:val="48"/>
          <w:szCs w:val="48"/>
          <w:highlight w:val="none"/>
          <w14:textFill>
            <w14:solidFill>
              <w14:schemeClr w14:val="tx1"/>
            </w14:solidFill>
          </w14:textFill>
        </w:rPr>
        <w:t>第一章 竞争性磋商邀请书</w:t>
      </w:r>
      <w:bookmarkEnd w:id="0"/>
    </w:p>
    <w:p>
      <w:pPr>
        <w:widowControl/>
        <w:spacing w:line="460" w:lineRule="exact"/>
        <w:ind w:right="-197" w:rightChars="-94" w:firstLine="482"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项目概况</w:t>
      </w:r>
      <w:r>
        <w:rPr>
          <w:rFonts w:hint="eastAsia" w:ascii="仿宋" w:hAnsi="仿宋" w:eastAsia="仿宋" w:cs="仿宋"/>
          <w:color w:val="000000" w:themeColor="text1"/>
          <w:sz w:val="24"/>
          <w:highlight w:val="none"/>
          <w14:textFill>
            <w14:solidFill>
              <w14:schemeClr w14:val="tx1"/>
            </w14:solidFill>
          </w14:textFill>
        </w:rPr>
        <w:t xml:space="preserve"> </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陕西福彩公益之声系列宣传服务采购项目</w:t>
      </w:r>
      <w:r>
        <w:rPr>
          <w:rFonts w:hint="eastAsia" w:ascii="仿宋" w:hAnsi="仿宋" w:eastAsia="仿宋" w:cs="仿宋"/>
          <w:color w:val="000000" w:themeColor="text1"/>
          <w:sz w:val="24"/>
          <w:highlight w:val="none"/>
          <w14:textFill>
            <w14:solidFill>
              <w14:schemeClr w14:val="tx1"/>
            </w14:solidFill>
          </w14:textFill>
        </w:rPr>
        <w:t>的潜在供应商应在西安市朱雀大街南段1号汇成天玺C座18层1812室获取采购文件，并于 2022年</w:t>
      </w: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月2日 1</w:t>
      </w:r>
      <w:r>
        <w:rPr>
          <w:rFonts w:hint="eastAsia" w:ascii="仿宋" w:hAnsi="仿宋" w:eastAsia="仿宋" w:cs="仿宋"/>
          <w:color w:val="000000" w:themeColor="text1"/>
          <w:sz w:val="24"/>
          <w:highlight w:val="none"/>
          <w:lang w:val="en-US" w:eastAsia="zh-CN"/>
          <w14:textFill>
            <w14:solidFill>
              <w14:schemeClr w14:val="tx1"/>
            </w14:solidFill>
          </w14:textFill>
        </w:rPr>
        <w:t>0</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lang w:val="en-US" w:eastAsia="zh-CN"/>
          <w14:textFill>
            <w14:solidFill>
              <w14:schemeClr w14:val="tx1"/>
            </w14:solidFill>
          </w14:textFill>
        </w:rPr>
        <w:t>0</w:t>
      </w:r>
      <w:r>
        <w:rPr>
          <w:rFonts w:hint="eastAsia" w:ascii="仿宋" w:hAnsi="仿宋" w:eastAsia="仿宋" w:cs="仿宋"/>
          <w:color w:val="000000" w:themeColor="text1"/>
          <w:sz w:val="24"/>
          <w:highlight w:val="none"/>
          <w14:textFill>
            <w14:solidFill>
              <w14:schemeClr w14:val="tx1"/>
            </w14:solidFill>
          </w14:textFill>
        </w:rPr>
        <w:t xml:space="preserve">0分（北京时间）前提交响应文件。 </w:t>
      </w:r>
    </w:p>
    <w:p>
      <w:pPr>
        <w:widowControl/>
        <w:spacing w:line="460" w:lineRule="exact"/>
        <w:ind w:right="-197" w:rightChars="-94"/>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一、项目基本情况</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项目编号：</w:t>
      </w:r>
      <w:r>
        <w:rPr>
          <w:rFonts w:hint="eastAsia" w:ascii="仿宋" w:hAnsi="仿宋" w:eastAsia="仿宋" w:cs="仿宋"/>
          <w:color w:val="000000" w:themeColor="text1"/>
          <w:sz w:val="24"/>
          <w:highlight w:val="none"/>
          <w:lang w:eastAsia="zh-CN"/>
          <w14:textFill>
            <w14:solidFill>
              <w14:schemeClr w14:val="tx1"/>
            </w14:solidFill>
          </w14:textFill>
        </w:rPr>
        <w:t>HZGH-2022-062</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r>
        <w:rPr>
          <w:rFonts w:hint="eastAsia" w:ascii="仿宋" w:hAnsi="仿宋" w:eastAsia="仿宋" w:cs="仿宋"/>
          <w:color w:val="000000" w:themeColor="text1"/>
          <w:sz w:val="24"/>
          <w:highlight w:val="none"/>
          <w:lang w:eastAsia="zh-CN"/>
          <w14:textFill>
            <w14:solidFill>
              <w14:schemeClr w14:val="tx1"/>
            </w14:solidFill>
          </w14:textFill>
        </w:rPr>
        <w:t>陕西福彩公益之声系列宣传服务采购项目</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采购方式：竞争性磋商</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预算金额：</w:t>
      </w:r>
      <w:r>
        <w:rPr>
          <w:rFonts w:hint="eastAsia" w:ascii="仿宋" w:hAnsi="仿宋" w:eastAsia="仿宋" w:cs="仿宋"/>
          <w:color w:val="000000" w:themeColor="text1"/>
          <w:sz w:val="24"/>
          <w:highlight w:val="none"/>
          <w:lang w:eastAsia="zh-CN"/>
          <w14:textFill>
            <w14:solidFill>
              <w14:schemeClr w14:val="tx1"/>
            </w14:solidFill>
          </w14:textFill>
        </w:rPr>
        <w:t>600000.00</w:t>
      </w:r>
      <w:r>
        <w:rPr>
          <w:rFonts w:hint="eastAsia" w:ascii="仿宋" w:hAnsi="仿宋" w:eastAsia="仿宋" w:cs="仿宋"/>
          <w:color w:val="000000" w:themeColor="text1"/>
          <w:sz w:val="24"/>
          <w:highlight w:val="none"/>
          <w14:textFill>
            <w14:solidFill>
              <w14:schemeClr w14:val="tx1"/>
            </w14:solidFill>
          </w14:textFill>
        </w:rPr>
        <w:t>元</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采购需求：</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合同包1(</w:t>
      </w:r>
      <w:r>
        <w:rPr>
          <w:rFonts w:hint="eastAsia" w:ascii="仿宋" w:hAnsi="仿宋" w:eastAsia="仿宋" w:cs="仿宋"/>
          <w:color w:val="000000" w:themeColor="text1"/>
          <w:sz w:val="24"/>
          <w:highlight w:val="none"/>
          <w:lang w:eastAsia="zh-CN"/>
          <w14:textFill>
            <w14:solidFill>
              <w14:schemeClr w14:val="tx1"/>
            </w14:solidFill>
          </w14:textFill>
        </w:rPr>
        <w:t>陕西福彩公益之声系列宣传服务采购项目</w:t>
      </w:r>
      <w:r>
        <w:rPr>
          <w:rFonts w:hint="eastAsia" w:ascii="仿宋" w:hAnsi="仿宋" w:eastAsia="仿宋" w:cs="仿宋"/>
          <w:color w:val="000000" w:themeColor="text1"/>
          <w:sz w:val="24"/>
          <w:highlight w:val="none"/>
          <w14:textFill>
            <w14:solidFill>
              <w14:schemeClr w14:val="tx1"/>
            </w14:solidFill>
          </w14:textFill>
        </w:rPr>
        <w:t>):</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合同包预算金额：</w:t>
      </w:r>
      <w:r>
        <w:rPr>
          <w:rFonts w:hint="eastAsia" w:ascii="仿宋" w:hAnsi="仿宋" w:eastAsia="仿宋" w:cs="仿宋"/>
          <w:color w:val="000000" w:themeColor="text1"/>
          <w:sz w:val="24"/>
          <w:highlight w:val="none"/>
          <w:lang w:eastAsia="zh-CN"/>
          <w14:textFill>
            <w14:solidFill>
              <w14:schemeClr w14:val="tx1"/>
            </w14:solidFill>
          </w14:textFill>
        </w:rPr>
        <w:t>600000.00</w:t>
      </w:r>
      <w:r>
        <w:rPr>
          <w:rFonts w:hint="eastAsia" w:ascii="仿宋" w:hAnsi="仿宋" w:eastAsia="仿宋" w:cs="仿宋"/>
          <w:color w:val="000000" w:themeColor="text1"/>
          <w:sz w:val="24"/>
          <w:highlight w:val="none"/>
          <w14:textFill>
            <w14:solidFill>
              <w14:schemeClr w14:val="tx1"/>
            </w14:solidFill>
          </w14:textFill>
        </w:rPr>
        <w:t>元</w:t>
      </w:r>
    </w:p>
    <w:tbl>
      <w:tblPr>
        <w:tblStyle w:val="22"/>
        <w:tblW w:w="5182"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19"/>
        <w:gridCol w:w="1105"/>
        <w:gridCol w:w="1669"/>
        <w:gridCol w:w="934"/>
        <w:gridCol w:w="2349"/>
        <w:gridCol w:w="1256"/>
        <w:gridCol w:w="14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83" w:hRule="atLeast"/>
          <w:tblHeader/>
          <w:jc w:val="center"/>
        </w:trPr>
        <w:tc>
          <w:tcPr>
            <w:tcW w:w="473"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品目号</w:t>
            </w:r>
          </w:p>
        </w:tc>
        <w:tc>
          <w:tcPr>
            <w:tcW w:w="568"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品目名称</w:t>
            </w:r>
          </w:p>
        </w:tc>
        <w:tc>
          <w:tcPr>
            <w:tcW w:w="858"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采购标的</w:t>
            </w:r>
          </w:p>
        </w:tc>
        <w:tc>
          <w:tcPr>
            <w:tcW w:w="480"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数量</w:t>
            </w:r>
          </w:p>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（单位）</w:t>
            </w:r>
          </w:p>
        </w:tc>
        <w:tc>
          <w:tcPr>
            <w:tcW w:w="1208"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技术规格、参数及</w:t>
            </w:r>
          </w:p>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要求</w:t>
            </w:r>
          </w:p>
        </w:tc>
        <w:tc>
          <w:tcPr>
            <w:tcW w:w="646"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品目预算</w:t>
            </w:r>
          </w:p>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(元)</w:t>
            </w:r>
          </w:p>
        </w:tc>
        <w:tc>
          <w:tcPr>
            <w:tcW w:w="764"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01" w:hRule="atLeast"/>
          <w:jc w:val="center"/>
        </w:trPr>
        <w:tc>
          <w:tcPr>
            <w:tcW w:w="473"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1-1</w:t>
            </w:r>
          </w:p>
        </w:tc>
        <w:tc>
          <w:tcPr>
            <w:tcW w:w="568"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广告服务</w:t>
            </w:r>
          </w:p>
        </w:tc>
        <w:tc>
          <w:tcPr>
            <w:tcW w:w="858"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公益之声宣</w:t>
            </w:r>
          </w:p>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传活动</w:t>
            </w:r>
          </w:p>
        </w:tc>
        <w:tc>
          <w:tcPr>
            <w:tcW w:w="480"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1(项)</w:t>
            </w:r>
          </w:p>
        </w:tc>
        <w:tc>
          <w:tcPr>
            <w:tcW w:w="1208"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详见采购文件</w:t>
            </w:r>
          </w:p>
        </w:tc>
        <w:tc>
          <w:tcPr>
            <w:tcW w:w="646"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600000.00</w:t>
            </w:r>
          </w:p>
        </w:tc>
        <w:tc>
          <w:tcPr>
            <w:tcW w:w="764"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600000.00</w:t>
            </w:r>
          </w:p>
        </w:tc>
      </w:tr>
    </w:tbl>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本合同包不接受联合体投标 </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合同履行期限：无 </w:t>
      </w:r>
    </w:p>
    <w:p>
      <w:pPr>
        <w:widowControl/>
        <w:spacing w:line="460" w:lineRule="exact"/>
        <w:ind w:right="-197" w:rightChars="-94"/>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二、申请人的资格要求：</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1.满足《中华人民共和国政府釆购法》第二十二条规定;</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2.落实政府采购政策需满足的资格要求： </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合同包1(</w:t>
      </w:r>
      <w:r>
        <w:rPr>
          <w:rFonts w:hint="eastAsia" w:ascii="仿宋" w:hAnsi="仿宋" w:eastAsia="仿宋" w:cs="仿宋"/>
          <w:color w:val="000000" w:themeColor="text1"/>
          <w:sz w:val="24"/>
          <w:highlight w:val="none"/>
          <w:lang w:eastAsia="zh-CN"/>
          <w14:textFill>
            <w14:solidFill>
              <w14:schemeClr w14:val="tx1"/>
            </w14:solidFill>
          </w14:textFill>
        </w:rPr>
        <w:t>陕西福彩公益之声系列宣传服务采购项目</w:t>
      </w:r>
      <w:r>
        <w:rPr>
          <w:rFonts w:hint="eastAsia" w:ascii="仿宋" w:hAnsi="仿宋" w:eastAsia="仿宋" w:cs="仿宋"/>
          <w:color w:val="000000" w:themeColor="text1"/>
          <w:sz w:val="24"/>
          <w:highlight w:val="none"/>
          <w14:textFill>
            <w14:solidFill>
              <w14:schemeClr w14:val="tx1"/>
            </w14:solidFill>
          </w14:textFill>
        </w:rPr>
        <w:t>)落实政府采购政策需满足的资格要求如下: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（1）、《政府采购促进中小企业发展管理办法》的通知--财库[2020]46号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（2）、陕西省财政厅关于印发《陕西省中小企业政府采购信用融资办法》--(陕财办采[2018]23号)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（3）、《陕西省财政厅关于加快推进我省中小企业政府采购信用融资工作的通知》（陕财办采〔2020〕15号）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（4）、财政部司法部关于政府采购支持监狱企业发展有关问题的通知--财库〔2014〕68号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（5）、《国务院办公厅关于建立政府强制采购节能产品制度的通知》--国办发〔2007〕51号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（6）、《节能产品政府采购实施意见》（财库[2004]185号）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（7）、《环境标志产品政府采购实施的意见》（财库[2006]90号）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（8）、《财政部发展改革委生态环境部市场监督总局关于调整优化节能产品、环境标志产品政府采购执行机制的通知》--（财库[2019]9号）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（9）、《市场监督总局关于发布参与实施政府采购节能产品、环境标志产品认证机构名录的公告》--2019年第16号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（10）、《财政部民政部中国残疾人联合会关于促进残疾人就业政府采购政策的通知》--（财库〔2017〕141号）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（11）、《财政部国务院扶贫办关于运用政府采购政策支持脱贫攻坚的通知》（财库〔2019〕27号）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（12）、《关于进一步加强政府绿色采购有关问题的通知》（陕财办采〔2021〕29号）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lang w:val="en-US" w:eastAsia="zh-CN"/>
        </w:rPr>
        <w:t>（13）、其他需要落实的政府采购政策。</w:t>
      </w:r>
    </w:p>
    <w:p>
      <w:pPr>
        <w:widowControl/>
        <w:spacing w:line="460" w:lineRule="exact"/>
        <w:ind w:right="-197" w:rightChars="-94"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3.本项目的特定资格要求：</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合同包1(</w:t>
      </w:r>
      <w:r>
        <w:rPr>
          <w:rFonts w:hint="eastAsia" w:ascii="仿宋" w:hAnsi="仿宋" w:eastAsia="仿宋" w:cs="仿宋"/>
          <w:color w:val="000000" w:themeColor="text1"/>
          <w:sz w:val="24"/>
          <w:highlight w:val="none"/>
          <w:lang w:eastAsia="zh-CN"/>
          <w14:textFill>
            <w14:solidFill>
              <w14:schemeClr w14:val="tx1"/>
            </w14:solidFill>
          </w14:textFill>
        </w:rPr>
        <w:t>陕西福彩公益之声系列宣传服务采购项目</w:t>
      </w:r>
      <w:r>
        <w:rPr>
          <w:rFonts w:hint="eastAsia" w:ascii="仿宋" w:hAnsi="仿宋" w:eastAsia="仿宋" w:cs="仿宋"/>
          <w:color w:val="000000" w:themeColor="text1"/>
          <w:sz w:val="24"/>
          <w:highlight w:val="none"/>
          <w14:textFill>
            <w14:solidFill>
              <w14:schemeClr w14:val="tx1"/>
            </w14:solidFill>
          </w14:textFill>
        </w:rPr>
        <w:t>)特定资格要求如下: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2、被授权人参与磋商时需提供法定代表人或负责人授权委托书（附法定代表人或负责人及被授权人身份证复印件）；（被授权人须提供身份证原件，身份证原件可由本人持有）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4、供应商</w:t>
      </w:r>
      <w:r>
        <w:rPr>
          <w:rFonts w:hint="eastAsia" w:ascii="仿宋" w:hAnsi="仿宋" w:eastAsia="仿宋" w:cs="仿宋"/>
          <w:i w:val="0"/>
          <w:iCs w:val="0"/>
          <w:caps w:val="0"/>
          <w:color w:val="000000"/>
          <w:spacing w:val="0"/>
          <w:sz w:val="24"/>
          <w:szCs w:val="24"/>
          <w:highlight w:val="none"/>
          <w:shd w:val="clear" w:color="auto" w:fill="FFFFFF"/>
        </w:rPr>
        <w:t xml:space="preserve">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 xml:space="preserve">、单位负责人为同一人或者存在直接控股、管理关系的不同供应商，不得参加同一合同项下的政府采购活动；（提供书面承诺函，格式自拟加盖供应商公章） </w:t>
      </w:r>
    </w:p>
    <w:p>
      <w:pPr>
        <w:pStyle w:val="40"/>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b w:val="0"/>
          <w:bCs/>
          <w:i w:val="0"/>
          <w:iCs w:val="0"/>
          <w:caps w:val="0"/>
          <w:color w:val="000000"/>
          <w:spacing w:val="0"/>
          <w:sz w:val="24"/>
          <w:szCs w:val="24"/>
          <w:highlight w:val="none"/>
          <w:shd w:val="clear" w:color="auto" w:fill="FFFFFF"/>
          <w:lang w:val="en-US" w:eastAsia="zh-CN"/>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6、本项目专门面向中小企业采购；须符合《政府采购促进中小企业发展管理办法》（财库〔2020〕46号）规定的中小企业参加；(提供《中小企业声明函》，式样见竞争性磋商响应文件格式)</w:t>
      </w:r>
    </w:p>
    <w:p>
      <w:pPr>
        <w:pStyle w:val="40"/>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b w:val="0"/>
          <w:bCs/>
          <w:i w:val="0"/>
          <w:iCs w:val="0"/>
          <w:caps w:val="0"/>
          <w:color w:val="000000"/>
          <w:spacing w:val="0"/>
          <w:sz w:val="24"/>
          <w:szCs w:val="24"/>
          <w:highlight w:val="none"/>
          <w:shd w:val="clear" w:color="auto" w:fill="FFFFFF"/>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7、</w:t>
      </w:r>
      <w:r>
        <w:rPr>
          <w:rFonts w:hint="eastAsia" w:ascii="仿宋" w:hAnsi="仿宋" w:eastAsia="仿宋" w:cs="仿宋"/>
          <w:b w:val="0"/>
          <w:bCs/>
          <w:i w:val="0"/>
          <w:iCs w:val="0"/>
          <w:caps w:val="0"/>
          <w:color w:val="000000"/>
          <w:spacing w:val="0"/>
          <w:sz w:val="24"/>
          <w:szCs w:val="24"/>
          <w:highlight w:val="none"/>
          <w:shd w:val="clear" w:color="auto" w:fill="FFFFFF"/>
        </w:rPr>
        <w:t>本项目不接受联合体磋商。</w:t>
      </w:r>
    </w:p>
    <w:p>
      <w:pPr>
        <w:widowControl/>
        <w:spacing w:line="460" w:lineRule="exact"/>
        <w:ind w:right="-197" w:rightChars="-94"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三、获取采购文件</w:t>
      </w:r>
    </w:p>
    <w:p>
      <w:pPr>
        <w:widowControl/>
        <w:spacing w:line="460" w:lineRule="exact"/>
        <w:ind w:left="239" w:leftChars="114"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时间：2022年</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20</w:t>
      </w:r>
      <w:r>
        <w:rPr>
          <w:rFonts w:hint="eastAsia" w:ascii="仿宋" w:hAnsi="仿宋" w:eastAsia="仿宋" w:cs="仿宋"/>
          <w:color w:val="000000" w:themeColor="text1"/>
          <w:sz w:val="24"/>
          <w:highlight w:val="none"/>
          <w14:textFill>
            <w14:solidFill>
              <w14:schemeClr w14:val="tx1"/>
            </w14:solidFill>
          </w14:textFill>
        </w:rPr>
        <w:t>日至2022年</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27</w:t>
      </w:r>
      <w:r>
        <w:rPr>
          <w:rFonts w:hint="eastAsia" w:ascii="仿宋" w:hAnsi="仿宋" w:eastAsia="仿宋" w:cs="仿宋"/>
          <w:color w:val="000000" w:themeColor="text1"/>
          <w:sz w:val="24"/>
          <w:highlight w:val="none"/>
          <w14:textFill>
            <w14:solidFill>
              <w14:schemeClr w14:val="tx1"/>
            </w14:solidFill>
          </w14:textFill>
        </w:rPr>
        <w:t>日，每天上午09:00:00至12:00:00，下午14:00:00至17:00:00（北京时间,法定节假日除外）</w:t>
      </w:r>
    </w:p>
    <w:p>
      <w:pPr>
        <w:widowControl/>
        <w:spacing w:line="460" w:lineRule="exact"/>
        <w:ind w:right="-197" w:rightChars="-94" w:firstLine="720" w:firstLineChars="3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地点：西安市朱雀大街南段1号汇成天玺C座18层1812室</w:t>
      </w:r>
    </w:p>
    <w:p>
      <w:pPr>
        <w:widowControl/>
        <w:spacing w:line="460" w:lineRule="exact"/>
        <w:ind w:right="-197" w:rightChars="-94" w:firstLine="720" w:firstLineChars="3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方式：现场获取</w:t>
      </w:r>
    </w:p>
    <w:p>
      <w:pPr>
        <w:widowControl/>
        <w:spacing w:line="460" w:lineRule="exact"/>
        <w:ind w:right="-197" w:rightChars="-94" w:firstLine="720" w:firstLineChars="3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售价：</w:t>
      </w:r>
      <w:r>
        <w:rPr>
          <w:rFonts w:hint="eastAsia" w:ascii="仿宋" w:hAnsi="仿宋" w:eastAsia="仿宋" w:cs="仿宋"/>
          <w:color w:val="000000" w:themeColor="text1"/>
          <w:sz w:val="24"/>
          <w:highlight w:val="none"/>
          <w:lang w:val="en-US" w:eastAsia="zh-CN"/>
          <w14:textFill>
            <w14:solidFill>
              <w14:schemeClr w14:val="tx1"/>
            </w14:solidFill>
          </w14:textFill>
        </w:rPr>
        <w:t>500元</w:t>
      </w:r>
      <w:r>
        <w:rPr>
          <w:rFonts w:hint="eastAsia" w:ascii="仿宋" w:hAnsi="仿宋" w:eastAsia="仿宋" w:cs="仿宋"/>
          <w:color w:val="000000" w:themeColor="text1"/>
          <w:sz w:val="24"/>
          <w:highlight w:val="none"/>
          <w14:textFill>
            <w14:solidFill>
              <w14:schemeClr w14:val="tx1"/>
            </w14:solidFill>
          </w14:textFill>
        </w:rPr>
        <w:t xml:space="preserve"> </w:t>
      </w:r>
    </w:p>
    <w:p>
      <w:pPr>
        <w:widowControl/>
        <w:spacing w:line="460" w:lineRule="exact"/>
        <w:ind w:right="-197" w:rightChars="-94" w:firstLine="241"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四、响应文件提交</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截止时间： 2022年</w:t>
      </w: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月2日 1</w:t>
      </w:r>
      <w:r>
        <w:rPr>
          <w:rFonts w:hint="eastAsia" w:ascii="仿宋" w:hAnsi="仿宋" w:eastAsia="仿宋" w:cs="仿宋"/>
          <w:color w:val="000000" w:themeColor="text1"/>
          <w:sz w:val="24"/>
          <w:highlight w:val="none"/>
          <w:lang w:val="en-US" w:eastAsia="zh-CN"/>
          <w14:textFill>
            <w14:solidFill>
              <w14:schemeClr w14:val="tx1"/>
            </w14:solidFill>
          </w14:textFill>
        </w:rPr>
        <w:t>0</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lang w:val="en-US" w:eastAsia="zh-CN"/>
          <w14:textFill>
            <w14:solidFill>
              <w14:schemeClr w14:val="tx1"/>
            </w14:solidFill>
          </w14:textFill>
        </w:rPr>
        <w:t>0</w:t>
      </w:r>
      <w:r>
        <w:rPr>
          <w:rFonts w:hint="eastAsia" w:ascii="仿宋" w:hAnsi="仿宋" w:eastAsia="仿宋" w:cs="仿宋"/>
          <w:color w:val="000000" w:themeColor="text1"/>
          <w:sz w:val="24"/>
          <w:highlight w:val="none"/>
          <w14:textFill>
            <w14:solidFill>
              <w14:schemeClr w14:val="tx1"/>
            </w14:solidFill>
          </w14:textFill>
        </w:rPr>
        <w:t>0分00秒 （北京时间）</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地点：西安市朱雀大街南段1号汇成天玺C座18层1818室 </w:t>
      </w:r>
    </w:p>
    <w:p>
      <w:pPr>
        <w:widowControl/>
        <w:spacing w:line="460" w:lineRule="exact"/>
        <w:ind w:right="-197" w:rightChars="-94" w:firstLine="241" w:firstLineChars="1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五、开启</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时间： 2022年</w:t>
      </w: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月2日 1</w:t>
      </w:r>
      <w:r>
        <w:rPr>
          <w:rFonts w:hint="eastAsia" w:ascii="仿宋" w:hAnsi="仿宋" w:eastAsia="仿宋" w:cs="仿宋"/>
          <w:color w:val="000000" w:themeColor="text1"/>
          <w:sz w:val="24"/>
          <w:highlight w:val="none"/>
          <w:lang w:val="en-US" w:eastAsia="zh-CN"/>
          <w14:textFill>
            <w14:solidFill>
              <w14:schemeClr w14:val="tx1"/>
            </w14:solidFill>
          </w14:textFill>
        </w:rPr>
        <w:t>0</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lang w:val="en-US" w:eastAsia="zh-CN"/>
          <w14:textFill>
            <w14:solidFill>
              <w14:schemeClr w14:val="tx1"/>
            </w14:solidFill>
          </w14:textFill>
        </w:rPr>
        <w:t>0</w:t>
      </w:r>
      <w:r>
        <w:rPr>
          <w:rFonts w:hint="eastAsia" w:ascii="仿宋" w:hAnsi="仿宋" w:eastAsia="仿宋" w:cs="仿宋"/>
          <w:color w:val="000000" w:themeColor="text1"/>
          <w:sz w:val="24"/>
          <w:highlight w:val="none"/>
          <w14:textFill>
            <w14:solidFill>
              <w14:schemeClr w14:val="tx1"/>
            </w14:solidFill>
          </w14:textFill>
        </w:rPr>
        <w:t>0分00秒 （北京时间）</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地点：西安市朱雀大街南段1号汇成天玺C座18层1818室</w:t>
      </w:r>
    </w:p>
    <w:p>
      <w:pPr>
        <w:widowControl/>
        <w:spacing w:line="460" w:lineRule="exact"/>
        <w:ind w:right="-197" w:rightChars="-94" w:firstLine="241"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六、公告期限</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自本公告发布之日起3个工作日。</w:t>
      </w:r>
    </w:p>
    <w:p>
      <w:pPr>
        <w:widowControl/>
        <w:spacing w:line="460" w:lineRule="exact"/>
        <w:ind w:right="-197" w:rightChars="-94" w:firstLine="241" w:firstLineChars="1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七、其他补充事宜</w:t>
      </w:r>
    </w:p>
    <w:p>
      <w:pPr>
        <w:keepNext w:val="0"/>
        <w:keepLines w:val="0"/>
        <w:pageBreakBefore w:val="0"/>
        <w:widowControl/>
        <w:kinsoku/>
        <w:overflowPunct/>
        <w:autoSpaceDE/>
        <w:autoSpaceDN/>
        <w:bidi w:val="0"/>
        <w:adjustRightInd/>
        <w:snapToGrid/>
        <w:spacing w:line="540" w:lineRule="exact"/>
        <w:ind w:right="-197" w:rightChars="-94" w:firstLine="480" w:firstLineChars="200"/>
        <w:jc w:val="left"/>
        <w:textAlignment w:val="auto"/>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1.本项目仅对中小企业发售。</w:t>
      </w:r>
    </w:p>
    <w:p>
      <w:pPr>
        <w:keepNext w:val="0"/>
        <w:keepLines w:val="0"/>
        <w:pageBreakBefore w:val="0"/>
        <w:widowControl/>
        <w:kinsoku/>
        <w:overflowPunct/>
        <w:autoSpaceDE/>
        <w:autoSpaceDN/>
        <w:bidi w:val="0"/>
        <w:adjustRightInd/>
        <w:snapToGrid/>
        <w:spacing w:line="540" w:lineRule="exact"/>
        <w:ind w:right="-197" w:rightChars="-94" w:firstLine="480" w:firstLineChars="200"/>
        <w:jc w:val="left"/>
        <w:textAlignment w:val="auto"/>
        <w:rPr>
          <w:rFonts w:hint="default"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2.本项目接受线上报名及线下报名。</w:t>
      </w:r>
    </w:p>
    <w:p>
      <w:pPr>
        <w:keepNext w:val="0"/>
        <w:keepLines w:val="0"/>
        <w:pageBreakBefore w:val="0"/>
        <w:widowControl/>
        <w:kinsoku/>
        <w:overflowPunct/>
        <w:autoSpaceDE/>
        <w:autoSpaceDN/>
        <w:bidi w:val="0"/>
        <w:adjustRightInd/>
        <w:snapToGrid/>
        <w:spacing w:line="540" w:lineRule="exact"/>
        <w:ind w:right="-197" w:rightChars="-94" w:firstLine="480" w:firstLineChars="200"/>
        <w:jc w:val="left"/>
        <w:textAlignment w:val="auto"/>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3.线上报名：将单位介绍信、经办人身份证复印件及填写完整的文件发售登记表（公告相关附件处自行下载）均加盖单位公章后发送至hzghxmglyxgs@163.com（注明项目名称+联系人+联系电话+邮箱），并公对公汇款至以下账户，转账时须注明项目编号及用途(标书费)；及时联系采购代理机构确认报名成功；售后不退。</w:t>
      </w:r>
    </w:p>
    <w:p>
      <w:pPr>
        <w:keepNext w:val="0"/>
        <w:keepLines w:val="0"/>
        <w:pageBreakBefore w:val="0"/>
        <w:widowControl/>
        <w:kinsoku/>
        <w:overflowPunct/>
        <w:autoSpaceDE/>
        <w:autoSpaceDN/>
        <w:bidi w:val="0"/>
        <w:adjustRightInd/>
        <w:snapToGrid/>
        <w:spacing w:line="540" w:lineRule="exact"/>
        <w:ind w:right="-197" w:rightChars="-94" w:firstLine="1200" w:firstLineChars="500"/>
        <w:jc w:val="left"/>
        <w:textAlignment w:val="auto"/>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名  称：华招广和项目管理有限公司</w:t>
      </w:r>
    </w:p>
    <w:p>
      <w:pPr>
        <w:keepNext w:val="0"/>
        <w:keepLines w:val="0"/>
        <w:pageBreakBefore w:val="0"/>
        <w:widowControl/>
        <w:kinsoku/>
        <w:overflowPunct/>
        <w:autoSpaceDE/>
        <w:autoSpaceDN/>
        <w:bidi w:val="0"/>
        <w:adjustRightInd/>
        <w:snapToGrid/>
        <w:spacing w:line="540" w:lineRule="exact"/>
        <w:ind w:right="-197" w:rightChars="-94" w:firstLine="1200" w:firstLineChars="500"/>
        <w:jc w:val="left"/>
        <w:textAlignment w:val="auto"/>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开户行：中国建设银行股份有限公司西安金泰假日花城支行</w:t>
      </w:r>
    </w:p>
    <w:p>
      <w:pPr>
        <w:keepNext w:val="0"/>
        <w:keepLines w:val="0"/>
        <w:pageBreakBefore w:val="0"/>
        <w:widowControl/>
        <w:kinsoku/>
        <w:overflowPunct/>
        <w:autoSpaceDE/>
        <w:autoSpaceDN/>
        <w:bidi w:val="0"/>
        <w:adjustRightInd/>
        <w:snapToGrid/>
        <w:spacing w:line="540" w:lineRule="exact"/>
        <w:ind w:right="-197" w:rightChars="-94" w:firstLine="1200" w:firstLineChars="500"/>
        <w:jc w:val="left"/>
        <w:textAlignment w:val="auto"/>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帐  号：6105 0186 5800 0000 0059</w:t>
      </w:r>
    </w:p>
    <w:p>
      <w:pPr>
        <w:widowControl/>
        <w:spacing w:line="460" w:lineRule="exact"/>
        <w:ind w:right="-197" w:rightChars="-94" w:firstLine="720" w:firstLineChars="3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val="0"/>
          <w:color w:val="000000"/>
          <w:sz w:val="24"/>
          <w:highlight w:val="none"/>
          <w:lang w:val="en-US" w:eastAsia="zh-CN"/>
        </w:rPr>
        <w:t>4.线下报名：（9：00—12：00，14：00--17：00（节假日除外））携带有效的单位介绍信及被介绍人身份证复印件加盖单位公章，现金获取，售后不退</w:t>
      </w:r>
      <w:r>
        <w:rPr>
          <w:rFonts w:hint="eastAsia" w:ascii="仿宋" w:hAnsi="仿宋" w:eastAsia="仿宋" w:cs="仿宋"/>
          <w:color w:val="000000" w:themeColor="text1"/>
          <w:sz w:val="24"/>
          <w:highlight w:val="none"/>
          <w:lang w:val="en-US" w:eastAsia="zh-CN"/>
          <w14:textFill>
            <w14:solidFill>
              <w14:schemeClr w14:val="tx1"/>
            </w14:solidFill>
          </w14:textFill>
        </w:rPr>
        <w:t>。</w:t>
      </w:r>
    </w:p>
    <w:p>
      <w:pPr>
        <w:widowControl/>
        <w:spacing w:line="460" w:lineRule="exact"/>
        <w:ind w:right="-197" w:rightChars="-94"/>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八、凡对本次采购提出询问，请按以下方式联系。</w:t>
      </w:r>
    </w:p>
    <w:p>
      <w:pPr>
        <w:widowControl/>
        <w:spacing w:line="460" w:lineRule="exact"/>
        <w:ind w:right="-197" w:rightChars="-94"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1.釆购人信息</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r>
        <w:rPr>
          <w:rFonts w:hint="eastAsia" w:ascii="仿宋" w:hAnsi="仿宋" w:eastAsia="仿宋" w:cs="仿宋"/>
          <w:color w:val="000000" w:themeColor="text1"/>
          <w:sz w:val="24"/>
          <w:highlight w:val="none"/>
          <w:lang w:eastAsia="zh-CN"/>
          <w14:textFill>
            <w14:solidFill>
              <w14:schemeClr w14:val="tx1"/>
            </w14:solidFill>
          </w14:textFill>
        </w:rPr>
        <w:t>陕西省福利彩票发行中心</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w:t>
      </w:r>
      <w:r>
        <w:rPr>
          <w:rFonts w:hint="eastAsia" w:ascii="仿宋" w:hAnsi="仿宋" w:eastAsia="仿宋" w:cs="仿宋"/>
          <w:color w:val="000000" w:themeColor="text1"/>
          <w:sz w:val="24"/>
          <w:highlight w:val="none"/>
          <w:lang w:eastAsia="zh-CN"/>
          <w14:textFill>
            <w14:solidFill>
              <w14:schemeClr w14:val="tx1"/>
            </w14:solidFill>
          </w14:textFill>
        </w:rPr>
        <w:t>西安市未央路副102号</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w:t>
      </w:r>
      <w:r>
        <w:rPr>
          <w:rFonts w:hint="eastAsia" w:ascii="仿宋" w:hAnsi="仿宋" w:eastAsia="仿宋" w:cs="仿宋"/>
          <w:color w:val="000000" w:themeColor="text1"/>
          <w:sz w:val="24"/>
          <w:highlight w:val="none"/>
          <w:lang w:eastAsia="zh-CN"/>
          <w14:textFill>
            <w14:solidFill>
              <w14:schemeClr w14:val="tx1"/>
            </w14:solidFill>
          </w14:textFill>
        </w:rPr>
        <w:t>029-65652528</w:t>
      </w:r>
    </w:p>
    <w:p>
      <w:pPr>
        <w:widowControl/>
        <w:spacing w:line="460" w:lineRule="exact"/>
        <w:ind w:right="-197" w:rightChars="-94"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2.釆购代理机构信息</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名称：华招广和项目管理有限公司</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地址：西安市朱雀大街南段1号汇成天玺C座18层</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联系方式：029-87592321</w:t>
      </w:r>
    </w:p>
    <w:p>
      <w:pPr>
        <w:widowControl/>
        <w:spacing w:line="460" w:lineRule="exact"/>
        <w:ind w:right="-197" w:rightChars="-94"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3.项目联系方式 </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项目联系人：</w:t>
      </w:r>
      <w:r>
        <w:rPr>
          <w:rFonts w:hint="eastAsia" w:ascii="仿宋" w:hAnsi="仿宋" w:eastAsia="仿宋" w:cs="仿宋"/>
          <w:color w:val="000000" w:themeColor="text1"/>
          <w:sz w:val="24"/>
          <w:highlight w:val="none"/>
          <w:lang w:eastAsia="zh-CN"/>
          <w14:textFill>
            <w14:solidFill>
              <w14:schemeClr w14:val="tx1"/>
            </w14:solidFill>
          </w14:textFill>
        </w:rPr>
        <w:t>党工</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电话：029-87592321</w:t>
      </w:r>
    </w:p>
    <w:p>
      <w:pPr>
        <w:widowControl/>
        <w:spacing w:line="460" w:lineRule="exact"/>
        <w:ind w:right="-197" w:rightChars="-94"/>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84455</wp:posOffset>
                </wp:positionV>
                <wp:extent cx="5953125" cy="735965"/>
                <wp:effectExtent l="4445" t="4445" r="5080" b="21590"/>
                <wp:wrapSquare wrapText="bothSides"/>
                <wp:docPr id="1" name="文本框 1"/>
                <wp:cNvGraphicFramePr/>
                <a:graphic xmlns:a="http://schemas.openxmlformats.org/drawingml/2006/main">
                  <a:graphicData uri="http://schemas.microsoft.com/office/word/2010/wordprocessingShape">
                    <wps:wsp>
                      <wps:cNvSpPr txBox="1"/>
                      <wps:spPr>
                        <a:xfrm>
                          <a:off x="0" y="0"/>
                          <a:ext cx="5953125" cy="735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rPr>
                                <w:rFonts w:hint="eastAsia" w:ascii="仿宋" w:hAnsi="仿宋" w:eastAsia="仿宋" w:cs="仿宋"/>
                                <w:b/>
                                <w:sz w:val="24"/>
                              </w:rPr>
                            </w:pPr>
                            <w:r>
                              <w:rPr>
                                <w:rFonts w:hint="eastAsia" w:ascii="仿宋" w:hAnsi="仿宋" w:eastAsia="仿宋" w:cs="仿宋"/>
                                <w:b/>
                                <w:sz w:val="24"/>
                              </w:rPr>
                              <w:t>温馨提示：购买磋商文件后，请仔细阅读，特别注意粗体及划线部分，如有疑问请来电咨询。</w:t>
                            </w:r>
                          </w:p>
                        </w:txbxContent>
                      </wps:txbx>
                      <wps:bodyPr wrap="none" upright="1">
                        <a:spAutoFit/>
                      </wps:bodyPr>
                    </wps:wsp>
                  </a:graphicData>
                </a:graphic>
              </wp:anchor>
            </w:drawing>
          </mc:Choice>
          <mc:Fallback>
            <w:pict>
              <v:shape id="_x0000_s1026" o:spid="_x0000_s1026" o:spt="202" type="#_x0000_t202" style="position:absolute;left:0pt;margin-left:5.25pt;margin-top:6.65pt;height:57.95pt;width:468.75pt;mso-wrap-distance-bottom:0pt;mso-wrap-distance-left:9pt;mso-wrap-distance-right:9pt;mso-wrap-distance-top:0pt;mso-wrap-style:none;z-index:251659264;mso-width-relative:page;mso-height-relative:page;" fillcolor="#FFFFFF" filled="t" stroked="t" coordsize="21600,21600" o:gfxdata="UEsDBAoAAAAAAIdO4kAAAAAAAAAAAAAAAAAEAAAAZHJzL1BLAwQUAAAACACHTuJAmctY/tgAAAAJ&#10;AQAADwAAAGRycy9kb3ducmV2LnhtbE1Py07DMBC8I/EP1iJxQa3dFEob4lSiqOJQCUHhA5x4SdLG&#10;6yh2k8LXs5zgtJqd0Tyy9dm1YsA+NJ40zKYKBFLpbUOVho/37WQJIkRD1rSeUMMXBljnlxeZSa0f&#10;6Q2HfawEm1BIjYY6xi6VMpQ1OhOmvkNi7tP3zkSGfSVtb0Y2d61MlFpIZxrihNp0uKmxPO5PTsPx&#10;6X443OyeH4uX7eZQDWr8xvJV6+urmXoAEfEc/8TwW5+rQ86dCn8iG0TLWN2xku98DoL51e2StxX8&#10;SFYJyDyT/xfkP1BLAwQUAAAACACHTuJA2ZakpBkCAABcBAAADgAAAGRycy9lMm9Eb2MueG1srVRN&#10;rtMwEN4jcQfLe5q2T3nQqOkTUMoGAdKDA7iOk1jynzxuk14AbsCKDXvO1XMwdvLa97foAi+csf35&#10;m5lvxlne9FqRvfAgrSnpbDKlRBhuK2makn7/tnn1hhIIzFRMWSNKehBAb1YvXyw7V4i5ba2qhCdI&#10;YqDoXEnbEFyRZcBboRlMrBMGD2vrNQu49E1WedYhu1bZfDq9zjrrK+ctFwC4ux4O6cjoLyG0dS25&#10;WFu+08KEgdULxQKmBK10QFcp2roWPHypaxCBqJJipiHN6ATtbZyz1ZIVjWeulXwMgV0SwqOcNJMG&#10;nZ6o1iwwsvPyCZWW3FuwdZhwq7MhkaQIZjGbPtLmtmVOpFxQanAn0eH/0fLP+6+eyAo7gRLDNBb8&#10;+Ovn8fff458fZBbl6RwUiLp1iAv9O9tH6LgPuBmz7muv4xfzIXiO4h5O4oo+EI6b+SK/ms1zSjie&#10;vb7KF9d5pMnOt52H8FFYTaJRUo/FS5qy/ScIA/QOEp2BVbLaSKXSwjfb98qTPcNCb9IY2R/AlCFd&#10;SRd5ioNh99bYNRiSdqgAmCb5e3AD7hNP03iOOAa2ZtAOASSGCGOFlkH4ZLWCVR9MRcLBocoGHxeN&#10;wWhRUaIEvsVoJWRgUl2CRO2UQQljiYZSRCv02x5porm11QHL1mF/33ncOS+bFuWdDbm6t7tgNzLp&#10;e74ykmLTpQqNDyR29f11Qp1/Cq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ctY/tgAAAAJAQAA&#10;DwAAAAAAAAABACAAAAAiAAAAZHJzL2Rvd25yZXYueG1sUEsBAhQAFAAAAAgAh07iQNmWpKQZAgAA&#10;XAQAAA4AAAAAAAAAAQAgAAAAJwEAAGRycy9lMm9Eb2MueG1sUEsFBgAAAAAGAAYAWQEAALIFAAAA&#10;AA==&#10;">
                <v:fill on="t" focussize="0,0"/>
                <v:stroke color="#000000" joinstyle="miter"/>
                <v:imagedata o:title=""/>
                <o:lock v:ext="edit" aspectratio="f"/>
                <v:textbox style="mso-fit-shape-to-text:t;">
                  <w:txbxContent>
                    <w:p>
                      <w:pPr>
                        <w:spacing w:line="500" w:lineRule="exact"/>
                        <w:rPr>
                          <w:rFonts w:hint="eastAsia" w:ascii="仿宋" w:hAnsi="仿宋" w:eastAsia="仿宋" w:cs="仿宋"/>
                          <w:b/>
                          <w:sz w:val="24"/>
                        </w:rPr>
                      </w:pPr>
                      <w:r>
                        <w:rPr>
                          <w:rFonts w:hint="eastAsia" w:ascii="仿宋" w:hAnsi="仿宋" w:eastAsia="仿宋" w:cs="仿宋"/>
                          <w:b/>
                          <w:sz w:val="24"/>
                        </w:rPr>
                        <w:t>温馨提示：购买磋商文件后，请仔细阅读，特别注意粗体及划线部分，如有疑问请来电咨询。</w:t>
                      </w:r>
                    </w:p>
                  </w:txbxContent>
                </v:textbox>
                <w10:wrap type="square"/>
              </v:shape>
            </w:pict>
          </mc:Fallback>
        </mc:AlternateConten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 xml:space="preserve">   </w:t>
      </w: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p>
    <w:p>
      <w:pPr>
        <w:pStyle w:val="3"/>
        <w:spacing w:before="0" w:after="0" w:line="240" w:lineRule="auto"/>
        <w:jc w:val="center"/>
        <w:rPr>
          <w:rFonts w:hint="eastAsia" w:ascii="仿宋" w:hAnsi="仿宋" w:eastAsia="仿宋" w:cs="仿宋"/>
          <w:color w:val="000000" w:themeColor="text1"/>
          <w:highlight w:val="none"/>
          <w14:textFill>
            <w14:solidFill>
              <w14:schemeClr w14:val="tx1"/>
            </w14:solidFill>
          </w14:textFill>
        </w:rPr>
      </w:pPr>
      <w:bookmarkStart w:id="1" w:name="_Toc19749"/>
      <w:r>
        <w:rPr>
          <w:rFonts w:hint="eastAsia" w:ascii="仿宋" w:hAnsi="仿宋" w:eastAsia="仿宋" w:cs="仿宋"/>
          <w:color w:val="000000" w:themeColor="text1"/>
          <w:highlight w:val="none"/>
          <w14:textFill>
            <w14:solidFill>
              <w14:schemeClr w14:val="tx1"/>
            </w14:solidFill>
          </w14:textFill>
        </w:rPr>
        <w:t>第二章 供应商须知</w:t>
      </w:r>
      <w:bookmarkEnd w:id="1"/>
    </w:p>
    <w:p>
      <w:pPr>
        <w:pStyle w:val="4"/>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bookmarkStart w:id="2" w:name="_Toc1739"/>
      <w:r>
        <w:rPr>
          <w:rFonts w:hint="eastAsia" w:ascii="仿宋" w:hAnsi="仿宋" w:eastAsia="仿宋" w:cs="仿宋"/>
          <w:color w:val="000000" w:themeColor="text1"/>
          <w:sz w:val="28"/>
          <w:szCs w:val="28"/>
          <w:highlight w:val="none"/>
          <w14:textFill>
            <w14:solidFill>
              <w14:schemeClr w14:val="tx1"/>
            </w14:solidFill>
          </w14:textFill>
        </w:rPr>
        <w:t>一、供应商须知前附表</w:t>
      </w:r>
      <w:bookmarkEnd w:id="2"/>
    </w:p>
    <w:tbl>
      <w:tblPr>
        <w:tblStyle w:val="22"/>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2492"/>
        <w:gridCol w:w="6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19"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条款名称</w:t>
            </w:r>
          </w:p>
        </w:tc>
        <w:tc>
          <w:tcPr>
            <w:tcW w:w="6764"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陕西省福利彩票发行中心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40" w:lineRule="exact"/>
              <w:ind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联系地址：西安市未央路副102号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40" w:lineRule="exact"/>
              <w:ind w:right="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联系电话：</w:t>
            </w:r>
            <w:r>
              <w:rPr>
                <w:rFonts w:hint="eastAsia" w:ascii="仿宋" w:hAnsi="仿宋" w:eastAsia="仿宋" w:cs="仿宋"/>
                <w:i w:val="0"/>
                <w:iCs w:val="0"/>
                <w:caps w:val="0"/>
                <w:color w:val="000000" w:themeColor="text1"/>
                <w:spacing w:val="0"/>
                <w:sz w:val="24"/>
                <w:szCs w:val="24"/>
                <w:highlight w:val="none"/>
                <w:shd w:val="clear" w:fill="FFFFFF"/>
                <w:lang w:val="en-US" w:eastAsia="zh-CN"/>
                <w14:textFill>
                  <w14:solidFill>
                    <w14:schemeClr w14:val="tx1"/>
                  </w14:solidFill>
                </w14:textFill>
              </w:rPr>
              <w:t>029-65652528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u w:val="wavyHeavy" w:color="FF0000"/>
              </w:rPr>
            </w:pPr>
            <w:r>
              <w:rPr>
                <w:rFonts w:hint="eastAsia" w:ascii="仿宋" w:hAnsi="仿宋" w:eastAsia="仿宋" w:cs="仿宋"/>
                <w:color w:val="auto"/>
                <w:sz w:val="24"/>
                <w:highlight w:val="none"/>
              </w:rPr>
              <w:t>采购代理机构</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名称：华招广和项目管理有限公司</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地址：西安市朱雀大街南段1号汇成天玺C座18层</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党工</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联系方式：029-87592321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陕西福彩公益之声系列宣传服务采购项目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HZGH-2022-062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项目性质</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项目预算</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项目用途</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陕西福彩公益之声系列宣传服务采购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采购内容和要求</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陕西福彩公益之声系列宣传服务采购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"http://baike.baidu.com/view/8707.htm" \t "_blank"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磋商</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并且符合竞争性磋商文件规定资格条件和参加磋商竞争的法人或其他组织。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0</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u w:val="wavyHeavy" w:color="FF0000"/>
              </w:rPr>
            </w:pPr>
            <w:r>
              <w:rPr>
                <w:rFonts w:hint="eastAsia" w:ascii="仿宋" w:hAnsi="仿宋" w:eastAsia="仿宋" w:cs="仿宋"/>
                <w:color w:val="auto"/>
                <w:sz w:val="24"/>
                <w:highlight w:val="none"/>
              </w:rPr>
              <w:t>供应商资格要求</w:t>
            </w:r>
          </w:p>
        </w:tc>
        <w:tc>
          <w:tcPr>
            <w:tcW w:w="6764" w:type="dxa"/>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2、被授权人参与磋商时需提供法定代表人或负责人授权委托书（附法定代表人或负责人及被授权人身份证复印件）；（被授权人须提供身份证原件，身份证原件可由本人持有）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4、供应商</w:t>
            </w:r>
            <w:r>
              <w:rPr>
                <w:rFonts w:hint="eastAsia" w:ascii="仿宋" w:hAnsi="仿宋" w:eastAsia="仿宋" w:cs="仿宋"/>
                <w:i w:val="0"/>
                <w:iCs w:val="0"/>
                <w:caps w:val="0"/>
                <w:color w:val="000000"/>
                <w:spacing w:val="0"/>
                <w:sz w:val="24"/>
                <w:szCs w:val="24"/>
                <w:highlight w:val="none"/>
                <w:shd w:val="clear" w:color="auto" w:fill="FFFFFF"/>
              </w:rPr>
              <w:t xml:space="preserve">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 xml:space="preserve">、单位负责人为同一人或者存在直接控股、管理关系的不同供应商，不得参加同一合同项下的政府采购活动；（提供书面承诺函，格式自拟加盖供应商公章） </w:t>
            </w:r>
          </w:p>
          <w:p>
            <w:pPr>
              <w:pStyle w:val="40"/>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b w:val="0"/>
                <w:bCs/>
                <w:i w:val="0"/>
                <w:iCs w:val="0"/>
                <w:caps w:val="0"/>
                <w:color w:val="000000"/>
                <w:spacing w:val="0"/>
                <w:sz w:val="24"/>
                <w:szCs w:val="24"/>
                <w:highlight w:val="none"/>
                <w:shd w:val="clear" w:color="auto" w:fill="FFFFFF"/>
                <w:lang w:val="en-US" w:eastAsia="zh-CN"/>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6、本项目专门面向中小企业采购；须符合《政府采购促进中小企业发展管理办法》（财库〔2020〕46号）规定的中小企业参加；(提供《中小企业声明函》，式样见竞争性磋商响应文件格式)</w:t>
            </w:r>
          </w:p>
          <w:p>
            <w:pPr>
              <w:pStyle w:val="40"/>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7、</w:t>
            </w:r>
            <w:r>
              <w:rPr>
                <w:rFonts w:hint="eastAsia" w:ascii="仿宋" w:hAnsi="仿宋" w:eastAsia="仿宋" w:cs="仿宋"/>
                <w:b w:val="0"/>
                <w:bCs/>
                <w:i w:val="0"/>
                <w:iCs w:val="0"/>
                <w:caps w:val="0"/>
                <w:color w:val="000000"/>
                <w:spacing w:val="0"/>
                <w:sz w:val="24"/>
                <w:szCs w:val="24"/>
                <w:highlight w:val="none"/>
                <w:shd w:val="clear" w:color="auto" w:fill="FFFFFF"/>
              </w:rPr>
              <w:t>本项目不接受联合体磋商。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服务期限、地点</w:t>
            </w:r>
          </w:p>
        </w:tc>
        <w:tc>
          <w:tcPr>
            <w:tcW w:w="6764" w:type="dxa"/>
          </w:tcPr>
          <w:p>
            <w:pPr>
              <w:pStyle w:val="39"/>
              <w:keepNext w:val="0"/>
              <w:keepLines w:val="0"/>
              <w:pageBreakBefore w:val="0"/>
              <w:kinsoku/>
              <w:wordWrap/>
              <w:overflowPunct/>
              <w:topLinePunct w:val="0"/>
              <w:autoSpaceDE/>
              <w:autoSpaceDN/>
              <w:bidi w:val="0"/>
              <w:adjustRightInd/>
              <w:spacing w:line="640" w:lineRule="exact"/>
              <w:ind w:left="0" w:leftChars="0" w:firstLine="0" w:firstLineChars="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1、服务期限：自合同签订之日起180天内服务完毕。</w:t>
            </w:r>
          </w:p>
          <w:p>
            <w:pPr>
              <w:pStyle w:val="39"/>
              <w:keepNext w:val="0"/>
              <w:keepLines w:val="0"/>
              <w:pageBreakBefore w:val="0"/>
              <w:kinsoku/>
              <w:wordWrap/>
              <w:overflowPunct/>
              <w:topLinePunct w:val="0"/>
              <w:autoSpaceDE/>
              <w:autoSpaceDN/>
              <w:bidi w:val="0"/>
              <w:adjustRightInd/>
              <w:spacing w:line="640" w:lineRule="exact"/>
              <w:ind w:left="0" w:leftChars="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2、服务地点：甲方指定地点。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竞争性磋商文件发售</w:t>
            </w:r>
          </w:p>
        </w:tc>
        <w:tc>
          <w:tcPr>
            <w:tcW w:w="6764" w:type="dxa"/>
          </w:tcPr>
          <w:p>
            <w:pPr>
              <w:pStyle w:val="41"/>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发售时间：202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rPr>
              <w:t>日上午9:00-12:00，下午2:00-5:00时止（节假日除外）。</w:t>
            </w:r>
          </w:p>
          <w:p>
            <w:pPr>
              <w:pStyle w:val="41"/>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发售地点：华招广和项目管理有限公司招标部（西安市朱雀大街南段1号汇成天玺C座18层1812室）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联合体磋商</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现场勘查、标前答疑会</w:t>
            </w:r>
          </w:p>
        </w:tc>
        <w:tc>
          <w:tcPr>
            <w:tcW w:w="6764" w:type="dxa"/>
            <w:vAlign w:val="center"/>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不统一组织。供应商认为有必要可自行勘查，并承担所有费用及风险。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供应商对竞争性磋商文件提出质疑的时间</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供应商若对竞争性磋商文件有质疑的，在收到竞争性磋商文件之日起七个工作日内，以书面形式向采购代理机构提出，在此之后提出的质疑无效。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16</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构成竞争性磋商文件的其他文件</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7</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u w:val="wavyHeavy" w:color="FF0000"/>
              </w:rPr>
            </w:pPr>
            <w:r>
              <w:rPr>
                <w:rFonts w:hint="eastAsia" w:ascii="仿宋" w:hAnsi="仿宋" w:eastAsia="仿宋" w:cs="仿宋"/>
                <w:color w:val="auto"/>
                <w:sz w:val="24"/>
                <w:highlight w:val="none"/>
              </w:rPr>
              <w:t>磋商响应文件截止时间及磋商时间和地点</w:t>
            </w:r>
          </w:p>
        </w:tc>
        <w:tc>
          <w:tcPr>
            <w:tcW w:w="6764" w:type="dxa"/>
          </w:tcPr>
          <w:p>
            <w:pPr>
              <w:pStyle w:val="41"/>
              <w:keepNext w:val="0"/>
              <w:keepLines w:val="0"/>
              <w:pageBreakBefore w:val="0"/>
              <w:numPr>
                <w:ilvl w:val="0"/>
                <w:numId w:val="1"/>
              </w:numPr>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磋商响应文件截止时间：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w:t>
            </w:r>
          </w:p>
          <w:p>
            <w:pPr>
              <w:pStyle w:val="41"/>
              <w:keepNext w:val="0"/>
              <w:keepLines w:val="0"/>
              <w:pageBreakBefore w:val="0"/>
              <w:numPr>
                <w:ilvl w:val="0"/>
                <w:numId w:val="1"/>
              </w:numPr>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w:t>
            </w:r>
          </w:p>
          <w:p>
            <w:pPr>
              <w:pStyle w:val="41"/>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3、磋商地点：华招广和项目管理有限公司会议室（西安市朱雀大街南段1号汇成天玺C座18层</w:t>
            </w:r>
            <w:r>
              <w:rPr>
                <w:rFonts w:hint="eastAsia" w:ascii="仿宋" w:hAnsi="仿宋" w:eastAsia="仿宋" w:cs="仿宋"/>
                <w:color w:val="auto"/>
                <w:sz w:val="24"/>
                <w:szCs w:val="24"/>
                <w:highlight w:val="none"/>
                <w:lang w:val="en-US" w:eastAsia="zh-CN"/>
              </w:rPr>
              <w:t>1818</w:t>
            </w:r>
            <w:r>
              <w:rPr>
                <w:rFonts w:hint="eastAsia" w:ascii="仿宋" w:hAnsi="仿宋" w:eastAsia="仿宋" w:cs="仿宋"/>
                <w:color w:val="auto"/>
                <w:sz w:val="24"/>
                <w:szCs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磋商响应有效期</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自提交磋商响应文件截止之日起90个日历日。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19</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磋商担保</w:t>
            </w:r>
          </w:p>
        </w:tc>
        <w:tc>
          <w:tcPr>
            <w:tcW w:w="6764" w:type="dxa"/>
          </w:tcPr>
          <w:p>
            <w:pPr>
              <w:spacing w:line="560" w:lineRule="exact"/>
              <w:rPr>
                <w:rFonts w:hint="eastAsia" w:ascii="仿宋" w:hAnsi="仿宋" w:eastAsia="仿宋" w:cs="仿宋"/>
                <w:b w:val="0"/>
                <w:bCs/>
                <w:sz w:val="24"/>
                <w:highlight w:val="none"/>
              </w:rPr>
            </w:pPr>
            <w:r>
              <w:rPr>
                <w:rFonts w:hint="eastAsia" w:ascii="仿宋" w:hAnsi="仿宋" w:eastAsia="仿宋" w:cs="仿宋"/>
                <w:b w:val="0"/>
                <w:bCs/>
                <w:sz w:val="24"/>
                <w:highlight w:val="none"/>
              </w:rPr>
              <w:t>1、磋商保证金：</w:t>
            </w:r>
            <w:r>
              <w:rPr>
                <w:rFonts w:hint="eastAsia" w:ascii="仿宋" w:hAnsi="仿宋" w:eastAsia="仿宋" w:cs="仿宋"/>
                <w:b/>
                <w:bCs w:val="0"/>
                <w:sz w:val="24"/>
                <w:highlight w:val="none"/>
              </w:rPr>
              <w:t>人民币</w:t>
            </w:r>
            <w:r>
              <w:rPr>
                <w:rFonts w:hint="eastAsia" w:ascii="仿宋" w:hAnsi="仿宋" w:eastAsia="仿宋" w:cs="仿宋"/>
                <w:b/>
                <w:bCs w:val="0"/>
                <w:sz w:val="24"/>
                <w:highlight w:val="none"/>
                <w:lang w:val="en-US" w:eastAsia="zh-CN"/>
              </w:rPr>
              <w:t>壹万元</w:t>
            </w:r>
            <w:r>
              <w:rPr>
                <w:rFonts w:hint="eastAsia" w:ascii="仿宋" w:hAnsi="仿宋" w:eastAsia="仿宋" w:cs="仿宋"/>
                <w:b/>
                <w:bCs w:val="0"/>
                <w:sz w:val="24"/>
                <w:highlight w:val="none"/>
              </w:rPr>
              <w:t>整</w:t>
            </w:r>
            <w:r>
              <w:rPr>
                <w:rFonts w:hint="eastAsia" w:ascii="仿宋" w:hAnsi="仿宋" w:eastAsia="仿宋" w:cs="仿宋"/>
                <w:b w:val="0"/>
                <w:bCs/>
                <w:sz w:val="24"/>
                <w:highlight w:val="none"/>
              </w:rPr>
              <w:t>。</w:t>
            </w:r>
          </w:p>
          <w:p>
            <w:pPr>
              <w:spacing w:line="560" w:lineRule="exact"/>
              <w:rPr>
                <w:rFonts w:hint="eastAsia" w:ascii="仿宋" w:hAnsi="仿宋" w:eastAsia="仿宋" w:cs="仿宋"/>
                <w:b w:val="0"/>
                <w:bCs/>
                <w:sz w:val="24"/>
                <w:highlight w:val="none"/>
              </w:rPr>
            </w:pPr>
            <w:r>
              <w:rPr>
                <w:rFonts w:hint="eastAsia" w:ascii="仿宋" w:hAnsi="仿宋" w:eastAsia="仿宋" w:cs="仿宋"/>
                <w:b w:val="0"/>
                <w:bCs/>
                <w:sz w:val="24"/>
                <w:highlight w:val="none"/>
              </w:rPr>
              <w:t>2、磋商保证金交纳方式：供应商可自主选择以银行网银转账、支票、汇票、本票、保函等非现金形式交纳或提交磋商保证金。</w:t>
            </w:r>
          </w:p>
          <w:p>
            <w:pPr>
              <w:spacing w:line="560" w:lineRule="exact"/>
              <w:rPr>
                <w:rFonts w:hint="eastAsia" w:ascii="仿宋" w:hAnsi="仿宋" w:eastAsia="仿宋" w:cs="仿宋"/>
                <w:b w:val="0"/>
                <w:bCs/>
                <w:sz w:val="24"/>
                <w:highlight w:val="none"/>
              </w:rPr>
            </w:pPr>
            <w:r>
              <w:rPr>
                <w:rFonts w:hint="eastAsia" w:ascii="仿宋" w:hAnsi="仿宋" w:eastAsia="仿宋" w:cs="仿宋"/>
                <w:b w:val="0"/>
                <w:bCs/>
                <w:sz w:val="24"/>
                <w:highlight w:val="none"/>
              </w:rPr>
              <w:t>3、请供应商按规定时间</w:t>
            </w:r>
            <w:r>
              <w:rPr>
                <w:rFonts w:hint="eastAsia" w:ascii="仿宋" w:hAnsi="仿宋" w:eastAsia="仿宋" w:cs="仿宋"/>
                <w:b w:val="0"/>
                <w:bCs/>
                <w:color w:val="auto"/>
                <w:sz w:val="24"/>
                <w:highlight w:val="none"/>
              </w:rPr>
              <w:t>（202</w:t>
            </w:r>
            <w:r>
              <w:rPr>
                <w:rFonts w:hint="eastAsia" w:ascii="仿宋" w:hAnsi="仿宋" w:eastAsia="仿宋" w:cs="仿宋"/>
                <w:b w:val="0"/>
                <w:bCs/>
                <w:color w:val="auto"/>
                <w:sz w:val="24"/>
                <w:highlight w:val="none"/>
                <w:lang w:val="en-US" w:eastAsia="zh-CN"/>
              </w:rPr>
              <w:t>2</w:t>
            </w:r>
            <w:r>
              <w:rPr>
                <w:rFonts w:hint="eastAsia" w:ascii="仿宋" w:hAnsi="仿宋" w:eastAsia="仿宋" w:cs="仿宋"/>
                <w:b w:val="0"/>
                <w:bCs/>
                <w:color w:val="auto"/>
                <w:sz w:val="24"/>
                <w:highlight w:val="none"/>
              </w:rPr>
              <w:t>年</w:t>
            </w:r>
            <w:r>
              <w:rPr>
                <w:rFonts w:hint="eastAsia" w:ascii="仿宋" w:hAnsi="仿宋" w:eastAsia="仿宋" w:cs="仿宋"/>
                <w:b w:val="0"/>
                <w:bCs/>
                <w:color w:val="auto"/>
                <w:sz w:val="24"/>
                <w:highlight w:val="none"/>
                <w:lang w:val="en-US" w:eastAsia="zh-CN"/>
              </w:rPr>
              <w:t>8</w:t>
            </w:r>
            <w:r>
              <w:rPr>
                <w:rFonts w:hint="eastAsia" w:ascii="仿宋" w:hAnsi="仿宋" w:eastAsia="仿宋" w:cs="仿宋"/>
                <w:b w:val="0"/>
                <w:bCs/>
                <w:color w:val="auto"/>
                <w:sz w:val="24"/>
                <w:highlight w:val="none"/>
              </w:rPr>
              <w:t>月</w:t>
            </w:r>
            <w:r>
              <w:rPr>
                <w:rFonts w:hint="eastAsia" w:ascii="仿宋" w:hAnsi="仿宋" w:eastAsia="仿宋" w:cs="仿宋"/>
                <w:b w:val="0"/>
                <w:bCs/>
                <w:color w:val="auto"/>
                <w:sz w:val="24"/>
                <w:highlight w:val="none"/>
                <w:lang w:val="en-US" w:eastAsia="zh-CN"/>
              </w:rPr>
              <w:t>2</w:t>
            </w:r>
            <w:r>
              <w:rPr>
                <w:rFonts w:hint="eastAsia" w:ascii="仿宋" w:hAnsi="仿宋" w:eastAsia="仿宋" w:cs="仿宋"/>
                <w:b w:val="0"/>
                <w:bCs/>
                <w:color w:val="auto"/>
                <w:sz w:val="24"/>
                <w:highlight w:val="none"/>
              </w:rPr>
              <w:t>日</w:t>
            </w:r>
            <w:r>
              <w:rPr>
                <w:rFonts w:hint="eastAsia" w:ascii="仿宋" w:hAnsi="仿宋" w:eastAsia="仿宋" w:cs="仿宋"/>
                <w:b w:val="0"/>
                <w:bCs/>
                <w:color w:val="auto"/>
                <w:sz w:val="24"/>
                <w:highlight w:val="none"/>
                <w:lang w:val="en-US" w:eastAsia="zh-CN"/>
              </w:rPr>
              <w:t>上午10</w:t>
            </w:r>
            <w:r>
              <w:rPr>
                <w:rFonts w:hint="eastAsia" w:ascii="仿宋" w:hAnsi="仿宋" w:eastAsia="仿宋" w:cs="仿宋"/>
                <w:b w:val="0"/>
                <w:bCs/>
                <w:color w:val="auto"/>
                <w:sz w:val="24"/>
                <w:highlight w:val="none"/>
              </w:rPr>
              <w:t>:</w:t>
            </w:r>
            <w:r>
              <w:rPr>
                <w:rFonts w:hint="eastAsia" w:ascii="仿宋" w:hAnsi="仿宋" w:eastAsia="仿宋" w:cs="仿宋"/>
                <w:b w:val="0"/>
                <w:bCs/>
                <w:color w:val="auto"/>
                <w:sz w:val="24"/>
                <w:highlight w:val="none"/>
                <w:lang w:val="en-US" w:eastAsia="zh-CN"/>
              </w:rPr>
              <w:t>0</w:t>
            </w:r>
            <w:r>
              <w:rPr>
                <w:rFonts w:hint="eastAsia" w:ascii="仿宋" w:hAnsi="仿宋" w:eastAsia="仿宋" w:cs="仿宋"/>
                <w:b w:val="0"/>
                <w:bCs/>
                <w:color w:val="auto"/>
                <w:sz w:val="24"/>
                <w:highlight w:val="none"/>
              </w:rPr>
              <w:t>0前）</w:t>
            </w:r>
            <w:r>
              <w:rPr>
                <w:rFonts w:hint="eastAsia" w:ascii="仿宋" w:hAnsi="仿宋" w:eastAsia="仿宋" w:cs="仿宋"/>
                <w:b w:val="0"/>
                <w:bCs/>
                <w:sz w:val="24"/>
                <w:highlight w:val="none"/>
              </w:rPr>
              <w:t xml:space="preserve">和方式提交保证金，避免银行退票等原因出现保证金未按时到账等情况影响正常投标。请务必在转账时在摘要处注明：项目编号，同时请次日电话查询是否到账：029-87592322。 </w:t>
            </w:r>
          </w:p>
          <w:p>
            <w:pPr>
              <w:spacing w:line="560" w:lineRule="exact"/>
              <w:rPr>
                <w:rFonts w:hint="eastAsia" w:ascii="仿宋" w:hAnsi="仿宋" w:eastAsia="仿宋" w:cs="仿宋"/>
                <w:b w:val="0"/>
                <w:bCs/>
                <w:sz w:val="24"/>
                <w:highlight w:val="none"/>
              </w:rPr>
            </w:pPr>
            <w:r>
              <w:rPr>
                <w:rFonts w:hint="eastAsia" w:ascii="仿宋" w:hAnsi="仿宋" w:eastAsia="仿宋" w:cs="仿宋"/>
                <w:b w:val="0"/>
                <w:bCs/>
                <w:sz w:val="24"/>
                <w:highlight w:val="none"/>
              </w:rPr>
              <w:t>4、供应商未按照竞争性磋商文件要求提交保证金的，磋商响应文件无效。磋商保证金提交以到账时间为准。</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b/>
                <w:color w:val="auto"/>
                <w:sz w:val="24"/>
                <w:highlight w:val="none"/>
              </w:rPr>
            </w:pPr>
            <w:r>
              <w:rPr>
                <w:rFonts w:hint="eastAsia" w:ascii="仿宋" w:hAnsi="仿宋" w:eastAsia="仿宋" w:cs="仿宋"/>
                <w:b/>
                <w:bCs w:val="0"/>
                <w:sz w:val="24"/>
                <w:highlight w:val="none"/>
              </w:rPr>
              <w:t>备注：以保函形式提交</w:t>
            </w:r>
            <w:r>
              <w:rPr>
                <w:rFonts w:hint="eastAsia" w:ascii="仿宋" w:hAnsi="仿宋" w:eastAsia="仿宋" w:cs="仿宋"/>
                <w:b/>
                <w:bCs w:val="0"/>
                <w:sz w:val="24"/>
                <w:highlight w:val="none"/>
                <w:lang w:val="en-US" w:eastAsia="zh-CN"/>
              </w:rPr>
              <w:t>磋商</w:t>
            </w:r>
            <w:r>
              <w:rPr>
                <w:rFonts w:hint="eastAsia" w:ascii="仿宋" w:hAnsi="仿宋" w:eastAsia="仿宋" w:cs="仿宋"/>
                <w:b/>
                <w:bCs w:val="0"/>
                <w:sz w:val="24"/>
                <w:highlight w:val="none"/>
              </w:rPr>
              <w:t>保证金的，</w:t>
            </w:r>
            <w:r>
              <w:rPr>
                <w:rFonts w:hint="eastAsia" w:ascii="仿宋" w:hAnsi="仿宋" w:eastAsia="仿宋" w:cs="仿宋"/>
                <w:b/>
                <w:bCs w:val="0"/>
                <w:sz w:val="24"/>
                <w:highlight w:val="none"/>
                <w:lang w:val="en-US" w:eastAsia="zh-CN"/>
              </w:rPr>
              <w:t>磋商</w:t>
            </w:r>
            <w:r>
              <w:rPr>
                <w:rFonts w:hint="eastAsia" w:ascii="仿宋" w:hAnsi="仿宋" w:eastAsia="仿宋" w:cs="仿宋"/>
                <w:b/>
                <w:bCs w:val="0"/>
                <w:sz w:val="24"/>
                <w:highlight w:val="none"/>
              </w:rPr>
              <w:t>响应文件递交截止前持保函原件来我公司购标处进行备案登记。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p>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汇款账户</w:t>
            </w:r>
          </w:p>
        </w:tc>
        <w:tc>
          <w:tcPr>
            <w:tcW w:w="6764" w:type="dxa"/>
          </w:tcPr>
          <w:p>
            <w:pPr>
              <w:pStyle w:val="39"/>
              <w:spacing w:line="560" w:lineRule="exact"/>
              <w:ind w:firstLine="0" w:firstLineChars="0"/>
              <w:rPr>
                <w:rFonts w:hint="eastAsia" w:ascii="仿宋" w:hAnsi="仿宋" w:eastAsia="仿宋" w:cs="仿宋"/>
                <w:b/>
                <w:bCs/>
                <w:color w:val="auto"/>
                <w:kern w:val="2"/>
                <w:sz w:val="24"/>
                <w:szCs w:val="24"/>
                <w:highlight w:val="none"/>
                <w:lang w:eastAsia="zh-CN"/>
              </w:rPr>
            </w:pPr>
            <w:r>
              <w:rPr>
                <w:rFonts w:hint="eastAsia" w:ascii="仿宋" w:hAnsi="仿宋" w:eastAsia="仿宋" w:cs="仿宋"/>
                <w:b/>
                <w:bCs/>
                <w:color w:val="auto"/>
                <w:kern w:val="2"/>
                <w:sz w:val="24"/>
                <w:szCs w:val="24"/>
                <w:highlight w:val="none"/>
              </w:rPr>
              <w:t>中国建设银行：招标服务费（交纳账户）</w:t>
            </w:r>
          </w:p>
          <w:p>
            <w:pPr>
              <w:pStyle w:val="39"/>
              <w:spacing w:line="560" w:lineRule="exact"/>
              <w:ind w:firstLine="0" w:firstLineChars="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名称：华招广和项目管理有限公司</w:t>
            </w:r>
          </w:p>
          <w:p>
            <w:pPr>
              <w:pStyle w:val="39"/>
              <w:spacing w:line="560" w:lineRule="exact"/>
              <w:ind w:firstLine="0" w:firstLineChars="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开户行：中国建设银行股份有限公司西安金泰假日花城支行</w:t>
            </w:r>
          </w:p>
          <w:p>
            <w:pPr>
              <w:pStyle w:val="39"/>
              <w:spacing w:line="560" w:lineRule="exact"/>
              <w:ind w:firstLine="0" w:firstLine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帐号：6105 0186 5800 0000 0059</w:t>
            </w:r>
          </w:p>
          <w:p>
            <w:pPr>
              <w:pStyle w:val="39"/>
              <w:spacing w:line="560" w:lineRule="exact"/>
              <w:ind w:firstLine="0" w:firstLineChars="0"/>
              <w:rPr>
                <w:rFonts w:hint="eastAsia" w:ascii="楷体" w:hAnsi="楷体" w:eastAsia="楷体" w:cs="楷体"/>
                <w:sz w:val="24"/>
                <w:szCs w:val="24"/>
                <w:highlight w:val="none"/>
                <w:lang w:val="en-US" w:eastAsia="zh-CN"/>
              </w:rPr>
            </w:pPr>
          </w:p>
          <w:p>
            <w:pPr>
              <w:pStyle w:val="39"/>
              <w:spacing w:line="56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中信</w:t>
            </w:r>
            <w:r>
              <w:rPr>
                <w:rFonts w:hint="eastAsia" w:ascii="仿宋" w:hAnsi="仿宋" w:eastAsia="仿宋" w:cs="仿宋"/>
                <w:sz w:val="24"/>
                <w:szCs w:val="24"/>
                <w:highlight w:val="none"/>
              </w:rPr>
              <w:t>银行：</w:t>
            </w:r>
            <w:r>
              <w:rPr>
                <w:rFonts w:hint="eastAsia" w:ascii="仿宋" w:hAnsi="仿宋" w:eastAsia="仿宋" w:cs="仿宋"/>
                <w:b/>
                <w:bCs/>
                <w:sz w:val="24"/>
                <w:szCs w:val="24"/>
                <w:highlight w:val="none"/>
              </w:rPr>
              <w:t>磋商保证金</w:t>
            </w:r>
            <w:r>
              <w:rPr>
                <w:rFonts w:hint="eastAsia" w:ascii="仿宋" w:hAnsi="仿宋" w:eastAsia="仿宋" w:cs="仿宋"/>
                <w:sz w:val="24"/>
                <w:szCs w:val="24"/>
                <w:highlight w:val="none"/>
              </w:rPr>
              <w:t>（交纳专户）</w:t>
            </w:r>
          </w:p>
          <w:p>
            <w:pPr>
              <w:pStyle w:val="39"/>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名称：华招广和项目管理有限公司</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账号：8111701011900609835</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开户行：中信银行西安朱雀南路支行</w:t>
            </w:r>
          </w:p>
          <w:p>
            <w:pPr>
              <w:pStyle w:val="39"/>
              <w:keepNext w:val="0"/>
              <w:keepLines w:val="0"/>
              <w:pageBreakBefore w:val="0"/>
              <w:kinsoku/>
              <w:wordWrap/>
              <w:overflowPunct/>
              <w:topLinePunct w:val="0"/>
              <w:autoSpaceDE/>
              <w:autoSpaceDN/>
              <w:bidi w:val="0"/>
              <w:adjustRightInd/>
              <w:spacing w:line="640" w:lineRule="exact"/>
              <w:ind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b/>
                <w:sz w:val="24"/>
                <w:szCs w:val="24"/>
                <w:highlight w:val="none"/>
              </w:rPr>
              <w:t>注:标书费、招标服务费可以采用转账、现金形式交纳；保证金仅限于通过对公账户以转账形式交纳。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备选磋商方案</w:t>
            </w:r>
          </w:p>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和报价</w:t>
            </w:r>
          </w:p>
        </w:tc>
        <w:tc>
          <w:tcPr>
            <w:tcW w:w="6764" w:type="dxa"/>
            <w:vAlign w:val="center"/>
          </w:tcPr>
          <w:p>
            <w:pPr>
              <w:keepNext w:val="0"/>
              <w:keepLines w:val="0"/>
              <w:pageBreakBefore w:val="0"/>
              <w:tabs>
                <w:tab w:val="left" w:pos="7013"/>
              </w:tabs>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不接受备选磋商方案和多个报价。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盖章签字</w:t>
            </w:r>
          </w:p>
        </w:tc>
        <w:tc>
          <w:tcPr>
            <w:tcW w:w="6764" w:type="dxa"/>
            <w:vAlign w:val="center"/>
          </w:tcPr>
          <w:p>
            <w:pPr>
              <w:keepNext w:val="0"/>
              <w:keepLines w:val="0"/>
              <w:pageBreakBefore w:val="0"/>
              <w:tabs>
                <w:tab w:val="left" w:pos="7013"/>
              </w:tabs>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必须按照竞争性磋商文件的规定和要求在竞争性磋商响应文件中指定的页面落款处加盖公章（鲜章）并由法定代表人或被授权人签字（或盖章），否则将作为无效响应处理。竞争性磋商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竞争性磋商响应文件数量、装订</w:t>
            </w:r>
          </w:p>
        </w:tc>
        <w:tc>
          <w:tcPr>
            <w:tcW w:w="6764" w:type="dxa"/>
            <w:vAlign w:val="center"/>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密封要求：磋商时，供应商应自行将磋商响应文件密封完好（封袋不得有破损）。标袋上应写明项目名称、项目编号、供应商名称及“正本”、“副本”字样，并在密封条接缝处加盖单位公章（鲜章）和法定代表人或被授权人签字(或盖章）；</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2、装订要求：磋商响应文件一律采用书籍（胶装）方式装订。在磋商响应文件书脊处写明项目名称、项目编号及供应商名称。磋商响应文件正本一份，副本三份，共四份。电子文件一份（</w:t>
            </w:r>
            <w:r>
              <w:rPr>
                <w:rFonts w:hint="eastAsia" w:ascii="仿宋" w:hAnsi="仿宋" w:eastAsia="仿宋" w:cs="仿宋"/>
                <w:color w:val="auto"/>
                <w:sz w:val="24"/>
                <w:highlight w:val="none"/>
                <w:lang w:eastAsia="zh-CN"/>
              </w:rPr>
              <w:t>用</w:t>
            </w:r>
            <w:r>
              <w:rPr>
                <w:rFonts w:hint="eastAsia" w:ascii="仿宋" w:hAnsi="仿宋" w:eastAsia="仿宋" w:cs="仿宋"/>
                <w:color w:val="auto"/>
                <w:sz w:val="24"/>
                <w:highlight w:val="none"/>
              </w:rPr>
              <w:t>U盘或移动硬盘</w:t>
            </w:r>
            <w:r>
              <w:rPr>
                <w:rFonts w:hint="eastAsia" w:ascii="仿宋" w:hAnsi="仿宋" w:eastAsia="仿宋" w:cs="仿宋"/>
                <w:color w:val="auto"/>
                <w:sz w:val="24"/>
                <w:highlight w:val="none"/>
                <w:lang w:eastAsia="zh-CN"/>
              </w:rPr>
              <w:t>拷贝</w:t>
            </w:r>
            <w:r>
              <w:rPr>
                <w:rFonts w:hint="eastAsia" w:ascii="仿宋" w:hAnsi="仿宋" w:eastAsia="仿宋" w:cs="仿宋"/>
                <w:color w:val="auto"/>
                <w:sz w:val="24"/>
                <w:highlight w:val="none"/>
              </w:rPr>
              <w:t>），电子版</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文件正本的word版本及PDF版本（PDF文件为完整签字、盖章的正本扫描件）。纸质磋商响应文件均须A4纸打印（提倡双面打印），分别各自装订成册并编制目录和页码。电子版放置磋商响应文件正本标袋内。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4</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磋商报价</w:t>
            </w:r>
          </w:p>
        </w:tc>
        <w:tc>
          <w:tcPr>
            <w:tcW w:w="6764" w:type="dxa"/>
            <w:vAlign w:val="center"/>
          </w:tcPr>
          <w:p>
            <w:pPr>
              <w:pStyle w:val="41"/>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本项目为交钥匙项目。</w:t>
            </w:r>
            <w:r>
              <w:rPr>
                <w:rFonts w:hint="eastAsia" w:ascii="仿宋" w:hAnsi="仿宋" w:eastAsia="仿宋" w:cs="仿宋"/>
                <w:color w:val="auto"/>
                <w:sz w:val="24"/>
                <w:szCs w:val="24"/>
                <w:highlight w:val="none"/>
              </w:rPr>
              <w:t>磋商报价=服务费+保险费+人员费+其他相关伴随费用。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5</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评标办法及标准</w:t>
            </w:r>
          </w:p>
        </w:tc>
        <w:tc>
          <w:tcPr>
            <w:tcW w:w="6764" w:type="dxa"/>
            <w:vAlign w:val="center"/>
          </w:tcPr>
          <w:p>
            <w:pPr>
              <w:pStyle w:val="41"/>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详见竞争性磋商文件第二章。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6</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其它事项</w:t>
            </w:r>
          </w:p>
        </w:tc>
        <w:tc>
          <w:tcPr>
            <w:tcW w:w="6764" w:type="dxa"/>
            <w:vAlign w:val="center"/>
          </w:tcPr>
          <w:p>
            <w:pPr>
              <w:pStyle w:val="41"/>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本次采购、磋商报价、评审和合同授予均以项目为单位，供应商必须就一个完整项目进行响应。成交供应商与采购人在成交通知书发出30天内签订合同，不及时签订视为自动放弃。非经采购人同意，本项目不允许成交后另行转包或者分包。成交人无正当理由不得放弃成交资格。因自身原因拒绝签订政府采购合同的或者未按合同约定进行履约的，成交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000000"/>
                <w:sz w:val="24"/>
                <w:szCs w:val="24"/>
                <w:highlight w:val="none"/>
                <w:lang w:val="en-US" w:eastAsia="zh-CN"/>
              </w:rPr>
              <w:t>27</w:t>
            </w:r>
          </w:p>
        </w:tc>
        <w:tc>
          <w:tcPr>
            <w:tcW w:w="249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000000"/>
                <w:sz w:val="24"/>
                <w:szCs w:val="24"/>
                <w:highlight w:val="none"/>
                <w:lang w:eastAsia="zh-CN"/>
              </w:rPr>
              <w:t>本项目是否专门面向中小企业</w:t>
            </w:r>
          </w:p>
        </w:tc>
        <w:tc>
          <w:tcPr>
            <w:tcW w:w="6764" w:type="dxa"/>
            <w:vAlign w:val="center"/>
          </w:tcPr>
          <w:p>
            <w:pPr>
              <w:pStyle w:val="41"/>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000000"/>
                <w:kern w:val="2"/>
                <w:sz w:val="24"/>
                <w:szCs w:val="24"/>
                <w:highlight w:val="none"/>
                <w:lang w:eastAsia="zh-CN"/>
              </w:rPr>
              <w:t>☑是</w:t>
            </w:r>
            <w:r>
              <w:rPr>
                <w:rFonts w:hint="eastAsia" w:ascii="仿宋" w:hAnsi="仿宋" w:eastAsia="仿宋" w:cs="仿宋"/>
                <w:color w:val="000000"/>
                <w:kern w:val="2"/>
                <w:sz w:val="24"/>
                <w:szCs w:val="24"/>
                <w:highlight w:val="none"/>
                <w:lang w:val="en-US" w:eastAsia="zh-CN"/>
              </w:rPr>
              <w:t xml:space="preserve">   </w:t>
            </w:r>
            <w:r>
              <w:rPr>
                <w:rFonts w:hint="eastAsia" w:ascii="仿宋" w:hAnsi="仿宋" w:eastAsia="仿宋" w:cs="仿宋"/>
                <w:color w:val="000000"/>
                <w:kern w:val="2"/>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28</w:t>
            </w:r>
          </w:p>
        </w:tc>
        <w:tc>
          <w:tcPr>
            <w:tcW w:w="249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本项目所属行业</w:t>
            </w:r>
          </w:p>
        </w:tc>
        <w:tc>
          <w:tcPr>
            <w:tcW w:w="6764" w:type="dxa"/>
            <w:vAlign w:val="center"/>
          </w:tcPr>
          <w:p>
            <w:pPr>
              <w:pStyle w:val="41"/>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仿宋"/>
                <w:color w:val="auto"/>
                <w:kern w:val="2"/>
                <w:sz w:val="24"/>
                <w:szCs w:val="24"/>
                <w:highlight w:val="none"/>
                <w:lang w:val="en-US"/>
              </w:rPr>
            </w:pPr>
            <w:r>
              <w:rPr>
                <w:rFonts w:hint="eastAsia" w:ascii="仿宋" w:hAnsi="仿宋" w:eastAsia="仿宋" w:cs="仿宋"/>
                <w:color w:val="auto"/>
                <w:kern w:val="2"/>
                <w:sz w:val="24"/>
                <w:szCs w:val="24"/>
                <w:highlight w:val="none"/>
                <w:lang w:val="en-US" w:eastAsia="zh-CN"/>
              </w:rPr>
              <w:t>租赁和商务服务业</w:t>
            </w:r>
          </w:p>
        </w:tc>
      </w:tr>
    </w:tbl>
    <w:p>
      <w:pPr>
        <w:pStyle w:val="4"/>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br w:type="page"/>
      </w:r>
      <w:bookmarkStart w:id="3" w:name="_Toc12152"/>
      <w:r>
        <w:rPr>
          <w:rFonts w:hint="eastAsia" w:ascii="仿宋" w:hAnsi="仿宋" w:eastAsia="仿宋" w:cs="仿宋"/>
          <w:color w:val="000000" w:themeColor="text1"/>
          <w:kern w:val="0"/>
          <w:sz w:val="28"/>
          <w:szCs w:val="28"/>
          <w:highlight w:val="none"/>
          <w14:textFill>
            <w14:solidFill>
              <w14:schemeClr w14:val="tx1"/>
            </w14:solidFill>
          </w14:textFill>
        </w:rPr>
        <w:t>二、项目说明</w:t>
      </w:r>
      <w:bookmarkEnd w:id="3"/>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1、本项目说明详见供应商须知前附表。</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2、本项目按照《中华人民共和国政府采购法》等有关法律、行政法规和部门规章，通过竞争性磋商方式择优选定成交供应商。</w:t>
      </w:r>
    </w:p>
    <w:p>
      <w:pPr>
        <w:pStyle w:val="4"/>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bookmarkStart w:id="4" w:name="_Toc24776"/>
      <w:bookmarkStart w:id="5" w:name="_Toc458848819"/>
      <w:bookmarkStart w:id="6" w:name="_Toc458848734"/>
      <w:bookmarkStart w:id="7" w:name="_Toc458848967"/>
      <w:r>
        <w:rPr>
          <w:rFonts w:hint="eastAsia" w:ascii="仿宋" w:hAnsi="仿宋" w:eastAsia="仿宋" w:cs="仿宋"/>
          <w:color w:val="000000" w:themeColor="text1"/>
          <w:kern w:val="0"/>
          <w:sz w:val="28"/>
          <w:szCs w:val="28"/>
          <w:highlight w:val="none"/>
          <w14:textFill>
            <w14:solidFill>
              <w14:schemeClr w14:val="tx1"/>
            </w14:solidFill>
          </w14:textFill>
        </w:rPr>
        <w:t>三、竞争性磋商文件</w:t>
      </w:r>
      <w:bookmarkEnd w:id="4"/>
      <w:bookmarkEnd w:id="5"/>
      <w:bookmarkEnd w:id="6"/>
      <w:bookmarkEnd w:id="7"/>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1、竞争性磋商文件购买：供应商须经过正常渠道购买竞争性磋商文件，且供应商名称与登记领取竞争性磋商文件的单位名称一致，否则将作为无效响应处理。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2、竞争性磋商文件由竞争性磋商文件目录前五章组成。</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3、供应商应详细阅读和充分理解竞争性磋商文件所有的事项、格式、条款和规范要求等，在竞争性磋商响应文件中对竞争性磋商文件的各方面都做出实质性的响应，按照竞争性磋商文件的要求提交全部资料。</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4、竞争性磋商文件的澄清或修改：</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提交磋商响应文件截止时间前，采购人、采购代理机构可以以书面形式对竞争性磋商文件进行必要的澄清或修改，但不得改变采购标的和资格条件，并在原信息发布媒体上发布变更公告。澄清或修改的内容均为竞争性磋商文件的组成部分，并对采购人及供应商起约束作用。澄清或修改的内容可能影响响应文件编制的，都将于提交磋商响应文件截止时间5日前以书面形式发送给所有参加磋商的供应商；不足5日的，采购人、采购代理机构顺延递交竞争性磋商响应文件的截止时间。</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-2、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5、供应商若对磋商文件有任何疑问，可以以书面形式向采购代理机构提出询问。</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6、供应商认为竞争性磋商文件使自己的权益受到损害的，在收到竞争性磋商文件之日起七个工作日内，以书面形式向采购代理机构提出质疑，逾期提出的无效，因此带来的一切不利后果由供应商自负。</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在磋商截止时间前，根据采购工作进展实际情况，采购人可酌情延长递交竞争性磋商响应文件的截止时间，若延长将另行以书面形式通知各供应商并在原信息发布媒体上发布变更公告。采购代理机构和供应商的权利和义务将受到新的截止期的约束。</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8、供应商必须从采购代理机构购买竞争性磋商文件，供应商自行转让或复制竞争性磋商文件视为无效。竞争性磋商文件售后不退，仅作为本次采购使用。</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9、如发现竞争性磋商文件内容与现行法律法规不相符的情况，以现行法律法规为准。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10、现场勘查、标前答疑会：见须知前附表。</w:t>
      </w:r>
    </w:p>
    <w:p>
      <w:pPr>
        <w:pStyle w:val="4"/>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bookmarkStart w:id="8" w:name="_Toc458848735"/>
      <w:bookmarkStart w:id="9" w:name="_Toc458848820"/>
      <w:bookmarkStart w:id="10" w:name="_Toc1600"/>
      <w:bookmarkStart w:id="11" w:name="_Toc458848968"/>
      <w:r>
        <w:rPr>
          <w:rFonts w:hint="eastAsia" w:ascii="仿宋" w:hAnsi="仿宋" w:eastAsia="仿宋" w:cs="仿宋"/>
          <w:color w:val="000000" w:themeColor="text1"/>
          <w:kern w:val="0"/>
          <w:sz w:val="28"/>
          <w:szCs w:val="28"/>
          <w:highlight w:val="none"/>
          <w14:textFill>
            <w14:solidFill>
              <w14:schemeClr w14:val="tx1"/>
            </w14:solidFill>
          </w14:textFill>
        </w:rPr>
        <w:t>四、竞争性磋商响应文件</w:t>
      </w:r>
      <w:bookmarkEnd w:id="8"/>
      <w:bookmarkEnd w:id="9"/>
      <w:bookmarkEnd w:id="10"/>
      <w:bookmarkEnd w:id="11"/>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2、被授权人参与磋商时需提供法定代表人或负责人授权委托书（附法定代表人或负责人及被授权人身份证复印件）；（被授权人须提供身份证原件，身份证原件可由本人持有）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4、供应商</w:t>
      </w:r>
      <w:r>
        <w:rPr>
          <w:rFonts w:hint="eastAsia" w:ascii="仿宋" w:hAnsi="仿宋" w:eastAsia="仿宋" w:cs="仿宋"/>
          <w:i w:val="0"/>
          <w:iCs w:val="0"/>
          <w:caps w:val="0"/>
          <w:color w:val="000000"/>
          <w:spacing w:val="0"/>
          <w:sz w:val="24"/>
          <w:szCs w:val="24"/>
          <w:highlight w:val="none"/>
          <w:shd w:val="clear" w:color="auto" w:fill="FFFFFF"/>
        </w:rPr>
        <w:t xml:space="preserve">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 xml:space="preserve">、单位负责人为同一人或者存在直接控股、管理关系的不同供应商，不得参加同一合同项下的政府采购活动；（提供书面承诺函，格式自拟加盖供应商公章） </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b w:val="0"/>
          <w:bCs/>
          <w:i w:val="0"/>
          <w:iCs w:val="0"/>
          <w:caps w:val="0"/>
          <w:color w:val="000000"/>
          <w:spacing w:val="0"/>
          <w:sz w:val="24"/>
          <w:szCs w:val="24"/>
          <w:highlight w:val="none"/>
          <w:shd w:val="clear" w:color="auto" w:fill="FFFFFF"/>
          <w:lang w:val="en-US" w:eastAsia="zh-CN"/>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6、本项目专门面向中小企业采购；须符合《政府采购促进中小企业发展管理办法》（财库〔2020〕46号）规定的中小企业参加；(提供《中小企业声明函》，式样见竞争性磋商响应文件格式)</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b w:val="0"/>
          <w:bCs/>
          <w:i w:val="0"/>
          <w:iCs w:val="0"/>
          <w:caps w:val="0"/>
          <w:color w:val="000000"/>
          <w:spacing w:val="0"/>
          <w:sz w:val="24"/>
          <w:szCs w:val="24"/>
          <w:highlight w:val="none"/>
          <w:shd w:val="clear" w:color="auto" w:fill="FFFFFF"/>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7、</w:t>
      </w:r>
      <w:r>
        <w:rPr>
          <w:rFonts w:hint="eastAsia" w:ascii="仿宋" w:hAnsi="仿宋" w:eastAsia="仿宋" w:cs="仿宋"/>
          <w:b w:val="0"/>
          <w:bCs/>
          <w:i w:val="0"/>
          <w:iCs w:val="0"/>
          <w:caps w:val="0"/>
          <w:color w:val="000000"/>
          <w:spacing w:val="0"/>
          <w:sz w:val="24"/>
          <w:szCs w:val="24"/>
          <w:highlight w:val="none"/>
          <w:shd w:val="clear" w:color="auto" w:fill="FFFFFF"/>
        </w:rPr>
        <w:t>本项目不接受联合体磋商。</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2、合格供应商</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依照《中华人民共和国公司法》合法注册的法人或其他组织、符合《中华人民共和国政府采购法》</w:t>
      </w:r>
      <w:bookmarkStart w:id="12" w:name="OLE_LINK8"/>
      <w:r>
        <w:rPr>
          <w:rFonts w:hint="eastAsia" w:ascii="仿宋" w:hAnsi="仿宋" w:eastAsia="仿宋" w:cs="仿宋"/>
          <w:color w:val="000000" w:themeColor="text1"/>
          <w:sz w:val="24"/>
          <w:highlight w:val="none"/>
          <w14:textFill>
            <w14:solidFill>
              <w14:schemeClr w14:val="tx1"/>
            </w14:solidFill>
          </w14:textFill>
        </w:rPr>
        <w:t>及其实施条例等有关法律法规的规定</w:t>
      </w:r>
      <w:bookmarkEnd w:id="12"/>
      <w:r>
        <w:rPr>
          <w:rFonts w:hint="eastAsia" w:ascii="仿宋" w:hAnsi="仿宋" w:eastAsia="仿宋" w:cs="仿宋"/>
          <w:color w:val="000000" w:themeColor="text1"/>
          <w:sz w:val="24"/>
          <w:highlight w:val="none"/>
          <w14:textFill>
            <w14:solidFill>
              <w14:schemeClr w14:val="tx1"/>
            </w14:solidFill>
          </w14:textFill>
        </w:rPr>
        <w:t>并满足本项目资格条件。不符合上述规定的供应商，磋商响应无效。</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3、供应商信用信息：</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3-1、采购人或采购代理机构将于本项目磋商截止日在‘信用中国’网站、‘中国政府采购网’网站等渠道对供应商进行信用记录查询，</w:t>
      </w:r>
      <w:r>
        <w:rPr>
          <w:rFonts w:hint="eastAsia" w:ascii="仿宋" w:hAnsi="仿宋" w:eastAsia="仿宋" w:cs="仿宋"/>
          <w:color w:val="000000" w:themeColor="text1"/>
          <w:sz w:val="24"/>
          <w:highlight w:val="none"/>
          <w:lang w:eastAsia="zh-CN"/>
          <w14:textFill>
            <w14:solidFill>
              <w14:schemeClr w14:val="tx1"/>
            </w14:solidFill>
          </w14:textFill>
        </w:rPr>
        <w:t>查询的信用记录将进行打印存档，</w:t>
      </w:r>
      <w:r>
        <w:rPr>
          <w:rFonts w:hint="eastAsia" w:ascii="仿宋" w:hAnsi="仿宋" w:eastAsia="仿宋" w:cs="仿宋"/>
          <w:color w:val="000000" w:themeColor="text1"/>
          <w:sz w:val="24"/>
          <w:highlight w:val="none"/>
          <w14:textFill>
            <w14:solidFill>
              <w14:schemeClr w14:val="tx1"/>
            </w14:solidFill>
          </w14:textFill>
        </w:rPr>
        <w:t>凡被列入失信被执行人、重大税收违法案件当事人名单、政府采购严重违法失信行为记录名单的，视为存在不良信用记录，参与本项目的将被拒绝。</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3-2、特别说明：</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（1）供应商如在成交通知书发出前出现违法失信行为，采购人仍有权利提请评审委员会取消其成交资格；</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（2）供应商在磋商响应文件中已出具的信用查询结果并不能取代采购人或采购代理机构在评审前进行复查。</w:t>
      </w:r>
    </w:p>
    <w:p>
      <w:pPr>
        <w:pageBreakBefore w:val="0"/>
        <w:widowControl/>
        <w:shd w:val="clear" w:color="auto" w:fill="FFFFFF"/>
        <w:kinsoku/>
        <w:wordWrap/>
        <w:topLinePunct w:val="0"/>
        <w:autoSpaceDE/>
        <w:autoSpaceDN/>
        <w:bidi w:val="0"/>
        <w:spacing w:line="64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4、竞争性磋商响应文件的组成</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4-1、竞争性磋商函（格式）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4-2、磋商报价一览表（格式）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分项报价表（格式）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、商务条款响应偏离表（格式）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4-5、</w:t>
      </w:r>
      <w:r>
        <w:rPr>
          <w:rFonts w:hint="eastAsia" w:ascii="仿宋" w:hAnsi="仿宋" w:eastAsia="仿宋" w:cs="仿宋"/>
          <w:color w:val="000000" w:themeColor="text1"/>
          <w:sz w:val="24"/>
          <w:highlight w:val="none"/>
          <w14:textFill>
            <w14:solidFill>
              <w14:schemeClr w14:val="tx1"/>
            </w14:solidFill>
          </w14:textFill>
        </w:rPr>
        <w:t>服务条款响应偏离表（格式）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、资格证明文件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2019年1月1日</w:t>
      </w:r>
      <w:r>
        <w:rPr>
          <w:rFonts w:hint="eastAsia" w:ascii="仿宋" w:hAnsi="仿宋" w:eastAsia="仿宋" w:cs="仿宋"/>
          <w:color w:val="000000" w:themeColor="text1"/>
          <w:sz w:val="24"/>
          <w:highlight w:val="none"/>
          <w14:textFill>
            <w14:solidFill>
              <w14:schemeClr w14:val="tx1"/>
            </w14:solidFill>
          </w14:textFill>
        </w:rPr>
        <w:t>至今</w:t>
      </w:r>
      <w:r>
        <w:rPr>
          <w:rFonts w:hint="eastAsia" w:ascii="仿宋" w:hAnsi="仿宋" w:eastAsia="仿宋" w:cs="仿宋"/>
          <w:color w:val="000000" w:themeColor="text1"/>
          <w:sz w:val="24"/>
          <w:highlight w:val="none"/>
          <w:lang w:val="en-US" w:eastAsia="zh-CN"/>
          <w14:textFill>
            <w14:solidFill>
              <w14:schemeClr w14:val="tx1"/>
            </w14:solidFill>
          </w14:textFill>
        </w:rPr>
        <w:t>类似</w:t>
      </w:r>
      <w:r>
        <w:rPr>
          <w:rFonts w:hint="eastAsia" w:ascii="仿宋" w:hAnsi="仿宋" w:eastAsia="仿宋" w:cs="仿宋"/>
          <w:color w:val="000000" w:themeColor="text1"/>
          <w:sz w:val="24"/>
          <w:highlight w:val="none"/>
          <w14:textFill>
            <w14:solidFill>
              <w14:schemeClr w14:val="tx1"/>
            </w14:solidFill>
          </w14:textFill>
        </w:rPr>
        <w:t>项目业绩（提供合同复印件加盖公章）</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4-8</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项目实施方案</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4-9、拟派项目人员与设备配备（格式）</w:t>
      </w:r>
    </w:p>
    <w:p>
      <w:pPr>
        <w:pageBreakBefore w:val="0"/>
        <w:kinsoku/>
        <w:wordWrap/>
        <w:topLinePunct w:val="0"/>
        <w:autoSpaceDE/>
        <w:autoSpaceDN/>
        <w:bidi w:val="0"/>
        <w:spacing w:line="640" w:lineRule="exact"/>
        <w:ind w:firstLine="480" w:firstLineChars="200"/>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4-10、售后服务承诺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磋商文件要求的其他资料及供应商认为需要提供的文件和资料。</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5、竞争性磋商响应文件编写说明</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5-1、竞争性磋商响应文件格式：竞争性磋商响应文件应当按照竞争性磋商文件给定的格式和要求编制，格式之外的可自行编写。</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-2、供应商必须按照竞争性磋商文件的规定和要求在竞争性磋商响应文件中指定的页面落款处加盖公章（鲜章）并由法定代表人或被授权人签字（或盖章），竞争性磋商文件凡是要求法定代表人签字或盖章之处，非法人单位的负责人均参照执行。如有遗漏，将作为无效磋商响应处理。副本可以是正本的复印件。如果正本与副本不一致，以正本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5-3、除供应商对错误处需修改外，全套竞争性磋商响应文件应无涂改或行间插字或增删。如有修改，修改处应加盖供应商公章及法定代表人或被授权人签字（或盖章）确认。</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5-4、竞争性磋商响应文件的正本和副本均需打印或用不褪色、不变质的墨水书写。因字迹潦草或表达不清所引起的后果由供应商自行负责。</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5-5、竞争性磋商响应文件电子版内容须与竞争性磋商响应文件纸质版正本中的内容一致。</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6、磋商文件的装订及密封</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-1、密封要求：磋商时，供应商应自行将磋商响应文件密封完好（封袋不得有破损）。标袋上应写明项目名称、项目编号、供应商名称及“正本”、“副本”字样，并在密封条接缝处加盖单位公章（鲜章）和法定代表人或被授权人签字(或盖章）；</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6-2、装订要求：磋商响应文件一律采用书籍（胶装）方式装订。在磋商响应文件书脊处写明项目名称、项目编号及供应商名称。磋商响应文件正本一份，副本三份，共四份。电子文件一份（</w:t>
      </w:r>
      <w:r>
        <w:rPr>
          <w:rFonts w:hint="eastAsia" w:ascii="仿宋" w:hAnsi="仿宋" w:eastAsia="仿宋" w:cs="仿宋"/>
          <w:color w:val="000000" w:themeColor="text1"/>
          <w:sz w:val="24"/>
          <w:highlight w:val="none"/>
          <w:lang w:eastAsia="zh-CN"/>
          <w14:textFill>
            <w14:solidFill>
              <w14:schemeClr w14:val="tx1"/>
            </w14:solidFill>
          </w14:textFill>
        </w:rPr>
        <w:t>用</w:t>
      </w:r>
      <w:r>
        <w:rPr>
          <w:rFonts w:hint="eastAsia" w:ascii="仿宋" w:hAnsi="仿宋" w:eastAsia="仿宋" w:cs="仿宋"/>
          <w:color w:val="000000" w:themeColor="text1"/>
          <w:sz w:val="24"/>
          <w:highlight w:val="none"/>
          <w14:textFill>
            <w14:solidFill>
              <w14:schemeClr w14:val="tx1"/>
            </w14:solidFill>
          </w14:textFill>
        </w:rPr>
        <w:t>U盘或移动硬盘</w:t>
      </w:r>
      <w:r>
        <w:rPr>
          <w:rFonts w:hint="eastAsia" w:ascii="仿宋" w:hAnsi="仿宋" w:eastAsia="仿宋" w:cs="仿宋"/>
          <w:color w:val="000000" w:themeColor="text1"/>
          <w:sz w:val="24"/>
          <w:highlight w:val="none"/>
          <w:lang w:eastAsia="zh-CN"/>
          <w14:textFill>
            <w14:solidFill>
              <w14:schemeClr w14:val="tx1"/>
            </w14:solidFill>
          </w14:textFill>
        </w:rPr>
        <w:t>拷贝</w:t>
      </w:r>
      <w:r>
        <w:rPr>
          <w:rFonts w:hint="eastAsia" w:ascii="仿宋" w:hAnsi="仿宋" w:eastAsia="仿宋" w:cs="仿宋"/>
          <w:color w:val="000000" w:themeColor="text1"/>
          <w:sz w:val="24"/>
          <w:highlight w:val="none"/>
          <w14:textFill>
            <w14:solidFill>
              <w14:schemeClr w14:val="tx1"/>
            </w14:solidFill>
          </w14:textFill>
        </w:rPr>
        <w:t>），电子版</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文件提供</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文件正本的word版本及PDF版本（PDF文件为完整签字、盖章的正本扫描件）。纸质磋商响应文件均须A4纸打印（提倡双面打印），分别各自装订成册并编制目录和页码。电子版放置磋商响应文件正本标袋内。</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7、竞争性磋商响应文件的计量单位</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竞争性磋商响应文件中所使用的计量单位，除有特殊要求外，均采用国家法定计量单位。</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8、磋商报价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8-1、</w:t>
      </w:r>
      <w:r>
        <w:rPr>
          <w:rFonts w:hint="eastAsia" w:ascii="仿宋" w:hAnsi="仿宋" w:eastAsia="仿宋" w:cs="仿宋"/>
          <w:color w:val="000000" w:themeColor="text1"/>
          <w:sz w:val="24"/>
          <w:highlight w:val="none"/>
          <w:lang w:val="en-US" w:eastAsia="zh-CN"/>
          <w14:textFill>
            <w14:solidFill>
              <w14:schemeClr w14:val="tx1"/>
            </w14:solidFill>
          </w14:textFill>
        </w:rPr>
        <w:t>本项目为交钥匙项目。</w:t>
      </w:r>
      <w:r>
        <w:rPr>
          <w:rFonts w:hint="eastAsia" w:ascii="仿宋" w:hAnsi="仿宋" w:eastAsia="仿宋" w:cs="仿宋"/>
          <w:color w:val="000000" w:themeColor="text1"/>
          <w:sz w:val="24"/>
          <w:highlight w:val="none"/>
          <w14:textFill>
            <w14:solidFill>
              <w14:schemeClr w14:val="tx1"/>
            </w14:solidFill>
          </w14:textFill>
        </w:rPr>
        <w:t>磋商报价=服务费+保险费+人员费+其他相关伴随费用</w:t>
      </w:r>
      <w:r>
        <w:rPr>
          <w:rFonts w:hint="eastAsia" w:ascii="仿宋" w:hAnsi="仿宋" w:eastAsia="仿宋" w:cs="仿宋"/>
          <w:color w:val="000000" w:themeColor="text1"/>
          <w:sz w:val="24"/>
          <w:highlight w:val="none"/>
          <w:lang w:val="en-US" w:eastAsia="zh-CN"/>
          <w14:textFill>
            <w14:solidFill>
              <w14:schemeClr w14:val="tx1"/>
            </w14:solidFill>
          </w14:textFill>
        </w:rPr>
        <w:t>。</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8-2、供应商所报的磋商价在合同执行过程中是固定不变的，不得以任何理由予以变更。任何包含价格调整要求的磋商，将被认为是非响应性磋商而予以拒绝。</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8-3、</w:t>
      </w:r>
      <w:r>
        <w:rPr>
          <w:rFonts w:hint="eastAsia" w:ascii="仿宋" w:hAnsi="仿宋" w:eastAsia="仿宋" w:cs="仿宋"/>
          <w:color w:val="000000" w:themeColor="text1"/>
          <w:sz w:val="24"/>
          <w:highlight w:val="none"/>
          <w14:textFill>
            <w14:solidFill>
              <w14:schemeClr w14:val="tx1"/>
            </w14:solidFill>
          </w14:textFill>
        </w:rPr>
        <w:t>不接受超过</w:t>
      </w:r>
      <w:r>
        <w:rPr>
          <w:rFonts w:hint="eastAsia" w:ascii="仿宋" w:hAnsi="仿宋" w:eastAsia="仿宋" w:cs="仿宋"/>
          <w:color w:val="000000" w:themeColor="text1"/>
          <w:sz w:val="24"/>
          <w:highlight w:val="none"/>
          <w:lang w:eastAsia="zh-CN"/>
          <w14:textFill>
            <w14:solidFill>
              <w14:schemeClr w14:val="tx1"/>
            </w14:solidFill>
          </w14:textFill>
        </w:rPr>
        <w:t>竞争性磋商文件</w:t>
      </w:r>
      <w:r>
        <w:rPr>
          <w:rFonts w:hint="eastAsia" w:ascii="仿宋" w:hAnsi="仿宋" w:eastAsia="仿宋" w:cs="仿宋"/>
          <w:color w:val="000000" w:themeColor="text1"/>
          <w:sz w:val="24"/>
          <w:highlight w:val="none"/>
          <w14:textFill>
            <w14:solidFill>
              <w14:schemeClr w14:val="tx1"/>
            </w14:solidFill>
          </w14:textFill>
        </w:rPr>
        <w:t>中规定的预算金额或者最高限价的报价、可变动性报价、赠送及“零”报价，否则视为无效投标。</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9、各供应商须对以下内容做出承诺：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9-1、供应商不得以他人名义磋商和串通磋商。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9-2、必须根据竞争性磋商文件要求进行服务；</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9-3、非经采购人同意，不得将本项目内容进行分包实施，一经发现，立即取消其成交资格，并承担由此引起的一切经济损失；经采购人同意，成交人可以依法采取分包方式履行合同。</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9-4、接受采购人委托的相关单位对服务内容、质量、进度、实施方案、价款支付与结算等的监督和管理。</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9-5、供应商应保证在本项目使用的任何服务的任何一部分，不会产生因第三方提出的侵犯其专利权、商标权、著作权或其它知识产权而引起的法律和经济纠纷，由此引起的纠纷，由供应商承担所有相关责任；</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-6、采购人享有在本项目实施过程中产生的知识成果及知识产权。供应商如欲在项目实施过程中采用自有知识成果，需在竞争性磋商响应文件中声明，并提供相关知识产权证明文件。使用该知识成果后，供应商须提供开发接口和开发手册等技术文档，并承诺提供无限期技术支持，采购人享有永久使用权。如采用供应商所不拥有的知识产权，则在报价中必须包含合法获得该知识产权的相关费用。</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9-7、供应商不能以“赠送”、“赠予”等任何名义提供货物和服务规避竞争性磋商文件的约束。否则，将作为无效响应文件处理。供应商的行为将作为以不正当手段排挤其他供应商认定。</w:t>
      </w:r>
    </w:p>
    <w:p>
      <w:pPr>
        <w:pStyle w:val="4"/>
        <w:pageBreakBefore w:val="0"/>
        <w:kinsoku/>
        <w:overflowPunct/>
        <w:autoSpaceDE/>
        <w:autoSpaceDN/>
        <w:bidi w:val="0"/>
        <w:adjustRightInd/>
        <w:snapToGrid/>
        <w:spacing w:before="0" w:after="0" w:line="560" w:lineRule="exact"/>
        <w:textAlignment w:val="auto"/>
        <w:rPr>
          <w:rFonts w:hint="eastAsia" w:ascii="仿宋" w:hAnsi="仿宋" w:eastAsia="仿宋" w:cs="仿宋"/>
          <w:color w:val="auto"/>
          <w:kern w:val="0"/>
          <w:sz w:val="28"/>
          <w:szCs w:val="28"/>
          <w:highlight w:val="none"/>
        </w:rPr>
      </w:pPr>
      <w:bookmarkStart w:id="13" w:name="_Toc458848736"/>
      <w:bookmarkStart w:id="14" w:name="_Toc458848969"/>
      <w:bookmarkStart w:id="15" w:name="_Toc458848821"/>
      <w:bookmarkStart w:id="16" w:name="_Toc3854"/>
      <w:bookmarkStart w:id="17" w:name="_Toc14492"/>
      <w:bookmarkStart w:id="18" w:name="_Toc458848970"/>
      <w:bookmarkStart w:id="19" w:name="_Toc5793"/>
      <w:bookmarkStart w:id="20" w:name="_Toc458848822"/>
      <w:bookmarkStart w:id="21" w:name="_Toc458848737"/>
      <w:r>
        <w:rPr>
          <w:rFonts w:hint="eastAsia" w:ascii="仿宋" w:hAnsi="仿宋" w:eastAsia="仿宋" w:cs="仿宋"/>
          <w:color w:val="auto"/>
          <w:kern w:val="0"/>
          <w:sz w:val="28"/>
          <w:szCs w:val="28"/>
          <w:highlight w:val="none"/>
        </w:rPr>
        <w:t>五、磋商担保</w:t>
      </w:r>
      <w:bookmarkEnd w:id="13"/>
      <w:bookmarkEnd w:id="14"/>
      <w:bookmarkEnd w:id="15"/>
      <w:bookmarkEnd w:id="16"/>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1、担保方式：见供应商须知前附表。</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2、磋商担保递交截止时间：见供应商须知前附表。</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3、供应商参加磋商时，必须以竞争性磋商文件规定的方式提交磋商担保，并作为其磋商响应的一部分。磋商现场不办理担保收取事宜。若</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未在磋商担保递交截止时间收到足额磋商保证金或有效磋商担保函的，或未在磋商响应文件中附磋商担保凭证的，其磋商响应文件无效。</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4、退还磋商保证金：</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（1）在</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截止时间前撤回已提交</w:t>
      </w:r>
      <w:r>
        <w:rPr>
          <w:rFonts w:hint="eastAsia" w:ascii="仿宋" w:hAnsi="仿宋" w:eastAsia="仿宋" w:cs="仿宋"/>
          <w:b/>
          <w:bCs/>
          <w:color w:val="auto"/>
          <w:sz w:val="24"/>
          <w:highlight w:val="none"/>
          <w:u w:val="single"/>
          <w:lang w:val="en-US" w:eastAsia="zh-CN"/>
        </w:rPr>
        <w:t>磋商响应</w:t>
      </w:r>
      <w:r>
        <w:rPr>
          <w:rFonts w:hint="eastAsia" w:ascii="仿宋" w:hAnsi="仿宋" w:eastAsia="仿宋" w:cs="仿宋"/>
          <w:b/>
          <w:bCs/>
          <w:color w:val="auto"/>
          <w:sz w:val="24"/>
          <w:highlight w:val="none"/>
          <w:u w:val="single"/>
        </w:rPr>
        <w:t>文件的</w:t>
      </w:r>
      <w:r>
        <w:rPr>
          <w:rFonts w:hint="eastAsia" w:ascii="仿宋" w:hAnsi="仿宋" w:eastAsia="仿宋" w:cs="仿宋"/>
          <w:b/>
          <w:bCs/>
          <w:color w:val="auto"/>
          <w:sz w:val="24"/>
          <w:highlight w:val="none"/>
          <w:u w:val="single"/>
          <w:lang w:val="en-US" w:eastAsia="zh-CN"/>
        </w:rPr>
        <w:t>供应商</w:t>
      </w:r>
      <w:r>
        <w:rPr>
          <w:rFonts w:hint="eastAsia" w:ascii="仿宋" w:hAnsi="仿宋" w:eastAsia="仿宋" w:cs="仿宋"/>
          <w:b/>
          <w:bCs/>
          <w:color w:val="auto"/>
          <w:sz w:val="24"/>
          <w:highlight w:val="none"/>
          <w:u w:val="single"/>
        </w:rPr>
        <w:t>的</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保证金，将在采购代理机构收到</w:t>
      </w:r>
      <w:r>
        <w:rPr>
          <w:rFonts w:hint="eastAsia" w:ascii="仿宋" w:hAnsi="仿宋" w:eastAsia="仿宋" w:cs="仿宋"/>
          <w:b/>
          <w:bCs/>
          <w:color w:val="auto"/>
          <w:sz w:val="24"/>
          <w:highlight w:val="none"/>
          <w:u w:val="single"/>
          <w:lang w:val="en-US" w:eastAsia="zh-CN"/>
        </w:rPr>
        <w:t>供应商</w:t>
      </w:r>
      <w:r>
        <w:rPr>
          <w:rFonts w:hint="eastAsia" w:ascii="仿宋" w:hAnsi="仿宋" w:eastAsia="仿宋" w:cs="仿宋"/>
          <w:b/>
          <w:bCs/>
          <w:color w:val="auto"/>
          <w:sz w:val="24"/>
          <w:highlight w:val="none"/>
          <w:u w:val="single"/>
        </w:rPr>
        <w:t>书面撤回通知之日起5个工作日内退还（无息）。</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（2）所有未</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人的</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保证金，将在</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通知书发出后5个工作日内退还（无息）。</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（3）</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人的</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保证金，将在签订合同后5个工作日内执合同予以退还（无息）。（</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人须携带合同原件、合同复印件（加盖单位鲜章）各一份，同时将合同扫描件发送至hzghxmglyxgs@163.com邮箱），但因</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人自身原因导致无法及时退还的除外。</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w:t>
      </w:r>
      <w:r>
        <w:rPr>
          <w:rFonts w:hint="eastAsia" w:ascii="仿宋" w:hAnsi="仿宋" w:eastAsia="仿宋" w:cs="仿宋"/>
          <w:b/>
          <w:bCs/>
          <w:color w:val="auto"/>
          <w:sz w:val="24"/>
          <w:highlight w:val="none"/>
          <w:u w:val="single"/>
          <w:lang w:val="en-US" w:eastAsia="zh-CN"/>
        </w:rPr>
        <w:t>4</w:t>
      </w:r>
      <w:r>
        <w:rPr>
          <w:rFonts w:hint="eastAsia" w:ascii="仿宋" w:hAnsi="仿宋" w:eastAsia="仿宋" w:cs="仿宋"/>
          <w:b/>
          <w:bCs/>
          <w:color w:val="auto"/>
          <w:sz w:val="24"/>
          <w:highlight w:val="none"/>
          <w:u w:val="single"/>
        </w:rPr>
        <w:t>）若招标终止，采购代理机构将在发布招标终止公告后5个工作日内退还</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保证金（无息）。</w:t>
      </w:r>
    </w:p>
    <w:p>
      <w:pPr>
        <w:pageBreakBefore w:val="0"/>
        <w:tabs>
          <w:tab w:val="left" w:pos="2700"/>
        </w:tabs>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5、如磋商发生下列情况之一时，磋商保证金将不予退还，提供担保函的供应商将由专业担保机构先行偿付采购人损失：</w:t>
      </w:r>
    </w:p>
    <w:p>
      <w:pPr>
        <w:pageBreakBefore w:val="0"/>
        <w:tabs>
          <w:tab w:val="left" w:pos="2700"/>
        </w:tabs>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highlight w:val="none"/>
          <w:u w:val="single"/>
        </w:rPr>
        <w:t>供应商提供虚假资质谋取成交的；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5-2、</w:t>
      </w:r>
      <w:r>
        <w:rPr>
          <w:rFonts w:hint="eastAsia" w:ascii="仿宋" w:hAnsi="仿宋" w:eastAsia="仿宋" w:cs="仿宋"/>
          <w:color w:val="auto"/>
          <w:sz w:val="24"/>
          <w:highlight w:val="none"/>
          <w:u w:val="single"/>
        </w:rPr>
        <w:t>供应商有围标、串标现象，经查证属实的；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5-3、</w:t>
      </w:r>
      <w:r>
        <w:rPr>
          <w:rFonts w:hint="eastAsia" w:ascii="仿宋" w:hAnsi="仿宋" w:eastAsia="仿宋" w:cs="仿宋"/>
          <w:color w:val="auto"/>
          <w:sz w:val="24"/>
          <w:highlight w:val="none"/>
          <w:u w:val="single"/>
        </w:rPr>
        <w:t>供应商在竞争性磋商文件规定的磋商响应有效期内撤回磋商响应文件的；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5-4、</w:t>
      </w:r>
      <w:r>
        <w:rPr>
          <w:rFonts w:hint="eastAsia" w:ascii="仿宋" w:hAnsi="仿宋" w:eastAsia="仿宋" w:cs="仿宋"/>
          <w:color w:val="auto"/>
          <w:sz w:val="24"/>
          <w:highlight w:val="none"/>
          <w:u w:val="single"/>
        </w:rPr>
        <w:t>供应商自行放弃磋商资格而未在磋商会议前一天以书面形式告知采购代理机构的；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5-5、</w:t>
      </w:r>
      <w:r>
        <w:rPr>
          <w:rFonts w:hint="eastAsia" w:ascii="仿宋" w:hAnsi="仿宋" w:eastAsia="仿宋" w:cs="仿宋"/>
          <w:color w:val="auto"/>
          <w:sz w:val="24"/>
          <w:highlight w:val="none"/>
          <w:u w:val="single"/>
        </w:rPr>
        <w:t>供应商自行放弃成交资格的；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5-6、</w:t>
      </w:r>
      <w:r>
        <w:rPr>
          <w:rFonts w:hint="eastAsia" w:ascii="仿宋" w:hAnsi="仿宋" w:eastAsia="仿宋" w:cs="仿宋"/>
          <w:color w:val="auto"/>
          <w:sz w:val="24"/>
          <w:highlight w:val="none"/>
          <w:u w:val="single"/>
        </w:rPr>
        <w:t>成交供应商不在规定的时效内领取《成交通知书》的；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5-7、</w:t>
      </w:r>
      <w:r>
        <w:rPr>
          <w:rFonts w:hint="eastAsia" w:ascii="仿宋" w:hAnsi="仿宋" w:eastAsia="仿宋" w:cs="仿宋"/>
          <w:color w:val="auto"/>
          <w:sz w:val="24"/>
          <w:highlight w:val="none"/>
          <w:u w:val="single"/>
        </w:rPr>
        <w:t>成交供应商不按规定支付招标服务费的；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auto"/>
          <w:sz w:val="24"/>
          <w:highlight w:val="none"/>
        </w:rPr>
        <w:t>5-8、</w:t>
      </w:r>
      <w:r>
        <w:rPr>
          <w:rFonts w:hint="eastAsia" w:ascii="仿宋" w:hAnsi="仿宋" w:eastAsia="仿宋" w:cs="仿宋"/>
          <w:color w:val="auto"/>
          <w:sz w:val="24"/>
          <w:highlight w:val="none"/>
          <w:u w:val="single"/>
        </w:rPr>
        <w:t>成交供应商因自身原因未能在规定期限内与采购人签订合同的；</w:t>
      </w:r>
      <w:bookmarkEnd w:id="17"/>
    </w:p>
    <w:p>
      <w:pPr>
        <w:pStyle w:val="4"/>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六</w:t>
      </w:r>
      <w:r>
        <w:rPr>
          <w:rFonts w:hint="eastAsia" w:ascii="仿宋" w:hAnsi="仿宋" w:eastAsia="仿宋" w:cs="仿宋"/>
          <w:color w:val="000000" w:themeColor="text1"/>
          <w:kern w:val="0"/>
          <w:sz w:val="28"/>
          <w:szCs w:val="28"/>
          <w:highlight w:val="none"/>
          <w14:textFill>
            <w14:solidFill>
              <w14:schemeClr w14:val="tx1"/>
            </w14:solidFill>
          </w14:textFill>
        </w:rPr>
        <w:t>、磋商响应</w:t>
      </w:r>
      <w:bookmarkEnd w:id="18"/>
      <w:bookmarkEnd w:id="19"/>
      <w:bookmarkEnd w:id="20"/>
      <w:bookmarkEnd w:id="21"/>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bCs/>
          <w:color w:val="000000" w:themeColor="text1"/>
          <w:sz w:val="24"/>
          <w:highlight w:val="none"/>
          <w14:textFill>
            <w14:solidFill>
              <w14:schemeClr w14:val="tx1"/>
            </w14:solidFill>
          </w14:textFill>
        </w:rPr>
        <w:t>竞争性磋商响应</w:t>
      </w:r>
      <w:r>
        <w:rPr>
          <w:rFonts w:hint="eastAsia" w:ascii="仿宋" w:hAnsi="仿宋" w:eastAsia="仿宋" w:cs="仿宋"/>
          <w:color w:val="000000" w:themeColor="text1"/>
          <w:sz w:val="24"/>
          <w:highlight w:val="none"/>
          <w14:textFill>
            <w14:solidFill>
              <w14:schemeClr w14:val="tx1"/>
            </w14:solidFill>
          </w14:textFill>
        </w:rPr>
        <w:t>文件、必备资质文件的递交：</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1-1、供应商应按规定的时间、地点，于磋商截止时间前递交竞争性磋商响应文件、必备资质文件；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1-2、逾</w:t>
      </w:r>
      <w:r>
        <w:rPr>
          <w:rFonts w:hint="eastAsia" w:ascii="仿宋" w:hAnsi="仿宋" w:eastAsia="仿宋" w:cs="仿宋"/>
          <w:color w:val="000000" w:themeColor="text1"/>
          <w:sz w:val="24"/>
          <w:highlight w:val="none"/>
          <w14:textFill>
            <w14:solidFill>
              <w14:schemeClr w14:val="tx1"/>
            </w14:solidFill>
          </w14:textFill>
        </w:rPr>
        <w:t>期送达或者未按照竞争性磋商文件要求密封的竞争性磋商响应文件，将被拒收</w:t>
      </w:r>
      <w:r>
        <w:rPr>
          <w:rFonts w:hint="eastAsia" w:ascii="仿宋" w:hAnsi="仿宋" w:eastAsia="仿宋" w:cs="仿宋"/>
          <w:color w:val="000000" w:themeColor="text1"/>
          <w:sz w:val="24"/>
          <w:highlight w:val="none"/>
          <w:lang w:eastAsia="zh-CN"/>
          <w14:textFill>
            <w14:solidFill>
              <w14:schemeClr w14:val="tx1"/>
            </w14:solidFill>
          </w14:textFill>
        </w:rPr>
        <w:t>；</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、供应商在规定的磋商截止时间后递交磋商响应文件、必备资质文件，将被拒收。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、本次磋商不接受邮寄的磋商响应文件、必备资质文件。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bCs/>
          <w:color w:val="000000" w:themeColor="text1"/>
          <w:sz w:val="24"/>
          <w:highlight w:val="none"/>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响应文件的补充、修改与撤回：</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供应商在递交竞争性磋商响应文件以后，在规定的磋商截止时间之前,可以书面形式补充、修改或撤回已递交的竞争性磋商响应文件，并以书面形式通知采购代理机构。补充、修改的内容应当按竞争性磋商文件要求签署、盖章，并作为竞争性磋商响应文件的组成部分。补充、修改的内容与相应文件不一致的，以补充、修改的内容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2-2、供应商提出修改要求的，须在磋商响应截止时间前密封送到采购代理机构，并在封面上加注“修改”字样。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供应商提出撤标要求的，须在磋商响应截止时间前以书面形式（经由法定代表人或被授权人签字）通知采购代理机构。如采取传真形式撤回磋商响应，随后必须补充有法定代表人或被授权人签署的要求撤回磋商响应的正式文件。采购代理机构摄像留存后，将要“撤回”的磋商响应文件（包含纸质及电子版）退还供应商，供应商签字确认领取。</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2-4、磋商截止时间之后，供应商不得补充、修改竞争性磋商响应文件；</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2-5、在磋商截止时间至磋商响应有效期满之前，供应商不得撤回其竞争性磋商响应文件，否则其磋商保证金将不予退还。提供磋商担保的供应商将由专业担保机构先行偿付采购人损失。</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kern w:val="0"/>
          <w:sz w:val="24"/>
          <w:highlight w:val="none"/>
          <w14:textFill>
            <w14:solidFill>
              <w14:schemeClr w14:val="tx1"/>
            </w14:solidFill>
          </w14:textFill>
        </w:rPr>
        <w:t>、竞争性磋商响应有效期：</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3-1、自磋商之日起算90个日历日。竞争性磋商响应有效期短于竞争性磋商文件规定的磋商响应有效期，按无效竞争性磋商响应处理。成交单位的竞争性磋商有效期延长至合同执行完毕。</w:t>
      </w:r>
    </w:p>
    <w:p>
      <w:pPr>
        <w:pStyle w:val="39"/>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3-2、在原有有效期结束前，采购代理机构可要求供应商延长竞争性磋商响应有效期。拒绝延长有效期的供应商有权收回磋商保证金，但不得参与该项目后续采购活动。同意延长有效期的供应商应相应延长磋商担保的有效期，但不得修改竞争性磋商响应文件的实质性内容。</w:t>
      </w:r>
    </w:p>
    <w:p>
      <w:pPr>
        <w:pStyle w:val="39"/>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4、供应商</w:t>
      </w:r>
      <w:r>
        <w:rPr>
          <w:rFonts w:hint="eastAsia" w:ascii="仿宋" w:hAnsi="仿宋" w:eastAsia="仿宋" w:cs="仿宋"/>
          <w:color w:val="000000" w:themeColor="text1"/>
          <w:kern w:val="2"/>
          <w:sz w:val="24"/>
          <w:szCs w:val="24"/>
          <w:highlight w:val="none"/>
          <w14:textFill>
            <w14:solidFill>
              <w14:schemeClr w14:val="tx1"/>
            </w14:solidFill>
          </w14:textFill>
        </w:rPr>
        <w:t>有下列情形之一的，属于恶意串通，对其依照《中华人民共和国政府采购法》</w:t>
      </w:r>
    </w:p>
    <w:p>
      <w:pPr>
        <w:pStyle w:val="39"/>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第七十七条第一款的规定追究法律责任，响应无效：</w:t>
      </w:r>
    </w:p>
    <w:p>
      <w:pPr>
        <w:pStyle w:val="39"/>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4-1、供应商直接或者间接从采购人或采购代理机构处获得其他供应商的相关情况并修改其磋商响应文件；</w:t>
      </w:r>
    </w:p>
    <w:p>
      <w:pPr>
        <w:pStyle w:val="39"/>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4-2、供应商按照采购人或采购代理机构的授意撤换、修改磋商响应文件；</w:t>
      </w:r>
    </w:p>
    <w:p>
      <w:pPr>
        <w:pStyle w:val="39"/>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4-3、供应商之间协商报价、技术方案等磋商响应文件的实质性内容；</w:t>
      </w:r>
    </w:p>
    <w:p>
      <w:pPr>
        <w:pStyle w:val="39"/>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4-4、属于同一集团、协会、商会等组织成员的供应商按照该组织要求协同参加政府采购活动；</w:t>
      </w:r>
    </w:p>
    <w:p>
      <w:pPr>
        <w:pStyle w:val="39"/>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4-5、供应商之间事先约定由某一特定供应商成交；</w:t>
      </w:r>
    </w:p>
    <w:p>
      <w:pPr>
        <w:pStyle w:val="39"/>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4-6、供应商之间商定部分供应商放弃参加政府采购活动或放弃成交；</w:t>
      </w:r>
    </w:p>
    <w:p>
      <w:pPr>
        <w:pStyle w:val="39"/>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4-7、供应商相互之间，为谋求特定供应商成交或排斥其他供应商的其他串通行为。</w:t>
      </w:r>
    </w:p>
    <w:p>
      <w:pPr>
        <w:pStyle w:val="39"/>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xml:space="preserve">    5、有下列情形之一的，视为供应商串通磋商，其响应无效：</w:t>
      </w:r>
    </w:p>
    <w:p>
      <w:pPr>
        <w:pStyle w:val="39"/>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5-1、不同供应商的磋商响应文件由同一单位或者个人编制；</w:t>
      </w:r>
    </w:p>
    <w:p>
      <w:pPr>
        <w:pStyle w:val="39"/>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5-2、不同供应商委托同一单位或者个人办理磋商事宜；</w:t>
      </w:r>
    </w:p>
    <w:p>
      <w:pPr>
        <w:pStyle w:val="39"/>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5-3、不同供应商的磋商响应文件载明的项目管理成员或者联系人为同一人；</w:t>
      </w:r>
    </w:p>
    <w:p>
      <w:pPr>
        <w:pStyle w:val="39"/>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5-4、不同供应商的磋商响应文件异常一致或者磋商报价呈现规律性差异；</w:t>
      </w:r>
    </w:p>
    <w:p>
      <w:pPr>
        <w:pStyle w:val="39"/>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5-5、不同供应商的磋商响应文件相互混装；</w:t>
      </w:r>
    </w:p>
    <w:p>
      <w:pPr>
        <w:pStyle w:val="39"/>
        <w:spacing w:line="560" w:lineRule="exact"/>
        <w:ind w:firstLine="48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kern w:val="2"/>
          <w:sz w:val="24"/>
          <w:szCs w:val="24"/>
          <w:highlight w:val="none"/>
        </w:rPr>
        <w:t>5-6、不同供应商的磋商保证金从同一单位或者个人的账户转出。</w:t>
      </w:r>
    </w:p>
    <w:p>
      <w:pPr>
        <w:pStyle w:val="39"/>
        <w:pageBreakBefore w:val="0"/>
        <w:kinsoku/>
        <w:wordWrap/>
        <w:topLinePunct w:val="0"/>
        <w:autoSpaceDE/>
        <w:autoSpaceDN/>
        <w:bidi w:val="0"/>
        <w:spacing w:line="640" w:lineRule="exact"/>
        <w:ind w:firstLine="0" w:firstLineChars="0"/>
        <w:textAlignment w:val="auto"/>
        <w:outlineLvl w:val="1"/>
        <w:rPr>
          <w:rFonts w:hint="eastAsia" w:ascii="仿宋" w:hAnsi="仿宋" w:eastAsia="仿宋" w:cs="仿宋"/>
          <w:b/>
          <w:bCs/>
          <w:color w:val="000000" w:themeColor="text1"/>
          <w:szCs w:val="28"/>
          <w:highlight w:val="none"/>
          <w14:textFill>
            <w14:solidFill>
              <w14:schemeClr w14:val="tx1"/>
            </w14:solidFill>
          </w14:textFill>
        </w:rPr>
      </w:pPr>
      <w:bookmarkStart w:id="22" w:name="_Toc23636"/>
      <w:bookmarkStart w:id="23" w:name="_Toc458848823"/>
      <w:bookmarkStart w:id="24" w:name="_Toc10685"/>
      <w:bookmarkStart w:id="25" w:name="_Toc458848738"/>
      <w:r>
        <w:rPr>
          <w:rFonts w:hint="eastAsia" w:ascii="仿宋" w:hAnsi="仿宋" w:eastAsia="仿宋" w:cs="仿宋"/>
          <w:b/>
          <w:bCs/>
          <w:color w:val="000000" w:themeColor="text1"/>
          <w:szCs w:val="28"/>
          <w:highlight w:val="none"/>
          <w:lang w:val="en-US" w:eastAsia="zh-CN"/>
          <w14:textFill>
            <w14:solidFill>
              <w14:schemeClr w14:val="tx1"/>
            </w14:solidFill>
          </w14:textFill>
        </w:rPr>
        <w:t>七</w:t>
      </w:r>
      <w:r>
        <w:rPr>
          <w:rFonts w:hint="eastAsia" w:ascii="仿宋" w:hAnsi="仿宋" w:eastAsia="仿宋" w:cs="仿宋"/>
          <w:b/>
          <w:bCs/>
          <w:color w:val="000000" w:themeColor="text1"/>
          <w:szCs w:val="28"/>
          <w:highlight w:val="none"/>
          <w14:textFill>
            <w14:solidFill>
              <w14:schemeClr w14:val="tx1"/>
            </w14:solidFill>
          </w14:textFill>
        </w:rPr>
        <w:t>、磋商、评审及定标</w:t>
      </w:r>
      <w:bookmarkEnd w:id="22"/>
      <w:bookmarkEnd w:id="23"/>
      <w:bookmarkEnd w:id="24"/>
      <w:bookmarkEnd w:id="25"/>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1、磋商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1-1、采购代理机构按竞争性磋商文件规定的时间、地点组织磋商。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1-2、所有参会人员应签名报到，以证明其出席。供应商未参加磋商的，视同认可磋商结果。</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1-3、磋商会议由采购代理机构主持。主持人宣读磋商会议开始，并宣读会场纪律，宣布参加会议的供应商名单。</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、供应商的法定代表人或被授权人与监标人当众共同查验竞争性磋商响应文件的密封情况，签字确认并宣读检查结果</w:t>
      </w:r>
      <w:r>
        <w:rPr>
          <w:rFonts w:hint="eastAsia" w:ascii="仿宋" w:hAnsi="仿宋" w:eastAsia="仿宋" w:cs="仿宋"/>
          <w:color w:val="000000" w:themeColor="text1"/>
          <w:sz w:val="24"/>
          <w:highlight w:val="none"/>
          <w:lang w:eastAsia="zh-CN"/>
          <w14:textFill>
            <w14:solidFill>
              <w14:schemeClr w14:val="tx1"/>
            </w14:solidFill>
          </w14:textFill>
        </w:rPr>
        <w:t>。</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、主持人宣布磋商会议结束，所有供应商离场。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、采购代理机构对磋商过程进行摄像、文字记录，并存档备查。</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、供应商代表对磋商过程有疑义的，以及认为采购人、采购代理机构相关工作人员有需要回避的情形的，应当场提出询问或回避申请。</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2、评审</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2-1、磋商小组</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bookmarkStart w:id="26" w:name="OLE_LINK4"/>
      <w:bookmarkStart w:id="27" w:name="OLE_LINK14"/>
      <w:r>
        <w:rPr>
          <w:rFonts w:hint="eastAsia" w:ascii="仿宋" w:hAnsi="仿宋" w:eastAsia="仿宋" w:cs="仿宋"/>
          <w:color w:val="000000" w:themeColor="text1"/>
          <w:sz w:val="24"/>
          <w:highlight w:val="none"/>
          <w14:textFill>
            <w14:solidFill>
              <w14:schemeClr w14:val="tx1"/>
            </w14:solidFill>
          </w14:textFill>
        </w:rPr>
        <w:t>采购代理机构根据《中华人民共和国政府采购法》及其实施条例、《政府采购竞争性磋商采购方式管理暂行办法》的通知（财库【2014】214号）等规定，依法组建磋商小组。</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（2）采购人可派代表进入磋商小组，并向采购代理机构出具授权函。</w:t>
      </w:r>
      <w:bookmarkEnd w:id="26"/>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（3）磋商小组应推荐一名评审专家担任评审组长，并由评审组长牵头组织该项目评审工作，采购人授权的评审专家，不得担任评审组长。</w:t>
      </w:r>
    </w:p>
    <w:bookmarkEnd w:id="27"/>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（4）磋商小组成员应当遵守并履行下列职责义务：</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a、遵纪守法，客观、公正、认真负责地履行职责，根据磋商文件规定的评审程序、评审方法和评审标准审查磋商响应文件；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b、资格审查、符合性审查、评价磋商响应文件是否符合磋商文件的商务、技术等实质性要求；</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c、要求供应商对磋商响应文件有关事项作出澄清或者说明；</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d、对磋商响应文件进行比较和评价；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e、推荐成交候选单位名单，对磋商意见承担个人责任；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f、拟定磋商结果；</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g、对磋商过程及各供应商的商业机密予以保密；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h、向财政部门报告在评审过程中发现的供应商的违法违规行为；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i、配合采购人、采购代理机构答复各供应商提出的质疑；</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j、配合各部门的投诉处理和监督检查工作。</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2-2、在政府采购活动中，采购人员及相关人员（包括评审委员会）与供应商有下列利害关系之一的，应当回避：</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（1）参加采购活动前3年内与供应商存在劳动关系；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（2）参加采购活动前3年内担任供应商的董事、监事；</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（3）参加采购活动前3年内是供应商的控股股东或者实际控制人；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（4）与供应商的法定代表人或者负责人有夫妻、直系血亲、三代以内旁系血亲或者近姻亲关系；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（5）与供应商有其他可能影响政府采购活动公平、公正进行的关系。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、磋商原则：坚持公平、公正、科学、择优原则，禁止不正当竞争。</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、评审办法：本次磋商采用综合评分法（详见本节评分标准）。</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5</w:t>
      </w:r>
      <w:r>
        <w:rPr>
          <w:rFonts w:hint="eastAsia" w:ascii="仿宋" w:hAnsi="仿宋" w:eastAsia="仿宋" w:cs="仿宋"/>
          <w:b/>
          <w:color w:val="000000" w:themeColor="text1"/>
          <w:sz w:val="24"/>
          <w:highlight w:val="none"/>
          <w14:textFill>
            <w14:solidFill>
              <w14:schemeClr w14:val="tx1"/>
            </w14:solidFill>
          </w14:textFill>
        </w:rPr>
        <w:t>、磋商工作程序</w:t>
      </w:r>
      <w:r>
        <w:rPr>
          <w:rFonts w:hint="eastAsia" w:ascii="仿宋" w:hAnsi="仿宋" w:eastAsia="仿宋" w:cs="仿宋"/>
          <w:color w:val="000000" w:themeColor="text1"/>
          <w:sz w:val="24"/>
          <w:highlight w:val="none"/>
          <w14:textFill>
            <w14:solidFill>
              <w14:schemeClr w14:val="tx1"/>
            </w14:solidFill>
          </w14:textFill>
        </w:rPr>
        <w:t>:资格性审查、符合性审查、澄清、评价、推荐成交候选人的工作程序进行评审。</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5</w:t>
      </w:r>
      <w:r>
        <w:rPr>
          <w:rFonts w:hint="eastAsia" w:ascii="仿宋" w:hAnsi="仿宋" w:eastAsia="仿宋" w:cs="仿宋"/>
          <w:b/>
          <w:color w:val="000000" w:themeColor="text1"/>
          <w:sz w:val="24"/>
          <w:highlight w:val="none"/>
          <w14:textFill>
            <w14:solidFill>
              <w14:schemeClr w14:val="tx1"/>
            </w14:solidFill>
          </w14:textFill>
        </w:rPr>
        <w:t>-1、资格性审查</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磋商会议结束后，</w:t>
      </w:r>
      <w:r>
        <w:rPr>
          <w:rFonts w:hint="eastAsia" w:ascii="仿宋" w:hAnsi="仿宋" w:eastAsia="仿宋" w:cs="仿宋"/>
          <w:b/>
          <w:color w:val="000000" w:themeColor="text1"/>
          <w:sz w:val="24"/>
          <w:highlight w:val="none"/>
          <w:lang w:eastAsia="zh-CN"/>
          <w14:textFill>
            <w14:solidFill>
              <w14:schemeClr w14:val="tx1"/>
            </w14:solidFill>
          </w14:textFill>
        </w:rPr>
        <w:t>由采购人</w:t>
      </w:r>
      <w:r>
        <w:rPr>
          <w:rFonts w:hint="eastAsia" w:ascii="仿宋" w:hAnsi="仿宋" w:eastAsia="仿宋" w:cs="仿宋"/>
          <w:b/>
          <w:color w:val="000000" w:themeColor="text1"/>
          <w:sz w:val="24"/>
          <w:highlight w:val="none"/>
          <w14:textFill>
            <w14:solidFill>
              <w14:schemeClr w14:val="tx1"/>
            </w14:solidFill>
          </w14:textFill>
        </w:rPr>
        <w:t>依法对供应商的资格进行审查，缺项或一项不符合要求即不合格，不合格的供应商其响应无效。供应商须在提交磋商响应文件截止时间前单独提交下述资质证明材料原件</w:t>
      </w:r>
      <w:r>
        <w:rPr>
          <w:rFonts w:hint="eastAsia" w:ascii="仿宋" w:hAnsi="仿宋" w:eastAsia="仿宋" w:cs="仿宋"/>
          <w:b/>
          <w:color w:val="000000" w:themeColor="text1"/>
          <w:sz w:val="24"/>
          <w:highlight w:val="none"/>
          <w:lang w:eastAsia="zh-CN"/>
          <w14:textFill>
            <w14:solidFill>
              <w14:schemeClr w14:val="tx1"/>
            </w14:solidFill>
          </w14:textFill>
        </w:rPr>
        <w:t>或加盖鲜章的复印件</w:t>
      </w:r>
      <w:r>
        <w:rPr>
          <w:rFonts w:hint="eastAsia" w:ascii="仿宋" w:hAnsi="仿宋" w:eastAsia="仿宋" w:cs="仿宋"/>
          <w:b/>
          <w:color w:val="000000" w:themeColor="text1"/>
          <w:sz w:val="24"/>
          <w:highlight w:val="none"/>
          <w14:textFill>
            <w14:solidFill>
              <w14:schemeClr w14:val="tx1"/>
            </w14:solidFill>
          </w14:textFill>
        </w:rPr>
        <w:t>，逾期不接受任何补充资料：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2、被授权人参与磋商时需提供法定代表人或负责人授权委托书（附法定代表人或负责人及被授权人身份证复印件）；（被授权人须提供身份证原件，身份证原件可由本人持有）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4、供应商</w:t>
      </w:r>
      <w:r>
        <w:rPr>
          <w:rFonts w:hint="eastAsia" w:ascii="仿宋" w:hAnsi="仿宋" w:eastAsia="仿宋" w:cs="仿宋"/>
          <w:i w:val="0"/>
          <w:iCs w:val="0"/>
          <w:caps w:val="0"/>
          <w:color w:val="000000"/>
          <w:spacing w:val="0"/>
          <w:sz w:val="24"/>
          <w:szCs w:val="24"/>
          <w:highlight w:val="none"/>
          <w:shd w:val="clear" w:color="auto" w:fill="FFFFFF"/>
        </w:rPr>
        <w:t xml:space="preserve">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 xml:space="preserve">、单位负责人为同一人或者存在直接控股、管理关系的不同供应商，不得参加同一合同项下的政府采购活动；（提供书面承诺函，格式自拟加盖供应商公章）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lang w:val="en-US" w:eastAsia="zh-CN"/>
        </w:rPr>
      </w:pPr>
      <w:r>
        <w:rPr>
          <w:rFonts w:hint="eastAsia" w:ascii="仿宋" w:hAnsi="仿宋" w:eastAsia="仿宋" w:cs="仿宋"/>
          <w:i w:val="0"/>
          <w:iCs w:val="0"/>
          <w:caps w:val="0"/>
          <w:color w:val="000000"/>
          <w:spacing w:val="0"/>
          <w:sz w:val="24"/>
          <w:szCs w:val="24"/>
          <w:highlight w:val="none"/>
          <w:shd w:val="clear" w:color="auto" w:fill="FFFFFF"/>
          <w:lang w:val="en-US" w:eastAsia="zh-CN"/>
        </w:rPr>
        <w:t>6、本项目专门面向中小企业采购；须符合《政府采购促进中小企业发展管理办法》（财库〔2020〕46号）规定的中小企业参加；(提供《中小企业声明函》，式样见竞争性磋商响应文件格式)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-2、磋商响应文件符合性审查</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依据磋商文件的规定，对资格合格者磋商响应文件的有效性、完整性和对磋商文件的响应程度进行审查，以确定是否对磋商文件的实质性内容做出响应，包含但不限于以下内容，未通过审查的按无效响应处理：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（1）供应商名称与登记领取磋商文件的单位名称不一致；</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）磋商响应文件未按照磋商文件的要求盖章签字；</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）磋商响应文件不符合磋商文件要求的数量；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）针对同一项目提交两份或多份内容不同的磋商响应文件，未书面声明哪一份是有效的或出现选择性报价的；</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 xml:space="preserve">）磋商报价（每轮）超过采购预算； </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）磋商有效期不符合磋商文件的要求；</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）对磋商文件商务要求未作出明确且实质性响应；</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-3、竞争性磋商响应文件的澄清：</w:t>
      </w:r>
    </w:p>
    <w:p>
      <w:pPr>
        <w:pageBreakBefore w:val="0"/>
        <w:kinsoku/>
        <w:wordWrap/>
        <w:overflowPunct w:val="0"/>
        <w:topLinePunct w:val="0"/>
        <w:autoSpaceDE/>
        <w:autoSpaceDN/>
        <w:bidi w:val="0"/>
        <w:adjustRightInd w:val="0"/>
        <w:snapToGrid w:val="0"/>
        <w:spacing w:line="640" w:lineRule="exact"/>
        <w:ind w:firstLine="360" w:firstLineChars="15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磋商小组要求供应商澄清、说明或者更正响应文件应当以书面形式作出。供应商的澄清、说明或者更正应当由法定代表人或其授权代表签字或者加盖公章。由授权代表签字的，应当附法定代表人授权书。</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（2）书写错误的评审标准：</w:t>
      </w:r>
    </w:p>
    <w:p>
      <w:pPr>
        <w:pageBreakBefore w:val="0"/>
        <w:kinsoku/>
        <w:wordWrap/>
        <w:overflowPunct w:val="0"/>
        <w:topLinePunct w:val="0"/>
        <w:autoSpaceDE/>
        <w:autoSpaceDN/>
        <w:bidi w:val="0"/>
        <w:adjustRightInd w:val="0"/>
        <w:snapToGrid w:val="0"/>
        <w:spacing w:line="640" w:lineRule="exact"/>
        <w:ind w:firstLine="720" w:firstLineChars="3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磋商小组在评审过程中，发现竞争性磋商响应文件出现下列情况之一者，按以下原则修正：</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a、磋商响应文件有关内容与“磋商报价一览表”不一致的，以“磋商报价一览表”为准；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b、大写金额与小写金额不一致的，以大写金额为准；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c、单价金额小数点或者百分比有明显错位的，以“磋商报价一览表”的总价为准，并修改单价；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d、总价金额与按单价汇总金额不一致的，以单价乘以数量的计算结果为准；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e、磋商响应文件图表与文字不符时，以文字为准；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f、磋商响应文件正本与副本不符时，以正本为准；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g、对不同文字文本磋商响应文件的解释发生异议的，以中文文本为准；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h、多处内容交叉不符时，以磋商小组评审结果为准。</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注：按上述方法修正的内容（其中，同时出现上述a至d两种以上不一致的，按上述规定的顺序修正），经供应商确认后产生约束力，供应商不确认的，其磋商响应无效。</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磋商响应处理。</w:t>
      </w:r>
    </w:p>
    <w:p>
      <w:pPr>
        <w:pageBreakBefore w:val="0"/>
        <w:kinsoku/>
        <w:wordWrap/>
        <w:topLinePunct w:val="0"/>
        <w:autoSpaceDE/>
        <w:autoSpaceDN/>
        <w:bidi w:val="0"/>
        <w:spacing w:line="640" w:lineRule="exact"/>
        <w:ind w:firstLine="46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-4、评议：</w:t>
      </w:r>
    </w:p>
    <w:p>
      <w:pPr>
        <w:pageBreakBefore w:val="0"/>
        <w:kinsoku/>
        <w:wordWrap/>
        <w:topLinePunct w:val="0"/>
        <w:autoSpaceDE/>
        <w:autoSpaceDN/>
        <w:bidi w:val="0"/>
        <w:spacing w:line="640" w:lineRule="exact"/>
        <w:ind w:firstLine="46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（1）磋商小组评审竞争性磋商响应文件响应性及符合性只根据竞争性磋商响应文件本身的内容，而不寻求其他外部证据。</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（2）磋商小组所有成员应当集中与单一供应商分别进行磋商，并给予所有参加磋商的供应商平等的磋商机会。</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（3）在磋商过程中，磋商小组可以根据磋商文件和磋商情况实质性变动采购需求中的技术、服务要求以及合同草案条款，但不得变动磋商文件中的其他内容。实质性变动的内容，须经采购人代表确认。</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（4）磋商结束后，磋商小组应当要求所有实质性响应的供应商在规定时间内提交最后报价。</w:t>
      </w:r>
    </w:p>
    <w:p>
      <w:pPr>
        <w:pageBreakBefore w:val="0"/>
        <w:kinsoku/>
        <w:wordWrap/>
        <w:topLinePunct w:val="0"/>
        <w:autoSpaceDE/>
        <w:autoSpaceDN/>
        <w:bidi w:val="0"/>
        <w:spacing w:line="640" w:lineRule="exact"/>
        <w:ind w:firstLine="46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评审采取逐项分步评审方式，每一步评审不符合者，不进入下一步评审。经磋商确定最终采购需求和提交最后报价后，由磋商小组采用综合评分法对提交最后报价的供应商的响应文件和最后报价进行综合评分。</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（6）其他需说明的情况：</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a、对于竞争性磋商响应文件中不构成实质性偏差的小的不正规、不一致或不规则，采购人可以接受，但这种接受不能损害或影响任何供应商的相对排序；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b、最低报价不是成交的唯一条件；</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c、如果磋商响应实质上没有响应竞争性磋商文件的要求，其磋商响应将被拒绝，供应商不得通过修正或撤消不合要求的偏离或保留从而使其磋商响应成为实质上响应的磋商响应。</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d、无论磋商的结果如何，磋商期间一切费用自理。</w:t>
      </w:r>
    </w:p>
    <w:p>
      <w:pPr>
        <w:spacing w:line="480" w:lineRule="exact"/>
        <w:ind w:firstLine="600" w:firstLineChars="249"/>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6</w:t>
      </w:r>
      <w:r>
        <w:rPr>
          <w:rFonts w:hint="eastAsia" w:ascii="仿宋" w:hAnsi="仿宋" w:eastAsia="仿宋" w:cs="仿宋"/>
          <w:b/>
          <w:color w:val="000000" w:themeColor="text1"/>
          <w:sz w:val="24"/>
          <w:highlight w:val="none"/>
          <w14:textFill>
            <w14:solidFill>
              <w14:schemeClr w14:val="tx1"/>
            </w14:solidFill>
          </w14:textFill>
        </w:rPr>
        <w:t xml:space="preserve">、评分标准 </w:t>
      </w:r>
    </w:p>
    <w:tbl>
      <w:tblPr>
        <w:tblStyle w:val="22"/>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843"/>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7554"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财政部《政府采购竞争性磋商采购方式管理暂行办法》（财库[2014]214号）的有关规定：价格分采用低价优先法计算，即满足竞争性磋商文件要求且最后报价最低的供应商的价格为磋商基准价，其价格分为满分。其他供应商的价格分统一按照下列公式计算：</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磋商报价得分=（磋商基准价/最终磋商报价）×价格权值×100</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（因落实政府采购政策进行价格调整的，以调整后的价格计算评标基准价和磋商报价，详见2-7-1至2-7-3）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项目实施方案</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分</w:t>
            </w:r>
          </w:p>
        </w:tc>
        <w:tc>
          <w:tcPr>
            <w:tcW w:w="7554"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1、根据项目特点</w:t>
            </w:r>
            <w:r>
              <w:rPr>
                <w:rFonts w:hint="eastAsia" w:ascii="仿宋" w:hAnsi="仿宋" w:eastAsia="仿宋" w:cs="仿宋"/>
                <w:color w:val="auto"/>
                <w:sz w:val="24"/>
                <w:szCs w:val="24"/>
                <w:highlight w:val="none"/>
              </w:rPr>
              <w:t>提出实施方案大纲</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思路清晰，点面结合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全面</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(10-15]</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较为全面</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(5-10]</w:t>
            </w:r>
            <w:r>
              <w:rPr>
                <w:rFonts w:hint="eastAsia" w:ascii="仿宋" w:hAnsi="仿宋" w:eastAsia="仿宋" w:cs="仿宋"/>
                <w:color w:val="auto"/>
                <w:sz w:val="24"/>
                <w:szCs w:val="24"/>
                <w:highlight w:val="none"/>
                <w:lang w:eastAsia="zh-CN"/>
              </w:rPr>
              <w:t>分，一般得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未提供不得分；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2、整个实施方案及组织实施构思、合理、人员、时间安排紧凑，有详细日程安排，并能按时完成任务。全面</w:t>
            </w:r>
            <w:r>
              <w:rPr>
                <w:rFonts w:hint="eastAsia" w:ascii="仿宋" w:hAnsi="仿宋" w:eastAsia="仿宋" w:cs="仿宋"/>
                <w:sz w:val="24"/>
                <w:szCs w:val="24"/>
                <w:highlight w:val="none"/>
                <w:lang w:eastAsia="zh-CN"/>
              </w:rPr>
              <w:t>得</w:t>
            </w:r>
            <w:r>
              <w:rPr>
                <w:rFonts w:hint="eastAsia" w:ascii="仿宋" w:hAnsi="仿宋" w:eastAsia="仿宋" w:cs="仿宋"/>
                <w:sz w:val="24"/>
                <w:szCs w:val="24"/>
                <w:highlight w:val="none"/>
                <w:lang w:val="en-US" w:eastAsia="zh-CN"/>
              </w:rPr>
              <w:t>(10-15]</w:t>
            </w:r>
            <w:r>
              <w:rPr>
                <w:rFonts w:hint="eastAsia" w:ascii="仿宋" w:hAnsi="仿宋" w:eastAsia="仿宋" w:cs="仿宋"/>
                <w:sz w:val="24"/>
                <w:szCs w:val="24"/>
                <w:highlight w:val="none"/>
                <w:lang w:eastAsia="zh-CN"/>
              </w:rPr>
              <w:t>分，</w:t>
            </w:r>
            <w:r>
              <w:rPr>
                <w:rFonts w:hint="eastAsia" w:ascii="仿宋" w:hAnsi="仿宋" w:eastAsia="仿宋" w:cs="仿宋"/>
                <w:sz w:val="24"/>
                <w:szCs w:val="24"/>
                <w:highlight w:val="none"/>
                <w:lang w:val="en-US" w:eastAsia="zh-CN"/>
              </w:rPr>
              <w:t>较为全面</w:t>
            </w:r>
            <w:r>
              <w:rPr>
                <w:rFonts w:hint="eastAsia" w:ascii="仿宋" w:hAnsi="仿宋" w:eastAsia="仿宋" w:cs="仿宋"/>
                <w:sz w:val="24"/>
                <w:szCs w:val="24"/>
                <w:highlight w:val="none"/>
                <w:lang w:eastAsia="zh-CN"/>
              </w:rPr>
              <w:t>得</w:t>
            </w:r>
            <w:r>
              <w:rPr>
                <w:rFonts w:hint="eastAsia" w:ascii="仿宋" w:hAnsi="仿宋" w:eastAsia="仿宋" w:cs="仿宋"/>
                <w:sz w:val="24"/>
                <w:szCs w:val="24"/>
                <w:highlight w:val="none"/>
                <w:lang w:val="en-US" w:eastAsia="zh-CN"/>
              </w:rPr>
              <w:t>(5-10]</w:t>
            </w:r>
            <w:r>
              <w:rPr>
                <w:rFonts w:hint="eastAsia" w:ascii="仿宋" w:hAnsi="仿宋" w:eastAsia="仿宋" w:cs="仿宋"/>
                <w:sz w:val="24"/>
                <w:szCs w:val="24"/>
                <w:highlight w:val="none"/>
                <w:lang w:eastAsia="zh-CN"/>
              </w:rPr>
              <w:t>分，一般得</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lang w:eastAsia="zh-CN"/>
              </w:rPr>
              <w:t>分，</w:t>
            </w:r>
            <w:r>
              <w:rPr>
                <w:rFonts w:hint="eastAsia" w:ascii="仿宋" w:hAnsi="仿宋" w:eastAsia="仿宋" w:cs="仿宋"/>
                <w:color w:val="auto"/>
                <w:sz w:val="24"/>
                <w:szCs w:val="24"/>
                <w:highlight w:val="none"/>
                <w:lang w:val="en-US" w:eastAsia="zh-CN"/>
              </w:rPr>
              <w:t>未提供不得分；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、项目组的机构设置健全，职责分工明确，管理制度和考核体系完善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全面</w:t>
            </w:r>
            <w:r>
              <w:rPr>
                <w:rFonts w:hint="eastAsia" w:ascii="仿宋" w:hAnsi="仿宋" w:eastAsia="仿宋" w:cs="仿宋"/>
                <w:sz w:val="24"/>
                <w:szCs w:val="24"/>
                <w:highlight w:val="none"/>
                <w:lang w:eastAsia="zh-CN"/>
              </w:rPr>
              <w:t>得</w:t>
            </w:r>
            <w:r>
              <w:rPr>
                <w:rFonts w:hint="eastAsia" w:ascii="仿宋" w:hAnsi="仿宋" w:eastAsia="仿宋" w:cs="仿宋"/>
                <w:sz w:val="24"/>
                <w:szCs w:val="24"/>
                <w:highlight w:val="none"/>
                <w:lang w:val="en-US" w:eastAsia="zh-CN"/>
              </w:rPr>
              <w:t>(10-15]</w:t>
            </w:r>
            <w:r>
              <w:rPr>
                <w:rFonts w:hint="eastAsia" w:ascii="仿宋" w:hAnsi="仿宋" w:eastAsia="仿宋" w:cs="仿宋"/>
                <w:sz w:val="24"/>
                <w:szCs w:val="24"/>
                <w:highlight w:val="none"/>
                <w:lang w:eastAsia="zh-CN"/>
              </w:rPr>
              <w:t>分，</w:t>
            </w:r>
            <w:r>
              <w:rPr>
                <w:rFonts w:hint="eastAsia" w:ascii="仿宋" w:hAnsi="仿宋" w:eastAsia="仿宋" w:cs="仿宋"/>
                <w:sz w:val="24"/>
                <w:szCs w:val="24"/>
                <w:highlight w:val="none"/>
                <w:lang w:val="en-US" w:eastAsia="zh-CN"/>
              </w:rPr>
              <w:t>较为全面</w:t>
            </w:r>
            <w:r>
              <w:rPr>
                <w:rFonts w:hint="eastAsia" w:ascii="仿宋" w:hAnsi="仿宋" w:eastAsia="仿宋" w:cs="仿宋"/>
                <w:sz w:val="24"/>
                <w:szCs w:val="24"/>
                <w:highlight w:val="none"/>
                <w:lang w:eastAsia="zh-CN"/>
              </w:rPr>
              <w:t>得</w:t>
            </w:r>
            <w:r>
              <w:rPr>
                <w:rFonts w:hint="eastAsia" w:ascii="仿宋" w:hAnsi="仿宋" w:eastAsia="仿宋" w:cs="仿宋"/>
                <w:sz w:val="24"/>
                <w:szCs w:val="24"/>
                <w:highlight w:val="none"/>
                <w:lang w:val="en-US" w:eastAsia="zh-CN"/>
              </w:rPr>
              <w:t>(5-10]</w:t>
            </w:r>
            <w:r>
              <w:rPr>
                <w:rFonts w:hint="eastAsia" w:ascii="仿宋" w:hAnsi="仿宋" w:eastAsia="仿宋" w:cs="仿宋"/>
                <w:sz w:val="24"/>
                <w:szCs w:val="24"/>
                <w:highlight w:val="none"/>
                <w:lang w:eastAsia="zh-CN"/>
              </w:rPr>
              <w:t>分，一般得</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lang w:eastAsia="zh-CN"/>
              </w:rPr>
              <w:t>分，</w:t>
            </w:r>
            <w:r>
              <w:rPr>
                <w:rFonts w:hint="eastAsia" w:ascii="仿宋" w:hAnsi="仿宋" w:eastAsia="仿宋" w:cs="仿宋"/>
                <w:color w:val="auto"/>
                <w:sz w:val="24"/>
                <w:szCs w:val="24"/>
                <w:highlight w:val="none"/>
                <w:lang w:val="en-US" w:eastAsia="zh-CN"/>
              </w:rPr>
              <w:t>未提供不得分</w:t>
            </w:r>
            <w:r>
              <w:rPr>
                <w:rFonts w:hint="eastAsia" w:ascii="仿宋" w:hAnsi="仿宋" w:eastAsia="仿宋" w:cs="仿宋"/>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、有规范的、合理的服务流程，每个流程环节有质量控制办法，对项目执行过程中的服务质量、技术保证、沟通途径有明确说明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同时承诺及时有效地配合采购人对本项目相关事项提供必要协助</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lang w:val="en-US" w:eastAsia="zh-CN"/>
              </w:rPr>
              <w:t>全面</w:t>
            </w:r>
            <w:r>
              <w:rPr>
                <w:rFonts w:hint="eastAsia" w:ascii="仿宋" w:hAnsi="仿宋" w:eastAsia="仿宋" w:cs="仿宋"/>
                <w:sz w:val="24"/>
                <w:szCs w:val="24"/>
                <w:highlight w:val="none"/>
                <w:lang w:eastAsia="zh-CN"/>
              </w:rPr>
              <w:t>得</w:t>
            </w:r>
            <w:r>
              <w:rPr>
                <w:rFonts w:hint="eastAsia" w:ascii="仿宋" w:hAnsi="仿宋" w:eastAsia="仿宋" w:cs="仿宋"/>
                <w:sz w:val="24"/>
                <w:szCs w:val="24"/>
                <w:highlight w:val="none"/>
                <w:lang w:val="en-US" w:eastAsia="zh-CN"/>
              </w:rPr>
              <w:t>(10-15]</w:t>
            </w:r>
            <w:r>
              <w:rPr>
                <w:rFonts w:hint="eastAsia" w:ascii="仿宋" w:hAnsi="仿宋" w:eastAsia="仿宋" w:cs="仿宋"/>
                <w:sz w:val="24"/>
                <w:szCs w:val="24"/>
                <w:highlight w:val="none"/>
                <w:lang w:eastAsia="zh-CN"/>
              </w:rPr>
              <w:t>分，</w:t>
            </w:r>
            <w:r>
              <w:rPr>
                <w:rFonts w:hint="eastAsia" w:ascii="仿宋" w:hAnsi="仿宋" w:eastAsia="仿宋" w:cs="仿宋"/>
                <w:sz w:val="24"/>
                <w:szCs w:val="24"/>
                <w:highlight w:val="none"/>
                <w:lang w:val="en-US" w:eastAsia="zh-CN"/>
              </w:rPr>
              <w:t>全面</w:t>
            </w:r>
            <w:r>
              <w:rPr>
                <w:rFonts w:hint="eastAsia" w:ascii="仿宋" w:hAnsi="仿宋" w:eastAsia="仿宋" w:cs="仿宋"/>
                <w:sz w:val="24"/>
                <w:szCs w:val="24"/>
                <w:highlight w:val="none"/>
                <w:lang w:eastAsia="zh-CN"/>
              </w:rPr>
              <w:t>得</w:t>
            </w:r>
            <w:r>
              <w:rPr>
                <w:rFonts w:hint="eastAsia" w:ascii="仿宋" w:hAnsi="仿宋" w:eastAsia="仿宋" w:cs="仿宋"/>
                <w:sz w:val="24"/>
                <w:szCs w:val="24"/>
                <w:highlight w:val="none"/>
                <w:lang w:val="en-US" w:eastAsia="zh-CN"/>
              </w:rPr>
              <w:t>(5-10]</w:t>
            </w:r>
            <w:r>
              <w:rPr>
                <w:rFonts w:hint="eastAsia" w:ascii="仿宋" w:hAnsi="仿宋" w:eastAsia="仿宋" w:cs="仿宋"/>
                <w:sz w:val="24"/>
                <w:szCs w:val="24"/>
                <w:highlight w:val="none"/>
                <w:lang w:eastAsia="zh-CN"/>
              </w:rPr>
              <w:t>分，一般得</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lang w:eastAsia="zh-CN"/>
              </w:rPr>
              <w:t>分，</w:t>
            </w:r>
            <w:r>
              <w:rPr>
                <w:rFonts w:hint="eastAsia" w:ascii="仿宋" w:hAnsi="仿宋" w:eastAsia="仿宋" w:cs="仿宋"/>
                <w:color w:val="auto"/>
                <w:sz w:val="24"/>
                <w:szCs w:val="24"/>
                <w:highlight w:val="none"/>
                <w:lang w:val="en-US" w:eastAsia="zh-CN"/>
              </w:rPr>
              <w:t>未提供不得分</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人员</w:t>
            </w:r>
            <w:r>
              <w:rPr>
                <w:rFonts w:hint="eastAsia" w:ascii="仿宋" w:hAnsi="仿宋" w:eastAsia="仿宋" w:cs="仿宋"/>
                <w:color w:val="auto"/>
                <w:sz w:val="24"/>
                <w:szCs w:val="24"/>
                <w:highlight w:val="none"/>
                <w:lang w:eastAsia="zh-CN"/>
              </w:rPr>
              <w:t>与设备配备</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分</w:t>
            </w:r>
          </w:p>
        </w:tc>
        <w:tc>
          <w:tcPr>
            <w:tcW w:w="7554"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1、项目策划团队需要有主流媒体从业5年以上资格，主创人员学历研究生及以上得2分；</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2、执行团队需要有2名及以上广播电视编导专业或网络新媒体专业或戏剧影视文学专业或播音主持专业（学历本科及以上）得1分；</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3、主创人员需要持有新媒体或全媒体运营师资格得1分；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2、拟投入的设备质量精良、充足，能满足项目要求。配置合理得（5-8]分，配置较为合理得（2-5]分，配置一般得[1-2]分，未提供不得分。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755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以合同</w:t>
            </w:r>
            <w:r>
              <w:rPr>
                <w:rFonts w:hint="eastAsia" w:ascii="仿宋" w:hAnsi="仿宋" w:eastAsia="仿宋" w:cs="仿宋"/>
                <w:color w:val="auto"/>
                <w:sz w:val="24"/>
                <w:szCs w:val="24"/>
                <w:highlight w:val="none"/>
                <w:lang w:eastAsia="zh-CN"/>
              </w:rPr>
              <w:t>复印件</w:t>
            </w:r>
            <w:r>
              <w:rPr>
                <w:rFonts w:hint="eastAsia" w:ascii="仿宋" w:hAnsi="仿宋" w:eastAsia="仿宋" w:cs="仿宋"/>
                <w:color w:val="auto"/>
                <w:sz w:val="24"/>
                <w:szCs w:val="24"/>
                <w:highlight w:val="none"/>
              </w:rPr>
              <w:t>形式提供</w:t>
            </w:r>
            <w:r>
              <w:rPr>
                <w:rFonts w:hint="eastAsia" w:ascii="仿宋" w:hAnsi="仿宋" w:eastAsia="仿宋" w:cs="仿宋"/>
                <w:color w:val="auto"/>
                <w:sz w:val="24"/>
                <w:szCs w:val="24"/>
                <w:highlight w:val="none"/>
                <w:lang w:val="en-US" w:eastAsia="zh-CN"/>
              </w:rPr>
              <w:t>2019年1月1日至今类似</w:t>
            </w:r>
            <w:r>
              <w:rPr>
                <w:rFonts w:hint="eastAsia" w:ascii="仿宋" w:hAnsi="仿宋" w:eastAsia="仿宋" w:cs="仿宋"/>
                <w:color w:val="auto"/>
                <w:sz w:val="24"/>
                <w:szCs w:val="24"/>
                <w:highlight w:val="none"/>
              </w:rPr>
              <w:t>项目业绩，每份计</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分，计满</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分为止</w:t>
            </w:r>
            <w:r>
              <w:rPr>
                <w:rFonts w:hint="eastAsia" w:ascii="仿宋" w:hAnsi="仿宋" w:eastAsia="仿宋" w:cs="仿宋"/>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需提供采购合同（含首页、服务内容、签字盖章页）复印件，否则业绩不予认可。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售后</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承诺</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13分</w:t>
            </w:r>
          </w:p>
        </w:tc>
        <w:tc>
          <w:tcPr>
            <w:tcW w:w="755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1、有具体可行的服务承诺，出现问题有可行性方案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全面得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分，一般得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未提供不得分</w:t>
            </w:r>
            <w:r>
              <w:rPr>
                <w:rFonts w:hint="eastAsia" w:ascii="仿宋" w:hAnsi="仿宋" w:eastAsia="仿宋" w:cs="仿宋"/>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highlight w:val="none"/>
              </w:rPr>
            </w:pPr>
            <w:r>
              <w:rPr>
                <w:rFonts w:hint="eastAsia" w:ascii="仿宋" w:hAnsi="仿宋" w:eastAsia="仿宋" w:cs="仿宋"/>
                <w:color w:val="auto"/>
                <w:sz w:val="24"/>
                <w:szCs w:val="24"/>
                <w:highlight w:val="none"/>
              </w:rPr>
              <w:t>2、有其他实质性承诺和合理化建议，评委认为有利于提高项目管理水平或降低项目实施成本的，根据其可行性和可信程度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全面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分，一般得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未提供不得分</w:t>
            </w:r>
            <w:r>
              <w:rPr>
                <w:rFonts w:hint="eastAsia" w:ascii="仿宋" w:hAnsi="仿宋" w:eastAsia="仿宋" w:cs="仿宋"/>
                <w:color w:val="auto"/>
                <w:sz w:val="24"/>
                <w:szCs w:val="24"/>
                <w:highlight w:val="none"/>
              </w:rPr>
              <w:t>。</w:t>
            </w:r>
          </w:p>
        </w:tc>
      </w:tr>
    </w:tbl>
    <w:p>
      <w:pPr>
        <w:widowControl/>
        <w:autoSpaceDE w:val="0"/>
        <w:autoSpaceDN w:val="0"/>
        <w:spacing w:line="56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注：1）评委打分超过得分界限或未按本方法赋分时，该评委的打分按废票处理。</w:t>
      </w:r>
    </w:p>
    <w:p>
      <w:pPr>
        <w:widowControl/>
        <w:autoSpaceDE w:val="0"/>
        <w:autoSpaceDN w:val="0"/>
        <w:spacing w:line="560" w:lineRule="exact"/>
        <w:ind w:firstLine="480" w:firstLineChars="200"/>
        <w:textAlignment w:val="bottom"/>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2）各种计算数字均保 留两位小数，第三位“四舍五入”。</w:t>
      </w:r>
    </w:p>
    <w:p>
      <w:pPr>
        <w:spacing w:line="560" w:lineRule="exact"/>
        <w:ind w:firstLine="482"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3）特殊情况处理：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a、若出现综合得分相同的，最后磋商报价得分高者为第一成交候选供应商，若综合评分和最后磋商报价的得分均相同的，服务</w:t>
      </w:r>
      <w:r>
        <w:rPr>
          <w:rFonts w:hint="eastAsia" w:ascii="仿宋" w:hAnsi="仿宋" w:eastAsia="仿宋" w:cs="仿宋"/>
          <w:color w:val="000000" w:themeColor="text1"/>
          <w:sz w:val="24"/>
          <w:highlight w:val="none"/>
          <w:lang w:eastAsia="zh-CN"/>
          <w14:textFill>
            <w14:solidFill>
              <w14:schemeClr w14:val="tx1"/>
            </w14:solidFill>
          </w14:textFill>
        </w:rPr>
        <w:t>方案</w:t>
      </w:r>
      <w:r>
        <w:rPr>
          <w:rFonts w:hint="eastAsia" w:ascii="仿宋" w:hAnsi="仿宋" w:eastAsia="仿宋" w:cs="仿宋"/>
          <w:color w:val="000000" w:themeColor="text1"/>
          <w:sz w:val="24"/>
          <w:highlight w:val="none"/>
          <w14:textFill>
            <w14:solidFill>
              <w14:schemeClr w14:val="tx1"/>
            </w14:solidFill>
          </w14:textFill>
        </w:rPr>
        <w:t>得分高者为第一成交候选供应商，若上述两项得分相同，则由全体磋商小组成员无记名投票，得票高者为第一成交候选供应商。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b、当供应商某评分项出现未报、漏报或零报价时，该分项得零分，并不参与磋商报价分的计算。</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c、评议过程中，若出现本评分方法以外的特殊情况时，将暂停评审，待磋商小组商榷后再进行复会。</w:t>
      </w:r>
    </w:p>
    <w:p>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7</w:t>
      </w:r>
      <w:r>
        <w:rPr>
          <w:rFonts w:hint="eastAsia" w:ascii="仿宋" w:hAnsi="仿宋" w:eastAsia="仿宋" w:cs="仿宋"/>
          <w:b/>
          <w:color w:val="000000" w:themeColor="text1"/>
          <w:sz w:val="24"/>
          <w:highlight w:val="none"/>
          <w14:textFill>
            <w14:solidFill>
              <w14:schemeClr w14:val="tx1"/>
            </w14:solidFill>
          </w14:textFill>
        </w:rPr>
        <w:t>、政府采购政策评分标准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-1、小微企业的价格评分标准</w:t>
      </w:r>
    </w:p>
    <w:p>
      <w:pPr>
        <w:spacing w:line="560" w:lineRule="exact"/>
        <w:ind w:firstLine="522" w:firstLineChars="249"/>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000000" w:themeColor="text1"/>
          <w:sz w:val="24"/>
          <w:highlight w:val="none"/>
          <w14:textFill>
            <w14:solidFill>
              <w14:schemeClr w14:val="tx1"/>
            </w14:solidFill>
          </w14:textFill>
        </w:rPr>
        <w:t>1）根据《政府采购促进中小企业发展</w:t>
      </w:r>
      <w:r>
        <w:rPr>
          <w:rFonts w:hint="eastAsia" w:ascii="仿宋" w:hAnsi="仿宋" w:eastAsia="仿宋" w:cs="仿宋"/>
          <w:color w:val="000000" w:themeColor="text1"/>
          <w:sz w:val="24"/>
          <w:highlight w:val="none"/>
          <w:lang w:eastAsia="zh-CN"/>
          <w14:textFill>
            <w14:solidFill>
              <w14:schemeClr w14:val="tx1"/>
            </w14:solidFill>
          </w14:textFill>
        </w:rPr>
        <w:t>管理</w:t>
      </w:r>
      <w:r>
        <w:rPr>
          <w:rFonts w:hint="eastAsia" w:ascii="仿宋" w:hAnsi="仿宋" w:eastAsia="仿宋" w:cs="仿宋"/>
          <w:color w:val="000000" w:themeColor="text1"/>
          <w:sz w:val="24"/>
          <w:highlight w:val="none"/>
          <w14:textFill>
            <w14:solidFill>
              <w14:schemeClr w14:val="tx1"/>
            </w14:solidFill>
          </w14:textFill>
        </w:rPr>
        <w:t>办法》（财库【</w:t>
      </w:r>
      <w:r>
        <w:rPr>
          <w:rFonts w:hint="eastAsia" w:ascii="仿宋" w:hAnsi="仿宋" w:eastAsia="仿宋" w:cs="仿宋"/>
          <w:color w:val="000000" w:themeColor="text1"/>
          <w:sz w:val="24"/>
          <w:highlight w:val="none"/>
          <w:lang w:val="en-US" w:eastAsia="zh-CN"/>
          <w14:textFill>
            <w14:solidFill>
              <w14:schemeClr w14:val="tx1"/>
            </w14:solidFill>
          </w14:textFill>
        </w:rPr>
        <w:t>2020</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46</w:t>
      </w:r>
      <w:r>
        <w:rPr>
          <w:rFonts w:hint="eastAsia" w:ascii="仿宋" w:hAnsi="仿宋" w:eastAsia="仿宋" w:cs="仿宋"/>
          <w:color w:val="000000" w:themeColor="text1"/>
          <w:sz w:val="24"/>
          <w:highlight w:val="none"/>
          <w14:textFill>
            <w14:solidFill>
              <w14:schemeClr w14:val="tx1"/>
            </w14:solidFill>
          </w14:textFill>
        </w:rPr>
        <w:t>号）的办法</w:t>
      </w:r>
      <w:r>
        <w:rPr>
          <w:rFonts w:hint="eastAsia" w:ascii="仿宋" w:hAnsi="仿宋" w:eastAsia="仿宋" w:cs="仿宋"/>
          <w:color w:val="000000" w:themeColor="text1"/>
          <w:sz w:val="24"/>
          <w:highlight w:val="none"/>
          <w:lang w:eastAsia="zh-CN"/>
          <w14:textFill>
            <w14:solidFill>
              <w14:schemeClr w14:val="tx1"/>
            </w14:solidFill>
          </w14:textFill>
        </w:rPr>
        <w:t>及</w:t>
      </w:r>
      <w:bookmarkStart w:id="28" w:name="_Toc14639"/>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关于进一步加大政府采购支持中小企业力度的通知</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（财库</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2022</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19号）</w:t>
      </w:r>
      <w:bookmarkEnd w:id="28"/>
      <w:r>
        <w:rPr>
          <w:rFonts w:hint="eastAsia" w:ascii="仿宋" w:hAnsi="仿宋" w:eastAsia="仿宋" w:cs="仿宋"/>
          <w:color w:val="000000" w:themeColor="text1"/>
          <w:sz w:val="24"/>
          <w:highlight w:val="none"/>
          <w:lang w:val="en-US" w:eastAsia="zh-CN"/>
          <w14:textFill>
            <w14:solidFill>
              <w14:schemeClr w14:val="tx1"/>
            </w14:solidFill>
          </w14:textFill>
        </w:rPr>
        <w:t>的通知</w:t>
      </w:r>
      <w:r>
        <w:rPr>
          <w:rFonts w:hint="eastAsia" w:ascii="仿宋" w:hAnsi="仿宋" w:eastAsia="仿宋" w:cs="仿宋"/>
          <w:color w:val="000000" w:themeColor="text1"/>
          <w:sz w:val="24"/>
          <w:highlight w:val="none"/>
          <w14:textFill>
            <w14:solidFill>
              <w14:schemeClr w14:val="tx1"/>
            </w14:solidFill>
          </w14:textFill>
        </w:rPr>
        <w:t>，对于专门面向中小企业采购的项目或者采购包,不再执行价格评审优惠的扶持政策。</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（2）以联合体形式参加政府采购活动，联合体各方均为中小企业的，联合体视同中小企业。其中，联合体各方均为小微企业的，联合体视同小微企业。</w:t>
      </w:r>
    </w:p>
    <w:p>
      <w:pPr>
        <w:spacing w:line="560" w:lineRule="exact"/>
        <w:ind w:firstLine="480" w:firstLineChars="200"/>
        <w:rPr>
          <w:rFonts w:hint="eastAsia" w:ascii="仿宋" w:hAnsi="仿宋" w:eastAsia="仿宋" w:cs="仿宋"/>
          <w:strike/>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参加本项目的小微企业须提供《中小企业声明函》，未提供的不视为小微企业。本项目提供的货物不包括使用大型企业注册商标的货物，小型、微型企业提供中型企业制造的货物的，视同为中型企业。供应商须作出承诺，保证真实性，如有虚假，将依法承担相应责任。</w:t>
      </w:r>
    </w:p>
    <w:p>
      <w:pPr>
        <w:spacing w:line="56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）小微企业按《政府采购促进中小企业发展</w:t>
      </w:r>
      <w:r>
        <w:rPr>
          <w:rFonts w:hint="eastAsia" w:ascii="仿宋" w:hAnsi="仿宋" w:eastAsia="仿宋" w:cs="仿宋"/>
          <w:color w:val="000000" w:themeColor="text1"/>
          <w:sz w:val="24"/>
          <w:highlight w:val="none"/>
          <w:lang w:eastAsia="zh-CN"/>
          <w14:textFill>
            <w14:solidFill>
              <w14:schemeClr w14:val="tx1"/>
            </w14:solidFill>
          </w14:textFill>
        </w:rPr>
        <w:t>管理</w:t>
      </w:r>
      <w:r>
        <w:rPr>
          <w:rFonts w:hint="eastAsia" w:ascii="仿宋" w:hAnsi="仿宋" w:eastAsia="仿宋" w:cs="仿宋"/>
          <w:color w:val="000000" w:themeColor="text1"/>
          <w:sz w:val="24"/>
          <w:highlight w:val="none"/>
          <w14:textFill>
            <w14:solidFill>
              <w14:schemeClr w14:val="tx1"/>
            </w14:solidFill>
          </w14:textFill>
        </w:rPr>
        <w:t>办法》（财库【20</w:t>
      </w:r>
      <w:r>
        <w:rPr>
          <w:rFonts w:hint="eastAsia" w:ascii="仿宋" w:hAnsi="仿宋" w:eastAsia="仿宋" w:cs="仿宋"/>
          <w:color w:val="000000" w:themeColor="text1"/>
          <w:sz w:val="24"/>
          <w:highlight w:val="none"/>
          <w:lang w:val="en-US" w:eastAsia="zh-CN"/>
          <w14:textFill>
            <w14:solidFill>
              <w14:schemeClr w14:val="tx1"/>
            </w14:solidFill>
          </w14:textFill>
        </w:rPr>
        <w:t>20</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46</w:t>
      </w:r>
      <w:r>
        <w:rPr>
          <w:rFonts w:hint="eastAsia" w:ascii="仿宋" w:hAnsi="仿宋" w:eastAsia="仿宋" w:cs="仿宋"/>
          <w:color w:val="000000" w:themeColor="text1"/>
          <w:sz w:val="24"/>
          <w:highlight w:val="none"/>
          <w14:textFill>
            <w14:solidFill>
              <w14:schemeClr w14:val="tx1"/>
            </w14:solidFill>
          </w14:textFill>
        </w:rPr>
        <w:t>号）和《工业和信息化部、国家统计局、国家发展和改革委员会、财政部关于印发&lt;中小企业划型标准规定&gt;的通知》（工信部联企业【2011】300号）文件规定标准确认</w:t>
      </w:r>
      <w:r>
        <w:rPr>
          <w:rFonts w:hint="eastAsia" w:ascii="仿宋" w:hAnsi="仿宋" w:eastAsia="仿宋" w:cs="仿宋"/>
          <w:color w:val="000000" w:themeColor="text1"/>
          <w:sz w:val="24"/>
          <w:highlight w:val="none"/>
          <w:lang w:eastAsia="zh-CN"/>
          <w14:textFill>
            <w14:solidFill>
              <w14:schemeClr w14:val="tx1"/>
            </w14:solidFill>
          </w14:textFill>
        </w:rPr>
        <w:t>。</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-2、监狱企业的价格评分标准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（1）在政府采购活动中，监狱企业视同小型、微型企业，享受预留份额、评审中价格扣除等政府采购促进中小企业发展的政府采购政策。</w:t>
      </w:r>
    </w:p>
    <w:p>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（2）监狱企业属于小型、微型企业的，不重复享受政策。 </w:t>
      </w:r>
    </w:p>
    <w:p>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（3）监狱企业参加政府采购活动时，应当提供由省级以上监狱管理局、戒毒管理局（含新疆生产建设兵团）出具的属于监狱企业的证明文件。</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（4）监狱企业按《财政部、司法部关于政府采购支持监狱企业发展有关问题的通知》（财库〔2014〕68号）文件规定标准执行。</w:t>
      </w:r>
    </w:p>
    <w:p>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-3、残疾人福利性单位的价格评分标准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（1）在政府采购活动中，残疾人福利性单位视同小型、微型企业，享受预留份额、评审中价格扣除等政府采购促进中小企业发展的政府采购政策。</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（2）残疾人福利性单位属于小型、微型企业的，不重复享受政策。</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（3）符合条件的残疾人福利性单位在参加政府采购活动时，应当提供本通知规定的《残疾人福利性单位声明函》，并对声明的真实性负责，未提供的不视为残疾人福利性单位。 </w:t>
      </w:r>
    </w:p>
    <w:p>
      <w:pPr>
        <w:spacing w:line="560" w:lineRule="exact"/>
        <w:ind w:firstLine="597" w:firstLineChars="24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-4、节能产品、环境标志产品政策</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（1）根据《财政部、国家发展改革委、生态环境部、市场监管总局&lt;关于调整优化节能产品、环境标志产品政府采购执行机制&gt;的通知》的</w:t>
      </w:r>
      <w:r>
        <w:rPr>
          <w:rFonts w:hint="eastAsia" w:ascii="仿宋" w:hAnsi="仿宋" w:eastAsia="仿宋" w:cs="仿宋"/>
          <w:color w:val="000000" w:themeColor="text1"/>
          <w:sz w:val="24"/>
          <w:highlight w:val="none"/>
          <w14:textFill>
            <w14:solidFill>
              <w14:schemeClr w14:val="tx1"/>
            </w14:solidFill>
          </w14:textFill>
        </w:rPr>
        <w:t>有关规定</w:t>
      </w:r>
      <w:r>
        <w:rPr>
          <w:rFonts w:hint="eastAsia" w:ascii="仿宋" w:hAnsi="仿宋" w:eastAsia="仿宋" w:cs="仿宋"/>
          <w:bCs/>
          <w:color w:val="000000" w:themeColor="text1"/>
          <w:sz w:val="24"/>
          <w:highlight w:val="none"/>
          <w14:textFill>
            <w14:solidFill>
              <w14:schemeClr w14:val="tx1"/>
            </w14:solidFill>
          </w14:textFill>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w:t>
      </w:r>
      <w:r>
        <w:rPr>
          <w:rFonts w:hint="eastAsia" w:ascii="仿宋" w:hAnsi="仿宋" w:eastAsia="仿宋" w:cs="仿宋"/>
          <w:bCs/>
          <w:color w:val="000000" w:themeColor="text1"/>
          <w:sz w:val="24"/>
          <w:highlight w:val="none"/>
          <w:lang w:eastAsia="zh-CN"/>
          <w14:textFill>
            <w14:solidFill>
              <w14:schemeClr w14:val="tx1"/>
            </w14:solidFill>
          </w14:textFill>
        </w:rPr>
        <w:t>供应商</w:t>
      </w:r>
      <w:r>
        <w:rPr>
          <w:rFonts w:hint="eastAsia" w:ascii="仿宋" w:hAnsi="仿宋" w:eastAsia="仿宋" w:cs="仿宋"/>
          <w:bCs/>
          <w:color w:val="000000" w:themeColor="text1"/>
          <w:sz w:val="24"/>
          <w:highlight w:val="none"/>
          <w14:textFill>
            <w14:solidFill>
              <w14:schemeClr w14:val="tx1"/>
            </w14:solidFill>
          </w14:textFill>
        </w:rPr>
        <w:t>在</w:t>
      </w:r>
      <w:r>
        <w:rPr>
          <w:rFonts w:hint="eastAsia" w:ascii="仿宋" w:hAnsi="仿宋" w:eastAsia="仿宋" w:cs="仿宋"/>
          <w:bCs/>
          <w:color w:val="000000" w:themeColor="text1"/>
          <w:sz w:val="24"/>
          <w:highlight w:val="none"/>
          <w:lang w:eastAsia="zh-CN"/>
          <w14:textFill>
            <w14:solidFill>
              <w14:schemeClr w14:val="tx1"/>
            </w14:solidFill>
          </w14:textFill>
        </w:rPr>
        <w:t>竞争性磋商响应</w:t>
      </w:r>
      <w:r>
        <w:rPr>
          <w:rFonts w:hint="eastAsia" w:ascii="仿宋" w:hAnsi="仿宋" w:eastAsia="仿宋" w:cs="仿宋"/>
          <w:bCs/>
          <w:color w:val="000000" w:themeColor="text1"/>
          <w:sz w:val="24"/>
          <w:highlight w:val="none"/>
          <w14:textFill>
            <w14:solidFill>
              <w14:schemeClr w14:val="tx1"/>
            </w14:solidFill>
          </w14:textFill>
        </w:rPr>
        <w:t>文件中对所投产品为节能、环境标志产品清单中的产品，在</w:t>
      </w:r>
      <w:r>
        <w:rPr>
          <w:rFonts w:hint="eastAsia" w:ascii="仿宋" w:hAnsi="仿宋" w:eastAsia="仿宋" w:cs="仿宋"/>
          <w:bCs/>
          <w:color w:val="000000" w:themeColor="text1"/>
          <w:sz w:val="24"/>
          <w:highlight w:val="none"/>
          <w:lang w:eastAsia="zh-CN"/>
          <w14:textFill>
            <w14:solidFill>
              <w14:schemeClr w14:val="tx1"/>
            </w14:solidFill>
          </w14:textFill>
        </w:rPr>
        <w:t>磋商</w:t>
      </w:r>
      <w:r>
        <w:rPr>
          <w:rFonts w:hint="eastAsia" w:ascii="仿宋" w:hAnsi="仿宋" w:eastAsia="仿宋" w:cs="仿宋"/>
          <w:bCs/>
          <w:color w:val="000000" w:themeColor="text1"/>
          <w:sz w:val="24"/>
          <w:highlight w:val="none"/>
          <w14:textFill>
            <w14:solidFill>
              <w14:schemeClr w14:val="tx1"/>
            </w14:solidFill>
          </w14:textFill>
        </w:rPr>
        <w:t>报价时必须对此类产品单独分项报价，并提供属于清单内产品的证明资料，否则评审时不给予计分。</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（3）产品同时属于“非强制采购节能产品”、环境标志产品的，评审时可同时享受优先待遇。</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（4）若节能、环境标志品目清单内的产品仅是构成投标产品的部件、组件或零件 </w:t>
      </w:r>
    </w:p>
    <w:p>
      <w:pPr>
        <w:autoSpaceDE w:val="0"/>
        <w:autoSpaceDN w:val="0"/>
        <w:adjustRightInd w:val="0"/>
        <w:spacing w:line="56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的，则该投标产品不享受鼓励优惠政策。 </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（5）节能、环境标志产品部分计分只对属于品目清单内的非强制类产品进行计分， </w:t>
      </w:r>
    </w:p>
    <w:p>
      <w:pPr>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强制类产品不给予计分。 </w:t>
      </w:r>
    </w:p>
    <w:p>
      <w:pPr>
        <w:spacing w:line="560" w:lineRule="exact"/>
        <w:ind w:firstLine="482" w:firstLineChars="200"/>
        <w:rPr>
          <w:rFonts w:hint="eastAsia" w:ascii="仿宋" w:hAnsi="仿宋" w:eastAsia="仿宋" w:cs="仿宋"/>
          <w:b/>
          <w:bCs/>
          <w:color w:val="000000" w:themeColor="text1"/>
          <w:sz w:val="24"/>
          <w:highlight w:val="none"/>
          <w:lang w:val="zh-CN"/>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w:t>
      </w:r>
      <w:r>
        <w:rPr>
          <w:rFonts w:hint="eastAsia" w:ascii="仿宋" w:hAnsi="仿宋" w:eastAsia="仿宋" w:cs="仿宋"/>
          <w:b/>
          <w:bCs/>
          <w:color w:val="000000" w:themeColor="text1"/>
          <w:sz w:val="24"/>
          <w:highlight w:val="none"/>
          <w:lang w:val="en-US" w:eastAsia="zh-CN"/>
          <w14:textFill>
            <w14:solidFill>
              <w14:schemeClr w14:val="tx1"/>
            </w14:solidFill>
          </w14:textFill>
        </w:rPr>
        <w:t>8</w:t>
      </w:r>
      <w:r>
        <w:rPr>
          <w:rFonts w:hint="eastAsia" w:ascii="仿宋" w:hAnsi="仿宋" w:eastAsia="仿宋" w:cs="仿宋"/>
          <w:b/>
          <w:bCs/>
          <w:color w:val="000000" w:themeColor="text1"/>
          <w:sz w:val="24"/>
          <w:highlight w:val="none"/>
          <w14:textFill>
            <w14:solidFill>
              <w14:schemeClr w14:val="tx1"/>
            </w14:solidFill>
          </w14:textFill>
        </w:rPr>
        <w:t>、</w:t>
      </w:r>
      <w:bookmarkStart w:id="29" w:name="_Toc22138"/>
      <w:bookmarkStart w:id="30" w:name="_Toc14886425"/>
      <w:r>
        <w:rPr>
          <w:rFonts w:hint="eastAsia" w:ascii="仿宋" w:hAnsi="仿宋" w:eastAsia="仿宋" w:cs="仿宋"/>
          <w:b/>
          <w:bCs/>
          <w:color w:val="000000" w:themeColor="text1"/>
          <w:sz w:val="24"/>
          <w:highlight w:val="none"/>
          <w:lang w:val="zh-CN"/>
          <w14:textFill>
            <w14:solidFill>
              <w14:schemeClr w14:val="tx1"/>
            </w14:solidFill>
          </w14:textFill>
        </w:rPr>
        <w:t>信用担保</w:t>
      </w:r>
      <w:bookmarkEnd w:id="29"/>
      <w:bookmarkEnd w:id="30"/>
      <w:r>
        <w:rPr>
          <w:rFonts w:hint="eastAsia" w:ascii="仿宋" w:hAnsi="仿宋" w:eastAsia="仿宋" w:cs="仿宋"/>
          <w:b/>
          <w:bCs/>
          <w:color w:val="000000" w:themeColor="text1"/>
          <w:sz w:val="24"/>
          <w:highlight w:val="none"/>
          <w:lang w:val="zh-CN"/>
          <w14:textFill>
            <w14:solidFill>
              <w14:schemeClr w14:val="tx1"/>
            </w14:solidFill>
          </w14:textFill>
        </w:rPr>
        <w:t>及融资</w:t>
      </w:r>
    </w:p>
    <w:p>
      <w:pPr>
        <w:adjustRightInd w:val="0"/>
        <w:snapToGrid w:val="0"/>
        <w:spacing w:line="560" w:lineRule="exact"/>
        <w:ind w:firstLine="480" w:firstLineChars="200"/>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adjustRightInd w:val="0"/>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auto"/>
          <w:sz w:val="24"/>
          <w:szCs w:val="24"/>
          <w:highlight w:val="none"/>
          <w:lang w:val="zh-CN" w:eastAsia="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3、定标</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3-1、定标程序</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小组依据磋商文件的要求，对供应商进行认真评审。经过评审、澄清、磋商、最后报价等程序后，从响应文件满足磋商文件全部实质性要求的供应商中，按照评审得分由高到低顺序的顺序推荐3名以上成交候选供应商，并编写评审报告。</w:t>
      </w:r>
    </w:p>
    <w:p>
      <w:pPr>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磋商小组成员应当在评审报告上签字，对自己的评审意见承担法律责任。磋商小组成员对评审报告有异议的，磋商小组按照少数服从多数的原则推荐成交候选人，采购程序继续进行。对评审报告有异议的磋商小组成员，应当在评审报告上签署不同意见并说明理由，否则视为同意评审报告。</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采购代理机构应当自评审结束之日起2个工作日内将评审报告送交采购人。采购人在收到评审报告5个工作日内，根据磋商小组提交的评审报告和推荐的成交候选供应商，按照排序由高到低的原则确定成交供应商。成交候选人并列的，最后磋商报价低的成为成交供应商，若最后磋商报价得分相同，服务方案得分高的成为成交供应商。确定结果后，采购人向采购代理机构出具《成交复函》。采购人逾期未确定成交供应商且不提出异议的，视为确定评审报告推荐的排名第一的供应商为成交供应商。</w:t>
      </w:r>
    </w:p>
    <w:p>
      <w:pPr>
        <w:adjustRightInd w:val="0"/>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（4）采购代理机构接到采购人的《成交复函》后，在2个工作日内，将成交结果在</w:t>
      </w:r>
      <w:r>
        <w:rPr>
          <w:rFonts w:hint="eastAsia" w:ascii="仿宋" w:hAnsi="仿宋" w:eastAsia="仿宋" w:cs="仿宋"/>
          <w:color w:val="000000" w:themeColor="text1"/>
          <w:sz w:val="24"/>
          <w:highlight w:val="none"/>
          <w:lang w:val="en-US" w:eastAsia="zh-CN"/>
          <w14:textFill>
            <w14:solidFill>
              <w14:schemeClr w14:val="tx1"/>
            </w14:solidFill>
          </w14:textFill>
        </w:rPr>
        <w:t>陕西省</w:t>
      </w:r>
      <w:r>
        <w:rPr>
          <w:rFonts w:hint="eastAsia" w:ascii="仿宋" w:hAnsi="仿宋" w:eastAsia="仿宋" w:cs="仿宋"/>
          <w:color w:val="000000" w:themeColor="text1"/>
          <w:sz w:val="24"/>
          <w:highlight w:val="none"/>
          <w:lang w:eastAsia="zh-CN"/>
          <w14:textFill>
            <w14:solidFill>
              <w14:schemeClr w14:val="tx1"/>
            </w14:solidFill>
          </w14:textFill>
        </w:rPr>
        <w:t>政府采购</w:t>
      </w:r>
      <w:r>
        <w:rPr>
          <w:rFonts w:hint="eastAsia" w:ascii="仿宋" w:hAnsi="仿宋" w:eastAsia="仿宋" w:cs="仿宋"/>
          <w:color w:val="000000" w:themeColor="text1"/>
          <w:sz w:val="24"/>
          <w:highlight w:val="none"/>
          <w14:textFill>
            <w14:solidFill>
              <w14:schemeClr w14:val="tx1"/>
            </w14:solidFill>
          </w14:textFill>
        </w:rPr>
        <w:t>网上发布公告。公告发布1个工作日，其他供应商若有异议，按《政府采购法》第52条执行。</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3-2、成交供应商确定后，采购人和采购代理机构对未成交原因不作任何解释，竞争性磋商响应文件不予退还（含纸质及电子版文件）。</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4、磋商无效的情形：</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4-1、未按照磋商文件的规定提交磋商保证金的；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、磋商响应文件未按磋商文件要求签署、盖章的；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、不具备磋商文件中规定的资格要求的；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、报价超过磋商文件中规定的预算金额或者最高限价的；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、磋商响应文件含有采购人不能接受的附加条件的；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、提供虚假材料谋取成交的；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、采取不正当手段诋毁、排挤其他供应商的；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、法律、法规和磋商文件规定的其他无效情形。</w:t>
      </w:r>
    </w:p>
    <w:p>
      <w:pPr>
        <w:adjustRightInd w:val="0"/>
        <w:snapToGrid w:val="0"/>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5、成交通知书</w:t>
      </w:r>
    </w:p>
    <w:p>
      <w:pPr>
        <w:pageBreakBefore w:val="0"/>
        <w:tabs>
          <w:tab w:val="left" w:pos="2700"/>
        </w:tabs>
        <w:kinsoku/>
        <w:wordWrap/>
        <w:overflowPunct/>
        <w:topLinePunct w:val="0"/>
        <w:autoSpaceDE/>
        <w:autoSpaceDN/>
        <w:bidi w:val="0"/>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-1、成交通知书将在成交公告发布的同时由采购代理机构向成交人发出，成交供应商应在接到采购代理机构通知之日起七日内领取成交通知书。未在规定时间内领取成交通知书的，磋商保证金不予退还。提供磋商担保的供应商将由专业担保机构先行偿付采购人损失。</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color w:val="000000" w:themeColor="text1"/>
          <w:sz w:val="24"/>
          <w:highlight w:val="none"/>
          <w14:textFill>
            <w14:solidFill>
              <w14:schemeClr w14:val="tx1"/>
            </w14:solidFill>
          </w14:textFill>
        </w:rPr>
        <w:t>5-2、成交通知书发出后，采购人不得违法改变成交结果，成交人无正当理由不得弃成交。</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1" w:name="_Toc28361"/>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、合同</w:t>
      </w:r>
      <w:bookmarkEnd w:id="31"/>
    </w:p>
    <w:p>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成交供应商在收到成交通知书后三十（30）个日历日内，应按竞争性磋商文件的要求与采购人签订合同。成交供应商因自身原因不按规定与采购人签订合同，则采购人将废除授标，磋商保证金不予退还。给采购人造成损失超过磋商保证金额的，还应当对超过部分予以赔偿，并依法承担相应法律责任。</w:t>
      </w:r>
    </w:p>
    <w:p>
      <w:pPr>
        <w:adjustRightInd w:val="0"/>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成交供应商因不可抗力或者自身原因不能履行政府采购合同的，采购人可以与排位在成交供应商之后第一位的成交候选供应商签订政府采购合同，以此类推，也可以重新开展采购活动。因自身原因拒绝签订政府采购合同的或者未按合同约定进行履约的，成交人不得参加对该项目重新开展的采购活动。</w:t>
      </w:r>
    </w:p>
    <w:p>
      <w:pPr>
        <w:adjustRightInd w:val="0"/>
        <w:snapToGrid w:val="0"/>
        <w:spacing w:line="560" w:lineRule="exact"/>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3、成交通知书将是合同的重要组成部分。竞争性磋商文件、成交供应商的竞争性磋商响应文件及评议过程中有关的澄清文件均作为合同附件。</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成交后，成交人应按照合同约定履行义务，完成磋商项目的服务，经采购人同意，成交人可以依法采取分包方式履行合同。接受分包的供应商应当具备相应的资格条件，并不得再次分包。分包履行的，成交人就采购项目和分包项目向采购人负责，分包供应商就分包项目承担责任。中小企业根据《政府采购促进中小企业发展管理办法》</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财库[2020]46号）规定的政策获取政府采购合同后，小型、微型企业不得分包或转包给大型、中型企业，中型企业不得分包或转包给大型企业。</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5、所签订的合同不得对磋商文件确定的事项和成交人磋商响应文件作实质性修改。</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6、采购人需追加与合同标的相同的货物、工程或服务的，在不改变合同其他条款的前提下，可以与供应商协商签订补充合同，但所有补充合同的采购金额不得超过原合同采购金额的百分之十。</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2" w:name="_Toc24945"/>
      <w:bookmarkStart w:id="33" w:name="_Toc493074178"/>
      <w:bookmarkStart w:id="34" w:name="_Toc494556650"/>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14:textFill>
            <w14:solidFill>
              <w14:schemeClr w14:val="tx1"/>
            </w14:solidFill>
          </w14:textFill>
        </w:rPr>
        <w:t>、合同的履约验收</w:t>
      </w:r>
      <w:bookmarkEnd w:id="32"/>
      <w:bookmarkEnd w:id="33"/>
      <w:bookmarkEnd w:id="34"/>
    </w:p>
    <w:p>
      <w:pPr>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采购人应按照政府采购合同约定的技术、服务、安全标准组织对供应商每一项技术、服务、安全标准的履约情况进行验收，并出具验收书。</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5" w:name="_Toc19792"/>
      <w:r>
        <w:rPr>
          <w:rFonts w:hint="eastAsia" w:ascii="仿宋" w:hAnsi="仿宋" w:eastAsia="仿宋" w:cs="仿宋"/>
          <w:color w:val="000000" w:themeColor="text1"/>
          <w:sz w:val="28"/>
          <w:szCs w:val="28"/>
          <w:highlight w:val="none"/>
          <w:lang w:val="en-US" w:eastAsia="zh-CN"/>
          <w14:textFill>
            <w14:solidFill>
              <w14:schemeClr w14:val="tx1"/>
            </w14:solidFill>
          </w14:textFill>
        </w:rPr>
        <w:t>十</w:t>
      </w:r>
      <w:r>
        <w:rPr>
          <w:rFonts w:hint="eastAsia" w:ascii="仿宋" w:hAnsi="仿宋" w:eastAsia="仿宋" w:cs="仿宋"/>
          <w:color w:val="000000" w:themeColor="text1"/>
          <w:sz w:val="28"/>
          <w:szCs w:val="28"/>
          <w:highlight w:val="none"/>
          <w14:textFill>
            <w14:solidFill>
              <w14:schemeClr w14:val="tx1"/>
            </w14:solidFill>
          </w14:textFill>
        </w:rPr>
        <w:t>、招标服务费</w:t>
      </w:r>
      <w:bookmarkEnd w:id="35"/>
    </w:p>
    <w:p>
      <w:pPr>
        <w:tabs>
          <w:tab w:val="left" w:pos="2700"/>
        </w:tabs>
        <w:spacing w:line="560" w:lineRule="exact"/>
        <w:ind w:firstLine="480" w:firstLineChars="200"/>
        <w:rPr>
          <w:rFonts w:hint="eastAsia" w:ascii="仿宋" w:hAnsi="仿宋" w:eastAsia="仿宋" w:cs="仿宋"/>
          <w:sz w:val="24"/>
          <w:highlight w:val="none"/>
        </w:rPr>
      </w:pPr>
      <w:bookmarkStart w:id="36" w:name="_Toc458848741"/>
      <w:bookmarkStart w:id="37" w:name="_Toc458848826"/>
      <w:bookmarkStart w:id="38" w:name="_Toc458848974"/>
      <w:r>
        <w:rPr>
          <w:rFonts w:hint="eastAsia" w:ascii="仿宋" w:hAnsi="仿宋" w:eastAsia="仿宋" w:cs="仿宋"/>
          <w:sz w:val="24"/>
          <w:highlight w:val="none"/>
        </w:rPr>
        <w:t>1、</w:t>
      </w:r>
      <w:r>
        <w:rPr>
          <w:rFonts w:hint="eastAsia" w:ascii="仿宋" w:hAnsi="仿宋" w:eastAsia="仿宋" w:cs="仿宋"/>
          <w:sz w:val="24"/>
          <w:highlight w:val="none"/>
          <w:lang w:val="en-US" w:eastAsia="zh-CN"/>
        </w:rPr>
        <w:t>成交供应商</w:t>
      </w:r>
      <w:bookmarkStart w:id="95" w:name="_GoBack"/>
      <w:bookmarkEnd w:id="95"/>
      <w:r>
        <w:rPr>
          <w:rFonts w:hint="eastAsia" w:ascii="仿宋" w:hAnsi="仿宋" w:eastAsia="仿宋" w:cs="仿宋"/>
          <w:sz w:val="24"/>
          <w:highlight w:val="none"/>
        </w:rPr>
        <w:t>在领取中标通知书时，依据《国家计委关于印发&lt;招标代理服务收费管理暂行办法&gt;的通知》(计价格〔2002〕1980号)、《国家发展改革委关于降低部分建设项目收费标准规范收费行为等有关问题的通知》(发改价格〔2011〕534号)以及财政部关于印发&lt;政府采购代理机构管理暂行办法&gt;的通知》（财库〔2018〕2号），向华招广和项目管理有限公司交纳招标服务费。</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2、招标服务费应采用转账、现金形式交纳。</w:t>
      </w:r>
    </w:p>
    <w:p>
      <w:pPr>
        <w:tabs>
          <w:tab w:val="left" w:pos="2700"/>
        </w:tabs>
        <w:spacing w:line="560" w:lineRule="exact"/>
        <w:ind w:firstLine="480" w:firstLineChars="200"/>
        <w:rPr>
          <w:rFonts w:hint="eastAsia"/>
          <w:highlight w:val="none"/>
        </w:rPr>
      </w:pPr>
      <w:r>
        <w:rPr>
          <w:rFonts w:hint="eastAsia" w:ascii="仿宋" w:hAnsi="仿宋" w:eastAsia="仿宋" w:cs="仿宋"/>
          <w:sz w:val="24"/>
          <w:highlight w:val="none"/>
        </w:rPr>
        <w:t>3、成交供应商如未按上述第1条规定办理，采购代理机构将没收其磋商保证金。提供</w:t>
      </w:r>
      <w:r>
        <w:rPr>
          <w:rFonts w:hint="eastAsia" w:ascii="仿宋" w:hAnsi="仿宋" w:eastAsia="仿宋" w:cs="仿宋"/>
          <w:sz w:val="24"/>
          <w:highlight w:val="none"/>
          <w:lang w:eastAsia="zh-CN"/>
        </w:rPr>
        <w:t>磋商</w:t>
      </w:r>
      <w:r>
        <w:rPr>
          <w:rFonts w:hint="eastAsia" w:ascii="仿宋" w:hAnsi="仿宋" w:eastAsia="仿宋" w:cs="仿宋"/>
          <w:sz w:val="24"/>
          <w:highlight w:val="none"/>
        </w:rPr>
        <w:t>担保的</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将由专业担保机构先行偿付采购代理机构损失。</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9" w:name="_Toc14425"/>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14:textFill>
            <w14:solidFill>
              <w14:schemeClr w14:val="tx1"/>
            </w14:solidFill>
          </w14:textFill>
        </w:rPr>
        <w:t>、</w:t>
      </w:r>
      <w:bookmarkEnd w:id="36"/>
      <w:bookmarkEnd w:id="37"/>
      <w:bookmarkEnd w:id="38"/>
      <w:r>
        <w:rPr>
          <w:rFonts w:hint="eastAsia" w:ascii="仿宋" w:hAnsi="仿宋" w:eastAsia="仿宋" w:cs="仿宋"/>
          <w:color w:val="000000" w:themeColor="text1"/>
          <w:sz w:val="28"/>
          <w:szCs w:val="28"/>
          <w:highlight w:val="none"/>
          <w14:textFill>
            <w14:solidFill>
              <w14:schemeClr w14:val="tx1"/>
            </w14:solidFill>
          </w14:textFill>
        </w:rPr>
        <w:t>重新组织采购活动</w:t>
      </w:r>
      <w:bookmarkEnd w:id="39"/>
    </w:p>
    <w:p>
      <w:pPr>
        <w:spacing w:line="560" w:lineRule="exact"/>
        <w:ind w:firstLine="720" w:firstLineChars="3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如果发生下列情况之一的，采购人或采购代理机构将按《政府采购竞争性磋商采购方式管理暂行办法》等有关规定重新组织采购：</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（1）、因情况变化，不再符合规定的竞争性磋商采购方式适用情形的；</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（2）、出现影响采购公正的违法、违规行为的；</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（3）、磋商小组三分之二以上的专家认定所有磋商报价存在价格不实的现象；</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bookmarkStart w:id="40" w:name="_Toc458848827"/>
      <w:bookmarkStart w:id="41" w:name="_Toc458848975"/>
      <w:bookmarkStart w:id="42" w:name="_Toc458848742"/>
      <w:r>
        <w:rPr>
          <w:rFonts w:hint="eastAsia" w:ascii="仿宋" w:hAnsi="仿宋" w:eastAsia="仿宋" w:cs="仿宋"/>
          <w:color w:val="000000" w:themeColor="text1"/>
          <w:sz w:val="24"/>
          <w:highlight w:val="none"/>
          <w14:textFill>
            <w14:solidFill>
              <w14:schemeClr w14:val="tx1"/>
            </w14:solidFill>
          </w14:textFill>
        </w:rPr>
        <w:t>（4）、除《政府采购竞争性磋商采购方式管理暂行办法》（财库〔2014〕214号）第二十一条第三款及《财政部关于政府采购竞争性磋商采购方式管理暂行办法有关问题的补充通知》（财库〔2015〕124号）规定的情形外，在采购过程中符合要求的供应商或者报价未超过采购预算的供应商不足三家的。</w:t>
      </w:r>
    </w:p>
    <w:p>
      <w:pPr>
        <w:pStyle w:val="4"/>
        <w:pageBreakBefore w:val="0"/>
        <w:wordWrap/>
        <w:topLinePunct w:val="0"/>
        <w:bidi w:val="0"/>
        <w:spacing w:before="0" w:after="0" w:line="560" w:lineRule="exact"/>
        <w:rPr>
          <w:rFonts w:hint="eastAsia" w:ascii="仿宋" w:hAnsi="仿宋" w:eastAsia="仿宋" w:cs="仿宋"/>
          <w:b/>
          <w:bCs/>
          <w:sz w:val="28"/>
          <w:szCs w:val="28"/>
          <w:highlight w:val="none"/>
          <w:lang w:val="en-US" w:eastAsia="zh-CN"/>
        </w:rPr>
      </w:pPr>
      <w:bookmarkStart w:id="43" w:name="_Toc4301"/>
      <w:bookmarkStart w:id="44" w:name="_Toc15549"/>
      <w:r>
        <w:rPr>
          <w:rFonts w:hint="eastAsia" w:ascii="仿宋" w:hAnsi="仿宋" w:eastAsia="仿宋" w:cs="仿宋"/>
          <w:b/>
          <w:bCs/>
          <w:sz w:val="28"/>
          <w:szCs w:val="28"/>
          <w:highlight w:val="none"/>
          <w:lang w:val="en-US" w:eastAsia="zh-CN"/>
        </w:rPr>
        <w:t>十二、特殊情形的处理</w:t>
      </w:r>
      <w:bookmarkEnd w:id="43"/>
    </w:p>
    <w:p>
      <w:pPr>
        <w:pageBreakBefore w:val="0"/>
        <w:wordWrap/>
        <w:topLinePunct w:val="0"/>
        <w:bidi w:val="0"/>
        <w:spacing w:line="560" w:lineRule="exact"/>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根据陕西省财政厅关于政府采购信息公告有关事项的通知（陕财办采资〔2018〕26号），参加采购活动或符合采购需求的供应商只有一家，经评审专家审核认为采购文件没有倾向性、歧视性条款，采购人不改变采购需求，拟采用单一来源方式采购的，可以现场自行决定采用，不再进行公示。</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w:t>
      </w:r>
      <w:bookmarkEnd w:id="40"/>
      <w:bookmarkEnd w:id="41"/>
      <w:bookmarkEnd w:id="42"/>
      <w:r>
        <w:rPr>
          <w:rFonts w:hint="eastAsia" w:ascii="仿宋" w:hAnsi="仿宋" w:eastAsia="仿宋" w:cs="仿宋"/>
          <w:color w:val="000000" w:themeColor="text1"/>
          <w:sz w:val="28"/>
          <w:szCs w:val="28"/>
          <w:highlight w:val="none"/>
          <w14:textFill>
            <w14:solidFill>
              <w14:schemeClr w14:val="tx1"/>
            </w14:solidFill>
          </w14:textFill>
        </w:rPr>
        <w:t>询问、质疑与投诉</w:t>
      </w:r>
      <w:bookmarkEnd w:id="44"/>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45" w:name="_Toc458848828"/>
      <w:bookmarkStart w:id="46" w:name="_Toc458848743"/>
      <w:bookmarkStart w:id="47" w:name="_Toc458848976"/>
      <w:r>
        <w:rPr>
          <w:rFonts w:hint="eastAsia" w:ascii="仿宋" w:hAnsi="仿宋" w:eastAsia="仿宋" w:cs="仿宋"/>
          <w:color w:val="000000" w:themeColor="text1"/>
          <w:sz w:val="24"/>
          <w:highlight w:val="none"/>
          <w14:textFill>
            <w14:solidFill>
              <w14:schemeClr w14:val="tx1"/>
            </w14:solidFill>
          </w14:textFill>
        </w:rPr>
        <w:t>1、询问</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供应商对政府采购活动事项有疑问的，可以向采购人、采购代理机构提出询问。</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2、质疑</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2-1、供应商认为磋商文件、磋商过程和成交结果使自己的权益受到损害的，可以采购人、采购代理机构提出质疑，具体时限为：</w:t>
      </w:r>
    </w:p>
    <w:p>
      <w:pPr>
        <w:spacing w:line="560" w:lineRule="exact"/>
        <w:ind w:left="479" w:leftChars="22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（一）对可以质疑的采购文件提出质疑的，为收到采购文件之日起七个工作日内；</w:t>
      </w:r>
    </w:p>
    <w:p>
      <w:pPr>
        <w:spacing w:line="560" w:lineRule="exact"/>
        <w:ind w:left="479" w:leftChars="22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（二）对采购过程提出质疑的，为各采购程序环节结束之日起七个工作日内；</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（三）对成交结果提出质疑的，为成交结果公告期限届满之日起七个工作日内。</w:t>
      </w:r>
    </w:p>
    <w:p>
      <w:pPr>
        <w:spacing w:line="560" w:lineRule="exact"/>
        <w:ind w:left="479" w:leftChars="22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2-2、供应商须在法定质疑期内一次性提出针对同一采购程序环节的质疑。</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2-3、供应商必须按照财政部发布的《政府采购供应商质疑函范本》及其制作说明提出质疑。详见“中国政府采购网（www.ccgp.gov.cn）”下载专区。</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供应商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-5、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鲜章）。</w:t>
      </w:r>
    </w:p>
    <w:p>
      <w:pPr>
        <w:spacing w:line="56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2-6、供应商应在法定期限内以书面形式提出质疑，联系人： </w:t>
      </w:r>
      <w:r>
        <w:rPr>
          <w:rFonts w:hint="eastAsia" w:ascii="仿宋" w:hAnsi="仿宋" w:eastAsia="仿宋" w:cs="仿宋"/>
          <w:color w:val="000000" w:themeColor="text1"/>
          <w:sz w:val="24"/>
          <w:highlight w:val="none"/>
          <w:lang w:eastAsia="zh-CN"/>
          <w14:textFill>
            <w14:solidFill>
              <w14:schemeClr w14:val="tx1"/>
            </w14:solidFill>
          </w14:textFill>
        </w:rPr>
        <w:t>党工</w:t>
      </w:r>
      <w:r>
        <w:rPr>
          <w:rFonts w:hint="eastAsia" w:ascii="仿宋" w:hAnsi="仿宋" w:eastAsia="仿宋" w:cs="仿宋"/>
          <w:color w:val="000000" w:themeColor="text1"/>
          <w:sz w:val="24"/>
          <w:highlight w:val="none"/>
          <w14:textFill>
            <w14:solidFill>
              <w14:schemeClr w14:val="tx1"/>
            </w14:solidFill>
          </w14:textFill>
        </w:rPr>
        <w:t>，联系方式：029-87592321，地址：华招广和项目管理有限公司（西安市朱雀大街南段1号汇成天玺C座18层1812室）。</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3、投诉</w:t>
      </w:r>
    </w:p>
    <w:p>
      <w:pPr>
        <w:pStyle w:val="39"/>
        <w:spacing w:line="560" w:lineRule="exact"/>
        <w:ind w:firstLine="480"/>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3-1、质疑供应商对采购人、采购代理机构的答复不满意或者采购人、采购代理机构未在规定的时间内作出答复的，可按《政府采购法》第55条</w:t>
      </w:r>
      <w:r>
        <w:rPr>
          <w:rFonts w:hint="eastAsia" w:ascii="仿宋" w:hAnsi="仿宋" w:eastAsia="仿宋" w:cs="仿宋"/>
          <w:color w:val="000000" w:themeColor="text1"/>
          <w:kern w:val="2"/>
          <w:sz w:val="24"/>
          <w:szCs w:val="20"/>
          <w:highlight w:val="none"/>
          <w14:textFill>
            <w14:solidFill>
              <w14:schemeClr w14:val="tx1"/>
            </w14:solidFill>
          </w14:textFill>
        </w:rPr>
        <w:t>和《政府采购质疑和投诉办法》（财政部令第94号）第17条等有关规定执行。</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3-2、本项目质疑供应商对采购人、采购代理机构的答复不满意或者采购人、采购代理机构未在规定时间内作出答复的，可在15个工作日内向</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eastAsia="zh-CN"/>
          <w14:textFill>
            <w14:solidFill>
              <w14:schemeClr w14:val="tx1"/>
            </w14:solidFill>
          </w14:textFill>
        </w:rPr>
        <w:t>陕西省财政厅政府采购管理处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提起投诉。</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48" w:name="_Toc19464"/>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14:textFill>
            <w14:solidFill>
              <w14:schemeClr w14:val="tx1"/>
            </w14:solidFill>
          </w14:textFill>
        </w:rPr>
        <w:t>、拒绝商业贿赂</w:t>
      </w:r>
      <w:bookmarkEnd w:id="45"/>
      <w:bookmarkEnd w:id="46"/>
      <w:bookmarkEnd w:id="47"/>
      <w:bookmarkEnd w:id="48"/>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1、遵照陕西省财政厅的规定，采购人、采购代理机构、供应商和评审专家在磋商活动中，都要签订相应的《拒绝政府采购领域商业贿赂承诺书》，并对违反承诺的行为承担全部责任。</w:t>
      </w:r>
    </w:p>
    <w:p>
      <w:pPr>
        <w:spacing w:line="560" w:lineRule="exact"/>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2、供应商必须填写一份《拒绝政府采购领域商业贿赂承诺书》并附在磋商响应文件中，同时应保证磋商响应文件正、副本中一致。</w:t>
      </w:r>
    </w:p>
    <w:p>
      <w:pPr>
        <w:pStyle w:val="3"/>
        <w:spacing w:before="0" w:after="0" w:line="360" w:lineRule="auto"/>
        <w:jc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br w:type="page"/>
      </w:r>
      <w:bookmarkStart w:id="49" w:name="_Toc20324"/>
      <w:r>
        <w:rPr>
          <w:rFonts w:hint="eastAsia" w:ascii="仿宋" w:hAnsi="仿宋" w:eastAsia="仿宋" w:cs="仿宋"/>
          <w:color w:val="000000" w:themeColor="text1"/>
          <w:kern w:val="0"/>
          <w:highlight w:val="none"/>
          <w14:textFill>
            <w14:solidFill>
              <w14:schemeClr w14:val="tx1"/>
            </w14:solidFill>
          </w14:textFill>
        </w:rPr>
        <w:t>第三章  服务内容及要求</w:t>
      </w:r>
      <w:bookmarkEnd w:id="49"/>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为进一步</w:t>
      </w:r>
      <w:r>
        <w:rPr>
          <w:rFonts w:hint="eastAsia" w:ascii="仿宋" w:hAnsi="仿宋" w:eastAsia="仿宋" w:cs="仿宋"/>
          <w:sz w:val="24"/>
          <w:szCs w:val="24"/>
          <w:highlight w:val="none"/>
          <w:lang w:val="en-US" w:eastAsia="zh-CN"/>
        </w:rPr>
        <w:t>做好扩容后的陕西福彩公益之声宣传工作</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积极为基层办实事、办好事，持续宣贯福利彩票人民属性、国家属性和公益属性，全力讲好福彩故事，扩大公益之声影响力和覆盖面，为站点营造良好的销售氛围，</w:t>
      </w:r>
      <w:r>
        <w:rPr>
          <w:rFonts w:hint="eastAsia" w:ascii="仿宋" w:hAnsi="仿宋" w:eastAsia="仿宋" w:cs="仿宋"/>
          <w:sz w:val="24"/>
          <w:szCs w:val="24"/>
          <w:highlight w:val="none"/>
        </w:rPr>
        <w:t>我</w:t>
      </w:r>
      <w:r>
        <w:rPr>
          <w:rFonts w:hint="eastAsia" w:ascii="仿宋" w:hAnsi="仿宋" w:eastAsia="仿宋" w:cs="仿宋"/>
          <w:sz w:val="24"/>
          <w:szCs w:val="24"/>
          <w:highlight w:val="none"/>
          <w:lang w:val="en-US" w:eastAsia="zh-CN"/>
        </w:rPr>
        <w:t>中心</w:t>
      </w:r>
      <w:r>
        <w:rPr>
          <w:rFonts w:hint="eastAsia" w:ascii="仿宋" w:hAnsi="仿宋" w:eastAsia="仿宋" w:cs="仿宋"/>
          <w:sz w:val="24"/>
          <w:szCs w:val="24"/>
          <w:highlight w:val="none"/>
        </w:rPr>
        <w:t>计划于近期开展陕西福彩</w:t>
      </w:r>
      <w:r>
        <w:rPr>
          <w:rFonts w:hint="eastAsia" w:ascii="仿宋" w:hAnsi="仿宋" w:eastAsia="仿宋" w:cs="仿宋"/>
          <w:sz w:val="24"/>
          <w:szCs w:val="24"/>
          <w:highlight w:val="none"/>
          <w:lang w:val="en-US" w:eastAsia="zh-CN"/>
        </w:rPr>
        <w:t>公益之声宣传服务项目采购</w:t>
      </w:r>
      <w:r>
        <w:rPr>
          <w:rFonts w:hint="eastAsia" w:ascii="仿宋" w:hAnsi="仿宋" w:eastAsia="仿宋" w:cs="仿宋"/>
          <w:sz w:val="24"/>
          <w:szCs w:val="24"/>
          <w:highlight w:val="none"/>
        </w:rPr>
        <w:t>工作，具体</w:t>
      </w:r>
      <w:r>
        <w:rPr>
          <w:rFonts w:hint="eastAsia" w:ascii="仿宋" w:hAnsi="仿宋" w:eastAsia="仿宋" w:cs="仿宋"/>
          <w:sz w:val="24"/>
          <w:szCs w:val="24"/>
          <w:highlight w:val="none"/>
          <w:lang w:val="en-US" w:eastAsia="zh-CN"/>
        </w:rPr>
        <w:t>情况</w:t>
      </w:r>
      <w:r>
        <w:rPr>
          <w:rFonts w:hint="eastAsia" w:ascii="仿宋" w:hAnsi="仿宋" w:eastAsia="仿宋" w:cs="仿宋"/>
          <w:sz w:val="24"/>
          <w:szCs w:val="24"/>
          <w:highlight w:val="none"/>
        </w:rPr>
        <w:t>如下</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一、项目背景</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去年10月以来，省中心启动了公益之声广播进站宣传培训项目试点工作，逐步探索建立了广播+微信公众号+社群运营三位一体的宣传架构。截止7月14日，广播和微信公众号累积播发97期，音频时长9000多分钟、文字60多万字。</w:t>
      </w:r>
      <w:r>
        <w:rPr>
          <w:rFonts w:hint="eastAsia" w:ascii="仿宋" w:hAnsi="仿宋" w:eastAsia="仿宋" w:cs="仿宋"/>
          <w:sz w:val="24"/>
          <w:szCs w:val="24"/>
          <w:highlight w:val="none"/>
        </w:rPr>
        <w:t>先后</w:t>
      </w:r>
      <w:r>
        <w:rPr>
          <w:rFonts w:hint="eastAsia" w:ascii="仿宋" w:hAnsi="仿宋" w:eastAsia="仿宋" w:cs="仿宋"/>
          <w:sz w:val="24"/>
          <w:szCs w:val="24"/>
          <w:highlight w:val="none"/>
          <w:lang w:val="en-US" w:eastAsia="zh-CN"/>
        </w:rPr>
        <w:t>为各票种</w:t>
      </w:r>
      <w:r>
        <w:rPr>
          <w:rFonts w:hint="eastAsia" w:ascii="仿宋" w:hAnsi="仿宋" w:eastAsia="仿宋" w:cs="仿宋"/>
          <w:sz w:val="24"/>
          <w:szCs w:val="24"/>
          <w:highlight w:val="none"/>
        </w:rPr>
        <w:t>营销活动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出奖情况、公益活动等</w:t>
      </w:r>
      <w:r>
        <w:rPr>
          <w:rFonts w:hint="eastAsia" w:ascii="仿宋" w:hAnsi="仿宋" w:eastAsia="仿宋" w:cs="仿宋"/>
          <w:sz w:val="24"/>
          <w:szCs w:val="24"/>
          <w:highlight w:val="none"/>
        </w:rPr>
        <w:t>提供了</w:t>
      </w:r>
      <w:r>
        <w:rPr>
          <w:rFonts w:hint="eastAsia" w:ascii="仿宋" w:hAnsi="仿宋" w:eastAsia="仿宋" w:cs="仿宋"/>
          <w:sz w:val="24"/>
          <w:szCs w:val="24"/>
          <w:highlight w:val="none"/>
          <w:lang w:val="en-US" w:eastAsia="zh-CN"/>
        </w:rPr>
        <w:t>全方位立体化的宣传；同时，《福彩者说》《站点故事》《培训园地》等栏目第一时间发布政策法规、新闻事件、市场动态等相关信息，让业主足不出户就能直观了解全省乃至全国的福彩行业资讯和动态，从而提升了投注站整体销售氛围，强化了阳光福彩、公益福彩的品牌形象认知。特别是为贯彻今年全省福彩工作会议精神，立足《2022年全省福利彩票发展工作计划》，结合《中国福利彩票2022年度整体品牌宣传方案》，我们制定了《2022年陕西福彩公益之声宣传培训项目工作方案》，进一步理清了工作思路，明确了工作任务，完善了工作体系，建立了工作制度，目前，正在积极推进公益之声3000台扩容工作。扩容完成后，将围绕讲好故事、加强联动、扩大影响、激发活力，开展一系列创意策划和线上线下活动，不断提高公益之声质量标准和创新水平，争取打造成全国福彩宣传亮点工作，助推我省宣传工作转型升级。</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二、总体目标</w:t>
      </w:r>
    </w:p>
    <w:p>
      <w:pPr>
        <w:keepNext w:val="0"/>
        <w:keepLines w:val="0"/>
        <w:pageBreakBefore w:val="0"/>
        <w:widowControl w:val="0"/>
        <w:kinsoku/>
        <w:wordWrap/>
        <w:overflowPunct/>
        <w:topLinePunct w:val="0"/>
        <w:bidi w:val="0"/>
        <w:spacing w:line="560" w:lineRule="exact"/>
        <w:ind w:firstLine="482"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是组织直播。</w:t>
      </w:r>
      <w:r>
        <w:rPr>
          <w:rFonts w:hint="eastAsia" w:ascii="仿宋" w:hAnsi="仿宋" w:eastAsia="仿宋" w:cs="仿宋"/>
          <w:sz w:val="24"/>
          <w:szCs w:val="24"/>
          <w:highlight w:val="none"/>
        </w:rPr>
        <w:t>通过视频号、抖音号进行直播，包括营销活动、公益资助、公益金使用项目、刮刮乐卖场等，探索直播模式在福彩宣传工作中的应用场景；</w:t>
      </w: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是讲好故事。</w:t>
      </w:r>
      <w:r>
        <w:rPr>
          <w:rFonts w:hint="eastAsia" w:ascii="仿宋" w:hAnsi="仿宋" w:eastAsia="仿宋" w:cs="仿宋"/>
          <w:sz w:val="24"/>
          <w:szCs w:val="24"/>
          <w:highlight w:val="none"/>
        </w:rPr>
        <w:t>在做好日常播出、确保安全平稳运行的基础上，开展公益之声“</w:t>
      </w:r>
      <w:r>
        <w:rPr>
          <w:rFonts w:hint="eastAsia" w:ascii="仿宋" w:hAnsi="仿宋" w:eastAsia="仿宋" w:cs="仿宋"/>
          <w:sz w:val="24"/>
          <w:szCs w:val="24"/>
          <w:highlight w:val="none"/>
          <w:lang w:val="en-US" w:eastAsia="zh-CN"/>
        </w:rPr>
        <w:t>送福到站</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线下走基层</w:t>
      </w:r>
      <w:r>
        <w:rPr>
          <w:rFonts w:hint="eastAsia" w:ascii="仿宋" w:hAnsi="仿宋" w:eastAsia="仿宋" w:cs="仿宋"/>
          <w:sz w:val="24"/>
          <w:szCs w:val="24"/>
          <w:highlight w:val="none"/>
        </w:rPr>
        <w:t>主题</w:t>
      </w:r>
      <w:r>
        <w:rPr>
          <w:rFonts w:hint="eastAsia" w:ascii="仿宋" w:hAnsi="仿宋" w:eastAsia="仿宋" w:cs="仿宋"/>
          <w:sz w:val="24"/>
          <w:szCs w:val="24"/>
          <w:highlight w:val="none"/>
          <w:lang w:val="en-US" w:eastAsia="zh-CN"/>
        </w:rPr>
        <w:t>推广</w:t>
      </w:r>
      <w:r>
        <w:rPr>
          <w:rFonts w:hint="eastAsia" w:ascii="仿宋" w:hAnsi="仿宋" w:eastAsia="仿宋" w:cs="仿宋"/>
          <w:sz w:val="24"/>
          <w:szCs w:val="24"/>
          <w:highlight w:val="none"/>
        </w:rPr>
        <w:t>活动，打通有声与有形的场景</w:t>
      </w:r>
      <w:r>
        <w:rPr>
          <w:rFonts w:hint="eastAsia" w:ascii="仿宋" w:hAnsi="仿宋" w:eastAsia="仿宋" w:cs="仿宋"/>
          <w:sz w:val="24"/>
          <w:szCs w:val="24"/>
          <w:highlight w:val="none"/>
          <w:lang w:val="en-US" w:eastAsia="zh-CN"/>
        </w:rPr>
        <w:t>融合</w:t>
      </w:r>
      <w:r>
        <w:rPr>
          <w:rFonts w:hint="eastAsia" w:ascii="仿宋" w:hAnsi="仿宋" w:eastAsia="仿宋" w:cs="仿宋"/>
          <w:sz w:val="24"/>
          <w:szCs w:val="24"/>
          <w:highlight w:val="none"/>
        </w:rPr>
        <w:t>，实现内容与体验的同频共振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w:t>
      </w:r>
      <w:r>
        <w:rPr>
          <w:rFonts w:hint="eastAsia" w:ascii="仿宋" w:hAnsi="仿宋" w:eastAsia="仿宋" w:cs="仿宋"/>
          <w:sz w:val="24"/>
          <w:szCs w:val="24"/>
          <w:highlight w:val="none"/>
          <w:lang w:val="en-US" w:eastAsia="zh-CN"/>
        </w:rPr>
        <w:t>活动</w:t>
      </w:r>
      <w:r>
        <w:rPr>
          <w:rFonts w:hint="eastAsia" w:ascii="仿宋" w:hAnsi="仿宋" w:eastAsia="仿宋" w:cs="仿宋"/>
          <w:sz w:val="24"/>
          <w:szCs w:val="24"/>
          <w:highlight w:val="none"/>
        </w:rPr>
        <w:t>创新带动节目质量和收听率；</w:t>
      </w: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是带动业主。</w:t>
      </w:r>
      <w:r>
        <w:rPr>
          <w:rFonts w:hint="eastAsia" w:ascii="仿宋" w:hAnsi="仿宋" w:eastAsia="仿宋" w:cs="仿宋"/>
          <w:sz w:val="24"/>
          <w:szCs w:val="24"/>
          <w:highlight w:val="none"/>
        </w:rPr>
        <w:t>研究创制朋友圈、微信群宣传推广模式，设计制作适合业主在朋友圈、微信群发布的宣传产品，</w:t>
      </w:r>
      <w:r>
        <w:rPr>
          <w:rFonts w:hint="eastAsia" w:ascii="仿宋" w:hAnsi="仿宋" w:eastAsia="仿宋" w:cs="仿宋"/>
          <w:sz w:val="24"/>
          <w:szCs w:val="24"/>
          <w:highlight w:val="none"/>
          <w:lang w:val="en-US" w:eastAsia="zh-CN"/>
        </w:rPr>
        <w:t>给予优秀业主</w:t>
      </w:r>
      <w:r>
        <w:rPr>
          <w:rFonts w:hint="eastAsia" w:ascii="仿宋" w:hAnsi="仿宋" w:eastAsia="仿宋" w:cs="仿宋"/>
          <w:sz w:val="24"/>
          <w:szCs w:val="24"/>
          <w:highlight w:val="none"/>
        </w:rPr>
        <w:t>“公益之星”</w:t>
      </w:r>
      <w:r>
        <w:rPr>
          <w:rFonts w:hint="eastAsia" w:ascii="仿宋" w:hAnsi="仿宋" w:eastAsia="仿宋" w:cs="仿宋"/>
          <w:sz w:val="24"/>
          <w:szCs w:val="24"/>
          <w:highlight w:val="none"/>
          <w:lang w:val="en-US" w:eastAsia="zh-CN"/>
        </w:rPr>
        <w:t>荣誉称号，</w:t>
      </w:r>
      <w:r>
        <w:rPr>
          <w:rFonts w:hint="eastAsia" w:ascii="仿宋" w:hAnsi="仿宋" w:eastAsia="仿宋" w:cs="仿宋"/>
          <w:sz w:val="24"/>
          <w:szCs w:val="24"/>
          <w:highlight w:val="none"/>
        </w:rPr>
        <w:t>调动业主主动宣传积极性</w:t>
      </w:r>
      <w:r>
        <w:rPr>
          <w:rFonts w:hint="eastAsia" w:ascii="仿宋" w:hAnsi="仿宋" w:eastAsia="仿宋" w:cs="仿宋"/>
          <w:sz w:val="24"/>
          <w:szCs w:val="24"/>
          <w:highlight w:val="none"/>
          <w:lang w:eastAsia="zh-CN"/>
        </w:rPr>
        <w:t>。</w:t>
      </w:r>
      <w:r>
        <w:rPr>
          <w:rFonts w:hint="eastAsia" w:ascii="仿宋" w:hAnsi="仿宋" w:eastAsia="仿宋" w:cs="仿宋"/>
          <w:b/>
          <w:bCs/>
          <w:sz w:val="24"/>
          <w:szCs w:val="24"/>
          <w:highlight w:val="none"/>
          <w:lang w:eastAsia="zh-CN"/>
        </w:rPr>
        <w:t>四是编制画册。</w:t>
      </w:r>
      <w:r>
        <w:rPr>
          <w:rFonts w:hint="eastAsia" w:ascii="仿宋" w:hAnsi="仿宋" w:eastAsia="仿宋" w:cs="仿宋"/>
          <w:sz w:val="24"/>
          <w:szCs w:val="24"/>
          <w:highlight w:val="none"/>
          <w:lang w:eastAsia="zh-CN"/>
        </w:rPr>
        <w:t>制作一部福彩公益之声宣传汇编，把公益之声全年宣传活动和宣传内容汇编成册，系统展现省中心宣传工作特别是公益之声相关工作。</w:t>
      </w:r>
      <w:r>
        <w:rPr>
          <w:rFonts w:hint="eastAsia" w:ascii="仿宋" w:hAnsi="仿宋" w:eastAsia="仿宋" w:cs="仿宋"/>
          <w:sz w:val="24"/>
          <w:szCs w:val="24"/>
          <w:highlight w:val="none"/>
        </w:rPr>
        <w:t xml:space="preserve">    </w:t>
      </w:r>
    </w:p>
    <w:p>
      <w:pPr>
        <w:keepNext w:val="0"/>
        <w:keepLines w:val="0"/>
        <w:pageBreakBefore w:val="0"/>
        <w:widowControl w:val="0"/>
        <w:numPr>
          <w:ilvl w:val="0"/>
          <w:numId w:val="2"/>
        </w:numPr>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项目内容</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）组织</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次专题直播活动，以营销活动、公益活动、刮刮乐卖场、合买大奖、公益驿站等题材为主，每次1到3个小时。直播前1到2天宣传预热，同时开通视频直播、广播直播、文字直播三大板块，对直播活动进行深入报道。在直播中开设有奖问答、赠送彩票等暖场活动，增强观众粘性。</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组织8次公益之声“送福到站”线下走基层主题推广活动，针对市场营销活动、经营之道、福彩文化、玩法技巧交流等课题，选择全省销量前十或销售理念先进的站点，邀请业主和彩民开展线下主题推广，采取互动交流、经验分享、现场教学、有奖问答等方式，丰富广播宣传内容，传导福彩文化理念，为一线办实事办好事，提升福利彩票认知度，营造良好市场氛围。线下活动录制成音频，通过公益之声和公众号进行专题播出。</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结合宣传工作要求和站点业主需求，通过公益之声社群、朋友圈、微信群等常用一线宣传渠道，探索站点宣传的新方法新手段。创造一套带动业主自主宣传的微信推广模式，创制一批标准化的宣传产品，以公益之声为平台，</w:t>
      </w:r>
      <w:r>
        <w:rPr>
          <w:rFonts w:hint="eastAsia" w:ascii="仿宋" w:hAnsi="仿宋" w:eastAsia="仿宋" w:cs="仿宋"/>
          <w:sz w:val="24"/>
          <w:szCs w:val="24"/>
          <w:highlight w:val="none"/>
          <w:lang w:val="en-US" w:eastAsia="zh-CN"/>
        </w:rPr>
        <w:t>授予积极参与公益之声宣传活动的</w:t>
      </w:r>
      <w:r>
        <w:rPr>
          <w:rFonts w:hint="eastAsia" w:ascii="仿宋" w:hAnsi="仿宋" w:eastAsia="仿宋" w:cs="仿宋"/>
          <w:sz w:val="24"/>
          <w:szCs w:val="24"/>
          <w:highlight w:val="none"/>
        </w:rPr>
        <w:t>优秀业主“公益之星”</w:t>
      </w:r>
      <w:r>
        <w:rPr>
          <w:rFonts w:hint="eastAsia" w:ascii="仿宋" w:hAnsi="仿宋" w:eastAsia="仿宋" w:cs="仿宋"/>
          <w:sz w:val="24"/>
          <w:szCs w:val="24"/>
          <w:highlight w:val="none"/>
          <w:lang w:val="en-US" w:eastAsia="zh-CN"/>
        </w:rPr>
        <w:t>荣誉称号，提高向心力凝聚力。</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）制</w:t>
      </w:r>
      <w:r>
        <w:rPr>
          <w:rFonts w:hint="eastAsia" w:ascii="仿宋" w:hAnsi="仿宋" w:eastAsia="仿宋" w:cs="仿宋"/>
          <w:sz w:val="24"/>
          <w:szCs w:val="24"/>
          <w:highlight w:val="none"/>
          <w:lang w:val="en-US" w:eastAsia="zh-CN"/>
        </w:rPr>
        <w:t>作</w:t>
      </w:r>
      <w:r>
        <w:rPr>
          <w:rFonts w:hint="eastAsia" w:ascii="仿宋" w:hAnsi="仿宋" w:eastAsia="仿宋" w:cs="仿宋"/>
          <w:sz w:val="24"/>
          <w:szCs w:val="24"/>
          <w:highlight w:val="none"/>
        </w:rPr>
        <w:t>一部福彩</w:t>
      </w:r>
      <w:r>
        <w:rPr>
          <w:rFonts w:hint="eastAsia" w:ascii="仿宋" w:hAnsi="仿宋" w:eastAsia="仿宋" w:cs="仿宋"/>
          <w:sz w:val="24"/>
          <w:szCs w:val="24"/>
          <w:highlight w:val="none"/>
          <w:lang w:val="en-US" w:eastAsia="zh-CN"/>
        </w:rPr>
        <w:t>公益之声宣传</w:t>
      </w:r>
      <w:r>
        <w:rPr>
          <w:rFonts w:hint="eastAsia" w:ascii="仿宋" w:hAnsi="仿宋" w:eastAsia="仿宋" w:cs="仿宋"/>
          <w:sz w:val="24"/>
          <w:szCs w:val="24"/>
          <w:highlight w:val="none"/>
        </w:rPr>
        <w:t>汇</w:t>
      </w:r>
      <w:r>
        <w:rPr>
          <w:rFonts w:hint="eastAsia" w:ascii="仿宋" w:hAnsi="仿宋" w:eastAsia="仿宋" w:cs="仿宋"/>
          <w:sz w:val="24"/>
          <w:szCs w:val="24"/>
          <w:highlight w:val="none"/>
          <w:lang w:val="en-US" w:eastAsia="zh-CN"/>
        </w:rPr>
        <w:t>编</w:t>
      </w:r>
      <w:r>
        <w:rPr>
          <w:rFonts w:hint="eastAsia" w:ascii="仿宋" w:hAnsi="仿宋" w:eastAsia="仿宋" w:cs="仿宋"/>
          <w:sz w:val="24"/>
          <w:szCs w:val="24"/>
          <w:highlight w:val="none"/>
        </w:rPr>
        <w:t>，把</w:t>
      </w:r>
      <w:r>
        <w:rPr>
          <w:rFonts w:hint="eastAsia" w:ascii="仿宋" w:hAnsi="仿宋" w:eastAsia="仿宋" w:cs="仿宋"/>
          <w:sz w:val="24"/>
          <w:szCs w:val="24"/>
          <w:highlight w:val="none"/>
          <w:lang w:val="en-US" w:eastAsia="zh-CN"/>
        </w:rPr>
        <w:t>公益之声全年宣传活动和宣传内容汇编成册，系统展现省中心宣传工作特别是公益之声相关工作</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直播活动要求提供活动的整体保障，包括活动方案、活动执行、活动引流、设备人员保障、全流程安全管理、效果评估等。“</w:t>
      </w:r>
      <w:r>
        <w:rPr>
          <w:rFonts w:hint="eastAsia" w:ascii="仿宋" w:hAnsi="仿宋" w:eastAsia="仿宋" w:cs="仿宋"/>
          <w:sz w:val="24"/>
          <w:szCs w:val="24"/>
          <w:highlight w:val="none"/>
          <w:lang w:val="en-US" w:eastAsia="zh-CN"/>
        </w:rPr>
        <w:t>送福到站</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活动</w:t>
      </w:r>
      <w:r>
        <w:rPr>
          <w:rFonts w:hint="eastAsia" w:ascii="仿宋" w:hAnsi="仿宋" w:eastAsia="仿宋" w:cs="仿宋"/>
          <w:sz w:val="24"/>
          <w:szCs w:val="24"/>
          <w:highlight w:val="none"/>
        </w:rPr>
        <w:t>要求提供活动的</w:t>
      </w:r>
      <w:r>
        <w:rPr>
          <w:rFonts w:hint="eastAsia" w:ascii="仿宋" w:hAnsi="仿宋" w:eastAsia="仿宋" w:cs="仿宋"/>
          <w:sz w:val="24"/>
          <w:szCs w:val="24"/>
          <w:highlight w:val="none"/>
          <w:lang w:val="en-US" w:eastAsia="zh-CN"/>
        </w:rPr>
        <w:t>相关</w:t>
      </w:r>
      <w:r>
        <w:rPr>
          <w:rFonts w:hint="eastAsia" w:ascii="仿宋" w:hAnsi="仿宋" w:eastAsia="仿宋" w:cs="仿宋"/>
          <w:sz w:val="24"/>
          <w:szCs w:val="24"/>
          <w:highlight w:val="none"/>
        </w:rPr>
        <w:t>保障，包括前期踩点、受助对象采访、创意策划、文案撰写、</w:t>
      </w:r>
      <w:r>
        <w:rPr>
          <w:rFonts w:hint="eastAsia" w:ascii="仿宋" w:hAnsi="仿宋" w:eastAsia="仿宋" w:cs="仿宋"/>
          <w:sz w:val="24"/>
          <w:szCs w:val="24"/>
          <w:highlight w:val="none"/>
          <w:lang w:val="en-US" w:eastAsia="zh-CN"/>
        </w:rPr>
        <w:t>组织保障</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现场实施、</w:t>
      </w:r>
      <w:r>
        <w:rPr>
          <w:rFonts w:hint="eastAsia" w:ascii="仿宋" w:hAnsi="仿宋" w:eastAsia="仿宋" w:cs="仿宋"/>
          <w:sz w:val="24"/>
          <w:szCs w:val="24"/>
          <w:highlight w:val="none"/>
        </w:rPr>
        <w:t>后期制作、宣传推广等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具体执行可根据工作安排进行调整。</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w:t>
      </w:r>
      <w:r>
        <w:rPr>
          <w:rFonts w:hint="eastAsia" w:ascii="仿宋" w:hAnsi="仿宋" w:eastAsia="仿宋" w:cs="仿宋"/>
          <w:sz w:val="24"/>
          <w:szCs w:val="24"/>
          <w:highlight w:val="none"/>
          <w:lang w:val="en-US" w:eastAsia="zh-CN"/>
        </w:rPr>
        <w:t>服务内容</w:t>
      </w:r>
      <w:r>
        <w:rPr>
          <w:rFonts w:hint="eastAsia" w:ascii="仿宋" w:hAnsi="仿宋" w:eastAsia="仿宋" w:cs="仿宋"/>
          <w:sz w:val="24"/>
          <w:szCs w:val="24"/>
          <w:highlight w:val="none"/>
        </w:rPr>
        <w:t>明细</w:t>
      </w:r>
    </w:p>
    <w:tbl>
      <w:tblPr>
        <w:tblStyle w:val="22"/>
        <w:tblW w:w="4999" w:type="pct"/>
        <w:tblInd w:w="0" w:type="dxa"/>
        <w:tblLayout w:type="autofit"/>
        <w:tblCellMar>
          <w:top w:w="0" w:type="dxa"/>
          <w:left w:w="30" w:type="dxa"/>
          <w:bottom w:w="0" w:type="dxa"/>
          <w:right w:w="30" w:type="dxa"/>
        </w:tblCellMar>
      </w:tblPr>
      <w:tblGrid>
        <w:gridCol w:w="6029"/>
        <w:gridCol w:w="3390"/>
      </w:tblGrid>
      <w:tr>
        <w:tblPrEx>
          <w:tblCellMar>
            <w:top w:w="0" w:type="dxa"/>
            <w:left w:w="30" w:type="dxa"/>
            <w:bottom w:w="0" w:type="dxa"/>
            <w:right w:w="30" w:type="dxa"/>
          </w:tblCellMar>
        </w:tblPrEx>
        <w:trPr>
          <w:trHeight w:val="326" w:hRule="atLeast"/>
        </w:trPr>
        <w:tc>
          <w:tcPr>
            <w:tcW w:w="3200"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服务项目</w:t>
            </w:r>
          </w:p>
        </w:tc>
        <w:tc>
          <w:tcPr>
            <w:tcW w:w="1799"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数量</w:t>
            </w:r>
          </w:p>
        </w:tc>
      </w:tr>
      <w:tr>
        <w:tblPrEx>
          <w:tblCellMar>
            <w:top w:w="0" w:type="dxa"/>
            <w:left w:w="30" w:type="dxa"/>
            <w:bottom w:w="0" w:type="dxa"/>
            <w:right w:w="30" w:type="dxa"/>
          </w:tblCellMar>
        </w:tblPrEx>
        <w:trPr>
          <w:trHeight w:val="326" w:hRule="atLeast"/>
        </w:trPr>
        <w:tc>
          <w:tcPr>
            <w:tcW w:w="3200"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直播活动</w:t>
            </w:r>
          </w:p>
        </w:tc>
        <w:tc>
          <w:tcPr>
            <w:tcW w:w="1799"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10</w:t>
            </w:r>
            <w:r>
              <w:rPr>
                <w:rFonts w:hint="eastAsia" w:ascii="仿宋" w:hAnsi="仿宋" w:eastAsia="仿宋" w:cs="仿宋"/>
                <w:color w:val="000000"/>
                <w:kern w:val="0"/>
                <w:sz w:val="24"/>
                <w:szCs w:val="24"/>
                <w:highlight w:val="none"/>
              </w:rPr>
              <w:t>次</w:t>
            </w:r>
          </w:p>
        </w:tc>
      </w:tr>
      <w:tr>
        <w:tblPrEx>
          <w:tblCellMar>
            <w:top w:w="0" w:type="dxa"/>
            <w:left w:w="30" w:type="dxa"/>
            <w:bottom w:w="0" w:type="dxa"/>
            <w:right w:w="30" w:type="dxa"/>
          </w:tblCellMar>
        </w:tblPrEx>
        <w:trPr>
          <w:trHeight w:val="595" w:hRule="atLeast"/>
        </w:trPr>
        <w:tc>
          <w:tcPr>
            <w:tcW w:w="3200"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“送福到站”活动</w:t>
            </w:r>
          </w:p>
        </w:tc>
        <w:tc>
          <w:tcPr>
            <w:tcW w:w="1799" w:type="pct"/>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8次</w:t>
            </w:r>
          </w:p>
        </w:tc>
      </w:tr>
      <w:tr>
        <w:tblPrEx>
          <w:tblCellMar>
            <w:top w:w="0" w:type="dxa"/>
            <w:left w:w="30" w:type="dxa"/>
            <w:bottom w:w="0" w:type="dxa"/>
            <w:right w:w="30" w:type="dxa"/>
          </w:tblCellMar>
        </w:tblPrEx>
        <w:trPr>
          <w:trHeight w:val="326" w:hRule="atLeast"/>
        </w:trPr>
        <w:tc>
          <w:tcPr>
            <w:tcW w:w="3200"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微信平面电子海报</w:t>
            </w:r>
          </w:p>
        </w:tc>
        <w:tc>
          <w:tcPr>
            <w:tcW w:w="1799"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24张</w:t>
            </w:r>
          </w:p>
        </w:tc>
      </w:tr>
      <w:tr>
        <w:tblPrEx>
          <w:tblCellMar>
            <w:top w:w="0" w:type="dxa"/>
            <w:left w:w="30" w:type="dxa"/>
            <w:bottom w:w="0" w:type="dxa"/>
            <w:right w:w="30" w:type="dxa"/>
          </w:tblCellMar>
        </w:tblPrEx>
        <w:trPr>
          <w:trHeight w:val="326" w:hRule="atLeast"/>
        </w:trPr>
        <w:tc>
          <w:tcPr>
            <w:tcW w:w="3200"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微信朋友圈动态视频</w:t>
            </w:r>
          </w:p>
        </w:tc>
        <w:tc>
          <w:tcPr>
            <w:tcW w:w="1799" w:type="pct"/>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r>
              <w:rPr>
                <w:rFonts w:hint="eastAsia" w:ascii="仿宋" w:hAnsi="仿宋" w:eastAsia="仿宋" w:cs="仿宋"/>
                <w:color w:val="000000"/>
                <w:kern w:val="0"/>
                <w:sz w:val="24"/>
                <w:szCs w:val="24"/>
                <w:highlight w:val="none"/>
                <w:lang w:val="en-US" w:eastAsia="zh-CN"/>
              </w:rPr>
              <w:t>0</w:t>
            </w:r>
            <w:r>
              <w:rPr>
                <w:rFonts w:hint="eastAsia" w:ascii="仿宋" w:hAnsi="仿宋" w:eastAsia="仿宋" w:cs="仿宋"/>
                <w:color w:val="000000"/>
                <w:kern w:val="0"/>
                <w:sz w:val="24"/>
                <w:szCs w:val="24"/>
                <w:highlight w:val="none"/>
              </w:rPr>
              <w:t>部</w:t>
            </w:r>
          </w:p>
        </w:tc>
      </w:tr>
      <w:tr>
        <w:tblPrEx>
          <w:tblCellMar>
            <w:top w:w="0" w:type="dxa"/>
            <w:left w:w="30" w:type="dxa"/>
            <w:bottom w:w="0" w:type="dxa"/>
            <w:right w:w="30" w:type="dxa"/>
          </w:tblCellMar>
        </w:tblPrEx>
        <w:trPr>
          <w:trHeight w:val="326" w:hRule="atLeast"/>
        </w:trPr>
        <w:tc>
          <w:tcPr>
            <w:tcW w:w="3200" w:type="pct"/>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公益之声宣传</w:t>
            </w:r>
            <w:r>
              <w:rPr>
                <w:rFonts w:hint="eastAsia" w:ascii="仿宋" w:hAnsi="仿宋" w:eastAsia="仿宋" w:cs="仿宋"/>
                <w:color w:val="000000"/>
                <w:kern w:val="0"/>
                <w:sz w:val="24"/>
                <w:szCs w:val="24"/>
                <w:highlight w:val="none"/>
              </w:rPr>
              <w:t>汇编</w:t>
            </w:r>
          </w:p>
        </w:tc>
        <w:tc>
          <w:tcPr>
            <w:tcW w:w="1799" w:type="pct"/>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200册</w:t>
            </w:r>
          </w:p>
        </w:tc>
      </w:tr>
    </w:tbl>
    <w:p>
      <w:pPr>
        <w:keepNext w:val="0"/>
        <w:keepLines w:val="0"/>
        <w:pageBreakBefore w:val="0"/>
        <w:widowControl w:val="0"/>
        <w:kinsoku/>
        <w:wordWrap/>
        <w:overflowPunct/>
        <w:topLinePunct w:val="0"/>
        <w:bidi w:val="0"/>
        <w:adjustRightInd w:val="0"/>
        <w:snapToGrid w:val="0"/>
        <w:spacing w:line="560" w:lineRule="exact"/>
        <w:ind w:firstLine="480" w:firstLineChars="200"/>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lang w:val="en-US" w:eastAsia="zh-CN"/>
        </w:rPr>
        <w:t>五、活动内容分解</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.直播活动</w:t>
      </w:r>
    </w:p>
    <w:tbl>
      <w:tblPr>
        <w:tblStyle w:val="22"/>
        <w:tblW w:w="4999" w:type="pct"/>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995"/>
        <w:gridCol w:w="358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5" w:hRule="atLeast"/>
        </w:trPr>
        <w:tc>
          <w:tcPr>
            <w:tcW w:w="3130" w:type="pct"/>
            <w:tcBorders>
              <w:top w:val="thinThickSmallGap" w:color="auto" w:sz="24" w:space="0"/>
              <w:right w:val="single" w:color="auto" w:sz="4" w:space="0"/>
            </w:tcBorders>
            <w:shd w:val="clear" w:color="auto" w:fill="auto"/>
            <w:vAlign w:val="center"/>
          </w:tcPr>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中景主机位（1机位含1人）</w:t>
            </w:r>
          </w:p>
        </w:tc>
        <w:tc>
          <w:tcPr>
            <w:tcW w:w="1869" w:type="pct"/>
            <w:tcBorders>
              <w:top w:val="thinThickSmallGap" w:color="auto" w:sz="2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Sony 280全套</w:t>
            </w:r>
            <w:r>
              <w:rPr>
                <w:rFonts w:hint="eastAsia" w:ascii="仿宋" w:hAnsi="仿宋" w:eastAsia="仿宋" w:cs="仿宋"/>
                <w:sz w:val="24"/>
                <w:szCs w:val="24"/>
                <w:highlight w:val="none"/>
                <w:lang w:val="en-US" w:eastAsia="zh-CN"/>
              </w:rPr>
              <w:t>或同档次其他品牌</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3130" w:type="pct"/>
            <w:tcBorders>
              <w:right w:val="single" w:color="auto" w:sz="4" w:space="0"/>
            </w:tcBorders>
            <w:shd w:val="clear" w:color="auto" w:fill="auto"/>
            <w:vAlign w:val="center"/>
          </w:tcPr>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主特写机位（1机位含1人）</w:t>
            </w:r>
          </w:p>
        </w:tc>
        <w:tc>
          <w:tcPr>
            <w:tcW w:w="1869" w:type="pct"/>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Sony 280全套</w:t>
            </w:r>
            <w:r>
              <w:rPr>
                <w:rFonts w:hint="eastAsia" w:ascii="仿宋" w:hAnsi="仿宋" w:eastAsia="仿宋" w:cs="仿宋"/>
                <w:sz w:val="24"/>
                <w:szCs w:val="24"/>
                <w:highlight w:val="none"/>
                <w:lang w:val="en-US" w:eastAsia="zh-CN"/>
              </w:rPr>
              <w:t>或同档次其他品牌</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trPr>
        <w:tc>
          <w:tcPr>
            <w:tcW w:w="3130" w:type="pct"/>
            <w:tcBorders>
              <w:right w:val="single" w:color="auto" w:sz="4" w:space="0"/>
            </w:tcBorders>
            <w:shd w:val="clear" w:color="auto" w:fill="auto"/>
            <w:vAlign w:val="center"/>
          </w:tcPr>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导播台（含老师）</w:t>
            </w:r>
          </w:p>
        </w:tc>
        <w:tc>
          <w:tcPr>
            <w:tcW w:w="1869" w:type="pct"/>
            <w:tcBorders>
              <w:left w:val="single" w:color="auto" w:sz="4" w:space="0"/>
            </w:tcBorders>
            <w:shd w:val="clear" w:color="auto" w:fill="auto"/>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威尔帝直播王</w:t>
            </w:r>
            <w:r>
              <w:rPr>
                <w:rFonts w:hint="eastAsia" w:ascii="仿宋" w:hAnsi="仿宋" w:eastAsia="仿宋" w:cs="仿宋"/>
                <w:sz w:val="24"/>
                <w:szCs w:val="24"/>
                <w:highlight w:val="none"/>
                <w:lang w:val="en-US" w:eastAsia="zh-CN"/>
              </w:rPr>
              <w:t>或同档次其他品牌</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4" w:hRule="atLeast"/>
        </w:trPr>
        <w:tc>
          <w:tcPr>
            <w:tcW w:w="3130" w:type="pct"/>
            <w:tcBorders>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执行导演（总策划）</w:t>
            </w:r>
          </w:p>
        </w:tc>
        <w:tc>
          <w:tcPr>
            <w:tcW w:w="1869" w:type="pct"/>
            <w:tcBorders>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总指挥/总导演</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9" w:hRule="atLeast"/>
        </w:trPr>
        <w:tc>
          <w:tcPr>
            <w:tcW w:w="3130" w:type="pct"/>
            <w:tcBorders>
              <w:top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信号调试、信号后勤保障</w:t>
            </w: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现场助理（收音、协调、应急）</w:t>
            </w:r>
          </w:p>
        </w:tc>
        <w:tc>
          <w:tcPr>
            <w:tcW w:w="1869" w:type="pct"/>
            <w:tcBorders>
              <w:top w:val="single" w:color="auto" w:sz="4" w:space="0"/>
              <w:left w:val="single" w:color="auto" w:sz="4" w:space="0"/>
            </w:tcBorders>
            <w:shd w:val="clear" w:color="auto" w:fill="auto"/>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直播现场协调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3" w:hRule="atLeast"/>
        </w:trPr>
        <w:tc>
          <w:tcPr>
            <w:tcW w:w="3130" w:type="pct"/>
            <w:tcBorders>
              <w:top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三网聚合设备</w:t>
            </w:r>
          </w:p>
        </w:tc>
        <w:tc>
          <w:tcPr>
            <w:tcW w:w="1869" w:type="pct"/>
            <w:tcBorders>
              <w:top w:val="single" w:color="auto" w:sz="4" w:space="0"/>
              <w:left w:val="single" w:color="auto" w:sz="4" w:space="0"/>
            </w:tcBorders>
            <w:shd w:val="clear" w:color="auto" w:fill="auto"/>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信号保障</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9" w:hRule="atLeast"/>
        </w:trPr>
        <w:tc>
          <w:tcPr>
            <w:tcW w:w="3130" w:type="pct"/>
            <w:tcBorders>
              <w:top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3个稳定器机位+视频快剪</w:t>
            </w:r>
          </w:p>
        </w:tc>
        <w:tc>
          <w:tcPr>
            <w:tcW w:w="1869" w:type="pct"/>
            <w:tcBorders>
              <w:top w:val="single" w:color="auto" w:sz="4" w:space="0"/>
              <w:left w:val="single" w:color="auto" w:sz="4" w:space="0"/>
            </w:tcBorders>
            <w:shd w:val="clear" w:color="auto" w:fill="auto"/>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索尼m3</w:t>
            </w:r>
            <w:r>
              <w:rPr>
                <w:rFonts w:hint="eastAsia" w:ascii="仿宋" w:hAnsi="仿宋" w:eastAsia="仿宋" w:cs="仿宋"/>
                <w:sz w:val="24"/>
                <w:szCs w:val="24"/>
                <w:highlight w:val="none"/>
                <w:lang w:val="en-US" w:eastAsia="zh-CN"/>
              </w:rPr>
              <w:t>或同档次其他品牌</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3" w:hRule="atLeast"/>
        </w:trPr>
        <w:tc>
          <w:tcPr>
            <w:tcW w:w="3130" w:type="pct"/>
            <w:tcBorders>
              <w:top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照片直播</w:t>
            </w:r>
          </w:p>
        </w:tc>
        <w:tc>
          <w:tcPr>
            <w:tcW w:w="1869" w:type="pct"/>
            <w:tcBorders>
              <w:top w:val="single" w:color="auto" w:sz="4" w:space="0"/>
              <w:left w:val="single" w:color="auto" w:sz="4" w:space="0"/>
            </w:tcBorders>
            <w:shd w:val="clear" w:color="auto" w:fill="auto"/>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云相册+摄影师</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9" w:hRule="atLeast"/>
        </w:trPr>
        <w:tc>
          <w:tcPr>
            <w:tcW w:w="3130" w:type="pct"/>
            <w:tcBorders>
              <w:top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直播引流</w:t>
            </w:r>
          </w:p>
        </w:tc>
        <w:tc>
          <w:tcPr>
            <w:tcW w:w="1869" w:type="pct"/>
            <w:tcBorders>
              <w:top w:val="single" w:color="auto" w:sz="4" w:space="0"/>
              <w:left w:val="single" w:color="auto" w:sz="4" w:space="0"/>
            </w:tcBorders>
            <w:shd w:val="clear" w:color="auto" w:fill="auto"/>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购买平台标签</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9" w:hRule="atLeast"/>
        </w:trPr>
        <w:tc>
          <w:tcPr>
            <w:tcW w:w="3130" w:type="pct"/>
            <w:tcBorders>
              <w:top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直播互动</w:t>
            </w:r>
            <w:r>
              <w:rPr>
                <w:rFonts w:hint="eastAsia" w:ascii="仿宋" w:hAnsi="仿宋" w:eastAsia="仿宋" w:cs="仿宋"/>
                <w:sz w:val="24"/>
                <w:szCs w:val="24"/>
                <w:highlight w:val="none"/>
                <w:lang w:val="en-US" w:eastAsia="zh-CN"/>
              </w:rPr>
              <w:t>盲盒文创礼品</w:t>
            </w:r>
          </w:p>
        </w:tc>
        <w:tc>
          <w:tcPr>
            <w:tcW w:w="1869" w:type="pct"/>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文创礼品</w:t>
            </w:r>
          </w:p>
        </w:tc>
      </w:tr>
    </w:tbl>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送福到站</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线下走基层</w:t>
      </w:r>
      <w:r>
        <w:rPr>
          <w:rFonts w:hint="eastAsia" w:ascii="仿宋" w:hAnsi="仿宋" w:eastAsia="仿宋" w:cs="仿宋"/>
          <w:b w:val="0"/>
          <w:bCs/>
          <w:sz w:val="24"/>
          <w:szCs w:val="24"/>
          <w:highlight w:val="none"/>
        </w:rPr>
        <w:t>主题</w:t>
      </w:r>
      <w:r>
        <w:rPr>
          <w:rFonts w:hint="eastAsia" w:ascii="仿宋" w:hAnsi="仿宋" w:eastAsia="仿宋" w:cs="仿宋"/>
          <w:b w:val="0"/>
          <w:bCs/>
          <w:sz w:val="24"/>
          <w:szCs w:val="24"/>
          <w:highlight w:val="none"/>
          <w:lang w:val="en-US" w:eastAsia="zh-CN"/>
        </w:rPr>
        <w:t>推广</w:t>
      </w:r>
      <w:r>
        <w:rPr>
          <w:rFonts w:hint="eastAsia" w:ascii="仿宋" w:hAnsi="仿宋" w:eastAsia="仿宋" w:cs="仿宋"/>
          <w:b w:val="0"/>
          <w:bCs/>
          <w:sz w:val="24"/>
          <w:szCs w:val="24"/>
          <w:highlight w:val="none"/>
        </w:rPr>
        <w:t>活动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2812"/>
        <w:gridCol w:w="4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pct"/>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配合主题</w:t>
            </w:r>
          </w:p>
        </w:tc>
        <w:tc>
          <w:tcPr>
            <w:tcW w:w="1468" w:type="pct"/>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人员</w:t>
            </w:r>
          </w:p>
        </w:tc>
        <w:tc>
          <w:tcPr>
            <w:tcW w:w="2555" w:type="pct"/>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pct"/>
            <w:vMerge w:val="restar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送福到站</w:t>
            </w:r>
          </w:p>
        </w:tc>
        <w:tc>
          <w:tcPr>
            <w:tcW w:w="1468" w:type="pct"/>
            <w:vAlign w:val="center"/>
          </w:tcPr>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执行导演（总策划）</w:t>
            </w:r>
          </w:p>
        </w:tc>
        <w:tc>
          <w:tcPr>
            <w:tcW w:w="2555" w:type="pc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总指挥/总导演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pct"/>
            <w:vMerge w:val="continue"/>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sz w:val="24"/>
                <w:szCs w:val="24"/>
                <w:highlight w:val="none"/>
              </w:rPr>
            </w:pPr>
          </w:p>
        </w:tc>
        <w:tc>
          <w:tcPr>
            <w:tcW w:w="1468" w:type="pc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场务（2到3人）</w:t>
            </w:r>
          </w:p>
        </w:tc>
        <w:tc>
          <w:tcPr>
            <w:tcW w:w="2555" w:type="pct"/>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现场组织、沟通、协调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pct"/>
            <w:vMerge w:val="continue"/>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sz w:val="24"/>
                <w:szCs w:val="24"/>
                <w:highlight w:val="none"/>
              </w:rPr>
            </w:pPr>
          </w:p>
        </w:tc>
        <w:tc>
          <w:tcPr>
            <w:tcW w:w="1468" w:type="pc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场景布置</w:t>
            </w:r>
          </w:p>
        </w:tc>
        <w:tc>
          <w:tcPr>
            <w:tcW w:w="2555" w:type="pct"/>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背景、海报、展架等制作布置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pct"/>
            <w:vMerge w:val="continue"/>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sz w:val="24"/>
                <w:szCs w:val="24"/>
                <w:highlight w:val="none"/>
              </w:rPr>
            </w:pPr>
          </w:p>
        </w:tc>
        <w:tc>
          <w:tcPr>
            <w:tcW w:w="1468" w:type="pc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现场音视频录制（2到3人）</w:t>
            </w:r>
          </w:p>
        </w:tc>
        <w:tc>
          <w:tcPr>
            <w:tcW w:w="2555" w:type="pct"/>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提供现场音频录制的技术支持，（含提供专业录制设备）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pct"/>
            <w:vMerge w:val="continue"/>
            <w:vAlign w:val="top"/>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b/>
                <w:bCs/>
                <w:kern w:val="2"/>
                <w:sz w:val="24"/>
                <w:szCs w:val="24"/>
                <w:highlight w:val="none"/>
                <w:lang w:val="en-US" w:eastAsia="zh-CN" w:bidi="ar-SA"/>
              </w:rPr>
            </w:pPr>
          </w:p>
        </w:tc>
        <w:tc>
          <w:tcPr>
            <w:tcW w:w="1468" w:type="pct"/>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后勤保障</w:t>
            </w:r>
          </w:p>
        </w:tc>
        <w:tc>
          <w:tcPr>
            <w:tcW w:w="2555" w:type="pct"/>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交通食宿等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5" w:type="pct"/>
            <w:vMerge w:val="continue"/>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sz w:val="24"/>
                <w:szCs w:val="24"/>
                <w:highlight w:val="none"/>
              </w:rPr>
            </w:pPr>
          </w:p>
        </w:tc>
        <w:tc>
          <w:tcPr>
            <w:tcW w:w="1468" w:type="pc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后期制作</w:t>
            </w:r>
          </w:p>
        </w:tc>
        <w:tc>
          <w:tcPr>
            <w:tcW w:w="2555" w:type="pct"/>
          </w:tcPr>
          <w:p>
            <w:pPr>
              <w:keepNext w:val="0"/>
              <w:keepLines w:val="0"/>
              <w:pageBreakBefore w:val="0"/>
              <w:widowControl w:val="0"/>
              <w:kinsoku/>
              <w:wordWrap/>
              <w:overflowPunct/>
              <w:topLinePunct w:val="0"/>
              <w:bidi w:val="0"/>
              <w:spacing w:line="5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根据所录制素材内容进行剪辑，完成成片</w:t>
            </w:r>
          </w:p>
        </w:tc>
      </w:tr>
    </w:tbl>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朋友圈创制宣传产品</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5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pc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配合主题</w:t>
            </w:r>
          </w:p>
        </w:tc>
        <w:tc>
          <w:tcPr>
            <w:tcW w:w="3001" w:type="pc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宣传配合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pc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微信平面电子海报</w:t>
            </w:r>
          </w:p>
        </w:tc>
        <w:tc>
          <w:tcPr>
            <w:tcW w:w="3001" w:type="pc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24张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pc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微信朋友圈动态视频</w:t>
            </w:r>
          </w:p>
        </w:tc>
        <w:tc>
          <w:tcPr>
            <w:tcW w:w="3001" w:type="pc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10部</w:t>
            </w:r>
          </w:p>
        </w:tc>
      </w:tr>
    </w:tbl>
    <w:p>
      <w:pPr>
        <w:keepNext w:val="0"/>
        <w:keepLines w:val="0"/>
        <w:pageBreakBefore w:val="0"/>
        <w:widowControl w:val="0"/>
        <w:kinsoku/>
        <w:wordWrap/>
        <w:overflowPunct/>
        <w:topLinePunct w:val="0"/>
        <w:bidi w:val="0"/>
        <w:spacing w:line="560" w:lineRule="exact"/>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宣传汇编</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5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pct"/>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配合主题</w:t>
            </w:r>
          </w:p>
        </w:tc>
        <w:tc>
          <w:tcPr>
            <w:tcW w:w="3001" w:type="pct"/>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宣传配合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pc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宣传汇编</w:t>
            </w:r>
          </w:p>
        </w:tc>
        <w:tc>
          <w:tcPr>
            <w:tcW w:w="3001" w:type="pct"/>
            <w:vAlign w:val="center"/>
          </w:tcPr>
          <w:p>
            <w:pPr>
              <w:keepNext w:val="0"/>
              <w:keepLines w:val="0"/>
              <w:pageBreakBefore w:val="0"/>
              <w:widowControl w:val="0"/>
              <w:kinsoku/>
              <w:wordWrap/>
              <w:overflowPunct/>
              <w:topLinePunct w:val="0"/>
              <w:bidi w:val="0"/>
              <w:spacing w:line="560" w:lineRule="exact"/>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公益之声宣传合集200册</w:t>
            </w:r>
          </w:p>
        </w:tc>
      </w:tr>
    </w:tbl>
    <w:p>
      <w:pPr>
        <w:spacing w:line="480" w:lineRule="auto"/>
        <w:ind w:firstLine="480" w:firstLineChars="200"/>
        <w:outlineLvl w:val="1"/>
        <w:rPr>
          <w:rFonts w:hint="eastAsia" w:ascii="仿宋" w:hAnsi="仿宋" w:eastAsia="仿宋" w:cs="仿宋"/>
          <w:sz w:val="24"/>
          <w:szCs w:val="24"/>
          <w:highlight w:val="none"/>
          <w:lang w:val="en-US" w:eastAsia="zh-CN"/>
        </w:rPr>
      </w:pPr>
    </w:p>
    <w:p>
      <w:pPr>
        <w:keepNext/>
        <w:keepLines/>
        <w:pageBreakBefore w:val="0"/>
        <w:widowControl w:val="0"/>
        <w:kinsoku/>
        <w:wordWrap/>
        <w:overflowPunct/>
        <w:topLinePunct w:val="0"/>
        <w:autoSpaceDE/>
        <w:autoSpaceDN/>
        <w:bidi w:val="0"/>
        <w:adjustRightInd/>
        <w:snapToGrid/>
        <w:spacing w:before="0" w:after="0" w:line="560" w:lineRule="exact"/>
        <w:ind w:firstLine="420" w:firstLineChars="200"/>
        <w:jc w:val="both"/>
        <w:textAlignment w:val="auto"/>
        <w:outlineLvl w:val="9"/>
        <w:rPr>
          <w:rFonts w:hint="eastAsia" w:ascii="仿宋" w:hAnsi="仿宋" w:eastAsia="仿宋" w:cs="仿宋"/>
          <w:color w:val="000000" w:themeColor="text1"/>
          <w:kern w:val="0"/>
          <w:highlight w:val="none"/>
          <w14:textFill>
            <w14:solidFill>
              <w14:schemeClr w14:val="tx1"/>
            </w14:solidFill>
          </w14:textFill>
        </w:rPr>
      </w:pPr>
    </w:p>
    <w:p>
      <w:pPr>
        <w:pStyle w:val="21"/>
        <w:rPr>
          <w:rFonts w:hint="eastAsia"/>
          <w:highlight w:val="none"/>
        </w:rPr>
      </w:pPr>
    </w:p>
    <w:p>
      <w:pPr>
        <w:rPr>
          <w:rFonts w:hint="eastAsia" w:ascii="仿宋" w:hAnsi="仿宋" w:eastAsia="仿宋" w:cs="仿宋"/>
          <w:color w:val="000000" w:themeColor="text1"/>
          <w:kern w:val="0"/>
          <w:highlight w:val="none"/>
          <w14:textFill>
            <w14:solidFill>
              <w14:schemeClr w14:val="tx1"/>
            </w14:solidFill>
          </w14:textFill>
        </w:rPr>
      </w:pPr>
      <w:bookmarkStart w:id="50" w:name="_Toc21581"/>
      <w:r>
        <w:rPr>
          <w:rFonts w:hint="eastAsia" w:ascii="仿宋" w:hAnsi="仿宋" w:eastAsia="仿宋" w:cs="仿宋"/>
          <w:color w:val="000000" w:themeColor="text1"/>
          <w:kern w:val="0"/>
          <w:highlight w:val="none"/>
          <w14:textFill>
            <w14:solidFill>
              <w14:schemeClr w14:val="tx1"/>
            </w14:solidFill>
          </w14:textFill>
        </w:rPr>
        <w:br w:type="page"/>
      </w:r>
    </w:p>
    <w:p>
      <w:pPr>
        <w:pStyle w:val="3"/>
        <w:spacing w:before="0" w:after="0"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第四章   商务要求</w:t>
      </w:r>
      <w:bookmarkEnd w:id="50"/>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一、服务期限及地点：</w:t>
      </w:r>
      <w:bookmarkStart w:id="51" w:name="_Toc167712839"/>
      <w:bookmarkStart w:id="52" w:name="_Toc167715234"/>
      <w:bookmarkStart w:id="53" w:name="_Toc167714037"/>
    </w:p>
    <w:bookmarkEnd w:id="51"/>
    <w:bookmarkEnd w:id="52"/>
    <w:bookmarkEnd w:id="53"/>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14:textFill>
            <w14:solidFill>
              <w14:schemeClr w14:val="tx1"/>
            </w14:solidFill>
          </w14:textFill>
        </w:rPr>
        <w:t>期限：</w:t>
      </w:r>
      <w:r>
        <w:rPr>
          <w:rFonts w:hint="eastAsia" w:ascii="仿宋" w:hAnsi="仿宋" w:eastAsia="仿宋" w:cs="仿宋"/>
          <w:color w:val="000000" w:themeColor="text1"/>
          <w:sz w:val="24"/>
          <w:highlight w:val="none"/>
          <w:lang w:val="en-US" w:eastAsia="zh-CN"/>
          <w14:textFill>
            <w14:solidFill>
              <w14:schemeClr w14:val="tx1"/>
            </w14:solidFill>
          </w14:textFill>
        </w:rPr>
        <w:t>自合同签订之日起180天内服务完毕</w:t>
      </w:r>
      <w:r>
        <w:rPr>
          <w:rFonts w:hint="eastAsia" w:ascii="仿宋" w:hAnsi="仿宋" w:eastAsia="仿宋" w:cs="仿宋"/>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2、交付地点：甲方指定地点。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二、付款方式：</w:t>
      </w:r>
    </w:p>
    <w:p>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default" w:ascii="仿宋" w:hAnsi="仿宋" w:eastAsia="仿宋" w:cs="仿宋"/>
          <w:b w:val="0"/>
          <w:bCs/>
          <w:color w:val="000000" w:themeColor="text1"/>
          <w:sz w:val="24"/>
          <w:highlight w:val="none"/>
          <w:lang w:val="en-US" w:eastAsia="zh-CN"/>
          <w14:textFill>
            <w14:solidFill>
              <w14:schemeClr w14:val="tx1"/>
            </w14:solidFill>
          </w14:textFill>
        </w:rPr>
      </w:pPr>
      <w:bookmarkStart w:id="54" w:name="_Toc167714041"/>
      <w:bookmarkStart w:id="55" w:name="_Toc167712843"/>
      <w:bookmarkStart w:id="56" w:name="_Toc167715238"/>
      <w:r>
        <w:rPr>
          <w:rFonts w:hint="eastAsia" w:ascii="仿宋" w:hAnsi="仿宋" w:eastAsia="仿宋" w:cs="仿宋"/>
          <w:b w:val="0"/>
          <w:bCs/>
          <w:color w:val="000000" w:themeColor="text1"/>
          <w:sz w:val="24"/>
          <w:highlight w:val="none"/>
          <w:lang w:val="en-US" w:eastAsia="zh-CN"/>
          <w14:textFill>
            <w14:solidFill>
              <w14:schemeClr w14:val="tx1"/>
            </w14:solidFill>
          </w14:textFill>
        </w:rPr>
        <w:t>甲乙双方自行协商。</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三</w:t>
      </w:r>
      <w:r>
        <w:rPr>
          <w:rFonts w:hint="eastAsia" w:ascii="仿宋" w:hAnsi="仿宋" w:eastAsia="仿宋" w:cs="仿宋"/>
          <w:b/>
          <w:color w:val="000000" w:themeColor="text1"/>
          <w:sz w:val="24"/>
          <w:highlight w:val="none"/>
          <w14:textFill>
            <w14:solidFill>
              <w14:schemeClr w14:val="tx1"/>
            </w14:solidFill>
          </w14:textFill>
        </w:rPr>
        <w:t>、质量保证：</w:t>
      </w:r>
    </w:p>
    <w:p>
      <w:pPr>
        <w:keepNext w:val="0"/>
        <w:keepLines w:val="0"/>
        <w:pageBreakBefore w:val="0"/>
        <w:widowControl w:val="0"/>
        <w:kinsoku/>
        <w:wordWrap/>
        <w:overflowPunct/>
        <w:topLinePunct w:val="0"/>
        <w:autoSpaceDE/>
        <w:autoSpaceDN/>
        <w:bidi w:val="0"/>
        <w:adjustRightInd w:val="0"/>
        <w:snapToGrid w:val="0"/>
        <w:spacing w:line="560" w:lineRule="exact"/>
        <w:ind w:firstLine="470" w:firstLineChars="196"/>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r>
        <w:rPr>
          <w:rFonts w:hint="eastAsia" w:ascii="仿宋" w:hAnsi="仿宋" w:eastAsia="仿宋" w:cs="仿宋"/>
          <w:color w:val="000000" w:themeColor="text1"/>
          <w:kern w:val="0"/>
          <w:sz w:val="24"/>
          <w:highlight w:val="none"/>
          <w:lang w:eastAsia="zh-CN"/>
          <w14:textFill>
            <w14:solidFill>
              <w14:schemeClr w14:val="tx1"/>
            </w14:solidFill>
          </w14:textFill>
        </w:rPr>
        <w:t>成交</w:t>
      </w:r>
      <w:r>
        <w:rPr>
          <w:rFonts w:hint="eastAsia" w:ascii="仿宋" w:hAnsi="仿宋" w:eastAsia="仿宋" w:cs="仿宋"/>
          <w:color w:val="000000" w:themeColor="text1"/>
          <w:kern w:val="0"/>
          <w:sz w:val="24"/>
          <w:highlight w:val="none"/>
          <w14:textFill>
            <w14:solidFill>
              <w14:schemeClr w14:val="tx1"/>
            </w14:solidFill>
          </w14:textFill>
        </w:rPr>
        <w:t>单位所提供的项目成果必须经采购人审核验收，符合采购人要求，并达到技术指标先进、质量可靠、配置合理，满足</w:t>
      </w:r>
      <w:r>
        <w:rPr>
          <w:rFonts w:hint="eastAsia" w:ascii="仿宋" w:hAnsi="仿宋" w:eastAsia="仿宋" w:cs="仿宋"/>
          <w:color w:val="000000" w:themeColor="text1"/>
          <w:kern w:val="0"/>
          <w:sz w:val="24"/>
          <w:highlight w:val="none"/>
          <w:lang w:eastAsia="zh-CN"/>
          <w14:textFill>
            <w14:solidFill>
              <w14:schemeClr w14:val="tx1"/>
            </w14:solidFill>
          </w14:textFill>
        </w:rPr>
        <w:t>采购</w:t>
      </w:r>
      <w:r>
        <w:rPr>
          <w:rFonts w:hint="eastAsia" w:ascii="仿宋" w:hAnsi="仿宋" w:eastAsia="仿宋" w:cs="仿宋"/>
          <w:color w:val="000000" w:themeColor="text1"/>
          <w:kern w:val="0"/>
          <w:sz w:val="24"/>
          <w:highlight w:val="none"/>
          <w14:textFill>
            <w14:solidFill>
              <w14:schemeClr w14:val="tx1"/>
            </w14:solidFill>
          </w14:textFill>
        </w:rPr>
        <w:t>文件要求。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70" w:firstLineChars="196"/>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2、服务的质量必须符合国家标准和有关规范，确保服务达到最佳使用要求。</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四、</w:t>
      </w:r>
      <w:r>
        <w:rPr>
          <w:rFonts w:hint="eastAsia" w:ascii="仿宋" w:hAnsi="仿宋" w:eastAsia="仿宋" w:cs="仿宋"/>
          <w:b/>
          <w:color w:val="000000" w:themeColor="text1"/>
          <w:sz w:val="24"/>
          <w:highlight w:val="none"/>
          <w14:textFill>
            <w14:solidFill>
              <w14:schemeClr w14:val="tx1"/>
            </w14:solidFill>
          </w14:textFill>
        </w:rPr>
        <w:t>合同实施：</w:t>
      </w:r>
      <w:bookmarkStart w:id="57" w:name="_Toc167714067"/>
      <w:bookmarkStart w:id="58" w:name="_Toc167715264"/>
      <w:bookmarkStart w:id="59" w:name="_Toc167712869"/>
    </w:p>
    <w:bookmarkEnd w:id="57"/>
    <w:bookmarkEnd w:id="58"/>
    <w:bookmarkEnd w:id="59"/>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成交单位应在合同签订后七（7）个日历日内安排人员（项目组成人员简历表所列）与使用单位就</w:t>
      </w:r>
      <w:r>
        <w:rPr>
          <w:rFonts w:hint="eastAsia" w:ascii="仿宋" w:hAnsi="仿宋" w:eastAsia="仿宋" w:cs="仿宋"/>
          <w:color w:val="000000" w:themeColor="text1"/>
          <w:sz w:val="24"/>
          <w:highlight w:val="none"/>
          <w:lang w:val="en-US" w:eastAsia="zh-CN"/>
          <w14:textFill>
            <w14:solidFill>
              <w14:schemeClr w14:val="tx1"/>
            </w14:solidFill>
          </w14:textFill>
        </w:rPr>
        <w:t>项目实施</w:t>
      </w:r>
      <w:r>
        <w:rPr>
          <w:rFonts w:hint="eastAsia" w:ascii="仿宋" w:hAnsi="仿宋" w:eastAsia="仿宋" w:cs="仿宋"/>
          <w:color w:val="000000" w:themeColor="text1"/>
          <w:sz w:val="24"/>
          <w:highlight w:val="none"/>
          <w14:textFill>
            <w14:solidFill>
              <w14:schemeClr w14:val="tx1"/>
            </w14:solidFill>
          </w14:textFill>
        </w:rPr>
        <w:t>等工作进行安排、部署。</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2、若未能在项目周期内完成合同规定的义务，由此对采购人造成的延误和一切损失，由成交单位承担和赔偿。</w:t>
      </w:r>
      <w:bookmarkEnd w:id="54"/>
      <w:bookmarkEnd w:id="55"/>
      <w:bookmarkEnd w:id="56"/>
    </w:p>
    <w:p>
      <w:pPr>
        <w:spacing w:line="560" w:lineRule="exac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五</w:t>
      </w:r>
      <w:r>
        <w:rPr>
          <w:rFonts w:hint="eastAsia" w:ascii="仿宋" w:hAnsi="仿宋" w:eastAsia="仿宋" w:cs="仿宋"/>
          <w:b/>
          <w:bCs/>
          <w:color w:val="000000" w:themeColor="text1"/>
          <w:sz w:val="24"/>
          <w:highlight w:val="none"/>
          <w14:textFill>
            <w14:solidFill>
              <w14:schemeClr w14:val="tx1"/>
            </w14:solidFill>
          </w14:textFill>
        </w:rPr>
        <w:t>、违约责任</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1、按</w:t>
      </w:r>
      <w:r>
        <w:rPr>
          <w:rFonts w:hint="eastAsia" w:ascii="仿宋" w:hAnsi="仿宋" w:eastAsia="仿宋" w:cs="仿宋"/>
          <w:color w:val="000000" w:themeColor="text1"/>
          <w:sz w:val="24"/>
          <w:highlight w:val="none"/>
          <w:lang w:eastAsia="zh-CN"/>
          <w14:textFill>
            <w14:solidFill>
              <w14:schemeClr w14:val="tx1"/>
            </w14:solidFill>
          </w14:textFill>
        </w:rPr>
        <w:t>《中华人民共和国民法典》</w:t>
      </w:r>
      <w:r>
        <w:rPr>
          <w:rFonts w:hint="eastAsia" w:ascii="仿宋" w:hAnsi="仿宋" w:eastAsia="仿宋" w:cs="仿宋"/>
          <w:color w:val="000000" w:themeColor="text1"/>
          <w:sz w:val="24"/>
          <w:highlight w:val="none"/>
          <w14:textFill>
            <w14:solidFill>
              <w14:schemeClr w14:val="tx1"/>
            </w14:solidFill>
          </w14:textFill>
        </w:rPr>
        <w:t>中的相关条款执行。</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2、按合同要求提供服务或服务质量不能满足技术要求，采购人有权终止合同，并对供</w:t>
      </w:r>
    </w:p>
    <w:p>
      <w:pPr>
        <w:spacing w:line="560" w:lineRule="exact"/>
        <w:jc w:val="left"/>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594995</wp:posOffset>
                </wp:positionV>
                <wp:extent cx="5487670" cy="493395"/>
                <wp:effectExtent l="4445" t="5080" r="13335" b="15875"/>
                <wp:wrapSquare wrapText="bothSides"/>
                <wp:docPr id="14" name="文本框 14"/>
                <wp:cNvGraphicFramePr/>
                <a:graphic xmlns:a="http://schemas.openxmlformats.org/drawingml/2006/main">
                  <a:graphicData uri="http://schemas.microsoft.com/office/word/2010/wordprocessingShape">
                    <wps:wsp>
                      <wps:cNvSpPr txBox="1"/>
                      <wps:spPr>
                        <a:xfrm>
                          <a:off x="1273175" y="2276475"/>
                          <a:ext cx="5487670" cy="493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tabs>
                                <w:tab w:val="left" w:pos="3485"/>
                              </w:tabs>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注：商务要求为实质性要求，不得负偏离。</w:t>
                            </w:r>
                          </w:p>
                        </w:txbxContent>
                      </wps:txbx>
                      <wps:bodyPr wrap="square" upright="1">
                        <a:noAutofit/>
                      </wps:bodyPr>
                    </wps:wsp>
                  </a:graphicData>
                </a:graphic>
              </wp:anchor>
            </w:drawing>
          </mc:Choice>
          <mc:Fallback>
            <w:pict>
              <v:shape id="_x0000_s1026" o:spid="_x0000_s1026" o:spt="202" type="#_x0000_t202" style="position:absolute;left:0pt;margin-left:4.05pt;margin-top:46.85pt;height:38.85pt;width:432.1pt;mso-wrap-distance-bottom:0pt;mso-wrap-distance-left:9pt;mso-wrap-distance-right:9pt;mso-wrap-distance-top:0pt;z-index:251660288;mso-width-relative:page;mso-height-relative:page;" fillcolor="#FFFFFF" filled="t" stroked="t" coordsize="21600,21600" o:gfxdata="UEsDBAoAAAAAAIdO4kAAAAAAAAAAAAAAAAAEAAAAZHJzL1BLAwQUAAAACACHTuJAowh9FNgAAAAI&#10;AQAADwAAAGRycy9kb3ducmV2LnhtbE2PwU7DMBBE70j8g7VIXBB10lRNGuL0gASCGy2ovbrxNomw&#10;1yF20/L3LCc4rmb05m21vjgrJhxD70lBOktAIDXe9NQq+Hh/ui9AhKjJaOsJFXxjgHV9fVXp0vgz&#10;bXDaxlYwhEKpFXQxDqWUoenQ6TDzAxJnRz86HfkcW2lGfWa4s3KeJEvpdE+80OkBHztsPrcnp6BY&#10;vEz78Jq97Zrl0a7iXT49f41K3d6kyQOIiJf4V4ZffVaHmp0O/kQmCMuMlIsKVlkOguMin2cgDtzL&#10;0wXIupL/H6h/AFBLAwQUAAAACACHTuJAcoVH5DQCAAB6BAAADgAAAGRycy9lMm9Eb2MueG1srVRL&#10;ktMwFNxTxR1U2hMnmcxkJhVnCghhQwFVAwdQZDlWlX5ISuxcAG7Ais3sOVfOQUvOfGGRBV7YT1Kr&#10;9brfk+fXnVZkJ3yQ1pR0NBhSIgy3lTSbkn79snp1SUmIzFRMWSNKuheBXi9evpi3bibGtrGqEp6A&#10;xIRZ60raxOhmRRF4IzQLA+uEwWJtvWYRQ78pKs9asGtVjIfDi6K1vnLechECZpf9Ij0y+lMIbV1L&#10;LpaWb7UwsWf1QrEISaGRLtBFzrauBY+f6jqISFRJoTTmNw5BvE7vYjFns41nrpH8mAI7JYVnmjST&#10;BofeUy1ZZGTr5V9UWnJvg63jgFtd9EKyI1AxGj7z5qZhTmQtsDq4e9PD/6PlH3efPZEVOmFCiWEa&#10;FT/8/HH49ftw+51gDga1LsyAu3FAxu6N7QC+mw+YTLq72uv0hSKS1sfTs9H0nJJ9Scfj6cUEcbZa&#10;dJFwAM4nl9OLKarAgZhcnZ1dZUDxwOR8iO+F1SQFJfUoZXaY7T6ECC5A7yDp4GCVrFZSqTzwm/Vb&#10;5cmOoeyr/KTjseUJTBnSlvTqfIxEOUMv1+ghhNrBj2A2+bwnO8Jj4mF+/kWcEluy0PQJZIZevpZR&#10;+GxEI1j1zlQk7h0sN7hqNCWjRUWJEriZKcrIyKQ6BQl1yiT1Ivf90aVUvL5IKYrdugNpCte22qOg&#10;LXofYr9tmUcGW+flpoHdo6zd2NfbaGuZ/X7YBCfTAC2ZPT1en9Tzj8cZ9fDLWP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wh9FNgAAAAIAQAADwAAAAAAAAABACAAAAAiAAAAZHJzL2Rvd25yZXYu&#10;eG1sUEsBAhQAFAAAAAgAh07iQHKFR+Q0AgAAegQAAA4AAAAAAAAAAQAgAAAAJwEAAGRycy9lMm9E&#10;b2MueG1sUEsFBgAAAAAGAAYAWQEAAM0FAAAAAA==&#10;">
                <v:fill on="t" focussize="0,0"/>
                <v:stroke color="#000000" joinstyle="miter"/>
                <v:imagedata o:title=""/>
                <o:lock v:ext="edit" aspectratio="f"/>
                <v:textbox>
                  <w:txbxContent>
                    <w:p>
                      <w:pPr>
                        <w:tabs>
                          <w:tab w:val="left" w:pos="3485"/>
                        </w:tabs>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注：商务要求为实质性要求，不得负偏离。</w:t>
                      </w:r>
                    </w:p>
                  </w:txbxContent>
                </v:textbox>
                <w10:wrap type="square"/>
              </v:shape>
            </w:pict>
          </mc:Fallback>
        </mc:AlternateContent>
      </w:r>
      <w:r>
        <w:rPr>
          <w:rFonts w:hint="eastAsia" w:ascii="仿宋" w:hAnsi="仿宋" w:eastAsia="仿宋" w:cs="仿宋"/>
          <w:color w:val="000000" w:themeColor="text1"/>
          <w:sz w:val="24"/>
          <w:highlight w:val="none"/>
          <w14:textFill>
            <w14:solidFill>
              <w14:schemeClr w14:val="tx1"/>
            </w14:solidFill>
          </w14:textFill>
        </w:rPr>
        <w:t>方违约行为进行追究，同时按《政府采购法》的有关规定进行处罚。</w:t>
      </w:r>
      <w:r>
        <w:rPr>
          <w:rFonts w:hint="eastAsia" w:ascii="仿宋" w:hAnsi="仿宋" w:eastAsia="仿宋" w:cs="仿宋"/>
          <w:color w:val="000000" w:themeColor="text1"/>
          <w:kern w:val="0"/>
          <w:highlight w:val="none"/>
          <w14:textFill>
            <w14:solidFill>
              <w14:schemeClr w14:val="tx1"/>
            </w14:solidFill>
          </w14:textFill>
        </w:rPr>
        <w:br w:type="page"/>
      </w:r>
    </w:p>
    <w:p>
      <w:pPr>
        <w:spacing w:line="560" w:lineRule="exact"/>
        <w:jc w:val="center"/>
        <w:rPr>
          <w:rFonts w:hint="eastAsia" w:ascii="仿宋" w:hAnsi="仿宋" w:eastAsia="仿宋" w:cs="仿宋"/>
          <w:color w:val="000000" w:themeColor="text1"/>
          <w:kern w:val="0"/>
          <w:highlight w:val="none"/>
          <w:lang w:eastAsia="zh-CN"/>
          <w14:textFill>
            <w14:solidFill>
              <w14:schemeClr w14:val="tx1"/>
            </w14:solidFill>
          </w14:textFill>
        </w:rPr>
      </w:pPr>
      <w:bookmarkStart w:id="60" w:name="_Toc2890"/>
      <w:r>
        <w:rPr>
          <w:rStyle w:val="55"/>
          <w:rFonts w:hint="eastAsia" w:ascii="仿宋" w:hAnsi="仿宋" w:eastAsia="仿宋" w:cs="仿宋"/>
          <w:color w:val="000000" w:themeColor="text1"/>
          <w:highlight w:val="none"/>
          <w14:textFill>
            <w14:solidFill>
              <w14:schemeClr w14:val="tx1"/>
            </w14:solidFill>
          </w14:textFill>
        </w:rPr>
        <w:t>第五章  合同条款</w:t>
      </w:r>
      <w:bookmarkEnd w:id="60"/>
      <w:r>
        <w:rPr>
          <w:rStyle w:val="55"/>
          <w:rFonts w:hint="eastAsia" w:ascii="仿宋" w:hAnsi="仿宋" w:eastAsia="仿宋" w:cs="仿宋"/>
          <w:color w:val="000000" w:themeColor="text1"/>
          <w:highlight w:val="none"/>
          <w:lang w:eastAsia="zh-CN"/>
          <w14:textFill>
            <w14:solidFill>
              <w14:schemeClr w14:val="tx1"/>
            </w14:solidFill>
          </w14:textFill>
        </w:rPr>
        <w:t>（</w:t>
      </w:r>
      <w:r>
        <w:rPr>
          <w:rStyle w:val="55"/>
          <w:rFonts w:hint="eastAsia" w:ascii="仿宋" w:hAnsi="仿宋" w:eastAsia="仿宋" w:cs="仿宋"/>
          <w:color w:val="000000" w:themeColor="text1"/>
          <w:highlight w:val="none"/>
          <w:lang w:val="en-US" w:eastAsia="zh-CN"/>
          <w14:textFill>
            <w14:solidFill>
              <w14:schemeClr w14:val="tx1"/>
            </w14:solidFill>
          </w14:textFill>
        </w:rPr>
        <w:t>参考格式</w:t>
      </w:r>
      <w:r>
        <w:rPr>
          <w:rStyle w:val="55"/>
          <w:rFonts w:hint="eastAsia" w:ascii="仿宋" w:hAnsi="仿宋" w:eastAsia="仿宋" w:cs="仿宋"/>
          <w:color w:val="000000" w:themeColor="text1"/>
          <w:highlight w:val="none"/>
          <w:lang w:eastAsia="zh-CN"/>
          <w14:textFill>
            <w14:solidFill>
              <w14:schemeClr w14:val="tx1"/>
            </w14:solidFill>
          </w14:textFill>
        </w:rPr>
        <w:t>）</w:t>
      </w:r>
    </w:p>
    <w:p>
      <w:pPr>
        <w:ind w:firstLine="5520" w:firstLineChars="2300"/>
        <w:jc w:val="both"/>
        <w:rPr>
          <w:rFonts w:hint="eastAsia" w:ascii="仿宋" w:hAnsi="仿宋" w:eastAsia="仿宋" w:cs="仿宋"/>
          <w:b w:val="0"/>
          <w:bCs/>
          <w:color w:val="000000" w:themeColor="text1"/>
          <w:sz w:val="24"/>
          <w:szCs w:val="24"/>
          <w:highlight w:val="none"/>
          <w14:textFill>
            <w14:solidFill>
              <w14:schemeClr w14:val="tx1"/>
            </w14:solidFill>
          </w14:textFill>
        </w:rPr>
      </w:pP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一、合同格式</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陕西福彩公益之声系列宣传服务采购项目</w:t>
      </w:r>
      <w:r>
        <w:rPr>
          <w:rFonts w:hint="eastAsia" w:ascii="仿宋" w:hAnsi="仿宋" w:eastAsia="仿宋" w:cs="仿宋"/>
          <w:color w:val="000000" w:themeColor="text1"/>
          <w:sz w:val="24"/>
          <w:highlight w:val="none"/>
          <w14:textFill>
            <w14:solidFill>
              <w14:schemeClr w14:val="tx1"/>
            </w14:solidFill>
          </w14:textFill>
        </w:rPr>
        <w:t>(文件编号</w:t>
      </w:r>
      <w:r>
        <w:rPr>
          <w:rFonts w:hint="eastAsia" w:ascii="仿宋" w:hAnsi="仿宋" w:eastAsia="仿宋" w:cs="仿宋"/>
          <w:color w:val="000000" w:themeColor="text1"/>
          <w:sz w:val="24"/>
          <w:highlight w:val="none"/>
          <w:lang w:eastAsia="zh-CN"/>
          <w14:textFill>
            <w14:solidFill>
              <w14:schemeClr w14:val="tx1"/>
            </w14:solidFill>
          </w14:textFill>
        </w:rPr>
        <w:t>：HZGH-2022-062</w:t>
      </w:r>
      <w:r>
        <w:rPr>
          <w:rFonts w:hint="eastAsia" w:ascii="仿宋" w:hAnsi="仿宋" w:eastAsia="仿宋" w:cs="仿宋"/>
          <w:color w:val="000000" w:themeColor="text1"/>
          <w:sz w:val="24"/>
          <w:highlight w:val="none"/>
          <w14:textFill>
            <w14:solidFill>
              <w14:schemeClr w14:val="tx1"/>
            </w14:solidFill>
          </w14:textFill>
        </w:rPr>
        <w:t>)，在</w:t>
      </w:r>
      <w:r>
        <w:rPr>
          <w:rFonts w:hint="eastAsia" w:ascii="仿宋" w:hAnsi="仿宋" w:eastAsia="仿宋" w:cs="仿宋"/>
          <w:color w:val="000000" w:themeColor="text1"/>
          <w:sz w:val="24"/>
          <w:highlight w:val="none"/>
          <w:lang w:eastAsia="zh-CN"/>
          <w14:textFill>
            <w14:solidFill>
              <w14:schemeClr w14:val="tx1"/>
            </w14:solidFill>
          </w14:textFill>
        </w:rPr>
        <w:t>陕西省财政厅政府采购管理处</w:t>
      </w:r>
      <w:r>
        <w:rPr>
          <w:rFonts w:hint="eastAsia" w:ascii="仿宋" w:hAnsi="仿宋" w:eastAsia="仿宋" w:cs="仿宋"/>
          <w:color w:val="000000" w:themeColor="text1"/>
          <w:sz w:val="24"/>
          <w:highlight w:val="none"/>
          <w14:textFill>
            <w14:solidFill>
              <w14:schemeClr w14:val="tx1"/>
            </w14:solidFill>
          </w14:textFill>
        </w:rPr>
        <w:t>的监督管理下，由华招广和项目管理有限公司组织竞争性磋商。</w:t>
      </w:r>
      <w:r>
        <w:rPr>
          <w:rFonts w:hint="eastAsia" w:ascii="仿宋" w:hAnsi="仿宋" w:eastAsia="仿宋" w:cs="仿宋"/>
          <w:color w:val="000000" w:themeColor="text1"/>
          <w:sz w:val="24"/>
          <w:highlight w:val="none"/>
          <w:lang w:eastAsia="zh-CN"/>
          <w14:textFill>
            <w14:solidFill>
              <w14:schemeClr w14:val="tx1"/>
            </w14:solidFill>
          </w14:textFill>
        </w:rPr>
        <w:t>陕西省福利彩票发行中心</w:t>
      </w:r>
      <w:r>
        <w:rPr>
          <w:rFonts w:hint="eastAsia" w:ascii="仿宋" w:hAnsi="仿宋" w:eastAsia="仿宋" w:cs="仿宋"/>
          <w:color w:val="000000" w:themeColor="text1"/>
          <w:sz w:val="24"/>
          <w:highlight w:val="none"/>
          <w14:textFill>
            <w14:solidFill>
              <w14:schemeClr w14:val="tx1"/>
            </w14:solidFill>
          </w14:textFill>
        </w:rPr>
        <w:t>(以下简称“甲方”)确定 (成交单位名称) （以下简称“乙方”）为成交单位。</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依据《中华人民共和国</w:t>
      </w:r>
      <w:r>
        <w:rPr>
          <w:rFonts w:hint="eastAsia" w:ascii="仿宋" w:hAnsi="仿宋" w:eastAsia="仿宋" w:cs="仿宋"/>
          <w:color w:val="000000" w:themeColor="text1"/>
          <w:sz w:val="24"/>
          <w:highlight w:val="none"/>
          <w:lang w:val="en-US" w:eastAsia="zh-CN"/>
          <w14:textFill>
            <w14:solidFill>
              <w14:schemeClr w14:val="tx1"/>
            </w14:solidFill>
          </w14:textFill>
        </w:rPr>
        <w:t>民法典</w:t>
      </w:r>
      <w:r>
        <w:rPr>
          <w:rFonts w:hint="eastAsia" w:ascii="仿宋" w:hAnsi="仿宋" w:eastAsia="仿宋" w:cs="仿宋"/>
          <w:color w:val="000000" w:themeColor="text1"/>
          <w:sz w:val="24"/>
          <w:highlight w:val="none"/>
          <w14:textFill>
            <w14:solidFill>
              <w14:schemeClr w14:val="tx1"/>
            </w14:solidFill>
          </w14:textFill>
        </w:rPr>
        <w:t>》和《中华人民共和国政府采购法》《中华人民共和国政府采购法实施条例》，甲方通过竞争性磋商采购（服务名称） ，并接受了乙方以价格(成交金额大写)(以下简称“合同价”)提供的服务。</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bookmarkStart w:id="61" w:name="_Toc194663916"/>
      <w:bookmarkStart w:id="62" w:name="_Toc188808831"/>
      <w:bookmarkStart w:id="63" w:name="_Toc193187095"/>
      <w:bookmarkStart w:id="64" w:name="_Toc193126879"/>
      <w:r>
        <w:rPr>
          <w:rFonts w:hint="eastAsia" w:ascii="仿宋" w:hAnsi="仿宋" w:eastAsia="仿宋" w:cs="仿宋"/>
          <w:color w:val="000000" w:themeColor="text1"/>
          <w:sz w:val="24"/>
          <w:highlight w:val="none"/>
          <w14:textFill>
            <w14:solidFill>
              <w14:schemeClr w14:val="tx1"/>
            </w14:solidFill>
          </w14:textFill>
        </w:rPr>
        <w:t>本合同在此声明如下：</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1、本合同中的词语和术语的含义与合同条款中定义的相同。</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2、下述文件是本合同的一部分，并与本合同一起阅读和解释：</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1）合同条款</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2）合同条款附件</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附件1—服务方案</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附件2—服务质量保证承诺</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3）成交通知书</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4）竞争性磋商文件</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5）竞争性磋商响应文件</w:t>
      </w:r>
    </w:p>
    <w:p>
      <w:pPr>
        <w:spacing w:line="560" w:lineRule="exact"/>
        <w:jc w:val="left"/>
        <w:rPr>
          <w:rFonts w:hint="eastAsia"/>
          <w:highlight w:val="none"/>
        </w:rPr>
      </w:pPr>
      <w:r>
        <w:rPr>
          <w:rFonts w:hint="eastAsia" w:ascii="仿宋" w:hAnsi="仿宋" w:eastAsia="仿宋" w:cs="仿宋"/>
          <w:color w:val="000000" w:themeColor="text1"/>
          <w:sz w:val="24"/>
          <w:highlight w:val="none"/>
          <w14:textFill>
            <w14:solidFill>
              <w14:schemeClr w14:val="tx1"/>
            </w14:solidFill>
          </w14:textFill>
        </w:rPr>
        <w:t>3、考虑到甲方将按照本合同向乙方支付款项，乙方在此保证全部按照合同的规定向甲方提</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供服务，并修补缺陷。</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4、考虑到乙方提供的服务并修补缺陷，甲方在此保证按照合同规定的时间和方式向乙方支付合同价或其他按合同规定应支付的金额。</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5、付款方式：</w:t>
      </w:r>
    </w:p>
    <w:p>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default" w:ascii="仿宋" w:hAnsi="仿宋" w:eastAsia="仿宋" w:cs="仿宋"/>
          <w:b w:val="0"/>
          <w:bCs/>
          <w:color w:val="000000" w:themeColor="text1"/>
          <w:sz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甲乙双方自行协商。</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6、服务期限：</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pPr>
        <w:spacing w:line="560" w:lineRule="exact"/>
        <w:ind w:firstLine="480" w:firstLineChars="200"/>
        <w:jc w:val="lef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服务地点：</w:t>
      </w:r>
      <w:r>
        <w:rPr>
          <w:rFonts w:hint="eastAsia" w:ascii="仿宋" w:hAnsi="仿宋" w:eastAsia="仿宋" w:cs="仿宋"/>
          <w:color w:val="000000" w:themeColor="text1"/>
          <w:sz w:val="24"/>
          <w:highlight w:val="none"/>
          <w:lang w:val="en-US" w:eastAsia="zh-CN"/>
          <w14:textFill>
            <w14:solidFill>
              <w14:schemeClr w14:val="tx1"/>
            </w14:solidFill>
          </w14:textFill>
        </w:rPr>
        <w:t>甲方指定地点。</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本合同一式</w:t>
      </w:r>
      <w:r>
        <w:rPr>
          <w:rFonts w:hint="eastAsia" w:ascii="仿宋" w:hAnsi="仿宋" w:eastAsia="仿宋" w:cs="仿宋"/>
          <w:color w:val="000000" w:themeColor="text1"/>
          <w:sz w:val="24"/>
          <w:highlight w:val="none"/>
          <w:lang w:eastAsia="zh-CN"/>
          <w14:textFill>
            <w14:solidFill>
              <w14:schemeClr w14:val="tx1"/>
            </w14:solidFill>
          </w14:textFill>
        </w:rPr>
        <w:t>伍</w:t>
      </w:r>
      <w:r>
        <w:rPr>
          <w:rFonts w:hint="eastAsia" w:ascii="仿宋" w:hAnsi="仿宋" w:eastAsia="仿宋" w:cs="仿宋"/>
          <w:color w:val="000000" w:themeColor="text1"/>
          <w:sz w:val="24"/>
          <w:highlight w:val="none"/>
          <w14:textFill>
            <w14:solidFill>
              <w14:schemeClr w14:val="tx1"/>
            </w14:solidFill>
          </w14:textFill>
        </w:rPr>
        <w:t>份，其中，甲方贰份，乙方贰份，</w:t>
      </w:r>
      <w:r>
        <w:rPr>
          <w:rFonts w:hint="eastAsia" w:ascii="仿宋" w:hAnsi="仿宋" w:eastAsia="仿宋" w:cs="仿宋"/>
          <w:color w:val="000000" w:themeColor="text1"/>
          <w:sz w:val="24"/>
          <w:highlight w:val="none"/>
          <w:lang w:eastAsia="zh-CN"/>
          <w14:textFill>
            <w14:solidFill>
              <w14:schemeClr w14:val="tx1"/>
            </w14:solidFill>
          </w14:textFill>
        </w:rPr>
        <w:t>采购代理机构</w:t>
      </w:r>
      <w:r>
        <w:rPr>
          <w:rFonts w:hint="eastAsia" w:ascii="仿宋" w:hAnsi="仿宋" w:eastAsia="仿宋" w:cs="仿宋"/>
          <w:color w:val="000000" w:themeColor="text1"/>
          <w:sz w:val="24"/>
          <w:highlight w:val="none"/>
          <w14:textFill>
            <w14:solidFill>
              <w14:schemeClr w14:val="tx1"/>
            </w14:solidFill>
          </w14:textFill>
        </w:rPr>
        <w:t>备案壹份。</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8、本合同由买卖双方共同签字盖章之日起生效。</w:t>
      </w:r>
    </w:p>
    <w:tbl>
      <w:tblPr>
        <w:tblStyle w:val="22"/>
        <w:tblpPr w:leftFromText="180" w:rightFromText="180" w:vertAnchor="text" w:horzAnchor="margin" w:tblpX="406" w:tblpY="58"/>
        <w:tblOverlap w:val="never"/>
        <w:tblW w:w="8361" w:type="dxa"/>
        <w:tblInd w:w="0" w:type="dxa"/>
        <w:tblLayout w:type="fixed"/>
        <w:tblCellMar>
          <w:top w:w="0" w:type="dxa"/>
          <w:left w:w="108" w:type="dxa"/>
          <w:bottom w:w="0" w:type="dxa"/>
          <w:right w:w="108" w:type="dxa"/>
        </w:tblCellMar>
      </w:tblPr>
      <w:tblGrid>
        <w:gridCol w:w="4425"/>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甲方名称：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    址：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    编：</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    话：</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传    真：</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代表签字：</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盖章：</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p>
        </w:tc>
        <w:tc>
          <w:tcPr>
            <w:tcW w:w="3936" w:type="dxa"/>
            <w:tcMar>
              <w:top w:w="113" w:type="dxa"/>
              <w:left w:w="113" w:type="dxa"/>
              <w:bottom w:w="113" w:type="dxa"/>
              <w:right w:w="113" w:type="dxa"/>
            </w:tcMar>
          </w:tcPr>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乙方名称：</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    址：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邮    编：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电    话：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传    真：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开户银行：</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帐    号：</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代表签字</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盖章：</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w:t>
            </w:r>
          </w:p>
        </w:tc>
      </w:tr>
      <w:bookmarkEnd w:id="61"/>
      <w:bookmarkEnd w:id="62"/>
      <w:bookmarkEnd w:id="63"/>
      <w:bookmarkEnd w:id="64"/>
    </w:tbl>
    <w:p>
      <w:pPr>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 xml:space="preserve">                               </w:t>
      </w:r>
    </w:p>
    <w:p>
      <w:pPr>
        <w:spacing w:line="480" w:lineRule="exact"/>
        <w:ind w:firstLine="480" w:firstLineChars="200"/>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                                 </w:t>
      </w:r>
    </w:p>
    <w:p>
      <w:pPr>
        <w:keepNext/>
        <w:keepLines/>
        <w:pageBreakBefore w:val="0"/>
        <w:widowControl w:val="0"/>
        <w:kinsoku/>
        <w:wordWrap/>
        <w:overflowPunct/>
        <w:topLinePunct w:val="0"/>
        <w:autoSpaceDE/>
        <w:autoSpaceDN/>
        <w:bidi w:val="0"/>
        <w:adjustRightInd/>
        <w:snapToGrid/>
        <w:spacing w:before="0" w:after="0" w:line="240" w:lineRule="auto"/>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br w:type="page"/>
      </w:r>
    </w:p>
    <w:p>
      <w:pPr>
        <w:bidi w:val="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二、合同条款</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第一条 本着平等互惠、互相支持、共同发展的原则，就甲方针对本项目的事宜， 经甲乙双方友好协商， 共同签署本合同，以资共同遵守。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第二条 服务定义：根据甲方需要，乙方为甲方提供该项目的服务等业务。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第三条 乙方服务人员：是指乙方派出的符合本合同资格条件的、在甲方从事本合同规定的服务项目范围以内工作的人员。乙方有义务在本合同有效期内维持其与服务人员合法的劳动合同关系，不得因与服务人员间就劳动法律关系或在其他方面的任何争议或瑕疵影响其履行在本合同项下的义务。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第四条 服务期限，从    年  月  日起至    年  月   日。</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第五条 服务费用：人民币       元，合计人民币       元。</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六</w:t>
      </w:r>
      <w:r>
        <w:rPr>
          <w:rFonts w:hint="eastAsia" w:ascii="仿宋" w:hAnsi="仿宋" w:eastAsia="仿宋" w:cs="仿宋"/>
          <w:color w:val="000000" w:themeColor="text1"/>
          <w:sz w:val="24"/>
          <w:highlight w:val="none"/>
          <w14:textFill>
            <w14:solidFill>
              <w14:schemeClr w14:val="tx1"/>
            </w14:solidFill>
          </w14:textFill>
        </w:rPr>
        <w:t>条 甲方的权利</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1、甲方有权享有乙方按照上述约定提供的服务。</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甲方有权要求乙方提供符合本项目服务要求的人员，且提供的服务质量达到前述约定标准。如乙方违反协议约定，未达到服务质量要求的，甲方有权要求乙方限期改正，逾期未改正的或改正后仍给甲方造成损失的，乙方应承担相应的法律责任；</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甲方有权根据服务要求和标准考评乙方服务质量，如乙方提供的服务考评不合格或不符合约定的，甲方有权按照一定比例减少支付服务费用，具体减付比例结合乙方提供服务未达到约定的范围，严重程度、给甲方造成的损失情况等确定。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4、除本合同约定的服务费用外，乙方不得向甲方及其甲方人员收取其他任何费用，如甲方发现乙方有此类行为，甲方有权要求乙方清退所收费用，退还利息并支付违约金；</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5、对乙方相关服务资料的所有权、使用权的约定：归甲方所有。乙方不得以任何借口留存，否则承担由此产生的一切法律和经济责任。未经甲方允许，任何单位和个人不得转让和使用本项目的相关内容。</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七</w:t>
      </w:r>
      <w:r>
        <w:rPr>
          <w:rFonts w:hint="eastAsia" w:ascii="仿宋" w:hAnsi="仿宋" w:eastAsia="仿宋" w:cs="仿宋"/>
          <w:color w:val="000000" w:themeColor="text1"/>
          <w:sz w:val="24"/>
          <w:highlight w:val="none"/>
          <w14:textFill>
            <w14:solidFill>
              <w14:schemeClr w14:val="tx1"/>
            </w14:solidFill>
          </w14:textFill>
        </w:rPr>
        <w:t>条 甲方的义务</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1、在服务实施过程中，甲方应为乙方提供必要的工作便利与指导，配合乙方履行职责。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2、甲方不得将本合同的内容向甲乙双方以外的、与签订和履行本合同无关的任何第三方透露，不得泄露乙方的商业秘密（包括本合同及其附件和合同签订前的各项方案）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第九条 任何一方违反或擅自变更本合同的约定，应当承担由此给对方造成的经济损失和相关责任。</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八</w:t>
      </w:r>
      <w:r>
        <w:rPr>
          <w:rFonts w:hint="eastAsia" w:ascii="仿宋" w:hAnsi="仿宋" w:eastAsia="仿宋" w:cs="仿宋"/>
          <w:color w:val="000000" w:themeColor="text1"/>
          <w:sz w:val="24"/>
          <w:highlight w:val="none"/>
          <w14:textFill>
            <w14:solidFill>
              <w14:schemeClr w14:val="tx1"/>
            </w14:solidFill>
          </w14:textFill>
        </w:rPr>
        <w:t>条甲方违约责任</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1、由于甲方的原因或因不可抗力的自然因素影响，则服务周期顺延。</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2、对于乙方提供的资料以及属于乙方的内容，甲方有义务保密，不得向第三方提供或用于本合同以外的项目，否则乙方有权要求甲方按本合同项目款总额的20%赔偿损失。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九</w:t>
      </w:r>
      <w:r>
        <w:rPr>
          <w:rFonts w:hint="eastAsia" w:ascii="仿宋" w:hAnsi="仿宋" w:eastAsia="仿宋" w:cs="仿宋"/>
          <w:color w:val="000000" w:themeColor="text1"/>
          <w:sz w:val="24"/>
          <w:highlight w:val="none"/>
          <w14:textFill>
            <w14:solidFill>
              <w14:schemeClr w14:val="tx1"/>
            </w14:solidFill>
          </w14:textFill>
        </w:rPr>
        <w:t>条乙方违约责任</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1、合同签订后，如乙方擅自中途停止或解除合同，乙方应向甲方双倍返还定金。没有约定定金的，乙方向甲方赔偿服务价款。</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2、在甲方提供了必要的工作、生活条件，并且保证了项目款按时到位，乙方未能按合同规定的日期提供服务时，应向甲方赔偿拖期损失费，每天的拖期损失费按合同约定的项目总价款。</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3、因天气、交通、政府行为、甲方提供的资料不准确等客观原因造成的服务周期拖期，乙方不承担赔偿责任。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服务实施过程中，乙方未按磋商响应文件约定配备服务人员或乙方派驻服务力量无法胜任项目实施要求的，甲方有权提出增加人员和充实技术力量，乙方应立即安排实施，其费用被认为已含在合同价格之中。如乙方拒绝增加人员或充实技术力量，甲方有权利解除合同，乙方应承担由此给甲方造成的经济损失。</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乙方有责任按甲方要求提交项目资料。如乙方未能按规定的服务周期提供服务，每延误一天，应付逾期违约金人民币（但由于受天气等不可抗力的自然因素影响，则工期顺延），逾期10天以上的，甲方除有权终止履行合同外，乙方应承担因延期造成的损失。同时，甲方有权根据乙方所承担服务的质量是否符合要求而对服务的内容进行调整。</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乙方提供的服务质量不合格的，乙方应负责无偿予以采取补救措施，以达到质量要求。因服务最终不符合合同要求（而又非甲方提供的资料原因所致）造成后果时，乙方应对因此造成的直接损失负赔偿责任，并承担相应的法律责任（由于甲方提供的资料原因产生的责任由甲方自己负责）。</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7、在合同期内和合同终止后，乙方应负责所有资料的保密，非经甲方书面认可，不得向任何人以任何方式提供任何资料。严格按甲方要求程序传递各种资料，否则甲方有权单方解除合同，并追回所付项目款。</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8、乙方若擅自转包或分包本合同标的，甲方有权解除合同，并可要求乙方偿付预算30%的违约金，同时追究其法律责任。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第十条 甲乙任何一方按照本合同规定索取违约金或赔偿金时，应书面通知违约方并说明违约金或赔偿金额；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一</w:t>
      </w:r>
      <w:r>
        <w:rPr>
          <w:rFonts w:hint="eastAsia" w:ascii="仿宋" w:hAnsi="仿宋" w:eastAsia="仿宋" w:cs="仿宋"/>
          <w:color w:val="000000" w:themeColor="text1"/>
          <w:sz w:val="24"/>
          <w:highlight w:val="none"/>
          <w14:textFill>
            <w14:solidFill>
              <w14:schemeClr w14:val="tx1"/>
            </w14:solidFill>
          </w14:textFill>
        </w:rPr>
        <w:t xml:space="preserve">条 因执行本合同发生的一切争议，双方应首先友好协商解决。经协商不能解决，应向甲方所在地人民法院提起诉讼。在诉讼期间，除必须在诉讼过程中进行解决的问题外，合同其余部分应继续履行。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二</w:t>
      </w:r>
      <w:r>
        <w:rPr>
          <w:rFonts w:hint="eastAsia" w:ascii="仿宋" w:hAnsi="仿宋" w:eastAsia="仿宋" w:cs="仿宋"/>
          <w:color w:val="000000" w:themeColor="text1"/>
          <w:sz w:val="24"/>
          <w:highlight w:val="none"/>
          <w14:textFill>
            <w14:solidFill>
              <w14:schemeClr w14:val="tx1"/>
            </w14:solidFill>
          </w14:textFill>
        </w:rPr>
        <w:t xml:space="preserve">条 甲、乙双方有一方有正当理由要求变更本合同，须提前一个月以书面形式通知对方并协商解决，双方应签署变更合同。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三</w:t>
      </w:r>
      <w:r>
        <w:rPr>
          <w:rFonts w:hint="eastAsia" w:ascii="仿宋" w:hAnsi="仿宋" w:eastAsia="仿宋" w:cs="仿宋"/>
          <w:color w:val="000000" w:themeColor="text1"/>
          <w:sz w:val="24"/>
          <w:highlight w:val="none"/>
          <w14:textFill>
            <w14:solidFill>
              <w14:schemeClr w14:val="tx1"/>
            </w14:solidFill>
          </w14:textFill>
        </w:rPr>
        <w:t xml:space="preserve">条 本合同期满双方不再续约或者因一方违约导致本合同无法履行，则本合同终止。但合同的终止不得损害第三方的利益，双方应为此做出合理安排。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四</w:t>
      </w:r>
      <w:r>
        <w:rPr>
          <w:rFonts w:hint="eastAsia" w:ascii="仿宋" w:hAnsi="仿宋" w:eastAsia="仿宋" w:cs="仿宋"/>
          <w:color w:val="000000" w:themeColor="text1"/>
          <w:sz w:val="24"/>
          <w:highlight w:val="none"/>
          <w14:textFill>
            <w14:solidFill>
              <w14:schemeClr w14:val="tx1"/>
            </w14:solidFill>
          </w14:textFill>
        </w:rPr>
        <w:t>条 未经对方同意，甲乙任何一方不得将本合同部分或全部权利和义务转让给第三方。</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五</w:t>
      </w:r>
      <w:r>
        <w:rPr>
          <w:rFonts w:hint="eastAsia" w:ascii="仿宋" w:hAnsi="仿宋" w:eastAsia="仿宋" w:cs="仿宋"/>
          <w:color w:val="000000" w:themeColor="text1"/>
          <w:sz w:val="24"/>
          <w:highlight w:val="none"/>
          <w14:textFill>
            <w14:solidFill>
              <w14:schemeClr w14:val="tx1"/>
            </w14:solidFill>
          </w14:textFill>
        </w:rPr>
        <w:t>条 本合同中涉及的所有“通知”、“同意”、“确认” 等事项均应以书面形式做出，并作为依据。</w:t>
      </w:r>
    </w:p>
    <w:p>
      <w:pPr>
        <w:spacing w:line="560" w:lineRule="exact"/>
        <w:ind w:firstLine="240" w:firstLineChars="100"/>
        <w:jc w:val="left"/>
        <w:rPr>
          <w:rFonts w:hint="eastAsia"/>
          <w:highlight w:val="none"/>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六</w:t>
      </w:r>
      <w:r>
        <w:rPr>
          <w:rFonts w:hint="eastAsia" w:ascii="仿宋" w:hAnsi="仿宋" w:eastAsia="仿宋" w:cs="仿宋"/>
          <w:color w:val="000000" w:themeColor="text1"/>
          <w:sz w:val="24"/>
          <w:highlight w:val="none"/>
          <w14:textFill>
            <w14:solidFill>
              <w14:schemeClr w14:val="tx1"/>
            </w14:solidFill>
          </w14:textFill>
        </w:rPr>
        <w:t xml:space="preserve">条 本合同有关附件及补充合同是本合同不可分割的组成部分，与本合同具有同等法律效力；本合同未尽事宜，双方另行协商并签署补充合同，作为本合同的附件，具有同等法律效力。 </w:t>
      </w:r>
    </w:p>
    <w:p>
      <w:pPr>
        <w:pStyle w:val="3"/>
        <w:bidi w:val="0"/>
        <w:jc w:val="center"/>
        <w:rPr>
          <w:rFonts w:hint="eastAsia" w:ascii="仿宋" w:hAnsi="仿宋" w:eastAsia="仿宋" w:cs="仿宋"/>
          <w:highlight w:val="none"/>
        </w:rPr>
      </w:pPr>
      <w:bookmarkStart w:id="65" w:name="_Toc32022"/>
      <w:r>
        <w:rPr>
          <w:rFonts w:hint="eastAsia" w:ascii="仿宋" w:hAnsi="仿宋" w:eastAsia="仿宋" w:cs="仿宋"/>
          <w:highlight w:val="none"/>
        </w:rPr>
        <w:t>第六章  竞争性磋商响应文件格式</w:t>
      </w:r>
      <w:bookmarkEnd w:id="65"/>
    </w:p>
    <w:p>
      <w:pPr>
        <w:spacing w:line="5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竞争性磋商响应文件编制说明</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1、竞争性磋商响应文件应当按照竞争性磋商文件给定的格式和要求编制，格式之外的可自行编写。</w:t>
      </w:r>
    </w:p>
    <w:p>
      <w:pPr>
        <w:spacing w:line="560" w:lineRule="exact"/>
        <w:ind w:firstLine="420" w:firstLineChars="17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供应商必须按照竞争性磋商文件的规定和要求在竞争性磋商响应文件中指定的页面落款处加盖公章（鲜章）并由法定代表人或被授权人签字（或盖章），否则将作为无效响应处理。竞争性磋商文件凡是要求法定代表人签字或盖章之处，非法人单位的负责人均参照执行。    </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3、纸质竞争性磋商响应文件均须A4纸打印（提倡双面打印），分别各自装订成册并编制目录和页码。</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4、竞争性磋商响应文件正本中的法人授权书须为原件，其它资质证明文件为复印件加盖供应商公章（鲜章）。副本可以是正本的复印件。</w:t>
      </w:r>
    </w:p>
    <w:p>
      <w:pPr>
        <w:spacing w:line="4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p>
    <w:p>
      <w:pPr>
        <w:spacing w:line="54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spacing w:line="560" w:lineRule="exact"/>
        <w:ind w:firstLine="723" w:firstLineChars="200"/>
        <w:jc w:val="right"/>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p>
    <w:p>
      <w:pPr>
        <w:spacing w:line="560" w:lineRule="exact"/>
        <w:ind w:firstLine="723" w:firstLineChars="200"/>
        <w:jc w:val="right"/>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p>
    <w:p>
      <w:pPr>
        <w:spacing w:line="560" w:lineRule="exact"/>
        <w:ind w:firstLine="723" w:firstLineChars="200"/>
        <w:jc w:val="right"/>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r>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t>政府采购项目</w:t>
      </w:r>
    </w:p>
    <w:p>
      <w:pPr>
        <w:spacing w:line="480" w:lineRule="exact"/>
        <w:ind w:right="140"/>
        <w:rPr>
          <w:rFonts w:hint="eastAsia" w:ascii="仿宋" w:hAnsi="仿宋" w:eastAsia="仿宋" w:cs="仿宋"/>
          <w:color w:val="000000" w:themeColor="text1"/>
          <w:sz w:val="36"/>
          <w:szCs w:val="36"/>
          <w:highlight w:val="none"/>
          <w14:textFill>
            <w14:solidFill>
              <w14:schemeClr w14:val="tx1"/>
            </w14:solidFill>
          </w14:textFill>
        </w:rPr>
      </w:pPr>
    </w:p>
    <w:p>
      <w:pPr>
        <w:rPr>
          <w:rFonts w:hint="eastAsia" w:ascii="仿宋" w:hAnsi="仿宋" w:eastAsia="仿宋" w:cs="仿宋"/>
          <w:b/>
          <w:color w:val="000000" w:themeColor="text1"/>
          <w:sz w:val="20"/>
          <w:szCs w:val="20"/>
          <w:highlight w:val="none"/>
          <w:u w:val="wavyHeavy" w:color="FF0000"/>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 xml:space="preserve">文件编号: </w:t>
      </w:r>
      <w:r>
        <w:rPr>
          <w:rFonts w:hint="eastAsia" w:ascii="仿宋" w:hAnsi="仿宋" w:eastAsia="仿宋" w:cs="仿宋"/>
          <w:b/>
          <w:color w:val="000000" w:themeColor="text1"/>
          <w:sz w:val="36"/>
          <w:szCs w:val="36"/>
          <w:highlight w:val="none"/>
          <w:lang w:eastAsia="zh-CN"/>
          <w14:textFill>
            <w14:solidFill>
              <w14:schemeClr w14:val="tx1"/>
            </w14:solidFill>
          </w14:textFill>
        </w:rPr>
        <w:t>HZGH-2022-062</w:t>
      </w: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pStyle w:val="2"/>
        <w:spacing w:line="360" w:lineRule="auto"/>
        <w:jc w:val="center"/>
        <w:rPr>
          <w:rFonts w:hint="eastAsia" w:ascii="仿宋" w:hAnsi="仿宋" w:eastAsia="仿宋" w:cs="仿宋"/>
          <w:b/>
          <w:bCs/>
          <w:color w:val="000000" w:themeColor="text1"/>
          <w:spacing w:val="20"/>
          <w:kern w:val="0"/>
          <w:sz w:val="44"/>
          <w:szCs w:val="44"/>
          <w:highlight w:val="none"/>
          <w:lang w:val="en-US" w:eastAsia="zh-CN" w:bidi="ar-SA"/>
          <w14:textFill>
            <w14:solidFill>
              <w14:schemeClr w14:val="tx1"/>
            </w14:solidFill>
          </w14:textFill>
        </w:rPr>
      </w:pPr>
      <w:r>
        <w:rPr>
          <w:rFonts w:hint="eastAsia" w:ascii="仿宋" w:hAnsi="仿宋" w:eastAsia="仿宋" w:cs="仿宋"/>
          <w:b/>
          <w:bCs/>
          <w:color w:val="000000" w:themeColor="text1"/>
          <w:spacing w:val="20"/>
          <w:kern w:val="0"/>
          <w:sz w:val="44"/>
          <w:szCs w:val="44"/>
          <w:highlight w:val="none"/>
          <w:lang w:val="en-US" w:eastAsia="zh-CN" w:bidi="ar-SA"/>
          <w14:textFill>
            <w14:solidFill>
              <w14:schemeClr w14:val="tx1"/>
            </w14:solidFill>
          </w14:textFill>
        </w:rPr>
        <w:t>陕西福彩公益之声系列宣传服务采购项目</w:t>
      </w:r>
    </w:p>
    <w:p>
      <w:pPr>
        <w:spacing w:line="480" w:lineRule="exact"/>
        <w:ind w:firstLine="1446" w:firstLineChars="200"/>
        <w:jc w:val="center"/>
        <w:rPr>
          <w:rFonts w:hint="eastAsia" w:ascii="仿宋" w:hAnsi="仿宋" w:eastAsia="仿宋" w:cs="仿宋"/>
          <w:b/>
          <w:color w:val="000000" w:themeColor="text1"/>
          <w:sz w:val="72"/>
          <w:szCs w:val="72"/>
          <w:highlight w:val="none"/>
          <w14:textFill>
            <w14:solidFill>
              <w14:schemeClr w14:val="tx1"/>
            </w14:solidFill>
          </w14:textFill>
        </w:rPr>
      </w:pPr>
    </w:p>
    <w:p>
      <w:pPr>
        <w:spacing w:line="480" w:lineRule="exact"/>
        <w:ind w:firstLine="1446" w:firstLineChars="200"/>
        <w:jc w:val="center"/>
        <w:rPr>
          <w:rFonts w:hint="eastAsia" w:ascii="仿宋" w:hAnsi="仿宋" w:eastAsia="仿宋" w:cs="仿宋"/>
          <w:b/>
          <w:color w:val="000000" w:themeColor="text1"/>
          <w:sz w:val="72"/>
          <w:szCs w:val="72"/>
          <w:highlight w:val="none"/>
          <w14:textFill>
            <w14:solidFill>
              <w14:schemeClr w14:val="tx1"/>
            </w14:solidFill>
          </w14:textFill>
        </w:rPr>
      </w:pPr>
    </w:p>
    <w:p>
      <w:pPr>
        <w:jc w:val="center"/>
        <w:rPr>
          <w:rFonts w:hint="eastAsia" w:ascii="仿宋" w:hAnsi="仿宋" w:eastAsia="仿宋" w:cs="仿宋"/>
          <w:b/>
          <w:color w:val="000000" w:themeColor="text1"/>
          <w:sz w:val="52"/>
          <w:szCs w:val="52"/>
          <w:highlight w:val="none"/>
          <w14:textFill>
            <w14:solidFill>
              <w14:schemeClr w14:val="tx1"/>
            </w14:solidFill>
          </w14:textFill>
        </w:rPr>
      </w:pPr>
      <w:r>
        <w:rPr>
          <w:rFonts w:hint="eastAsia" w:ascii="仿宋" w:hAnsi="仿宋" w:eastAsia="仿宋" w:cs="仿宋"/>
          <w:b/>
          <w:color w:val="000000" w:themeColor="text1"/>
          <w:sz w:val="72"/>
          <w:szCs w:val="72"/>
          <w:highlight w:val="none"/>
          <w14:textFill>
            <w14:solidFill>
              <w14:schemeClr w14:val="tx1"/>
            </w14:solidFill>
          </w14:textFill>
        </w:rPr>
        <w:t xml:space="preserve"> </w:t>
      </w:r>
      <w:r>
        <w:rPr>
          <w:rFonts w:hint="eastAsia" w:ascii="仿宋" w:hAnsi="仿宋" w:eastAsia="仿宋" w:cs="仿宋"/>
          <w:b/>
          <w:color w:val="000000" w:themeColor="text1"/>
          <w:sz w:val="52"/>
          <w:szCs w:val="52"/>
          <w:highlight w:val="none"/>
          <w14:textFill>
            <w14:solidFill>
              <w14:schemeClr w14:val="tx1"/>
            </w14:solidFill>
          </w14:textFill>
        </w:rPr>
        <w:t>竞争性磋商响应文件</w:t>
      </w: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pStyle w:val="2"/>
        <w:rPr>
          <w:rFonts w:hint="eastAsia"/>
          <w:highlight w:val="none"/>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1687" w:firstLineChars="600"/>
        <w:textAlignment w:val="auto"/>
        <w:rPr>
          <w:rFonts w:hint="eastAsia" w:ascii="仿宋" w:hAnsi="仿宋" w:eastAsia="仿宋" w:cs="仿宋"/>
          <w:b/>
          <w:bCs/>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供   应   商：</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661" w:firstLineChars="591"/>
        <w:textAlignment w:val="auto"/>
        <w:rPr>
          <w:rFonts w:hint="eastAsia" w:ascii="仿宋" w:hAnsi="仿宋" w:eastAsia="仿宋" w:cs="仿宋"/>
          <w:b/>
          <w:bCs/>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采购代理机构：</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661" w:firstLineChars="591"/>
        <w:textAlignment w:val="auto"/>
        <w:rPr>
          <w:rFonts w:hint="eastAsia" w:ascii="仿宋" w:hAnsi="仿宋" w:eastAsia="仿宋" w:cs="仿宋"/>
          <w:b/>
          <w:color w:val="000000" w:themeColor="text1"/>
          <w:sz w:val="13"/>
          <w:szCs w:val="13"/>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时        间：</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3697" w:firstLineChars="837"/>
        <w:textAlignment w:val="auto"/>
        <w:rPr>
          <w:rFonts w:hint="eastAsia" w:ascii="仿宋" w:hAnsi="仿宋" w:eastAsia="仿宋" w:cs="仿宋"/>
          <w:b/>
          <w:color w:val="000000" w:themeColor="text1"/>
          <w:sz w:val="44"/>
          <w:szCs w:val="44"/>
          <w:highlight w:val="none"/>
          <w14:textFill>
            <w14:solidFill>
              <w14:schemeClr w14:val="tx1"/>
            </w14:solidFill>
          </w14:textFill>
        </w:rPr>
      </w:pPr>
    </w:p>
    <w:p>
      <w:pPr>
        <w:spacing w:line="480" w:lineRule="exact"/>
        <w:ind w:firstLine="3697" w:firstLineChars="837"/>
        <w:rPr>
          <w:rFonts w:hint="eastAsia" w:ascii="仿宋" w:hAnsi="仿宋" w:eastAsia="仿宋" w:cs="仿宋"/>
          <w:b/>
          <w:color w:val="000000" w:themeColor="text1"/>
          <w:sz w:val="44"/>
          <w:szCs w:val="44"/>
          <w:highlight w:val="none"/>
          <w14:textFill>
            <w14:solidFill>
              <w14:schemeClr w14:val="tx1"/>
            </w14:solidFill>
          </w14:textFill>
        </w:rPr>
      </w:pPr>
    </w:p>
    <w:p>
      <w:pPr>
        <w:spacing w:line="480" w:lineRule="exact"/>
        <w:rPr>
          <w:rFonts w:hint="eastAsia" w:ascii="仿宋" w:hAnsi="仿宋" w:eastAsia="仿宋" w:cs="仿宋"/>
          <w:b/>
          <w:color w:val="000000" w:themeColor="text1"/>
          <w:sz w:val="44"/>
          <w:szCs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t>目  录</w:t>
      </w: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1.竞争性磋商函（格式）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2.磋商报价一览表（格式）</w:t>
      </w:r>
    </w:p>
    <w:p>
      <w:pPr>
        <w:spacing w:line="480" w:lineRule="auto"/>
        <w:ind w:firstLine="2551" w:firstLineChars="1063"/>
        <w:jc w:val="both"/>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分项报价表（格式自拟）</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商务条款响应偏离表（格式）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.服务条款响应偏离表（格式）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.资格证明文件</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2019年1月1日</w:t>
      </w:r>
      <w:r>
        <w:rPr>
          <w:rFonts w:hint="eastAsia" w:ascii="仿宋" w:hAnsi="仿宋" w:eastAsia="仿宋" w:cs="仿宋"/>
          <w:color w:val="000000" w:themeColor="text1"/>
          <w:sz w:val="24"/>
          <w:highlight w:val="none"/>
          <w14:textFill>
            <w14:solidFill>
              <w14:schemeClr w14:val="tx1"/>
            </w14:solidFill>
          </w14:textFill>
        </w:rPr>
        <w:t>至今</w:t>
      </w:r>
      <w:r>
        <w:rPr>
          <w:rFonts w:hint="eastAsia" w:ascii="仿宋" w:hAnsi="仿宋" w:eastAsia="仿宋" w:cs="仿宋"/>
          <w:color w:val="000000" w:themeColor="text1"/>
          <w:sz w:val="24"/>
          <w:highlight w:val="none"/>
          <w:lang w:val="en-US" w:eastAsia="zh-CN"/>
          <w14:textFill>
            <w14:solidFill>
              <w14:schemeClr w14:val="tx1"/>
            </w14:solidFill>
          </w14:textFill>
        </w:rPr>
        <w:t>类似</w:t>
      </w:r>
      <w:r>
        <w:rPr>
          <w:rFonts w:hint="eastAsia" w:ascii="仿宋" w:hAnsi="仿宋" w:eastAsia="仿宋" w:cs="仿宋"/>
          <w:color w:val="000000" w:themeColor="text1"/>
          <w:sz w:val="24"/>
          <w:highlight w:val="none"/>
          <w14:textFill>
            <w14:solidFill>
              <w14:schemeClr w14:val="tx1"/>
            </w14:solidFill>
          </w14:textFill>
        </w:rPr>
        <w:t>项目业绩（提供合同复印件加盖公章）</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项目实施</w:t>
      </w:r>
      <w:r>
        <w:rPr>
          <w:rFonts w:hint="eastAsia" w:ascii="仿宋" w:hAnsi="仿宋" w:eastAsia="仿宋" w:cs="仿宋"/>
          <w:color w:val="000000" w:themeColor="text1"/>
          <w:sz w:val="24"/>
          <w:highlight w:val="none"/>
          <w14:textFill>
            <w14:solidFill>
              <w14:schemeClr w14:val="tx1"/>
            </w14:solidFill>
          </w14:textFill>
        </w:rPr>
        <w:t>方案</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9.拟派项目人员与设备配备（格式）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售后</w:t>
      </w:r>
      <w:r>
        <w:rPr>
          <w:rFonts w:hint="eastAsia" w:ascii="仿宋" w:hAnsi="仿宋" w:eastAsia="仿宋" w:cs="仿宋"/>
          <w:color w:val="000000" w:themeColor="text1"/>
          <w:sz w:val="24"/>
          <w:highlight w:val="none"/>
          <w14:textFill>
            <w14:solidFill>
              <w14:schemeClr w14:val="tx1"/>
            </w14:solidFill>
          </w14:textFill>
        </w:rPr>
        <w:t>服务承诺</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.供应商认为有必要说明的事宜（若有）</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12</w:t>
      </w:r>
      <w:r>
        <w:rPr>
          <w:rFonts w:hint="eastAsia" w:ascii="仿宋" w:hAnsi="仿宋" w:eastAsia="仿宋" w:cs="仿宋"/>
          <w:color w:val="000000" w:themeColor="text1"/>
          <w:sz w:val="24"/>
          <w:highlight w:val="none"/>
          <w14:textFill>
            <w14:solidFill>
              <w14:schemeClr w14:val="tx1"/>
            </w14:solidFill>
          </w14:textFill>
        </w:rPr>
        <w:t>.供应商拒绝政府采购领域商业贿赂承诺书（格式）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.《中小企业声明函》</w:t>
      </w:r>
    </w:p>
    <w:p>
      <w:pPr>
        <w:spacing w:line="480" w:lineRule="auto"/>
        <w:ind w:firstLine="2551" w:firstLineChars="1063"/>
        <w:jc w:val="both"/>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w:t>
      </w:r>
      <w:r>
        <w:rPr>
          <w:rFonts w:hint="eastAsia" w:ascii="仿宋" w:hAnsi="仿宋" w:eastAsia="仿宋" w:cs="仿宋"/>
          <w:bCs/>
          <w:color w:val="000000" w:themeColor="text1"/>
          <w:sz w:val="24"/>
          <w:highlight w:val="none"/>
          <w:lang w:val="en-US" w:eastAsia="zh-CN"/>
          <w14:textFill>
            <w14:solidFill>
              <w14:schemeClr w14:val="tx1"/>
            </w14:solidFill>
          </w14:textFill>
        </w:rPr>
        <w:t>4</w:t>
      </w:r>
      <w:r>
        <w:rPr>
          <w:rFonts w:hint="eastAsia" w:ascii="仿宋" w:hAnsi="仿宋" w:eastAsia="仿宋" w:cs="仿宋"/>
          <w:bCs/>
          <w:color w:val="000000" w:themeColor="text1"/>
          <w:sz w:val="24"/>
          <w:highlight w:val="none"/>
          <w14:textFill>
            <w14:solidFill>
              <w14:schemeClr w14:val="tx1"/>
            </w14:solidFill>
          </w14:textFill>
        </w:rPr>
        <w:t>.《残疾人福利性单位声明函》</w:t>
      </w:r>
      <w:r>
        <w:rPr>
          <w:rFonts w:hint="eastAsia" w:ascii="仿宋" w:hAnsi="仿宋" w:eastAsia="仿宋" w:cs="仿宋"/>
          <w:color w:val="000000" w:themeColor="text1"/>
          <w:sz w:val="24"/>
          <w:highlight w:val="none"/>
          <w14:textFill>
            <w14:solidFill>
              <w14:schemeClr w14:val="tx1"/>
            </w14:solidFill>
          </w14:textFill>
        </w:rPr>
        <w:t>（格式，若有）</w:t>
      </w:r>
    </w:p>
    <w:p>
      <w:pPr>
        <w:spacing w:line="480" w:lineRule="auto"/>
        <w:ind w:firstLine="2551" w:firstLineChars="1063"/>
        <w:jc w:val="both"/>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15.《监狱、戒毒企业声明函》（格式，若有）</w:t>
      </w:r>
    </w:p>
    <w:p>
      <w:pPr>
        <w:spacing w:line="600" w:lineRule="exact"/>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spacing w:line="60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1.竞争性磋商函</w:t>
      </w:r>
      <w:r>
        <w:rPr>
          <w:rFonts w:hint="eastAsia" w:ascii="仿宋" w:hAnsi="仿宋" w:eastAsia="仿宋" w:cs="仿宋"/>
          <w:bCs/>
          <w:color w:val="000000" w:themeColor="text1"/>
          <w:sz w:val="22"/>
          <w:szCs w:val="22"/>
          <w:highlight w:val="none"/>
          <w14:textFill>
            <w14:solidFill>
              <w14:schemeClr w14:val="tx1"/>
            </w14:solidFill>
          </w14:textFill>
        </w:rPr>
        <w:t>（格式）</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致：华招广和项目管理有限公司</w:t>
      </w:r>
    </w:p>
    <w:p>
      <w:pPr>
        <w:keepNext w:val="0"/>
        <w:keepLines w:val="0"/>
        <w:pageBreakBefore w:val="0"/>
        <w:widowControl w:val="0"/>
        <w:kinsoku/>
        <w:wordWrap/>
        <w:overflowPunct/>
        <w:topLinePunct w:val="0"/>
        <w:bidi w:val="0"/>
        <w:snapToGrid/>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根据贵单位</w:t>
      </w:r>
      <w:r>
        <w:rPr>
          <w:rFonts w:hint="eastAsia" w:ascii="仿宋" w:hAnsi="仿宋" w:eastAsia="仿宋" w:cs="仿宋"/>
          <w:color w:val="000000" w:themeColor="text1"/>
          <w:sz w:val="24"/>
          <w:highlight w:val="none"/>
          <w:u w:val="single"/>
          <w14:textFill>
            <w14:solidFill>
              <w14:schemeClr w14:val="tx1"/>
            </w14:solidFill>
          </w14:textFill>
        </w:rPr>
        <w:t xml:space="preserve">         （采购项目名称）    </w:t>
      </w:r>
      <w:r>
        <w:rPr>
          <w:rFonts w:hint="eastAsia" w:ascii="仿宋" w:hAnsi="仿宋" w:eastAsia="仿宋" w:cs="仿宋"/>
          <w:color w:val="000000" w:themeColor="text1"/>
          <w:sz w:val="24"/>
          <w:highlight w:val="none"/>
          <w14:textFill>
            <w14:solidFill>
              <w14:schemeClr w14:val="tx1"/>
            </w14:solidFill>
          </w14:textFill>
        </w:rPr>
        <w:t>项目</w:t>
      </w:r>
      <w:r>
        <w:rPr>
          <w:rFonts w:hint="eastAsia" w:ascii="仿宋" w:hAnsi="仿宋" w:eastAsia="仿宋" w:cs="仿宋"/>
          <w:color w:val="000000" w:themeColor="text1"/>
          <w:sz w:val="24"/>
          <w:highlight w:val="none"/>
          <w:u w:val="single"/>
          <w14:textFill>
            <w14:solidFill>
              <w14:schemeClr w14:val="tx1"/>
            </w14:solidFill>
          </w14:textFill>
        </w:rPr>
        <w:t>（项目编号）</w:t>
      </w:r>
      <w:r>
        <w:rPr>
          <w:rFonts w:hint="eastAsia" w:ascii="仿宋" w:hAnsi="仿宋" w:eastAsia="仿宋" w:cs="仿宋"/>
          <w:color w:val="000000" w:themeColor="text1"/>
          <w:sz w:val="24"/>
          <w:highlight w:val="none"/>
          <w14:textFill>
            <w14:solidFill>
              <w14:schemeClr w14:val="tx1"/>
            </w14:solidFill>
          </w14:textFill>
        </w:rPr>
        <w:t>的磋商公告，我方代表</w:t>
      </w:r>
      <w:r>
        <w:rPr>
          <w:rFonts w:hint="eastAsia" w:ascii="仿宋" w:hAnsi="仿宋" w:eastAsia="仿宋" w:cs="仿宋"/>
          <w:color w:val="000000" w:themeColor="text1"/>
          <w:sz w:val="24"/>
          <w:highlight w:val="none"/>
          <w:u w:val="single"/>
          <w14:textFill>
            <w14:solidFill>
              <w14:schemeClr w14:val="tx1"/>
            </w14:solidFill>
          </w14:textFill>
        </w:rPr>
        <w:t xml:space="preserve">   （姓名、职务）   </w:t>
      </w:r>
      <w:r>
        <w:rPr>
          <w:rFonts w:hint="eastAsia" w:ascii="仿宋" w:hAnsi="仿宋" w:eastAsia="仿宋" w:cs="仿宋"/>
          <w:color w:val="000000" w:themeColor="text1"/>
          <w:sz w:val="24"/>
          <w:highlight w:val="none"/>
          <w14:textFill>
            <w14:solidFill>
              <w14:schemeClr w14:val="tx1"/>
            </w14:solidFill>
          </w14:textFill>
        </w:rPr>
        <w:t>经正式授权并代表</w:t>
      </w:r>
      <w:r>
        <w:rPr>
          <w:rFonts w:hint="eastAsia" w:ascii="仿宋" w:hAnsi="仿宋" w:eastAsia="仿宋" w:cs="仿宋"/>
          <w:color w:val="000000" w:themeColor="text1"/>
          <w:sz w:val="24"/>
          <w:highlight w:val="none"/>
          <w:u w:val="single"/>
          <w14:textFill>
            <w14:solidFill>
              <w14:schemeClr w14:val="tx1"/>
            </w14:solidFill>
          </w14:textFill>
        </w:rPr>
        <w:t xml:space="preserve">     （供应商名称）     </w:t>
      </w:r>
      <w:r>
        <w:rPr>
          <w:rFonts w:hint="eastAsia" w:ascii="仿宋" w:hAnsi="仿宋" w:eastAsia="仿宋" w:cs="仿宋"/>
          <w:color w:val="000000" w:themeColor="text1"/>
          <w:sz w:val="24"/>
          <w:highlight w:val="none"/>
          <w14:textFill>
            <w14:solidFill>
              <w14:schemeClr w14:val="tx1"/>
            </w14:solidFill>
          </w14:textFill>
        </w:rPr>
        <w:t>就该项目进行磋商。</w:t>
      </w:r>
    </w:p>
    <w:p>
      <w:pPr>
        <w:keepNext w:val="0"/>
        <w:keepLines w:val="0"/>
        <w:pageBreakBefore w:val="0"/>
        <w:widowControl w:val="0"/>
        <w:kinsoku/>
        <w:wordWrap/>
        <w:overflowPunct/>
        <w:topLinePunct w:val="0"/>
        <w:bidi w:val="0"/>
        <w:snapToGrid/>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在此，我方郑重声明以下诸点，并负法律责任：</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1、我方提交的竞争性磋商响应文件正本一份，副本叁份，电子文件一份。</w:t>
      </w:r>
    </w:p>
    <w:p>
      <w:pPr>
        <w:keepNext w:val="0"/>
        <w:keepLines w:val="0"/>
        <w:pageBreakBefore w:val="0"/>
        <w:widowControl w:val="0"/>
        <w:kinsoku/>
        <w:wordWrap/>
        <w:overflowPunct/>
        <w:topLinePunct w:val="0"/>
        <w:bidi w:val="0"/>
        <w:snapToGrid/>
        <w:spacing w:line="640" w:lineRule="exact"/>
        <w:ind w:firstLine="470" w:firstLineChars="196"/>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2、我方所附磋商报价表中应提交和交付的货物/服务磋商总价为人民币：</w:t>
      </w:r>
      <w:r>
        <w:rPr>
          <w:rFonts w:hint="eastAsia" w:ascii="仿宋" w:hAnsi="仿宋" w:eastAsia="仿宋" w:cs="仿宋"/>
          <w:color w:val="000000" w:themeColor="text1"/>
          <w:sz w:val="24"/>
          <w:highlight w:val="none"/>
          <w:u w:val="single"/>
          <w14:textFill>
            <w14:solidFill>
              <w14:schemeClr w14:val="tx1"/>
            </w14:solidFill>
          </w14:textFill>
        </w:rPr>
        <w:t>（同时用汉字大写和数字表示的磋商总价）</w:t>
      </w:r>
      <w:r>
        <w:rPr>
          <w:rFonts w:hint="eastAsia" w:ascii="仿宋" w:hAnsi="仿宋" w:eastAsia="仿宋" w:cs="仿宋"/>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3、我方已详细审阅全部竞争性磋商文件，完全理解并同意放弃对这方面有不明及误解质疑的权力。</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4、我方完全理解并同意竞争性磋商</w:t>
      </w:r>
      <w:r>
        <w:rPr>
          <w:rFonts w:hint="eastAsia" w:ascii="仿宋" w:hAnsi="仿宋" w:eastAsia="仿宋" w:cs="仿宋"/>
          <w:color w:val="000000" w:themeColor="text1"/>
          <w:sz w:val="24"/>
          <w:highlight w:val="none"/>
          <w:lang w:eastAsia="zh-CN"/>
          <w14:textFill>
            <w14:solidFill>
              <w14:schemeClr w14:val="tx1"/>
            </w14:solidFill>
          </w14:textFill>
        </w:rPr>
        <w:t>文件</w:t>
      </w:r>
      <w:r>
        <w:rPr>
          <w:rFonts w:hint="eastAsia" w:ascii="仿宋" w:hAnsi="仿宋" w:eastAsia="仿宋" w:cs="仿宋"/>
          <w:color w:val="000000" w:themeColor="text1"/>
          <w:sz w:val="24"/>
          <w:highlight w:val="none"/>
          <w14:textFill>
            <w14:solidFill>
              <w14:schemeClr w14:val="tx1"/>
            </w14:solidFill>
          </w14:textFill>
        </w:rPr>
        <w:t>中拒绝投标的条款。</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5、我方同意按照要求提供磋商有关的一切数据或资料。</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6、我方将按竞争性磋商文件的规定履行合同责任和义务。</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7、我方完全理解最低报价不是成交的唯一条件，采购人权选择质优价廉的货物/服务。</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8、我方同意按竞争性磋商文件规定，遵守贵方有关采购的各项规定。</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9、若我方被选为成交供应商，我方保证按有关规定向贵方支付招标服务费。</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10、磋商响应有效期为自提交磋商响应文件的截止之日起90个日历日。</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11、所有关于本项目的函电，请按下列地址联系：</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供应商名称（公章）：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详 细 地 址：</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tabs>
          <w:tab w:val="left" w:pos="360"/>
        </w:tabs>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 政 编 码：</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电       话：</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传       真：</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keepNext w:val="0"/>
        <w:keepLines w:val="0"/>
        <w:pageBreakBefore w:val="0"/>
        <w:widowControl w:val="0"/>
        <w:tabs>
          <w:tab w:val="left" w:pos="360"/>
        </w:tabs>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 子 邮 件：</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开 户 银 行：</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帐       号：</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 xml:space="preserve">             </w:t>
      </w: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rPr>
          <w:rFonts w:hint="eastAsia" w:ascii="仿宋" w:hAnsi="仿宋" w:eastAsia="仿宋" w:cs="仿宋"/>
          <w:color w:val="000000" w:themeColor="text1"/>
          <w:sz w:val="24"/>
          <w:highlight w:val="none"/>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640" w:lineRule="exact"/>
        <w:ind w:firstLine="3360" w:firstLineChars="14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授权</w:t>
      </w:r>
      <w:r>
        <w:rPr>
          <w:rFonts w:hint="eastAsia" w:ascii="仿宋" w:hAnsi="仿宋" w:eastAsia="仿宋" w:cs="仿宋"/>
          <w:color w:val="000000" w:themeColor="text1"/>
          <w:sz w:val="24"/>
          <w:highlight w:val="none"/>
          <w:lang w:val="zh-CN"/>
          <w14:textFill>
            <w14:solidFill>
              <w14:schemeClr w14:val="tx1"/>
            </w14:solidFill>
          </w14:textFill>
        </w:rPr>
        <w:t>代表签名：</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3960" w:firstLineChars="1650"/>
        <w:textAlignment w:val="auto"/>
        <w:rPr>
          <w:rFonts w:hint="eastAsia"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联系电话/手机：</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keepNext w:val="0"/>
        <w:keepLines w:val="0"/>
        <w:pageBreakBefore w:val="0"/>
        <w:widowControl w:val="0"/>
        <w:kinsoku/>
        <w:wordWrap/>
        <w:overflowPunct/>
        <w:topLinePunct w:val="0"/>
        <w:bidi w:val="0"/>
        <w:snapToGrid/>
        <w:spacing w:line="640" w:lineRule="exact"/>
        <w:jc w:val="center"/>
        <w:textAlignment w:val="auto"/>
        <w:rPr>
          <w:rFonts w:hint="eastAsia" w:ascii="仿宋" w:hAnsi="仿宋" w:eastAsia="仿宋" w:cs="仿宋"/>
          <w:color w:val="000000" w:themeColor="text1"/>
          <w:sz w:val="28"/>
          <w:szCs w:val="28"/>
          <w:highlight w:val="none"/>
          <w14:textFill>
            <w14:solidFill>
              <w14:schemeClr w14:val="tx1"/>
            </w14:solidFill>
          </w14:textFill>
        </w:rPr>
        <w:sectPr>
          <w:headerReference r:id="rId12" w:type="first"/>
          <w:footerReference r:id="rId14" w:type="first"/>
          <w:headerReference r:id="rId11" w:type="default"/>
          <w:footerReference r:id="rId13" w:type="default"/>
          <w:pgSz w:w="11907" w:h="16840"/>
          <w:pgMar w:top="1418" w:right="1287" w:bottom="936" w:left="1259" w:header="907" w:footer="654" w:gutter="0"/>
          <w:pgBorders>
            <w:top w:val="none" w:sz="0" w:space="0"/>
            <w:left w:val="none" w:sz="0" w:space="0"/>
            <w:bottom w:val="none" w:sz="0" w:space="0"/>
            <w:right w:val="none" w:sz="0" w:space="0"/>
          </w:pgBorders>
          <w:cols w:space="720" w:num="1"/>
          <w:titlePg/>
          <w:docGrid w:linePitch="312" w:charSpace="0"/>
        </w:sectPr>
      </w:pPr>
    </w:p>
    <w:p>
      <w:pPr>
        <w:pStyle w:val="39"/>
        <w:ind w:firstLine="562"/>
        <w:rPr>
          <w:rFonts w:hint="eastAsia" w:ascii="仿宋" w:hAnsi="仿宋" w:eastAsia="仿宋" w:cs="仿宋"/>
          <w:b/>
          <w:color w:val="000000" w:themeColor="text1"/>
          <w:highlight w:val="none"/>
          <w14:textFill>
            <w14:solidFill>
              <w14:schemeClr w14:val="tx1"/>
            </w14:solidFill>
          </w14:textFill>
        </w:rPr>
      </w:pPr>
      <w:bookmarkStart w:id="66" w:name="_Toc188808834"/>
      <w:bookmarkStart w:id="67" w:name="_Toc194663919"/>
      <w:bookmarkStart w:id="68" w:name="_Toc193126882"/>
      <w:bookmarkStart w:id="69" w:name="_Toc193187098"/>
      <w:r>
        <w:rPr>
          <w:rFonts w:hint="eastAsia" w:ascii="仿宋" w:hAnsi="仿宋" w:eastAsia="仿宋" w:cs="仿宋"/>
          <w:b/>
          <w:color w:val="000000" w:themeColor="text1"/>
          <w:highlight w:val="none"/>
          <w14:textFill>
            <w14:solidFill>
              <w14:schemeClr w14:val="tx1"/>
            </w14:solidFill>
          </w14:textFill>
        </w:rPr>
        <w:t>2.磋商报价一览表</w:t>
      </w:r>
      <w:bookmarkEnd w:id="66"/>
      <w:bookmarkEnd w:id="67"/>
      <w:bookmarkEnd w:id="68"/>
      <w:bookmarkEnd w:id="69"/>
      <w:r>
        <w:rPr>
          <w:rFonts w:hint="eastAsia" w:ascii="仿宋" w:hAnsi="仿宋" w:eastAsia="仿宋" w:cs="仿宋"/>
          <w:bCs/>
          <w:color w:val="000000" w:themeColor="text1"/>
          <w:sz w:val="22"/>
          <w:highlight w:val="none"/>
          <w14:textFill>
            <w14:solidFill>
              <w14:schemeClr w14:val="tx1"/>
            </w14:solidFill>
          </w14:textFill>
        </w:rPr>
        <w:t>（格式）</w:t>
      </w:r>
    </w:p>
    <w:p>
      <w:pPr>
        <w:spacing w:line="480" w:lineRule="exact"/>
        <w:ind w:firstLine="723" w:firstLineChars="200"/>
        <w:jc w:val="center"/>
        <w:rPr>
          <w:rFonts w:hint="eastAsia" w:ascii="仿宋" w:hAnsi="仿宋" w:eastAsia="仿宋" w:cs="仿宋"/>
          <w:b/>
          <w:bCs/>
          <w:color w:val="000000" w:themeColor="text1"/>
          <w:sz w:val="36"/>
          <w:szCs w:val="21"/>
          <w:highlight w:val="none"/>
          <w14:textFill>
            <w14:solidFill>
              <w14:schemeClr w14:val="tx1"/>
            </w14:solidFill>
          </w14:textFill>
        </w:rPr>
      </w:pPr>
    </w:p>
    <w:p>
      <w:pPr>
        <w:spacing w:line="4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供应商名称：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tbl>
      <w:tblPr>
        <w:tblStyle w:val="22"/>
        <w:tblW w:w="141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22"/>
        <w:gridCol w:w="5135"/>
        <w:gridCol w:w="61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2822" w:type="dxa"/>
            <w:vAlign w:val="center"/>
          </w:tcPr>
          <w:p>
            <w:pPr>
              <w:spacing w:line="480" w:lineRule="exact"/>
              <w:ind w:right="143" w:rightChars="68" w:firstLine="118" w:firstLineChars="49"/>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项目编号</w:t>
            </w:r>
          </w:p>
        </w:tc>
        <w:tc>
          <w:tcPr>
            <w:tcW w:w="5135" w:type="dxa"/>
            <w:vAlign w:val="center"/>
          </w:tcPr>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磋商报价（人民币:元）</w:t>
            </w:r>
          </w:p>
        </w:tc>
        <w:tc>
          <w:tcPr>
            <w:tcW w:w="6186" w:type="dxa"/>
            <w:tcMar>
              <w:top w:w="57" w:type="dxa"/>
              <w:left w:w="28" w:type="dxa"/>
              <w:bottom w:w="57" w:type="dxa"/>
              <w:right w:w="28" w:type="dxa"/>
            </w:tcMar>
            <w:vAlign w:val="center"/>
          </w:tcPr>
          <w:p>
            <w:pPr>
              <w:spacing w:line="480" w:lineRule="exact"/>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服务期限</w:t>
            </w:r>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天</w:t>
            </w:r>
            <w:r>
              <w:rPr>
                <w:rFonts w:hint="eastAsia" w:ascii="仿宋" w:hAnsi="仿宋" w:eastAsia="仿宋" w:cs="仿宋"/>
                <w:b/>
                <w:color w:val="000000" w:themeColor="text1"/>
                <w:sz w:val="24"/>
                <w:highlight w:val="none"/>
                <w:lang w:eastAsia="zh-CN"/>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19" w:hRule="atLeast"/>
          <w:jc w:val="center"/>
        </w:trPr>
        <w:tc>
          <w:tcPr>
            <w:tcW w:w="2822" w:type="dxa"/>
            <w:vMerge w:val="restart"/>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5135" w:type="dxa"/>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6186" w:type="dxa"/>
            <w:tcMar>
              <w:top w:w="57" w:type="dxa"/>
              <w:left w:w="28" w:type="dxa"/>
              <w:bottom w:w="57" w:type="dxa"/>
              <w:right w:w="28" w:type="dxa"/>
            </w:tcMar>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2822" w:type="dxa"/>
            <w:vMerge w:val="continue"/>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321" w:type="dxa"/>
            <w:gridSpan w:val="2"/>
            <w:vAlign w:val="top"/>
          </w:tcPr>
          <w:p>
            <w:pPr>
              <w:spacing w:line="480" w:lineRule="exact"/>
              <w:ind w:left="210" w:leftChars="1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（大写）                                </w:t>
            </w:r>
          </w:p>
        </w:tc>
      </w:tr>
    </w:tbl>
    <w:p>
      <w:pPr>
        <w:spacing w:line="440" w:lineRule="exact"/>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1200" w:firstLineChars="5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（全称、签章）                            电话：</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200" w:firstLineChars="5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法定代表人或被授权人：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（盖章或签字）        </w:t>
      </w:r>
    </w:p>
    <w:p>
      <w:pPr>
        <w:keepNext w:val="0"/>
        <w:keepLines w:val="0"/>
        <w:pageBreakBefore w:val="0"/>
        <w:widowControl w:val="0"/>
        <w:kinsoku/>
        <w:wordWrap/>
        <w:overflowPunct/>
        <w:topLinePunct w:val="0"/>
        <w:autoSpaceDE/>
        <w:autoSpaceDN/>
        <w:bidi w:val="0"/>
        <w:adjustRightInd/>
        <w:snapToGrid/>
        <w:spacing w:after="100" w:afterAutospacing="1" w:line="640" w:lineRule="exact"/>
        <w:jc w:val="left"/>
        <w:textAlignment w:val="auto"/>
        <w:rPr>
          <w:rFonts w:hint="eastAsia" w:ascii="仿宋" w:hAnsi="仿宋" w:eastAsia="仿宋" w:cs="仿宋"/>
          <w:b/>
          <w:color w:val="000000" w:themeColor="text1"/>
          <w:sz w:val="28"/>
          <w:szCs w:val="28"/>
          <w:highlight w:val="none"/>
          <w14:textFill>
            <w14:solidFill>
              <w14:schemeClr w14:val="tx1"/>
            </w14:solidFill>
          </w14:textFill>
        </w:rPr>
      </w:pPr>
    </w:p>
    <w:p>
      <w:pPr>
        <w:pStyle w:val="2"/>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highlight w:val="none"/>
        </w:rPr>
      </w:pPr>
    </w:p>
    <w:p>
      <w:pPr>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p>
    <w:p>
      <w:pPr>
        <w:spacing w:line="440" w:lineRule="exact"/>
        <w:rPr>
          <w:rFonts w:hint="eastAsia" w:ascii="仿宋" w:hAnsi="仿宋" w:eastAsia="仿宋" w:cs="仿宋"/>
          <w:color w:val="000000" w:themeColor="text1"/>
          <w:sz w:val="24"/>
          <w:highlight w:val="none"/>
          <w:lang w:eastAsia="zh-CN"/>
          <w14:textFill>
            <w14:solidFill>
              <w14:schemeClr w14:val="tx1"/>
            </w14:solidFill>
          </w14:textFill>
        </w:rPr>
      </w:pPr>
    </w:p>
    <w:p>
      <w:pPr>
        <w:numPr>
          <w:ilvl w:val="0"/>
          <w:numId w:val="1"/>
        </w:numPr>
        <w:spacing w:after="100" w:afterAutospacing="1" w:line="480" w:lineRule="auto"/>
        <w:ind w:left="0" w:leftChars="0" w:firstLine="0" w:firstLineChars="0"/>
        <w:jc w:val="left"/>
        <w:rPr>
          <w:rFonts w:hint="eastAsia"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分项报价表</w:t>
      </w:r>
    </w:p>
    <w:p>
      <w:pPr>
        <w:spacing w:line="440" w:lineRule="exact"/>
        <w:jc w:val="center"/>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格式自拟</w:t>
      </w:r>
    </w:p>
    <w:p>
      <w:pPr>
        <w:spacing w:line="440" w:lineRule="exact"/>
        <w:rPr>
          <w:rFonts w:hint="eastAsia" w:ascii="仿宋" w:hAnsi="仿宋" w:eastAsia="仿宋" w:cs="仿宋"/>
          <w:color w:val="auto"/>
          <w:sz w:val="24"/>
          <w:highlight w:val="none"/>
        </w:rPr>
      </w:pPr>
    </w:p>
    <w:p>
      <w:pPr>
        <w:pStyle w:val="2"/>
        <w:rPr>
          <w:rFonts w:hint="eastAsia" w:ascii="仿宋" w:hAnsi="仿宋" w:eastAsia="仿宋" w:cs="仿宋"/>
          <w:sz w:val="24"/>
          <w:szCs w:val="24"/>
          <w:highlight w:val="none"/>
          <w:lang w:val="en-US" w:eastAsia="zh-CN"/>
        </w:rPr>
        <w:sectPr>
          <w:headerReference r:id="rId16" w:type="first"/>
          <w:headerReference r:id="rId15" w:type="default"/>
          <w:footerReference r:id="rId17" w:type="default"/>
          <w:pgSz w:w="16840" w:h="11907" w:orient="landscape"/>
          <w:pgMar w:top="1259" w:right="1418" w:bottom="1287" w:left="936" w:header="851" w:footer="1021"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color w:val="auto"/>
          <w:sz w:val="24"/>
          <w:highlight w:val="none"/>
        </w:rPr>
        <w:t xml:space="preserve">       </w:t>
      </w:r>
    </w:p>
    <w:p>
      <w:pPr>
        <w:pStyle w:val="39"/>
        <w:ind w:firstLine="562"/>
        <w:rPr>
          <w:rFonts w:hint="eastAsia" w:ascii="仿宋" w:hAnsi="仿宋" w:eastAsia="仿宋" w:cs="仿宋"/>
          <w:b/>
          <w:color w:val="000000" w:themeColor="text1"/>
          <w:szCs w:val="28"/>
          <w:highlight w:val="none"/>
          <w14:textFill>
            <w14:solidFill>
              <w14:schemeClr w14:val="tx1"/>
            </w14:solidFill>
          </w14:textFill>
        </w:rPr>
      </w:pPr>
      <w:bookmarkStart w:id="70" w:name="_Toc48995851"/>
      <w:bookmarkStart w:id="71" w:name="_Toc48791235"/>
      <w:bookmarkStart w:id="72" w:name="_Toc49019236"/>
      <w:bookmarkStart w:id="73" w:name="_Toc458617477"/>
      <w:bookmarkStart w:id="74" w:name="_Toc193187104"/>
      <w:bookmarkStart w:id="75" w:name="_Toc188808839"/>
      <w:bookmarkStart w:id="76" w:name="_Toc47418938"/>
      <w:bookmarkStart w:id="77" w:name="_Toc237"/>
      <w:bookmarkStart w:id="78" w:name="_Toc47418255"/>
      <w:bookmarkStart w:id="79" w:name="_Toc193126888"/>
      <w:bookmarkStart w:id="80" w:name="_Toc47261690"/>
      <w:bookmarkStart w:id="81" w:name="_Toc47261885"/>
      <w:bookmarkStart w:id="82" w:name="_Toc194663925"/>
      <w:bookmarkStart w:id="83" w:name="_Toc47262069"/>
      <w:bookmarkStart w:id="84" w:name="_Toc49019497"/>
      <w:bookmarkStart w:id="85" w:name="_Toc47418731"/>
      <w:bookmarkStart w:id="86" w:name="_Toc13908"/>
      <w:r>
        <w:rPr>
          <w:rFonts w:hint="eastAsia" w:ascii="仿宋" w:hAnsi="仿宋" w:eastAsia="仿宋" w:cs="仿宋"/>
          <w:b/>
          <w:color w:val="000000" w:themeColor="text1"/>
          <w:szCs w:val="28"/>
          <w:highlight w:val="none"/>
          <w:lang w:val="en-US" w:eastAsia="zh-CN"/>
          <w14:textFill>
            <w14:solidFill>
              <w14:schemeClr w14:val="tx1"/>
            </w14:solidFill>
          </w14:textFill>
        </w:rPr>
        <w:t>4</w:t>
      </w:r>
      <w:r>
        <w:rPr>
          <w:rFonts w:hint="eastAsia" w:ascii="仿宋" w:hAnsi="仿宋" w:eastAsia="仿宋" w:cs="仿宋"/>
          <w:b/>
          <w:color w:val="000000" w:themeColor="text1"/>
          <w:szCs w:val="28"/>
          <w:highlight w:val="none"/>
          <w14:textFill>
            <w14:solidFill>
              <w14:schemeClr w14:val="tx1"/>
            </w14:solidFill>
          </w14:textFill>
        </w:rPr>
        <w:t>、商务条款响应偏离表</w:t>
      </w:r>
      <w:r>
        <w:rPr>
          <w:rFonts w:hint="eastAsia" w:ascii="仿宋" w:hAnsi="仿宋" w:eastAsia="仿宋" w:cs="仿宋"/>
          <w:bCs/>
          <w:color w:val="000000" w:themeColor="text1"/>
          <w:sz w:val="22"/>
          <w:highlight w:val="none"/>
          <w14:textFill>
            <w14:solidFill>
              <w14:schemeClr w14:val="tx1"/>
            </w14:solidFill>
          </w14:textFill>
        </w:rPr>
        <w:t>（格式）</w:t>
      </w: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项目编号：</w:t>
      </w:r>
      <w:r>
        <w:rPr>
          <w:rFonts w:hint="eastAsia" w:ascii="仿宋" w:hAnsi="仿宋" w:eastAsia="仿宋" w:cs="仿宋"/>
          <w:color w:val="000000" w:themeColor="text1"/>
          <w:sz w:val="24"/>
          <w:highlight w:val="none"/>
          <w:u w:val="single"/>
          <w14:textFill>
            <w14:solidFill>
              <w14:schemeClr w14:val="tx1"/>
            </w14:solidFill>
          </w14:textFill>
        </w:rPr>
        <w:t xml:space="preserve">             </w:t>
      </w:r>
    </w:p>
    <w:tbl>
      <w:tblPr>
        <w:tblStyle w:val="22"/>
        <w:tblW w:w="94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754"/>
        <w:gridCol w:w="2829"/>
        <w:gridCol w:w="1394"/>
        <w:gridCol w:w="13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320" w:lineRule="exact"/>
              <w:ind w:left="-97" w:leftChars="-46"/>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序号</w:t>
            </w:r>
          </w:p>
        </w:tc>
        <w:tc>
          <w:tcPr>
            <w:tcW w:w="275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磋商文件商务要求</w:t>
            </w:r>
          </w:p>
        </w:tc>
        <w:tc>
          <w:tcPr>
            <w:tcW w:w="2829"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磋商响应文件商务响应</w:t>
            </w:r>
          </w:p>
        </w:tc>
        <w:tc>
          <w:tcPr>
            <w:tcW w:w="139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偏离情况</w:t>
            </w:r>
          </w:p>
        </w:tc>
        <w:tc>
          <w:tcPr>
            <w:tcW w:w="139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09" w:type="dxa"/>
            <w:tcBorders>
              <w:bottom w:val="single" w:color="auto" w:sz="4" w:space="0"/>
            </w:tcBorders>
            <w:tcMar>
              <w:top w:w="57" w:type="dxa"/>
              <w:left w:w="28" w:type="dxa"/>
              <w:bottom w:w="57" w:type="dxa"/>
              <w:right w:w="28" w:type="dxa"/>
            </w:tcMar>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2754" w:type="dxa"/>
            <w:tcBorders>
              <w:bottom w:val="single" w:color="auto" w:sz="4" w:space="0"/>
            </w:tcBorders>
            <w:tcMar>
              <w:top w:w="57" w:type="dxa"/>
              <w:left w:w="28" w:type="dxa"/>
              <w:bottom w:w="57" w:type="dxa"/>
              <w:right w:w="28" w:type="dxa"/>
            </w:tcMar>
            <w:vAlign w:val="center"/>
          </w:tcPr>
          <w:p>
            <w:pPr>
              <w:adjustRightInd w:val="0"/>
              <w:snapToGrid w:val="0"/>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09" w:type="dxa"/>
            <w:tcBorders>
              <w:bottom w:val="single" w:color="auto" w:sz="4" w:space="0"/>
            </w:tcBorders>
            <w:tcMar>
              <w:top w:w="57" w:type="dxa"/>
              <w:left w:w="28" w:type="dxa"/>
              <w:bottom w:w="57" w:type="dxa"/>
              <w:right w:w="28" w:type="dxa"/>
            </w:tcMar>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2754" w:type="dxa"/>
            <w:tcBorders>
              <w:bottom w:val="single" w:color="auto" w:sz="4" w:space="0"/>
            </w:tcBorders>
            <w:tcMar>
              <w:top w:w="57" w:type="dxa"/>
              <w:left w:w="28" w:type="dxa"/>
              <w:bottom w:w="57" w:type="dxa"/>
              <w:right w:w="28" w:type="dxa"/>
            </w:tcMar>
            <w:vAlign w:val="center"/>
          </w:tcPr>
          <w:p>
            <w:pPr>
              <w:adjustRightInd w:val="0"/>
              <w:snapToGrid w:val="0"/>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bl>
    <w:p>
      <w:pPr>
        <w:spacing w:line="440" w:lineRule="exact"/>
        <w:rPr>
          <w:rFonts w:hint="eastAsia" w:ascii="仿宋" w:hAnsi="仿宋" w:eastAsia="仿宋" w:cs="仿宋"/>
          <w:b/>
          <w:bCs/>
          <w:color w:val="000000" w:themeColor="text1"/>
          <w:sz w:val="24"/>
          <w:highlight w:val="none"/>
          <w:lang w:val="zh-CN" w:eastAsia="zh-CN"/>
          <w14:textFill>
            <w14:solidFill>
              <w14:schemeClr w14:val="tx1"/>
            </w14:solidFill>
          </w14:textFill>
        </w:rPr>
      </w:pPr>
    </w:p>
    <w:p>
      <w:pPr>
        <w:spacing w:line="440" w:lineRule="exact"/>
        <w:rPr>
          <w:rFonts w:hint="eastAsia" w:ascii="仿宋" w:hAnsi="仿宋" w:eastAsia="仿宋" w:cs="仿宋"/>
          <w:sz w:val="24"/>
          <w:highlight w:val="none"/>
          <w:lang w:val="zh-CN"/>
        </w:rPr>
      </w:pPr>
      <w:r>
        <w:rPr>
          <w:rFonts w:hint="eastAsia" w:ascii="仿宋" w:hAnsi="仿宋" w:eastAsia="仿宋" w:cs="仿宋"/>
          <w:b/>
          <w:bCs/>
          <w:color w:val="auto"/>
          <w:sz w:val="22"/>
          <w:szCs w:val="22"/>
          <w:highlight w:val="none"/>
          <w:lang w:eastAsia="zh-CN"/>
        </w:rPr>
        <w:t>注：本表按照磋商文件第四章《</w:t>
      </w:r>
      <w:r>
        <w:rPr>
          <w:rFonts w:hint="eastAsia" w:ascii="仿宋" w:hAnsi="仿宋" w:eastAsia="仿宋" w:cs="仿宋"/>
          <w:b/>
          <w:bCs/>
          <w:color w:val="auto"/>
          <w:sz w:val="22"/>
          <w:szCs w:val="22"/>
          <w:highlight w:val="none"/>
          <w:lang w:val="en-US" w:eastAsia="zh-CN"/>
        </w:rPr>
        <w:t>商务要求</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逐条响应，否则按无效投标处理。</w:t>
      </w:r>
      <w:r>
        <w:rPr>
          <w:rFonts w:hint="eastAsia" w:ascii="仿宋" w:hAnsi="仿宋" w:eastAsia="仿宋" w:cs="仿宋"/>
          <w:b/>
          <w:bCs/>
          <w:color w:val="auto"/>
          <w:sz w:val="22"/>
          <w:szCs w:val="22"/>
          <w:highlight w:val="none"/>
          <w:u w:val="none"/>
          <w:lang w:val="en-US" w:eastAsia="zh-CN"/>
        </w:rPr>
        <w:t>偏离情况填写：优于、等于或者低于，偏离说明对偏离情况做出详细说明。</w:t>
      </w:r>
    </w:p>
    <w:p>
      <w:pPr>
        <w:spacing w:line="440" w:lineRule="exact"/>
        <w:rPr>
          <w:rFonts w:hint="eastAsia" w:ascii="仿宋" w:hAnsi="仿宋" w:eastAsia="仿宋" w:cs="仿宋"/>
          <w:color w:val="000000" w:themeColor="text1"/>
          <w:sz w:val="24"/>
          <w:highlight w:val="none"/>
          <w14:textFill>
            <w14:solidFill>
              <w14:schemeClr w14:val="tx1"/>
            </w14:solidFill>
          </w14:textFill>
        </w:rPr>
      </w:pP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法定代表人或被授权人（签字或盖章）</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(供应商单位公章)      </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日 期：            </w:t>
      </w: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sectPr>
          <w:headerReference r:id="rId19" w:type="first"/>
          <w:footerReference r:id="rId21" w:type="first"/>
          <w:headerReference r:id="rId18" w:type="default"/>
          <w:footerReference r:id="rId20" w:type="default"/>
          <w:pgSz w:w="11907" w:h="16840"/>
          <w:pgMar w:top="1418" w:right="1287" w:bottom="936" w:left="1259" w:header="851" w:footer="992" w:gutter="0"/>
          <w:pgBorders>
            <w:top w:val="none" w:sz="0" w:space="0"/>
            <w:left w:val="none" w:sz="0" w:space="0"/>
            <w:bottom w:val="none" w:sz="0" w:space="0"/>
            <w:right w:val="none" w:sz="0" w:space="0"/>
          </w:pgBorders>
          <w:cols w:space="720" w:num="1"/>
          <w:docGrid w:linePitch="312" w:charSpace="0"/>
        </w:sectPr>
      </w:pPr>
    </w:p>
    <w:p>
      <w:pPr>
        <w:pStyle w:val="39"/>
        <w:ind w:firstLine="562"/>
        <w:rPr>
          <w:rFonts w:hint="eastAsia"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lang w:val="en-US" w:eastAsia="zh-CN"/>
          <w14:textFill>
            <w14:solidFill>
              <w14:schemeClr w14:val="tx1"/>
            </w14:solidFill>
          </w14:textFill>
        </w:rPr>
        <w:t>5</w:t>
      </w:r>
      <w:r>
        <w:rPr>
          <w:rFonts w:hint="eastAsia" w:ascii="仿宋" w:hAnsi="仿宋" w:eastAsia="仿宋" w:cs="仿宋"/>
          <w:b/>
          <w:color w:val="000000" w:themeColor="text1"/>
          <w:szCs w:val="28"/>
          <w:highlight w:val="none"/>
          <w14:textFill>
            <w14:solidFill>
              <w14:schemeClr w14:val="tx1"/>
            </w14:solidFill>
          </w14:textFill>
        </w:rPr>
        <w:t>、服务条款响应偏离表</w:t>
      </w:r>
      <w:r>
        <w:rPr>
          <w:rFonts w:hint="eastAsia" w:ascii="仿宋" w:hAnsi="仿宋" w:eastAsia="仿宋" w:cs="仿宋"/>
          <w:bCs/>
          <w:color w:val="000000" w:themeColor="text1"/>
          <w:sz w:val="22"/>
          <w:highlight w:val="none"/>
          <w14:textFill>
            <w14:solidFill>
              <w14:schemeClr w14:val="tx1"/>
            </w14:solidFill>
          </w14:textFill>
        </w:rPr>
        <w:t>（格式）</w:t>
      </w:r>
    </w:p>
    <w:p>
      <w:pPr>
        <w:spacing w:line="240" w:lineRule="exact"/>
        <w:ind w:left="210" w:leftChars="100"/>
        <w:rPr>
          <w:rFonts w:hint="eastAsia" w:ascii="仿宋" w:hAnsi="仿宋" w:eastAsia="仿宋" w:cs="仿宋"/>
          <w:b/>
          <w:bCs/>
          <w:color w:val="000000" w:themeColor="text1"/>
          <w:sz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项目编号：</w:t>
      </w:r>
      <w:r>
        <w:rPr>
          <w:rFonts w:hint="eastAsia" w:ascii="仿宋" w:hAnsi="仿宋" w:eastAsia="仿宋" w:cs="仿宋"/>
          <w:color w:val="000000" w:themeColor="text1"/>
          <w:sz w:val="24"/>
          <w:highlight w:val="none"/>
          <w:u w:val="single"/>
          <w14:textFill>
            <w14:solidFill>
              <w14:schemeClr w14:val="tx1"/>
            </w14:solidFill>
          </w14:textFill>
        </w:rPr>
        <w:t xml:space="preserve">             </w:t>
      </w:r>
    </w:p>
    <w:tbl>
      <w:tblPr>
        <w:tblStyle w:val="22"/>
        <w:tblW w:w="958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16"/>
        <w:gridCol w:w="2300"/>
        <w:gridCol w:w="2767"/>
        <w:gridCol w:w="1314"/>
        <w:gridCol w:w="12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320" w:lineRule="exact"/>
              <w:ind w:left="-97" w:leftChars="-46"/>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序号</w:t>
            </w:r>
          </w:p>
        </w:tc>
        <w:tc>
          <w:tcPr>
            <w:tcW w:w="1116" w:type="dxa"/>
            <w:tcMar>
              <w:top w:w="57" w:type="dxa"/>
              <w:left w:w="28" w:type="dxa"/>
              <w:bottom w:w="57" w:type="dxa"/>
              <w:right w:w="28" w:type="dxa"/>
            </w:tcMar>
            <w:vAlign w:val="center"/>
          </w:tcPr>
          <w:p>
            <w:pPr>
              <w:spacing w:line="320" w:lineRule="exact"/>
              <w:ind w:left="-97" w:leftChars="-46"/>
              <w:jc w:val="cente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服务内容</w:t>
            </w:r>
          </w:p>
        </w:tc>
        <w:tc>
          <w:tcPr>
            <w:tcW w:w="2300"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磋商文件服务要求</w:t>
            </w:r>
          </w:p>
        </w:tc>
        <w:tc>
          <w:tcPr>
            <w:tcW w:w="2767"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磋商响应文件服务响应</w:t>
            </w:r>
          </w:p>
        </w:tc>
        <w:tc>
          <w:tcPr>
            <w:tcW w:w="131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偏离情况</w:t>
            </w:r>
          </w:p>
        </w:tc>
        <w:tc>
          <w:tcPr>
            <w:tcW w:w="1299"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8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8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bl>
    <w:p>
      <w:pPr>
        <w:spacing w:line="240" w:lineRule="auto"/>
        <w:ind w:left="210" w:leftChars="100"/>
        <w:rPr>
          <w:rFonts w:hint="eastAsia" w:ascii="仿宋" w:hAnsi="仿宋" w:eastAsia="仿宋" w:cs="仿宋"/>
          <w:b/>
          <w:bCs/>
          <w:color w:val="000000" w:themeColor="text1"/>
          <w:sz w:val="22"/>
          <w:szCs w:val="22"/>
          <w:highlight w:val="none"/>
          <w:u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u w:val="none"/>
          <w:lang w:eastAsia="zh-CN"/>
          <w14:textFill>
            <w14:solidFill>
              <w14:schemeClr w14:val="tx1"/>
            </w14:solidFill>
          </w14:textFill>
        </w:rPr>
        <w:t>注：本表请按项目的实际技术要求，逐条对应磋商文件第三章《</w:t>
      </w:r>
      <w:r>
        <w:rPr>
          <w:rFonts w:hint="eastAsia" w:ascii="仿宋" w:hAnsi="仿宋" w:eastAsia="仿宋" w:cs="仿宋"/>
          <w:b/>
          <w:bCs/>
          <w:color w:val="000000" w:themeColor="text1"/>
          <w:sz w:val="22"/>
          <w:szCs w:val="22"/>
          <w:highlight w:val="none"/>
          <w:u w:val="none"/>
          <w:lang w:val="en-US" w:eastAsia="zh-CN"/>
          <w14:textFill>
            <w14:solidFill>
              <w14:schemeClr w14:val="tx1"/>
            </w14:solidFill>
          </w14:textFill>
        </w:rPr>
        <w:t>服务内容及要求</w:t>
      </w:r>
      <w:r>
        <w:rPr>
          <w:rFonts w:hint="eastAsia" w:ascii="仿宋" w:hAnsi="仿宋" w:eastAsia="仿宋" w:cs="仿宋"/>
          <w:b/>
          <w:bCs/>
          <w:color w:val="000000" w:themeColor="text1"/>
          <w:sz w:val="22"/>
          <w:szCs w:val="22"/>
          <w:highlight w:val="none"/>
          <w:u w:val="none"/>
          <w:lang w:eastAsia="zh-CN"/>
          <w14:textFill>
            <w14:solidFill>
              <w14:schemeClr w14:val="tx1"/>
            </w14:solidFill>
          </w14:textFill>
        </w:rPr>
        <w:t>》</w:t>
      </w:r>
      <w:r>
        <w:rPr>
          <w:rFonts w:hint="eastAsia" w:ascii="仿宋" w:hAnsi="仿宋" w:eastAsia="仿宋" w:cs="仿宋"/>
          <w:b/>
          <w:bCs/>
          <w:color w:val="000000" w:themeColor="text1"/>
          <w:sz w:val="22"/>
          <w:szCs w:val="22"/>
          <w:highlight w:val="none"/>
          <w:u w:val="none"/>
          <w:lang w:val="en-US" w:eastAsia="zh-CN"/>
          <w14:textFill>
            <w14:solidFill>
              <w14:schemeClr w14:val="tx1"/>
            </w14:solidFill>
          </w14:textFill>
        </w:rPr>
        <w:t>认真填写，偏离情况填写：优于、等于或低于，偏离说明对偏离情况做出详细说明。</w:t>
      </w:r>
    </w:p>
    <w:p>
      <w:pPr>
        <w:spacing w:line="440" w:lineRule="exact"/>
        <w:rPr>
          <w:rFonts w:hint="eastAsia" w:ascii="仿宋" w:hAnsi="仿宋" w:eastAsia="仿宋" w:cs="仿宋"/>
          <w:color w:val="000000" w:themeColor="text1"/>
          <w:sz w:val="24"/>
          <w:highlight w:val="none"/>
          <w:lang w:val="zh-CN"/>
          <w14:textFill>
            <w14:solidFill>
              <w14:schemeClr w14:val="tx1"/>
            </w14:solidFill>
          </w14:textFill>
        </w:rPr>
      </w:pP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法定代表人或被授权人（签字或盖章）</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(供应商单位公章)      </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日 期：            </w:t>
      </w:r>
    </w:p>
    <w:p>
      <w:pPr>
        <w:pStyle w:val="39"/>
        <w:ind w:firstLineChars="71"/>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kern w:val="0"/>
          <w:sz w:val="28"/>
          <w:szCs w:val="22"/>
          <w:highlight w:val="none"/>
          <w14:textFill>
            <w14:solidFill>
              <w14:schemeClr w14:val="tx1"/>
            </w14:solidFill>
          </w14:textFill>
        </w:rPr>
        <w:br w:type="page"/>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eastAsia" w:ascii="仿宋" w:hAnsi="仿宋" w:eastAsia="仿宋" w:cs="仿宋"/>
          <w:b/>
          <w:color w:val="000000" w:themeColor="text1"/>
          <w:kern w:val="0"/>
          <w:sz w:val="28"/>
          <w:szCs w:val="22"/>
          <w:highlight w:val="none"/>
          <w:lang w:val="en-US" w:eastAsia="zh-CN"/>
          <w14:textFill>
            <w14:solidFill>
              <w14:schemeClr w14:val="tx1"/>
            </w14:solidFill>
          </w14:textFill>
        </w:rPr>
        <w:t>6</w:t>
      </w:r>
      <w:r>
        <w:rPr>
          <w:rFonts w:hint="eastAsia" w:ascii="仿宋" w:hAnsi="仿宋" w:eastAsia="仿宋" w:cs="仿宋"/>
          <w:b/>
          <w:color w:val="000000" w:themeColor="text1"/>
          <w:szCs w:val="28"/>
          <w:highlight w:val="none"/>
          <w14:textFill>
            <w14:solidFill>
              <w14:schemeClr w14:val="tx1"/>
            </w14:solidFill>
          </w14:textFill>
        </w:rPr>
        <w:t>.资格证明文件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bookmarkStart w:id="87" w:name="_Toc188808842"/>
      <w:bookmarkStart w:id="88" w:name="_Toc193126891"/>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（2）、特定资格条件：</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1、法定代表人或负责人参与磋商时需提供法定代表人或负责人资格证明书（附法定代表人或负责人身份证复印件）；（法定代表人或负责人须提供身份证原件，身份证原件可由本人持有）</w:t>
      </w:r>
      <w:r>
        <w:rPr>
          <w:rFonts w:hint="eastAsia" w:ascii="仿宋" w:hAnsi="仿宋" w:eastAsia="仿宋" w:cs="仿宋"/>
          <w:b/>
          <w:bCs/>
          <w:color w:val="000000" w:themeColor="text1"/>
          <w:sz w:val="24"/>
          <w:highlight w:val="none"/>
          <w:lang w:eastAsia="zh-CN"/>
          <w14:textFill>
            <w14:solidFill>
              <w14:schemeClr w14:val="tx1"/>
            </w14:solidFill>
          </w14:textFill>
        </w:rPr>
        <w:t>（格式后附）</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2、被授权人参与磋商时需提供法定代表人或负责人授权委托书（附法定代表人或负责人及被授权人身份证复印件）；（被授权人须提供身份证原件，身份证原件可由本人持有）</w:t>
      </w:r>
      <w:r>
        <w:rPr>
          <w:rFonts w:hint="eastAsia" w:ascii="仿宋" w:hAnsi="仿宋" w:eastAsia="仿宋" w:cs="仿宋"/>
          <w:b/>
          <w:bCs/>
          <w:color w:val="000000" w:themeColor="text1"/>
          <w:sz w:val="24"/>
          <w:highlight w:val="none"/>
          <w:lang w:eastAsia="zh-CN"/>
          <w14:textFill>
            <w14:solidFill>
              <w14:schemeClr w14:val="tx1"/>
            </w14:solidFill>
          </w14:textFill>
        </w:rPr>
        <w:t>（格式后附）</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、单位负责人为同一人或者存在直接控股、管理关系的不同供应商，不得参加同一合同项下的政府采购活动；（提供书面承诺函，格式自拟加盖供应商公章）</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6、本项目专门面向中小企业采购；须符合《政府采购促进中小企业发展管理办法》（财库〔2020〕46号）规定的中小企业参加；(提供《中小企业声明函》，式样见竞争性磋商响应文件格式)</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b/>
          <w:color w:val="000000" w:themeColor="text1"/>
          <w:highlight w:val="none"/>
          <w14:textFill>
            <w14:solidFill>
              <w14:schemeClr w14:val="tx1"/>
            </w14:solidFill>
          </w14:textFill>
        </w:rPr>
        <w:br w:type="page"/>
      </w:r>
    </w:p>
    <w:p>
      <w:pPr>
        <w:spacing w:line="480" w:lineRule="exact"/>
        <w:ind w:left="210" w:leftChars="100"/>
        <w:jc w:val="center"/>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法定代表人资格证明书</w:t>
      </w:r>
    </w:p>
    <w:tbl>
      <w:tblPr>
        <w:tblStyle w:val="22"/>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9"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项目名称</w:t>
            </w:r>
          </w:p>
        </w:tc>
        <w:tc>
          <w:tcPr>
            <w:tcW w:w="8538" w:type="dxa"/>
            <w:gridSpan w:val="4"/>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文件编号</w:t>
            </w:r>
          </w:p>
        </w:tc>
        <w:tc>
          <w:tcPr>
            <w:tcW w:w="8538" w:type="dxa"/>
            <w:gridSpan w:val="4"/>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权   限</w:t>
            </w:r>
          </w:p>
        </w:tc>
        <w:tc>
          <w:tcPr>
            <w:tcW w:w="8538" w:type="dxa"/>
            <w:gridSpan w:val="4"/>
            <w:vAlign w:val="center"/>
          </w:tcPr>
          <w:p>
            <w:pPr>
              <w:tabs>
                <w:tab w:val="right" w:leader="dot" w:pos="9022"/>
              </w:tabs>
              <w:autoSpaceDE w:val="0"/>
              <w:autoSpaceDN w:val="0"/>
              <w:adjustRightInd w:val="0"/>
              <w:spacing w:line="4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有效期</w:t>
            </w:r>
          </w:p>
        </w:tc>
        <w:tc>
          <w:tcPr>
            <w:tcW w:w="8538" w:type="dxa"/>
            <w:gridSpan w:val="4"/>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自提交磋商响应文件的截止之日起90个日历日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00" w:lineRule="exact"/>
              <w:ind w:firstLine="240" w:firstLineChars="100"/>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企业</w:t>
            </w:r>
          </w:p>
          <w:p>
            <w:pPr>
              <w:tabs>
                <w:tab w:val="right" w:leader="dot" w:pos="9022"/>
              </w:tabs>
              <w:autoSpaceDE w:val="0"/>
              <w:autoSpaceDN w:val="0"/>
              <w:adjustRightInd w:val="0"/>
              <w:spacing w:line="500" w:lineRule="exact"/>
              <w:ind w:firstLine="240" w:firstLineChars="100"/>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信息</w:t>
            </w:r>
          </w:p>
        </w:tc>
        <w:tc>
          <w:tcPr>
            <w:tcW w:w="2470"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 xml:space="preserve">企 业 名 称 </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 定 地 址</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营业执照注册证号</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工商登记机关</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网        址</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表人</w:t>
            </w: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姓    名</w:t>
            </w:r>
          </w:p>
        </w:tc>
        <w:tc>
          <w:tcPr>
            <w:tcW w:w="196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36"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性    别</w:t>
            </w:r>
          </w:p>
        </w:tc>
        <w:tc>
          <w:tcPr>
            <w:tcW w:w="2767"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职    务</w:t>
            </w:r>
          </w:p>
        </w:tc>
        <w:tc>
          <w:tcPr>
            <w:tcW w:w="196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36"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联系电话</w:t>
            </w:r>
          </w:p>
        </w:tc>
        <w:tc>
          <w:tcPr>
            <w:tcW w:w="2767"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传    真</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通讯地址</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10159"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法定代表人身份证复印件</w:t>
            </w:r>
          </w:p>
          <w:p>
            <w:pPr>
              <w:tabs>
                <w:tab w:val="right" w:leader="dot" w:pos="9022"/>
              </w:tabs>
              <w:autoSpaceDE w:val="0"/>
              <w:autoSpaceDN w:val="0"/>
              <w:adjustRightInd w:val="0"/>
              <w:spacing w:line="500" w:lineRule="exact"/>
              <w:jc w:val="center"/>
              <w:rPr>
                <w:rFonts w:hint="eastAsia" w:ascii="仿宋" w:hAnsi="仿宋" w:eastAsia="仿宋" w:cs="仿宋"/>
                <w:color w:val="000000" w:themeColor="text1"/>
                <w:spacing w:val="-4"/>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4"/>
                <w:sz w:val="24"/>
                <w:highlight w:val="none"/>
                <w14:textFill>
                  <w14:solidFill>
                    <w14:schemeClr w14:val="tx1"/>
                  </w14:solidFill>
                </w14:textFill>
              </w:rPr>
              <w:t>二代身份证正、反两面都需复印</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（粘贴处）</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159"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法定代表人签字或盖章：</w:t>
            </w:r>
          </w:p>
        </w:tc>
      </w:tr>
    </w:tbl>
    <w:p>
      <w:pPr>
        <w:pStyle w:val="39"/>
        <w:ind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（供应商单位公章）   日 期：</w:t>
      </w:r>
    </w:p>
    <w:p>
      <w:pPr>
        <w:rPr>
          <w:rFonts w:hint="eastAsia" w:ascii="仿宋" w:hAnsi="仿宋" w:eastAsia="仿宋" w:cs="仿宋"/>
          <w:color w:val="000000" w:themeColor="text1"/>
          <w:kern w:val="0"/>
          <w:sz w:val="24"/>
          <w:highlight w:val="none"/>
          <w:u w:val="none"/>
          <w14:textFill>
            <w14:solidFill>
              <w14:schemeClr w14:val="tx1"/>
            </w14:solidFill>
          </w14:textFill>
        </w:rPr>
      </w:pPr>
    </w:p>
    <w:p>
      <w:pPr>
        <w:ind w:firstLine="723" w:firstLineChars="300"/>
        <w:rPr>
          <w:rFonts w:hint="eastAsia" w:ascii="仿宋" w:hAnsi="仿宋" w:eastAsia="仿宋" w:cs="仿宋"/>
          <w:b/>
          <w:bCs/>
          <w:color w:val="000000" w:themeColor="text1"/>
          <w:kern w:val="0"/>
          <w:sz w:val="24"/>
          <w:highlight w:val="none"/>
          <w:u w:val="none"/>
          <w14:textFill>
            <w14:solidFill>
              <w14:schemeClr w14:val="tx1"/>
            </w14:solidFill>
          </w14:textFill>
        </w:rPr>
      </w:pPr>
      <w:r>
        <w:rPr>
          <w:rFonts w:hint="eastAsia" w:ascii="仿宋" w:hAnsi="仿宋" w:eastAsia="仿宋" w:cs="仿宋"/>
          <w:b/>
          <w:bCs/>
          <w:color w:val="000000" w:themeColor="text1"/>
          <w:kern w:val="0"/>
          <w:sz w:val="24"/>
          <w:highlight w:val="none"/>
          <w:u w:val="none"/>
          <w14:textFill>
            <w14:solidFill>
              <w14:schemeClr w14:val="tx1"/>
            </w14:solidFill>
          </w14:textFill>
        </w:rPr>
        <w:t>（法定代表人直接投标，只须提供法定代表人证明书及身份证原件）</w:t>
      </w: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p>
    <w:p>
      <w:pPr>
        <w:spacing w:line="480" w:lineRule="exact"/>
        <w:ind w:left="210" w:leftChars="100"/>
        <w:jc w:val="center"/>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法定代表人授权委托书</w:t>
      </w:r>
    </w:p>
    <w:tbl>
      <w:tblPr>
        <w:tblStyle w:val="2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权项</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目与</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内容</w:t>
            </w:r>
          </w:p>
        </w:tc>
        <w:tc>
          <w:tcPr>
            <w:tcW w:w="135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项目名称</w:t>
            </w:r>
          </w:p>
        </w:tc>
        <w:tc>
          <w:tcPr>
            <w:tcW w:w="7138"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文件编号</w:t>
            </w:r>
          </w:p>
        </w:tc>
        <w:tc>
          <w:tcPr>
            <w:tcW w:w="7138" w:type="dxa"/>
            <w:gridSpan w:val="5"/>
          </w:tcPr>
          <w:p>
            <w:pPr>
              <w:tabs>
                <w:tab w:val="right" w:leader="dot" w:pos="9022"/>
              </w:tabs>
              <w:autoSpaceDE w:val="0"/>
              <w:autoSpaceDN w:val="0"/>
              <w:adjustRightInd w:val="0"/>
              <w:spacing w:line="500" w:lineRule="exact"/>
              <w:ind w:firstLine="1200" w:firstLineChars="500"/>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授权范围</w:t>
            </w:r>
          </w:p>
        </w:tc>
        <w:tc>
          <w:tcPr>
            <w:tcW w:w="7138" w:type="dxa"/>
            <w:gridSpan w:val="5"/>
          </w:tcPr>
          <w:p>
            <w:pPr>
              <w:tabs>
                <w:tab w:val="right" w:leader="dot" w:pos="9022"/>
              </w:tabs>
              <w:autoSpaceDE w:val="0"/>
              <w:autoSpaceDN w:val="0"/>
              <w:adjustRightInd w:val="0"/>
              <w:spacing w:line="4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全权办理本次采购项目的磋商、联系、洽谈、签约、执行等具体事务，签署全部有关文件、文书、协议及合同。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法律责任</w:t>
            </w:r>
          </w:p>
        </w:tc>
        <w:tc>
          <w:tcPr>
            <w:tcW w:w="7138" w:type="dxa"/>
            <w:gridSpan w:val="5"/>
          </w:tcPr>
          <w:p>
            <w:pPr>
              <w:tabs>
                <w:tab w:val="right" w:leader="dot" w:pos="9022"/>
              </w:tabs>
              <w:autoSpaceDE w:val="0"/>
              <w:autoSpaceDN w:val="0"/>
              <w:adjustRightInd w:val="0"/>
              <w:spacing w:line="4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授权期限</w:t>
            </w:r>
          </w:p>
        </w:tc>
        <w:tc>
          <w:tcPr>
            <w:tcW w:w="7138" w:type="dxa"/>
            <w:gridSpan w:val="5"/>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本授权书自提交磋商响应文件的截止之日起90个日历日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企业信息</w:t>
            </w:r>
          </w:p>
        </w:tc>
        <w:tc>
          <w:tcPr>
            <w:tcW w:w="2489" w:type="dxa"/>
            <w:gridSpan w:val="2"/>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 xml:space="preserve">企 业 名 称 </w:t>
            </w:r>
          </w:p>
        </w:tc>
        <w:tc>
          <w:tcPr>
            <w:tcW w:w="6004" w:type="dxa"/>
            <w:gridSpan w:val="4"/>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2489" w:type="dxa"/>
            <w:gridSpan w:val="2"/>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 定 地 址</w:t>
            </w:r>
          </w:p>
        </w:tc>
        <w:tc>
          <w:tcPr>
            <w:tcW w:w="6004" w:type="dxa"/>
            <w:gridSpan w:val="4"/>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2489" w:type="dxa"/>
            <w:gridSpan w:val="2"/>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营业执照注册证号</w:t>
            </w:r>
          </w:p>
        </w:tc>
        <w:tc>
          <w:tcPr>
            <w:tcW w:w="6004" w:type="dxa"/>
            <w:gridSpan w:val="4"/>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w:t>
            </w: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姓名</w:t>
            </w:r>
          </w:p>
        </w:tc>
        <w:tc>
          <w:tcPr>
            <w:tcW w:w="2693" w:type="dxa"/>
            <w:gridSpan w:val="3"/>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性    别</w:t>
            </w:r>
          </w:p>
        </w:tc>
        <w:tc>
          <w:tcPr>
            <w:tcW w:w="2886"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职务</w:t>
            </w:r>
          </w:p>
        </w:tc>
        <w:tc>
          <w:tcPr>
            <w:tcW w:w="2693" w:type="dxa"/>
            <w:gridSpan w:val="3"/>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手机号码</w:t>
            </w:r>
          </w:p>
        </w:tc>
        <w:tc>
          <w:tcPr>
            <w:tcW w:w="2886" w:type="dxa"/>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被授权人</w:t>
            </w: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姓名</w:t>
            </w:r>
          </w:p>
        </w:tc>
        <w:tc>
          <w:tcPr>
            <w:tcW w:w="2693" w:type="dxa"/>
            <w:gridSpan w:val="3"/>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性    别</w:t>
            </w:r>
          </w:p>
        </w:tc>
        <w:tc>
          <w:tcPr>
            <w:tcW w:w="2886"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职务</w:t>
            </w:r>
          </w:p>
        </w:tc>
        <w:tc>
          <w:tcPr>
            <w:tcW w:w="2693" w:type="dxa"/>
            <w:gridSpan w:val="3"/>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手机号码</w:t>
            </w:r>
          </w:p>
        </w:tc>
        <w:tc>
          <w:tcPr>
            <w:tcW w:w="2886" w:type="dxa"/>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通讯地址</w:t>
            </w:r>
          </w:p>
        </w:tc>
        <w:tc>
          <w:tcPr>
            <w:tcW w:w="8493" w:type="dxa"/>
            <w:gridSpan w:val="6"/>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jc w:val="center"/>
        </w:trPr>
        <w:tc>
          <w:tcPr>
            <w:tcW w:w="4899" w:type="dxa"/>
            <w:gridSpan w:val="4"/>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法定代表人身份证复印件</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二代身份证正、反两面都需复印</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（粘贴处）</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5296" w:type="dxa"/>
            <w:gridSpan w:val="3"/>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被授权人身份证复印件</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二代身份证正、反两面都需复印</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（粘贴处）</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99" w:type="dxa"/>
            <w:gridSpan w:val="4"/>
            <w:tcBorders>
              <w:bottom w:val="single" w:color="auto" w:sz="4" w:space="0"/>
            </w:tcBorders>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法定代表人签字或盖章：</w:t>
            </w:r>
          </w:p>
        </w:tc>
        <w:tc>
          <w:tcPr>
            <w:tcW w:w="5296" w:type="dxa"/>
            <w:gridSpan w:val="3"/>
            <w:tcBorders>
              <w:bottom w:val="single" w:color="auto" w:sz="4" w:space="0"/>
            </w:tcBorders>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被授权人签字或盖章：</w:t>
            </w:r>
          </w:p>
        </w:tc>
      </w:tr>
    </w:tbl>
    <w:p>
      <w:pPr>
        <w:autoSpaceDE w:val="0"/>
        <w:autoSpaceDN w:val="0"/>
        <w:adjustRightInd w:val="0"/>
        <w:snapToGrid w:val="0"/>
        <w:spacing w:line="48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供应商名称：</w:t>
      </w:r>
      <w:r>
        <w:rPr>
          <w:rFonts w:hint="eastAsia" w:ascii="仿宋" w:hAnsi="仿宋" w:eastAsia="仿宋" w:cs="仿宋"/>
          <w:bCs/>
          <w:caps/>
          <w:color w:val="000000" w:themeColor="text1"/>
          <w:sz w:val="24"/>
          <w:highlight w:val="none"/>
          <w:u w:val="single"/>
          <w14:textFill>
            <w14:solidFill>
              <w14:schemeClr w14:val="tx1"/>
            </w14:solidFill>
          </w14:textFill>
        </w:rPr>
        <w:t xml:space="preserve">             </w:t>
      </w:r>
      <w:r>
        <w:rPr>
          <w:rFonts w:hint="eastAsia" w:ascii="仿宋" w:hAnsi="仿宋" w:eastAsia="仿宋" w:cs="仿宋"/>
          <w:bCs/>
          <w:caps/>
          <w:color w:val="000000" w:themeColor="text1"/>
          <w:sz w:val="24"/>
          <w:highlight w:val="none"/>
          <w14:textFill>
            <w14:solidFill>
              <w14:schemeClr w14:val="tx1"/>
            </w14:solidFill>
          </w14:textFill>
        </w:rPr>
        <w:t xml:space="preserve">（供应商单位公章）     日 期：  </w:t>
      </w:r>
    </w:p>
    <w:p>
      <w:pPr>
        <w:pStyle w:val="39"/>
        <w:ind w:firstLine="0" w:firstLineChars="0"/>
        <w:rPr>
          <w:rFonts w:hint="eastAsia" w:ascii="仿宋" w:hAnsi="仿宋" w:eastAsia="仿宋" w:cs="仿宋"/>
          <w:color w:val="000000" w:themeColor="text1"/>
          <w:kern w:val="0"/>
          <w:sz w:val="24"/>
          <w:highlight w:val="none"/>
          <w:u w:val="none"/>
          <w14:textFill>
            <w14:solidFill>
              <w14:schemeClr w14:val="tx1"/>
            </w14:solidFill>
          </w14:textFill>
        </w:rPr>
      </w:pPr>
    </w:p>
    <w:p>
      <w:pPr>
        <w:pStyle w:val="39"/>
        <w:ind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u w:val="none"/>
          <w14:textFill>
            <w14:solidFill>
              <w14:schemeClr w14:val="tx1"/>
            </w14:solidFill>
          </w14:textFill>
        </w:rPr>
        <w:t>（</w:t>
      </w:r>
      <w:r>
        <w:rPr>
          <w:rFonts w:hint="eastAsia" w:ascii="仿宋" w:hAnsi="仿宋" w:eastAsia="仿宋" w:cs="仿宋"/>
          <w:b/>
          <w:bCs/>
          <w:color w:val="000000" w:themeColor="text1"/>
          <w:kern w:val="0"/>
          <w:sz w:val="24"/>
          <w:highlight w:val="none"/>
          <w:u w:val="none"/>
          <w:lang w:eastAsia="zh-CN"/>
          <w14:textFill>
            <w14:solidFill>
              <w14:schemeClr w14:val="tx1"/>
            </w14:solidFill>
          </w14:textFill>
        </w:rPr>
        <w:t>被授权人投标时</w:t>
      </w:r>
      <w:r>
        <w:rPr>
          <w:rFonts w:hint="eastAsia" w:ascii="仿宋" w:hAnsi="仿宋" w:eastAsia="仿宋" w:cs="仿宋"/>
          <w:b/>
          <w:bCs/>
          <w:color w:val="000000" w:themeColor="text1"/>
          <w:kern w:val="0"/>
          <w:sz w:val="24"/>
          <w:highlight w:val="none"/>
          <w:u w:val="none"/>
          <w14:textFill>
            <w14:solidFill>
              <w14:schemeClr w14:val="tx1"/>
            </w14:solidFill>
          </w14:textFill>
        </w:rPr>
        <w:t>，须提供</w:t>
      </w:r>
      <w:r>
        <w:rPr>
          <w:rFonts w:hint="eastAsia" w:ascii="仿宋" w:hAnsi="仿宋" w:eastAsia="仿宋" w:cs="仿宋"/>
          <w:b/>
          <w:bCs/>
          <w:color w:val="000000" w:themeColor="text1"/>
          <w:kern w:val="0"/>
          <w:sz w:val="24"/>
          <w:highlight w:val="none"/>
          <w:u w:val="none"/>
          <w:lang w:eastAsia="zh-CN"/>
          <w14:textFill>
            <w14:solidFill>
              <w14:schemeClr w14:val="tx1"/>
            </w14:solidFill>
          </w14:textFill>
        </w:rPr>
        <w:t>法定代表人授权委托书</w:t>
      </w:r>
      <w:r>
        <w:rPr>
          <w:rFonts w:hint="eastAsia" w:ascii="仿宋" w:hAnsi="仿宋" w:eastAsia="仿宋" w:cs="仿宋"/>
          <w:b/>
          <w:bCs/>
          <w:color w:val="000000" w:themeColor="text1"/>
          <w:kern w:val="0"/>
          <w:sz w:val="24"/>
          <w:highlight w:val="none"/>
          <w:u w:val="none"/>
          <w14:textFill>
            <w14:solidFill>
              <w14:schemeClr w14:val="tx1"/>
            </w14:solidFill>
          </w14:textFill>
        </w:rPr>
        <w:t>及</w:t>
      </w:r>
      <w:r>
        <w:rPr>
          <w:rFonts w:hint="eastAsia" w:ascii="仿宋" w:hAnsi="仿宋" w:eastAsia="仿宋" w:cs="仿宋"/>
          <w:b/>
          <w:bCs/>
          <w:color w:val="000000" w:themeColor="text1"/>
          <w:kern w:val="0"/>
          <w:sz w:val="24"/>
          <w:highlight w:val="none"/>
          <w:u w:val="none"/>
          <w:lang w:eastAsia="zh-CN"/>
          <w14:textFill>
            <w14:solidFill>
              <w14:schemeClr w14:val="tx1"/>
            </w14:solidFill>
          </w14:textFill>
        </w:rPr>
        <w:t>被授权人身份证</w:t>
      </w:r>
      <w:r>
        <w:rPr>
          <w:rFonts w:hint="eastAsia" w:ascii="仿宋" w:hAnsi="仿宋" w:eastAsia="仿宋" w:cs="仿宋"/>
          <w:b/>
          <w:bCs/>
          <w:color w:val="000000" w:themeColor="text1"/>
          <w:kern w:val="0"/>
          <w:sz w:val="24"/>
          <w:highlight w:val="none"/>
          <w:u w:val="none"/>
          <w14:textFill>
            <w14:solidFill>
              <w14:schemeClr w14:val="tx1"/>
            </w14:solidFill>
          </w14:textFill>
        </w:rPr>
        <w:t>原件）</w:t>
      </w:r>
    </w:p>
    <w:p>
      <w:pPr>
        <w:pStyle w:val="39"/>
        <w:ind w:firstLine="562"/>
        <w:rPr>
          <w:rFonts w:hint="eastAsia" w:ascii="仿宋" w:hAnsi="仿宋" w:eastAsia="仿宋" w:cs="仿宋"/>
          <w:b/>
          <w:color w:val="000000" w:themeColor="text1"/>
          <w:highlight w:val="none"/>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7</w:t>
      </w:r>
      <w:r>
        <w:rPr>
          <w:rFonts w:hint="eastAsia" w:ascii="仿宋" w:hAnsi="仿宋" w:eastAsia="仿宋" w:cs="仿宋"/>
          <w:b/>
          <w:color w:val="000000" w:themeColor="text1"/>
          <w:highlight w:val="none"/>
          <w:lang w:eastAsia="zh-CN"/>
          <w14:textFill>
            <w14:solidFill>
              <w14:schemeClr w14:val="tx1"/>
            </w14:solidFill>
          </w14:textFill>
        </w:rPr>
        <w:t>、2019年1月1日</w:t>
      </w:r>
      <w:r>
        <w:rPr>
          <w:rFonts w:hint="eastAsia" w:ascii="仿宋" w:hAnsi="仿宋" w:eastAsia="仿宋" w:cs="仿宋"/>
          <w:b/>
          <w:color w:val="000000" w:themeColor="text1"/>
          <w:highlight w:val="none"/>
          <w14:textFill>
            <w14:solidFill>
              <w14:schemeClr w14:val="tx1"/>
            </w14:solidFill>
          </w14:textFill>
        </w:rPr>
        <w:t>至今</w:t>
      </w:r>
      <w:r>
        <w:rPr>
          <w:rFonts w:hint="eastAsia" w:ascii="仿宋" w:hAnsi="仿宋" w:eastAsia="仿宋" w:cs="仿宋"/>
          <w:b/>
          <w:color w:val="000000" w:themeColor="text1"/>
          <w:highlight w:val="none"/>
          <w:lang w:val="en-US" w:eastAsia="zh-CN"/>
          <w14:textFill>
            <w14:solidFill>
              <w14:schemeClr w14:val="tx1"/>
            </w14:solidFill>
          </w14:textFill>
        </w:rPr>
        <w:t>类似</w:t>
      </w:r>
      <w:r>
        <w:rPr>
          <w:rFonts w:hint="eastAsia" w:ascii="仿宋" w:hAnsi="仿宋" w:eastAsia="仿宋" w:cs="仿宋"/>
          <w:b/>
          <w:color w:val="000000" w:themeColor="text1"/>
          <w:highlight w:val="none"/>
          <w14:textFill>
            <w14:solidFill>
              <w14:schemeClr w14:val="tx1"/>
            </w14:solidFill>
          </w14:textFill>
        </w:rPr>
        <w:t>项目业绩（提供合同复印件加盖公章）</w:t>
      </w: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8</w:t>
      </w:r>
      <w:r>
        <w:rPr>
          <w:rFonts w:hint="eastAsia" w:ascii="仿宋" w:hAnsi="仿宋" w:eastAsia="仿宋" w:cs="仿宋"/>
          <w:b/>
          <w:color w:val="000000" w:themeColor="text1"/>
          <w:highlight w:val="none"/>
          <w14:textFill>
            <w14:solidFill>
              <w14:schemeClr w14:val="tx1"/>
            </w14:solidFill>
          </w14:textFill>
        </w:rPr>
        <w:t>、</w:t>
      </w:r>
      <w:r>
        <w:rPr>
          <w:rFonts w:hint="eastAsia" w:ascii="仿宋" w:hAnsi="仿宋" w:eastAsia="仿宋" w:cs="仿宋"/>
          <w:b/>
          <w:color w:val="000000" w:themeColor="text1"/>
          <w:highlight w:val="none"/>
          <w:lang w:val="en-US" w:eastAsia="zh-CN"/>
          <w14:textFill>
            <w14:solidFill>
              <w14:schemeClr w14:val="tx1"/>
            </w14:solidFill>
          </w14:textFill>
        </w:rPr>
        <w:t>项目实施</w:t>
      </w:r>
      <w:r>
        <w:rPr>
          <w:rFonts w:hint="eastAsia" w:ascii="仿宋" w:hAnsi="仿宋" w:eastAsia="仿宋" w:cs="仿宋"/>
          <w:b/>
          <w:color w:val="000000" w:themeColor="text1"/>
          <w:highlight w:val="none"/>
          <w14:textFill>
            <w14:solidFill>
              <w14:schemeClr w14:val="tx1"/>
            </w14:solidFill>
          </w14:textFill>
        </w:rPr>
        <w:t>方案</w:t>
      </w:r>
    </w:p>
    <w:p>
      <w:pPr>
        <w:pStyle w:val="39"/>
        <w:ind w:firstLine="480"/>
        <w:rPr>
          <w:rFonts w:hint="eastAsia" w:ascii="仿宋" w:hAnsi="仿宋" w:eastAsia="仿宋" w:cs="仿宋"/>
          <w:b/>
          <w:color w:val="000000" w:themeColor="text1"/>
          <w:sz w:val="24"/>
          <w:szCs w:val="24"/>
          <w:highlight w:val="none"/>
          <w14:textFill>
            <w14:solidFill>
              <w14:schemeClr w14:val="tx1"/>
            </w14:solidFill>
          </w14:textFill>
        </w:rPr>
      </w:pPr>
      <w:bookmarkStart w:id="89" w:name="_Toc408785221"/>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39"/>
        <w:ind w:firstLine="482"/>
        <w:rPr>
          <w:rFonts w:hint="eastAsia" w:ascii="仿宋" w:hAnsi="仿宋" w:eastAsia="仿宋" w:cs="仿宋"/>
          <w:b/>
          <w:color w:val="000000" w:themeColor="text1"/>
          <w:sz w:val="24"/>
          <w:szCs w:val="24"/>
          <w:highlight w:val="none"/>
          <w14:textFill>
            <w14:solidFill>
              <w14:schemeClr w14:val="tx1"/>
            </w14:solidFill>
          </w14:textFill>
        </w:rPr>
      </w:pPr>
    </w:p>
    <w:bookmarkEnd w:id="89"/>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
          <w:color w:val="000000" w:themeColor="text1"/>
          <w:sz w:val="28"/>
          <w:szCs w:val="28"/>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spacing w:line="480" w:lineRule="exact"/>
        <w:outlineLvl w:val="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bidi w:val="0"/>
        <w:rPr>
          <w:rFonts w:hint="eastAsia"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t>9、拟派项目人员与设备配备（格式）</w:t>
      </w:r>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bookmarkStart w:id="90" w:name="_Toc193126905"/>
      <w:bookmarkStart w:id="91" w:name="_Toc188808855"/>
      <w:bookmarkStart w:id="92" w:name="_Toc194663942"/>
      <w:bookmarkStart w:id="93" w:name="_Toc193187111"/>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r>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t>10.售后服务承诺</w:t>
      </w:r>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p>
    <w:p>
      <w:pPr>
        <w:pStyle w:val="39"/>
        <w:ind w:firstLine="0" w:firstLineChars="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11</w:t>
      </w:r>
      <w:r>
        <w:rPr>
          <w:rFonts w:hint="eastAsia" w:ascii="仿宋" w:hAnsi="仿宋" w:eastAsia="仿宋" w:cs="仿宋"/>
          <w:b/>
          <w:color w:val="000000" w:themeColor="text1"/>
          <w:highlight w:val="none"/>
          <w14:textFill>
            <w14:solidFill>
              <w14:schemeClr w14:val="tx1"/>
            </w14:solidFill>
          </w14:textFill>
        </w:rPr>
        <w:t>.供应商认为有必要说明的事宜</w:t>
      </w:r>
    </w:p>
    <w:p>
      <w:pPr>
        <w:spacing w:line="480" w:lineRule="exact"/>
        <w:outlineLvl w:val="1"/>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outlineLvl w:val="1"/>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outlineLvl w:val="1"/>
        <w:rPr>
          <w:rFonts w:hint="eastAsia" w:ascii="仿宋" w:hAnsi="仿宋" w:eastAsia="仿宋" w:cs="仿宋"/>
          <w:b/>
          <w:color w:val="000000" w:themeColor="text1"/>
          <w:sz w:val="28"/>
          <w:szCs w:val="28"/>
          <w:highlight w:val="none"/>
          <w14:textFill>
            <w14:solidFill>
              <w14:schemeClr w14:val="tx1"/>
            </w14:solidFill>
          </w14:textFill>
        </w:rPr>
      </w:pPr>
    </w:p>
    <w:p>
      <w:pPr>
        <w:pStyle w:val="2"/>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p>
    <w:p>
      <w:pPr>
        <w:pStyle w:val="2"/>
        <w:rPr>
          <w:rFonts w:hint="eastAsia" w:ascii="仿宋" w:hAnsi="仿宋" w:eastAsia="仿宋" w:cs="仿宋"/>
          <w:b/>
          <w:color w:val="000000" w:themeColor="text1"/>
          <w:sz w:val="28"/>
          <w:szCs w:val="28"/>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pStyle w:val="3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39"/>
        <w:ind w:firstLineChars="71"/>
        <w:rPr>
          <w:rFonts w:hint="eastAsia"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14:textFill>
            <w14:solidFill>
              <w14:schemeClr w14:val="tx1"/>
            </w14:solidFill>
          </w14:textFill>
        </w:rPr>
        <w:t>1</w:t>
      </w:r>
      <w:r>
        <w:rPr>
          <w:rFonts w:hint="eastAsia" w:ascii="仿宋" w:hAnsi="仿宋" w:eastAsia="仿宋" w:cs="仿宋"/>
          <w:b/>
          <w:color w:val="000000" w:themeColor="text1"/>
          <w:szCs w:val="28"/>
          <w:highlight w:val="none"/>
          <w:lang w:val="en-US" w:eastAsia="zh-CN"/>
          <w14:textFill>
            <w14:solidFill>
              <w14:schemeClr w14:val="tx1"/>
            </w14:solidFill>
          </w14:textFill>
        </w:rPr>
        <w:t>2</w:t>
      </w:r>
      <w:r>
        <w:rPr>
          <w:rFonts w:hint="eastAsia" w:ascii="仿宋" w:hAnsi="仿宋" w:eastAsia="仿宋" w:cs="仿宋"/>
          <w:b/>
          <w:color w:val="000000" w:themeColor="text1"/>
          <w:szCs w:val="28"/>
          <w:highlight w:val="none"/>
          <w14:textFill>
            <w14:solidFill>
              <w14:schemeClr w14:val="tx1"/>
            </w14:solidFill>
          </w14:textFill>
        </w:rPr>
        <w:t>.</w:t>
      </w:r>
      <w:r>
        <w:rPr>
          <w:rFonts w:hint="eastAsia" w:ascii="仿宋" w:hAnsi="仿宋" w:eastAsia="仿宋" w:cs="仿宋"/>
          <w:b/>
          <w:color w:val="000000" w:themeColor="text1"/>
          <w:szCs w:val="28"/>
          <w:highlight w:val="none"/>
          <w:lang w:eastAsia="zh-CN"/>
          <w14:textFill>
            <w14:solidFill>
              <w14:schemeClr w14:val="tx1"/>
            </w14:solidFill>
          </w14:textFill>
        </w:rPr>
        <w:t>供应商</w:t>
      </w:r>
      <w:r>
        <w:rPr>
          <w:rFonts w:hint="eastAsia" w:ascii="仿宋" w:hAnsi="仿宋" w:eastAsia="仿宋" w:cs="仿宋"/>
          <w:b/>
          <w:color w:val="000000" w:themeColor="text1"/>
          <w:szCs w:val="28"/>
          <w:highlight w:val="none"/>
          <w14:textFill>
            <w14:solidFill>
              <w14:schemeClr w14:val="tx1"/>
            </w14:solidFill>
          </w14:textFill>
        </w:rPr>
        <w:t>承诺书</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w:t>
      </w:r>
      <w:r>
        <w:rPr>
          <w:rFonts w:hint="eastAsia" w:ascii="仿宋" w:hAnsi="仿宋" w:eastAsia="仿宋" w:cs="仿宋"/>
          <w:b w:val="0"/>
          <w:bCs/>
          <w:color w:val="000000" w:themeColor="text1"/>
          <w:sz w:val="24"/>
          <w:szCs w:val="24"/>
          <w:highlight w:val="none"/>
          <w14:textFill>
            <w14:solidFill>
              <w14:schemeClr w14:val="tx1"/>
            </w14:solidFill>
          </w14:textFill>
        </w:rPr>
        <w:t> </w:t>
      </w:r>
    </w:p>
    <w:p>
      <w:pPr>
        <w:widowControl/>
        <w:spacing w:line="480" w:lineRule="exact"/>
        <w:jc w:val="left"/>
        <w:rPr>
          <w:rFonts w:hint="eastAsia" w:ascii="仿宋" w:hAnsi="仿宋" w:eastAsia="仿宋" w:cs="仿宋"/>
          <w:b/>
          <w:color w:val="000000" w:themeColor="text1"/>
          <w:kern w:val="0"/>
          <w:highlight w:val="none"/>
          <w14:textFill>
            <w14:solidFill>
              <w14:schemeClr w14:val="tx1"/>
            </w14:solidFill>
          </w14:textFill>
        </w:rPr>
      </w:pPr>
    </w:p>
    <w:p>
      <w:pPr>
        <w:widowControl/>
        <w:spacing w:line="40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陕西省政府采购供应商</w:t>
      </w:r>
    </w:p>
    <w:p>
      <w:pPr>
        <w:widowControl/>
        <w:spacing w:line="40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拒绝政府采购领域商业贿赂承诺书Ⅰ</w:t>
      </w:r>
    </w:p>
    <w:p>
      <w:pPr>
        <w:widowControl/>
        <w:spacing w:line="400" w:lineRule="exact"/>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为响应党中央、国务院关于治理政府采购领域商业贿赂行为的号召</w:t>
      </w:r>
      <w:r>
        <w:rPr>
          <w:rFonts w:hint="eastAsia" w:ascii="仿宋" w:hAnsi="仿宋" w:eastAsia="仿宋" w:cs="仿宋"/>
          <w:color w:val="000000" w:themeColor="text1"/>
          <w:kern w:val="0"/>
          <w:sz w:val="24"/>
          <w:highlight w:val="none"/>
          <w14:textFill>
            <w14:solidFill>
              <w14:schemeClr w14:val="tx1"/>
            </w14:solidFill>
          </w14:textFill>
        </w:rPr>
        <w:t xml:space="preserve">，我单位作为     </w:t>
      </w:r>
      <w:r>
        <w:rPr>
          <w:rFonts w:hint="eastAsia" w:ascii="仿宋" w:hAnsi="仿宋" w:eastAsia="仿宋" w:cs="仿宋"/>
          <w:color w:val="000000" w:themeColor="text1"/>
          <w:kern w:val="0"/>
          <w:sz w:val="24"/>
          <w:highlight w:val="none"/>
          <w:u w:val="single"/>
          <w14:textFill>
            <w14:solidFill>
              <w14:schemeClr w14:val="tx1"/>
            </w14:solidFill>
          </w14:textFill>
        </w:rPr>
        <w:t xml:space="preserve">（项目名称）         </w:t>
      </w:r>
      <w:r>
        <w:rPr>
          <w:rFonts w:hint="eastAsia" w:ascii="仿宋" w:hAnsi="仿宋" w:eastAsia="仿宋" w:cs="仿宋"/>
          <w:color w:val="000000" w:themeColor="text1"/>
          <w:kern w:val="0"/>
          <w:sz w:val="24"/>
          <w:highlight w:val="none"/>
          <w14:textFill>
            <w14:solidFill>
              <w14:schemeClr w14:val="tx1"/>
            </w14:solidFill>
          </w14:textFill>
        </w:rPr>
        <w:t xml:space="preserve"> 的供应商，</w:t>
      </w:r>
      <w:r>
        <w:rPr>
          <w:rFonts w:hint="eastAsia" w:ascii="仿宋" w:hAnsi="仿宋" w:eastAsia="仿宋" w:cs="仿宋"/>
          <w:color w:val="000000" w:themeColor="text1"/>
          <w:sz w:val="24"/>
          <w:highlight w:val="none"/>
          <w14:textFill>
            <w14:solidFill>
              <w14:schemeClr w14:val="tx1"/>
            </w14:solidFill>
          </w14:textFill>
        </w:rPr>
        <w:t xml:space="preserve">在此庄严承诺：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1、在参与政府采购活动中遵纪守法、诚信经营、公平竞标。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2、不向采购人、采购代理机构和政府采购评审专家进行任何形式的商业贿赂以谋取交易机会。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3、不向政府采购采购代理机构和采购人提供虚假资质文件或采用虚假应标方式参与政府采购市场竞争并谋取成交。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4、不采取“围标、陪标”等商业欺诈手段获得政府采购定单。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5、不采取不正当手段低毁、排挤其他供应商。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6、不在提供商品和服务时“偷梁换柱、以次充好”损害采购人的合法权益。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7、不与采购人、采购代理机构政府采购评审专家或其它供应商恶意串通，进行质疑和投诉，维护政府采购市场秩序。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8、尊重和接受政府采购监督管理部门的监督和政府采购代理机构采购要求，承担因违约行为给采购人造成的损失。 </w:t>
      </w:r>
    </w:p>
    <w:p>
      <w:pPr>
        <w:widowControl/>
        <w:spacing w:line="4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9、不发生其他有悖于政府采购公开、公平、公正和诚信原则的行为。 </w:t>
      </w:r>
    </w:p>
    <w:p>
      <w:pPr>
        <w:widowControl/>
        <w:spacing w:line="480" w:lineRule="exact"/>
        <w:ind w:firstLine="480" w:firstLineChars="200"/>
        <w:rPr>
          <w:rFonts w:hint="eastAsia" w:ascii="仿宋" w:hAnsi="仿宋" w:eastAsia="仿宋" w:cs="仿宋"/>
          <w:color w:val="000000" w:themeColor="text1"/>
          <w:kern w:val="0"/>
          <w:sz w:val="24"/>
          <w:highlight w:val="none"/>
          <w:lang w:eastAsia="zh-CN"/>
          <w14:textFill>
            <w14:solidFill>
              <w14:schemeClr w14:val="tx1"/>
            </w14:solidFill>
          </w14:textFill>
        </w:rPr>
      </w:pPr>
    </w:p>
    <w:p>
      <w:pPr>
        <w:widowControl/>
        <w:spacing w:line="480" w:lineRule="exact"/>
        <w:ind w:firstLine="480" w:firstLineChars="200"/>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承诺单位：</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（盖章） </w:t>
      </w:r>
    </w:p>
    <w:p>
      <w:pPr>
        <w:widowControl/>
        <w:spacing w:line="480" w:lineRule="exact"/>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全权代表：</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（签字） </w:t>
      </w:r>
    </w:p>
    <w:p>
      <w:pPr>
        <w:widowControl/>
        <w:spacing w:line="480" w:lineRule="exact"/>
        <w:ind w:firstLine="240" w:firstLineChars="10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地　　址：</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pPr>
        <w:widowControl/>
        <w:spacing w:line="480" w:lineRule="exact"/>
        <w:ind w:firstLine="240" w:firstLineChars="10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邮    编：</w:t>
      </w:r>
      <w:r>
        <w:rPr>
          <w:rFonts w:hint="eastAsia" w:ascii="仿宋" w:hAnsi="仿宋" w:eastAsia="仿宋" w:cs="仿宋"/>
          <w:color w:val="000000" w:themeColor="text1"/>
          <w:kern w:val="0"/>
          <w:sz w:val="24"/>
          <w:highlight w:val="none"/>
          <w:u w:val="single"/>
          <w14:textFill>
            <w14:solidFill>
              <w14:schemeClr w14:val="tx1"/>
            </w14:solidFill>
          </w14:textFill>
        </w:rPr>
        <w:t>　　                     　　</w:t>
      </w:r>
    </w:p>
    <w:p>
      <w:pPr>
        <w:widowControl/>
        <w:spacing w:line="480" w:lineRule="exact"/>
        <w:ind w:firstLine="240" w:firstLineChars="1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电　　话：</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　　 </w:t>
      </w: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br w:type="page"/>
      </w:r>
      <w:r>
        <w:rPr>
          <w:rFonts w:hint="eastAsia" w:ascii="仿宋" w:hAnsi="仿宋" w:eastAsia="仿宋" w:cs="仿宋"/>
          <w:b/>
          <w:color w:val="000000" w:themeColor="text1"/>
          <w:sz w:val="32"/>
          <w:szCs w:val="32"/>
          <w:highlight w:val="none"/>
          <w14:textFill>
            <w14:solidFill>
              <w14:schemeClr w14:val="tx1"/>
            </w14:solidFill>
          </w14:textFill>
        </w:rPr>
        <w:t>承诺书Ⅱ</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，本公司承诺：在参加本项目</w:t>
            </w:r>
            <w:r>
              <w:rPr>
                <w:rFonts w:hint="eastAsia" w:ascii="仿宋" w:hAnsi="仿宋" w:eastAsia="仿宋" w:cs="仿宋"/>
                <w:color w:val="000000" w:themeColor="text1"/>
                <w:sz w:val="24"/>
                <w:highlight w:val="none"/>
                <w:lang w:eastAsia="zh-CN"/>
                <w14:textFill>
                  <w14:solidFill>
                    <w14:schemeClr w14:val="tx1"/>
                  </w14:solidFill>
                </w14:textFill>
              </w:rPr>
              <w:t>谈判</w:t>
            </w:r>
            <w:r>
              <w:rPr>
                <w:rFonts w:hint="eastAsia" w:ascii="仿宋" w:hAnsi="仿宋" w:eastAsia="仿宋" w:cs="仿宋"/>
                <w:color w:val="000000" w:themeColor="text1"/>
                <w:sz w:val="24"/>
                <w:highlight w:val="none"/>
                <w14:textFill>
                  <w14:solidFill>
                    <w14:schemeClr w14:val="tx1"/>
                  </w14:solidFill>
                </w14:textFill>
              </w:rPr>
              <w:t>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240" w:firstLineChars="100"/>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承诺书Ⅲ</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r>
              <w:rPr>
                <w:rFonts w:hint="eastAsia" w:ascii="仿宋" w:hAnsi="仿宋" w:eastAsia="仿宋" w:cs="仿宋"/>
                <w:color w:val="000000" w:themeColor="text1"/>
                <w:sz w:val="24"/>
                <w:highlight w:val="none"/>
                <w14:textFill>
                  <w14:solidFill>
                    <w14:schemeClr w14:val="tx1"/>
                  </w14:solidFill>
                </w14:textFill>
              </w:rPr>
              <w:t>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，本公司郑重申告并承诺：近三年受到有关行政主管部门的行政处理、不良行为记录为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360" w:lineRule="atLeast"/>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br w:type="page"/>
      </w:r>
      <w:r>
        <w:rPr>
          <w:rFonts w:hint="eastAsia" w:ascii="仿宋" w:hAnsi="仿宋" w:eastAsia="仿宋" w:cs="仿宋"/>
          <w:b/>
          <w:color w:val="000000" w:themeColor="text1"/>
          <w:sz w:val="32"/>
          <w:szCs w:val="32"/>
          <w:highlight w:val="none"/>
          <w14:textFill>
            <w14:solidFill>
              <w14:schemeClr w14:val="tx1"/>
            </w14:solidFill>
          </w14:textFill>
        </w:rPr>
        <w:t>承诺书Ⅳ</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，本公司郑重申告：近三年因</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14:textFill>
                  <w14:solidFill>
                    <w14:schemeClr w14:val="tx1"/>
                  </w14:solidFill>
                </w14:textFill>
              </w:rPr>
              <w:t>问题的不法行为记录为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次（没有填零），如有隐瞒实情，愿承担一切责任及后果。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本公司承诺：本次</w:t>
            </w:r>
            <w:r>
              <w:rPr>
                <w:rFonts w:hint="eastAsia" w:ascii="仿宋" w:hAnsi="仿宋" w:eastAsia="仿宋" w:cs="仿宋"/>
                <w:color w:val="000000" w:themeColor="text1"/>
                <w:sz w:val="24"/>
                <w:highlight w:val="none"/>
                <w:lang w:val="en-US" w:eastAsia="zh-CN"/>
                <w14:textFill>
                  <w14:solidFill>
                    <w14:schemeClr w14:val="tx1"/>
                  </w14:solidFill>
                </w14:textFill>
              </w:rPr>
              <w:t>所投服务符合相关行业标准</w:t>
            </w:r>
            <w:r>
              <w:rPr>
                <w:rFonts w:hint="eastAsia" w:ascii="仿宋" w:hAnsi="仿宋" w:eastAsia="仿宋" w:cs="仿宋"/>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360" w:lineRule="auto"/>
        <w:ind w:right="480"/>
        <w:rPr>
          <w:rFonts w:hint="eastAsia" w:ascii="仿宋" w:hAnsi="仿宋" w:eastAsia="仿宋" w:cs="仿宋"/>
          <w:color w:val="000000" w:themeColor="text1"/>
          <w:sz w:val="24"/>
          <w:szCs w:val="28"/>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承诺书</w:t>
      </w:r>
      <w:r>
        <w:rPr>
          <w:rFonts w:hint="eastAsia" w:ascii="仿宋" w:hAnsi="仿宋" w:eastAsia="仿宋" w:cs="仿宋"/>
          <w:b/>
          <w:color w:val="000000" w:themeColor="text1"/>
          <w:sz w:val="36"/>
          <w:szCs w:val="36"/>
          <w:highlight w:val="none"/>
          <w14:textFill>
            <w14:solidFill>
              <w14:schemeClr w14:val="tx1"/>
            </w14:solidFill>
          </w14:textFill>
        </w:rPr>
        <w:fldChar w:fldCharType="begin"/>
      </w:r>
      <w:r>
        <w:rPr>
          <w:rFonts w:hint="eastAsia" w:ascii="仿宋" w:hAnsi="仿宋" w:eastAsia="仿宋" w:cs="仿宋"/>
          <w:b/>
          <w:color w:val="000000" w:themeColor="text1"/>
          <w:sz w:val="36"/>
          <w:szCs w:val="36"/>
          <w:highlight w:val="none"/>
          <w14:textFill>
            <w14:solidFill>
              <w14:schemeClr w14:val="tx1"/>
            </w14:solidFill>
          </w14:textFill>
        </w:rPr>
        <w:instrText xml:space="preserve"> = 5 \* ROMAN </w:instrText>
      </w:r>
      <w:r>
        <w:rPr>
          <w:rFonts w:hint="eastAsia" w:ascii="仿宋" w:hAnsi="仿宋" w:eastAsia="仿宋" w:cs="仿宋"/>
          <w:b/>
          <w:color w:val="000000" w:themeColor="text1"/>
          <w:sz w:val="36"/>
          <w:szCs w:val="36"/>
          <w:highlight w:val="none"/>
          <w14:textFill>
            <w14:solidFill>
              <w14:schemeClr w14:val="tx1"/>
            </w14:solidFill>
          </w14:textFill>
        </w:rPr>
        <w:fldChar w:fldCharType="separate"/>
      </w:r>
      <w:r>
        <w:rPr>
          <w:rFonts w:hint="eastAsia" w:ascii="仿宋" w:hAnsi="仿宋" w:eastAsia="仿宋" w:cs="仿宋"/>
          <w:b/>
          <w:color w:val="000000" w:themeColor="text1"/>
          <w:sz w:val="36"/>
          <w:szCs w:val="36"/>
          <w:highlight w:val="none"/>
          <w14:textFill>
            <w14:solidFill>
              <w14:schemeClr w14:val="tx1"/>
            </w14:solidFill>
          </w14:textFill>
        </w:rPr>
        <w:t>V</w:t>
      </w:r>
      <w:r>
        <w:rPr>
          <w:rFonts w:hint="eastAsia" w:ascii="仿宋" w:hAnsi="仿宋" w:eastAsia="仿宋" w:cs="仿宋"/>
          <w:b/>
          <w:color w:val="000000" w:themeColor="text1"/>
          <w:sz w:val="36"/>
          <w:szCs w:val="36"/>
          <w:highlight w:val="none"/>
          <w14:textFill>
            <w14:solidFill>
              <w14:schemeClr w14:val="tx1"/>
            </w14:solidFill>
          </w14:textFill>
        </w:rPr>
        <w:fldChar w:fldCharType="end"/>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，本公司承诺：参加本次</w:t>
            </w:r>
            <w:r>
              <w:rPr>
                <w:rFonts w:hint="eastAsia" w:ascii="仿宋" w:hAnsi="仿宋" w:eastAsia="仿宋" w:cs="仿宋"/>
                <w:color w:val="000000" w:themeColor="text1"/>
                <w:sz w:val="24"/>
                <w:highlight w:val="none"/>
                <w:lang w:eastAsia="zh-CN"/>
                <w14:textFill>
                  <w14:solidFill>
                    <w14:schemeClr w14:val="tx1"/>
                  </w14:solidFill>
                </w14:textFill>
              </w:rPr>
              <w:t>磋商活动</w:t>
            </w:r>
            <w:r>
              <w:rPr>
                <w:rFonts w:hint="eastAsia" w:ascii="仿宋" w:hAnsi="仿宋" w:eastAsia="仿宋" w:cs="仿宋"/>
                <w:color w:val="000000" w:themeColor="text1"/>
                <w:sz w:val="24"/>
                <w:highlight w:val="none"/>
                <w14:textFill>
                  <w14:solidFill>
                    <w14:schemeClr w14:val="tx1"/>
                  </w14:solidFill>
                </w14:textFill>
              </w:rPr>
              <w:t>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500" w:lineRule="exact"/>
        <w:rPr>
          <w:rFonts w:hint="eastAsia" w:ascii="仿宋" w:hAnsi="仿宋" w:eastAsia="仿宋" w:cs="仿宋"/>
          <w:b/>
          <w:bCs/>
          <w:color w:val="000000" w:themeColor="text1"/>
          <w:sz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u w:val="none"/>
          <w14:textFill>
            <w14:solidFill>
              <w14:schemeClr w14:val="tx1"/>
            </w14:solidFill>
          </w14:textFill>
        </w:rPr>
      </w:pPr>
      <w:r>
        <w:rPr>
          <w:rFonts w:hint="eastAsia" w:ascii="仿宋" w:hAnsi="仿宋" w:eastAsia="仿宋" w:cs="仿宋"/>
          <w:b/>
          <w:color w:val="000000" w:themeColor="text1"/>
          <w:sz w:val="32"/>
          <w:szCs w:val="32"/>
          <w:highlight w:val="none"/>
          <w:u w:val="none"/>
          <w14:textFill>
            <w14:solidFill>
              <w14:schemeClr w14:val="tx1"/>
            </w14:solidFill>
          </w14:textFill>
        </w:rPr>
        <w:t>承诺书Ⅵ</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，本公司承诺：</w:t>
            </w:r>
            <w:r>
              <w:rPr>
                <w:rFonts w:hint="eastAsia" w:ascii="仿宋" w:hAnsi="仿宋" w:eastAsia="仿宋" w:cs="仿宋"/>
                <w:color w:val="000000" w:themeColor="text1"/>
                <w:sz w:val="24"/>
                <w:highlight w:val="none"/>
                <w:lang w:eastAsia="zh-CN"/>
                <w14:textFill>
                  <w14:solidFill>
                    <w14:schemeClr w14:val="tx1"/>
                  </w14:solidFill>
                </w14:textFill>
              </w:rPr>
              <w:t>我单位法人代表及主要负责人所在的公司在近三年内没有违法违规行为，</w:t>
            </w:r>
            <w:r>
              <w:rPr>
                <w:rFonts w:hint="eastAsia" w:ascii="仿宋" w:hAnsi="仿宋" w:eastAsia="仿宋" w:cs="仿宋"/>
                <w:color w:val="000000" w:themeColor="text1"/>
                <w:sz w:val="24"/>
                <w:highlight w:val="none"/>
                <w14:textFill>
                  <w14:solidFill>
                    <w14:schemeClr w14:val="tx1"/>
                  </w14:solidFill>
                </w14:textFill>
              </w:rPr>
              <w:t>如有</w:t>
            </w:r>
            <w:r>
              <w:rPr>
                <w:rFonts w:hint="eastAsia" w:ascii="仿宋" w:hAnsi="仿宋" w:eastAsia="仿宋" w:cs="仿宋"/>
                <w:color w:val="000000" w:themeColor="text1"/>
                <w:sz w:val="24"/>
                <w:highlight w:val="none"/>
                <w:lang w:eastAsia="zh-CN"/>
                <w14:textFill>
                  <w14:solidFill>
                    <w14:schemeClr w14:val="tx1"/>
                  </w14:solidFill>
                </w14:textFill>
              </w:rPr>
              <w:t>，我单位自愿放弃本次项目的磋商。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widowControl/>
        <w:spacing w:line="480" w:lineRule="exact"/>
        <w:ind w:firstLine="240" w:firstLineChars="100"/>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00" w:lineRule="exact"/>
        <w:ind w:firstLine="960" w:firstLineChars="400"/>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00" w:lineRule="exact"/>
        <w:ind w:firstLine="960" w:firstLineChars="400"/>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00" w:lineRule="exact"/>
        <w:ind w:firstLine="960" w:firstLineChars="400"/>
        <w:rPr>
          <w:rFonts w:hint="eastAsia" w:ascii="仿宋" w:hAnsi="仿宋" w:eastAsia="仿宋" w:cs="仿宋"/>
          <w:color w:val="000000" w:themeColor="text1"/>
          <w:kern w:val="0"/>
          <w:sz w:val="24"/>
          <w:highlight w:val="none"/>
          <w14:textFill>
            <w14:solidFill>
              <w14:schemeClr w14:val="tx1"/>
            </w14:solidFill>
          </w14:textFill>
        </w:rPr>
      </w:pPr>
    </w:p>
    <w:p>
      <w:pPr>
        <w:pStyle w:val="39"/>
        <w:ind w:firstLine="174" w:firstLineChars="62"/>
        <w:rPr>
          <w:rFonts w:hint="eastAsia"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br w:type="page"/>
      </w:r>
      <w:r>
        <w:rPr>
          <w:rFonts w:hint="eastAsia" w:ascii="仿宋" w:hAnsi="仿宋" w:eastAsia="仿宋" w:cs="仿宋"/>
          <w:b/>
          <w:bCs/>
          <w:color w:val="000000" w:themeColor="text1"/>
          <w:szCs w:val="28"/>
          <w:highlight w:val="none"/>
          <w14:textFill>
            <w14:solidFill>
              <w14:schemeClr w14:val="tx1"/>
            </w14:solidFill>
          </w14:textFill>
        </w:rPr>
        <w:t>1</w:t>
      </w:r>
      <w:r>
        <w:rPr>
          <w:rFonts w:hint="eastAsia" w:ascii="仿宋" w:hAnsi="仿宋" w:eastAsia="仿宋" w:cs="仿宋"/>
          <w:b/>
          <w:bCs/>
          <w:color w:val="000000" w:themeColor="text1"/>
          <w:szCs w:val="28"/>
          <w:highlight w:val="none"/>
          <w:lang w:val="en-US" w:eastAsia="zh-CN"/>
          <w14:textFill>
            <w14:solidFill>
              <w14:schemeClr w14:val="tx1"/>
            </w14:solidFill>
          </w14:textFill>
        </w:rPr>
        <w:t>3</w:t>
      </w:r>
      <w:r>
        <w:rPr>
          <w:rFonts w:hint="eastAsia" w:ascii="仿宋" w:hAnsi="仿宋" w:eastAsia="仿宋" w:cs="仿宋"/>
          <w:b/>
          <w:bCs/>
          <w:color w:val="000000" w:themeColor="text1"/>
          <w:szCs w:val="28"/>
          <w:highlight w:val="none"/>
          <w14:textFill>
            <w14:solidFill>
              <w14:schemeClr w14:val="tx1"/>
            </w14:solidFill>
          </w14:textFill>
        </w:rPr>
        <w:t>.《</w:t>
      </w:r>
      <w:r>
        <w:rPr>
          <w:rFonts w:hint="eastAsia" w:ascii="仿宋" w:hAnsi="仿宋" w:eastAsia="仿宋" w:cs="仿宋"/>
          <w:b/>
          <w:bCs/>
          <w:color w:val="000000" w:themeColor="text1"/>
          <w:szCs w:val="28"/>
          <w:highlight w:val="none"/>
          <w:lang w:eastAsia="zh-CN"/>
          <w14:textFill>
            <w14:solidFill>
              <w14:schemeClr w14:val="tx1"/>
            </w14:solidFill>
          </w14:textFill>
        </w:rPr>
        <w:t>中小</w:t>
      </w:r>
      <w:r>
        <w:rPr>
          <w:rFonts w:hint="eastAsia" w:ascii="仿宋" w:hAnsi="仿宋" w:eastAsia="仿宋" w:cs="仿宋"/>
          <w:b/>
          <w:bCs/>
          <w:color w:val="000000" w:themeColor="text1"/>
          <w:szCs w:val="28"/>
          <w:highlight w:val="none"/>
          <w14:textFill>
            <w14:solidFill>
              <w14:schemeClr w14:val="tx1"/>
            </w14:solidFill>
          </w14:textFill>
        </w:rPr>
        <w:t>企业声明函》</w:t>
      </w:r>
      <w:bookmarkStart w:id="94" w:name="OLE_LINK19"/>
    </w:p>
    <w:bookmarkEnd w:id="94"/>
    <w:p>
      <w:pPr>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中小企业声明函（服务）</w:t>
      </w:r>
    </w:p>
    <w:p>
      <w:pPr>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致：华招广和项目管理有限公司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本公司郑重声明，根据《政府采购促进中小企业发展管理办法》（财库﹝2020﹞46号）的规定，本公司参加</w:t>
      </w:r>
      <w:r>
        <w:rPr>
          <w:rFonts w:hint="eastAsia" w:ascii="仿宋" w:hAnsi="仿宋" w:eastAsia="仿宋" w:cs="仿宋"/>
          <w:i w:val="0"/>
          <w:iCs/>
          <w:color w:val="000000" w:themeColor="text1"/>
          <w:kern w:val="0"/>
          <w:sz w:val="24"/>
          <w:szCs w:val="24"/>
          <w:highlight w:val="none"/>
          <w:u w:val="single"/>
          <w:lang w:val="en-US" w:eastAsia="zh-CN" w:bidi="ar"/>
          <w14:textFill>
            <w14:solidFill>
              <w14:schemeClr w14:val="tx1"/>
            </w14:solidFill>
          </w14:textFill>
        </w:rPr>
        <w:t>（单位名称）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的</w:t>
      </w:r>
      <w:r>
        <w:rPr>
          <w:rFonts w:hint="eastAsia" w:ascii="仿宋" w:hAnsi="仿宋" w:eastAsia="仿宋" w:cs="仿宋"/>
          <w:i w:val="0"/>
          <w:iCs/>
          <w:color w:val="000000" w:themeColor="text1"/>
          <w:kern w:val="0"/>
          <w:sz w:val="24"/>
          <w:szCs w:val="24"/>
          <w:highlight w:val="none"/>
          <w:u w:val="single"/>
          <w:lang w:val="en-US" w:eastAsia="zh-CN" w:bidi="ar"/>
          <w14:textFill>
            <w14:solidFill>
              <w14:schemeClr w14:val="tx1"/>
            </w14:solidFill>
          </w14:textFill>
        </w:rPr>
        <w:t>（项目名称）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采购活动，工程的施工单位全部为符合政策要求的中小企业（或者：服务全部由符合政策要求的中小企业承接）。相关企业的具体情况如下：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（标的名称）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（采购文件中明确的所属行业）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行业；承建（承接）企业为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（企业名称）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人，营业收入为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万元，资产总额为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w:t>
      </w:r>
      <w:r>
        <w:rPr>
          <w:rFonts w:hint="eastAsia" w:ascii="仿宋" w:hAnsi="仿宋" w:eastAsia="仿宋" w:cs="仿宋"/>
          <w:i w:val="0"/>
          <w:iCs w:val="0"/>
          <w:color w:val="000000" w:themeColor="text1"/>
          <w:kern w:val="0"/>
          <w:sz w:val="24"/>
          <w:szCs w:val="24"/>
          <w:highlight w:val="none"/>
          <w:vertAlign w:val="superscript"/>
          <w:lang w:val="en-US" w:eastAsia="zh-CN" w:bidi="ar"/>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（中型企业、小型企业、微型企业）</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2.</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（标的名称）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（采购文件中明确的所属行业）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行业；承建（承接）企业为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（企业名称）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人，营业收入为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万元，资产总额为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（中型企业、小型企业、微型企业）</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企业名称（盖章）：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日 期：</w:t>
      </w:r>
    </w:p>
    <w:p>
      <w:pPr>
        <w:spacing w:line="480" w:lineRule="exact"/>
        <w:rPr>
          <w:rFonts w:hint="eastAsia" w:ascii="仿宋" w:hAnsi="仿宋" w:eastAsia="仿宋" w:cs="仿宋"/>
          <w:b w:val="0"/>
          <w:bCs/>
          <w:color w:val="000000" w:themeColor="text1"/>
          <w:sz w:val="44"/>
          <w:szCs w:val="44"/>
          <w:highlight w:val="none"/>
          <w:vertAlign w:val="superscript"/>
          <w:lang w:val="en-US" w:eastAsia="zh-CN"/>
          <w14:textFill>
            <w14:solidFill>
              <w14:schemeClr w14:val="tx1"/>
            </w14:solidFill>
          </w14:textFill>
        </w:rPr>
      </w:pPr>
    </w:p>
    <w:p>
      <w:pPr>
        <w:spacing w:line="480" w:lineRule="exact"/>
        <w:rPr>
          <w:rFonts w:hint="eastAsia" w:ascii="仿宋" w:hAnsi="仿宋" w:eastAsia="仿宋" w:cs="仿宋"/>
          <w:b w:val="0"/>
          <w:bCs/>
          <w:color w:val="000000" w:themeColor="text1"/>
          <w:sz w:val="44"/>
          <w:szCs w:val="44"/>
          <w:highlight w:val="none"/>
          <w:vertAlign w:val="superscript"/>
          <w:lang w:val="en-US" w:eastAsia="zh-CN"/>
          <w14:textFill>
            <w14:solidFill>
              <w14:schemeClr w14:val="tx1"/>
            </w14:solidFill>
          </w14:textFill>
        </w:rPr>
      </w:pPr>
      <w:r>
        <w:rPr>
          <w:rFonts w:hint="eastAsia" w:ascii="仿宋" w:hAnsi="仿宋" w:eastAsia="仿宋" w:cs="仿宋"/>
          <w:b w:val="0"/>
          <w:bCs/>
          <w:color w:val="000000" w:themeColor="text1"/>
          <w:sz w:val="44"/>
          <w:szCs w:val="44"/>
          <w:highlight w:val="none"/>
          <w:vertAlign w:val="superscript"/>
          <w:lang w:val="en-US" w:eastAsia="zh-CN"/>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从业人员、营业收入、资产总额填报上一年度数据，无上一年度数据的新成立企业可不填报。</w:t>
      </w:r>
    </w:p>
    <w:p>
      <w:pPr>
        <w:pStyle w:val="39"/>
        <w:ind w:firstLine="149" w:firstLineChars="62"/>
        <w:rPr>
          <w:rFonts w:hint="eastAsia"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br w:type="page"/>
      </w:r>
      <w:r>
        <w:rPr>
          <w:rFonts w:hint="eastAsia" w:ascii="仿宋" w:hAnsi="仿宋" w:eastAsia="仿宋" w:cs="仿宋"/>
          <w:b/>
          <w:bCs/>
          <w:color w:val="000000" w:themeColor="text1"/>
          <w:szCs w:val="28"/>
          <w:highlight w:val="none"/>
          <w14:textFill>
            <w14:solidFill>
              <w14:schemeClr w14:val="tx1"/>
            </w14:solidFill>
          </w14:textFill>
        </w:rPr>
        <w:t>1</w:t>
      </w:r>
      <w:r>
        <w:rPr>
          <w:rFonts w:hint="eastAsia" w:ascii="仿宋" w:hAnsi="仿宋" w:eastAsia="仿宋" w:cs="仿宋"/>
          <w:b/>
          <w:bCs/>
          <w:color w:val="000000" w:themeColor="text1"/>
          <w:szCs w:val="28"/>
          <w:highlight w:val="none"/>
          <w:lang w:val="en-US" w:eastAsia="zh-CN"/>
          <w14:textFill>
            <w14:solidFill>
              <w14:schemeClr w14:val="tx1"/>
            </w14:solidFill>
          </w14:textFill>
        </w:rPr>
        <w:t>4</w:t>
      </w:r>
      <w:r>
        <w:rPr>
          <w:rFonts w:hint="eastAsia" w:ascii="仿宋" w:hAnsi="仿宋" w:eastAsia="仿宋" w:cs="仿宋"/>
          <w:b/>
          <w:bCs/>
          <w:color w:val="000000" w:themeColor="text1"/>
          <w:szCs w:val="28"/>
          <w:highlight w:val="none"/>
          <w14:textFill>
            <w14:solidFill>
              <w14:schemeClr w14:val="tx1"/>
            </w14:solidFill>
          </w14:textFill>
        </w:rPr>
        <w:t>.《残疾人福利性单位声明函》</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（格式，若有）</w:t>
      </w:r>
    </w:p>
    <w:p>
      <w:pPr>
        <w:spacing w:line="588" w:lineRule="exact"/>
        <w:jc w:val="center"/>
        <w:rPr>
          <w:rFonts w:hint="eastAsia" w:ascii="仿宋" w:hAnsi="仿宋" w:eastAsia="仿宋" w:cs="仿宋"/>
          <w:b/>
          <w:color w:val="000000" w:themeColor="text1"/>
          <w:spacing w:val="6"/>
          <w:sz w:val="24"/>
          <w:szCs w:val="24"/>
          <w:highlight w:val="none"/>
          <w14:textFill>
            <w14:solidFill>
              <w14:schemeClr w14:val="tx1"/>
            </w14:solidFill>
          </w14:textFill>
        </w:rPr>
      </w:pPr>
    </w:p>
    <w:p>
      <w:pPr>
        <w:spacing w:line="588" w:lineRule="exact"/>
        <w:jc w:val="center"/>
        <w:rPr>
          <w:rFonts w:hint="eastAsia" w:ascii="仿宋" w:hAnsi="仿宋" w:eastAsia="仿宋" w:cs="仿宋"/>
          <w:b/>
          <w:color w:val="000000" w:themeColor="text1"/>
          <w:spacing w:val="6"/>
          <w:sz w:val="24"/>
          <w:szCs w:val="24"/>
          <w:highlight w:val="none"/>
          <w14:textFill>
            <w14:solidFill>
              <w14:schemeClr w14:val="tx1"/>
            </w14:solidFill>
          </w14:textFill>
        </w:rPr>
      </w:pPr>
      <w:r>
        <w:rPr>
          <w:rFonts w:hint="eastAsia" w:ascii="仿宋" w:hAnsi="仿宋" w:eastAsia="仿宋" w:cs="仿宋"/>
          <w:b/>
          <w:color w:val="000000" w:themeColor="text1"/>
          <w:spacing w:val="6"/>
          <w:sz w:val="24"/>
          <w:szCs w:val="24"/>
          <w:highlight w:val="none"/>
          <w14:textFill>
            <w14:solidFill>
              <w14:schemeClr w14:val="tx1"/>
            </w14:solidFill>
          </w14:textFill>
        </w:rPr>
        <w:t>残疾人福利性单位声明函</w:t>
      </w:r>
      <w:r>
        <w:rPr>
          <w:rFonts w:hint="eastAsia" w:ascii="仿宋" w:hAnsi="仿宋" w:eastAsia="仿宋" w:cs="仿宋"/>
          <w:b/>
          <w:color w:val="000000" w:themeColor="text1"/>
          <w:spacing w:val="6"/>
          <w:sz w:val="18"/>
          <w:szCs w:val="18"/>
          <w:highlight w:val="none"/>
          <w:lang w:val="zh-CN"/>
          <w14:textFill>
            <w14:solidFill>
              <w14:schemeClr w14:val="tx1"/>
            </w14:solidFill>
          </w14:textFill>
        </w:rPr>
        <w:t>（非</w:t>
      </w:r>
      <w:r>
        <w:rPr>
          <w:rFonts w:hint="eastAsia" w:ascii="仿宋" w:hAnsi="仿宋" w:eastAsia="仿宋" w:cs="仿宋"/>
          <w:b/>
          <w:color w:val="000000" w:themeColor="text1"/>
          <w:spacing w:val="6"/>
          <w:sz w:val="18"/>
          <w:szCs w:val="18"/>
          <w:highlight w:val="none"/>
          <w14:textFill>
            <w14:solidFill>
              <w14:schemeClr w14:val="tx1"/>
            </w14:solidFill>
          </w14:textFill>
        </w:rPr>
        <w:t>残疾人福利企业</w:t>
      </w:r>
      <w:r>
        <w:rPr>
          <w:rFonts w:hint="eastAsia" w:ascii="仿宋" w:hAnsi="仿宋" w:eastAsia="仿宋" w:cs="仿宋"/>
          <w:b/>
          <w:color w:val="000000" w:themeColor="text1"/>
          <w:spacing w:val="6"/>
          <w:sz w:val="18"/>
          <w:szCs w:val="18"/>
          <w:highlight w:val="none"/>
          <w:lang w:val="zh-CN"/>
          <w14:textFill>
            <w14:solidFill>
              <w14:schemeClr w14:val="tx1"/>
            </w14:solidFill>
          </w14:textFill>
        </w:rPr>
        <w:t>不</w:t>
      </w:r>
      <w:r>
        <w:rPr>
          <w:rFonts w:hint="eastAsia" w:ascii="仿宋" w:hAnsi="仿宋" w:eastAsia="仿宋" w:cs="仿宋"/>
          <w:b/>
          <w:color w:val="000000" w:themeColor="text1"/>
          <w:spacing w:val="6"/>
          <w:sz w:val="18"/>
          <w:szCs w:val="18"/>
          <w:highlight w:val="none"/>
          <w14:textFill>
            <w14:solidFill>
              <w14:schemeClr w14:val="tx1"/>
            </w14:solidFill>
          </w14:textFill>
        </w:rPr>
        <w:t>填写</w:t>
      </w:r>
      <w:r>
        <w:rPr>
          <w:rFonts w:hint="eastAsia" w:ascii="仿宋" w:hAnsi="仿宋" w:eastAsia="仿宋" w:cs="仿宋"/>
          <w:b/>
          <w:color w:val="000000" w:themeColor="text1"/>
          <w:spacing w:val="6"/>
          <w:sz w:val="18"/>
          <w:szCs w:val="18"/>
          <w:highlight w:val="none"/>
          <w:lang w:val="zh-CN"/>
          <w14:textFill>
            <w14:solidFill>
              <w14:schemeClr w14:val="tx1"/>
            </w14:solidFill>
          </w14:textFill>
        </w:rPr>
        <w:t>）</w:t>
      </w:r>
    </w:p>
    <w:p>
      <w:pPr>
        <w:spacing w:line="588" w:lineRule="exact"/>
        <w:rPr>
          <w:rFonts w:hint="eastAsia" w:ascii="仿宋" w:hAnsi="仿宋" w:eastAsia="仿宋" w:cs="仿宋"/>
          <w:b/>
          <w:color w:val="000000" w:themeColor="text1"/>
          <w:spacing w:val="6"/>
          <w:sz w:val="24"/>
          <w:szCs w:val="24"/>
          <w:highlight w:val="none"/>
          <w14:textFill>
            <w14:solidFill>
              <w14:schemeClr w14:val="tx1"/>
            </w14:solidFill>
          </w14:textFill>
        </w:rPr>
      </w:pP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仿宋" w:hAnsi="仿宋" w:eastAsia="仿宋" w:cs="仿宋"/>
          <w:color w:val="000000" w:themeColor="text1"/>
          <w:sz w:val="24"/>
          <w:szCs w:val="24"/>
          <w:highlight w:val="none"/>
          <w14:textFill>
            <w14:solidFill>
              <w14:schemeClr w14:val="tx1"/>
            </w14:solidFill>
          </w14:textFill>
        </w:rPr>
        <w:t>〔2017〕 141</w:t>
      </w:r>
      <w:r>
        <w:rPr>
          <w:rFonts w:hint="eastAsia" w:ascii="仿宋" w:hAnsi="仿宋" w:eastAsia="仿宋" w:cs="仿宋"/>
          <w:color w:val="000000" w:themeColor="text1"/>
          <w:spacing w:val="6"/>
          <w:sz w:val="24"/>
          <w:szCs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本单位对上述声明的真实性负责。如有虚假，将依法承担相应责任。</w:t>
      </w: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p>
    <w:p>
      <w:pPr>
        <w:tabs>
          <w:tab w:val="left" w:pos="4860"/>
        </w:tabs>
        <w:spacing w:line="588" w:lineRule="exact"/>
        <w:ind w:right="1560" w:firstLine="504" w:firstLineChars="200"/>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 xml:space="preserve">                                  单位名称（盖章）：</w:t>
      </w:r>
    </w:p>
    <w:p>
      <w:pPr>
        <w:tabs>
          <w:tab w:val="left" w:pos="4860"/>
        </w:tabs>
        <w:spacing w:line="588" w:lineRule="exact"/>
        <w:ind w:right="1560" w:firstLine="504" w:firstLineChars="200"/>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 xml:space="preserve">                         日  期：</w:t>
      </w: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360" w:lineRule="auto"/>
        <w:ind w:firstLine="422" w:firstLineChars="200"/>
        <w:rPr>
          <w:rFonts w:ascii="仿宋" w:hAnsi="仿宋" w:eastAsia="仿宋" w:cs="仿宋"/>
          <w:b/>
          <w:kern w:val="0"/>
          <w:sz w:val="21"/>
          <w:szCs w:val="20"/>
          <w:highlight w:val="none"/>
          <w:lang w:val="zh-CN"/>
        </w:rPr>
      </w:pPr>
      <w:r>
        <w:rPr>
          <w:rFonts w:hint="eastAsia" w:ascii="仿宋" w:hAnsi="仿宋" w:eastAsia="仿宋" w:cs="仿宋"/>
          <w:b/>
          <w:kern w:val="0"/>
          <w:sz w:val="21"/>
          <w:szCs w:val="20"/>
          <w:highlight w:val="none"/>
          <w:lang w:val="zh-CN"/>
        </w:rPr>
        <w:t>备注：</w:t>
      </w:r>
      <w:r>
        <w:rPr>
          <w:rFonts w:hint="eastAsia" w:ascii="仿宋" w:hAnsi="仿宋" w:eastAsia="仿宋" w:cs="仿宋"/>
          <w:b/>
          <w:kern w:val="0"/>
          <w:sz w:val="21"/>
          <w:szCs w:val="20"/>
          <w:highlight w:val="none"/>
          <w:lang w:val="en-US" w:eastAsia="zh-CN"/>
        </w:rPr>
        <w:t>供应商</w:t>
      </w:r>
      <w:r>
        <w:rPr>
          <w:rFonts w:hint="eastAsia" w:ascii="仿宋" w:hAnsi="仿宋" w:eastAsia="仿宋" w:cs="仿宋"/>
          <w:b/>
          <w:kern w:val="0"/>
          <w:sz w:val="21"/>
          <w:szCs w:val="20"/>
          <w:highlight w:val="none"/>
          <w:lang w:val="zh-CN"/>
        </w:rPr>
        <w:t>提供的《残疾人福利性单位声明函》必须真实有效，如果被举报经查实出具虚假声明函的，将被取消投标资格，并按有关规定予以处理。</w:t>
      </w:r>
    </w:p>
    <w:p>
      <w:pPr>
        <w:pStyle w:val="15"/>
        <w:rPr>
          <w:rFonts w:hint="eastAsia" w:ascii="仿宋" w:hAnsi="仿宋" w:eastAsia="仿宋" w:cs="仿宋"/>
          <w:color w:val="000000" w:themeColor="text1"/>
          <w:kern w:val="0"/>
          <w:sz w:val="28"/>
          <w:szCs w:val="28"/>
          <w:highlight w:val="none"/>
          <w14:textFill>
            <w14:solidFill>
              <w14:schemeClr w14:val="tx1"/>
            </w14:solidFill>
          </w14:textFill>
        </w:rPr>
      </w:pPr>
    </w:p>
    <w:p>
      <w:pPr>
        <w:pStyle w:val="15"/>
        <w:rPr>
          <w:rFonts w:hint="eastAsia" w:ascii="仿宋" w:hAnsi="仿宋" w:eastAsia="仿宋" w:cs="仿宋"/>
          <w:color w:val="000000" w:themeColor="text1"/>
          <w:kern w:val="0"/>
          <w:sz w:val="28"/>
          <w:szCs w:val="28"/>
          <w:highlight w:val="none"/>
          <w14:textFill>
            <w14:solidFill>
              <w14:schemeClr w14:val="tx1"/>
            </w14:solidFill>
          </w14:textFill>
        </w:rPr>
      </w:pPr>
    </w:p>
    <w:p>
      <w:pPr>
        <w:pStyle w:val="15"/>
        <w:rPr>
          <w:rFonts w:hint="eastAsia" w:ascii="仿宋" w:hAnsi="仿宋" w:eastAsia="仿宋" w:cs="仿宋"/>
          <w:color w:val="000000" w:themeColor="text1"/>
          <w:kern w:val="0"/>
          <w:sz w:val="28"/>
          <w:szCs w:val="28"/>
          <w:highlight w:val="none"/>
          <w14:textFill>
            <w14:solidFill>
              <w14:schemeClr w14:val="tx1"/>
            </w14:solidFill>
          </w14:textFill>
        </w:rPr>
      </w:pPr>
    </w:p>
    <w:p>
      <w:pPr>
        <w:pStyle w:val="15"/>
        <w:rPr>
          <w:rFonts w:hint="eastAsia" w:ascii="仿宋" w:hAnsi="仿宋" w:eastAsia="仿宋" w:cs="仿宋"/>
          <w:color w:val="000000" w:themeColor="text1"/>
          <w:kern w:val="0"/>
          <w:sz w:val="28"/>
          <w:szCs w:val="28"/>
          <w:highlight w:val="none"/>
          <w14:textFill>
            <w14:solidFill>
              <w14:schemeClr w14:val="tx1"/>
            </w14:solidFill>
          </w14:textFill>
        </w:rPr>
      </w:pPr>
    </w:p>
    <w:p>
      <w:pPr>
        <w:pStyle w:val="15"/>
        <w:rPr>
          <w:rFonts w:hint="eastAsia" w:ascii="仿宋" w:hAnsi="仿宋" w:eastAsia="仿宋" w:cs="仿宋"/>
          <w:color w:val="000000" w:themeColor="text1"/>
          <w:kern w:val="0"/>
          <w:sz w:val="28"/>
          <w:szCs w:val="28"/>
          <w:highlight w:val="none"/>
          <w14:textFill>
            <w14:solidFill>
              <w14:schemeClr w14:val="tx1"/>
            </w14:solidFill>
          </w14:textFill>
        </w:rPr>
      </w:pPr>
    </w:p>
    <w:p>
      <w:pPr>
        <w:pStyle w:val="15"/>
        <w:rPr>
          <w:rFonts w:hint="eastAsia" w:ascii="仿宋" w:hAnsi="仿宋" w:eastAsia="仿宋" w:cs="仿宋"/>
          <w:color w:val="000000" w:themeColor="text1"/>
          <w:kern w:val="0"/>
          <w:sz w:val="28"/>
          <w:szCs w:val="28"/>
          <w:highlight w:val="none"/>
          <w14:textFill>
            <w14:solidFill>
              <w14:schemeClr w14:val="tx1"/>
            </w14:solidFill>
          </w14:textFill>
        </w:rPr>
      </w:pPr>
    </w:p>
    <w:p>
      <w:pPr>
        <w:pStyle w:val="15"/>
        <w:rPr>
          <w:rFonts w:hint="eastAsia" w:ascii="仿宋" w:hAnsi="仿宋" w:eastAsia="仿宋" w:cs="仿宋"/>
          <w:color w:val="000000" w:themeColor="text1"/>
          <w:kern w:val="0"/>
          <w:sz w:val="28"/>
          <w:szCs w:val="28"/>
          <w:highlight w:val="none"/>
          <w14:textFill>
            <w14:solidFill>
              <w14:schemeClr w14:val="tx1"/>
            </w14:solidFill>
          </w14:textFill>
        </w:rPr>
      </w:pPr>
    </w:p>
    <w:p>
      <w:pPr>
        <w:pStyle w:val="15"/>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br w:type="page"/>
      </w:r>
    </w:p>
    <w:p>
      <w:pPr>
        <w:pStyle w:val="39"/>
        <w:pageBreakBefore w:val="0"/>
        <w:bidi w:val="0"/>
        <w:spacing w:line="560" w:lineRule="exact"/>
        <w:ind w:left="0" w:leftChars="0" w:firstLine="0" w:firstLineChars="0"/>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Cs w:val="28"/>
          <w:highlight w:val="none"/>
          <w:lang w:val="en-US" w:eastAsia="zh-CN"/>
          <w14:textFill>
            <w14:solidFill>
              <w14:schemeClr w14:val="tx1"/>
            </w14:solidFill>
          </w14:textFill>
        </w:rPr>
        <w:t>15.</w:t>
      </w:r>
      <w:r>
        <w:rPr>
          <w:rFonts w:hint="eastAsia" w:ascii="仿宋" w:hAnsi="仿宋" w:eastAsia="仿宋" w:cs="仿宋"/>
          <w:b/>
          <w:bCs/>
          <w:color w:val="000000" w:themeColor="text1"/>
          <w:szCs w:val="28"/>
          <w:highlight w:val="none"/>
          <w14:textFill>
            <w14:solidFill>
              <w14:schemeClr w14:val="tx1"/>
            </w14:solidFill>
          </w14:textFill>
        </w:rPr>
        <w:t>《</w:t>
      </w:r>
      <w:r>
        <w:rPr>
          <w:rFonts w:hint="eastAsia" w:ascii="仿宋" w:hAnsi="仿宋" w:eastAsia="仿宋" w:cs="仿宋"/>
          <w:b/>
          <w:bCs/>
          <w:color w:val="000000" w:themeColor="text1"/>
          <w:szCs w:val="28"/>
          <w:highlight w:val="none"/>
          <w:lang w:eastAsia="zh-CN"/>
          <w14:textFill>
            <w14:solidFill>
              <w14:schemeClr w14:val="tx1"/>
            </w14:solidFill>
          </w14:textFill>
        </w:rPr>
        <w:t>监狱、戒毒企业</w:t>
      </w:r>
      <w:r>
        <w:rPr>
          <w:rFonts w:hint="eastAsia" w:ascii="仿宋" w:hAnsi="仿宋" w:eastAsia="仿宋" w:cs="仿宋"/>
          <w:b/>
          <w:bCs/>
          <w:color w:val="000000" w:themeColor="text1"/>
          <w:szCs w:val="28"/>
          <w:highlight w:val="none"/>
          <w14:textFill>
            <w14:solidFill>
              <w14:schemeClr w14:val="tx1"/>
            </w14:solidFill>
          </w14:textFill>
        </w:rPr>
        <w:t>声明函》</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格式，若有</w:t>
      </w:r>
      <w:r>
        <w:rPr>
          <w:rFonts w:hint="eastAsia" w:ascii="仿宋" w:hAnsi="仿宋" w:eastAsia="仿宋" w:cs="仿宋"/>
          <w:b w:val="0"/>
          <w:bCs w:val="0"/>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640" w:lineRule="exact"/>
        <w:ind w:firstLine="1687" w:firstLineChars="600"/>
        <w:textAlignment w:val="auto"/>
        <w:rPr>
          <w:rFonts w:hint="eastAsia" w:ascii="仿宋" w:hAnsi="仿宋" w:eastAsia="仿宋" w:cs="仿宋"/>
          <w:b/>
          <w:color w:val="000000" w:themeColor="text1"/>
          <w:kern w:val="0"/>
          <w:sz w:val="28"/>
          <w:szCs w:val="28"/>
          <w:highlight w:val="none"/>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40" w:lineRule="exact"/>
        <w:ind w:firstLine="1687" w:firstLineChars="600"/>
        <w:textAlignment w:val="auto"/>
        <w:rPr>
          <w:rFonts w:hint="eastAsia" w:ascii="仿宋" w:hAnsi="仿宋" w:eastAsia="仿宋" w:cs="仿宋"/>
          <w:b/>
          <w:strike w:val="0"/>
          <w:dstrike w:val="0"/>
          <w:color w:val="000000" w:themeColor="text1"/>
          <w:spacing w:val="6"/>
          <w:sz w:val="21"/>
          <w:szCs w:val="21"/>
          <w:highlight w:val="none"/>
          <w:u w:val="double"/>
          <w:lang w:val="zh-CN"/>
          <w14:textFill>
            <w14:solidFill>
              <w14:schemeClr w14:val="tx1"/>
            </w14:solidFill>
          </w14:textFill>
        </w:rPr>
      </w:pPr>
      <w:r>
        <w:rPr>
          <w:rFonts w:hint="eastAsia" w:ascii="仿宋" w:hAnsi="仿宋" w:eastAsia="仿宋" w:cs="仿宋"/>
          <w:b/>
          <w:color w:val="000000" w:themeColor="text1"/>
          <w:kern w:val="0"/>
          <w:sz w:val="28"/>
          <w:szCs w:val="28"/>
          <w:highlight w:val="none"/>
          <w:lang w:val="zh-CN"/>
          <w14:textFill>
            <w14:solidFill>
              <w14:schemeClr w14:val="tx1"/>
            </w14:solidFill>
          </w14:textFill>
        </w:rPr>
        <w:t>监狱、戒毒企业声明函</w:t>
      </w:r>
      <w:r>
        <w:rPr>
          <w:rFonts w:hint="eastAsia" w:ascii="仿宋" w:hAnsi="仿宋" w:eastAsia="仿宋" w:cs="仿宋"/>
          <w:b/>
          <w:strike w:val="0"/>
          <w:dstrike w:val="0"/>
          <w:color w:val="000000" w:themeColor="text1"/>
          <w:spacing w:val="6"/>
          <w:sz w:val="18"/>
          <w:szCs w:val="18"/>
          <w:highlight w:val="none"/>
          <w:u w:val="none"/>
          <w:lang w:val="zh-CN"/>
          <w14:textFill>
            <w14:solidFill>
              <w14:schemeClr w14:val="tx1"/>
            </w14:solidFill>
          </w14:textFill>
        </w:rPr>
        <w:t>（非监狱、戒毒企业不填写）</w:t>
      </w:r>
    </w:p>
    <w:p>
      <w:pPr>
        <w:keepNext w:val="0"/>
        <w:keepLines w:val="0"/>
        <w:pageBreakBefore w:val="0"/>
        <w:widowControl w:val="0"/>
        <w:kinsoku/>
        <w:wordWrap/>
        <w:overflowPunct/>
        <w:topLinePunct w:val="0"/>
        <w:autoSpaceDE/>
        <w:autoSpaceDN/>
        <w:bidi w:val="0"/>
        <w:adjustRightInd/>
        <w:spacing w:line="640" w:lineRule="exact"/>
        <w:ind w:firstLine="444" w:firstLineChars="200"/>
        <w:textAlignment w:val="auto"/>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本单位郑重声明，根据《</w:t>
      </w:r>
      <w:r>
        <w:rPr>
          <w:rFonts w:hint="eastAsia" w:ascii="仿宋" w:hAnsi="仿宋" w:eastAsia="仿宋" w:cs="仿宋"/>
          <w:color w:val="000000" w:themeColor="text1"/>
          <w:spacing w:val="-4"/>
          <w:kern w:val="0"/>
          <w:sz w:val="24"/>
          <w:highlight w:val="none"/>
          <w14:textFill>
            <w14:solidFill>
              <w14:schemeClr w14:val="tx1"/>
            </w14:solidFill>
          </w14:textFill>
        </w:rPr>
        <w:t>财政部 司法部 关于政府采购支持监狱企业发展有关问题的通知</w:t>
      </w:r>
      <w:r>
        <w:rPr>
          <w:rFonts w:hint="eastAsia" w:ascii="仿宋" w:hAnsi="仿宋" w:eastAsia="仿宋" w:cs="仿宋"/>
          <w:color w:val="000000" w:themeColor="text1"/>
          <w:sz w:val="24"/>
          <w:highlight w:val="none"/>
          <w14:textFill>
            <w14:solidFill>
              <w14:schemeClr w14:val="tx1"/>
            </w14:solidFill>
          </w14:textFill>
        </w:rPr>
        <w:t>》（财库〔2014〕68号）的规定，本单位为符合条件的监狱、戒毒企业，且本单位参加的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项目采购活动提供本单位制造的货物（由本单位承担工程/提供服务），或者提供其他监狱、戒毒企业制造的货物（不包括使用非监狱、戒毒企业注册商标的货物）。</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tabs>
          <w:tab w:val="left" w:pos="4860"/>
          <w:tab w:val="left" w:pos="8040"/>
          <w:tab w:val="left" w:pos="8160"/>
        </w:tabs>
        <w:kinsoku/>
        <w:wordWrap/>
        <w:overflowPunct/>
        <w:topLinePunct w:val="0"/>
        <w:autoSpaceDE/>
        <w:autoSpaceDN/>
        <w:bidi w:val="0"/>
        <w:adjustRightInd/>
        <w:spacing w:line="640" w:lineRule="exact"/>
        <w:ind w:right="862" w:firstLine="480" w:firstLineChars="200"/>
        <w:jc w:val="center"/>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全称（公章）：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tabs>
          <w:tab w:val="left" w:pos="4860"/>
        </w:tabs>
        <w:kinsoku/>
        <w:wordWrap/>
        <w:overflowPunct/>
        <w:topLinePunct w:val="0"/>
        <w:autoSpaceDE/>
        <w:autoSpaceDN/>
        <w:bidi w:val="0"/>
        <w:adjustRightInd/>
        <w:spacing w:line="640" w:lineRule="exact"/>
        <w:ind w:right="1560" w:firstLine="480" w:firstLineChars="200"/>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日  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pStyle w:val="15"/>
        <w:rPr>
          <w:rFonts w:hint="eastAsia" w:ascii="仿宋" w:hAnsi="仿宋" w:eastAsia="仿宋" w:cs="仿宋"/>
          <w:color w:val="000000" w:themeColor="text1"/>
          <w:kern w:val="0"/>
          <w:sz w:val="28"/>
          <w:szCs w:val="28"/>
          <w:highlight w:val="none"/>
          <w14:textFill>
            <w14:solidFill>
              <w14:schemeClr w14:val="tx1"/>
            </w14:solidFill>
          </w14:textFill>
        </w:rPr>
      </w:pPr>
    </w:p>
    <w:p>
      <w:pPr>
        <w:pStyle w:val="15"/>
        <w:rPr>
          <w:rFonts w:hint="eastAsia" w:ascii="仿宋" w:hAnsi="仿宋" w:eastAsia="仿宋" w:cs="仿宋"/>
          <w:color w:val="000000" w:themeColor="text1"/>
          <w:kern w:val="0"/>
          <w:sz w:val="28"/>
          <w:szCs w:val="28"/>
          <w:highlight w:val="none"/>
          <w14:textFill>
            <w14:solidFill>
              <w14:schemeClr w14:val="tx1"/>
            </w14:solidFill>
          </w14:textFill>
        </w:rPr>
      </w:pPr>
    </w:p>
    <w:p>
      <w:pPr>
        <w:pStyle w:val="15"/>
        <w:rPr>
          <w:rFonts w:hint="eastAsia" w:ascii="仿宋" w:hAnsi="仿宋" w:eastAsia="仿宋" w:cs="仿宋"/>
          <w:color w:val="000000" w:themeColor="text1"/>
          <w:kern w:val="0"/>
          <w:sz w:val="28"/>
          <w:szCs w:val="28"/>
          <w:highlight w:val="none"/>
          <w14:textFill>
            <w14:solidFill>
              <w14:schemeClr w14:val="tx1"/>
            </w14:solidFill>
          </w14:textFill>
        </w:rPr>
      </w:pPr>
    </w:p>
    <w:p>
      <w:pPr>
        <w:pStyle w:val="15"/>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b/>
          <w:bCs w:val="0"/>
          <w:color w:val="000000" w:themeColor="text1"/>
          <w:kern w:val="0"/>
          <w:sz w:val="21"/>
          <w:szCs w:val="20"/>
          <w:highlight w:val="none"/>
          <w:lang w:val="zh-CN"/>
          <w14:textFill>
            <w14:solidFill>
              <w14:schemeClr w14:val="tx1"/>
            </w14:solidFill>
          </w14:textFill>
        </w:rPr>
        <w:t>备注：供应商提供的《</w:t>
      </w:r>
      <w:r>
        <w:rPr>
          <w:rFonts w:hint="eastAsia" w:ascii="仿宋" w:hAnsi="仿宋" w:eastAsia="仿宋" w:cs="仿宋"/>
          <w:b/>
          <w:bCs w:val="0"/>
          <w:color w:val="000000" w:themeColor="text1"/>
          <w:sz w:val="21"/>
          <w:szCs w:val="20"/>
          <w:highlight w:val="none"/>
          <w14:textFill>
            <w14:solidFill>
              <w14:schemeClr w14:val="tx1"/>
            </w14:solidFill>
          </w14:textFill>
        </w:rPr>
        <w:t>监狱、戒毒企业</w:t>
      </w:r>
      <w:r>
        <w:rPr>
          <w:rFonts w:hint="eastAsia" w:ascii="仿宋" w:hAnsi="仿宋" w:eastAsia="仿宋" w:cs="仿宋"/>
          <w:b/>
          <w:bCs w:val="0"/>
          <w:color w:val="000000" w:themeColor="text1"/>
          <w:kern w:val="0"/>
          <w:sz w:val="21"/>
          <w:szCs w:val="20"/>
          <w:highlight w:val="none"/>
          <w:lang w:val="zh-CN"/>
          <w14:textFill>
            <w14:solidFill>
              <w14:schemeClr w14:val="tx1"/>
            </w14:solidFill>
          </w14:textFill>
        </w:rPr>
        <w:t>声明函》必须真实有效，供应商</w:t>
      </w:r>
      <w:r>
        <w:rPr>
          <w:rFonts w:hint="eastAsia" w:ascii="仿宋" w:hAnsi="仿宋" w:eastAsia="仿宋" w:cs="仿宋"/>
          <w:b/>
          <w:bCs w:val="0"/>
          <w:color w:val="000000" w:themeColor="text1"/>
          <w:sz w:val="21"/>
          <w:szCs w:val="20"/>
          <w:highlight w:val="none"/>
          <w14:textFill>
            <w14:solidFill>
              <w14:schemeClr w14:val="tx1"/>
            </w14:solidFill>
          </w14:textFill>
        </w:rPr>
        <w:t>应当提供由省级以上监狱管理局、戒毒管理局(含新疆生产建设兵团)出具的属于监狱企业的证明文件。</w:t>
      </w:r>
    </w:p>
    <w:p>
      <w:pPr>
        <w:pStyle w:val="15"/>
        <w:rPr>
          <w:rFonts w:hint="eastAsia" w:ascii="仿宋" w:hAnsi="仿宋" w:eastAsia="仿宋" w:cs="仿宋"/>
          <w:color w:val="000000" w:themeColor="text1"/>
          <w:kern w:val="0"/>
          <w:sz w:val="28"/>
          <w:szCs w:val="28"/>
          <w:highlight w:val="none"/>
          <w14:textFill>
            <w14:solidFill>
              <w14:schemeClr w14:val="tx1"/>
            </w14:solidFill>
          </w14:textFill>
        </w:rPr>
      </w:pPr>
    </w:p>
    <w:p>
      <w:pPr>
        <w:pStyle w:val="15"/>
        <w:rPr>
          <w:rFonts w:hint="eastAsia" w:ascii="仿宋" w:hAnsi="仿宋" w:eastAsia="仿宋" w:cs="仿宋"/>
          <w:color w:val="000000" w:themeColor="text1"/>
          <w:kern w:val="0"/>
          <w:sz w:val="28"/>
          <w:szCs w:val="28"/>
          <w:highlight w:val="none"/>
          <w14:textFill>
            <w14:solidFill>
              <w14:schemeClr w14:val="tx1"/>
            </w14:solidFill>
          </w14:textFill>
        </w:rPr>
      </w:pPr>
    </w:p>
    <w:p>
      <w:pPr>
        <w:pStyle w:val="39"/>
        <w:spacing w:line="560" w:lineRule="exact"/>
        <w:ind w:firstLine="0" w:firstLineChars="0"/>
        <w:jc w:val="both"/>
        <w:rPr>
          <w:rFonts w:hint="eastAsia"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br w:type="page"/>
      </w:r>
    </w:p>
    <w:p>
      <w:pPr>
        <w:rPr>
          <w:rFonts w:hint="eastAsia" w:ascii="仿宋" w:hAnsi="仿宋" w:eastAsia="仿宋" w:cs="仿宋"/>
          <w:color w:val="000000" w:themeColor="text1"/>
          <w:highlight w:val="none"/>
          <w14:textFill>
            <w14:solidFill>
              <w14:schemeClr w14:val="tx1"/>
            </w14:solidFill>
          </w14:textFill>
        </w:rPr>
      </w:pPr>
    </w:p>
    <w:p>
      <w:pPr>
        <w:spacing w:line="46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竞争性磋商响应</w:t>
      </w:r>
      <w:r>
        <w:rPr>
          <w:rFonts w:hint="eastAsia" w:ascii="仿宋" w:hAnsi="仿宋" w:eastAsia="仿宋" w:cs="仿宋"/>
          <w:b/>
          <w:color w:val="000000" w:themeColor="text1"/>
          <w:sz w:val="24"/>
          <w:highlight w:val="none"/>
          <w14:textFill>
            <w14:solidFill>
              <w14:schemeClr w14:val="tx1"/>
            </w14:solidFill>
          </w14:textFill>
        </w:rPr>
        <w:t>文件封袋正面标识式样</w:t>
      </w:r>
    </w:p>
    <w:p>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144145</wp:posOffset>
                </wp:positionH>
                <wp:positionV relativeFrom="paragraph">
                  <wp:posOffset>157480</wp:posOffset>
                </wp:positionV>
                <wp:extent cx="5678805" cy="7706360"/>
                <wp:effectExtent l="5080" t="4445" r="12065" b="23495"/>
                <wp:wrapNone/>
                <wp:docPr id="5" name="文本框 5"/>
                <wp:cNvGraphicFramePr/>
                <a:graphic xmlns:a="http://schemas.openxmlformats.org/drawingml/2006/main">
                  <a:graphicData uri="http://schemas.microsoft.com/office/word/2010/wordprocessingShape">
                    <wps:wsp>
                      <wps:cNvSpPr txBox="1"/>
                      <wps:spPr>
                        <a:xfrm>
                          <a:off x="0" y="0"/>
                          <a:ext cx="5678805" cy="7706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pStyle w:val="2"/>
                              <w:rPr>
                                <w:rFonts w:hint="eastAsia"/>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lang w:eastAsia="zh-CN"/>
                              </w:rPr>
                              <w:t>竞争性磋商响应</w:t>
                            </w:r>
                            <w:r>
                              <w:rPr>
                                <w:rFonts w:hint="eastAsia" w:ascii="仿宋" w:hAnsi="仿宋" w:eastAsia="仿宋" w:cs="仿宋"/>
                                <w:b/>
                                <w:sz w:val="44"/>
                                <w:szCs w:val="44"/>
                              </w:rPr>
                              <w:t>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2"/>
                              <w:jc w:val="center"/>
                              <w:rPr>
                                <w:rFonts w:hint="eastAsia" w:ascii="仿宋" w:hAnsi="仿宋" w:eastAsia="仿宋" w:cs="仿宋"/>
                                <w:color w:val="auto"/>
                              </w:rPr>
                            </w:pPr>
                          </w:p>
                          <w:p>
                            <w:pPr>
                              <w:pStyle w:val="2"/>
                              <w:jc w:val="center"/>
                              <w:rPr>
                                <w:rFonts w:hint="eastAsia" w:ascii="仿宋" w:hAnsi="仿宋" w:eastAsia="仿宋" w:cs="仿宋"/>
                                <w:color w:val="auto"/>
                              </w:rPr>
                            </w:pPr>
                          </w:p>
                          <w:p>
                            <w:pPr>
                              <w:rPr>
                                <w:rFonts w:hint="eastAsia" w:ascii="仿宋" w:hAnsi="仿宋" w:eastAsia="仿宋" w:cs="仿宋"/>
                                <w:color w:val="auto"/>
                              </w:rPr>
                            </w:pPr>
                          </w:p>
                          <w:p>
                            <w:pPr>
                              <w:pStyle w:val="2"/>
                              <w:rPr>
                                <w:rFonts w:hint="eastAsia"/>
                              </w:rPr>
                            </w:pPr>
                          </w:p>
                          <w:p>
                            <w:pPr>
                              <w:pStyle w:val="2"/>
                              <w:jc w:val="center"/>
                              <w:rPr>
                                <w:rFonts w:hint="eastAsia" w:ascii="仿宋" w:hAnsi="仿宋" w:eastAsia="仿宋" w:cs="仿宋"/>
                                <w:color w:val="auto"/>
                              </w:rPr>
                            </w:pPr>
                          </w:p>
                          <w:p>
                            <w:pPr>
                              <w:pStyle w:val="2"/>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2"/>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wps:txbx>
                      <wps:bodyPr upright="1"/>
                    </wps:wsp>
                  </a:graphicData>
                </a:graphic>
              </wp:anchor>
            </w:drawing>
          </mc:Choice>
          <mc:Fallback>
            <w:pict>
              <v:shape id="_x0000_s1026" o:spid="_x0000_s1026" o:spt="202" type="#_x0000_t202" style="position:absolute;left:0pt;margin-left:11.35pt;margin-top:12.4pt;height:606.8pt;width:447.15pt;z-index:251666432;mso-width-relative:page;mso-height-relative:page;" fillcolor="#FFFFFF" filled="t" stroked="t" coordsize="21600,21600" o:gfxdata="UEsDBAoAAAAAAIdO4kAAAAAAAAAAAAAAAAAEAAAAZHJzL1BLAwQUAAAACACHTuJAnEHGAdkAAAAK&#10;AQAADwAAAGRycy9kb3ducmV2LnhtbE2PwU7DMBBE70j8g7VIXBB1kkZNGuL0gASCGy0Irm68TSLs&#10;dYjdtPw9ywlOq9E8zc7Um7OzYsYpDJ4UpIsEBFLrzUCdgrfXh9sSRIiajLaeUME3Btg0lxe1row/&#10;0RbnXewEh1CotII+xrGSMrQ9Oh0WfkRi7+AnpyPLqZNm0icOd1ZmSbKSTg/EH3o94n2P7efu6BSU&#10;+dP8EZ6XL+/t6mDX8aaYH78mpa6v0uQORMRz/IPhtz5Xh4Y77f2RTBBWQZYVTPLNeQH767TgbXsG&#10;s2WZg2xq+X9C8wNQSwMEFAAAAAgAh07iQPynPGYOAgAANwQAAA4AAABkcnMvZTJvRG9jLnhtbK1T&#10;S44TMRDdI3EHy3vSPUH50EpnJAhhgwBp4ACO7e625J9cTrpzAbgBKzbsOVfOMWUnk/kwiyymF+5y&#10;ufyq3qvy4nowmuxkAOVsTa9GJSXScieUbWv64/v6zZwSiMwKpp2VNd1LoNfL168Wva/k2HVOCxkI&#10;glioel/TLkZfFQXwThoGI+elxcPGBcMibkNbiMB6RDe6GJfltOhdED44LgHQuzoe0hNiuATQNY3i&#10;cuX41kgbj6hBahaREnTKA13maptG8vi1aUBGomuKTGNeMQnam7QWywWr2sB8p/ipBHZJCU84GaYs&#10;Jj1DrVhkZBvUf1BG8eDANXHEnSmORLIiyOKqfKLNTce8zFxQavBn0eHlYPmX3bdAlKjphBLLDDb8&#10;8PvX4c+/w9+fZJLk6T1UGHXjMS4O792AQ3PnB3Qm1kMTTPojH4LnKO7+LK4cIuHonExn83mJWTie&#10;zWbl9O00y1/cX/cB4ifpDElGTQN2L4vKdp8hYikYeheSsoHTSqyV1nkT2s0HHciOYafX+UtV4pVH&#10;YdqSvqbvJuNUCMPxbXBs0DQeJQDb5nyPbsBD4DJ/zwGnwlYMumMBGSGFscqoKEO2OsnERytI3HuU&#10;2eLroqkYIwUlWuJjTFaOjEzpSyKRnbZIMvXo2ItkxWEzIEwyN07ssW9bH1TboaS5czkc5ymrc5r9&#10;NLAP9xn0/r0v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QcYB2QAAAAoBAAAPAAAAAAAAAAEA&#10;IAAAACIAAABkcnMvZG93bnJldi54bWxQSwECFAAUAAAACACHTuJA/Kc8Zg4CAAA3BAAADgAAAAAA&#10;AAABACAAAAAoAQAAZHJzL2Uyb0RvYy54bWxQSwUGAAAAAAYABgBZAQAAqAUAAAAA&#10;">
                <v:fill on="t" focussize="0,0"/>
                <v:stroke color="#000000" joinstyle="miter"/>
                <v:imagedata o:title=""/>
                <o:lock v:ext="edit" aspectratio="f"/>
                <v:textbo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pStyle w:val="2"/>
                        <w:rPr>
                          <w:rFonts w:hint="eastAsia"/>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lang w:eastAsia="zh-CN"/>
                        </w:rPr>
                        <w:t>竞争性磋商响应</w:t>
                      </w:r>
                      <w:r>
                        <w:rPr>
                          <w:rFonts w:hint="eastAsia" w:ascii="仿宋" w:hAnsi="仿宋" w:eastAsia="仿宋" w:cs="仿宋"/>
                          <w:b/>
                          <w:sz w:val="44"/>
                          <w:szCs w:val="44"/>
                        </w:rPr>
                        <w:t>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2"/>
                        <w:jc w:val="center"/>
                        <w:rPr>
                          <w:rFonts w:hint="eastAsia" w:ascii="仿宋" w:hAnsi="仿宋" w:eastAsia="仿宋" w:cs="仿宋"/>
                          <w:color w:val="auto"/>
                        </w:rPr>
                      </w:pPr>
                    </w:p>
                    <w:p>
                      <w:pPr>
                        <w:pStyle w:val="2"/>
                        <w:jc w:val="center"/>
                        <w:rPr>
                          <w:rFonts w:hint="eastAsia" w:ascii="仿宋" w:hAnsi="仿宋" w:eastAsia="仿宋" w:cs="仿宋"/>
                          <w:color w:val="auto"/>
                        </w:rPr>
                      </w:pPr>
                    </w:p>
                    <w:p>
                      <w:pPr>
                        <w:rPr>
                          <w:rFonts w:hint="eastAsia" w:ascii="仿宋" w:hAnsi="仿宋" w:eastAsia="仿宋" w:cs="仿宋"/>
                          <w:color w:val="auto"/>
                        </w:rPr>
                      </w:pPr>
                    </w:p>
                    <w:p>
                      <w:pPr>
                        <w:pStyle w:val="2"/>
                        <w:rPr>
                          <w:rFonts w:hint="eastAsia"/>
                        </w:rPr>
                      </w:pPr>
                    </w:p>
                    <w:p>
                      <w:pPr>
                        <w:pStyle w:val="2"/>
                        <w:jc w:val="center"/>
                        <w:rPr>
                          <w:rFonts w:hint="eastAsia" w:ascii="仿宋" w:hAnsi="仿宋" w:eastAsia="仿宋" w:cs="仿宋"/>
                          <w:color w:val="auto"/>
                        </w:rPr>
                      </w:pPr>
                    </w:p>
                    <w:p>
                      <w:pPr>
                        <w:pStyle w:val="2"/>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2"/>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v:textbox>
              </v:shape>
            </w:pict>
          </mc:Fallback>
        </mc:AlternateContent>
      </w:r>
    </w:p>
    <w:p>
      <w:pPr>
        <w:snapToGrid w:val="0"/>
        <w:spacing w:line="560" w:lineRule="exact"/>
        <w:jc w:val="center"/>
        <w:rPr>
          <w:rFonts w:hint="eastAsia" w:ascii="仿宋" w:hAnsi="仿宋" w:eastAsia="仿宋" w:cs="仿宋"/>
          <w:b/>
          <w:bCs/>
          <w:color w:val="000000" w:themeColor="text1"/>
          <w:kern w:val="0"/>
          <w:sz w:val="28"/>
          <w:szCs w:val="28"/>
          <w:highlight w:val="none"/>
          <w14:textFill>
            <w14:solidFill>
              <w14:schemeClr w14:val="tx1"/>
            </w14:solidFill>
          </w14:textFill>
        </w:rPr>
      </w:pPr>
    </w:p>
    <w:p>
      <w:pPr>
        <w:widowControl/>
        <w:spacing w:line="560" w:lineRule="exact"/>
        <w:ind w:left="420" w:leftChars="200"/>
        <w:rPr>
          <w:rFonts w:hint="eastAsia" w:ascii="仿宋" w:hAnsi="仿宋" w:eastAsia="仿宋" w:cs="仿宋"/>
          <w:color w:val="000000" w:themeColor="text1"/>
          <w:szCs w:val="24"/>
          <w:highlight w:val="none"/>
          <w14:textFill>
            <w14:solidFill>
              <w14:schemeClr w14:val="tx1"/>
            </w14:solidFill>
          </w14:textFill>
        </w:rPr>
      </w:pPr>
    </w:p>
    <w:p>
      <w:pPr>
        <w:widowControl/>
        <w:spacing w:line="560" w:lineRule="exact"/>
        <w:ind w:left="420" w:leftChars="20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 </w:t>
      </w: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spacing w:line="560" w:lineRule="exact"/>
        <w:rPr>
          <w:rFonts w:hint="eastAsia" w:ascii="仿宋" w:hAnsi="仿宋" w:eastAsia="仿宋" w:cs="仿宋"/>
          <w:b/>
          <w:color w:val="000000" w:themeColor="text1"/>
          <w:sz w:val="44"/>
          <w:szCs w:val="44"/>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br w:type="page"/>
      </w:r>
    </w:p>
    <w:p>
      <w:pP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资质证明材料正面标识式样</w:t>
      </w:r>
    </w:p>
    <w:p>
      <w:pP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158115</wp:posOffset>
                </wp:positionH>
                <wp:positionV relativeFrom="paragraph">
                  <wp:posOffset>196215</wp:posOffset>
                </wp:positionV>
                <wp:extent cx="5299075" cy="7872095"/>
                <wp:effectExtent l="5080" t="4445" r="10795" b="10160"/>
                <wp:wrapNone/>
                <wp:docPr id="4" name="文本框 4"/>
                <wp:cNvGraphicFramePr/>
                <a:graphic xmlns:a="http://schemas.openxmlformats.org/drawingml/2006/main">
                  <a:graphicData uri="http://schemas.microsoft.com/office/word/2010/wordprocessingShape">
                    <wps:wsp>
                      <wps:cNvSpPr txBox="1"/>
                      <wps:spPr>
                        <a:xfrm>
                          <a:off x="0" y="0"/>
                          <a:ext cx="5299075" cy="78720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资质证明材料</w:t>
                            </w:r>
                          </w:p>
                          <w:p>
                            <w:pPr>
                              <w:pStyle w:val="2"/>
                              <w:rPr>
                                <w:rFonts w:hint="eastAsia" w:ascii="仿宋" w:hAnsi="仿宋" w:eastAsia="仿宋" w:cs="仿宋"/>
                                <w:color w:val="auto"/>
                              </w:rPr>
                            </w:pPr>
                          </w:p>
                          <w:p>
                            <w:pPr>
                              <w:rPr>
                                <w:rFonts w:hint="eastAsia" w:ascii="仿宋" w:hAnsi="仿宋" w:eastAsia="仿宋" w:cs="仿宋"/>
                              </w:rPr>
                            </w:pPr>
                          </w:p>
                          <w:p>
                            <w:pPr>
                              <w:pStyle w:val="2"/>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2"/>
                              <w:rPr>
                                <w:rFonts w:hint="eastAsia" w:ascii="仿宋" w:hAnsi="仿宋" w:eastAsia="仿宋" w:cs="仿宋"/>
                                <w:color w:val="auto"/>
                              </w:rPr>
                            </w:pPr>
                          </w:p>
                          <w:p>
                            <w:pPr>
                              <w:rPr>
                                <w:rFonts w:hint="eastAsia" w:ascii="仿宋" w:hAnsi="仿宋" w:eastAsia="仿宋" w:cs="仿宋"/>
                              </w:rPr>
                            </w:pPr>
                          </w:p>
                          <w:p>
                            <w:pPr>
                              <w:pStyle w:val="2"/>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wps:txbx>
                      <wps:bodyPr upright="1"/>
                    </wps:wsp>
                  </a:graphicData>
                </a:graphic>
              </wp:anchor>
            </w:drawing>
          </mc:Choice>
          <mc:Fallback>
            <w:pict>
              <v:shape id="_x0000_s1026" o:spid="_x0000_s1026" o:spt="202" type="#_x0000_t202" style="position:absolute;left:0pt;margin-left:12.45pt;margin-top:15.45pt;height:619.85pt;width:417.25pt;z-index:251667456;mso-width-relative:page;mso-height-relative:page;" fillcolor="#FFFFFF" filled="t" stroked="t" coordsize="21600,21600" o:gfxdata="UEsDBAoAAAAAAIdO4kAAAAAAAAAAAAAAAAAEAAAAZHJzL1BLAwQUAAAACACHTuJABPDbKtkAAAAK&#10;AQAADwAAAGRycy9kb3ducmV2LnhtbE2PwU7DMAyG70i8Q2QkLogl60rXlqY7IIHgBgPBNWuytiJx&#10;SpJ14+0xJzhZ1v/p9+dmc3KWzSbE0aOE5UIAM9h5PWIv4e31/roEFpNCraxHI+HbRNi052eNqrU/&#10;4ouZt6lnVIKxVhKGlKaa89gNxqm48JNByvY+OJVoDT3XQR2p3FmeCVFwp0akC4OazN1gus/twUko&#10;88f5Iz6tnt+7Ym+rdLWeH76ClJcXS3ELLJlT+oPhV5/UoSWnnT+gjsxKyPKKSAkrQZPy8qbKge0I&#10;zNaiAN42/P8L7Q9QSwMEFAAAAAgAh07iQDrfFPEMAgAANwQAAA4AAABkcnMvZTJvRG9jLnhtbK1T&#10;zY7TMBC+I/EOlu802WpLt1HTlaCUCwKkhQdwbSex5D953CZ9AXgDTly481x9DsZOt/sDhx7IwRmP&#10;P38z8814eTsYTfYygHK2pleTkhJpuRPKtjX9+mXz6oYSiMwKpp2VNT1IoLerly+Wva/k1HVOCxkI&#10;klioel/TLkZfFQXwThoGE+elxcPGBcMibkNbiMB6ZDe6mJbl66J3QfjguARA73o8pCfGcAmhaxrF&#10;5drxnZE2jqxBahaxJOiUB7rK2TaN5PFT04CMRNcUK415xSBob9NarJasagPzneKnFNglKTyryTBl&#10;MeiZas0iI7ug/qIyigcHrokT7kwxFpIVwSquymfa3HXMy1wLSg3+LDr8P1r+cf85ECVqek2JZQYb&#10;fvzx/fjz9/HXN3Kd5Ok9VIi684iLwxs34NDc+wGdqeqhCSb9sR6C5yju4SyuHCLh6JxNF4tyPqOE&#10;49n8Zj4tF7PEUzxc9wHie+kMSUZNA3Yvi8r2HyCO0HtIigZOK7FRWudNaLdvdSB7hp3e5O/E/gSm&#10;LelruphNUyIMx7fBsUHTeJQAbJvjPbkBj4nL/P2LOCW2ZtCNCWSGBGOVUVGGbHWSiXdWkHjwKLPF&#10;10VTMkYKSrTEx5isjIxM6UuQqJ22KGHq0diLZMVhOyBNMrdOHLBvOx9U26GkuXMZjvOUtT/NfhrY&#10;x/tM+vDe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PDbKtkAAAAKAQAADwAAAAAAAAABACAA&#10;AAAiAAAAZHJzL2Rvd25yZXYueG1sUEsBAhQAFAAAAAgAh07iQDrfFPEMAgAANwQAAA4AAAAAAAAA&#10;AQAgAAAAKAEAAGRycy9lMm9Eb2MueG1sUEsFBgAAAAAGAAYAWQEAAKYFAAAAAA==&#10;">
                <v:fill on="t" focussize="0,0"/>
                <v:stroke color="#000000" joinstyle="miter"/>
                <v:imagedata o:title=""/>
                <o:lock v:ext="edit" aspectratio="f"/>
                <v:textbo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资质证明材料</w:t>
                      </w:r>
                    </w:p>
                    <w:p>
                      <w:pPr>
                        <w:pStyle w:val="2"/>
                        <w:rPr>
                          <w:rFonts w:hint="eastAsia" w:ascii="仿宋" w:hAnsi="仿宋" w:eastAsia="仿宋" w:cs="仿宋"/>
                          <w:color w:val="auto"/>
                        </w:rPr>
                      </w:pPr>
                    </w:p>
                    <w:p>
                      <w:pPr>
                        <w:rPr>
                          <w:rFonts w:hint="eastAsia" w:ascii="仿宋" w:hAnsi="仿宋" w:eastAsia="仿宋" w:cs="仿宋"/>
                        </w:rPr>
                      </w:pPr>
                    </w:p>
                    <w:p>
                      <w:pPr>
                        <w:pStyle w:val="2"/>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2"/>
                        <w:rPr>
                          <w:rFonts w:hint="eastAsia" w:ascii="仿宋" w:hAnsi="仿宋" w:eastAsia="仿宋" w:cs="仿宋"/>
                          <w:color w:val="auto"/>
                        </w:rPr>
                      </w:pPr>
                    </w:p>
                    <w:p>
                      <w:pPr>
                        <w:rPr>
                          <w:rFonts w:hint="eastAsia" w:ascii="仿宋" w:hAnsi="仿宋" w:eastAsia="仿宋" w:cs="仿宋"/>
                        </w:rPr>
                      </w:pPr>
                    </w:p>
                    <w:p>
                      <w:pPr>
                        <w:pStyle w:val="2"/>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v:textbox>
              </v:shape>
            </w:pict>
          </mc:Fallback>
        </mc:AlternateContent>
      </w:r>
    </w:p>
    <w:p>
      <w:pP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br w:type="page"/>
      </w:r>
    </w:p>
    <w:bookmarkEnd w:id="87"/>
    <w:bookmarkEnd w:id="88"/>
    <w:bookmarkEnd w:id="90"/>
    <w:bookmarkEnd w:id="91"/>
    <w:bookmarkEnd w:id="92"/>
    <w:bookmarkEnd w:id="93"/>
    <w:p>
      <w:pPr>
        <w:pStyle w:val="15"/>
        <w:rPr>
          <w:rFonts w:hint="eastAsia" w:ascii="仿宋" w:hAnsi="仿宋" w:eastAsia="仿宋" w:cs="仿宋"/>
          <w:color w:val="000000" w:themeColor="text1"/>
          <w:sz w:val="24"/>
          <w:highlight w:val="none"/>
          <w14:textFill>
            <w14:solidFill>
              <w14:schemeClr w14:val="tx1"/>
            </w14:solidFill>
          </w14:textFill>
        </w:rPr>
      </w:pPr>
    </w:p>
    <w:p>
      <w:pPr>
        <w:pStyle w:val="15"/>
        <w:rPr>
          <w:rFonts w:hint="eastAsia" w:ascii="仿宋" w:hAnsi="仿宋" w:eastAsia="仿宋" w:cs="仿宋"/>
          <w:color w:val="000000" w:themeColor="text1"/>
          <w:sz w:val="24"/>
          <w:highlight w:val="none"/>
          <w14:textFill>
            <w14:solidFill>
              <w14:schemeClr w14:val="tx1"/>
            </w14:solidFill>
          </w14:textFill>
        </w:rPr>
      </w:pPr>
    </w:p>
    <w:p>
      <w:pPr>
        <w:pStyle w:val="15"/>
        <w:rPr>
          <w:rFonts w:hint="eastAsia" w:ascii="仿宋" w:hAnsi="仿宋" w:eastAsia="仿宋" w:cs="仿宋"/>
          <w:color w:val="000000" w:themeColor="text1"/>
          <w:sz w:val="24"/>
          <w:highlight w:val="none"/>
          <w14:textFill>
            <w14:solidFill>
              <w14:schemeClr w14:val="tx1"/>
            </w14:solidFill>
          </w14:textFill>
        </w:rPr>
      </w:pPr>
    </w:p>
    <w:p>
      <w:pPr>
        <w:pStyle w:val="15"/>
        <w:rPr>
          <w:rFonts w:hint="eastAsia" w:ascii="仿宋" w:hAnsi="仿宋" w:eastAsia="仿宋" w:cs="仿宋"/>
          <w:color w:val="000000" w:themeColor="text1"/>
          <w:sz w:val="24"/>
          <w:highlight w:val="none"/>
          <w14:textFill>
            <w14:solidFill>
              <w14:schemeClr w14:val="tx1"/>
            </w14:solidFill>
          </w14:textFill>
        </w:rPr>
      </w:pPr>
    </w:p>
    <w:p>
      <w:pPr>
        <w:pStyle w:val="15"/>
        <w:rPr>
          <w:rFonts w:hint="eastAsia" w:ascii="仿宋" w:hAnsi="仿宋" w:eastAsia="仿宋" w:cs="仿宋"/>
          <w:color w:val="000000" w:themeColor="text1"/>
          <w:sz w:val="24"/>
          <w:highlight w:val="none"/>
          <w14:textFill>
            <w14:solidFill>
              <w14:schemeClr w14:val="tx1"/>
            </w14:solidFill>
          </w14:textFill>
        </w:rPr>
      </w:pPr>
    </w:p>
    <w:p>
      <w:pPr>
        <w:pStyle w:val="15"/>
        <w:rPr>
          <w:rFonts w:hint="eastAsia" w:ascii="仿宋" w:hAnsi="仿宋" w:eastAsia="仿宋" w:cs="仿宋"/>
          <w:color w:val="000000" w:themeColor="text1"/>
          <w:sz w:val="24"/>
          <w:highlight w:val="none"/>
          <w14:textFill>
            <w14:solidFill>
              <w14:schemeClr w14:val="tx1"/>
            </w14:solidFill>
          </w14:textFill>
        </w:rPr>
      </w:pPr>
    </w:p>
    <w:p>
      <w:pPr>
        <w:pStyle w:val="15"/>
        <w:rPr>
          <w:rFonts w:hint="eastAsia" w:ascii="仿宋" w:hAnsi="仿宋" w:eastAsia="仿宋" w:cs="仿宋"/>
          <w:color w:val="000000" w:themeColor="text1"/>
          <w:sz w:val="24"/>
          <w:highlight w:val="none"/>
          <w14:textFill>
            <w14:solidFill>
              <w14:schemeClr w14:val="tx1"/>
            </w14:solidFill>
          </w14:textFill>
        </w:rPr>
      </w:pPr>
    </w:p>
    <w:p>
      <w:pPr>
        <w:pStyle w:val="15"/>
        <w:rPr>
          <w:rFonts w:hint="eastAsia" w:ascii="仿宋" w:hAnsi="仿宋" w:eastAsia="仿宋" w:cs="仿宋"/>
          <w:color w:val="000000" w:themeColor="text1"/>
          <w:sz w:val="24"/>
          <w:highlight w:val="none"/>
          <w14:textFill>
            <w14:solidFill>
              <w14:schemeClr w14:val="tx1"/>
            </w14:solidFill>
          </w14:textFill>
        </w:rPr>
      </w:pPr>
    </w:p>
    <w:p>
      <w:pPr>
        <w:pStyle w:val="15"/>
        <w:rPr>
          <w:rFonts w:hint="eastAsia" w:ascii="仿宋" w:hAnsi="仿宋" w:eastAsia="仿宋" w:cs="仿宋"/>
          <w:color w:val="000000" w:themeColor="text1"/>
          <w:sz w:val="24"/>
          <w:highlight w:val="none"/>
          <w14:textFill>
            <w14:solidFill>
              <w14:schemeClr w14:val="tx1"/>
            </w14:solidFill>
          </w14:textFill>
        </w:rPr>
      </w:pPr>
    </w:p>
    <w:p>
      <w:pPr>
        <w:pStyle w:val="15"/>
        <w:rPr>
          <w:rFonts w:hint="eastAsia" w:ascii="仿宋" w:hAnsi="仿宋" w:eastAsia="仿宋" w:cs="仿宋"/>
          <w:color w:val="000000" w:themeColor="text1"/>
          <w:sz w:val="24"/>
          <w:highlight w:val="none"/>
          <w14:textFill>
            <w14:solidFill>
              <w14:schemeClr w14:val="tx1"/>
            </w14:solidFill>
          </w14:textFill>
        </w:rPr>
      </w:pPr>
    </w:p>
    <w:p>
      <w:pPr>
        <w:jc w:val="center"/>
        <w:rPr>
          <w:rFonts w:hint="eastAsia" w:ascii="仿宋" w:hAnsi="仿宋" w:eastAsia="仿宋" w:cs="仿宋"/>
          <w:b/>
          <w:bCs/>
          <w:i/>
          <w:iCs/>
          <w:color w:val="000000" w:themeColor="text1"/>
          <w:sz w:val="48"/>
          <w:szCs w:val="48"/>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lang w:val="zh-CN"/>
          <w14:textFill>
            <w14:solidFill>
              <w14:schemeClr w14:val="tx1"/>
            </w14:solidFill>
          </w14:textFill>
        </w:rPr>
        <w:t>为政府采购</w:t>
      </w:r>
      <w:r>
        <w:rPr>
          <w:rFonts w:hint="eastAsia" w:ascii="仿宋" w:hAnsi="仿宋" w:eastAsia="仿宋" w:cs="仿宋"/>
          <w:b/>
          <w:bCs/>
          <w:i/>
          <w:iCs/>
          <w:color w:val="000000" w:themeColor="text1"/>
          <w:sz w:val="48"/>
          <w:szCs w:val="48"/>
          <w:highlight w:val="none"/>
          <w14:textFill>
            <w14:solidFill>
              <w14:schemeClr w14:val="tx1"/>
            </w14:solidFill>
          </w14:textFill>
        </w:rPr>
        <w:t xml:space="preserve">  我们更专心</w:t>
      </w:r>
    </w:p>
    <w:p>
      <w:pPr>
        <w:rPr>
          <w:rFonts w:hint="eastAsia" w:ascii="仿宋" w:hAnsi="仿宋" w:eastAsia="仿宋" w:cs="仿宋"/>
          <w:i/>
          <w:iCs/>
          <w:color w:val="000000" w:themeColor="text1"/>
          <w:sz w:val="28"/>
          <w:szCs w:val="22"/>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14:textFill>
            <w14:solidFill>
              <w14:schemeClr w14:val="tx1"/>
            </w14:solidFill>
          </w14:textFill>
        </w:rPr>
        <w:t xml:space="preserve">        </w:t>
      </w:r>
      <w:r>
        <w:rPr>
          <w:rFonts w:hint="eastAsia" w:ascii="仿宋" w:hAnsi="仿宋" w:eastAsia="仿宋" w:cs="仿宋"/>
          <w:b/>
          <w:bCs/>
          <w:i/>
          <w:iCs/>
          <w:color w:val="000000" w:themeColor="text1"/>
          <w:sz w:val="48"/>
          <w:szCs w:val="48"/>
          <w:highlight w:val="none"/>
          <w:u w:val="single"/>
          <w14:textFill>
            <w14:solidFill>
              <w14:schemeClr w14:val="tx1"/>
            </w14:solidFill>
          </w14:textFill>
        </w:rPr>
        <w:t xml:space="preserve">                      </w:t>
      </w:r>
      <w:r>
        <w:rPr>
          <w:rFonts w:hint="eastAsia" w:ascii="仿宋" w:hAnsi="仿宋" w:eastAsia="仿宋" w:cs="仿宋"/>
          <w:b/>
          <w:bCs/>
          <w:i/>
          <w:iCs/>
          <w:color w:val="000000" w:themeColor="text1"/>
          <w:sz w:val="48"/>
          <w:szCs w:val="48"/>
          <w:highlight w:val="none"/>
          <w14:textFill>
            <w14:solidFill>
              <w14:schemeClr w14:val="tx1"/>
            </w14:solidFill>
          </w14:textFill>
        </w:rPr>
        <w:t xml:space="preserve">      </w:t>
      </w:r>
    </w:p>
    <w:p>
      <w:pPr>
        <w:jc w:val="center"/>
        <w:rPr>
          <w:rFonts w:hint="eastAsia" w:ascii="仿宋" w:hAnsi="仿宋" w:eastAsia="仿宋" w:cs="仿宋"/>
          <w:b/>
          <w:bCs/>
          <w:i/>
          <w:iCs/>
          <w:color w:val="000000" w:themeColor="text1"/>
          <w:sz w:val="48"/>
          <w:szCs w:val="48"/>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14:textFill>
            <w14:solidFill>
              <w14:schemeClr w14:val="tx1"/>
            </w14:solidFill>
          </w14:textFill>
        </w:rPr>
        <w:t>做政府采购  我们更用心</w:t>
      </w:r>
    </w:p>
    <w:p>
      <w:pPr>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highlight w:val="none"/>
          <w:lang w:val="zh-CN"/>
          <w14:textFill>
            <w14:solidFill>
              <w14:schemeClr w14:val="tx1"/>
            </w14:solidFill>
          </w14:textFill>
        </w:rPr>
      </w:pPr>
    </w:p>
    <w:p>
      <w:pPr>
        <w:pStyle w:val="37"/>
        <w:rPr>
          <w:rFonts w:hint="eastAsia" w:ascii="仿宋" w:hAnsi="仿宋" w:eastAsia="仿宋" w:cs="仿宋"/>
          <w:color w:val="000000" w:themeColor="text1"/>
          <w:highlight w:val="none"/>
          <w:lang w:val="zh-CN"/>
          <w14:textFill>
            <w14:solidFill>
              <w14:schemeClr w14:val="tx1"/>
            </w14:solidFill>
          </w14:textFill>
        </w:rPr>
      </w:pPr>
    </w:p>
    <w:p>
      <w:pPr>
        <w:pStyle w:val="37"/>
        <w:rPr>
          <w:rFonts w:hint="eastAsia" w:ascii="仿宋" w:hAnsi="仿宋" w:eastAsia="仿宋" w:cs="仿宋"/>
          <w:color w:val="000000" w:themeColor="text1"/>
          <w:highlight w:val="none"/>
          <w:lang w:val="zh-CN"/>
          <w14:textFill>
            <w14:solidFill>
              <w14:schemeClr w14:val="tx1"/>
            </w14:solidFill>
          </w14:textFill>
        </w:rPr>
      </w:pPr>
    </w:p>
    <w:p>
      <w:pPr>
        <w:pStyle w:val="37"/>
        <w:rPr>
          <w:rFonts w:hint="eastAsia" w:ascii="仿宋" w:hAnsi="仿宋" w:eastAsia="仿宋" w:cs="仿宋"/>
          <w:color w:val="000000" w:themeColor="text1"/>
          <w:highlight w:val="none"/>
          <w:lang w:val="zh-CN"/>
          <w14:textFill>
            <w14:solidFill>
              <w14:schemeClr w14:val="tx1"/>
            </w14:solidFill>
          </w14:textFill>
        </w:rPr>
      </w:pPr>
    </w:p>
    <w:p>
      <w:pPr>
        <w:pStyle w:val="37"/>
        <w:rPr>
          <w:rFonts w:hint="eastAsia" w:ascii="仿宋" w:hAnsi="仿宋" w:eastAsia="仿宋" w:cs="仿宋"/>
          <w:color w:val="000000" w:themeColor="text1"/>
          <w:highlight w:val="none"/>
          <w:lang w:val="zh-CN"/>
          <w14:textFill>
            <w14:solidFill>
              <w14:schemeClr w14:val="tx1"/>
            </w14:solidFill>
          </w14:textFill>
        </w:rPr>
      </w:pPr>
    </w:p>
    <w:p>
      <w:pPr>
        <w:pStyle w:val="37"/>
        <w:rPr>
          <w:rFonts w:hint="eastAsia" w:ascii="仿宋" w:hAnsi="仿宋" w:eastAsia="仿宋" w:cs="仿宋"/>
          <w:color w:val="000000" w:themeColor="text1"/>
          <w:highlight w:val="none"/>
          <w:lang w:val="zh-CN"/>
          <w14:textFill>
            <w14:solidFill>
              <w14:schemeClr w14:val="tx1"/>
            </w14:solidFill>
          </w14:textFill>
        </w:rPr>
      </w:pPr>
    </w:p>
    <w:p>
      <w:pPr>
        <w:pStyle w:val="37"/>
        <w:rPr>
          <w:rFonts w:hint="eastAsia" w:ascii="仿宋" w:hAnsi="仿宋" w:eastAsia="仿宋" w:cs="仿宋"/>
          <w:color w:val="000000" w:themeColor="text1"/>
          <w:highlight w:val="none"/>
          <w:lang w:val="zh-CN"/>
          <w14:textFill>
            <w14:solidFill>
              <w14:schemeClr w14:val="tx1"/>
            </w14:solidFill>
          </w14:textFill>
        </w:rPr>
      </w:pPr>
    </w:p>
    <w:p>
      <w:pPr>
        <w:pStyle w:val="37"/>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sz w:val="40"/>
          <w:szCs w:val="40"/>
          <w:highlight w:val="none"/>
          <w:lang w:val="zh-CN"/>
          <w14:textFill>
            <w14:solidFill>
              <w14:schemeClr w14:val="tx1"/>
            </w14:solidFill>
          </w14:textFill>
        </w:rPr>
      </w:pPr>
      <w:r>
        <w:rPr>
          <w:rFonts w:hint="eastAsia" w:ascii="仿宋" w:hAnsi="仿宋" w:eastAsia="仿宋" w:cs="仿宋"/>
          <w:color w:val="000000" w:themeColor="text1"/>
          <w:sz w:val="40"/>
          <w:szCs w:val="40"/>
          <w:highlight w:val="none"/>
          <w:lang w:val="zh-CN"/>
          <w14:textFill>
            <w14:solidFill>
              <w14:schemeClr w14:val="tx1"/>
            </w14:solidFill>
          </w14:textFill>
        </w:rPr>
        <w:t>华招广和项目管理有限公司</w:t>
      </w:r>
    </w:p>
    <w:p>
      <w:pPr>
        <w:autoSpaceDE w:val="0"/>
        <w:autoSpaceDN w:val="0"/>
        <w:spacing w:line="560" w:lineRule="exact"/>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                                                          </w:t>
      </w:r>
    </w:p>
    <w:p>
      <w:pPr>
        <w:autoSpaceDE w:val="0"/>
        <w:autoSpaceDN w:val="0"/>
        <w:spacing w:line="56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zh-CN"/>
          <w14:textFill>
            <w14:solidFill>
              <w14:schemeClr w14:val="tx1"/>
            </w14:solidFill>
          </w14:textFill>
        </w:rPr>
        <w:t>地</w:t>
      </w:r>
      <w:r>
        <w:rPr>
          <w:rFonts w:hint="eastAsia" w:ascii="仿宋" w:hAnsi="仿宋" w:eastAsia="仿宋" w:cs="仿宋"/>
          <w:bCs/>
          <w:color w:val="000000" w:themeColor="text1"/>
          <w:sz w:val="24"/>
          <w:highlight w:val="none"/>
          <w14:textFill>
            <w14:solidFill>
              <w14:schemeClr w14:val="tx1"/>
            </w14:solidFill>
          </w14:textFill>
        </w:rPr>
        <w:t xml:space="preserve">    </w:t>
      </w:r>
      <w:r>
        <w:rPr>
          <w:rFonts w:hint="eastAsia" w:ascii="仿宋" w:hAnsi="仿宋" w:eastAsia="仿宋" w:cs="仿宋"/>
          <w:bCs/>
          <w:color w:val="000000" w:themeColor="text1"/>
          <w:sz w:val="24"/>
          <w:highlight w:val="none"/>
          <w:lang w:val="zh-CN"/>
          <w14:textFill>
            <w14:solidFill>
              <w14:schemeClr w14:val="tx1"/>
            </w14:solidFill>
          </w14:textFill>
        </w:rPr>
        <w:t>址：</w:t>
      </w:r>
      <w:r>
        <w:rPr>
          <w:rFonts w:hint="eastAsia" w:ascii="仿宋" w:hAnsi="仿宋" w:eastAsia="仿宋" w:cs="仿宋"/>
          <w:bCs/>
          <w:color w:val="000000" w:themeColor="text1"/>
          <w:sz w:val="24"/>
          <w:highlight w:val="none"/>
          <w14:textFill>
            <w14:solidFill>
              <w14:schemeClr w14:val="tx1"/>
            </w14:solidFill>
          </w14:textFill>
        </w:rPr>
        <w:t>西安市朱雀大街南段1号汇成天玺C座18层</w:t>
      </w:r>
    </w:p>
    <w:p>
      <w:pPr>
        <w:autoSpaceDE w:val="0"/>
        <w:autoSpaceDN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    编：710000</w:t>
      </w:r>
    </w:p>
    <w:p>
      <w:pPr>
        <w:autoSpaceDE w:val="0"/>
        <w:autoSpaceDN w:val="0"/>
        <w:spacing w:line="56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电    话：029-87592321</w:t>
      </w:r>
    </w:p>
    <w:p>
      <w:pPr>
        <w:autoSpaceDE w:val="0"/>
        <w:autoSpaceDN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电子邮箱：hzghxmglyxgs@163.com</w:t>
      </w:r>
    </w:p>
    <w:p>
      <w:pPr>
        <w:autoSpaceDE w:val="0"/>
        <w:autoSpaceDN w:val="0"/>
        <w:spacing w:line="560" w:lineRule="exact"/>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                                                          </w:t>
      </w:r>
    </w:p>
    <w:p>
      <w:pPr>
        <w:pStyle w:val="15"/>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sectPr>
      <w:footerReference r:id="rId22" w:type="default"/>
      <w:pgSz w:w="11907" w:h="16840"/>
      <w:pgMar w:top="1418" w:right="1287" w:bottom="936" w:left="1259"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楷体" w:hAnsi="楷体" w:eastAsia="楷体" w:cs="楷体"/>
        <w:b/>
        <w:sz w:val="18"/>
        <w:szCs w:val="18"/>
        <w:u w:val="single"/>
      </w:rPr>
    </w:pPr>
    <w:r>
      <w:rPr>
        <w:rFonts w:hint="eastAsia" w:ascii="楷体" w:hAnsi="楷体" w:eastAsia="楷体" w:cs="楷体"/>
        <w:b/>
        <w:sz w:val="18"/>
        <w:szCs w:val="18"/>
      </w:rPr>
      <w:t>第</w:t>
    </w:r>
    <w:r>
      <w:rPr>
        <w:rFonts w:hint="eastAsia" w:ascii="楷体" w:hAnsi="楷体" w:eastAsia="楷体" w:cs="楷体"/>
        <w:b/>
        <w:sz w:val="18"/>
        <w:szCs w:val="18"/>
      </w:rPr>
      <w:fldChar w:fldCharType="begin"/>
    </w:r>
    <w:r>
      <w:rPr>
        <w:rFonts w:hint="eastAsia" w:ascii="楷体" w:hAnsi="楷体" w:eastAsia="楷体" w:cs="楷体"/>
        <w:b/>
        <w:sz w:val="18"/>
        <w:szCs w:val="18"/>
      </w:rPr>
      <w:instrText xml:space="preserve"> PAGE  \* Arabic  \* MERGEFORMAT </w:instrText>
    </w:r>
    <w:r>
      <w:rPr>
        <w:rFonts w:hint="eastAsia" w:ascii="楷体" w:hAnsi="楷体" w:eastAsia="楷体" w:cs="楷体"/>
        <w:b/>
        <w:sz w:val="18"/>
        <w:szCs w:val="18"/>
      </w:rPr>
      <w:fldChar w:fldCharType="separate"/>
    </w:r>
    <w:r>
      <w:rPr>
        <w:rFonts w:hint="eastAsia" w:ascii="楷体" w:hAnsi="楷体" w:eastAsia="楷体" w:cs="楷体"/>
        <w:b/>
        <w:sz w:val="18"/>
        <w:szCs w:val="18"/>
      </w:rPr>
      <w:t>17</w:t>
    </w:r>
    <w:r>
      <w:rPr>
        <w:rFonts w:hint="eastAsia" w:ascii="楷体" w:hAnsi="楷体" w:eastAsia="楷体" w:cs="楷体"/>
        <w:b/>
        <w:sz w:val="18"/>
        <w:szCs w:val="18"/>
      </w:rPr>
      <w:fldChar w:fldCharType="end"/>
    </w:r>
    <w:r>
      <w:rPr>
        <w:rFonts w:hint="eastAsia" w:ascii="楷体" w:hAnsi="楷体" w:eastAsia="楷体" w:cs="楷体"/>
        <w:b/>
        <w:sz w:val="18"/>
        <w:szCs w:val="18"/>
      </w:rPr>
      <w:t>页 共</w:t>
    </w:r>
    <w:r>
      <w:rPr>
        <w:rFonts w:hint="eastAsia" w:ascii="楷体" w:hAnsi="楷体" w:eastAsia="楷体" w:cs="楷体"/>
        <w:b/>
        <w:sz w:val="18"/>
        <w:szCs w:val="18"/>
      </w:rPr>
      <w:fldChar w:fldCharType="begin"/>
    </w:r>
    <w:r>
      <w:rPr>
        <w:rFonts w:hint="eastAsia" w:ascii="楷体" w:hAnsi="楷体" w:eastAsia="楷体" w:cs="楷体"/>
        <w:b/>
        <w:sz w:val="18"/>
        <w:szCs w:val="18"/>
      </w:rPr>
      <w:instrText xml:space="preserve"> NUMPAGES  \* Arabic  \* MERGEFORMAT </w:instrText>
    </w:r>
    <w:r>
      <w:rPr>
        <w:rFonts w:hint="eastAsia" w:ascii="楷体" w:hAnsi="楷体" w:eastAsia="楷体" w:cs="楷体"/>
        <w:b/>
        <w:sz w:val="18"/>
        <w:szCs w:val="18"/>
      </w:rPr>
      <w:fldChar w:fldCharType="separate"/>
    </w:r>
    <w:r>
      <w:rPr>
        <w:rFonts w:hint="eastAsia" w:ascii="楷体" w:hAnsi="楷体" w:eastAsia="楷体" w:cs="楷体"/>
        <w:b/>
        <w:sz w:val="18"/>
        <w:szCs w:val="18"/>
      </w:rPr>
      <w:t>62</w:t>
    </w:r>
    <w:r>
      <w:rPr>
        <w:rFonts w:hint="eastAsia" w:ascii="楷体" w:hAnsi="楷体" w:eastAsia="楷体" w:cs="楷体"/>
        <w:b/>
        <w:sz w:val="18"/>
        <w:szCs w:val="18"/>
      </w:rPr>
      <w:fldChar w:fldCharType="end"/>
    </w:r>
    <w:r>
      <w:rPr>
        <w:rFonts w:hint="eastAsia" w:ascii="楷体" w:hAnsi="楷体" w:eastAsia="楷体" w:cs="楷体"/>
        <w:b/>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ind w:firstLine="103" w:firstLineChars="49"/>
      <w:rPr>
        <w:b/>
        <w:szCs w:val="21"/>
      </w:rPr>
    </w:pPr>
    <w:r>
      <w:rPr>
        <w:rFonts w:hint="eastAsia"/>
        <w:b/>
        <w:szCs w:val="21"/>
      </w:rPr>
      <w:t>--------------</w:t>
    </w:r>
    <w:r>
      <w:rPr>
        <w:rFonts w:hint="eastAsia"/>
        <w:b/>
      </w:rPr>
      <w:t>-</w:t>
    </w:r>
    <w:r>
      <w:rPr>
        <w:rFonts w:hint="eastAsia"/>
        <w:b/>
        <w:szCs w:val="21"/>
      </w:rPr>
      <w:t>--------------------------------------------------</w:t>
    </w:r>
    <w:r>
      <w:rPr>
        <w:szCs w:val="21"/>
      </w:rPr>
      <w:fldChar w:fldCharType="begin"/>
    </w:r>
    <w:r>
      <w:rPr>
        <w:rStyle w:val="26"/>
        <w:szCs w:val="21"/>
      </w:rPr>
      <w:instrText xml:space="preserve"> PAGE </w:instrText>
    </w:r>
    <w:r>
      <w:rPr>
        <w:szCs w:val="21"/>
      </w:rPr>
      <w:fldChar w:fldCharType="separate"/>
    </w:r>
    <w:r>
      <w:rPr>
        <w:rStyle w:val="26"/>
        <w:szCs w:val="21"/>
      </w:rPr>
      <w:t>41</w:t>
    </w:r>
    <w:r>
      <w:rPr>
        <w:szCs w:val="21"/>
      </w:rPr>
      <w:fldChar w:fldCharType="end"/>
    </w:r>
    <w:r>
      <w:rPr>
        <w:rStyle w:val="26"/>
        <w:rFonts w:hint="eastAsia"/>
        <w:szCs w:val="21"/>
      </w:rPr>
      <w:t xml:space="preserve"> </w:t>
    </w:r>
    <w:r>
      <w:rPr>
        <w:rFonts w:hint="eastAsia"/>
        <w:b/>
        <w:szCs w:val="21"/>
      </w:rPr>
      <w:t>---------------------------------------------------------</w:t>
    </w:r>
  </w:p>
  <w:p>
    <w:pPr>
      <w:spacing w:line="280" w:lineRule="exact"/>
      <w:jc w:val="center"/>
      <w:rPr>
        <w:b/>
        <w:szCs w:val="21"/>
      </w:rPr>
    </w:pPr>
    <w:r>
      <w:rPr>
        <w:rFonts w:hint="eastAsia"/>
        <w:b/>
        <w:szCs w:val="21"/>
      </w:rPr>
      <w:t>华招广和项目管理有限公司  SHAANXI SHANGDE TENDERING CO，LTD</w:t>
    </w:r>
  </w:p>
  <w:p>
    <w:pPr>
      <w:spacing w:line="280" w:lineRule="exact"/>
      <w:jc w:val="center"/>
      <w:rPr>
        <w:rStyle w:val="26"/>
        <w:b/>
        <w:szCs w:val="21"/>
      </w:rPr>
    </w:pPr>
    <w:r>
      <w:rPr>
        <w:rFonts w:hint="eastAsia"/>
        <w:b/>
      </w:rPr>
      <w:t>地 址：西安市南二环西段华融国际A座25层D区   电 话：029-85350801/2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仿宋" w:hAnsi="仿宋" w:eastAsia="仿宋" w:cs="仿宋"/>
        <w:b/>
        <w:sz w:val="18"/>
        <w:szCs w:val="18"/>
        <w:u w:val="single"/>
      </w:rPr>
    </w:pPr>
    <w:r>
      <w:rPr>
        <w:rFonts w:hint="eastAsia" w:ascii="仿宋" w:hAnsi="仿宋" w:eastAsia="仿宋" w:cs="仿宋"/>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238125</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73</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页</w:t>
                          </w:r>
                        </w:p>
                      </w:txbxContent>
                    </wps:txbx>
                    <wps:bodyPr wrap="none" lIns="0" tIns="0" rIns="0" bIns="0">
                      <a:spAutoFit/>
                    </wps:bodyPr>
                  </wps:wsp>
                </a:graphicData>
              </a:graphic>
            </wp:anchor>
          </w:drawing>
        </mc:Choice>
        <mc:Fallback>
          <w:pict>
            <v:shape id="_x0000_s1026" o:spid="_x0000_s1026" o:spt="202" type="#_x0000_t202" style="position:absolute;left:0pt;margin-top:18.75pt;height:144pt;width:144pt;mso-position-horizontal:center;mso-position-horizontal-relative:margin;mso-wrap-style:none;z-index:251664384;mso-width-relative:page;mso-height-relative:page;" filled="f" stroked="f" coordsize="21600,21600" o:gfxdata="UEsDBAoAAAAAAIdO4kAAAAAAAAAAAAAAAAAEAAAAZHJzL1BLAwQUAAAACACHTuJAJc3/xdcAAAAH&#10;AQAADwAAAGRycy9kb3ducmV2LnhtbE2PwU7DMBBE70j8g7VIXCpqNxAIIU4lkHoDqS1IXN14SVLi&#10;dWS7aeHrWU5wnJnVzNtqeXKDmDDE3pOGxVyBQGq87anV8Pa6uipAxGTImsETavjCCMv6/KwypfVH&#10;2uC0Ta3gEoql0dClNJZSxqZDZ+Lcj0icffjgTGIZWmmDOXK5G2Sm1K10pide6MyITx02n9uD0/D+&#10;/I24KR5ns+lmvw9qdb9u5IvWlxcL9QAi4Sn9HcMvPqNDzUw7fyAbxaCBH0karu9yEJxmRcHGjo0s&#10;z0HWlfzPX/8AUEsDBBQAAAAIAIdO4kDdxexxywEAAJkDAAAOAAAAZHJzL2Uyb0RvYy54bWytU0tu&#10;2zAQ3RfoHQjuaykG0giC5SCFkaJAkRZIcwCaIi0C/IFDW/IF2ht01U33PZfP0SElOUGyySIbajgz&#10;fDPvzWh1PRhNDiKAcrahF4uSEmG5a5XdNfThx+2HihKIzLZMOysaehRAr9fv3616X4ul65xuRSAI&#10;YqHufUO7GH1dFMA7YRgsnBcWg9IFwyJew65oA+sR3ehiWZYfi96F1gfHBQB6N2OQTojhNYBOSsXF&#10;xvG9ETaOqEFoFpESdMoDXedupRQ8fpMSRCS6ocg05hOLoL1NZ7FesXoXmO8Un1pgr2nhGSfDlMWi&#10;Z6gNi4zsg3oBZRQPDpyMC+5MMRLJiiCLi/KZNvcd8yJzQanBn0WHt4Pld4fvgagWNwHnbpnBiZ9+&#10;/zr9+Xf6+5OgDwXqPdSYd+8xMw6f3IDJsx/QmXgPMpj0RUYE4yjv8SyvGCLh6VG1rKoSQxxj8wXx&#10;i8fnPkD8LJwhyWhowPllWdnhK8QxdU5J1ay7VVrnGWpLekS9rK4u84tzCNG1xSKJxdhtsuKwHSZq&#10;W9cekVmPS9BQiztPif5iUeO0L7MRZmM7Gak8+Jt9xBZyZwl1hJqK4cQyt2m70ko8veesxz9q/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lzf/F1wAAAAcBAAAPAAAAAAAAAAEAIAAAACIAAABkcnMv&#10;ZG93bnJldi54bWxQSwECFAAUAAAACACHTuJA3cXsccsBAACZAwAADgAAAAAAAAABACAAAAAmAQAA&#10;ZHJzL2Uyb0RvYy54bWxQSwUGAAAAAAYABgBZAQAAYwUAAAAA&#10;">
              <v:fill on="f" focussize="0,0"/>
              <v:stroke on="f" weight="1.25pt"/>
              <v:imagedata o:title=""/>
              <o:lock v:ext="edit" aspectratio="f"/>
              <v:textbox inset="0mm,0mm,0mm,0mm" style="mso-fit-shape-to-text:t;">
                <w:txbxContent>
                  <w:p>
                    <w:pPr>
                      <w:pStyle w:val="15"/>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73</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页</w:t>
                    </w:r>
                  </w:p>
                </w:txbxContent>
              </v:textbox>
            </v:shape>
          </w:pict>
        </mc:Fallback>
      </mc:AlternateContent>
    </w:r>
    <w:r>
      <w:rPr>
        <w:rFonts w:hint="eastAsia" w:ascii="仿宋" w:hAnsi="仿宋" w:eastAsia="仿宋" w:cs="仿宋"/>
        <w:b/>
        <w:sz w:val="18"/>
        <w:szCs w:val="18"/>
        <w:u w:val="single"/>
      </w:rPr>
      <w:t>华招广和项目管理有限公司        西安市朱雀大街南段1号汇成天玺C座18层          电话：029-87592321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spacing w:line="280" w:lineRule="exact"/>
      <w:rPr>
        <w:rFonts w:ascii="宋体" w:hAnsi="宋体"/>
        <w:b/>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仿宋" w:hAnsi="仿宋" w:eastAsia="仿宋" w:cs="仿宋"/>
        <w:b/>
        <w:sz w:val="18"/>
        <w:szCs w:val="18"/>
      </w:rPr>
    </w:pPr>
    <w:r>
      <w:rPr>
        <w:rFonts w:hint="eastAsia" w:ascii="仿宋" w:hAnsi="仿宋" w:eastAsia="仿宋" w:cs="仿宋"/>
        <w:b/>
        <w:sz w:val="18"/>
        <w:szCs w:val="18"/>
        <w:u w:val="single"/>
      </w:rPr>
      <w:t>华招广和项目管理有限公司        西安市朱雀大街南段1号汇成天玺C座18层          电话：029-87592321</w:t>
    </w:r>
  </w:p>
  <w:p>
    <w:pPr>
      <w:spacing w:line="280" w:lineRule="exact"/>
      <w:jc w:val="center"/>
      <w:rPr>
        <w:rFonts w:ascii="楷体" w:hAnsi="楷体" w:eastAsia="楷体" w:cs="楷体"/>
        <w:b/>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posOffset>2468880</wp:posOffset>
              </wp:positionH>
              <wp:positionV relativeFrom="paragraph">
                <wp:posOffset>36830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8</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194.4pt;margin-top:2.9pt;height:144pt;width:144pt;mso-position-horizontal-relative:margin;mso-wrap-style:none;z-index:251661312;mso-width-relative:page;mso-height-relative:page;" filled="f" stroked="f" coordsize="21600,21600" o:gfxdata="UEsDBAoAAAAAAIdO4kAAAAAAAAAAAAAAAAAEAAAAZHJzL1BLAwQUAAAACACHTuJAaSrE3tkAAAAJ&#10;AQAADwAAAGRycy9kb3ducmV2LnhtbE2PQU/DMAyF70j8h8hIXCaWbIOSlaaTQNoNpG0gcc0a03Y0&#10;TtVk3eDXY05w8rOe9d7nYnX2nRhxiG0gA7OpAoFUBddSbeDtdX2jQcRkydkuEBr4wgir8vKisLkL&#10;J9riuEu14BCKuTXQpNTnUsaqQW/jNPRI7H2EwdvE61BLN9gTh/tOzpXKpLctcUNje3xqsPrcHb2B&#10;9+dvxK1+nEzG28NhUOvlppIvxlxfzdQDiITn9HcMv/iMDiUz7cORXBSdgYXWjJ4M3PFgP7vPWOwN&#10;zJcLDbIs5P8Pyh9QSwMEFAAAAAgAh07iQCkqqGnLAQAAmQMAAA4AAABkcnMvZTJvRG9jLnhtbK1T&#10;S27bMBDdF+gdCO5rKQbSCILlIIWRokCRFkhzAJoiLQL8gUNb8gXaG3TVTfc9l8/RISU5QbLJIhtq&#10;ODN8M+/NaHU9GE0OIoBytqEXi5ISYblrld019OHH7YeKEojMtkw7Kxp6FECv1+/frXpfi6XrnG5F&#10;IAhioe59Q7sYfV0UwDthGCycFxaD0gXDIl7DrmgD6xHd6GJZlh+L3oXWB8cFAHo3Y5BOiOE1gE5K&#10;xcXG8b0RNo6oQWgWkRJ0ygNd526lFDx+kxJEJLqhyDTmE4ugvU1nsV6xeheY7xSfWmCvaeEZJ8OU&#10;xaJnqA2LjOyDegFlFA8OnIwL7kwxEsmKIIuL8pk29x3zInNBqcGfRYe3g+V3h++BqBY3YUmJZQYn&#10;fvr96/Tn3+nvT4I+FKj3UGPevcfMOHxyAybPfkBn4j3IYNIXGRGMo7zHs7xiiISnR9WyqkoMcYzN&#10;F8QvHp/7APGzcIYko6EB55dlZYevEMfUOSVVs+5WaZ1nqC3pEfWyurrML84hRNcWiyQWY7fJisN2&#10;mKhtXXtEZj0uQUMt7jwl+otFjdO+zEaYje1kpPLgb/YRW8idJdQRaiqGE8vcpu1KK/H0nrMe/6j1&#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kqxN7ZAAAACQEAAA8AAAAAAAAAAQAgAAAAIgAAAGRy&#10;cy9kb3ducmV2LnhtbFBLAQIUABQAAAAIAIdO4kApKqhpywEAAJkDAAAOAAAAAAAAAAEAIAAAACgB&#10;AABkcnMvZTJvRG9jLnhtbFBLBQYAAAAABgAGAFkBAABlBQAAAAA=&#10;">
              <v:fill on="f" focussize="0,0"/>
              <v:stroke on="f" weight="1.25pt"/>
              <v:imagedata o:title=""/>
              <o:lock v:ext="edit" aspectratio="f"/>
              <v:textbox inset="0mm,0mm,0mm,0mm" style="mso-fit-shape-to-text:t;">
                <w:txbxContent>
                  <w:p>
                    <w:pPr>
                      <w:pStyle w:val="15"/>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8</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仿宋" w:hAnsi="仿宋" w:eastAsia="仿宋" w:cs="仿宋"/>
        <w:b/>
        <w:sz w:val="18"/>
        <w:szCs w:val="18"/>
        <w:u w:val="single"/>
      </w:rPr>
    </w:pPr>
    <w:r>
      <w:rPr>
        <w:rFonts w:hint="eastAsia" w:ascii="仿宋" w:hAnsi="仿宋" w:eastAsia="仿宋" w:cs="仿宋"/>
        <w:b/>
        <w:sz w:val="18"/>
        <w:szCs w:val="18"/>
        <w:u w:val="single"/>
      </w:rPr>
      <w:t>华招广和项目管理有限公司        西安市朱雀大街南段1号汇成天玺C座18层          电话：029-87592321</w:t>
    </w:r>
  </w:p>
  <w:p>
    <w:pPr>
      <w:spacing w:line="280" w:lineRule="exact"/>
      <w:jc w:val="center"/>
      <w:rPr>
        <w:rFonts w:ascii="楷体" w:hAnsi="楷体" w:eastAsia="楷体" w:cs="楷体"/>
        <w:b/>
        <w:sz w:val="18"/>
        <w:szCs w:val="18"/>
        <w:u w:val="single"/>
      </w:rPr>
    </w:pPr>
    <w:r>
      <w:rPr>
        <w:sz w:val="18"/>
      </w:rPr>
      <mc:AlternateContent>
        <mc:Choice Requires="wps">
          <w:drawing>
            <wp:anchor distT="0" distB="0" distL="114300" distR="114300" simplePos="0" relativeHeight="251662336" behindDoc="0" locked="0" layoutInCell="1" allowOverlap="1">
              <wp:simplePos x="0" y="0"/>
              <wp:positionH relativeFrom="margin">
                <wp:posOffset>2486025</wp:posOffset>
              </wp:positionH>
              <wp:positionV relativeFrom="paragraph">
                <wp:posOffset>28575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76</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195.75pt;margin-top:2.25pt;height:144pt;width:144pt;mso-position-horizontal-relative:margin;mso-wrap-style:none;z-index:251662336;mso-width-relative:page;mso-height-relative:page;" filled="f" stroked="f" coordsize="21600,21600" o:gfxdata="UEsDBAoAAAAAAIdO4kAAAAAAAAAAAAAAAAAEAAAAZHJzL1BLAwQUAAAACACHTuJAcUNzrdoAAAAJ&#10;AQAADwAAAGRycy9kb3ducmV2LnhtbE2PzU7DMBCE70i8g7VIXCrqJPQvIU4lkHoDiRakXt14SVLi&#10;dWS7aeHpWU5w2l3NaPabcn2xvRjRh86RgnSagECqnemoUfD+trlbgQhRk9G9I1TwhQHW1fVVqQvj&#10;zrTFcRcbwSEUCq2gjXEopAx1i1aHqRuQWPtw3urIp2+k8frM4baXWZIspNUd8YdWD/jUYv25O1kF&#10;++dvxO3qcTIZZ8ejTzb5ay1flLq9SZMHEBEv8c8Mv/iMDhUzHdyJTBC9gvs8nbNVwYwH64tlzstB&#10;QZZnc5BVKf83qH4AUEsDBBQAAAAIAIdO4kB/B7ZtywEAAJkDAAAOAAAAZHJzL2Uyb0RvYy54bWyt&#10;U0tu2zAQ3RfIHQjua8kG0gqC5aCFkaBA0RZIcwCaIi0C/IFDW/IF2ht01U33PZfP0SElOUGyyaIb&#10;ajgzfDPvzWh9MxhNjiKAcrahy0VJibDctcruG/rw/fZtRQlEZlumnRUNPQmgN5urN+ve12LlOqdb&#10;EQiCWKh739AuRl8XBfBOGAYL54XFoHTBsIjXsC/awHpEN7pYleW7oneh9cFxAYDe7RikE2J4DaCT&#10;UnGxdfxghI0jahCaRaQEnfJAN7lbKQWPX6UEEYluKDKN+cQiaO/SWWzWrN4H5jvFpxbYa1p4xskw&#10;ZbHoBWrLIiOHoF5AGcWDAyfjgjtTjESyIshiWT7T5r5jXmQuKDX4i+jw/2D5l+O3QFSLm7CkxDKD&#10;Ez//+nn+/ff85wdBHwrUe6gx795jZhw+ugGTZz+gM/EeZDDpi4wIxlHe00VeMUTC06NqVVUlhjjG&#10;5gviF4/PfYB4J5whyWhowPllWdnxM8QxdU5J1ay7VVrnGWpLekS9rt5f5xeXEKJri0USi7HbZMVh&#10;N0zUdq49IbMel6ChFneeEv3JosZpX2YjzMZuMlJ58B8OEVvInSXUEWoqhhPL3KbtSivx9J6zHv+o&#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Q3Ot2gAAAAkBAAAPAAAAAAAAAAEAIAAAACIAAABk&#10;cnMvZG93bnJldi54bWxQSwECFAAUAAAACACHTuJAfwe2bcsBAACZAwAADgAAAAAAAAABACAAAAAp&#10;AQAAZHJzL2Uyb0RvYy54bWxQSwUGAAAAAAYABgBZAQAAZgUAAAAA&#10;">
              <v:fill on="f" focussize="0,0"/>
              <v:stroke on="f" weight="1.25pt"/>
              <v:imagedata o:title=""/>
              <o:lock v:ext="edit" aspectratio="f"/>
              <v:textbox inset="0mm,0mm,0mm,0mm" style="mso-fit-shape-to-text:t;">
                <w:txbxContent>
                  <w:p>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76</w:t>
                    </w:r>
                    <w: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90" w:firstLineChars="50"/>
      <w:rPr>
        <w:rStyle w:val="26"/>
      </w:rPr>
    </w:pPr>
    <w:r>
      <w:rPr>
        <w:rStyle w:val="26"/>
        <w:rFonts w:hint="eastAsia"/>
      </w:rPr>
      <w:t xml:space="preserve">  </w:t>
    </w:r>
  </w:p>
  <w:p>
    <w:pPr>
      <w:spacing w:line="280" w:lineRule="exact"/>
      <w:jc w:val="center"/>
      <w:rPr>
        <w:rFonts w:hint="eastAsia" w:ascii="仿宋" w:hAnsi="仿宋" w:eastAsia="仿宋" w:cs="仿宋"/>
        <w:b/>
        <w:sz w:val="18"/>
        <w:szCs w:val="18"/>
        <w:u w:val="single"/>
      </w:rPr>
    </w:pPr>
    <w:r>
      <w:rPr>
        <w:rFonts w:hint="eastAsia" w:ascii="仿宋" w:hAnsi="仿宋" w:eastAsia="仿宋" w:cs="仿宋"/>
        <w:b/>
        <w:sz w:val="18"/>
        <w:szCs w:val="18"/>
        <w:u w:val="single"/>
      </w:rPr>
      <w:t>华招广和项目管理有限公司        西安市朱雀大街南段1号汇成天玺C座18层          电话：029-87592321</w:t>
    </w:r>
  </w:p>
  <w:p>
    <w:pPr>
      <w:spacing w:line="280" w:lineRule="exact"/>
      <w:jc w:val="center"/>
      <w:rPr>
        <w:rFonts w:hint="eastAsia" w:ascii="仿宋" w:hAnsi="仿宋" w:eastAsia="仿宋" w:cs="仿宋"/>
        <w:b/>
        <w:sz w:val="18"/>
        <w:szCs w:val="18"/>
      </w:rPr>
    </w:pPr>
    <w:r>
      <w:rPr>
        <w:rFonts w:hint="eastAsia" w:ascii="仿宋" w:hAnsi="仿宋" w:eastAsia="仿宋" w:cs="仿宋"/>
        <w:sz w:val="18"/>
      </w:rPr>
      <mc:AlternateContent>
        <mc:Choice Requires="wps">
          <w:drawing>
            <wp:anchor distT="0" distB="0" distL="114300" distR="114300" simplePos="0" relativeHeight="251663360" behindDoc="0" locked="0" layoutInCell="1" allowOverlap="1">
              <wp:simplePos x="0" y="0"/>
              <wp:positionH relativeFrom="margin">
                <wp:posOffset>4151630</wp:posOffset>
              </wp:positionH>
              <wp:positionV relativeFrom="paragraph">
                <wp:posOffset>48260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jc w:val="center"/>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76</w:t>
                          </w:r>
                          <w:r>
                            <w:rPr>
                              <w:rFonts w:hint="eastAsia" w:ascii="仿宋" w:hAnsi="仿宋" w:eastAsia="仿宋" w:cs="仿宋"/>
                            </w:rPr>
                            <w:fldChar w:fldCharType="end"/>
                          </w:r>
                          <w:r>
                            <w:rPr>
                              <w:rFonts w:hint="eastAsia" w:ascii="仿宋" w:hAnsi="仿宋" w:eastAsia="仿宋" w:cs="仿宋"/>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326.9pt;margin-top:3.8pt;height:144pt;width:144pt;mso-position-horizontal-relative:margin;mso-wrap-style:none;z-index:251663360;mso-width-relative:page;mso-height-relative:page;" filled="f" stroked="f" coordsize="21600,21600" o:gfxdata="UEsDBAoAAAAAAIdO4kAAAAAAAAAAAAAAAAAEAAAAZHJzL1BLAwQUAAAACACHTuJADVMgqNkAAAAJ&#10;AQAADwAAAGRycy9kb3ducmV2LnhtbE2PwU7DMBBE70j8g7VIXCrqpLRpE7KpBFJvINGC1KsbL0lK&#10;bEe2mxa+nuUEx9GMZt6U64vpxUg+dM4ipNMEBNna6c42CO9vm7sViBCV1ap3lhC+KMC6ur4qVaHd&#10;2W5p3MVGcIkNhUJoYxwKKUPdklFh6gay7H04b1Rk6RupvTpzuenlLEkyaVRneaFVAz21VH/uTgZh&#10;//xNtF09Tibj/Hj0ySZ/reUL4u1NmjyAiHSJf2H4xWd0qJjp4E5WB9EjZIt7Ro8IywwE+/k8ZX1A&#10;mOWLDGRVyv8Pqh9QSwMEFAAAAAgAh07iQCQzjdzMAQAAmQMAAA4AAABkcnMvZTJvRG9jLnhtbK1T&#10;S27bMBDdF8gdCO5jKS7SCoLlIIWRIEDRFkh7AJoiLQL8gUNb8gXaG3TVTfc9l8/RISU5RbrJIhtq&#10;ODN8M+/NaHUzGE0OIoBytqFXi5ISYblrld019NvXu8uKEojMtkw7Kxp6FEBv1hdvVr2vxdJ1Trci&#10;EASxUPe+oV2Mvi4K4J0wDBbOC4tB6YJhEa9hV7SB9YhudLEsy3dF70Lrg+MCAL2bMUgnxPASQCel&#10;4mLj+N4IG0fUIDSLSAk65YGuc7dSCh4/SwkiEt1QZBrziUXQ3qazWK9YvQvMd4pPLbCXtPCMk2HK&#10;YtEz1IZFRvZB/QdlFA8OnIwL7kwxEsmKIIur8pk2jx3zInNBqcGfRYfXg+WfDl8CUS1uwltKLDM4&#10;8dPPH6dff06/vxP0oUC9hxrzHj1mxuGDGzB59gM6E+9BBpO+yIhgHOU9nuUVQyQ8PaqWVVViiGNs&#10;viB+8fTcB4j3whmSjIYGnF+WlR0+QhxT55RUzbo7pXWeobakR9Tr6v11fnEOIbq2WCSxGLtNVhy2&#10;w0Rt69ojMutxCRpqcecp0Q8WNU77MhthNraTkcqDv91HbCF3llBHqKkYTixzm7YrrcS/95z19Ee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NUyCo2QAAAAkBAAAPAAAAAAAAAAEAIAAAACIAAABk&#10;cnMvZG93bnJldi54bWxQSwECFAAUAAAACACHTuJAJDON3MwBAACZAwAADgAAAAAAAAABACAAAAAo&#10;AQAAZHJzL2Uyb0RvYy54bWxQSwUGAAAAAAYABgBZAQAAZgUAAAAA&#10;">
              <v:fill on="f" focussize="0,0"/>
              <v:stroke on="f" weight="1.25pt"/>
              <v:imagedata o:title=""/>
              <o:lock v:ext="edit" aspectratio="f"/>
              <v:textbox inset="0mm,0mm,0mm,0mm" style="mso-fit-shape-to-text:t;">
                <w:txbxContent>
                  <w:p>
                    <w:pPr>
                      <w:pStyle w:val="15"/>
                      <w:jc w:val="center"/>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76</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楷体" w:hAnsi="楷体" w:eastAsia="楷体" w:cs="楷体"/>
        <w:b/>
        <w:sz w:val="18"/>
        <w:szCs w:val="18"/>
        <w:u w:val="single"/>
      </w:rPr>
    </w:pPr>
    <w:r>
      <w:rPr>
        <w:sz w:val="18"/>
      </w:rPr>
      <mc:AlternateContent>
        <mc:Choice Requires="wps">
          <w:drawing>
            <wp:anchor distT="0" distB="0" distL="114300" distR="114300" simplePos="0" relativeHeight="251665408" behindDoc="0" locked="0" layoutInCell="1" allowOverlap="1">
              <wp:simplePos x="0" y="0"/>
              <wp:positionH relativeFrom="margin">
                <wp:posOffset>2484755</wp:posOffset>
              </wp:positionH>
              <wp:positionV relativeFrom="paragraph">
                <wp:posOffset>198755</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59</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195.65pt;margin-top:15.65pt;height:144pt;width:144pt;mso-position-horizontal-relative:margin;mso-wrap-style:none;z-index:251665408;mso-width-relative:page;mso-height-relative:page;" filled="f" stroked="f" coordsize="21600,21600" o:gfxdata="UEsDBAoAAAAAAIdO4kAAAAAAAAAAAAAAAAAEAAAAZHJzL1BLAwQUAAAACACHTuJAJep8StcAAAAK&#10;AQAADwAAAGRycy9kb3ducmV2LnhtbE2PQU/DMAyF70j8h8hIXCaWlKGxlqaTQNoNJDaQuGaNaTsa&#10;p0qybvDrcU9w8rP96fm5XJ9dL0YMsfOkIZsrEEi1tx01Gt7fNjcrEDEZsqb3hBq+McK6urwoTWH9&#10;ibY47lIj2IRiYTS0KQ2FlLFu0Zk49wMS7z59cCZxGxppgzmxuevlrVJL6UxHfKE1Az61WH/tjk7D&#10;x/MP4nb1OJuNd4dDUJv8tZYvWl9fZeoBRMJz+oNhis/RoeJMe38kG0WvYZFnC0ZZTJWB5X3OYj8N&#10;WMiqlP9fqH4BUEsDBBQAAAAIAIdO4kDTXYplywEAAJkDAAAOAAAAZHJzL2Uyb0RvYy54bWytU0tu&#10;2zAQ3RfIHQjuYykG0giC5SCBkaJAkRZIewCaIi0C/IFDW/IF0ht01U33PZfP0SElOUW6yaIbajgz&#10;fDPvzWh1OxhNDiKAcrahV4uSEmG5a5XdNfTb14fLihKIzLZMOysaehRAb9cX71a9r8XSdU63IhAE&#10;sVD3vqFdjL4uCuCdMAwWzguLQemCYRGvYVe0gfWIbnSxLMv3Re9C64PjAgC9mzFIJ8TwFkAnpeJi&#10;4/jeCBtH1CA0i0gJOuWBrnO3UgoeP0sJIhLdUGQa84lF0N6ms1ivWL0LzHeKTy2wt7TwipNhymLR&#10;M9SGRUb2Qf0DZRQPDpyMC+5MMRLJiiCLq/KVNk8d8yJzQanBn0WH/wfLHw9fAlEtbsINJZYZnPjp&#10;x/fTz9+nX88EfShQ76HGvCePmXG4dwMmz35AZ+I9yGDSFxkRjKO8x7O8YoiEp0fVsqpKDHGMzRfE&#10;L16e+wDxg3CGJKOhAeeXZWWHTxDH1DklVbPuQWmdZ6gt6RH1urq5zi/OIUTXFoskFmO3yYrDdpio&#10;bV17RGY9LkFDLe48JfqjRY3TvsxGmI3tZKTy4O/2EVvInSXUEWoqhhPL3KbtSivx9z1nvfxR6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l6nxK1wAAAAoBAAAPAAAAAAAAAAEAIAAAACIAAABkcnMv&#10;ZG93bnJldi54bWxQSwECFAAUAAAACACHTuJA012KZcsBAACZAwAADgAAAAAAAAABACAAAAAmAQAA&#10;ZHJzL2Uyb0RvYy54bWxQSwUGAAAAAAYABgBZAQAAYwUAAAAA&#10;">
              <v:fill on="f" focussize="0,0"/>
              <v:stroke on="f" weight="1.25pt"/>
              <v:imagedata o:title=""/>
              <o:lock v:ext="edit" aspectratio="f"/>
              <v:textbox inset="0mm,0mm,0mm,0mm" style="mso-fit-shape-to-text:t;">
                <w:txbxContent>
                  <w:p>
                    <w:pPr>
                      <w:pStyle w:val="15"/>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59</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r>
      <w:rPr>
        <w:rFonts w:hint="eastAsia" w:ascii="楷体" w:hAnsi="楷体" w:eastAsia="楷体" w:cs="楷体"/>
        <w:b/>
        <w:sz w:val="18"/>
        <w:szCs w:val="18"/>
        <w:u w:val="single"/>
      </w:rPr>
      <w:t>华招广和项目管理有限公司        西安市朱雀大街南段1号汇成天玺C座18层          电话：029-87592321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楷体" w:hAnsi="楷体" w:eastAsia="楷体" w:cs="楷体"/>
        <w:b/>
        <w:sz w:val="18"/>
        <w:szCs w:val="18"/>
        <w:u w:val="single"/>
        <w:shd w:val="pct10" w:color="auto" w:fil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宋体" w:hAnsi="宋体"/>
        <w:b/>
        <w:kern w:val="144"/>
        <w:sz w:val="21"/>
        <w:szCs w:val="21"/>
        <w:u w:val="single"/>
        <w:shd w:val="pct10" w:color="auto" w:fill="FFFFF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黑体" w:eastAsia="黑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r>
      <w:rPr>
        <w:rFonts w:hint="eastAsia" w:ascii="仿宋" w:hAnsi="仿宋" w:eastAsia="仿宋" w:cs="仿宋"/>
        <w:b/>
        <w:u w:val="single"/>
        <w:lang w:val="en-US" w:eastAsia="zh-CN"/>
      </w:rPr>
      <w:t>陕西福彩公益之声系列宣传服务采购项目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r>
      <w:rPr>
        <w:rFonts w:hint="eastAsia" w:ascii="楷体" w:hAnsi="楷体" w:eastAsia="楷体" w:cs="楷体"/>
        <w:b/>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left"/>
    </w:pPr>
    <w:r>
      <w:rPr>
        <w:rFonts w:hint="eastAsia" w:ascii="仿宋" w:hAnsi="仿宋" w:eastAsia="仿宋" w:cs="仿宋"/>
        <w:b/>
        <w:u w:val="single"/>
        <w:lang w:val="en-US" w:eastAsia="zh-CN"/>
      </w:rPr>
      <w:t>陕西福彩公益之声系列宣传服务采购项目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r>
      <w:rPr>
        <w:rFonts w:hint="eastAsia" w:ascii="楷体" w:hAnsi="楷体" w:eastAsia="楷体" w:cs="楷体"/>
        <w:b/>
        <w:u w:val="singl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rPr>
        <w:rFonts w:ascii="楷体" w:hAnsi="楷体" w:eastAsia="楷体" w:cs="楷体"/>
        <w:b/>
        <w:u w:val="single"/>
        <w:shd w:val="pct10" w:color="auto" w:fill="FFFFFF"/>
      </w:rPr>
    </w:pPr>
    <w:r>
      <w:rPr>
        <w:rFonts w:hint="eastAsia" w:ascii="仿宋" w:hAnsi="仿宋" w:eastAsia="仿宋" w:cs="仿宋"/>
        <w:b/>
        <w:u w:val="single"/>
        <w:lang w:val="en-US" w:eastAsia="zh-CN"/>
      </w:rPr>
      <w:t>陕西福彩公益之声系列宣传服务采购项目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r>
      <w:rPr>
        <w:rFonts w:hint="eastAsia" w:ascii="楷体" w:hAnsi="楷体" w:eastAsia="楷体" w:cs="楷体"/>
        <w:b/>
        <w:u w:val="single"/>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Cs w:val="21"/>
        <w:shd w:val="pct10" w:color="auto" w:fill="FFFFFF"/>
      </w:rPr>
    </w:pPr>
    <w:r>
      <w:rPr>
        <w:rFonts w:hint="eastAsia" w:ascii="宋体" w:hAnsi="宋体"/>
        <w:b/>
        <w:lang w:eastAsia="zh-CN"/>
      </w:rPr>
      <w:t>陕西省福利彩票发行中心关于武功县设施农业用地上图入库第二阶段采购项目</w:t>
    </w:r>
    <w:r>
      <w:rPr>
        <w:rFonts w:hint="eastAsia" w:ascii="宋体" w:hAnsi="宋体"/>
        <w:b/>
      </w:rPr>
      <w:t xml:space="preserve">                  文件编号: GDZB-2017-0000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r>
      <w:rPr>
        <w:rFonts w:hint="eastAsia" w:ascii="仿宋" w:hAnsi="仿宋" w:eastAsia="仿宋" w:cs="仿宋"/>
        <w:b/>
        <w:u w:val="single"/>
        <w:lang w:val="en-US" w:eastAsia="zh-CN"/>
      </w:rPr>
      <w:t>陕西福彩公益之声系列宣传服务采购项目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b/>
        <w:sz w:val="21"/>
        <w:szCs w:val="21"/>
        <w:shd w:val="pct10" w:color="auto" w:fill="FFFFFF"/>
      </w:rPr>
    </w:pPr>
    <w:r>
      <w:rPr>
        <w:rFonts w:hint="eastAsia" w:ascii="宋体" w:hAnsi="宋体"/>
        <w:b/>
        <w:sz w:val="21"/>
        <w:szCs w:val="21"/>
        <w:shd w:val="pct10" w:color="auto" w:fill="FFFFFF"/>
      </w:rPr>
      <w:t>西安市经开区高陵区重大项目测量评估公司入围项目              文件编号:SDZB2017-2361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C707A"/>
    <w:multiLevelType w:val="singleLevel"/>
    <w:tmpl w:val="B21C707A"/>
    <w:lvl w:ilvl="0" w:tentative="0">
      <w:start w:val="1"/>
      <w:numFmt w:val="decimal"/>
      <w:suff w:val="nothing"/>
      <w:lvlText w:val="%1、"/>
      <w:lvlJc w:val="left"/>
    </w:lvl>
  </w:abstractNum>
  <w:abstractNum w:abstractNumId="1">
    <w:nsid w:val="EBA7D981"/>
    <w:multiLevelType w:val="singleLevel"/>
    <w:tmpl w:val="EBA7D981"/>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ZTVlYjc4MTYxOWE0MmI4MTYyZmE4NjhhODg0NWUifQ=="/>
  </w:docVars>
  <w:rsids>
    <w:rsidRoot w:val="5CA52231"/>
    <w:rsid w:val="00295C4C"/>
    <w:rsid w:val="00314C9C"/>
    <w:rsid w:val="004006FE"/>
    <w:rsid w:val="004E284B"/>
    <w:rsid w:val="00574C91"/>
    <w:rsid w:val="00605C8A"/>
    <w:rsid w:val="00716A3F"/>
    <w:rsid w:val="0099218B"/>
    <w:rsid w:val="00AE2E12"/>
    <w:rsid w:val="00C56673"/>
    <w:rsid w:val="016D4D4A"/>
    <w:rsid w:val="018848B9"/>
    <w:rsid w:val="01AF53D2"/>
    <w:rsid w:val="01E01AFA"/>
    <w:rsid w:val="026F22F1"/>
    <w:rsid w:val="02A117CD"/>
    <w:rsid w:val="02AA1D26"/>
    <w:rsid w:val="02D33E38"/>
    <w:rsid w:val="030C1D6D"/>
    <w:rsid w:val="037759E0"/>
    <w:rsid w:val="03AC6219"/>
    <w:rsid w:val="04083177"/>
    <w:rsid w:val="046907DC"/>
    <w:rsid w:val="046B31A0"/>
    <w:rsid w:val="04740EAB"/>
    <w:rsid w:val="065027ED"/>
    <w:rsid w:val="06707460"/>
    <w:rsid w:val="067F0181"/>
    <w:rsid w:val="06AC3D9C"/>
    <w:rsid w:val="06E36671"/>
    <w:rsid w:val="06FD58FA"/>
    <w:rsid w:val="0708446E"/>
    <w:rsid w:val="071E7D6B"/>
    <w:rsid w:val="07826662"/>
    <w:rsid w:val="07F208D7"/>
    <w:rsid w:val="07FA3B8F"/>
    <w:rsid w:val="089F1C5C"/>
    <w:rsid w:val="094B7E72"/>
    <w:rsid w:val="09783466"/>
    <w:rsid w:val="09C126F0"/>
    <w:rsid w:val="09F0034F"/>
    <w:rsid w:val="0A40182F"/>
    <w:rsid w:val="0A441C29"/>
    <w:rsid w:val="0A462C8E"/>
    <w:rsid w:val="0A47098D"/>
    <w:rsid w:val="0A782F46"/>
    <w:rsid w:val="0AC611DC"/>
    <w:rsid w:val="0AE35538"/>
    <w:rsid w:val="0B5F7256"/>
    <w:rsid w:val="0B7432FA"/>
    <w:rsid w:val="0BCE259C"/>
    <w:rsid w:val="0C04209F"/>
    <w:rsid w:val="0C654222"/>
    <w:rsid w:val="0C993304"/>
    <w:rsid w:val="0CA26AF9"/>
    <w:rsid w:val="0CAD7162"/>
    <w:rsid w:val="0D035E0E"/>
    <w:rsid w:val="0D046532"/>
    <w:rsid w:val="0D1B42EE"/>
    <w:rsid w:val="0D2378B7"/>
    <w:rsid w:val="0DC74ACF"/>
    <w:rsid w:val="0E2F54AF"/>
    <w:rsid w:val="0E535B99"/>
    <w:rsid w:val="0E9852F9"/>
    <w:rsid w:val="0E9D2DA8"/>
    <w:rsid w:val="0EB9746D"/>
    <w:rsid w:val="0EF84A2E"/>
    <w:rsid w:val="0F160CF9"/>
    <w:rsid w:val="0FE65E5D"/>
    <w:rsid w:val="11C25421"/>
    <w:rsid w:val="12D77F2E"/>
    <w:rsid w:val="13134FCF"/>
    <w:rsid w:val="13532ADC"/>
    <w:rsid w:val="138A771E"/>
    <w:rsid w:val="13C705E7"/>
    <w:rsid w:val="13D50BD8"/>
    <w:rsid w:val="142F3033"/>
    <w:rsid w:val="145D5190"/>
    <w:rsid w:val="14685C58"/>
    <w:rsid w:val="147C3400"/>
    <w:rsid w:val="14E622ED"/>
    <w:rsid w:val="14FE0622"/>
    <w:rsid w:val="150154C3"/>
    <w:rsid w:val="150729CC"/>
    <w:rsid w:val="150F0169"/>
    <w:rsid w:val="153B4ABB"/>
    <w:rsid w:val="1545594D"/>
    <w:rsid w:val="159E5B20"/>
    <w:rsid w:val="15E52C78"/>
    <w:rsid w:val="15EF74ED"/>
    <w:rsid w:val="163B5862"/>
    <w:rsid w:val="16666A8E"/>
    <w:rsid w:val="166925C4"/>
    <w:rsid w:val="167960C4"/>
    <w:rsid w:val="16A10FD1"/>
    <w:rsid w:val="188341B0"/>
    <w:rsid w:val="19521B57"/>
    <w:rsid w:val="1958524A"/>
    <w:rsid w:val="196873D3"/>
    <w:rsid w:val="19764F21"/>
    <w:rsid w:val="197D4F2E"/>
    <w:rsid w:val="19925274"/>
    <w:rsid w:val="19A3119E"/>
    <w:rsid w:val="1B2E333A"/>
    <w:rsid w:val="1B5D5967"/>
    <w:rsid w:val="1B762CE2"/>
    <w:rsid w:val="1B800E24"/>
    <w:rsid w:val="1B8018F0"/>
    <w:rsid w:val="1B8B6FB4"/>
    <w:rsid w:val="1C2C6107"/>
    <w:rsid w:val="1C3F3B57"/>
    <w:rsid w:val="1C704310"/>
    <w:rsid w:val="1C8A0D7E"/>
    <w:rsid w:val="1C9F1DD3"/>
    <w:rsid w:val="1CBD2782"/>
    <w:rsid w:val="1CC058E0"/>
    <w:rsid w:val="1CE9176D"/>
    <w:rsid w:val="1CEF3C8D"/>
    <w:rsid w:val="1DAD3A24"/>
    <w:rsid w:val="1DAE3C1B"/>
    <w:rsid w:val="1DBF1167"/>
    <w:rsid w:val="1DFA6949"/>
    <w:rsid w:val="1E0D2086"/>
    <w:rsid w:val="1E685343"/>
    <w:rsid w:val="1EC5245F"/>
    <w:rsid w:val="1EE018EF"/>
    <w:rsid w:val="1EF86EC7"/>
    <w:rsid w:val="1F193AD6"/>
    <w:rsid w:val="2090323C"/>
    <w:rsid w:val="20D13F45"/>
    <w:rsid w:val="20F52DBB"/>
    <w:rsid w:val="210851CD"/>
    <w:rsid w:val="218403EA"/>
    <w:rsid w:val="219D3ACF"/>
    <w:rsid w:val="224729DE"/>
    <w:rsid w:val="228D72CD"/>
    <w:rsid w:val="22AA45D0"/>
    <w:rsid w:val="22FB4A29"/>
    <w:rsid w:val="23214339"/>
    <w:rsid w:val="233B6B95"/>
    <w:rsid w:val="234C60E3"/>
    <w:rsid w:val="23667A8F"/>
    <w:rsid w:val="237972CB"/>
    <w:rsid w:val="238460C9"/>
    <w:rsid w:val="2387409E"/>
    <w:rsid w:val="23BD364C"/>
    <w:rsid w:val="23BD5C15"/>
    <w:rsid w:val="243F7A48"/>
    <w:rsid w:val="2498323C"/>
    <w:rsid w:val="24AD6618"/>
    <w:rsid w:val="24D24F1B"/>
    <w:rsid w:val="24EB35BF"/>
    <w:rsid w:val="25255D5C"/>
    <w:rsid w:val="253668B6"/>
    <w:rsid w:val="253C5361"/>
    <w:rsid w:val="254B7584"/>
    <w:rsid w:val="25D62632"/>
    <w:rsid w:val="261C10D2"/>
    <w:rsid w:val="26B00013"/>
    <w:rsid w:val="26D23436"/>
    <w:rsid w:val="26E01831"/>
    <w:rsid w:val="270200AF"/>
    <w:rsid w:val="27222C9B"/>
    <w:rsid w:val="27323271"/>
    <w:rsid w:val="281A1E64"/>
    <w:rsid w:val="282B61D0"/>
    <w:rsid w:val="283930FA"/>
    <w:rsid w:val="284A0F2F"/>
    <w:rsid w:val="285F3C13"/>
    <w:rsid w:val="2884639A"/>
    <w:rsid w:val="289C18BC"/>
    <w:rsid w:val="28D322DB"/>
    <w:rsid w:val="28EB2A8B"/>
    <w:rsid w:val="294962CA"/>
    <w:rsid w:val="296F5970"/>
    <w:rsid w:val="29C075C6"/>
    <w:rsid w:val="29C673A2"/>
    <w:rsid w:val="29F41216"/>
    <w:rsid w:val="29F51CDA"/>
    <w:rsid w:val="2A2031AC"/>
    <w:rsid w:val="2A4C49A4"/>
    <w:rsid w:val="2A51745D"/>
    <w:rsid w:val="2B6927F8"/>
    <w:rsid w:val="2BB9108D"/>
    <w:rsid w:val="2BCD3D86"/>
    <w:rsid w:val="2C4B7EAE"/>
    <w:rsid w:val="2E55254F"/>
    <w:rsid w:val="2E76670C"/>
    <w:rsid w:val="2E98219C"/>
    <w:rsid w:val="2EBA2A9C"/>
    <w:rsid w:val="2EC30FD3"/>
    <w:rsid w:val="2F3D365B"/>
    <w:rsid w:val="2FFD6A02"/>
    <w:rsid w:val="307D1B7F"/>
    <w:rsid w:val="308121AA"/>
    <w:rsid w:val="30882EF9"/>
    <w:rsid w:val="30D6704C"/>
    <w:rsid w:val="30E42811"/>
    <w:rsid w:val="312D5C40"/>
    <w:rsid w:val="3179279B"/>
    <w:rsid w:val="318F07B1"/>
    <w:rsid w:val="321A765E"/>
    <w:rsid w:val="322F33E6"/>
    <w:rsid w:val="324A6E8E"/>
    <w:rsid w:val="324C4540"/>
    <w:rsid w:val="3285675A"/>
    <w:rsid w:val="3306189B"/>
    <w:rsid w:val="33441EEA"/>
    <w:rsid w:val="33C8035F"/>
    <w:rsid w:val="34285437"/>
    <w:rsid w:val="34B67359"/>
    <w:rsid w:val="34BD6422"/>
    <w:rsid w:val="35474D1B"/>
    <w:rsid w:val="35635AE6"/>
    <w:rsid w:val="35FC0885"/>
    <w:rsid w:val="36607BFC"/>
    <w:rsid w:val="36647515"/>
    <w:rsid w:val="366B68D7"/>
    <w:rsid w:val="36754531"/>
    <w:rsid w:val="36960592"/>
    <w:rsid w:val="36A6383E"/>
    <w:rsid w:val="36C86E67"/>
    <w:rsid w:val="36CF2484"/>
    <w:rsid w:val="36D45F5B"/>
    <w:rsid w:val="36E765D4"/>
    <w:rsid w:val="36E81B47"/>
    <w:rsid w:val="37015A67"/>
    <w:rsid w:val="37696A12"/>
    <w:rsid w:val="37D672E5"/>
    <w:rsid w:val="37D82BA9"/>
    <w:rsid w:val="385B7D01"/>
    <w:rsid w:val="3A0C2363"/>
    <w:rsid w:val="3A612FFC"/>
    <w:rsid w:val="3A991BBE"/>
    <w:rsid w:val="3AAA1667"/>
    <w:rsid w:val="3AAD0891"/>
    <w:rsid w:val="3B0648C2"/>
    <w:rsid w:val="3B2A69F2"/>
    <w:rsid w:val="3BF0451E"/>
    <w:rsid w:val="3C0C0C6E"/>
    <w:rsid w:val="3CF66938"/>
    <w:rsid w:val="3CFA113A"/>
    <w:rsid w:val="3D474C33"/>
    <w:rsid w:val="3D5F716B"/>
    <w:rsid w:val="3DAA35EA"/>
    <w:rsid w:val="3DAB59FE"/>
    <w:rsid w:val="3DBB3A26"/>
    <w:rsid w:val="3E072A46"/>
    <w:rsid w:val="3E1168FA"/>
    <w:rsid w:val="3E3D638D"/>
    <w:rsid w:val="3E59316B"/>
    <w:rsid w:val="3E7A5E78"/>
    <w:rsid w:val="3E8F35BB"/>
    <w:rsid w:val="3EA96557"/>
    <w:rsid w:val="3EB218A7"/>
    <w:rsid w:val="3EE06A33"/>
    <w:rsid w:val="3EFA6BAE"/>
    <w:rsid w:val="3F370BCB"/>
    <w:rsid w:val="3F7A43AD"/>
    <w:rsid w:val="3F8E5C59"/>
    <w:rsid w:val="3FF543F2"/>
    <w:rsid w:val="40287CFB"/>
    <w:rsid w:val="407C02A4"/>
    <w:rsid w:val="40AF73C0"/>
    <w:rsid w:val="41F07ECA"/>
    <w:rsid w:val="420B00B0"/>
    <w:rsid w:val="425D4330"/>
    <w:rsid w:val="427101FB"/>
    <w:rsid w:val="427136EC"/>
    <w:rsid w:val="42B36D52"/>
    <w:rsid w:val="43211C22"/>
    <w:rsid w:val="4360708A"/>
    <w:rsid w:val="43BB7949"/>
    <w:rsid w:val="44AC070C"/>
    <w:rsid w:val="44AC45F6"/>
    <w:rsid w:val="44C0719C"/>
    <w:rsid w:val="44DB0AFB"/>
    <w:rsid w:val="45283340"/>
    <w:rsid w:val="45612478"/>
    <w:rsid w:val="45BF1A3F"/>
    <w:rsid w:val="45D4091B"/>
    <w:rsid w:val="45E00128"/>
    <w:rsid w:val="45FC0156"/>
    <w:rsid w:val="46322C1D"/>
    <w:rsid w:val="46D2182F"/>
    <w:rsid w:val="474536FB"/>
    <w:rsid w:val="478B389E"/>
    <w:rsid w:val="48962D4B"/>
    <w:rsid w:val="48F3112A"/>
    <w:rsid w:val="493004E9"/>
    <w:rsid w:val="49350D52"/>
    <w:rsid w:val="49D768C0"/>
    <w:rsid w:val="49FE675C"/>
    <w:rsid w:val="4A03006A"/>
    <w:rsid w:val="4AA519CD"/>
    <w:rsid w:val="4AF10388"/>
    <w:rsid w:val="4AF94070"/>
    <w:rsid w:val="4AFB5E63"/>
    <w:rsid w:val="4B965FB0"/>
    <w:rsid w:val="4C256914"/>
    <w:rsid w:val="4C5A1013"/>
    <w:rsid w:val="4C96549F"/>
    <w:rsid w:val="4CAD74C4"/>
    <w:rsid w:val="4CC674CA"/>
    <w:rsid w:val="4CCA0DF3"/>
    <w:rsid w:val="4D3944DB"/>
    <w:rsid w:val="4D3D1756"/>
    <w:rsid w:val="4D49565B"/>
    <w:rsid w:val="4E0C743C"/>
    <w:rsid w:val="4E93715A"/>
    <w:rsid w:val="4E9F6F1B"/>
    <w:rsid w:val="4EC14B14"/>
    <w:rsid w:val="4F141B05"/>
    <w:rsid w:val="4F1B0161"/>
    <w:rsid w:val="4F7810D0"/>
    <w:rsid w:val="4F8A7B60"/>
    <w:rsid w:val="50CC1400"/>
    <w:rsid w:val="50FA6915"/>
    <w:rsid w:val="514345C9"/>
    <w:rsid w:val="518270C9"/>
    <w:rsid w:val="519266B2"/>
    <w:rsid w:val="519C1B26"/>
    <w:rsid w:val="51E27AE8"/>
    <w:rsid w:val="52242BD3"/>
    <w:rsid w:val="527821A3"/>
    <w:rsid w:val="527A4BCD"/>
    <w:rsid w:val="527E492B"/>
    <w:rsid w:val="52BD596D"/>
    <w:rsid w:val="52DE7D41"/>
    <w:rsid w:val="53195734"/>
    <w:rsid w:val="531D2DA5"/>
    <w:rsid w:val="535A5075"/>
    <w:rsid w:val="53774E9B"/>
    <w:rsid w:val="53B94DB8"/>
    <w:rsid w:val="54075DCC"/>
    <w:rsid w:val="5447089E"/>
    <w:rsid w:val="548D5DC1"/>
    <w:rsid w:val="54A14884"/>
    <w:rsid w:val="54BA1808"/>
    <w:rsid w:val="54EB6E03"/>
    <w:rsid w:val="550601C8"/>
    <w:rsid w:val="55146E5E"/>
    <w:rsid w:val="553B5415"/>
    <w:rsid w:val="553C5232"/>
    <w:rsid w:val="554372DB"/>
    <w:rsid w:val="554B2CF1"/>
    <w:rsid w:val="55C43442"/>
    <w:rsid w:val="569B3AE2"/>
    <w:rsid w:val="57E15B41"/>
    <w:rsid w:val="5812279B"/>
    <w:rsid w:val="585554B6"/>
    <w:rsid w:val="58862037"/>
    <w:rsid w:val="58AF1A95"/>
    <w:rsid w:val="58E805C8"/>
    <w:rsid w:val="58F61C6D"/>
    <w:rsid w:val="59047ECD"/>
    <w:rsid w:val="592D49A0"/>
    <w:rsid w:val="59AC7E01"/>
    <w:rsid w:val="5A2F12C4"/>
    <w:rsid w:val="5A351EEE"/>
    <w:rsid w:val="5A521346"/>
    <w:rsid w:val="5B191112"/>
    <w:rsid w:val="5B8155F3"/>
    <w:rsid w:val="5BA31738"/>
    <w:rsid w:val="5BA6792C"/>
    <w:rsid w:val="5BD25514"/>
    <w:rsid w:val="5C0974B2"/>
    <w:rsid w:val="5C186F88"/>
    <w:rsid w:val="5C73777D"/>
    <w:rsid w:val="5CA52231"/>
    <w:rsid w:val="5CAA3CE0"/>
    <w:rsid w:val="5CB315BE"/>
    <w:rsid w:val="5CD05EC4"/>
    <w:rsid w:val="5CEE67CC"/>
    <w:rsid w:val="5D9C44BA"/>
    <w:rsid w:val="5DD3719E"/>
    <w:rsid w:val="5DEC5D6F"/>
    <w:rsid w:val="5DF32237"/>
    <w:rsid w:val="5E1B365D"/>
    <w:rsid w:val="5E245395"/>
    <w:rsid w:val="5E370EEC"/>
    <w:rsid w:val="5E68355E"/>
    <w:rsid w:val="5E693E0B"/>
    <w:rsid w:val="5EF51B46"/>
    <w:rsid w:val="5F716DD1"/>
    <w:rsid w:val="5F9A1C0C"/>
    <w:rsid w:val="60EF7936"/>
    <w:rsid w:val="615D15B4"/>
    <w:rsid w:val="617C53D9"/>
    <w:rsid w:val="619C3FB1"/>
    <w:rsid w:val="61B77CE2"/>
    <w:rsid w:val="61BE4845"/>
    <w:rsid w:val="62014DE8"/>
    <w:rsid w:val="62954FBF"/>
    <w:rsid w:val="63245663"/>
    <w:rsid w:val="63420DA4"/>
    <w:rsid w:val="637D74E4"/>
    <w:rsid w:val="63DD2A68"/>
    <w:rsid w:val="64166B12"/>
    <w:rsid w:val="64725A90"/>
    <w:rsid w:val="64EC4D35"/>
    <w:rsid w:val="651265B7"/>
    <w:rsid w:val="6517248E"/>
    <w:rsid w:val="653918E3"/>
    <w:rsid w:val="65EE67B8"/>
    <w:rsid w:val="66E43193"/>
    <w:rsid w:val="67267CB5"/>
    <w:rsid w:val="67341171"/>
    <w:rsid w:val="674F3DFC"/>
    <w:rsid w:val="676C5425"/>
    <w:rsid w:val="677775CA"/>
    <w:rsid w:val="681F1432"/>
    <w:rsid w:val="68384664"/>
    <w:rsid w:val="683E40AC"/>
    <w:rsid w:val="6894063F"/>
    <w:rsid w:val="68AA0374"/>
    <w:rsid w:val="690C3C0F"/>
    <w:rsid w:val="698915CD"/>
    <w:rsid w:val="69C87321"/>
    <w:rsid w:val="69E7087D"/>
    <w:rsid w:val="69F92CBD"/>
    <w:rsid w:val="6A1A76FF"/>
    <w:rsid w:val="6A6804B7"/>
    <w:rsid w:val="6A8F6A6C"/>
    <w:rsid w:val="6A9D515D"/>
    <w:rsid w:val="6AA03474"/>
    <w:rsid w:val="6AEE00B8"/>
    <w:rsid w:val="6B3468AC"/>
    <w:rsid w:val="6B587443"/>
    <w:rsid w:val="6B6B0DB4"/>
    <w:rsid w:val="6B894DA7"/>
    <w:rsid w:val="6B8B20B8"/>
    <w:rsid w:val="6B8B218D"/>
    <w:rsid w:val="6C3D0FAE"/>
    <w:rsid w:val="6C8E0AE9"/>
    <w:rsid w:val="6D165605"/>
    <w:rsid w:val="6D226F33"/>
    <w:rsid w:val="6DB31991"/>
    <w:rsid w:val="6DCE340F"/>
    <w:rsid w:val="6E8F55C7"/>
    <w:rsid w:val="6E910FE5"/>
    <w:rsid w:val="6E9B76DB"/>
    <w:rsid w:val="6EFE55DA"/>
    <w:rsid w:val="6F5A0AAF"/>
    <w:rsid w:val="6F8932E6"/>
    <w:rsid w:val="701D3C4D"/>
    <w:rsid w:val="70200256"/>
    <w:rsid w:val="70501F38"/>
    <w:rsid w:val="705B5D23"/>
    <w:rsid w:val="70865CFA"/>
    <w:rsid w:val="70981F36"/>
    <w:rsid w:val="70E919C6"/>
    <w:rsid w:val="71427881"/>
    <w:rsid w:val="725A52FD"/>
    <w:rsid w:val="729E0707"/>
    <w:rsid w:val="72D33A44"/>
    <w:rsid w:val="736A2FD2"/>
    <w:rsid w:val="73B26F4B"/>
    <w:rsid w:val="73DF1469"/>
    <w:rsid w:val="74B17D02"/>
    <w:rsid w:val="74E06AEF"/>
    <w:rsid w:val="75384BC5"/>
    <w:rsid w:val="75661286"/>
    <w:rsid w:val="75B46528"/>
    <w:rsid w:val="75D648AF"/>
    <w:rsid w:val="75ED55FA"/>
    <w:rsid w:val="75FB2DFF"/>
    <w:rsid w:val="764B713D"/>
    <w:rsid w:val="76895E06"/>
    <w:rsid w:val="77312EA9"/>
    <w:rsid w:val="77371E97"/>
    <w:rsid w:val="778C38DC"/>
    <w:rsid w:val="77B455D4"/>
    <w:rsid w:val="77B6365C"/>
    <w:rsid w:val="77C117B8"/>
    <w:rsid w:val="77D63E3F"/>
    <w:rsid w:val="7815335E"/>
    <w:rsid w:val="78361EBF"/>
    <w:rsid w:val="784349DE"/>
    <w:rsid w:val="78867CF8"/>
    <w:rsid w:val="79083935"/>
    <w:rsid w:val="790C3251"/>
    <w:rsid w:val="79616F10"/>
    <w:rsid w:val="799500C0"/>
    <w:rsid w:val="7A476702"/>
    <w:rsid w:val="7A5113F9"/>
    <w:rsid w:val="7A537FDD"/>
    <w:rsid w:val="7AD216C8"/>
    <w:rsid w:val="7B005BEC"/>
    <w:rsid w:val="7C15026F"/>
    <w:rsid w:val="7C5E091E"/>
    <w:rsid w:val="7D0D1638"/>
    <w:rsid w:val="7D144297"/>
    <w:rsid w:val="7D163F2E"/>
    <w:rsid w:val="7D43638A"/>
    <w:rsid w:val="7D636A70"/>
    <w:rsid w:val="7D891CD5"/>
    <w:rsid w:val="7DC35135"/>
    <w:rsid w:val="7E190276"/>
    <w:rsid w:val="7E532D12"/>
    <w:rsid w:val="7EB03176"/>
    <w:rsid w:val="7EC87E8B"/>
    <w:rsid w:val="7F0F6FFB"/>
    <w:rsid w:val="7F23573B"/>
    <w:rsid w:val="7F543DBA"/>
    <w:rsid w:val="7FAF6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99"/>
    <w:pPr>
      <w:keepNext/>
      <w:keepLines/>
      <w:spacing w:before="340" w:after="330" w:line="576" w:lineRule="auto"/>
      <w:outlineLvl w:val="0"/>
    </w:pPr>
    <w:rPr>
      <w:b/>
      <w:bCs/>
      <w:kern w:val="44"/>
      <w:sz w:val="44"/>
      <w:szCs w:val="44"/>
    </w:rPr>
  </w:style>
  <w:style w:type="paragraph" w:styleId="4">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paragraph" w:styleId="5">
    <w:name w:val="heading 4"/>
    <w:basedOn w:val="1"/>
    <w:next w:val="1"/>
    <w:qFormat/>
    <w:uiPriority w:val="99"/>
    <w:pPr>
      <w:keepNext/>
      <w:keepLines/>
      <w:adjustRightInd w:val="0"/>
      <w:spacing w:before="280" w:after="290" w:line="376" w:lineRule="atLeast"/>
      <w:textAlignment w:val="baseline"/>
      <w:outlineLvl w:val="3"/>
    </w:pPr>
    <w:rPr>
      <w:rFonts w:ascii="Arial" w:hAnsi="Arial"/>
      <w:b/>
      <w:spacing w:val="20"/>
      <w:sz w:val="28"/>
      <w:szCs w:val="20"/>
    </w:rPr>
  </w:style>
  <w:style w:type="paragraph" w:styleId="6">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eastAsia="Times New Roman"/>
    </w:rPr>
  </w:style>
  <w:style w:type="paragraph" w:styleId="7">
    <w:name w:val="Note Heading"/>
    <w:basedOn w:val="1"/>
    <w:next w:val="1"/>
    <w:qFormat/>
    <w:uiPriority w:val="0"/>
    <w:pPr>
      <w:jc w:val="center"/>
    </w:pPr>
  </w:style>
  <w:style w:type="paragraph" w:styleId="8">
    <w:name w:val="Normal Indent"/>
    <w:basedOn w:val="1"/>
    <w:next w:val="1"/>
    <w:qFormat/>
    <w:uiPriority w:val="99"/>
    <w:pPr>
      <w:ind w:firstLine="420"/>
    </w:pPr>
  </w:style>
  <w:style w:type="paragraph" w:styleId="9">
    <w:name w:val="toa heading"/>
    <w:basedOn w:val="1"/>
    <w:next w:val="1"/>
    <w:unhideWhenUsed/>
    <w:qFormat/>
    <w:uiPriority w:val="99"/>
    <w:pPr>
      <w:spacing w:before="120"/>
    </w:pPr>
    <w:rPr>
      <w:rFonts w:ascii="Cambria" w:hAnsi="Cambria"/>
      <w:sz w:val="24"/>
    </w:rPr>
  </w:style>
  <w:style w:type="paragraph" w:styleId="10">
    <w:name w:val="annotation text"/>
    <w:basedOn w:val="1"/>
    <w:link w:val="51"/>
    <w:qFormat/>
    <w:uiPriority w:val="0"/>
    <w:pPr>
      <w:jc w:val="left"/>
    </w:pPr>
  </w:style>
  <w:style w:type="paragraph" w:styleId="11">
    <w:name w:val="Body Text Indent"/>
    <w:basedOn w:val="1"/>
    <w:qFormat/>
    <w:uiPriority w:val="0"/>
    <w:pPr>
      <w:spacing w:after="120" w:afterLines="0"/>
      <w:ind w:left="420" w:leftChars="200"/>
    </w:pPr>
  </w:style>
  <w:style w:type="paragraph" w:styleId="12">
    <w:name w:val="Block Text"/>
    <w:basedOn w:val="1"/>
    <w:qFormat/>
    <w:uiPriority w:val="99"/>
    <w:pPr>
      <w:spacing w:after="120" w:line="240" w:lineRule="auto"/>
      <w:ind w:left="1440" w:leftChars="700" w:right="1440" w:rightChars="700"/>
    </w:pPr>
    <w:rPr>
      <w:rFonts w:ascii="Calibri" w:hAnsi="Calibri"/>
      <w:szCs w:val="22"/>
    </w:rPr>
  </w:style>
  <w:style w:type="paragraph" w:styleId="13">
    <w:name w:val="Plain Text"/>
    <w:basedOn w:val="1"/>
    <w:qFormat/>
    <w:uiPriority w:val="0"/>
    <w:rPr>
      <w:rFonts w:ascii="宋体" w:hAnsi="Courier New"/>
      <w:szCs w:val="20"/>
    </w:rPr>
  </w:style>
  <w:style w:type="paragraph" w:styleId="14">
    <w:name w:val="Balloon Text"/>
    <w:basedOn w:val="1"/>
    <w:link w:val="53"/>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Normal (Web)"/>
    <w:basedOn w:val="1"/>
    <w:next w:val="1"/>
    <w:qFormat/>
    <w:uiPriority w:val="0"/>
    <w:pPr>
      <w:spacing w:beforeAutospacing="1" w:afterAutospacing="1"/>
      <w:jc w:val="left"/>
    </w:pPr>
    <w:rPr>
      <w:kern w:val="0"/>
      <w:sz w:val="24"/>
    </w:rPr>
  </w:style>
  <w:style w:type="paragraph" w:styleId="20">
    <w:name w:val="annotation subject"/>
    <w:basedOn w:val="10"/>
    <w:next w:val="10"/>
    <w:link w:val="52"/>
    <w:qFormat/>
    <w:uiPriority w:val="0"/>
    <w:rPr>
      <w:b/>
      <w:bCs/>
    </w:rPr>
  </w:style>
  <w:style w:type="paragraph" w:styleId="21">
    <w:name w:val="Body Text First Indent 2"/>
    <w:basedOn w:val="11"/>
    <w:qFormat/>
    <w:uiPriority w:val="99"/>
    <w:pPr>
      <w:ind w:firstLine="420" w:firstLineChars="200"/>
    </w:pPr>
    <w:rPr>
      <w:szCs w:val="21"/>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none"/>
    </w:rPr>
  </w:style>
  <w:style w:type="character" w:styleId="28">
    <w:name w:val="Emphasis"/>
    <w:basedOn w:val="24"/>
    <w:qFormat/>
    <w:uiPriority w:val="0"/>
  </w:style>
  <w:style w:type="character" w:styleId="29">
    <w:name w:val="HTML Definition"/>
    <w:basedOn w:val="24"/>
    <w:qFormat/>
    <w:uiPriority w:val="0"/>
    <w:rPr>
      <w:i/>
      <w:iCs/>
    </w:rPr>
  </w:style>
  <w:style w:type="character" w:styleId="30">
    <w:name w:val="Hyperlink"/>
    <w:basedOn w:val="24"/>
    <w:qFormat/>
    <w:uiPriority w:val="0"/>
    <w:rPr>
      <w:color w:val="0000FF"/>
      <w:u w:val="none"/>
    </w:rPr>
  </w:style>
  <w:style w:type="character" w:styleId="31">
    <w:name w:val="HTML Code"/>
    <w:basedOn w:val="24"/>
    <w:qFormat/>
    <w:uiPriority w:val="0"/>
    <w:rPr>
      <w:rFonts w:ascii="Consolas" w:hAnsi="Consolas" w:eastAsia="Consolas" w:cs="Consolas"/>
      <w:color w:val="C7254E"/>
      <w:sz w:val="21"/>
      <w:szCs w:val="21"/>
      <w:shd w:val="clear" w:fill="F9F2F4"/>
    </w:rPr>
  </w:style>
  <w:style w:type="character" w:styleId="32">
    <w:name w:val="annotation reference"/>
    <w:basedOn w:val="24"/>
    <w:qFormat/>
    <w:uiPriority w:val="0"/>
    <w:rPr>
      <w:sz w:val="21"/>
      <w:szCs w:val="21"/>
    </w:rPr>
  </w:style>
  <w:style w:type="character" w:styleId="33">
    <w:name w:val="HTML Keyboard"/>
    <w:basedOn w:val="24"/>
    <w:qFormat/>
    <w:uiPriority w:val="0"/>
    <w:rPr>
      <w:rFonts w:hint="default" w:ascii="Consolas" w:hAnsi="Consolas" w:eastAsia="Consolas" w:cs="Consolas"/>
      <w:color w:val="FFFFFF"/>
      <w:sz w:val="21"/>
      <w:szCs w:val="21"/>
      <w:shd w:val="clear" w:fill="333333"/>
    </w:rPr>
  </w:style>
  <w:style w:type="character" w:styleId="34">
    <w:name w:val="HTML Sample"/>
    <w:basedOn w:val="24"/>
    <w:qFormat/>
    <w:uiPriority w:val="0"/>
    <w:rPr>
      <w:rFonts w:hint="default" w:ascii="Consolas" w:hAnsi="Consolas" w:eastAsia="Consolas" w:cs="Consolas"/>
      <w:sz w:val="21"/>
      <w:szCs w:val="21"/>
    </w:rPr>
  </w:style>
  <w:style w:type="paragraph" w:customStyle="1" w:styleId="35">
    <w:name w:val="No Spacing1"/>
    <w:qFormat/>
    <w:uiPriority w:val="0"/>
    <w:rPr>
      <w:rFonts w:ascii="Calibri" w:hAnsi="Calibri" w:eastAsia="宋体" w:cs="Calibri"/>
      <w:sz w:val="22"/>
      <w:szCs w:val="22"/>
      <w:lang w:val="en-US" w:eastAsia="zh-CN" w:bidi="ar-SA"/>
    </w:rPr>
  </w:style>
  <w:style w:type="paragraph" w:customStyle="1" w:styleId="36">
    <w:name w:val="Normal Indent1"/>
    <w:basedOn w:val="1"/>
    <w:qFormat/>
    <w:uiPriority w:val="0"/>
    <w:pPr>
      <w:ind w:firstLine="420"/>
    </w:pPr>
    <w:rPr>
      <w:sz w:val="21"/>
    </w:rPr>
  </w:style>
  <w:style w:type="paragraph" w:customStyle="1" w:styleId="37">
    <w:name w:val="正文缩进1"/>
    <w:basedOn w:val="1"/>
    <w:qFormat/>
    <w:uiPriority w:val="0"/>
    <w:pPr>
      <w:autoSpaceDE w:val="0"/>
      <w:autoSpaceDN w:val="0"/>
      <w:adjustRightInd w:val="0"/>
      <w:ind w:firstLine="420"/>
      <w:jc w:val="left"/>
    </w:pPr>
    <w:rPr>
      <w:rFonts w:ascii="宋体"/>
      <w:kern w:val="0"/>
      <w:sz w:val="24"/>
    </w:r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0">
    <w:name w:val="title1"/>
    <w:basedOn w:val="1"/>
    <w:qFormat/>
    <w:uiPriority w:val="0"/>
    <w:pPr>
      <w:spacing w:before="150" w:line="450" w:lineRule="atLeast"/>
      <w:jc w:val="left"/>
    </w:pPr>
    <w:rPr>
      <w:b/>
      <w:kern w:val="0"/>
      <w:sz w:val="24"/>
    </w:rPr>
  </w:style>
  <w:style w:type="paragraph" w:customStyle="1" w:styleId="41">
    <w:name w:val="p15"/>
    <w:basedOn w:val="1"/>
    <w:qFormat/>
    <w:uiPriority w:val="99"/>
    <w:pPr>
      <w:widowControl/>
    </w:pPr>
    <w:rPr>
      <w:kern w:val="0"/>
      <w:szCs w:val="21"/>
    </w:rPr>
  </w:style>
  <w:style w:type="character" w:customStyle="1" w:styleId="42">
    <w:name w:val="font21"/>
    <w:basedOn w:val="24"/>
    <w:qFormat/>
    <w:uiPriority w:val="99"/>
    <w:rPr>
      <w:rFonts w:ascii="宋体" w:hAnsi="宋体" w:eastAsia="宋体"/>
      <w:color w:val="000000"/>
      <w:sz w:val="20"/>
      <w:u w:val="none"/>
    </w:rPr>
  </w:style>
  <w:style w:type="paragraph" w:customStyle="1" w:styleId="43">
    <w:name w:val="List Paragraph"/>
    <w:basedOn w:val="1"/>
    <w:qFormat/>
    <w:uiPriority w:val="34"/>
    <w:pPr>
      <w:ind w:firstLine="420" w:firstLineChars="200"/>
    </w:pPr>
    <w:rPr>
      <w:rFonts w:ascii="Calibri" w:hAnsi="Calibri"/>
      <w:szCs w:val="22"/>
    </w:rPr>
  </w:style>
  <w:style w:type="paragraph" w:customStyle="1" w:styleId="44">
    <w:name w:val="title11"/>
    <w:basedOn w:val="1"/>
    <w:qFormat/>
    <w:uiPriority w:val="0"/>
    <w:pPr>
      <w:spacing w:before="100"/>
      <w:jc w:val="left"/>
    </w:pPr>
    <w:rPr>
      <w:b/>
      <w:kern w:val="0"/>
      <w:sz w:val="15"/>
      <w:szCs w:val="15"/>
    </w:rPr>
  </w:style>
  <w:style w:type="paragraph" w:customStyle="1" w:styleId="45">
    <w:name w:val="title13"/>
    <w:basedOn w:val="1"/>
    <w:qFormat/>
    <w:uiPriority w:val="0"/>
    <w:pPr>
      <w:spacing w:before="100"/>
      <w:jc w:val="left"/>
    </w:pPr>
    <w:rPr>
      <w:b/>
      <w:kern w:val="0"/>
      <w:sz w:val="15"/>
      <w:szCs w:val="15"/>
    </w:rPr>
  </w:style>
  <w:style w:type="character" w:customStyle="1" w:styleId="46">
    <w:name w:val="phone"/>
    <w:basedOn w:val="24"/>
    <w:qFormat/>
    <w:uiPriority w:val="0"/>
    <w:rPr>
      <w:color w:val="FF8833"/>
      <w:sz w:val="12"/>
      <w:szCs w:val="12"/>
    </w:rPr>
  </w:style>
  <w:style w:type="character" w:customStyle="1" w:styleId="47">
    <w:name w:val="number"/>
    <w:basedOn w:val="24"/>
    <w:qFormat/>
    <w:uiPriority w:val="0"/>
    <w:rPr>
      <w:color w:val="FF8833"/>
      <w:sz w:val="12"/>
      <w:szCs w:val="12"/>
    </w:rPr>
  </w:style>
  <w:style w:type="character" w:customStyle="1" w:styleId="48">
    <w:name w:val="stclosebtn"/>
    <w:basedOn w:val="24"/>
    <w:qFormat/>
    <w:uiPriority w:val="0"/>
  </w:style>
  <w:style w:type="character" w:customStyle="1" w:styleId="49">
    <w:name w:val="proollist"/>
    <w:basedOn w:val="24"/>
    <w:qFormat/>
    <w:uiPriority w:val="0"/>
  </w:style>
  <w:style w:type="character" w:customStyle="1" w:styleId="50">
    <w:name w:val="beforeinfotext"/>
    <w:basedOn w:val="24"/>
    <w:qFormat/>
    <w:uiPriority w:val="0"/>
    <w:rPr>
      <w:color w:val="666666"/>
    </w:rPr>
  </w:style>
  <w:style w:type="character" w:customStyle="1" w:styleId="51">
    <w:name w:val="批注文字 Char"/>
    <w:basedOn w:val="24"/>
    <w:link w:val="10"/>
    <w:qFormat/>
    <w:uiPriority w:val="0"/>
    <w:rPr>
      <w:kern w:val="2"/>
      <w:sz w:val="21"/>
      <w:szCs w:val="24"/>
    </w:rPr>
  </w:style>
  <w:style w:type="character" w:customStyle="1" w:styleId="52">
    <w:name w:val="批注主题 Char"/>
    <w:basedOn w:val="51"/>
    <w:link w:val="20"/>
    <w:qFormat/>
    <w:uiPriority w:val="0"/>
    <w:rPr>
      <w:b/>
      <w:bCs/>
      <w:kern w:val="2"/>
      <w:sz w:val="21"/>
      <w:szCs w:val="24"/>
    </w:rPr>
  </w:style>
  <w:style w:type="character" w:customStyle="1" w:styleId="53">
    <w:name w:val="批注框文本 Char"/>
    <w:basedOn w:val="24"/>
    <w:link w:val="14"/>
    <w:qFormat/>
    <w:uiPriority w:val="0"/>
    <w:rPr>
      <w:kern w:val="2"/>
      <w:sz w:val="18"/>
      <w:szCs w:val="18"/>
    </w:rPr>
  </w:style>
  <w:style w:type="paragraph" w:customStyle="1" w:styleId="54">
    <w:name w:val="正文首行缩进两字符"/>
    <w:basedOn w:val="1"/>
    <w:qFormat/>
    <w:uiPriority w:val="0"/>
    <w:pPr>
      <w:spacing w:line="360" w:lineRule="auto"/>
      <w:ind w:firstLine="200" w:firstLineChars="200"/>
    </w:pPr>
    <w:rPr>
      <w:rFonts w:ascii="Times New Roman" w:hAnsi="Times New Roman"/>
    </w:rPr>
  </w:style>
  <w:style w:type="character" w:customStyle="1" w:styleId="55">
    <w:name w:val="标题 1 Char"/>
    <w:link w:val="3"/>
    <w:qFormat/>
    <w:uiPriority w:val="99"/>
    <w:rPr>
      <w:b/>
      <w:bCs/>
      <w:kern w:val="44"/>
      <w:sz w:val="44"/>
      <w:szCs w:val="44"/>
    </w:rPr>
  </w:style>
  <w:style w:type="paragraph" w:customStyle="1" w:styleId="56">
    <w:name w:val="正文 New"/>
    <w:qFormat/>
    <w:uiPriority w:val="99"/>
    <w:pPr>
      <w:widowControl w:val="0"/>
      <w:jc w:val="both"/>
    </w:pPr>
    <w:rPr>
      <w:rFonts w:ascii="Calibri" w:hAnsi="Calibri" w:eastAsiaTheme="minorEastAsia" w:cstheme="minorBidi"/>
      <w:sz w:val="21"/>
      <w:szCs w:val="22"/>
      <w:lang w:val="en-US" w:eastAsia="zh-CN" w:bidi="ar-SA"/>
    </w:rPr>
  </w:style>
  <w:style w:type="paragraph" w:customStyle="1" w:styleId="57">
    <w:name w:val="Table Paragraph"/>
    <w:basedOn w:val="1"/>
    <w:qFormat/>
    <w:uiPriority w:val="1"/>
    <w:pPr>
      <w:adjustRightInd/>
    </w:pPr>
    <w:rPr>
      <w:rFonts w:ascii="宋体" w:hAnsi="宋体" w:cs="宋体"/>
      <w:sz w:val="22"/>
      <w:szCs w:val="22"/>
      <w:lang w:val="zh-CN" w:bidi="zh-CN"/>
    </w:rPr>
  </w:style>
  <w:style w:type="table" w:customStyle="1" w:styleId="58">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59">
    <w:name w:val="hover25"/>
    <w:basedOn w:val="24"/>
    <w:qFormat/>
    <w:uiPriority w:val="0"/>
    <w:rPr>
      <w:color w:val="167AE0"/>
    </w:rPr>
  </w:style>
  <w:style w:type="character" w:customStyle="1" w:styleId="60">
    <w:name w:val="nth-of-type(5)"/>
    <w:basedOn w:val="24"/>
    <w:qFormat/>
    <w:uiPriority w:val="0"/>
  </w:style>
  <w:style w:type="character" w:customStyle="1" w:styleId="61">
    <w:name w:val="nth-child(2)"/>
    <w:basedOn w:val="24"/>
    <w:qFormat/>
    <w:uiPriority w:val="0"/>
  </w:style>
  <w:style w:type="character" w:customStyle="1" w:styleId="62">
    <w:name w:val="layui-this"/>
    <w:basedOn w:val="24"/>
    <w:qFormat/>
    <w:uiPriority w:val="0"/>
    <w:rPr>
      <w:bdr w:val="single" w:color="EEEEEE" w:sz="6" w:space="0"/>
      <w:shd w:val="clear" w:fill="FFFFFF"/>
    </w:rPr>
  </w:style>
  <w:style w:type="character" w:customStyle="1" w:styleId="63">
    <w:name w:val="first-child"/>
    <w:basedOn w:val="24"/>
    <w:qFormat/>
    <w:uiPriority w:val="0"/>
  </w:style>
  <w:style w:type="character" w:customStyle="1" w:styleId="64">
    <w:name w:val="first-child1"/>
    <w:basedOn w:val="24"/>
    <w:qFormat/>
    <w:uiPriority w:val="0"/>
  </w:style>
  <w:style w:type="character" w:customStyle="1" w:styleId="65">
    <w:name w:val="first-child2"/>
    <w:basedOn w:val="24"/>
    <w:qFormat/>
    <w:uiPriority w:val="0"/>
  </w:style>
  <w:style w:type="character" w:customStyle="1" w:styleId="66">
    <w:name w:val="first-child3"/>
    <w:basedOn w:val="24"/>
    <w:qFormat/>
    <w:uiPriority w:val="0"/>
  </w:style>
  <w:style w:type="character" w:customStyle="1" w:styleId="67">
    <w:name w:val="nth-of-type(8)"/>
    <w:basedOn w:val="24"/>
    <w:qFormat/>
    <w:uiPriority w:val="0"/>
  </w:style>
  <w:style w:type="character" w:customStyle="1" w:styleId="68">
    <w:name w:val="layui-laypage-curr"/>
    <w:basedOn w:val="24"/>
    <w:qFormat/>
    <w:uiPriority w:val="0"/>
  </w:style>
  <w:style w:type="character" w:customStyle="1" w:styleId="69">
    <w:name w:val="nth-of-type(7)"/>
    <w:basedOn w:val="24"/>
    <w:qFormat/>
    <w:uiPriority w:val="0"/>
  </w:style>
  <w:style w:type="character" w:customStyle="1" w:styleId="70">
    <w:name w:val="nth-of-type(7)1"/>
    <w:basedOn w:val="24"/>
    <w:qFormat/>
    <w:uiPriority w:val="0"/>
  </w:style>
  <w:style w:type="character" w:customStyle="1" w:styleId="71">
    <w:name w:val="nth-of-type(7)2"/>
    <w:basedOn w:val="24"/>
    <w:qFormat/>
    <w:uiPriority w:val="0"/>
  </w:style>
  <w:style w:type="character" w:customStyle="1" w:styleId="72">
    <w:name w:val="nth-of-type(6)"/>
    <w:basedOn w:val="24"/>
    <w:qFormat/>
    <w:uiPriority w:val="0"/>
  </w:style>
  <w:style w:type="character" w:customStyle="1" w:styleId="73">
    <w:name w:val="lineshow"/>
    <w:basedOn w:val="24"/>
    <w:qFormat/>
    <w:uiPriority w:val="0"/>
  </w:style>
  <w:style w:type="character" w:customStyle="1" w:styleId="74">
    <w:name w:val="lineshow1"/>
    <w:basedOn w:val="24"/>
    <w:qFormat/>
    <w:uiPriority w:val="0"/>
  </w:style>
  <w:style w:type="character" w:customStyle="1" w:styleId="75">
    <w:name w:val="nth-of-type(9)"/>
    <w:basedOn w:val="24"/>
    <w:qFormat/>
    <w:uiPriority w:val="0"/>
  </w:style>
  <w:style w:type="character" w:customStyle="1" w:styleId="76">
    <w:name w:val="nth-of-type(3)"/>
    <w:basedOn w:val="24"/>
    <w:qFormat/>
    <w:uiPriority w:val="0"/>
  </w:style>
  <w:style w:type="character" w:customStyle="1" w:styleId="77">
    <w:name w:val="nth-of-type(4)"/>
    <w:basedOn w:val="24"/>
    <w:qFormat/>
    <w:uiPriority w:val="0"/>
  </w:style>
  <w:style w:type="character" w:customStyle="1" w:styleId="78">
    <w:name w:val="nth-of-type(1)"/>
    <w:basedOn w:val="24"/>
    <w:qFormat/>
    <w:uiPriority w:val="0"/>
  </w:style>
  <w:style w:type="character" w:customStyle="1" w:styleId="79">
    <w:name w:val="nth-of-type(1)1"/>
    <w:basedOn w:val="24"/>
    <w:qFormat/>
    <w:uiPriority w:val="0"/>
  </w:style>
  <w:style w:type="character" w:customStyle="1" w:styleId="80">
    <w:name w:val="nth-of-type(1)2"/>
    <w:basedOn w:val="24"/>
    <w:qFormat/>
    <w:uiPriority w:val="0"/>
  </w:style>
  <w:style w:type="character" w:customStyle="1" w:styleId="81">
    <w:name w:val="nth-of-type(1)3"/>
    <w:basedOn w:val="24"/>
    <w:qFormat/>
    <w:uiPriority w:val="0"/>
  </w:style>
  <w:style w:type="character" w:customStyle="1" w:styleId="82">
    <w:name w:val="nth-of-type(1)4"/>
    <w:basedOn w:val="24"/>
    <w:qFormat/>
    <w:uiPriority w:val="0"/>
  </w:style>
  <w:style w:type="character" w:customStyle="1" w:styleId="83">
    <w:name w:val="nth-of-type(1)5"/>
    <w:basedOn w:val="24"/>
    <w:qFormat/>
    <w:uiPriority w:val="0"/>
  </w:style>
  <w:style w:type="character" w:customStyle="1" w:styleId="84">
    <w:name w:val="nth-of-type(1)6"/>
    <w:basedOn w:val="24"/>
    <w:qFormat/>
    <w:uiPriority w:val="0"/>
  </w:style>
  <w:style w:type="character" w:customStyle="1" w:styleId="85">
    <w:name w:val="nth-of-type(1)7"/>
    <w:basedOn w:val="24"/>
    <w:qFormat/>
    <w:uiPriority w:val="0"/>
    <w:rPr>
      <w:rFonts w:ascii="SourceHanSansCN-Regular" w:hAnsi="SourceHanSansCN-Regular" w:eastAsia="SourceHanSansCN-Regular" w:cs="SourceHanSansCN-Regular"/>
      <w:color w:val="FB560A"/>
      <w:sz w:val="21"/>
      <w:szCs w:val="21"/>
    </w:rPr>
  </w:style>
  <w:style w:type="character" w:customStyle="1" w:styleId="86">
    <w:name w:val="nth-of-type(1)8"/>
    <w:basedOn w:val="24"/>
    <w:qFormat/>
    <w:uiPriority w:val="0"/>
  </w:style>
  <w:style w:type="character" w:customStyle="1" w:styleId="87">
    <w:name w:val="nth-of-type(1)9"/>
    <w:basedOn w:val="24"/>
    <w:qFormat/>
    <w:uiPriority w:val="0"/>
  </w:style>
  <w:style w:type="character" w:customStyle="1" w:styleId="88">
    <w:name w:val="nth-of-type(1)10"/>
    <w:basedOn w:val="24"/>
    <w:qFormat/>
    <w:uiPriority w:val="0"/>
  </w:style>
  <w:style w:type="character" w:customStyle="1" w:styleId="89">
    <w:name w:val="nth-of-type(1)11"/>
    <w:basedOn w:val="24"/>
    <w:qFormat/>
    <w:uiPriority w:val="0"/>
  </w:style>
  <w:style w:type="character" w:customStyle="1" w:styleId="90">
    <w:name w:val="nth-of-type(1)12"/>
    <w:basedOn w:val="24"/>
    <w:qFormat/>
    <w:uiPriority w:val="0"/>
  </w:style>
  <w:style w:type="character" w:customStyle="1" w:styleId="91">
    <w:name w:val="nth-of-type(1)13"/>
    <w:basedOn w:val="24"/>
    <w:qFormat/>
    <w:uiPriority w:val="0"/>
  </w:style>
  <w:style w:type="character" w:customStyle="1" w:styleId="92">
    <w:name w:val="nth-of-type(1)14"/>
    <w:basedOn w:val="24"/>
    <w:qFormat/>
    <w:uiPriority w:val="0"/>
  </w:style>
  <w:style w:type="character" w:customStyle="1" w:styleId="93">
    <w:name w:val="nth-of-type(1)15"/>
    <w:basedOn w:val="24"/>
    <w:qFormat/>
    <w:uiPriority w:val="0"/>
    <w:rPr>
      <w:color w:val="0082DF"/>
    </w:rPr>
  </w:style>
  <w:style w:type="character" w:customStyle="1" w:styleId="94">
    <w:name w:val="nth-of-type(1)16"/>
    <w:basedOn w:val="24"/>
    <w:qFormat/>
    <w:uiPriority w:val="0"/>
  </w:style>
  <w:style w:type="character" w:customStyle="1" w:styleId="95">
    <w:name w:val="nth-of-type(1)17"/>
    <w:basedOn w:val="24"/>
    <w:qFormat/>
    <w:uiPriority w:val="0"/>
    <w:rPr>
      <w:sz w:val="21"/>
      <w:szCs w:val="21"/>
    </w:rPr>
  </w:style>
  <w:style w:type="character" w:customStyle="1" w:styleId="96">
    <w:name w:val="last-child1"/>
    <w:basedOn w:val="24"/>
    <w:qFormat/>
    <w:uiPriority w:val="0"/>
    <w:rPr>
      <w:color w:val="FFFFFF"/>
    </w:rPr>
  </w:style>
  <w:style w:type="character" w:customStyle="1" w:styleId="97">
    <w:name w:val="last-child2"/>
    <w:basedOn w:val="24"/>
    <w:qFormat/>
    <w:uiPriority w:val="0"/>
  </w:style>
  <w:style w:type="character" w:customStyle="1" w:styleId="98">
    <w:name w:val="last-child3"/>
    <w:basedOn w:val="24"/>
    <w:qFormat/>
    <w:uiPriority w:val="0"/>
  </w:style>
  <w:style w:type="character" w:customStyle="1" w:styleId="99">
    <w:name w:val="nth-of-type(2)"/>
    <w:basedOn w:val="24"/>
    <w:qFormat/>
    <w:uiPriority w:val="0"/>
  </w:style>
  <w:style w:type="character" w:customStyle="1" w:styleId="100">
    <w:name w:val="nth-of-type(2)1"/>
    <w:basedOn w:val="24"/>
    <w:qFormat/>
    <w:uiPriority w:val="0"/>
  </w:style>
  <w:style w:type="character" w:customStyle="1" w:styleId="101">
    <w:name w:val="nth-of-type(2)2"/>
    <w:basedOn w:val="24"/>
    <w:qFormat/>
    <w:uiPriority w:val="0"/>
  </w:style>
  <w:style w:type="character" w:customStyle="1" w:styleId="102">
    <w:name w:val="nth-of-type(2)3"/>
    <w:basedOn w:val="24"/>
    <w:qFormat/>
    <w:uiPriority w:val="0"/>
  </w:style>
  <w:style w:type="character" w:customStyle="1" w:styleId="103">
    <w:name w:val="nth-of-type(2)4"/>
    <w:basedOn w:val="24"/>
    <w:qFormat/>
    <w:uiPriority w:val="0"/>
  </w:style>
  <w:style w:type="character" w:customStyle="1" w:styleId="104">
    <w:name w:val="nth-of-type(2)5"/>
    <w:basedOn w:val="24"/>
    <w:qFormat/>
    <w:uiPriority w:val="0"/>
  </w:style>
  <w:style w:type="character" w:customStyle="1" w:styleId="105">
    <w:name w:val="nth-of-type(2)6"/>
    <w:basedOn w:val="24"/>
    <w:qFormat/>
    <w:uiPriority w:val="0"/>
  </w:style>
  <w:style w:type="character" w:customStyle="1" w:styleId="106">
    <w:name w:val="nth-of-type(2)7"/>
    <w:basedOn w:val="24"/>
    <w:qFormat/>
    <w:uiPriority w:val="0"/>
  </w:style>
  <w:style w:type="character" w:customStyle="1" w:styleId="107">
    <w:name w:val="nth-of-type(2)8"/>
    <w:basedOn w:val="24"/>
    <w:qFormat/>
    <w:uiPriority w:val="0"/>
  </w:style>
  <w:style w:type="character" w:customStyle="1" w:styleId="108">
    <w:name w:val="nth-of-type(2)9"/>
    <w:basedOn w:val="24"/>
    <w:qFormat/>
    <w:uiPriority w:val="0"/>
  </w:style>
  <w:style w:type="character" w:customStyle="1" w:styleId="109">
    <w:name w:val="nth-of-type(2)10"/>
    <w:basedOn w:val="24"/>
    <w:qFormat/>
    <w:uiPriority w:val="0"/>
  </w:style>
  <w:style w:type="character" w:customStyle="1" w:styleId="110">
    <w:name w:val="nth-of-type(2)11"/>
    <w:basedOn w:val="24"/>
    <w:qFormat/>
    <w:uiPriority w:val="0"/>
  </w:style>
  <w:style w:type="character" w:customStyle="1" w:styleId="111">
    <w:name w:val="nth-of-type(2)12"/>
    <w:basedOn w:val="24"/>
    <w:qFormat/>
    <w:uiPriority w:val="0"/>
  </w:style>
  <w:style w:type="character" w:customStyle="1" w:styleId="112">
    <w:name w:val="nth-of-type(2)13"/>
    <w:basedOn w:val="24"/>
    <w:qFormat/>
    <w:uiPriority w:val="0"/>
    <w:rPr>
      <w:sz w:val="21"/>
      <w:szCs w:val="21"/>
    </w:rPr>
  </w:style>
  <w:style w:type="character" w:customStyle="1" w:styleId="113">
    <w:name w:val="nth-child(1)"/>
    <w:basedOn w:val="24"/>
    <w:qFormat/>
    <w:uiPriority w:val="0"/>
  </w:style>
  <w:style w:type="character" w:customStyle="1" w:styleId="114">
    <w:name w:val="nth-of-type(10)"/>
    <w:basedOn w:val="24"/>
    <w:qFormat/>
    <w:uiPriority w:val="0"/>
  </w:style>
  <w:style w:type="character" w:customStyle="1" w:styleId="115">
    <w:name w:val="nth-child(3)"/>
    <w:basedOn w:val="24"/>
    <w:qFormat/>
    <w:uiPriority w:val="0"/>
  </w:style>
  <w:style w:type="character" w:customStyle="1" w:styleId="116">
    <w:name w:val="titleshow"/>
    <w:basedOn w:val="24"/>
    <w:qFormat/>
    <w:uiPriority w:val="0"/>
    <w:rPr>
      <w:color w:val="3E464C"/>
    </w:rPr>
  </w:style>
  <w:style w:type="character" w:customStyle="1" w:styleId="117">
    <w:name w:val="before2"/>
    <w:basedOn w:val="24"/>
    <w:qFormat/>
    <w:uiPriority w:val="0"/>
    <w:rPr>
      <w:shd w:val="clear" w:fill="C20E0C"/>
    </w:rPr>
  </w:style>
  <w:style w:type="character" w:customStyle="1" w:styleId="118">
    <w:name w:val="nth-of-type(6)1"/>
    <w:basedOn w:val="24"/>
    <w:qFormat/>
    <w:uiPriority w:val="0"/>
  </w:style>
  <w:style w:type="character" w:customStyle="1" w:styleId="119">
    <w:name w:val="nth-of-type(6)2"/>
    <w:basedOn w:val="24"/>
    <w:qFormat/>
    <w:uiPriority w:val="0"/>
    <w:rPr>
      <w:color w:val="0082DF"/>
    </w:rPr>
  </w:style>
  <w:style w:type="character" w:customStyle="1" w:styleId="120">
    <w:name w:val="nth-of-type(6)3"/>
    <w:basedOn w:val="24"/>
    <w:qFormat/>
    <w:uiPriority w:val="0"/>
  </w:style>
  <w:style w:type="character" w:customStyle="1" w:styleId="121">
    <w:name w:val="nth-of-type(6)4"/>
    <w:basedOn w:val="24"/>
    <w:qFormat/>
    <w:uiPriority w:val="0"/>
  </w:style>
  <w:style w:type="character" w:customStyle="1" w:styleId="122">
    <w:name w:val="nth-of-type(6)5"/>
    <w:basedOn w:val="24"/>
    <w:qFormat/>
    <w:uiPriority w:val="0"/>
  </w:style>
  <w:style w:type="character" w:customStyle="1" w:styleId="123">
    <w:name w:val="nth-of-type(3)1"/>
    <w:basedOn w:val="24"/>
    <w:qFormat/>
    <w:uiPriority w:val="0"/>
  </w:style>
  <w:style w:type="character" w:customStyle="1" w:styleId="124">
    <w:name w:val="nth-of-type(3)2"/>
    <w:basedOn w:val="24"/>
    <w:qFormat/>
    <w:uiPriority w:val="0"/>
  </w:style>
  <w:style w:type="character" w:customStyle="1" w:styleId="125">
    <w:name w:val="nth-of-type(3)3"/>
    <w:basedOn w:val="24"/>
    <w:qFormat/>
    <w:uiPriority w:val="0"/>
  </w:style>
  <w:style w:type="character" w:customStyle="1" w:styleId="126">
    <w:name w:val="nth-of-type(3)4"/>
    <w:basedOn w:val="24"/>
    <w:qFormat/>
    <w:uiPriority w:val="0"/>
  </w:style>
  <w:style w:type="character" w:customStyle="1" w:styleId="127">
    <w:name w:val="nth-of-type(3)5"/>
    <w:basedOn w:val="24"/>
    <w:qFormat/>
    <w:uiPriority w:val="0"/>
  </w:style>
  <w:style w:type="character" w:customStyle="1" w:styleId="128">
    <w:name w:val="nth-of-type(3)6"/>
    <w:basedOn w:val="24"/>
    <w:qFormat/>
    <w:uiPriority w:val="0"/>
  </w:style>
  <w:style w:type="character" w:customStyle="1" w:styleId="129">
    <w:name w:val="nth-of-type(3)7"/>
    <w:basedOn w:val="24"/>
    <w:qFormat/>
    <w:uiPriority w:val="0"/>
    <w:rPr>
      <w:sz w:val="21"/>
      <w:szCs w:val="21"/>
    </w:rPr>
  </w:style>
  <w:style w:type="character" w:customStyle="1" w:styleId="130">
    <w:name w:val="nth-of-type(4)1"/>
    <w:basedOn w:val="24"/>
    <w:qFormat/>
    <w:uiPriority w:val="0"/>
  </w:style>
  <w:style w:type="character" w:customStyle="1" w:styleId="131">
    <w:name w:val="nth-of-type(4)2"/>
    <w:basedOn w:val="24"/>
    <w:qFormat/>
    <w:uiPriority w:val="0"/>
  </w:style>
  <w:style w:type="character" w:customStyle="1" w:styleId="132">
    <w:name w:val="nth-of-type(4)3"/>
    <w:basedOn w:val="24"/>
    <w:qFormat/>
    <w:uiPriority w:val="0"/>
  </w:style>
  <w:style w:type="character" w:customStyle="1" w:styleId="133">
    <w:name w:val="nth-of-type(4)4"/>
    <w:basedOn w:val="24"/>
    <w:qFormat/>
    <w:uiPriority w:val="0"/>
  </w:style>
  <w:style w:type="character" w:customStyle="1" w:styleId="134">
    <w:name w:val="nth-of-type(4)5"/>
    <w:basedOn w:val="24"/>
    <w:qFormat/>
    <w:uiPriority w:val="0"/>
  </w:style>
  <w:style w:type="character" w:customStyle="1" w:styleId="135">
    <w:name w:val="nth-of-type(4)6"/>
    <w:basedOn w:val="24"/>
    <w:qFormat/>
    <w:uiPriority w:val="0"/>
  </w:style>
  <w:style w:type="character" w:customStyle="1" w:styleId="136">
    <w:name w:val="nth-of-type(4)7"/>
    <w:basedOn w:val="24"/>
    <w:qFormat/>
    <w:uiPriority w:val="0"/>
  </w:style>
  <w:style w:type="character" w:customStyle="1" w:styleId="137">
    <w:name w:val="nth-of-type(4)8"/>
    <w:basedOn w:val="24"/>
    <w:qFormat/>
    <w:uiPriority w:val="0"/>
    <w:rPr>
      <w:sz w:val="21"/>
      <w:szCs w:val="21"/>
    </w:rPr>
  </w:style>
  <w:style w:type="character" w:customStyle="1" w:styleId="138">
    <w:name w:val="layui-this4"/>
    <w:basedOn w:val="24"/>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32626</Words>
  <Characters>34082</Characters>
  <Lines>289</Lines>
  <Paragraphs>81</Paragraphs>
  <TotalTime>1</TotalTime>
  <ScaleCrop>false</ScaleCrop>
  <LinksUpToDate>false</LinksUpToDate>
  <CharactersWithSpaces>36112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2020-12-10T01:31:00Z</dcterms:created>
  <dc:creator>Administrator</dc:creator>
  <cp:lastModifiedBy>QinL109</cp:lastModifiedBy>
  <cp:lastPrinted>2022-05-10T07:51:00Z</cp:lastPrinted>
  <dcterms:modified xsi:type="dcterms:W3CDTF">2022-08-03T07:19:55Z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D2D16B882E4A40DF96511E49F7A19AF6</vt:lpwstr>
  </property>
</Properties>
</file>