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heme="minorEastAsia" w:hAnsiTheme="minorEastAsia" w:eastAsiaTheme="minorEastAsia"/>
          <w:b/>
          <w:color w:val="auto"/>
          <w:sz w:val="44"/>
          <w:szCs w:val="44"/>
          <w:highlight w:val="none"/>
        </w:rPr>
      </w:pPr>
      <w:r>
        <w:rPr>
          <w:rFonts w:hint="eastAsia" w:asciiTheme="minorEastAsia" w:hAnsiTheme="minorEastAsia" w:eastAsiaTheme="minorEastAsia"/>
          <w:b/>
          <w:color w:val="auto"/>
          <w:sz w:val="44"/>
          <w:szCs w:val="44"/>
          <w:highlight w:val="none"/>
        </w:rPr>
        <w:drawing>
          <wp:inline distT="0" distB="0" distL="0" distR="0">
            <wp:extent cx="971550" cy="971550"/>
            <wp:effectExtent l="0" t="0" r="0" b="0"/>
            <wp:docPr id="1" name="图片 1" descr="公司公众平台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公众平台二维码"/>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71550" cy="971550"/>
                    </a:xfrm>
                    <a:prstGeom prst="rect">
                      <a:avLst/>
                    </a:prstGeom>
                    <a:noFill/>
                    <a:ln>
                      <a:noFill/>
                    </a:ln>
                  </pic:spPr>
                </pic:pic>
              </a:graphicData>
            </a:graphic>
          </wp:inline>
        </w:drawing>
      </w:r>
    </w:p>
    <w:p>
      <w:pPr>
        <w:jc w:val="center"/>
        <w:rPr>
          <w:rFonts w:asciiTheme="minorEastAsia" w:hAnsiTheme="minorEastAsia" w:eastAsiaTheme="minorEastAsia"/>
          <w:b/>
          <w:color w:val="auto"/>
          <w:sz w:val="44"/>
          <w:szCs w:val="44"/>
          <w:highlight w:val="none"/>
        </w:rPr>
      </w:pPr>
      <w:r>
        <w:rPr>
          <w:rFonts w:hint="eastAsia" w:asciiTheme="minorEastAsia" w:hAnsiTheme="minorEastAsia" w:eastAsiaTheme="minorEastAsia"/>
          <w:b/>
          <w:color w:val="auto"/>
          <w:sz w:val="44"/>
          <w:szCs w:val="44"/>
          <w:highlight w:val="none"/>
        </w:rPr>
        <w:t>政府采购货物项目</w:t>
      </w:r>
    </w:p>
    <w:p>
      <w:pPr>
        <w:jc w:val="left"/>
        <w:rPr>
          <w:rFonts w:asciiTheme="minorEastAsia" w:hAnsiTheme="minorEastAsia" w:eastAsiaTheme="minorEastAsia"/>
          <w:b/>
          <w:color w:val="auto"/>
          <w:sz w:val="24"/>
          <w:szCs w:val="24"/>
          <w:highlight w:val="none"/>
        </w:rPr>
      </w:pPr>
    </w:p>
    <w:p>
      <w:pPr>
        <w:jc w:val="left"/>
        <w:rPr>
          <w:rFonts w:asciiTheme="minorEastAsia" w:hAnsiTheme="minorEastAsia" w:eastAsiaTheme="minorEastAsia"/>
          <w:b/>
          <w:color w:val="auto"/>
          <w:sz w:val="24"/>
          <w:szCs w:val="24"/>
          <w:highlight w:val="none"/>
        </w:rPr>
      </w:pPr>
    </w:p>
    <w:p>
      <w:pPr>
        <w:jc w:val="left"/>
        <w:rPr>
          <w:rFonts w:asciiTheme="minorEastAsia" w:hAnsiTheme="minorEastAsia" w:eastAsiaTheme="minorEastAsia"/>
          <w:b/>
          <w:color w:val="auto"/>
          <w:sz w:val="24"/>
          <w:szCs w:val="24"/>
          <w:highlight w:val="none"/>
        </w:rPr>
      </w:pPr>
    </w:p>
    <w:p>
      <w:pPr>
        <w:jc w:val="left"/>
        <w:rPr>
          <w:rFonts w:asciiTheme="minorEastAsia" w:hAnsiTheme="minorEastAsia" w:eastAsiaTheme="minorEastAsia"/>
          <w:b/>
          <w:color w:val="auto"/>
          <w:sz w:val="24"/>
          <w:szCs w:val="24"/>
          <w:highlight w:val="none"/>
        </w:rPr>
      </w:pPr>
    </w:p>
    <w:p>
      <w:pPr>
        <w:jc w:val="center"/>
        <w:rPr>
          <w:rFonts w:asciiTheme="minorEastAsia" w:hAnsiTheme="minorEastAsia" w:eastAsiaTheme="minorEastAsia"/>
          <w:b/>
          <w:color w:val="auto"/>
          <w:sz w:val="72"/>
          <w:szCs w:val="72"/>
          <w:highlight w:val="none"/>
        </w:rPr>
      </w:pPr>
      <w:r>
        <w:rPr>
          <w:rFonts w:hint="eastAsia" w:asciiTheme="minorEastAsia" w:hAnsiTheme="minorEastAsia" w:eastAsiaTheme="minorEastAsia"/>
          <w:b/>
          <w:color w:val="auto"/>
          <w:sz w:val="84"/>
          <w:szCs w:val="84"/>
          <w:highlight w:val="none"/>
        </w:rPr>
        <w:t>招 标 文 件</w:t>
      </w:r>
    </w:p>
    <w:p>
      <w:pPr>
        <w:jc w:val="left"/>
        <w:rPr>
          <w:rFonts w:asciiTheme="minorEastAsia" w:hAnsiTheme="minorEastAsia" w:eastAsiaTheme="minorEastAsia"/>
          <w:b/>
          <w:color w:val="auto"/>
          <w:sz w:val="24"/>
          <w:szCs w:val="24"/>
          <w:highlight w:val="none"/>
        </w:rPr>
      </w:pPr>
    </w:p>
    <w:p>
      <w:pPr>
        <w:jc w:val="left"/>
        <w:rPr>
          <w:rFonts w:asciiTheme="minorEastAsia" w:hAnsiTheme="minorEastAsia" w:eastAsiaTheme="minorEastAsia"/>
          <w:b/>
          <w:color w:val="auto"/>
          <w:sz w:val="24"/>
          <w:szCs w:val="24"/>
          <w:highlight w:val="none"/>
        </w:rPr>
      </w:pPr>
    </w:p>
    <w:p>
      <w:pPr>
        <w:jc w:val="left"/>
        <w:rPr>
          <w:rFonts w:asciiTheme="minorEastAsia" w:hAnsiTheme="minorEastAsia" w:eastAsiaTheme="minorEastAsia"/>
          <w:b/>
          <w:color w:val="auto"/>
          <w:sz w:val="24"/>
          <w:szCs w:val="24"/>
          <w:highlight w:val="none"/>
        </w:rPr>
      </w:pPr>
    </w:p>
    <w:p>
      <w:pPr>
        <w:jc w:val="left"/>
        <w:rPr>
          <w:rFonts w:asciiTheme="minorEastAsia" w:hAnsiTheme="minorEastAsia" w:eastAsiaTheme="minorEastAsia"/>
          <w:b/>
          <w:color w:val="auto"/>
          <w:sz w:val="24"/>
          <w:szCs w:val="24"/>
          <w:highlight w:val="none"/>
        </w:rPr>
      </w:pPr>
    </w:p>
    <w:p>
      <w:pPr>
        <w:jc w:val="left"/>
        <w:rPr>
          <w:rFonts w:asciiTheme="minorEastAsia" w:hAnsiTheme="minorEastAsia" w:eastAsiaTheme="minorEastAsia"/>
          <w:b/>
          <w:color w:val="auto"/>
          <w:sz w:val="24"/>
          <w:szCs w:val="24"/>
          <w:highlight w:val="none"/>
        </w:rPr>
      </w:pPr>
    </w:p>
    <w:tbl>
      <w:tblPr>
        <w:tblStyle w:val="24"/>
        <w:tblW w:w="7138" w:type="dxa"/>
        <w:jc w:val="center"/>
        <w:tblLayout w:type="fixed"/>
        <w:tblCellMar>
          <w:top w:w="0" w:type="dxa"/>
          <w:left w:w="108" w:type="dxa"/>
          <w:bottom w:w="0" w:type="dxa"/>
          <w:right w:w="108" w:type="dxa"/>
        </w:tblCellMar>
      </w:tblPr>
      <w:tblGrid>
        <w:gridCol w:w="1753"/>
        <w:gridCol w:w="5385"/>
      </w:tblGrid>
      <w:tr>
        <w:tblPrEx>
          <w:tblCellMar>
            <w:top w:w="0" w:type="dxa"/>
            <w:left w:w="108" w:type="dxa"/>
            <w:bottom w:w="0" w:type="dxa"/>
            <w:right w:w="108" w:type="dxa"/>
          </w:tblCellMar>
        </w:tblPrEx>
        <w:trPr>
          <w:trHeight w:val="703" w:hRule="atLeast"/>
          <w:jc w:val="center"/>
        </w:trPr>
        <w:tc>
          <w:tcPr>
            <w:tcW w:w="1753" w:type="dxa"/>
            <w:tcBorders>
              <w:top w:val="nil"/>
              <w:left w:val="nil"/>
              <w:bottom w:val="nil"/>
              <w:right w:val="nil"/>
            </w:tcBorders>
            <w:vAlign w:val="center"/>
          </w:tcPr>
          <w:p>
            <w:pPr>
              <w:widowControl/>
              <w:rPr>
                <w:rFonts w:asciiTheme="minorEastAsia" w:hAnsiTheme="minorEastAsia" w:eastAsiaTheme="minorEastAsia"/>
                <w:b/>
                <w:color w:val="auto"/>
                <w:kern w:val="0"/>
                <w:sz w:val="30"/>
                <w:szCs w:val="30"/>
                <w:highlight w:val="none"/>
              </w:rPr>
            </w:pPr>
            <w:r>
              <w:rPr>
                <w:rFonts w:hint="eastAsia" w:asciiTheme="minorEastAsia" w:hAnsiTheme="minorEastAsia" w:eastAsiaTheme="minorEastAsia"/>
                <w:b/>
                <w:color w:val="auto"/>
                <w:kern w:val="0"/>
                <w:sz w:val="30"/>
                <w:szCs w:val="30"/>
                <w:highlight w:val="none"/>
              </w:rPr>
              <w:t>项目名称：</w:t>
            </w:r>
          </w:p>
        </w:tc>
        <w:tc>
          <w:tcPr>
            <w:tcW w:w="5385" w:type="dxa"/>
            <w:tcBorders>
              <w:top w:val="nil"/>
              <w:left w:val="nil"/>
              <w:bottom w:val="nil"/>
              <w:right w:val="nil"/>
            </w:tcBorders>
            <w:vAlign w:val="center"/>
          </w:tcPr>
          <w:p>
            <w:pPr>
              <w:widowControl/>
              <w:jc w:val="left"/>
              <w:rPr>
                <w:rFonts w:asciiTheme="minorEastAsia" w:hAnsiTheme="minorEastAsia" w:eastAsiaTheme="minorEastAsia"/>
                <w:color w:val="auto"/>
                <w:kern w:val="0"/>
                <w:sz w:val="30"/>
                <w:szCs w:val="30"/>
                <w:highlight w:val="none"/>
              </w:rPr>
            </w:pPr>
            <w:r>
              <w:rPr>
                <w:rFonts w:hint="eastAsia" w:asciiTheme="minorEastAsia" w:hAnsiTheme="minorEastAsia" w:eastAsiaTheme="minorEastAsia"/>
                <w:b/>
                <w:bCs/>
                <w:color w:val="auto"/>
                <w:kern w:val="0"/>
                <w:sz w:val="30"/>
                <w:szCs w:val="30"/>
                <w:highlight w:val="none"/>
                <w:lang w:eastAsia="zh-CN"/>
              </w:rPr>
              <w:t>陕西省水工环地质调查中心大深度地质雷达系统采购项目</w:t>
            </w:r>
          </w:p>
        </w:tc>
      </w:tr>
      <w:tr>
        <w:tblPrEx>
          <w:tblCellMar>
            <w:top w:w="0" w:type="dxa"/>
            <w:left w:w="108" w:type="dxa"/>
            <w:bottom w:w="0" w:type="dxa"/>
            <w:right w:w="108" w:type="dxa"/>
          </w:tblCellMar>
        </w:tblPrEx>
        <w:trPr>
          <w:trHeight w:val="703" w:hRule="atLeast"/>
          <w:jc w:val="center"/>
        </w:trPr>
        <w:tc>
          <w:tcPr>
            <w:tcW w:w="1753" w:type="dxa"/>
            <w:tcBorders>
              <w:top w:val="nil"/>
              <w:left w:val="nil"/>
              <w:bottom w:val="nil"/>
              <w:right w:val="nil"/>
            </w:tcBorders>
            <w:vAlign w:val="center"/>
          </w:tcPr>
          <w:p>
            <w:pPr>
              <w:widowControl/>
              <w:jc w:val="left"/>
              <w:rPr>
                <w:rFonts w:asciiTheme="minorEastAsia" w:hAnsiTheme="minorEastAsia" w:eastAsiaTheme="minorEastAsia"/>
                <w:b/>
                <w:color w:val="auto"/>
                <w:kern w:val="0"/>
                <w:sz w:val="30"/>
                <w:szCs w:val="30"/>
                <w:highlight w:val="none"/>
              </w:rPr>
            </w:pPr>
            <w:r>
              <w:rPr>
                <w:rFonts w:hint="eastAsia" w:asciiTheme="minorEastAsia" w:hAnsiTheme="minorEastAsia" w:eastAsiaTheme="minorEastAsia"/>
                <w:b/>
                <w:color w:val="auto"/>
                <w:kern w:val="0"/>
                <w:sz w:val="30"/>
                <w:szCs w:val="30"/>
                <w:highlight w:val="none"/>
              </w:rPr>
              <w:t>项目编号：</w:t>
            </w:r>
          </w:p>
        </w:tc>
        <w:tc>
          <w:tcPr>
            <w:tcW w:w="5385" w:type="dxa"/>
            <w:tcBorders>
              <w:top w:val="nil"/>
              <w:left w:val="nil"/>
              <w:bottom w:val="nil"/>
              <w:right w:val="nil"/>
            </w:tcBorders>
            <w:vAlign w:val="center"/>
          </w:tcPr>
          <w:p>
            <w:pPr>
              <w:widowControl/>
              <w:jc w:val="left"/>
              <w:rPr>
                <w:rFonts w:hint="eastAsia" w:asciiTheme="minorEastAsia" w:hAnsiTheme="minorEastAsia" w:eastAsiaTheme="minorEastAsia"/>
                <w:color w:val="auto"/>
                <w:kern w:val="0"/>
                <w:sz w:val="30"/>
                <w:szCs w:val="30"/>
                <w:highlight w:val="none"/>
                <w:lang w:val="en-US" w:eastAsia="zh-CN"/>
              </w:rPr>
            </w:pPr>
            <w:r>
              <w:rPr>
                <w:rFonts w:hint="eastAsia" w:asciiTheme="minorEastAsia" w:hAnsiTheme="minorEastAsia" w:eastAsiaTheme="minorEastAsia"/>
                <w:b/>
                <w:bCs/>
                <w:color w:val="auto"/>
                <w:kern w:val="0"/>
                <w:sz w:val="30"/>
                <w:szCs w:val="30"/>
                <w:highlight w:val="none"/>
                <w:lang w:eastAsia="zh-CN"/>
              </w:rPr>
              <w:t>0617-2223HZ1772</w:t>
            </w:r>
          </w:p>
        </w:tc>
      </w:tr>
    </w:tbl>
    <w:p>
      <w:pPr>
        <w:rPr>
          <w:rFonts w:asciiTheme="minorEastAsia" w:hAnsiTheme="minorEastAsia" w:eastAsiaTheme="minorEastAsia"/>
          <w:color w:val="auto"/>
          <w:sz w:val="24"/>
          <w:szCs w:val="24"/>
          <w:highlight w:val="none"/>
        </w:rPr>
      </w:pPr>
    </w:p>
    <w:p>
      <w:pPr>
        <w:jc w:val="center"/>
        <w:rPr>
          <w:rFonts w:asciiTheme="minorEastAsia" w:hAnsiTheme="minorEastAsia" w:eastAsiaTheme="minorEastAsia"/>
          <w:b/>
          <w:bCs/>
          <w:color w:val="auto"/>
          <w:sz w:val="36"/>
          <w:szCs w:val="36"/>
          <w:highlight w:val="none"/>
        </w:rPr>
      </w:pPr>
    </w:p>
    <w:p>
      <w:pPr>
        <w:pStyle w:val="2"/>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jc w:val="center"/>
        <w:rPr>
          <w:rFonts w:asciiTheme="minorEastAsia" w:hAnsiTheme="minorEastAsia" w:eastAsiaTheme="minorEastAsia"/>
          <w:b/>
          <w:bCs/>
          <w:color w:val="auto"/>
          <w:sz w:val="36"/>
          <w:szCs w:val="36"/>
          <w:highlight w:val="none"/>
        </w:rPr>
      </w:pPr>
      <w:r>
        <w:rPr>
          <w:rFonts w:hint="eastAsia" w:asciiTheme="minorEastAsia" w:hAnsiTheme="minorEastAsia" w:eastAsiaTheme="minorEastAsia"/>
          <w:b/>
          <w:bCs/>
          <w:color w:val="auto"/>
          <w:sz w:val="36"/>
          <w:szCs w:val="36"/>
          <w:highlight w:val="none"/>
        </w:rPr>
        <w:t>西北（陕西）国际招标有限公司</w:t>
      </w:r>
    </w:p>
    <w:p>
      <w:pPr>
        <w:snapToGrid w:val="0"/>
        <w:jc w:val="center"/>
        <w:rPr>
          <w:rFonts w:asciiTheme="minorEastAsia" w:hAnsiTheme="minorEastAsia" w:eastAsiaTheme="minorEastAsia"/>
          <w:b/>
          <w:bCs/>
          <w:color w:val="auto"/>
          <w:sz w:val="28"/>
          <w:szCs w:val="28"/>
          <w:highlight w:val="none"/>
        </w:rPr>
      </w:pPr>
    </w:p>
    <w:p>
      <w:pPr>
        <w:tabs>
          <w:tab w:val="left" w:pos="525"/>
        </w:tabs>
        <w:ind w:left="-2" w:leftChars="-1" w:firstLine="1"/>
        <w:jc w:val="center"/>
        <w:rPr>
          <w:rFonts w:asciiTheme="minorEastAsia" w:hAnsiTheme="minorEastAsia" w:eastAsiaTheme="minorEastAsia"/>
          <w:b/>
          <w:bCs/>
          <w:color w:val="auto"/>
          <w:sz w:val="36"/>
          <w:szCs w:val="36"/>
          <w:highlight w:val="none"/>
        </w:rPr>
      </w:pPr>
      <w:r>
        <w:rPr>
          <w:rFonts w:hint="eastAsia" w:asciiTheme="minorEastAsia" w:hAnsiTheme="minorEastAsia" w:eastAsiaTheme="minorEastAsia"/>
          <w:b/>
          <w:bCs/>
          <w:color w:val="auto"/>
          <w:sz w:val="36"/>
          <w:szCs w:val="36"/>
          <w:highlight w:val="none"/>
        </w:rPr>
        <w:t>二〇二二年</w:t>
      </w:r>
      <w:r>
        <w:rPr>
          <w:rFonts w:hint="eastAsia" w:asciiTheme="minorEastAsia" w:hAnsiTheme="minorEastAsia" w:eastAsiaTheme="minorEastAsia"/>
          <w:b/>
          <w:bCs/>
          <w:color w:val="auto"/>
          <w:sz w:val="36"/>
          <w:szCs w:val="36"/>
          <w:highlight w:val="none"/>
          <w:lang w:eastAsia="zh-CN"/>
        </w:rPr>
        <w:t>八</w:t>
      </w:r>
      <w:r>
        <w:rPr>
          <w:rFonts w:hint="eastAsia" w:asciiTheme="minorEastAsia" w:hAnsiTheme="minorEastAsia" w:eastAsiaTheme="minorEastAsia"/>
          <w:b/>
          <w:bCs/>
          <w:color w:val="auto"/>
          <w:sz w:val="36"/>
          <w:szCs w:val="36"/>
          <w:highlight w:val="none"/>
        </w:rPr>
        <w:t>月</w:t>
      </w:r>
    </w:p>
    <w:p>
      <w:pPr>
        <w:rPr>
          <w:rFonts w:asciiTheme="minorEastAsia" w:hAnsiTheme="minorEastAsia" w:eastAsiaTheme="minorEastAsia"/>
          <w:b/>
          <w:color w:val="auto"/>
          <w:sz w:val="48"/>
          <w:highlight w:val="none"/>
        </w:rPr>
        <w:sectPr>
          <w:headerReference r:id="rId4" w:type="first"/>
          <w:headerReference r:id="rId3" w:type="default"/>
          <w:footerReference r:id="rId5" w:type="default"/>
          <w:footerReference r:id="rId6" w:type="even"/>
          <w:pgSz w:w="11906" w:h="16838"/>
          <w:pgMar w:top="1440" w:right="1800" w:bottom="1440" w:left="1800" w:header="794" w:footer="992" w:gutter="0"/>
          <w:pgNumType w:start="0"/>
          <w:cols w:space="720" w:num="1"/>
          <w:titlePg/>
          <w:docGrid w:type="lines" w:linePitch="312" w:charSpace="0"/>
        </w:sectPr>
      </w:pPr>
    </w:p>
    <w:p>
      <w:pPr>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目   录</w:t>
      </w:r>
    </w:p>
    <w:sdt>
      <w:sdtPr>
        <w:rPr>
          <w:rFonts w:asciiTheme="minorEastAsia" w:hAnsiTheme="minorEastAsia" w:eastAsiaTheme="minorEastAsia"/>
          <w:color w:val="auto"/>
          <w:highlight w:val="none"/>
        </w:rPr>
        <w:id w:val="147482360"/>
        <w:docPartObj>
          <w:docPartGallery w:val="Table of Contents"/>
          <w:docPartUnique/>
        </w:docPartObj>
      </w:sdtPr>
      <w:sdtEndPr>
        <w:rPr>
          <w:rFonts w:asciiTheme="minorEastAsia" w:hAnsiTheme="minorEastAsia" w:eastAsiaTheme="minorEastAsia"/>
          <w:b/>
          <w:color w:val="auto"/>
          <w:highlight w:val="none"/>
        </w:rPr>
      </w:sdtEndPr>
      <w:sdtContent>
        <w:p>
          <w:pPr>
            <w:jc w:val="center"/>
            <w:rPr>
              <w:rFonts w:asciiTheme="minorEastAsia" w:hAnsiTheme="minorEastAsia" w:eastAsiaTheme="minorEastAsia"/>
              <w:color w:val="auto"/>
              <w:highlight w:val="none"/>
            </w:rPr>
          </w:pPr>
        </w:p>
        <w:p>
          <w:pPr>
            <w:pStyle w:val="17"/>
            <w:tabs>
              <w:tab w:val="right" w:leader="dot" w:pos="8306"/>
            </w:tabs>
            <w:rPr>
              <w:color w:val="auto"/>
              <w:highlight w:val="none"/>
            </w:rPr>
          </w:pPr>
          <w:r>
            <w:rPr>
              <w:rFonts w:asciiTheme="minorEastAsia" w:hAnsiTheme="minorEastAsia" w:eastAsiaTheme="minorEastAsia"/>
              <w:b w:val="0"/>
              <w:color w:val="auto"/>
              <w:sz w:val="44"/>
              <w:highlight w:val="none"/>
            </w:rPr>
            <w:fldChar w:fldCharType="begin"/>
          </w:r>
          <w:r>
            <w:rPr>
              <w:rFonts w:asciiTheme="minorEastAsia" w:hAnsiTheme="minorEastAsia" w:eastAsiaTheme="minorEastAsia"/>
              <w:b w:val="0"/>
              <w:color w:val="auto"/>
              <w:sz w:val="44"/>
              <w:highlight w:val="none"/>
            </w:rPr>
            <w:instrText xml:space="preserve">TOC \o "1-2" \h \u </w:instrText>
          </w:r>
          <w:r>
            <w:rPr>
              <w:rFonts w:asciiTheme="minorEastAsia" w:hAnsiTheme="minorEastAsia" w:eastAsiaTheme="minorEastAsia"/>
              <w:b w:val="0"/>
              <w:color w:val="auto"/>
              <w:sz w:val="44"/>
              <w:highlight w:val="none"/>
            </w:rPr>
            <w:fldChar w:fldCharType="separate"/>
          </w:r>
          <w:r>
            <w:rPr>
              <w:color w:val="auto"/>
              <w:highlight w:val="none"/>
            </w:rPr>
            <w:fldChar w:fldCharType="begin"/>
          </w:r>
          <w:r>
            <w:rPr>
              <w:color w:val="auto"/>
              <w:highlight w:val="none"/>
            </w:rPr>
            <w:instrText xml:space="preserve"> HYPERLINK \l "_Toc20770" </w:instrText>
          </w:r>
          <w:r>
            <w:rPr>
              <w:color w:val="auto"/>
              <w:highlight w:val="none"/>
            </w:rPr>
            <w:fldChar w:fldCharType="separate"/>
          </w:r>
          <w:r>
            <w:rPr>
              <w:rFonts w:hint="eastAsia" w:asciiTheme="minorEastAsia" w:hAnsiTheme="minorEastAsia" w:eastAsiaTheme="minorEastAsia"/>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_Toc20770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"_Toc2996" </w:instrText>
          </w:r>
          <w:r>
            <w:rPr>
              <w:color w:val="auto"/>
              <w:highlight w:val="none"/>
            </w:rPr>
            <w:fldChar w:fldCharType="separate"/>
          </w:r>
          <w:r>
            <w:rPr>
              <w:rFonts w:hint="eastAsia" w:asciiTheme="minorEastAsia" w:hAnsiTheme="minorEastAsia" w:eastAsiaTheme="minorEastAsia"/>
              <w:color w:val="auto"/>
              <w:highlight w:val="none"/>
            </w:rPr>
            <w:t>第二章  供应商须知及前附表</w:t>
          </w:r>
          <w:r>
            <w:rPr>
              <w:color w:val="auto"/>
              <w:highlight w:val="none"/>
            </w:rPr>
            <w:tab/>
          </w:r>
          <w:r>
            <w:rPr>
              <w:color w:val="auto"/>
              <w:highlight w:val="none"/>
            </w:rPr>
            <w:fldChar w:fldCharType="begin"/>
          </w:r>
          <w:r>
            <w:rPr>
              <w:color w:val="auto"/>
              <w:highlight w:val="none"/>
            </w:rPr>
            <w:instrText xml:space="preserve"> PAGEREF _Toc2996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"_Toc16168" </w:instrText>
          </w:r>
          <w:r>
            <w:rPr>
              <w:color w:val="auto"/>
              <w:highlight w:val="none"/>
            </w:rPr>
            <w:fldChar w:fldCharType="separate"/>
          </w:r>
          <w:r>
            <w:rPr>
              <w:rFonts w:hint="eastAsia" w:asciiTheme="minorEastAsia" w:hAnsiTheme="minorEastAsia" w:eastAsiaTheme="minorEastAsia"/>
              <w:color w:val="auto"/>
              <w:highlight w:val="none"/>
            </w:rPr>
            <w:t>供应商</w:t>
          </w:r>
          <w:r>
            <w:rPr>
              <w:rFonts w:hint="eastAsia" w:asciiTheme="minorEastAsia" w:hAnsiTheme="minorEastAsia" w:eastAsiaTheme="minorEastAsia"/>
              <w:color w:val="auto"/>
              <w:szCs w:val="30"/>
              <w:highlight w:val="none"/>
            </w:rPr>
            <w:t>须知前附表</w:t>
          </w:r>
          <w:r>
            <w:rPr>
              <w:color w:val="auto"/>
              <w:highlight w:val="none"/>
            </w:rPr>
            <w:tab/>
          </w:r>
          <w:r>
            <w:rPr>
              <w:color w:val="auto"/>
              <w:highlight w:val="none"/>
            </w:rPr>
            <w:fldChar w:fldCharType="begin"/>
          </w:r>
          <w:r>
            <w:rPr>
              <w:color w:val="auto"/>
              <w:highlight w:val="none"/>
            </w:rPr>
            <w:instrText xml:space="preserve"> PAGEREF _Toc16168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"_Toc9025" </w:instrText>
          </w:r>
          <w:r>
            <w:rPr>
              <w:color w:val="auto"/>
              <w:highlight w:val="none"/>
            </w:rPr>
            <w:fldChar w:fldCharType="separate"/>
          </w:r>
          <w:r>
            <w:rPr>
              <w:rFonts w:asciiTheme="minorEastAsia" w:hAnsiTheme="minorEastAsia" w:eastAsiaTheme="minorEastAsia"/>
              <w:color w:val="auto"/>
              <w:szCs w:val="30"/>
              <w:highlight w:val="none"/>
            </w:rPr>
            <w:t>一、总则</w:t>
          </w:r>
          <w:r>
            <w:rPr>
              <w:color w:val="auto"/>
              <w:highlight w:val="none"/>
            </w:rPr>
            <w:tab/>
          </w:r>
          <w:r>
            <w:rPr>
              <w:color w:val="auto"/>
              <w:highlight w:val="none"/>
            </w:rPr>
            <w:fldChar w:fldCharType="begin"/>
          </w:r>
          <w:r>
            <w:rPr>
              <w:color w:val="auto"/>
              <w:highlight w:val="none"/>
            </w:rPr>
            <w:instrText xml:space="preserve"> PAGEREF _Toc9025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"_Toc17352" </w:instrText>
          </w:r>
          <w:r>
            <w:rPr>
              <w:color w:val="auto"/>
              <w:highlight w:val="none"/>
            </w:rPr>
            <w:fldChar w:fldCharType="separate"/>
          </w:r>
          <w:r>
            <w:rPr>
              <w:rFonts w:asciiTheme="minorEastAsia" w:hAnsiTheme="minorEastAsia" w:eastAsiaTheme="minorEastAsia"/>
              <w:color w:val="auto"/>
              <w:szCs w:val="30"/>
              <w:highlight w:val="none"/>
            </w:rPr>
            <w:t>二</w:t>
          </w:r>
          <w:r>
            <w:rPr>
              <w:rFonts w:hint="eastAsia" w:asciiTheme="minorEastAsia" w:hAnsiTheme="minorEastAsia" w:eastAsiaTheme="minorEastAsia"/>
              <w:color w:val="auto"/>
              <w:szCs w:val="30"/>
              <w:highlight w:val="none"/>
            </w:rPr>
            <w:t>、</w:t>
          </w:r>
          <w:r>
            <w:rPr>
              <w:rFonts w:asciiTheme="minorEastAsia" w:hAnsiTheme="minorEastAsia" w:eastAsiaTheme="minorEastAsia"/>
              <w:color w:val="auto"/>
              <w:szCs w:val="30"/>
              <w:highlight w:val="none"/>
            </w:rPr>
            <w:t>招标文件</w:t>
          </w:r>
          <w:r>
            <w:rPr>
              <w:color w:val="auto"/>
              <w:highlight w:val="none"/>
            </w:rPr>
            <w:tab/>
          </w:r>
          <w:r>
            <w:rPr>
              <w:color w:val="auto"/>
              <w:highlight w:val="none"/>
            </w:rPr>
            <w:fldChar w:fldCharType="begin"/>
          </w:r>
          <w:r>
            <w:rPr>
              <w:color w:val="auto"/>
              <w:highlight w:val="none"/>
            </w:rPr>
            <w:instrText xml:space="preserve"> PAGEREF _Toc17352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"_Toc25387" </w:instrText>
          </w:r>
          <w:r>
            <w:rPr>
              <w:color w:val="auto"/>
              <w:highlight w:val="none"/>
            </w:rPr>
            <w:fldChar w:fldCharType="separate"/>
          </w:r>
          <w:r>
            <w:rPr>
              <w:rFonts w:hint="eastAsia" w:asciiTheme="minorEastAsia" w:hAnsiTheme="minorEastAsia" w:eastAsiaTheme="minorEastAsia"/>
              <w:color w:val="auto"/>
              <w:szCs w:val="30"/>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_Toc25387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"_Toc3022" </w:instrText>
          </w:r>
          <w:r>
            <w:rPr>
              <w:color w:val="auto"/>
              <w:highlight w:val="none"/>
            </w:rPr>
            <w:fldChar w:fldCharType="separate"/>
          </w:r>
          <w:r>
            <w:rPr>
              <w:rFonts w:hint="eastAsia" w:asciiTheme="minorEastAsia" w:hAnsiTheme="minorEastAsia" w:eastAsiaTheme="minorEastAsia"/>
              <w:color w:val="auto"/>
              <w:szCs w:val="30"/>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_Toc3022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"_Toc8304" </w:instrText>
          </w:r>
          <w:r>
            <w:rPr>
              <w:color w:val="auto"/>
              <w:highlight w:val="none"/>
            </w:rPr>
            <w:fldChar w:fldCharType="separate"/>
          </w:r>
          <w:r>
            <w:rPr>
              <w:rFonts w:hint="eastAsia" w:asciiTheme="minorEastAsia" w:hAnsiTheme="minorEastAsia" w:eastAsiaTheme="minorEastAsia"/>
              <w:color w:val="auto"/>
              <w:szCs w:val="30"/>
              <w:highlight w:val="none"/>
            </w:rPr>
            <w:t>五、开标、审查与评标</w:t>
          </w:r>
          <w:r>
            <w:rPr>
              <w:color w:val="auto"/>
              <w:highlight w:val="none"/>
            </w:rPr>
            <w:tab/>
          </w:r>
          <w:r>
            <w:rPr>
              <w:color w:val="auto"/>
              <w:highlight w:val="none"/>
            </w:rPr>
            <w:fldChar w:fldCharType="begin"/>
          </w:r>
          <w:r>
            <w:rPr>
              <w:color w:val="auto"/>
              <w:highlight w:val="none"/>
            </w:rPr>
            <w:instrText xml:space="preserve"> PAGEREF _Toc8304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"_Toc3605" </w:instrText>
          </w:r>
          <w:r>
            <w:rPr>
              <w:color w:val="auto"/>
              <w:highlight w:val="none"/>
            </w:rPr>
            <w:fldChar w:fldCharType="separate"/>
          </w:r>
          <w:r>
            <w:rPr>
              <w:rFonts w:hint="eastAsia" w:asciiTheme="minorEastAsia" w:hAnsiTheme="minorEastAsia" w:eastAsiaTheme="minorEastAsia"/>
              <w:color w:val="auto"/>
              <w:szCs w:val="30"/>
              <w:highlight w:val="none"/>
            </w:rPr>
            <w:t>六、定标、中标通知与签约</w:t>
          </w:r>
          <w:r>
            <w:rPr>
              <w:color w:val="auto"/>
              <w:highlight w:val="none"/>
            </w:rPr>
            <w:tab/>
          </w:r>
          <w:r>
            <w:rPr>
              <w:color w:val="auto"/>
              <w:highlight w:val="none"/>
            </w:rPr>
            <w:fldChar w:fldCharType="begin"/>
          </w:r>
          <w:r>
            <w:rPr>
              <w:color w:val="auto"/>
              <w:highlight w:val="none"/>
            </w:rPr>
            <w:instrText xml:space="preserve"> PAGEREF _Toc3605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"_Toc31987" </w:instrText>
          </w:r>
          <w:r>
            <w:rPr>
              <w:color w:val="auto"/>
              <w:highlight w:val="none"/>
            </w:rPr>
            <w:fldChar w:fldCharType="separate"/>
          </w:r>
          <w:r>
            <w:rPr>
              <w:rFonts w:hint="eastAsia"/>
              <w:color w:val="auto"/>
              <w:szCs w:val="32"/>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_Toc31987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"_Toc6564" </w:instrText>
          </w:r>
          <w:r>
            <w:rPr>
              <w:color w:val="auto"/>
              <w:highlight w:val="none"/>
            </w:rPr>
            <w:fldChar w:fldCharType="separate"/>
          </w:r>
          <w:r>
            <w:rPr>
              <w:rFonts w:hint="eastAsia" w:asciiTheme="minorEastAsia" w:hAnsiTheme="minorEastAsia" w:eastAsiaTheme="minorEastAsia"/>
              <w:color w:val="auto"/>
              <w:highlight w:val="none"/>
            </w:rPr>
            <w:t>第一</w:t>
          </w:r>
          <w:r>
            <w:rPr>
              <w:rFonts w:hint="eastAsia"/>
              <w:bCs/>
              <w:color w:val="auto"/>
              <w:szCs w:val="28"/>
              <w:highlight w:val="none"/>
            </w:rPr>
            <w:t>部分 合同通用条款</w:t>
          </w:r>
          <w:r>
            <w:rPr>
              <w:color w:val="auto"/>
              <w:highlight w:val="none"/>
            </w:rPr>
            <w:tab/>
          </w:r>
          <w:r>
            <w:rPr>
              <w:color w:val="auto"/>
              <w:highlight w:val="none"/>
            </w:rPr>
            <w:fldChar w:fldCharType="begin"/>
          </w:r>
          <w:r>
            <w:rPr>
              <w:color w:val="auto"/>
              <w:highlight w:val="none"/>
            </w:rPr>
            <w:instrText xml:space="preserve"> PAGEREF _Toc6564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"_Toc24544" </w:instrText>
          </w:r>
          <w:r>
            <w:rPr>
              <w:color w:val="auto"/>
              <w:highlight w:val="none"/>
            </w:rPr>
            <w:fldChar w:fldCharType="separate"/>
          </w:r>
          <w:r>
            <w:rPr>
              <w:rFonts w:hint="eastAsia" w:asciiTheme="minorEastAsia" w:hAnsiTheme="minorEastAsia" w:eastAsiaTheme="minorEastAsia"/>
              <w:color w:val="auto"/>
              <w:highlight w:val="none"/>
            </w:rPr>
            <w:t>第二</w:t>
          </w:r>
          <w:r>
            <w:rPr>
              <w:rFonts w:hint="eastAsia"/>
              <w:bCs/>
              <w:color w:val="auto"/>
              <w:szCs w:val="28"/>
              <w:highlight w:val="none"/>
            </w:rPr>
            <w:t>部分 合同专用条款</w:t>
          </w:r>
          <w:r>
            <w:rPr>
              <w:color w:val="auto"/>
              <w:highlight w:val="none"/>
            </w:rPr>
            <w:tab/>
          </w:r>
          <w:r>
            <w:rPr>
              <w:color w:val="auto"/>
              <w:highlight w:val="none"/>
            </w:rPr>
            <w:fldChar w:fldCharType="begin"/>
          </w:r>
          <w:r>
            <w:rPr>
              <w:color w:val="auto"/>
              <w:highlight w:val="none"/>
            </w:rPr>
            <w:instrText xml:space="preserve"> PAGEREF _Toc24544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"_Toc30428" </w:instrText>
          </w:r>
          <w:r>
            <w:rPr>
              <w:color w:val="auto"/>
              <w:highlight w:val="none"/>
            </w:rPr>
            <w:fldChar w:fldCharType="separate"/>
          </w:r>
          <w:r>
            <w:rPr>
              <w:rFonts w:hint="eastAsia" w:asciiTheme="minorEastAsia" w:hAnsiTheme="minorEastAsia" w:eastAsiaTheme="minorEastAsia"/>
              <w:color w:val="auto"/>
              <w:highlight w:val="none"/>
            </w:rPr>
            <w:t>第四章  招标内容</w:t>
          </w:r>
          <w:r>
            <w:rPr>
              <w:color w:val="auto"/>
              <w:highlight w:val="none"/>
            </w:rPr>
            <w:tab/>
          </w:r>
          <w:r>
            <w:rPr>
              <w:color w:val="auto"/>
              <w:highlight w:val="none"/>
            </w:rPr>
            <w:fldChar w:fldCharType="begin"/>
          </w:r>
          <w:r>
            <w:rPr>
              <w:color w:val="auto"/>
              <w:highlight w:val="none"/>
            </w:rPr>
            <w:instrText xml:space="preserve"> PAGEREF _Toc30428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"_Toc10867" </w:instrText>
          </w:r>
          <w:r>
            <w:rPr>
              <w:color w:val="auto"/>
              <w:highlight w:val="none"/>
            </w:rPr>
            <w:fldChar w:fldCharType="separate"/>
          </w:r>
          <w:r>
            <w:rPr>
              <w:rFonts w:hint="eastAsia" w:asciiTheme="minorEastAsia" w:hAnsiTheme="minorEastAsia" w:eastAsiaTheme="minorEastAsia"/>
              <w:color w:val="auto"/>
              <w:highlight w:val="none"/>
            </w:rPr>
            <w:t>第五章  评标方法</w:t>
          </w:r>
          <w:r>
            <w:rPr>
              <w:color w:val="auto"/>
              <w:highlight w:val="none"/>
            </w:rPr>
            <w:tab/>
          </w:r>
          <w:r>
            <w:rPr>
              <w:color w:val="auto"/>
              <w:highlight w:val="none"/>
            </w:rPr>
            <w:fldChar w:fldCharType="begin"/>
          </w:r>
          <w:r>
            <w:rPr>
              <w:color w:val="auto"/>
              <w:highlight w:val="none"/>
            </w:rPr>
            <w:instrText xml:space="preserve"> PAGEREF _Toc10867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"_Toc634" </w:instrText>
          </w:r>
          <w:r>
            <w:rPr>
              <w:color w:val="auto"/>
              <w:highlight w:val="none"/>
            </w:rPr>
            <w:fldChar w:fldCharType="separate"/>
          </w:r>
          <w:r>
            <w:rPr>
              <w:rFonts w:hint="eastAsia" w:asciiTheme="minorEastAsia" w:hAnsiTheme="minorEastAsia" w:eastAsiaTheme="minorEastAsia"/>
              <w:color w:val="auto"/>
              <w:spacing w:val="4"/>
              <w:szCs w:val="21"/>
              <w:highlight w:val="none"/>
            </w:rPr>
            <w:t>一、评标方法</w:t>
          </w:r>
          <w:r>
            <w:rPr>
              <w:color w:val="auto"/>
              <w:highlight w:val="none"/>
            </w:rPr>
            <w:tab/>
          </w:r>
          <w:r>
            <w:rPr>
              <w:color w:val="auto"/>
              <w:highlight w:val="none"/>
            </w:rPr>
            <w:fldChar w:fldCharType="begin"/>
          </w:r>
          <w:r>
            <w:rPr>
              <w:color w:val="auto"/>
              <w:highlight w:val="none"/>
            </w:rPr>
            <w:instrText xml:space="preserve"> PAGEREF _Toc634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"_Toc19635" </w:instrText>
          </w:r>
          <w:r>
            <w:rPr>
              <w:color w:val="auto"/>
              <w:highlight w:val="none"/>
            </w:rPr>
            <w:fldChar w:fldCharType="separate"/>
          </w:r>
          <w:r>
            <w:rPr>
              <w:rFonts w:hint="eastAsia" w:asciiTheme="minorEastAsia" w:hAnsiTheme="minorEastAsia" w:eastAsiaTheme="minorEastAsia"/>
              <w:color w:val="auto"/>
              <w:spacing w:val="4"/>
              <w:szCs w:val="21"/>
              <w:highlight w:val="none"/>
            </w:rPr>
            <w:t>二、评标委员会负责具体评标事务，并独立履行下列职责：</w:t>
          </w:r>
          <w:r>
            <w:rPr>
              <w:color w:val="auto"/>
              <w:highlight w:val="none"/>
            </w:rPr>
            <w:tab/>
          </w:r>
          <w:r>
            <w:rPr>
              <w:color w:val="auto"/>
              <w:highlight w:val="none"/>
            </w:rPr>
            <w:fldChar w:fldCharType="begin"/>
          </w:r>
          <w:r>
            <w:rPr>
              <w:color w:val="auto"/>
              <w:highlight w:val="none"/>
            </w:rPr>
            <w:instrText xml:space="preserve"> PAGEREF _Toc19635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"_Toc14091" </w:instrText>
          </w:r>
          <w:r>
            <w:rPr>
              <w:color w:val="auto"/>
              <w:highlight w:val="none"/>
            </w:rPr>
            <w:fldChar w:fldCharType="separate"/>
          </w:r>
          <w:r>
            <w:rPr>
              <w:rFonts w:hint="eastAsia" w:asciiTheme="minorEastAsia" w:hAnsiTheme="minorEastAsia" w:eastAsiaTheme="minorEastAsia"/>
              <w:color w:val="auto"/>
              <w:spacing w:val="4"/>
              <w:szCs w:val="21"/>
              <w:highlight w:val="none"/>
            </w:rPr>
            <w:t>三、供应商存在下列情况之一的，投标无效：</w:t>
          </w:r>
          <w:r>
            <w:rPr>
              <w:color w:val="auto"/>
              <w:highlight w:val="none"/>
            </w:rPr>
            <w:tab/>
          </w:r>
          <w:r>
            <w:rPr>
              <w:color w:val="auto"/>
              <w:highlight w:val="none"/>
            </w:rPr>
            <w:fldChar w:fldCharType="begin"/>
          </w:r>
          <w:r>
            <w:rPr>
              <w:color w:val="auto"/>
              <w:highlight w:val="none"/>
            </w:rPr>
            <w:instrText xml:space="preserve"> PAGEREF _Toc14091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"_Toc7469" </w:instrText>
          </w:r>
          <w:r>
            <w:rPr>
              <w:color w:val="auto"/>
              <w:highlight w:val="none"/>
            </w:rPr>
            <w:fldChar w:fldCharType="separate"/>
          </w:r>
          <w:r>
            <w:rPr>
              <w:rFonts w:hint="eastAsia" w:asciiTheme="minorEastAsia" w:hAnsiTheme="minorEastAsia" w:eastAsiaTheme="minorEastAsia"/>
              <w:color w:val="auto"/>
              <w:spacing w:val="4"/>
              <w:szCs w:val="21"/>
              <w:highlight w:val="none"/>
            </w:rPr>
            <w:t>四、供应商有下列情形之一的，视为供应商串通投标，其投标无效：</w:t>
          </w:r>
          <w:r>
            <w:rPr>
              <w:color w:val="auto"/>
              <w:highlight w:val="none"/>
            </w:rPr>
            <w:tab/>
          </w:r>
          <w:r>
            <w:rPr>
              <w:color w:val="auto"/>
              <w:highlight w:val="none"/>
            </w:rPr>
            <w:fldChar w:fldCharType="begin"/>
          </w:r>
          <w:r>
            <w:rPr>
              <w:color w:val="auto"/>
              <w:highlight w:val="none"/>
            </w:rPr>
            <w:instrText xml:space="preserve"> PAGEREF _Toc7469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"_Toc15035" </w:instrText>
          </w:r>
          <w:r>
            <w:rPr>
              <w:color w:val="auto"/>
              <w:highlight w:val="none"/>
            </w:rPr>
            <w:fldChar w:fldCharType="separate"/>
          </w:r>
          <w:r>
            <w:rPr>
              <w:rFonts w:hint="eastAsia" w:asciiTheme="minorEastAsia" w:hAnsiTheme="minorEastAsia" w:eastAsiaTheme="minorEastAsia"/>
              <w:color w:val="auto"/>
              <w:spacing w:val="4"/>
              <w:szCs w:val="21"/>
              <w:highlight w:val="none"/>
            </w:rPr>
            <w:t>五、评标程序</w:t>
          </w:r>
          <w:r>
            <w:rPr>
              <w:color w:val="auto"/>
              <w:highlight w:val="none"/>
            </w:rPr>
            <w:tab/>
          </w:r>
          <w:r>
            <w:rPr>
              <w:color w:val="auto"/>
              <w:highlight w:val="none"/>
            </w:rPr>
            <w:fldChar w:fldCharType="begin"/>
          </w:r>
          <w:r>
            <w:rPr>
              <w:color w:val="auto"/>
              <w:highlight w:val="none"/>
            </w:rPr>
            <w:instrText xml:space="preserve"> PAGEREF _Toc15035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"_Toc29667" </w:instrText>
          </w:r>
          <w:r>
            <w:rPr>
              <w:color w:val="auto"/>
              <w:highlight w:val="none"/>
            </w:rPr>
            <w:fldChar w:fldCharType="separate"/>
          </w:r>
          <w:r>
            <w:rPr>
              <w:rFonts w:hint="eastAsia" w:asciiTheme="minorEastAsia" w:hAnsiTheme="minorEastAsia" w:eastAsiaTheme="minorEastAsia"/>
              <w:color w:val="auto"/>
              <w:szCs w:val="30"/>
              <w:highlight w:val="none"/>
            </w:rPr>
            <w:t>评审因素量化赋分表</w:t>
          </w:r>
          <w:r>
            <w:rPr>
              <w:color w:val="auto"/>
              <w:highlight w:val="none"/>
            </w:rPr>
            <w:tab/>
          </w:r>
          <w:r>
            <w:rPr>
              <w:color w:val="auto"/>
              <w:highlight w:val="none"/>
            </w:rPr>
            <w:fldChar w:fldCharType="begin"/>
          </w:r>
          <w:r>
            <w:rPr>
              <w:color w:val="auto"/>
              <w:highlight w:val="none"/>
            </w:rPr>
            <w:instrText xml:space="preserve"> PAGEREF _Toc29667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17"/>
            <w:tabs>
              <w:tab w:val="right" w:leader="dot" w:pos="8306"/>
            </w:tabs>
            <w:rPr>
              <w:color w:val="auto"/>
              <w:highlight w:val="none"/>
            </w:rPr>
          </w:pPr>
          <w:r>
            <w:rPr>
              <w:color w:val="auto"/>
              <w:highlight w:val="none"/>
            </w:rPr>
            <w:fldChar w:fldCharType="begin"/>
          </w:r>
          <w:r>
            <w:rPr>
              <w:color w:val="auto"/>
              <w:highlight w:val="none"/>
            </w:rPr>
            <w:instrText xml:space="preserve"> HYPERLINK \l "_Toc19941" </w:instrText>
          </w:r>
          <w:r>
            <w:rPr>
              <w:color w:val="auto"/>
              <w:highlight w:val="none"/>
            </w:rPr>
            <w:fldChar w:fldCharType="separate"/>
          </w:r>
          <w:r>
            <w:rPr>
              <w:rFonts w:hint="eastAsia" w:asciiTheme="minorEastAsia" w:hAnsiTheme="minorEastAsia" w:eastAsiaTheme="minor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_Toc19941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"_Toc31978" </w:instrText>
          </w:r>
          <w:r>
            <w:rPr>
              <w:color w:val="auto"/>
              <w:highlight w:val="none"/>
            </w:rPr>
            <w:fldChar w:fldCharType="separate"/>
          </w:r>
          <w:r>
            <w:rPr>
              <w:rFonts w:hint="eastAsia" w:asciiTheme="minorEastAsia" w:hAnsiTheme="minorEastAsia" w:eastAsiaTheme="minorEastAsia"/>
              <w:color w:val="auto"/>
              <w:highlight w:val="none"/>
            </w:rPr>
            <w:t>（资格部分）</w:t>
          </w:r>
          <w:r>
            <w:rPr>
              <w:color w:val="auto"/>
              <w:highlight w:val="none"/>
            </w:rPr>
            <w:tab/>
          </w:r>
          <w:r>
            <w:rPr>
              <w:color w:val="auto"/>
              <w:highlight w:val="none"/>
            </w:rPr>
            <w:fldChar w:fldCharType="begin"/>
          </w:r>
          <w:r>
            <w:rPr>
              <w:color w:val="auto"/>
              <w:highlight w:val="none"/>
            </w:rPr>
            <w:instrText xml:space="preserve"> PAGEREF _Toc31978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"_Toc30885" </w:instrText>
          </w:r>
          <w:r>
            <w:rPr>
              <w:color w:val="auto"/>
              <w:highlight w:val="none"/>
            </w:rPr>
            <w:fldChar w:fldCharType="separate"/>
          </w:r>
          <w:r>
            <w:rPr>
              <w:rFonts w:hint="eastAsia" w:asciiTheme="minorEastAsia" w:hAnsiTheme="minorEastAsia" w:eastAsiaTheme="minorEastAsia"/>
              <w:color w:val="auto"/>
              <w:highlight w:val="none"/>
            </w:rPr>
            <w:t>（技术和商务部分）</w:t>
          </w:r>
          <w:r>
            <w:rPr>
              <w:color w:val="auto"/>
              <w:highlight w:val="none"/>
            </w:rPr>
            <w:tab/>
          </w:r>
          <w:r>
            <w:rPr>
              <w:color w:val="auto"/>
              <w:highlight w:val="none"/>
            </w:rPr>
            <w:fldChar w:fldCharType="begin"/>
          </w:r>
          <w:r>
            <w:rPr>
              <w:color w:val="auto"/>
              <w:highlight w:val="none"/>
            </w:rPr>
            <w:instrText xml:space="preserve"> PAGEREF _Toc30885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18"/>
            <w:tabs>
              <w:tab w:val="right" w:leader="dot" w:pos="8306"/>
            </w:tabs>
            <w:rPr>
              <w:color w:val="auto"/>
              <w:highlight w:val="none"/>
            </w:rPr>
          </w:pPr>
        </w:p>
        <w:p>
          <w:pPr>
            <w:rPr>
              <w:rFonts w:asciiTheme="minorEastAsia" w:hAnsiTheme="minorEastAsia" w:eastAsiaTheme="minorEastAsia"/>
              <w:b/>
              <w:color w:val="auto"/>
              <w:sz w:val="44"/>
              <w:highlight w:val="none"/>
            </w:rPr>
          </w:pPr>
          <w:r>
            <w:rPr>
              <w:rFonts w:asciiTheme="minorEastAsia" w:hAnsiTheme="minorEastAsia" w:eastAsiaTheme="minorEastAsia"/>
              <w:color w:val="auto"/>
              <w:highlight w:val="none"/>
            </w:rPr>
            <w:fldChar w:fldCharType="end"/>
          </w:r>
        </w:p>
      </w:sdtContent>
    </w:sdt>
    <w:p>
      <w:pPr>
        <w:pStyle w:val="57"/>
        <w:jc w:val="both"/>
        <w:rPr>
          <w:rFonts w:asciiTheme="minorEastAsia" w:hAnsiTheme="minorEastAsia" w:eastAsiaTheme="minorEastAsia"/>
          <w:color w:val="auto"/>
          <w:highlight w:val="none"/>
        </w:rPr>
        <w:sectPr>
          <w:footerReference r:id="rId9" w:type="first"/>
          <w:headerReference r:id="rId7" w:type="default"/>
          <w:footerReference r:id="rId8" w:type="default"/>
          <w:pgSz w:w="11906" w:h="16838"/>
          <w:pgMar w:top="1440" w:right="1800" w:bottom="1440" w:left="1800" w:header="851" w:footer="850" w:gutter="0"/>
          <w:cols w:space="720" w:num="1"/>
          <w:docGrid w:type="lines" w:linePitch="312" w:charSpace="0"/>
        </w:sectPr>
      </w:pPr>
      <w:bookmarkStart w:id="0" w:name="_Toc19646"/>
      <w:bookmarkStart w:id="1" w:name="_Toc37938434"/>
      <w:bookmarkStart w:id="2" w:name="_Toc47725864"/>
      <w:bookmarkStart w:id="3" w:name="_Toc13400"/>
    </w:p>
    <w:p>
      <w:pPr>
        <w:pStyle w:val="57"/>
        <w:rPr>
          <w:rFonts w:asciiTheme="minorEastAsia" w:hAnsiTheme="minorEastAsia" w:eastAsiaTheme="minorEastAsia"/>
          <w:color w:val="auto"/>
          <w:sz w:val="44"/>
          <w:szCs w:val="44"/>
          <w:highlight w:val="none"/>
        </w:rPr>
      </w:pPr>
      <w:bookmarkStart w:id="4" w:name="_Toc20770"/>
      <w:r>
        <w:rPr>
          <w:rFonts w:hint="eastAsia" w:asciiTheme="minorEastAsia" w:hAnsiTheme="minorEastAsia" w:eastAsiaTheme="minorEastAsia"/>
          <w:color w:val="auto"/>
          <w:highlight w:val="none"/>
        </w:rPr>
        <w:t xml:space="preserve">第一章  </w:t>
      </w:r>
      <w:bookmarkEnd w:id="0"/>
      <w:bookmarkEnd w:id="1"/>
      <w:bookmarkEnd w:id="2"/>
      <w:bookmarkEnd w:id="3"/>
      <w:r>
        <w:rPr>
          <w:rFonts w:hint="eastAsia" w:asciiTheme="minorEastAsia" w:hAnsiTheme="minorEastAsia" w:eastAsiaTheme="minorEastAsia"/>
          <w:color w:val="auto"/>
          <w:highlight w:val="none"/>
        </w:rPr>
        <w:t>招标公告</w:t>
      </w:r>
      <w:bookmarkEnd w:id="4"/>
    </w:p>
    <w:p>
      <w:pPr>
        <w:spacing w:line="360" w:lineRule="auto"/>
        <w:rPr>
          <w:rFonts w:asciiTheme="minorEastAsia" w:hAnsiTheme="minorEastAsia" w:eastAsiaTheme="minorEastAsia"/>
          <w:color w:val="auto"/>
          <w:szCs w:val="21"/>
          <w:highlight w:val="none"/>
        </w:rPr>
      </w:pPr>
    </w:p>
    <w:tbl>
      <w:tblPr>
        <w:tblStyle w:val="24"/>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3" w:type="dxa"/>
            <w:noWrap w:val="0"/>
            <w:vAlign w:val="top"/>
          </w:tcPr>
          <w:p>
            <w:pPr>
              <w:spacing w:line="360" w:lineRule="auto"/>
              <w:outlineLvl w:val="0"/>
              <w:rPr>
                <w:rFonts w:hint="eastAsia"/>
                <w:b/>
                <w:bCs/>
                <w:color w:val="auto"/>
                <w:highlight w:val="none"/>
              </w:rPr>
            </w:pPr>
            <w:r>
              <w:rPr>
                <w:rFonts w:hint="eastAsia"/>
                <w:b/>
                <w:bCs/>
                <w:color w:val="auto"/>
                <w:highlight w:val="none"/>
              </w:rPr>
              <w:t>项目概况</w:t>
            </w:r>
          </w:p>
          <w:p>
            <w:pPr>
              <w:spacing w:line="360" w:lineRule="auto"/>
              <w:ind w:firstLine="420" w:firstLineChars="200"/>
              <w:outlineLvl w:val="0"/>
              <w:rPr>
                <w:color w:val="auto"/>
                <w:highlight w:val="none"/>
              </w:rPr>
            </w:pPr>
            <w:r>
              <w:rPr>
                <w:rFonts w:hint="eastAsia" w:asciiTheme="minorEastAsia" w:hAnsiTheme="minorEastAsia" w:eastAsiaTheme="minorEastAsia"/>
                <w:color w:val="auto"/>
                <w:highlight w:val="none"/>
                <w:lang w:eastAsia="zh-CN"/>
              </w:rPr>
              <w:t>陕西省水工环地质调查中心大深度地质雷达系统采购项目</w:t>
            </w:r>
            <w:r>
              <w:rPr>
                <w:rFonts w:hint="eastAsia" w:asciiTheme="minorEastAsia" w:hAnsiTheme="minorEastAsia" w:eastAsiaTheme="minorEastAsia"/>
                <w:color w:val="auto"/>
                <w:szCs w:val="21"/>
                <w:highlight w:val="none"/>
              </w:rPr>
              <w:t>的潜在投标人可在陕西省西安市雁塔区南二环西段58号成长大厦10层标书发售处获取招标文件，并于202</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09</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01</w:t>
            </w:r>
            <w:r>
              <w:rPr>
                <w:rFonts w:hint="eastAsia"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lang w:val="en-US" w:eastAsia="zh-CN"/>
              </w:rPr>
              <w:t>09</w:t>
            </w:r>
            <w:r>
              <w:rPr>
                <w:rFonts w:hint="eastAsia" w:asciiTheme="minorEastAsia" w:hAnsiTheme="minorEastAsia" w:eastAsiaTheme="minorEastAsia"/>
                <w:color w:val="auto"/>
                <w:szCs w:val="21"/>
                <w:highlight w:val="none"/>
              </w:rPr>
              <w:t>:30:00前递交投标文件。</w:t>
            </w:r>
          </w:p>
        </w:tc>
      </w:tr>
    </w:tbl>
    <w:p>
      <w:pPr>
        <w:spacing w:line="360" w:lineRule="auto"/>
        <w:ind w:firstLine="422" w:firstLineChars="200"/>
        <w:rPr>
          <w:rFonts w:hint="eastAsia" w:ascii="宋体" w:hAnsi="宋体" w:cs="宋体"/>
          <w:b/>
          <w:bCs/>
          <w:color w:val="auto"/>
          <w:szCs w:val="21"/>
          <w:highlight w:val="none"/>
        </w:rPr>
      </w:pPr>
      <w:bookmarkStart w:id="5" w:name="_Toc35393792"/>
      <w:bookmarkStart w:id="6" w:name="_Toc35393623"/>
      <w:bookmarkStart w:id="7" w:name="_Hlk2069757"/>
      <w:r>
        <w:rPr>
          <w:rFonts w:hint="eastAsia" w:ascii="宋体" w:hAnsi="宋体" w:cs="宋体"/>
          <w:b/>
          <w:bCs/>
          <w:color w:val="auto"/>
          <w:szCs w:val="21"/>
          <w:highlight w:val="none"/>
        </w:rPr>
        <w:t>一、项目基本情况</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0617-2223HZ1772</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Theme="minorEastAsia" w:hAnsiTheme="minorEastAsia" w:eastAsiaTheme="minorEastAsia"/>
          <w:color w:val="auto"/>
          <w:highlight w:val="none"/>
          <w:lang w:eastAsia="zh-CN"/>
        </w:rPr>
        <w:t>陕西省水工环地质调查中心大深度地质雷达系统采购</w:t>
      </w:r>
      <w:r>
        <w:rPr>
          <w:rFonts w:hint="eastAsia" w:ascii="宋体" w:hAnsi="宋体" w:cs="宋体"/>
          <w:color w:val="auto"/>
          <w:szCs w:val="21"/>
          <w:highlight w:val="none"/>
        </w:rPr>
        <w:t>项目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采购方式：公开招标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lang w:val="en-US" w:eastAsia="zh-CN"/>
        </w:rPr>
        <w:t>989000</w:t>
      </w:r>
      <w:r>
        <w:rPr>
          <w:rFonts w:hint="eastAsia" w:ascii="宋体" w:hAnsi="宋体" w:cs="宋体"/>
          <w:color w:val="auto"/>
          <w:szCs w:val="21"/>
          <w:highlight w:val="none"/>
        </w:rPr>
        <w:t>.00元</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tbl>
      <w:tblPr>
        <w:tblStyle w:val="24"/>
        <w:tblW w:w="4872" w:type="pct"/>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603"/>
        <w:gridCol w:w="1622"/>
        <w:gridCol w:w="1462"/>
        <w:gridCol w:w="1352"/>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pPr>
              <w:spacing w:line="360" w:lineRule="auto"/>
              <w:outlineLvl w:val="0"/>
              <w:rPr>
                <w:rFonts w:hint="eastAsia" w:ascii="宋体" w:hAnsi="宋体" w:cs="宋体"/>
                <w:b/>
                <w:bCs/>
                <w:color w:val="auto"/>
                <w:szCs w:val="21"/>
                <w:highlight w:val="none"/>
              </w:rPr>
            </w:pPr>
            <w:r>
              <w:rPr>
                <w:rFonts w:hint="eastAsia" w:ascii="宋体" w:hAnsi="宋体" w:cs="宋体"/>
                <w:b/>
                <w:bCs/>
                <w:color w:val="auto"/>
                <w:szCs w:val="21"/>
                <w:highlight w:val="none"/>
              </w:rPr>
              <w:t>品目号</w:t>
            </w:r>
          </w:p>
        </w:tc>
        <w:tc>
          <w:tcPr>
            <w:tcW w:w="1603" w:type="dxa"/>
            <w:noWrap w:val="0"/>
            <w:vAlign w:val="center"/>
          </w:tcPr>
          <w:p>
            <w:pPr>
              <w:spacing w:line="360" w:lineRule="auto"/>
              <w:jc w:val="center"/>
              <w:outlineLvl w:val="0"/>
              <w:rPr>
                <w:rFonts w:ascii="宋体" w:hAnsi="宋体" w:cs="宋体"/>
                <w:b/>
                <w:bCs/>
                <w:color w:val="auto"/>
                <w:szCs w:val="21"/>
                <w:highlight w:val="none"/>
              </w:rPr>
            </w:pPr>
            <w:r>
              <w:rPr>
                <w:rFonts w:hint="eastAsia" w:ascii="宋体" w:hAnsi="宋体" w:cs="宋体"/>
                <w:b/>
                <w:bCs/>
                <w:color w:val="auto"/>
                <w:szCs w:val="21"/>
                <w:highlight w:val="none"/>
              </w:rPr>
              <w:t>品目名称</w:t>
            </w:r>
          </w:p>
        </w:tc>
        <w:tc>
          <w:tcPr>
            <w:tcW w:w="1622" w:type="dxa"/>
            <w:noWrap w:val="0"/>
            <w:vAlign w:val="center"/>
          </w:tcPr>
          <w:p>
            <w:pPr>
              <w:spacing w:line="360" w:lineRule="auto"/>
              <w:jc w:val="center"/>
              <w:outlineLvl w:val="0"/>
              <w:rPr>
                <w:rFonts w:ascii="宋体" w:hAnsi="宋体" w:cs="宋体"/>
                <w:b/>
                <w:bCs/>
                <w:color w:val="auto"/>
                <w:szCs w:val="21"/>
                <w:highlight w:val="none"/>
              </w:rPr>
            </w:pPr>
            <w:r>
              <w:rPr>
                <w:rFonts w:hint="eastAsia" w:ascii="宋体" w:hAnsi="宋体" w:cs="宋体"/>
                <w:b/>
                <w:bCs/>
                <w:color w:val="auto"/>
                <w:szCs w:val="21"/>
                <w:highlight w:val="none"/>
              </w:rPr>
              <w:t>采购标的</w:t>
            </w:r>
          </w:p>
        </w:tc>
        <w:tc>
          <w:tcPr>
            <w:tcW w:w="1462" w:type="dxa"/>
            <w:noWrap w:val="0"/>
            <w:vAlign w:val="center"/>
          </w:tcPr>
          <w:p>
            <w:pPr>
              <w:spacing w:line="360" w:lineRule="auto"/>
              <w:jc w:val="center"/>
              <w:outlineLvl w:val="0"/>
              <w:rPr>
                <w:rFonts w:ascii="宋体" w:hAnsi="宋体" w:cs="宋体"/>
                <w:b/>
                <w:bCs/>
                <w:color w:val="auto"/>
                <w:szCs w:val="21"/>
                <w:highlight w:val="none"/>
              </w:rPr>
            </w:pPr>
            <w:r>
              <w:rPr>
                <w:rFonts w:hint="eastAsia" w:ascii="宋体" w:hAnsi="宋体" w:cs="宋体"/>
                <w:b/>
                <w:bCs/>
                <w:color w:val="auto"/>
                <w:szCs w:val="21"/>
                <w:highlight w:val="none"/>
              </w:rPr>
              <w:t>数量（单位）</w:t>
            </w:r>
          </w:p>
        </w:tc>
        <w:tc>
          <w:tcPr>
            <w:tcW w:w="1352" w:type="dxa"/>
            <w:noWrap w:val="0"/>
            <w:vAlign w:val="center"/>
          </w:tcPr>
          <w:p>
            <w:pPr>
              <w:spacing w:line="360" w:lineRule="auto"/>
              <w:jc w:val="center"/>
              <w:outlineLvl w:val="0"/>
              <w:rPr>
                <w:rFonts w:ascii="宋体" w:hAnsi="宋体" w:cs="宋体"/>
                <w:b/>
                <w:bCs/>
                <w:color w:val="auto"/>
                <w:szCs w:val="21"/>
                <w:highlight w:val="none"/>
              </w:rPr>
            </w:pPr>
            <w:r>
              <w:rPr>
                <w:rFonts w:hint="eastAsia" w:ascii="宋体" w:hAnsi="宋体" w:cs="宋体"/>
                <w:b/>
                <w:bCs/>
                <w:color w:val="auto"/>
                <w:szCs w:val="21"/>
                <w:highlight w:val="none"/>
              </w:rPr>
              <w:t>技术规格、参数及要求</w:t>
            </w:r>
          </w:p>
        </w:tc>
        <w:tc>
          <w:tcPr>
            <w:tcW w:w="1404" w:type="dxa"/>
            <w:noWrap w:val="0"/>
            <w:vAlign w:val="center"/>
          </w:tcPr>
          <w:p>
            <w:pPr>
              <w:spacing w:line="360" w:lineRule="auto"/>
              <w:jc w:val="center"/>
              <w:outlineLvl w:val="0"/>
              <w:rPr>
                <w:rFonts w:hint="eastAsia" w:ascii="宋体" w:hAnsi="宋体" w:cs="宋体"/>
                <w:b/>
                <w:bCs/>
                <w:color w:val="auto"/>
                <w:szCs w:val="21"/>
                <w:highlight w:val="none"/>
              </w:rPr>
            </w:pPr>
            <w:r>
              <w:rPr>
                <w:rFonts w:hint="eastAsia" w:ascii="宋体" w:hAnsi="宋体" w:cs="宋体"/>
                <w:b/>
                <w:bCs/>
                <w:color w:val="auto"/>
                <w:szCs w:val="21"/>
                <w:highlight w:val="none"/>
              </w:rPr>
              <w:t>品目预算（元）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67" w:type="dxa"/>
            <w:noWrap w:val="0"/>
            <w:vAlign w:val="center"/>
          </w:tcPr>
          <w:p>
            <w:pPr>
              <w:spacing w:line="360" w:lineRule="auto"/>
              <w:jc w:val="center"/>
              <w:outlineLvl w:val="0"/>
              <w:rPr>
                <w:rFonts w:ascii="宋体" w:hAnsi="宋体" w:cs="宋体"/>
                <w:color w:val="auto"/>
                <w:szCs w:val="21"/>
                <w:highlight w:val="none"/>
              </w:rPr>
            </w:pPr>
            <w:r>
              <w:rPr>
                <w:rFonts w:hint="eastAsia" w:ascii="宋体" w:hAnsi="宋体" w:cs="宋体"/>
                <w:color w:val="auto"/>
                <w:szCs w:val="21"/>
                <w:highlight w:val="none"/>
              </w:rPr>
              <w:t>1-1</w:t>
            </w:r>
          </w:p>
        </w:tc>
        <w:tc>
          <w:tcPr>
            <w:tcW w:w="1603" w:type="dxa"/>
            <w:noWrap w:val="0"/>
            <w:vAlign w:val="center"/>
          </w:tcPr>
          <w:p>
            <w:pPr>
              <w:spacing w:line="360" w:lineRule="auto"/>
              <w:jc w:val="center"/>
              <w:outlineLvl w:val="0"/>
              <w:rPr>
                <w:rFonts w:hint="eastAsia" w:ascii="宋体" w:hAnsi="宋体" w:cs="宋体"/>
                <w:color w:val="auto"/>
                <w:szCs w:val="21"/>
                <w:highlight w:val="none"/>
              </w:rPr>
            </w:pPr>
            <w:r>
              <w:rPr>
                <w:rFonts w:hint="eastAsia" w:ascii="宋体" w:hAnsi="宋体" w:cs="宋体"/>
                <w:color w:val="auto"/>
                <w:szCs w:val="21"/>
                <w:highlight w:val="none"/>
              </w:rPr>
              <w:t>地质勘探、钻采及人工地震仪器</w:t>
            </w:r>
          </w:p>
        </w:tc>
        <w:tc>
          <w:tcPr>
            <w:tcW w:w="1622" w:type="dxa"/>
            <w:noWrap w:val="0"/>
            <w:vAlign w:val="center"/>
          </w:tcPr>
          <w:p>
            <w:pPr>
              <w:spacing w:line="360" w:lineRule="auto"/>
              <w:jc w:val="center"/>
              <w:outlineLvl w:val="0"/>
              <w:rPr>
                <w:rFonts w:ascii="宋体" w:hAnsi="宋体" w:cs="宋体"/>
                <w:color w:val="auto"/>
                <w:szCs w:val="21"/>
                <w:highlight w:val="none"/>
              </w:rPr>
            </w:pPr>
            <w:r>
              <w:rPr>
                <w:rFonts w:hint="eastAsia" w:asciiTheme="minorEastAsia" w:hAnsiTheme="minorEastAsia" w:eastAsiaTheme="minorEastAsia"/>
                <w:color w:val="auto"/>
                <w:highlight w:val="none"/>
                <w:lang w:eastAsia="zh-CN"/>
              </w:rPr>
              <w:t>大深度地质雷达系统</w:t>
            </w:r>
          </w:p>
        </w:tc>
        <w:tc>
          <w:tcPr>
            <w:tcW w:w="1462" w:type="dxa"/>
            <w:noWrap w:val="0"/>
            <w:vAlign w:val="center"/>
          </w:tcPr>
          <w:p>
            <w:pPr>
              <w:spacing w:line="360" w:lineRule="auto"/>
              <w:jc w:val="center"/>
              <w:outlineLvl w:val="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台</w:t>
            </w:r>
            <w:r>
              <w:rPr>
                <w:rFonts w:hint="eastAsia" w:ascii="宋体" w:hAnsi="宋体" w:cs="宋体"/>
                <w:color w:val="auto"/>
                <w:szCs w:val="21"/>
                <w:highlight w:val="none"/>
              </w:rPr>
              <w:t>）</w:t>
            </w:r>
          </w:p>
        </w:tc>
        <w:tc>
          <w:tcPr>
            <w:tcW w:w="1352" w:type="dxa"/>
            <w:noWrap w:val="0"/>
            <w:vAlign w:val="center"/>
          </w:tcPr>
          <w:p>
            <w:pPr>
              <w:spacing w:line="360" w:lineRule="auto"/>
              <w:jc w:val="center"/>
              <w:outlineLvl w:val="0"/>
              <w:rPr>
                <w:rFonts w:hint="eastAsia" w:ascii="宋体" w:hAnsi="宋体" w:cs="宋体"/>
                <w:color w:val="auto"/>
                <w:szCs w:val="21"/>
                <w:highlight w:val="none"/>
              </w:rPr>
            </w:pPr>
            <w:r>
              <w:rPr>
                <w:rFonts w:hint="eastAsia" w:ascii="宋体" w:hAnsi="宋体" w:cs="宋体"/>
                <w:color w:val="auto"/>
                <w:szCs w:val="21"/>
                <w:highlight w:val="none"/>
              </w:rPr>
              <w:t>详见采购文件</w:t>
            </w:r>
          </w:p>
        </w:tc>
        <w:tc>
          <w:tcPr>
            <w:tcW w:w="1404" w:type="dxa"/>
            <w:noWrap w:val="0"/>
            <w:vAlign w:val="center"/>
          </w:tcPr>
          <w:p>
            <w:pPr>
              <w:spacing w:line="360" w:lineRule="auto"/>
              <w:jc w:val="center"/>
              <w:outlineLvl w:val="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989000.00</w:t>
            </w:r>
          </w:p>
        </w:tc>
      </w:tr>
    </w:tbl>
    <w:p>
      <w:pPr>
        <w:pStyle w:val="2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eastAsia="宋体" w:cs="宋体"/>
          <w:color w:val="auto"/>
          <w:sz w:val="21"/>
          <w:szCs w:val="21"/>
          <w:highlight w:val="none"/>
          <w:lang w:eastAsia="zh-CN"/>
        </w:rPr>
      </w:pPr>
      <w:r>
        <w:rPr>
          <w:rFonts w:hint="eastAsia" w:eastAsia="宋体" w:cs="宋体"/>
          <w:color w:val="auto"/>
          <w:sz w:val="21"/>
          <w:szCs w:val="21"/>
          <w:highlight w:val="none"/>
        </w:rPr>
        <w:t>本合同包不接受联合体</w:t>
      </w:r>
      <w:r>
        <w:rPr>
          <w:rFonts w:hint="eastAsia" w:cs="宋体"/>
          <w:color w:val="auto"/>
          <w:sz w:val="21"/>
          <w:szCs w:val="21"/>
          <w:highlight w:val="none"/>
          <w:lang w:eastAsia="zh-CN"/>
        </w:rPr>
        <w:t>参与</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二、申请人的资格要求：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p>
    <w:p>
      <w:pPr>
        <w:spacing w:line="360" w:lineRule="auto"/>
        <w:ind w:firstLine="840" w:firstLineChars="4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合同包1（</w:t>
      </w:r>
      <w:r>
        <w:rPr>
          <w:rFonts w:hint="eastAsia" w:asciiTheme="minorEastAsia" w:hAnsiTheme="minorEastAsia" w:eastAsiaTheme="minorEastAsia"/>
          <w:color w:val="auto"/>
          <w:highlight w:val="none"/>
          <w:lang w:eastAsia="zh-CN"/>
        </w:rPr>
        <w:t>大深度地质雷达系统</w:t>
      </w:r>
      <w:r>
        <w:rPr>
          <w:rFonts w:hint="eastAsia" w:ascii="宋体" w:hAnsi="宋体" w:cs="宋体"/>
          <w:color w:val="auto"/>
          <w:szCs w:val="21"/>
          <w:highlight w:val="none"/>
        </w:rPr>
        <w:t>）的特定资格要求如下：</w:t>
      </w:r>
      <w:r>
        <w:rPr>
          <w:rFonts w:hint="eastAsia" w:ascii="宋体" w:hAnsi="宋体" w:cs="宋体"/>
          <w:color w:val="auto"/>
          <w:szCs w:val="21"/>
          <w:highlight w:val="none"/>
          <w:lang w:val="en-US" w:eastAsia="zh-CN"/>
        </w:rPr>
        <w:t>/</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三、</w:t>
      </w:r>
      <w:bookmarkEnd w:id="5"/>
      <w:bookmarkEnd w:id="6"/>
      <w:r>
        <w:rPr>
          <w:rFonts w:hint="eastAsia" w:ascii="宋体" w:hAnsi="宋体" w:cs="宋体"/>
          <w:b/>
          <w:bCs/>
          <w:color w:val="auto"/>
          <w:szCs w:val="21"/>
          <w:highlight w:val="none"/>
        </w:rPr>
        <w:t>招标文件的获取方式</w:t>
      </w:r>
    </w:p>
    <w:p>
      <w:pPr>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时间：即日起至202</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年</w:t>
      </w:r>
      <w:r>
        <w:rPr>
          <w:rFonts w:hint="eastAsia" w:ascii="宋体" w:hAnsi="宋体" w:cs="宋体"/>
          <w:b w:val="0"/>
          <w:bCs w:val="0"/>
          <w:color w:val="auto"/>
          <w:szCs w:val="21"/>
          <w:highlight w:val="none"/>
          <w:lang w:val="en-US" w:eastAsia="zh-CN"/>
        </w:rPr>
        <w:t>08</w:t>
      </w:r>
      <w:r>
        <w:rPr>
          <w:rFonts w:hint="eastAsia" w:ascii="宋体" w:hAnsi="宋体" w:cs="宋体"/>
          <w:b w:val="0"/>
          <w:bCs w:val="0"/>
          <w:color w:val="auto"/>
          <w:szCs w:val="21"/>
          <w:highlight w:val="none"/>
        </w:rPr>
        <w:t>月</w:t>
      </w:r>
      <w:r>
        <w:rPr>
          <w:rFonts w:hint="eastAsia" w:ascii="宋体" w:hAnsi="宋体" w:cs="宋体"/>
          <w:b w:val="0"/>
          <w:bCs w:val="0"/>
          <w:color w:val="auto"/>
          <w:szCs w:val="21"/>
          <w:highlight w:val="none"/>
          <w:lang w:val="en-US" w:eastAsia="zh-CN"/>
        </w:rPr>
        <w:t>17</w:t>
      </w:r>
      <w:r>
        <w:rPr>
          <w:rFonts w:hint="eastAsia" w:ascii="宋体" w:hAnsi="宋体" w:cs="宋体"/>
          <w:b w:val="0"/>
          <w:bCs w:val="0"/>
          <w:color w:val="auto"/>
          <w:szCs w:val="21"/>
          <w:highlight w:val="none"/>
        </w:rPr>
        <w:t>日17:00:00止</w:t>
      </w:r>
    </w:p>
    <w:p>
      <w:pPr>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地点：陕西省西安市雁塔区南二环西段58号成长大厦10层标书发售处</w:t>
      </w:r>
    </w:p>
    <w:p>
      <w:pPr>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方式：现场购买/邮寄</w:t>
      </w:r>
    </w:p>
    <w:p>
      <w:pPr>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售价：</w:t>
      </w: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00元/套。</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供应商须按照陕西省财政厅《关于政府采购供应商注册登记有关事项的通知》中的要求，通过陕西省政府采购网（http://www.ccgp-shaanxi.gov.cn/）注册登记加入陕西省政府采购供应商库。（2）供应商须需持单位介绍信及购买人身份证原件及复印件登记后获取招标文件。</w:t>
      </w:r>
    </w:p>
    <w:p>
      <w:pPr>
        <w:spacing w:line="360" w:lineRule="auto"/>
        <w:ind w:firstLine="422" w:firstLineChars="200"/>
        <w:rPr>
          <w:rFonts w:asciiTheme="minorEastAsia" w:hAnsiTheme="minorEastAsia" w:eastAsiaTheme="minorEastAsia"/>
          <w:b/>
          <w:color w:val="auto"/>
          <w:kern w:val="0"/>
          <w:szCs w:val="21"/>
          <w:highlight w:val="none"/>
        </w:rPr>
      </w:pPr>
      <w:bookmarkStart w:id="8" w:name="_Toc28359082"/>
      <w:bookmarkStart w:id="9" w:name="_Toc28359005"/>
      <w:bookmarkStart w:id="10" w:name="_Toc35393624"/>
      <w:bookmarkStart w:id="11" w:name="_Toc35393793"/>
      <w:r>
        <w:rPr>
          <w:rFonts w:hint="eastAsia" w:asciiTheme="minorEastAsia" w:hAnsiTheme="minorEastAsia" w:eastAsiaTheme="minorEastAsia"/>
          <w:b/>
          <w:color w:val="auto"/>
          <w:kern w:val="0"/>
          <w:szCs w:val="21"/>
          <w:highlight w:val="none"/>
        </w:rPr>
        <w:t>四、</w:t>
      </w:r>
      <w:bookmarkEnd w:id="8"/>
      <w:bookmarkEnd w:id="9"/>
      <w:bookmarkEnd w:id="10"/>
      <w:bookmarkEnd w:id="11"/>
      <w:r>
        <w:rPr>
          <w:rFonts w:hint="eastAsia" w:asciiTheme="minorEastAsia" w:hAnsiTheme="minorEastAsia" w:eastAsiaTheme="minorEastAsia"/>
          <w:b/>
          <w:color w:val="auto"/>
          <w:kern w:val="0"/>
          <w:szCs w:val="21"/>
          <w:highlight w:val="none"/>
        </w:rPr>
        <w:t>投标文件递交</w:t>
      </w:r>
    </w:p>
    <w:p>
      <w:pPr>
        <w:spacing w:line="360" w:lineRule="auto"/>
        <w:ind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截止时间：202</w:t>
      </w:r>
      <w:r>
        <w:rPr>
          <w:rFonts w:hint="eastAsia" w:asciiTheme="minorEastAsia" w:hAnsiTheme="minorEastAsia" w:eastAsiaTheme="minorEastAsia"/>
          <w:color w:val="auto"/>
          <w:kern w:val="0"/>
          <w:szCs w:val="21"/>
          <w:highlight w:val="none"/>
          <w:lang w:val="en-US" w:eastAsia="zh-CN"/>
        </w:rPr>
        <w:t>2</w:t>
      </w:r>
      <w:r>
        <w:rPr>
          <w:rFonts w:hint="eastAsia" w:asciiTheme="minorEastAsia" w:hAnsiTheme="minorEastAsia" w:eastAsiaTheme="minorEastAsia"/>
          <w:color w:val="auto"/>
          <w:kern w:val="0"/>
          <w:szCs w:val="21"/>
          <w:highlight w:val="none"/>
        </w:rPr>
        <w:t>年</w:t>
      </w:r>
      <w:r>
        <w:rPr>
          <w:rFonts w:hint="eastAsia" w:asciiTheme="minorEastAsia" w:hAnsiTheme="minorEastAsia" w:eastAsiaTheme="minorEastAsia"/>
          <w:color w:val="auto"/>
          <w:kern w:val="0"/>
          <w:szCs w:val="21"/>
          <w:highlight w:val="none"/>
          <w:lang w:val="en-US" w:eastAsia="zh-CN"/>
        </w:rPr>
        <w:t>09</w:t>
      </w:r>
      <w:r>
        <w:rPr>
          <w:rFonts w:hint="eastAsia" w:asciiTheme="minorEastAsia" w:hAnsiTheme="minorEastAsia" w:eastAsiaTheme="minorEastAsia"/>
          <w:color w:val="auto"/>
          <w:kern w:val="0"/>
          <w:szCs w:val="21"/>
          <w:highlight w:val="none"/>
        </w:rPr>
        <w:t>月</w:t>
      </w:r>
      <w:r>
        <w:rPr>
          <w:rFonts w:hint="eastAsia" w:asciiTheme="minorEastAsia" w:hAnsiTheme="minorEastAsia" w:eastAsiaTheme="minorEastAsia"/>
          <w:color w:val="auto"/>
          <w:kern w:val="0"/>
          <w:szCs w:val="21"/>
          <w:highlight w:val="none"/>
          <w:lang w:val="en-US" w:eastAsia="zh-CN"/>
        </w:rPr>
        <w:t>01</w:t>
      </w:r>
      <w:r>
        <w:rPr>
          <w:rFonts w:hint="eastAsia" w:asciiTheme="minorEastAsia" w:hAnsiTheme="minorEastAsia" w:eastAsiaTheme="minorEastAsia"/>
          <w:color w:val="auto"/>
          <w:kern w:val="0"/>
          <w:szCs w:val="21"/>
          <w:highlight w:val="none"/>
        </w:rPr>
        <w:t>日</w:t>
      </w:r>
      <w:r>
        <w:rPr>
          <w:rFonts w:hint="eastAsia" w:asciiTheme="minorEastAsia" w:hAnsiTheme="minorEastAsia" w:eastAsiaTheme="minorEastAsia"/>
          <w:color w:val="auto"/>
          <w:kern w:val="0"/>
          <w:szCs w:val="21"/>
          <w:highlight w:val="none"/>
          <w:lang w:val="en-US" w:eastAsia="zh-CN"/>
        </w:rPr>
        <w:t>09</w:t>
      </w:r>
      <w:r>
        <w:rPr>
          <w:rFonts w:hint="eastAsia" w:asciiTheme="minorEastAsia" w:hAnsiTheme="minorEastAsia" w:eastAsiaTheme="minorEastAsia"/>
          <w:color w:val="auto"/>
          <w:kern w:val="0"/>
          <w:szCs w:val="21"/>
          <w:highlight w:val="none"/>
        </w:rPr>
        <w:t>：30：00</w:t>
      </w:r>
    </w:p>
    <w:p>
      <w:pPr>
        <w:spacing w:line="360" w:lineRule="auto"/>
        <w:ind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地点：</w:t>
      </w:r>
      <w:r>
        <w:rPr>
          <w:rFonts w:hint="eastAsia" w:cs="宋体" w:asciiTheme="minorEastAsia" w:hAnsiTheme="minorEastAsia" w:eastAsiaTheme="minorEastAsia"/>
          <w:color w:val="auto"/>
          <w:szCs w:val="21"/>
          <w:highlight w:val="none"/>
        </w:rPr>
        <w:t>陕西省</w:t>
      </w:r>
      <w:r>
        <w:rPr>
          <w:rFonts w:hint="eastAsia" w:cs="宋体" w:asciiTheme="minorEastAsia" w:hAnsiTheme="minorEastAsia" w:eastAsiaTheme="minorEastAsia"/>
          <w:bCs/>
          <w:color w:val="auto"/>
          <w:szCs w:val="21"/>
          <w:highlight w:val="none"/>
        </w:rPr>
        <w:t>西安市南二环西段58号成长大厦10层</w:t>
      </w:r>
      <w:r>
        <w:rPr>
          <w:rFonts w:hint="eastAsia" w:cs="宋体" w:asciiTheme="minorEastAsia" w:hAnsiTheme="minorEastAsia" w:eastAsiaTheme="minorEastAsia"/>
          <w:color w:val="auto"/>
          <w:szCs w:val="21"/>
          <w:highlight w:val="none"/>
        </w:rPr>
        <w:t>会议室。</w:t>
      </w:r>
    </w:p>
    <w:p>
      <w:pPr>
        <w:spacing w:line="360" w:lineRule="auto"/>
        <w:ind w:firstLine="422" w:firstLineChars="200"/>
        <w:rPr>
          <w:rFonts w:asciiTheme="minorEastAsia" w:hAnsiTheme="minorEastAsia" w:eastAsiaTheme="minorEastAsia"/>
          <w:b/>
          <w:color w:val="auto"/>
          <w:kern w:val="0"/>
          <w:szCs w:val="21"/>
          <w:highlight w:val="none"/>
        </w:rPr>
      </w:pPr>
      <w:bookmarkStart w:id="12" w:name="_Toc35393794"/>
      <w:bookmarkStart w:id="13" w:name="_Toc28359007"/>
      <w:bookmarkStart w:id="14" w:name="_Toc35393625"/>
      <w:bookmarkStart w:id="15" w:name="_Toc28359084"/>
      <w:r>
        <w:rPr>
          <w:rFonts w:hint="eastAsia" w:asciiTheme="minorEastAsia" w:hAnsiTheme="minorEastAsia" w:eastAsiaTheme="minorEastAsia"/>
          <w:b/>
          <w:color w:val="auto"/>
          <w:kern w:val="0"/>
          <w:szCs w:val="21"/>
          <w:highlight w:val="none"/>
        </w:rPr>
        <w:t>五、公告期限</w:t>
      </w:r>
      <w:bookmarkEnd w:id="12"/>
      <w:bookmarkEnd w:id="13"/>
      <w:bookmarkEnd w:id="14"/>
      <w:bookmarkEnd w:id="15"/>
    </w:p>
    <w:p>
      <w:pPr>
        <w:spacing w:line="360" w:lineRule="auto"/>
        <w:ind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自本公告发布之日起5个工作日。</w:t>
      </w:r>
    </w:p>
    <w:p>
      <w:pPr>
        <w:numPr>
          <w:ilvl w:val="0"/>
          <w:numId w:val="2"/>
        </w:numPr>
        <w:spacing w:line="360" w:lineRule="auto"/>
        <w:ind w:firstLine="422" w:firstLineChars="200"/>
        <w:rPr>
          <w:rFonts w:hint="eastAsia" w:asciiTheme="minorEastAsia" w:hAnsiTheme="minorEastAsia" w:eastAsiaTheme="minorEastAsia"/>
          <w:b/>
          <w:color w:val="auto"/>
          <w:kern w:val="0"/>
          <w:szCs w:val="21"/>
          <w:highlight w:val="none"/>
        </w:rPr>
      </w:pPr>
      <w:bookmarkStart w:id="16" w:name="_Toc35393626"/>
      <w:bookmarkStart w:id="17" w:name="_Toc35393795"/>
      <w:r>
        <w:rPr>
          <w:rFonts w:hint="eastAsia" w:asciiTheme="minorEastAsia" w:hAnsiTheme="minorEastAsia" w:eastAsiaTheme="minorEastAsia"/>
          <w:b/>
          <w:color w:val="auto"/>
          <w:kern w:val="0"/>
          <w:szCs w:val="21"/>
          <w:highlight w:val="none"/>
        </w:rPr>
        <w:t>其他补充事宜</w:t>
      </w:r>
      <w:bookmarkEnd w:id="16"/>
      <w:bookmarkEnd w:id="17"/>
    </w:p>
    <w:p>
      <w:pPr>
        <w:spacing w:line="360" w:lineRule="auto"/>
        <w:ind w:firstLine="422" w:firstLineChars="200"/>
        <w:rPr>
          <w:rFonts w:cs="宋体" w:asciiTheme="minorEastAsia" w:hAnsiTheme="minorEastAsia" w:eastAsiaTheme="minorEastAsia"/>
          <w:b/>
          <w:bCs/>
          <w:color w:val="auto"/>
          <w:szCs w:val="21"/>
          <w:highlight w:val="none"/>
        </w:rPr>
      </w:pPr>
      <w:bookmarkStart w:id="347" w:name="_GoBack"/>
      <w:bookmarkEnd w:id="347"/>
      <w:r>
        <w:rPr>
          <w:rFonts w:hint="eastAsia" w:cs="宋体" w:asciiTheme="minorEastAsia" w:hAnsiTheme="minorEastAsia" w:eastAsiaTheme="minorEastAsia"/>
          <w:b/>
          <w:bCs/>
          <w:color w:val="auto"/>
          <w:szCs w:val="21"/>
          <w:highlight w:val="none"/>
          <w:lang w:val="en-US" w:eastAsia="zh-CN"/>
        </w:rPr>
        <w:t>1.</w:t>
      </w:r>
      <w:r>
        <w:rPr>
          <w:rFonts w:hint="eastAsia" w:cs="宋体" w:asciiTheme="minorEastAsia" w:hAnsiTheme="minorEastAsia" w:eastAsiaTheme="minorEastAsia"/>
          <w:b/>
          <w:bCs/>
          <w:color w:val="auto"/>
          <w:szCs w:val="21"/>
          <w:highlight w:val="none"/>
        </w:rPr>
        <w:t>本项目采购活动执行下列政府采购政策（具体办法详见招标文件）：</w:t>
      </w:r>
    </w:p>
    <w:p>
      <w:pPr>
        <w:pStyle w:val="21"/>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bookmarkStart w:id="18" w:name="_Toc28359008"/>
      <w:bookmarkStart w:id="19" w:name="_Toc35393627"/>
      <w:bookmarkStart w:id="20" w:name="_Toc28359085"/>
      <w:bookmarkStart w:id="21" w:name="_Toc35393796"/>
      <w:r>
        <w:rPr>
          <w:rFonts w:hint="eastAsia" w:cs="宋体"/>
          <w:bCs/>
          <w:color w:val="auto"/>
          <w:kern w:val="2"/>
          <w:sz w:val="21"/>
          <w:szCs w:val="21"/>
          <w:highlight w:val="none"/>
          <w:lang w:bidi="ar"/>
        </w:rPr>
        <w:t>（1）《财政部 国家发展改革委关于印发〈节能产品政府采购实施意见〉的通知》（财库〔2004〕185号）；</w:t>
      </w:r>
    </w:p>
    <w:p>
      <w:pPr>
        <w:pStyle w:val="21"/>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（2）《国务院办公厅关于建立政府强制采购节能产品制度的通知》（国办发〔2007〕51号）；</w:t>
      </w:r>
    </w:p>
    <w:p>
      <w:pPr>
        <w:pStyle w:val="21"/>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（3）《财政部环保总局关于环境标志产品政府采购实施的意见》（财库〔2006〕90号）；</w:t>
      </w:r>
    </w:p>
    <w:p>
      <w:pPr>
        <w:pStyle w:val="21"/>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（4）《财政部 司法部关于政府采购支持监狱企业发展有关问题的通知》（财库〔2014〕68号）；</w:t>
      </w:r>
    </w:p>
    <w:p>
      <w:pPr>
        <w:pStyle w:val="21"/>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（5）《</w:t>
      </w:r>
      <w:r>
        <w:rPr>
          <w:rFonts w:hint="eastAsia" w:cs="宋体"/>
          <w:bCs/>
          <w:color w:val="auto"/>
          <w:kern w:val="2"/>
          <w:sz w:val="21"/>
          <w:szCs w:val="21"/>
          <w:highlight w:val="none"/>
          <w:lang w:val="en-US" w:eastAsia="zh-CN" w:bidi="ar"/>
        </w:rPr>
        <w:t>财政部、民政部、中国残疾人联合会</w:t>
      </w:r>
      <w:r>
        <w:rPr>
          <w:rFonts w:hint="eastAsia" w:cs="宋体"/>
          <w:bCs/>
          <w:color w:val="auto"/>
          <w:kern w:val="2"/>
          <w:sz w:val="21"/>
          <w:szCs w:val="21"/>
          <w:highlight w:val="none"/>
          <w:lang w:bidi="ar"/>
        </w:rPr>
        <w:t>关于促进残疾人就业政府采购政策的通知》（财库〔2017〕141号）；</w:t>
      </w:r>
    </w:p>
    <w:p>
      <w:pPr>
        <w:pStyle w:val="21"/>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（6）《财政部 发展改革委 生态环境部 市场监管总局关于调整优化节能产品、环境标志产品政府采购执行机制的通知》（财库〔2019〕9号）；</w:t>
      </w:r>
    </w:p>
    <w:p>
      <w:pPr>
        <w:pStyle w:val="21"/>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（7）《关于运用政府采购政策支持乡村产业振兴的通知》（财库〔2021〕19号）；</w:t>
      </w:r>
    </w:p>
    <w:p>
      <w:pPr>
        <w:pStyle w:val="21"/>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（8）《政府采购促进中小企业发展管理办法》（财库〔2020〕46号）；</w:t>
      </w:r>
    </w:p>
    <w:p>
      <w:pPr>
        <w:pStyle w:val="21"/>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（9）《陕西省中小企业政府采购信用融资办法》（陕财办采〔2018〕23号）；</w:t>
      </w:r>
    </w:p>
    <w:p>
      <w:pPr>
        <w:spacing w:line="360" w:lineRule="auto"/>
        <w:ind w:firstLine="420" w:firstLineChars="200"/>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（10）陕西省财政厅《关于进一步加强政府绿色采购有关问题的通知》陕财办采〔2021〕29号。</w:t>
      </w:r>
    </w:p>
    <w:p>
      <w:pPr>
        <w:spacing w:line="360" w:lineRule="auto"/>
        <w:ind w:firstLine="420" w:firstLineChars="200"/>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（11）《关于进一步加大政府采购支持中小企业力度的通知》（财库〔2022〕19号。</w:t>
      </w:r>
    </w:p>
    <w:p>
      <w:pPr>
        <w:spacing w:line="360" w:lineRule="auto"/>
        <w:ind w:firstLine="422" w:firstLineChars="200"/>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b/>
          <w:bCs/>
          <w:color w:val="auto"/>
          <w:szCs w:val="21"/>
          <w:highlight w:val="none"/>
          <w:lang w:val="en-US" w:eastAsia="zh-CN"/>
        </w:rPr>
        <w:t>2.本项目允许进口产品参与投标。</w:t>
      </w:r>
    </w:p>
    <w:p>
      <w:pPr>
        <w:spacing w:line="360" w:lineRule="auto"/>
        <w:ind w:firstLine="422" w:firstLineChars="200"/>
        <w:rPr>
          <w:rFonts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七、</w:t>
      </w:r>
      <w:bookmarkEnd w:id="18"/>
      <w:bookmarkEnd w:id="19"/>
      <w:bookmarkEnd w:id="20"/>
      <w:bookmarkEnd w:id="21"/>
      <w:r>
        <w:rPr>
          <w:rStyle w:val="27"/>
          <w:rFonts w:hint="eastAsia" w:ascii="宋体" w:hAnsi="宋体" w:eastAsia="宋体" w:cs="宋体"/>
          <w:b/>
          <w:bCs/>
          <w:color w:val="auto"/>
          <w:szCs w:val="21"/>
          <w:highlight w:val="none"/>
        </w:rPr>
        <w:t>如对本次采购提出询问，请按以下方式联系</w:t>
      </w:r>
    </w:p>
    <w:bookmarkEnd w:id="7"/>
    <w:p>
      <w:pPr>
        <w:pStyle w:val="21"/>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bookmarkStart w:id="22" w:name="_Toc37938435"/>
      <w:r>
        <w:rPr>
          <w:rFonts w:hint="eastAsia" w:cs="宋体"/>
          <w:bCs/>
          <w:color w:val="auto"/>
          <w:kern w:val="2"/>
          <w:sz w:val="21"/>
          <w:szCs w:val="21"/>
          <w:highlight w:val="none"/>
          <w:lang w:bidi="ar"/>
        </w:rPr>
        <w:t>1.采购人信息</w:t>
      </w:r>
    </w:p>
    <w:p>
      <w:pPr>
        <w:pStyle w:val="21"/>
        <w:shd w:val="clear" w:color="auto" w:fill="FFFFFF"/>
        <w:spacing w:before="0" w:beforeAutospacing="0" w:after="0" w:afterAutospacing="0" w:line="360" w:lineRule="auto"/>
        <w:ind w:firstLine="630" w:firstLineChars="3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名称：陕西省水工环地质调查中心</w:t>
      </w:r>
    </w:p>
    <w:p>
      <w:pPr>
        <w:pStyle w:val="21"/>
        <w:shd w:val="clear" w:color="auto" w:fill="FFFFFF"/>
        <w:spacing w:before="0" w:beforeAutospacing="0" w:after="0" w:afterAutospacing="0" w:line="360" w:lineRule="auto"/>
        <w:ind w:firstLine="630" w:firstLineChars="3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地址：西安市碑林区友谊西路243号</w:t>
      </w:r>
    </w:p>
    <w:p>
      <w:pPr>
        <w:pStyle w:val="21"/>
        <w:shd w:val="clear" w:color="auto" w:fill="FFFFFF"/>
        <w:spacing w:before="0" w:beforeAutospacing="0" w:after="0" w:afterAutospacing="0" w:line="360" w:lineRule="auto"/>
        <w:ind w:firstLine="630" w:firstLineChars="3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联系方式：029-88419745</w:t>
      </w:r>
    </w:p>
    <w:p>
      <w:pPr>
        <w:pStyle w:val="21"/>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2.采购代理机构信息</w:t>
      </w:r>
    </w:p>
    <w:p>
      <w:pPr>
        <w:pStyle w:val="21"/>
        <w:shd w:val="clear" w:color="auto" w:fill="FFFFFF"/>
        <w:spacing w:before="0" w:beforeAutospacing="0" w:after="0" w:afterAutospacing="0" w:line="360" w:lineRule="auto"/>
        <w:ind w:firstLine="630" w:firstLineChars="3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名称：西北(陕西)国际招标有限公司</w:t>
      </w:r>
    </w:p>
    <w:p>
      <w:pPr>
        <w:pStyle w:val="21"/>
        <w:shd w:val="clear" w:color="auto" w:fill="FFFFFF"/>
        <w:spacing w:before="0" w:beforeAutospacing="0" w:after="0" w:afterAutospacing="0" w:line="360" w:lineRule="auto"/>
        <w:ind w:firstLine="630" w:firstLineChars="3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地址：西安市南二环西段58号成长大厦10-14层</w:t>
      </w:r>
    </w:p>
    <w:p>
      <w:pPr>
        <w:pStyle w:val="21"/>
        <w:shd w:val="clear" w:color="auto" w:fill="FFFFFF"/>
        <w:spacing w:before="0" w:beforeAutospacing="0" w:after="0" w:afterAutospacing="0" w:line="360" w:lineRule="auto"/>
        <w:ind w:firstLine="630" w:firstLineChars="300"/>
        <w:jc w:val="both"/>
        <w:rPr>
          <w:rFonts w:hint="default" w:eastAsia="宋体" w:cs="宋体"/>
          <w:bCs/>
          <w:color w:val="auto"/>
          <w:kern w:val="2"/>
          <w:sz w:val="21"/>
          <w:szCs w:val="21"/>
          <w:highlight w:val="none"/>
          <w:lang w:val="en-US" w:eastAsia="zh-CN" w:bidi="ar"/>
        </w:rPr>
      </w:pPr>
      <w:r>
        <w:rPr>
          <w:rFonts w:hint="eastAsia" w:cs="宋体"/>
          <w:bCs/>
          <w:color w:val="auto"/>
          <w:kern w:val="2"/>
          <w:sz w:val="21"/>
          <w:szCs w:val="21"/>
          <w:highlight w:val="none"/>
          <w:lang w:bidi="ar"/>
        </w:rPr>
        <w:t>联系方式：029-8</w:t>
      </w:r>
      <w:r>
        <w:rPr>
          <w:rFonts w:hint="eastAsia" w:cs="宋体"/>
          <w:bCs/>
          <w:color w:val="auto"/>
          <w:kern w:val="2"/>
          <w:sz w:val="21"/>
          <w:szCs w:val="21"/>
          <w:highlight w:val="none"/>
          <w:lang w:val="en-US" w:eastAsia="zh-CN" w:bidi="ar"/>
        </w:rPr>
        <w:t>9651853</w:t>
      </w:r>
    </w:p>
    <w:p>
      <w:pPr>
        <w:pStyle w:val="21"/>
        <w:shd w:val="clear" w:color="auto" w:fill="FFFFFF"/>
        <w:spacing w:before="0" w:beforeAutospacing="0" w:after="0" w:afterAutospacing="0" w:line="360" w:lineRule="auto"/>
        <w:ind w:firstLine="420" w:firstLineChars="200"/>
        <w:jc w:val="both"/>
        <w:rPr>
          <w:rFonts w:hint="eastAsia" w:cs="宋体"/>
          <w:bCs/>
          <w:color w:val="auto"/>
          <w:kern w:val="2"/>
          <w:sz w:val="21"/>
          <w:szCs w:val="21"/>
          <w:highlight w:val="none"/>
          <w:lang w:bidi="ar"/>
        </w:rPr>
      </w:pPr>
      <w:r>
        <w:rPr>
          <w:rFonts w:hint="eastAsia" w:cs="宋体"/>
          <w:bCs/>
          <w:color w:val="auto"/>
          <w:kern w:val="2"/>
          <w:sz w:val="21"/>
          <w:szCs w:val="21"/>
          <w:highlight w:val="none"/>
          <w:lang w:bidi="ar"/>
        </w:rPr>
        <w:t>3.项目联系方式</w:t>
      </w:r>
    </w:p>
    <w:p>
      <w:pPr>
        <w:pStyle w:val="21"/>
        <w:shd w:val="clear" w:color="auto" w:fill="FFFFFF"/>
        <w:spacing w:before="0" w:beforeAutospacing="0" w:after="0" w:afterAutospacing="0" w:line="360" w:lineRule="auto"/>
        <w:ind w:firstLine="630" w:firstLineChars="300"/>
        <w:jc w:val="both"/>
        <w:rPr>
          <w:rFonts w:hint="eastAsia" w:cs="宋体"/>
          <w:bCs/>
          <w:color w:val="auto"/>
          <w:kern w:val="2"/>
          <w:sz w:val="21"/>
          <w:szCs w:val="21"/>
          <w:highlight w:val="none"/>
          <w:lang w:val="en-US" w:eastAsia="zh-CN" w:bidi="ar"/>
        </w:rPr>
      </w:pPr>
      <w:r>
        <w:rPr>
          <w:rFonts w:hint="eastAsia" w:cs="宋体"/>
          <w:bCs/>
          <w:color w:val="auto"/>
          <w:kern w:val="2"/>
          <w:sz w:val="21"/>
          <w:szCs w:val="21"/>
          <w:highlight w:val="none"/>
          <w:lang w:bidi="ar"/>
        </w:rPr>
        <w:t>项目联系人：</w:t>
      </w:r>
      <w:r>
        <w:rPr>
          <w:rFonts w:hint="eastAsia" w:cs="宋体"/>
          <w:bCs/>
          <w:color w:val="auto"/>
          <w:kern w:val="2"/>
          <w:sz w:val="21"/>
          <w:szCs w:val="21"/>
          <w:highlight w:val="none"/>
          <w:lang w:eastAsia="zh-CN" w:bidi="ar"/>
        </w:rPr>
        <w:t>贾楠希、田凯</w:t>
      </w:r>
    </w:p>
    <w:p>
      <w:pPr>
        <w:widowControl/>
        <w:spacing w:line="360" w:lineRule="auto"/>
        <w:ind w:firstLine="630" w:firstLineChars="300"/>
        <w:outlineLvl w:val="1"/>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电话：029-8</w:t>
      </w:r>
      <w:r>
        <w:rPr>
          <w:rFonts w:hint="eastAsia" w:ascii="宋体" w:hAnsi="宋体" w:cs="宋体"/>
          <w:color w:val="auto"/>
          <w:szCs w:val="21"/>
          <w:highlight w:val="none"/>
          <w:lang w:val="en-US" w:eastAsia="zh-CN"/>
        </w:rPr>
        <w:t>9651853</w:t>
      </w:r>
    </w:p>
    <w:p>
      <w:pPr>
        <w:pStyle w:val="57"/>
        <w:rPr>
          <w:rFonts w:asciiTheme="minorEastAsia" w:hAnsiTheme="minorEastAsia" w:eastAsiaTheme="minorEastAsia"/>
          <w:color w:val="auto"/>
          <w:sz w:val="44"/>
          <w:highlight w:val="none"/>
        </w:rPr>
      </w:pPr>
      <w:r>
        <w:rPr>
          <w:rFonts w:hint="eastAsia" w:asciiTheme="minorEastAsia" w:hAnsiTheme="minorEastAsia" w:eastAsiaTheme="minorEastAsia"/>
          <w:color w:val="auto"/>
          <w:highlight w:val="none"/>
        </w:rPr>
        <w:br w:type="page"/>
      </w:r>
      <w:bookmarkStart w:id="23" w:name="_Toc5173"/>
      <w:bookmarkStart w:id="24" w:name="_Toc2996"/>
      <w:bookmarkStart w:id="25" w:name="_Toc47725865"/>
      <w:bookmarkStart w:id="26" w:name="_Toc30440"/>
      <w:r>
        <w:rPr>
          <w:rFonts w:hint="eastAsia" w:asciiTheme="minorEastAsia" w:hAnsiTheme="minorEastAsia" w:eastAsiaTheme="minorEastAsia"/>
          <w:color w:val="auto"/>
          <w:highlight w:val="none"/>
        </w:rPr>
        <w:t>第二章  供应商须知及前附表</w:t>
      </w:r>
      <w:bookmarkEnd w:id="22"/>
      <w:bookmarkEnd w:id="23"/>
      <w:bookmarkEnd w:id="24"/>
      <w:bookmarkEnd w:id="25"/>
      <w:bookmarkEnd w:id="26"/>
    </w:p>
    <w:p>
      <w:pPr>
        <w:spacing w:line="360" w:lineRule="auto"/>
        <w:rPr>
          <w:rFonts w:asciiTheme="minorEastAsia" w:hAnsiTheme="minorEastAsia" w:eastAsiaTheme="minorEastAsia"/>
          <w:color w:val="auto"/>
          <w:sz w:val="24"/>
          <w:highlight w:val="none"/>
        </w:rPr>
      </w:pPr>
    </w:p>
    <w:p>
      <w:pPr>
        <w:pStyle w:val="57"/>
        <w:rPr>
          <w:rFonts w:asciiTheme="minorEastAsia" w:hAnsiTheme="minorEastAsia" w:eastAsiaTheme="minorEastAsia"/>
          <w:color w:val="auto"/>
          <w:sz w:val="30"/>
          <w:szCs w:val="30"/>
          <w:highlight w:val="none"/>
        </w:rPr>
      </w:pPr>
      <w:bookmarkStart w:id="27" w:name="_Toc4616"/>
      <w:bookmarkStart w:id="28" w:name="_Toc16168"/>
      <w:bookmarkStart w:id="29" w:name="_Toc47725866"/>
      <w:bookmarkStart w:id="30" w:name="_Toc37938436"/>
      <w:bookmarkStart w:id="31" w:name="_Toc18828"/>
      <w:bookmarkStart w:id="32" w:name="_Toc47725813"/>
      <w:bookmarkStart w:id="33" w:name="_Toc9518"/>
      <w:r>
        <w:rPr>
          <w:rFonts w:hint="eastAsia" w:asciiTheme="minorEastAsia" w:hAnsiTheme="minorEastAsia" w:eastAsiaTheme="minorEastAsia"/>
          <w:color w:val="auto"/>
          <w:sz w:val="30"/>
          <w:szCs w:val="30"/>
          <w:highlight w:val="none"/>
        </w:rPr>
        <w:t>供应商须知前附表</w:t>
      </w:r>
      <w:bookmarkEnd w:id="27"/>
      <w:bookmarkEnd w:id="28"/>
      <w:bookmarkEnd w:id="29"/>
      <w:bookmarkEnd w:id="30"/>
      <w:bookmarkEnd w:id="31"/>
      <w:bookmarkEnd w:id="32"/>
      <w:bookmarkEnd w:id="33"/>
    </w:p>
    <w:p>
      <w:pPr>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Cs w:val="21"/>
          <w:highlight w:val="none"/>
        </w:rPr>
        <w:t>（本表是对供应商须知的提示、补充和修改，如有矛盾，应以本表为准。）</w:t>
      </w:r>
    </w:p>
    <w:tbl>
      <w:tblPr>
        <w:tblStyle w:val="24"/>
        <w:tblW w:w="8306"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888"/>
        <w:gridCol w:w="54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0" w:hRule="atLeast"/>
          <w:tblHeader/>
        </w:trPr>
        <w:tc>
          <w:tcPr>
            <w:tcW w:w="993" w:type="dxa"/>
          </w:tcPr>
          <w:p>
            <w:pPr>
              <w:spacing w:before="120" w:beforeLines="50" w:after="120" w:afterLines="50" w:line="360" w:lineRule="auto"/>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条款号</w:t>
            </w:r>
          </w:p>
        </w:tc>
        <w:tc>
          <w:tcPr>
            <w:tcW w:w="1888" w:type="dxa"/>
          </w:tcPr>
          <w:p>
            <w:pPr>
              <w:spacing w:before="120" w:beforeLines="50" w:after="120" w:afterLines="50" w:line="360" w:lineRule="auto"/>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条款内容提示</w:t>
            </w:r>
          </w:p>
        </w:tc>
        <w:tc>
          <w:tcPr>
            <w:tcW w:w="5425" w:type="dxa"/>
          </w:tcPr>
          <w:p>
            <w:pPr>
              <w:spacing w:before="120" w:beforeLines="50" w:after="120" w:afterLines="50" w:line="360" w:lineRule="auto"/>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3"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采购人</w:t>
            </w:r>
          </w:p>
        </w:tc>
        <w:tc>
          <w:tcPr>
            <w:tcW w:w="5425" w:type="dxa"/>
            <w:vAlign w:val="center"/>
          </w:tcPr>
          <w:p>
            <w:pPr>
              <w:widowControl/>
              <w:spacing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名称：陕西省水工环地质调查中心</w:t>
            </w:r>
          </w:p>
          <w:p>
            <w:pPr>
              <w:widowControl/>
              <w:spacing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地址：陕西省西安市碑林区友谊西路243号</w:t>
            </w:r>
          </w:p>
          <w:p>
            <w:pPr>
              <w:widowControl/>
              <w:spacing w:line="360" w:lineRule="auto"/>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eastAsia="zh-CN"/>
              </w:rPr>
              <w:t>石卫</w:t>
            </w:r>
          </w:p>
          <w:p>
            <w:pPr>
              <w:widowControl/>
              <w:spacing w:line="360" w:lineRule="auto"/>
              <w:jc w:val="left"/>
              <w:textAlignment w:val="auto"/>
              <w:rPr>
                <w:rFonts w:asciiTheme="minorEastAsia" w:hAnsiTheme="minorEastAsia" w:eastAsiaTheme="minorEastAsia"/>
                <w:color w:val="auto"/>
                <w:kern w:val="0"/>
                <w:szCs w:val="21"/>
                <w:highlight w:val="none"/>
              </w:rPr>
            </w:pPr>
            <w:r>
              <w:rPr>
                <w:rFonts w:hint="eastAsia" w:ascii="宋体" w:hAnsi="宋体" w:eastAsia="宋体" w:cs="宋体"/>
                <w:color w:val="auto"/>
                <w:kern w:val="0"/>
                <w:szCs w:val="21"/>
                <w:highlight w:val="none"/>
              </w:rPr>
              <w:t>联系方式：029-88419745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采购代理机构</w:t>
            </w:r>
          </w:p>
        </w:tc>
        <w:tc>
          <w:tcPr>
            <w:tcW w:w="5425" w:type="dxa"/>
            <w:vAlign w:val="center"/>
          </w:tcPr>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名称：西北（陕西）国际招标有限公司</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地址：陕西省西安市南二环西段58号成长大厦10-14层</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联系人：田凯、贾楠希</w:t>
            </w:r>
          </w:p>
          <w:p>
            <w:pPr>
              <w:widowControl w:val="0"/>
              <w:spacing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电话：89651853</w:t>
            </w:r>
          </w:p>
          <w:p>
            <w:pPr>
              <w:widowControl w:val="0"/>
              <w:spacing w:line="360" w:lineRule="auto"/>
              <w:textAlignment w:val="auto"/>
              <w:rPr>
                <w:rFonts w:asciiTheme="minorEastAsia" w:hAnsiTheme="minorEastAsia" w:eastAsiaTheme="minorEastAsia"/>
                <w:color w:val="auto"/>
                <w:szCs w:val="21"/>
                <w:highlight w:val="none"/>
              </w:rPr>
            </w:pPr>
            <w:r>
              <w:rPr>
                <w:rFonts w:hint="eastAsia" w:ascii="宋体" w:hAnsi="宋体" w:eastAsia="宋体" w:cs="宋体"/>
                <w:color w:val="auto"/>
                <w:kern w:val="0"/>
                <w:szCs w:val="21"/>
                <w:highlight w:val="none"/>
              </w:rPr>
              <w:t>邮箱：xbgj1853@163.com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2" w:hRule="atLeast"/>
        </w:trPr>
        <w:tc>
          <w:tcPr>
            <w:tcW w:w="993" w:type="dxa"/>
            <w:vMerge w:val="restart"/>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w:t>
            </w:r>
          </w:p>
        </w:tc>
        <w:tc>
          <w:tcPr>
            <w:tcW w:w="1888" w:type="dxa"/>
            <w:vAlign w:val="center"/>
          </w:tcPr>
          <w:p>
            <w:pPr>
              <w:spacing w:line="360" w:lineRule="auto"/>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中华人民共和国法律、行政法规规定的其他条件；</w:t>
            </w:r>
          </w:p>
        </w:tc>
        <w:tc>
          <w:tcPr>
            <w:tcW w:w="5425"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trPr>
        <w:tc>
          <w:tcPr>
            <w:tcW w:w="993" w:type="dxa"/>
            <w:vMerge w:val="continue"/>
            <w:vAlign w:val="center"/>
          </w:tcPr>
          <w:p>
            <w:pPr>
              <w:spacing w:line="360" w:lineRule="auto"/>
              <w:jc w:val="center"/>
              <w:rPr>
                <w:rFonts w:asciiTheme="minorEastAsia" w:hAnsiTheme="minorEastAsia" w:eastAsiaTheme="minorEastAsia"/>
                <w:color w:val="auto"/>
                <w:szCs w:val="21"/>
                <w:highlight w:val="none"/>
              </w:rPr>
            </w:pP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本项目特定条件</w:t>
            </w:r>
          </w:p>
        </w:tc>
        <w:tc>
          <w:tcPr>
            <w:tcW w:w="5425"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供应商信用信息</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查询</w:t>
            </w:r>
          </w:p>
        </w:tc>
        <w:tc>
          <w:tcPr>
            <w:tcW w:w="5425"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“信用中国”网站（www.creditchina.gov.cn）和“中国政府采购网”（ccgp.gov.cn）为投标人信用信息查询渠道，如果投标人被查实在投标截止时间列入失信被执行人</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页面跳转至“中国执行信息公开网”http://zxgk.court.gov.cn/shixin/</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eastAsia="zh-CN"/>
              </w:rPr>
              <w:t>重大税收违法失信主体</w:t>
            </w:r>
            <w:r>
              <w:rPr>
                <w:rFonts w:hint="eastAsia" w:asciiTheme="minorEastAsia" w:hAnsiTheme="minorEastAsia" w:eastAsiaTheme="minorEastAsia"/>
                <w:color w:val="auto"/>
                <w:szCs w:val="21"/>
                <w:highlight w:val="none"/>
              </w:rPr>
              <w:t>、政府采购严重违法失信行为记录名单，其投标为无效。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6.3</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招标内容的实质性响应要求</w:t>
            </w:r>
          </w:p>
        </w:tc>
        <w:tc>
          <w:tcPr>
            <w:tcW w:w="5425" w:type="dxa"/>
            <w:vAlign w:val="center"/>
          </w:tcPr>
          <w:p>
            <w:pPr>
              <w:widowControl/>
              <w:spacing w:before="100" w:beforeAutospacing="1" w:after="100" w:afterAutospacing="1" w:line="360" w:lineRule="auto"/>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招标文件第四章“招标内容”中以“</w:t>
            </w:r>
            <w:r>
              <w:rPr>
                <w:rFonts w:hint="eastAsia" w:asciiTheme="minorEastAsia" w:hAnsiTheme="minorEastAsia" w:eastAsiaTheme="minorEastAsia"/>
                <w:b/>
                <w:color w:val="auto"/>
                <w:szCs w:val="21"/>
                <w:highlight w:val="none"/>
              </w:rPr>
              <w:t>*</w:t>
            </w:r>
            <w:r>
              <w:rPr>
                <w:rFonts w:hint="eastAsia" w:asciiTheme="minorEastAsia" w:hAnsiTheme="minorEastAsia" w:eastAsiaTheme="minorEastAsia"/>
                <w:color w:val="auto"/>
                <w:szCs w:val="21"/>
                <w:highlight w:val="none"/>
              </w:rPr>
              <w:t xml:space="preserve">”号标记的条款为不允许偏离的技术和商务的实质性要求和条件，不满足实质性要求和条件的投标为无效投标。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06"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8.1</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供应商提出质疑的时间及代理机构指定的接受质疑联系部门</w:t>
            </w:r>
          </w:p>
        </w:tc>
        <w:tc>
          <w:tcPr>
            <w:tcW w:w="5425" w:type="dxa"/>
            <w:vAlign w:val="center"/>
          </w:tcPr>
          <w:p>
            <w:pPr>
              <w:spacing w:line="360" w:lineRule="auto"/>
              <w:ind w:left="315" w:hanging="315" w:hangingChars="15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1）已经合法获取招标文件的供应商对招标文件提出质疑的，可以在本项目招标文件公告期限届满之日起七个工作日内，</w:t>
            </w:r>
            <w:r>
              <w:rPr>
                <w:rFonts w:hint="eastAsia" w:cs="宋体" w:asciiTheme="minorEastAsia" w:hAnsiTheme="minorEastAsia" w:eastAsiaTheme="minorEastAsia"/>
                <w:color w:val="auto"/>
                <w:szCs w:val="21"/>
                <w:highlight w:val="none"/>
                <w:lang w:val="en-US" w:eastAsia="zh-CN"/>
              </w:rPr>
              <w:t>针对同一采购程序环节</w:t>
            </w:r>
            <w:r>
              <w:rPr>
                <w:rFonts w:hint="eastAsia" w:cs="宋体" w:asciiTheme="minorEastAsia" w:hAnsiTheme="minorEastAsia" w:eastAsiaTheme="minorEastAsia"/>
                <w:color w:val="auto"/>
                <w:szCs w:val="21"/>
                <w:highlight w:val="none"/>
              </w:rPr>
              <w:t>以书面形式向采购代理机构一次性提出，在此之后提出的质疑均为无效，采购代理机构不予受理；</w:t>
            </w:r>
          </w:p>
          <w:p>
            <w:pPr>
              <w:spacing w:line="360" w:lineRule="auto"/>
              <w:ind w:left="315" w:hanging="315" w:hangingChars="15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2）接收质疑函的方式：书面形式，格式：见“中国政府采购网（www.ccgp.gov.cn）下载专区”；</w:t>
            </w:r>
          </w:p>
          <w:p>
            <w:pPr>
              <w:spacing w:line="360" w:lineRule="auto"/>
              <w:ind w:left="315" w:hanging="315" w:hangingChars="15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3）联系部门：西北（陕西）国际招标有限公司综合监督处；</w:t>
            </w:r>
          </w:p>
          <w:p>
            <w:pPr>
              <w:spacing w:line="360" w:lineRule="auto"/>
              <w:ind w:left="315" w:hanging="315" w:hangingChars="15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4）联系电话：029-85362812；</w:t>
            </w:r>
          </w:p>
          <w:p>
            <w:pPr>
              <w:spacing w:line="360" w:lineRule="auto"/>
              <w:ind w:left="315" w:hanging="315" w:hangingChars="15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5）通讯地址：西安市南二环西段58号成长大厦12楼1203室。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8.2</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质疑内容要求</w:t>
            </w:r>
          </w:p>
        </w:tc>
        <w:tc>
          <w:tcPr>
            <w:tcW w:w="5425"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供应商提出质疑应当提交质疑函和必要的证明材料原件，代理机构不接受传真、电子邮件、复印件等形式的质疑材料。</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质疑函应当包括下列内容：</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（一）供应商的姓名或者名称、地址、邮编、联系人及联系电话；</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（二）质疑项目的名称、编号；</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（三）具体、明确的质疑事项和与质疑事项相关的请求；</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（四）事实依据；</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（五）必要的法律依据；</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（六）提出质疑的日期。</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供应商为自然人的，应当由本人签字；供应商为法人或者其他组织的，应当由法定代表人、主要负责人，或者其授权代表（附法人代表授权书）签字或者盖章（鲜章），并加盖公章（鲜章）。</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质疑函格式应符合“政府采购供应商质疑函范本”要求，详见“中国政府采购网（www.ccgp.gov.cn）”下载专区。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3"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8.3</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采购代理机构答疑的时间</w:t>
            </w:r>
          </w:p>
        </w:tc>
        <w:tc>
          <w:tcPr>
            <w:tcW w:w="5425" w:type="dxa"/>
            <w:vAlign w:val="center"/>
          </w:tcPr>
          <w:p>
            <w:pPr>
              <w:spacing w:line="360" w:lineRule="auto"/>
              <w:ind w:left="315" w:hanging="315" w:hangingChars="15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1）</w:t>
            </w:r>
            <w:r>
              <w:rPr>
                <w:rFonts w:hint="eastAsia" w:cs="宋体" w:asciiTheme="minorEastAsia" w:hAnsiTheme="minorEastAsia" w:eastAsiaTheme="minorEastAsia"/>
                <w:color w:val="auto"/>
                <w:szCs w:val="21"/>
                <w:highlight w:val="none"/>
              </w:rPr>
              <w:t>对于供应商依法提出的询问，采购代理机构将在三个工作日内答复。</w:t>
            </w:r>
          </w:p>
          <w:p>
            <w:pPr>
              <w:spacing w:line="360" w:lineRule="auto"/>
              <w:ind w:left="315" w:hanging="315" w:hangingChars="15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2）</w:t>
            </w:r>
            <w:r>
              <w:rPr>
                <w:rFonts w:hint="eastAsia" w:cs="宋体" w:asciiTheme="minorEastAsia" w:hAnsiTheme="minorEastAsia" w:eastAsiaTheme="minorEastAsia"/>
                <w:color w:val="auto"/>
                <w:szCs w:val="21"/>
                <w:highlight w:val="none"/>
              </w:rPr>
              <w:t>对于供应商在规定时间内依法提出的质疑，采购代理机构将在七个工作日内答复。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7"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11.1</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报价要求</w:t>
            </w:r>
          </w:p>
        </w:tc>
        <w:tc>
          <w:tcPr>
            <w:tcW w:w="5425" w:type="dxa"/>
            <w:vAlign w:val="center"/>
          </w:tcPr>
          <w:p>
            <w:pPr>
              <w:spacing w:line="360" w:lineRule="auto"/>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报价要求：</w:t>
            </w:r>
            <w:r>
              <w:rPr>
                <w:rFonts w:hint="eastAsia" w:cs="宋体" w:asciiTheme="minorEastAsia" w:hAnsiTheme="minorEastAsia" w:eastAsiaTheme="minorEastAsia"/>
                <w:color w:val="auto"/>
                <w:szCs w:val="21"/>
                <w:highlight w:val="none"/>
                <w:lang w:eastAsia="zh-CN"/>
              </w:rPr>
              <w:t>固定总价</w:t>
            </w:r>
            <w:r>
              <w:rPr>
                <w:rFonts w:hint="eastAsia" w:cs="宋体" w:asciiTheme="minorEastAsia" w:hAnsiTheme="minorEastAsia" w:eastAsiaTheme="minorEastAsia"/>
                <w:color w:val="auto"/>
                <w:szCs w:val="21"/>
                <w:highlight w:val="none"/>
              </w:rPr>
              <w:t>。</w:t>
            </w:r>
          </w:p>
          <w:p>
            <w:pPr>
              <w:spacing w:line="360" w:lineRule="auto"/>
              <w:ind w:left="315" w:hanging="315" w:hangingChars="15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1）报价内容应包括货物的制造、运输、装卸、安装、验收、税费及质保等完成本项目所需的一切费</w:t>
            </w:r>
            <w:r>
              <w:rPr>
                <w:rFonts w:hint="eastAsia" w:cs="宋体" w:asciiTheme="minorEastAsia" w:hAnsiTheme="minorEastAsia" w:eastAsiaTheme="minorEastAsia"/>
                <w:color w:val="auto"/>
                <w:szCs w:val="21"/>
                <w:highlight w:val="none"/>
                <w:lang w:eastAsia="zh-CN"/>
              </w:rPr>
              <w:t>和税</w:t>
            </w:r>
            <w:r>
              <w:rPr>
                <w:rFonts w:hint="eastAsia" w:cs="宋体" w:asciiTheme="minorEastAsia" w:hAnsiTheme="minorEastAsia" w:eastAsiaTheme="minorEastAsia"/>
                <w:color w:val="auto"/>
                <w:szCs w:val="21"/>
                <w:highlight w:val="none"/>
              </w:rPr>
              <w:t>；</w:t>
            </w:r>
          </w:p>
          <w:p>
            <w:pPr>
              <w:spacing w:line="360" w:lineRule="auto"/>
              <w:ind w:left="315" w:hanging="315" w:hangingChars="15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2）供应商必须对所响应项目进行完整报价，采购人不接受（将拒绝）只对部分货物进行报价的响应。</w:t>
            </w:r>
          </w:p>
          <w:p>
            <w:pPr>
              <w:spacing w:line="360" w:lineRule="auto"/>
              <w:ind w:left="315" w:hanging="315" w:hangingChars="15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3）明显不合理或者低于成本且无法合理解释的报价将被否决。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11.3</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是否允许备选方案</w:t>
            </w:r>
          </w:p>
        </w:tc>
        <w:tc>
          <w:tcPr>
            <w:tcW w:w="5425" w:type="dxa"/>
            <w:vAlign w:val="center"/>
          </w:tcPr>
          <w:p>
            <w:pPr>
              <w:spacing w:line="360" w:lineRule="auto"/>
              <w:ind w:left="315" w:hanging="315" w:hanging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9"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11.4</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本次投标的最小单元要求</w:t>
            </w:r>
          </w:p>
        </w:tc>
        <w:tc>
          <w:tcPr>
            <w:tcW w:w="5425"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本次投标的最小单元为“项目全部内容”。任何不完全的投标将按照无效投标处理。中标人应当按照合同约定履约，在保证质量的前提下完成该项目，不得将中标项目转让（转包）给他人。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12.2</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供应商资格证明文件</w:t>
            </w:r>
          </w:p>
        </w:tc>
        <w:tc>
          <w:tcPr>
            <w:tcW w:w="5425" w:type="dxa"/>
            <w:vAlign w:val="center"/>
          </w:tcPr>
          <w:p>
            <w:pPr>
              <w:spacing w:line="360" w:lineRule="auto"/>
              <w:ind w:left="316" w:hanging="316" w:hangingChars="15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（1）具有独立承担民事责任的能力</w:t>
            </w:r>
          </w:p>
          <w:p>
            <w:pPr>
              <w:spacing w:line="360" w:lineRule="auto"/>
              <w:ind w:left="71" w:leftChars="34"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提供注册登记凭证（营业执照、其他组织经营的合法凭证，自然人的提供身份证明文件）</w:t>
            </w:r>
            <w:r>
              <w:rPr>
                <w:rFonts w:hint="eastAsia" w:cs="宋体" w:asciiTheme="minorEastAsia" w:hAnsiTheme="minorEastAsia" w:eastAsiaTheme="minorEastAsia"/>
                <w:color w:val="auto"/>
                <w:szCs w:val="21"/>
                <w:highlight w:val="none"/>
              </w:rPr>
              <w:t>；</w:t>
            </w:r>
          </w:p>
          <w:p>
            <w:pPr>
              <w:spacing w:line="360" w:lineRule="auto"/>
              <w:ind w:left="316" w:hanging="316" w:hangingChars="15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（2）具有良好的商业信誉和健全的财务会计制度</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提供202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年度经审计的财务报告（包括四表一注，即资产负债表、利润表、现金流量表、所有者权益变动表及其附注），且无反对意见；事业法人提供部门决算报告；</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/或在投标截止时间期前六个月内其基本开户银行出具的资信证明（附《基本存款账户信息》或《银行开户许可证》复印件）；</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/或财政部门认可的政府采购专业担保机构出具的投标担保函；</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/或表明具有良好的商业信誉和健全的财务会计制度的诚信声明；</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以上四种形式的资料提供任何一种即可。</w:t>
            </w:r>
          </w:p>
          <w:p>
            <w:pPr>
              <w:spacing w:line="360" w:lineRule="auto"/>
              <w:ind w:left="316" w:hanging="316" w:hangingChars="15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（3）具有履行合同所必需的设备和专业技术能力</w:t>
            </w:r>
          </w:p>
          <w:p>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提供声明文件原件。</w:t>
            </w:r>
          </w:p>
          <w:p>
            <w:pPr>
              <w:spacing w:line="360" w:lineRule="auto"/>
              <w:ind w:left="316" w:hanging="316" w:hangingChars="150"/>
              <w:rPr>
                <w:rFonts w:cs="宋体" w:asciiTheme="minorEastAsia" w:hAnsiTheme="minorEastAsia" w:eastAsiaTheme="minorEastAsia"/>
                <w:b/>
                <w:color w:val="auto"/>
                <w:szCs w:val="21"/>
                <w:highlight w:val="none"/>
                <w:lang w:bidi="ar"/>
              </w:rPr>
            </w:pPr>
            <w:r>
              <w:rPr>
                <w:rFonts w:hint="eastAsia" w:asciiTheme="minorEastAsia" w:hAnsiTheme="minorEastAsia" w:eastAsiaTheme="minorEastAsia"/>
                <w:b/>
                <w:color w:val="auto"/>
                <w:szCs w:val="21"/>
                <w:highlight w:val="none"/>
              </w:rPr>
              <w:t>（4）</w:t>
            </w:r>
            <w:r>
              <w:rPr>
                <w:rFonts w:hint="eastAsia" w:cs="宋体" w:asciiTheme="minorEastAsia" w:hAnsiTheme="minorEastAsia" w:eastAsiaTheme="minorEastAsia"/>
                <w:b/>
                <w:color w:val="auto"/>
                <w:szCs w:val="21"/>
                <w:highlight w:val="none"/>
                <w:lang w:bidi="ar"/>
              </w:rPr>
              <w:t>具有依法缴纳税收的良好记录</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提供缴费所属日期为投标截止时间前12个月内任一月份（投标截止时间当月不计入）的增值税（或企业所得税）缴费凭据或税务机关出具的完税证明/在法规范围内不需提供的应出具书面说明和证明文件；</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/或具有依法缴纳税收的诚信声明；</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以上二种形式的资料提供任何一种即可。</w:t>
            </w:r>
          </w:p>
          <w:p>
            <w:pPr>
              <w:spacing w:line="360" w:lineRule="auto"/>
              <w:ind w:left="316" w:hanging="316" w:hangingChars="150"/>
              <w:rPr>
                <w:rFonts w:cs="宋体" w:asciiTheme="minorEastAsia" w:hAnsiTheme="minorEastAsia" w:eastAsiaTheme="minorEastAsia"/>
                <w:b/>
                <w:color w:val="auto"/>
                <w:szCs w:val="21"/>
                <w:highlight w:val="none"/>
                <w:lang w:bidi="ar"/>
              </w:rPr>
            </w:pPr>
            <w:r>
              <w:rPr>
                <w:rFonts w:hint="eastAsia" w:asciiTheme="minorEastAsia" w:hAnsiTheme="minorEastAsia" w:eastAsiaTheme="minorEastAsia"/>
                <w:b/>
                <w:color w:val="auto"/>
                <w:szCs w:val="21"/>
                <w:highlight w:val="none"/>
              </w:rPr>
              <w:t>（5）</w:t>
            </w:r>
            <w:r>
              <w:rPr>
                <w:rFonts w:hint="eastAsia" w:cs="宋体" w:asciiTheme="minorEastAsia" w:hAnsiTheme="minorEastAsia" w:eastAsiaTheme="minorEastAsia"/>
                <w:b/>
                <w:color w:val="auto"/>
                <w:szCs w:val="21"/>
                <w:highlight w:val="none"/>
                <w:lang w:bidi="ar"/>
              </w:rPr>
              <w:t>具有依法缴纳社会保障资金的良好记录</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提供缴费所属日期为投标截止时间前12个月内任一月份（投标截止时间当月不计入）的缴费凭据或社保机关出具的缴费证明/在法规范围内不需提供的应出具书面说明和证明文件；</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/或具有依法缴纳社会保障资金的缴纳记录的诚信声明；</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以上二种形式的资料提供任何一种即可。</w:t>
            </w:r>
          </w:p>
          <w:p>
            <w:pPr>
              <w:spacing w:line="360" w:lineRule="auto"/>
              <w:ind w:left="316" w:hanging="316" w:hangingChars="15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（6）参加政府采购活动前3年内在经营活动中没有重大违法记录的书面声明（原件）；</w:t>
            </w:r>
          </w:p>
          <w:p>
            <w:pPr>
              <w:spacing w:line="360" w:lineRule="auto"/>
              <w:ind w:left="316" w:hanging="316" w:hangingChars="15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（7）法人代表授权书（原件）；</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w:t>
            </w:r>
          </w:p>
          <w:p>
            <w:pPr>
              <w:spacing w:line="360" w:lineRule="auto"/>
              <w:ind w:left="316" w:hanging="316" w:hangingChars="150"/>
              <w:rPr>
                <w:rFonts w:asciiTheme="minorEastAsia" w:hAnsiTheme="minorEastAsia" w:eastAsiaTheme="minorEastAsia"/>
                <w:color w:val="auto"/>
                <w:szCs w:val="21"/>
                <w:highlight w:val="none"/>
              </w:rPr>
            </w:pPr>
            <w:r>
              <w:rPr>
                <w:rFonts w:hint="eastAsia" w:asciiTheme="minorEastAsia" w:hAnsiTheme="minorEastAsia" w:eastAsiaTheme="minorEastAsia"/>
                <w:b/>
                <w:bCs/>
                <w:color w:val="auto"/>
                <w:szCs w:val="21"/>
                <w:highlight w:val="none"/>
              </w:rPr>
              <w:t>1</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b/>
                <w:color w:val="auto"/>
                <w:szCs w:val="21"/>
                <w:highlight w:val="none"/>
              </w:rPr>
              <w:t>以上资格证明文件供应商必须完全提供，一项不合格即按照无效投标处理。注明原件的须胶装在投标文件正本中。</w:t>
            </w:r>
          </w:p>
          <w:p>
            <w:pPr>
              <w:spacing w:line="360" w:lineRule="auto"/>
              <w:ind w:left="315" w:hanging="315" w:hangingChars="150"/>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2）除注明原件外，均为复印件并须加盖供应商公章。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12.3</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商务响应证明文件</w:t>
            </w:r>
          </w:p>
        </w:tc>
        <w:tc>
          <w:tcPr>
            <w:tcW w:w="5425" w:type="dxa"/>
            <w:vAlign w:val="center"/>
          </w:tcPr>
          <w:p>
            <w:pPr>
              <w:spacing w:line="360" w:lineRule="auto"/>
              <w:ind w:left="315" w:hanging="315" w:hanging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类似项目业绩。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5"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15</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是否要求投标保证金</w:t>
            </w:r>
          </w:p>
        </w:tc>
        <w:tc>
          <w:tcPr>
            <w:tcW w:w="5425" w:type="dxa"/>
            <w:vAlign w:val="center"/>
          </w:tcPr>
          <w:p>
            <w:pPr>
              <w:spacing w:line="360" w:lineRule="auto"/>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993" w:type="dxa"/>
            <w:vAlign w:val="center"/>
          </w:tcPr>
          <w:p>
            <w:pPr>
              <w:spacing w:line="360" w:lineRule="auto"/>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w:t>
            </w:r>
          </w:p>
        </w:tc>
        <w:tc>
          <w:tcPr>
            <w:tcW w:w="1888" w:type="dxa"/>
            <w:vAlign w:val="center"/>
          </w:tcPr>
          <w:p>
            <w:pPr>
              <w:spacing w:line="360" w:lineRule="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政府采购政策功能</w:t>
            </w:r>
          </w:p>
        </w:tc>
        <w:tc>
          <w:tcPr>
            <w:tcW w:w="5425" w:type="dxa"/>
            <w:vAlign w:val="center"/>
          </w:tcPr>
          <w:p>
            <w:pPr>
              <w:widowControl w:val="0"/>
              <w:spacing w:line="36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1）根据《陕西省财政厅关于印发&lt;陕西省中小企业政府采购信用融资办法&gt;的通知》（陕财办采〔2018〕23 号，详见本章附件1）相关规定，有融资需求的供应商可根据自身情况，在陕西省政府采购信用融资平台http://www.ccgp-shaanxi.gov.cn/zcdservice/zcd/shanxi/）自主选择金融机构及其融资产品，凭政府采购中标（成交）通知书或政府采购合同提出融资申请。政府采购监管部门业务咨询电话：029-68936409、68936341、69936154。</w:t>
            </w:r>
          </w:p>
          <w:p>
            <w:pPr>
              <w:spacing w:line="360" w:lineRule="auto"/>
              <w:rPr>
                <w:rFonts w:hint="eastAsia" w:asciiTheme="minorEastAsia" w:hAnsiTheme="minorEastAsia" w:eastAsiaTheme="minorEastAsia"/>
                <w:color w:val="auto"/>
                <w:szCs w:val="21"/>
                <w:highlight w:val="none"/>
              </w:rPr>
            </w:pPr>
            <w:r>
              <w:rPr>
                <w:rFonts w:hint="eastAsia" w:ascii="宋体" w:hAnsi="宋体" w:eastAsia="宋体" w:cs="宋体"/>
                <w:color w:val="auto"/>
                <w:szCs w:val="21"/>
                <w:highlight w:val="none"/>
                <w:lang w:val="en-US" w:eastAsia="zh-CN"/>
              </w:rPr>
              <w:t>2）</w:t>
            </w:r>
            <w:r>
              <w:rPr>
                <w:rFonts w:hint="default" w:ascii="宋体" w:hAnsi="宋体" w:eastAsia="宋体" w:cs="宋体"/>
                <w:color w:val="auto"/>
                <w:szCs w:val="21"/>
                <w:highlight w:val="none"/>
                <w:lang w:val="en-US" w:eastAsia="zh-CN"/>
              </w:rPr>
              <w:t>对于供应商符合政府采购政策关于小微企业、残疾人福利性单位及监狱企业等规定的，在评标时给予相应的价格折扣，具体办法详见第</w:t>
            </w:r>
            <w:r>
              <w:rPr>
                <w:rFonts w:hint="eastAsia" w:ascii="宋体" w:hAnsi="宋体" w:cs="宋体"/>
                <w:color w:val="auto"/>
                <w:szCs w:val="21"/>
                <w:highlight w:val="none"/>
                <w:lang w:val="en-US" w:eastAsia="zh-CN"/>
              </w:rPr>
              <w:t>五</w:t>
            </w:r>
            <w:r>
              <w:rPr>
                <w:rFonts w:hint="default" w:ascii="宋体" w:hAnsi="宋体" w:eastAsia="宋体" w:cs="宋体"/>
                <w:color w:val="auto"/>
                <w:szCs w:val="21"/>
                <w:highlight w:val="none"/>
                <w:lang w:val="en-US" w:eastAsia="zh-CN"/>
              </w:rPr>
              <w:t>章“评标</w:t>
            </w:r>
            <w:r>
              <w:rPr>
                <w:rFonts w:hint="eastAsia" w:ascii="宋体" w:hAnsi="宋体" w:cs="宋体"/>
                <w:color w:val="auto"/>
                <w:szCs w:val="21"/>
                <w:highlight w:val="none"/>
                <w:lang w:val="en-US" w:eastAsia="zh-CN"/>
              </w:rPr>
              <w:t>方</w:t>
            </w:r>
            <w:r>
              <w:rPr>
                <w:rFonts w:hint="default" w:ascii="宋体" w:hAnsi="宋体" w:eastAsia="宋体" w:cs="宋体"/>
                <w:color w:val="auto"/>
                <w:szCs w:val="21"/>
                <w:highlight w:val="none"/>
                <w:lang w:val="en-US" w:eastAsia="zh-CN"/>
              </w:rPr>
              <w:t>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16.1</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投标有效期</w:t>
            </w:r>
          </w:p>
        </w:tc>
        <w:tc>
          <w:tcPr>
            <w:tcW w:w="5425"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开标后90天。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17.1</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投标文件份数</w:t>
            </w:r>
          </w:p>
        </w:tc>
        <w:tc>
          <w:tcPr>
            <w:tcW w:w="5425" w:type="dxa"/>
            <w:vAlign w:val="center"/>
          </w:tcPr>
          <w:p>
            <w:pPr>
              <w:pStyle w:val="2"/>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正本一份，副本二份，电子版一份。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3"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17.2</w:t>
            </w:r>
          </w:p>
        </w:tc>
        <w:tc>
          <w:tcPr>
            <w:tcW w:w="1888" w:type="dxa"/>
            <w:vAlign w:val="center"/>
          </w:tcPr>
          <w:p>
            <w:pPr>
              <w:spacing w:line="360" w:lineRule="auto"/>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电子版文件要求</w:t>
            </w:r>
          </w:p>
        </w:tc>
        <w:tc>
          <w:tcPr>
            <w:tcW w:w="5425"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格式和载体要求： </w:t>
            </w:r>
          </w:p>
          <w:p>
            <w:pPr>
              <w:spacing w:line="360" w:lineRule="auto"/>
              <w:ind w:left="315" w:hanging="315" w:hangingChars="150"/>
              <w:rPr>
                <w:rFonts w:asciiTheme="minorEastAsia" w:hAnsiTheme="minorEastAsia" w:eastAsiaTheme="minorEastAsia"/>
                <w:color w:val="auto"/>
                <w:kern w:val="0"/>
                <w:szCs w:val="21"/>
                <w:highlight w:val="none"/>
                <w:lang w:bidi="ar"/>
              </w:rPr>
            </w:pPr>
            <w:r>
              <w:rPr>
                <w:rFonts w:hint="eastAsia" w:asciiTheme="minorEastAsia" w:hAnsiTheme="minorEastAsia" w:eastAsiaTheme="minorEastAsia"/>
                <w:color w:val="auto"/>
                <w:kern w:val="0"/>
                <w:szCs w:val="21"/>
                <w:highlight w:val="none"/>
                <w:lang w:bidi="ar"/>
              </w:rPr>
              <w:t>1）供应商须另行提供与纸质投标文件正本一致的PDF格式U盘，且盖章、签字处必须扫描并清晰可辨；</w:t>
            </w:r>
          </w:p>
          <w:p>
            <w:pPr>
              <w:spacing w:line="360" w:lineRule="auto"/>
              <w:ind w:left="315" w:hanging="315" w:hangingChars="150"/>
              <w:rPr>
                <w:rFonts w:asciiTheme="minorEastAsia" w:hAnsiTheme="minorEastAsia" w:eastAsiaTheme="minorEastAsia"/>
                <w:color w:val="auto"/>
                <w:kern w:val="0"/>
                <w:szCs w:val="21"/>
                <w:highlight w:val="none"/>
                <w:lang w:bidi="ar"/>
              </w:rPr>
            </w:pPr>
            <w:r>
              <w:rPr>
                <w:rFonts w:hint="eastAsia" w:asciiTheme="minorEastAsia" w:hAnsiTheme="minorEastAsia" w:eastAsiaTheme="minorEastAsia"/>
                <w:color w:val="auto"/>
                <w:kern w:val="0"/>
                <w:szCs w:val="21"/>
                <w:highlight w:val="none"/>
                <w:lang w:bidi="ar"/>
              </w:rPr>
              <w:t>2）投标人须保证投标文件的纸质文件与电子文档保持一致；</w:t>
            </w:r>
          </w:p>
          <w:p>
            <w:pPr>
              <w:spacing w:line="360" w:lineRule="auto"/>
              <w:ind w:left="315" w:hanging="315" w:hangingChars="150"/>
              <w:rPr>
                <w:rFonts w:asciiTheme="minorEastAsia" w:hAnsiTheme="minorEastAsia" w:eastAsiaTheme="minorEastAsia"/>
                <w:b/>
                <w:bCs/>
                <w:color w:val="auto"/>
                <w:szCs w:val="21"/>
                <w:highlight w:val="none"/>
              </w:rPr>
            </w:pPr>
            <w:r>
              <w:rPr>
                <w:rFonts w:hint="eastAsia" w:asciiTheme="minorEastAsia" w:hAnsiTheme="minorEastAsia" w:eastAsiaTheme="minorEastAsia"/>
                <w:color w:val="auto"/>
                <w:kern w:val="0"/>
                <w:szCs w:val="21"/>
                <w:highlight w:val="none"/>
                <w:lang w:bidi="ar"/>
              </w:rPr>
              <w:t>3）电子文档表面需标明招标项目编号、供应商名称等信息。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4"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17.3</w:t>
            </w:r>
          </w:p>
        </w:tc>
        <w:tc>
          <w:tcPr>
            <w:tcW w:w="1888" w:type="dxa"/>
            <w:vAlign w:val="center"/>
          </w:tcPr>
          <w:p>
            <w:pPr>
              <w:spacing w:line="360" w:lineRule="auto"/>
              <w:jc w:val="left"/>
              <w:rPr>
                <w:rFonts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lang w:val="en-US" w:eastAsia="zh-CN"/>
              </w:rPr>
              <w:t>签字盖章</w:t>
            </w:r>
          </w:p>
        </w:tc>
        <w:tc>
          <w:tcPr>
            <w:tcW w:w="5425" w:type="dxa"/>
            <w:vAlign w:val="center"/>
          </w:tcPr>
          <w:p>
            <w:pPr>
              <w:spacing w:line="360" w:lineRule="auto"/>
              <w:ind w:left="1"/>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所有要求法定代表人签名处，均须由签名者本人用不褪色的蓝(黑)色墨水(汁)书写全名，也可以盖刻有法定代表人姓名的图章代替。</w:t>
            </w:r>
          </w:p>
          <w:p>
            <w:pPr>
              <w:spacing w:line="360" w:lineRule="auto"/>
              <w:ind w:left="1"/>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招标文件规定盖公章处，可加盖经公章授权的本单位其他印章（附公章授权书原件，格式自拟）。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8"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18.1</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投标文件装订、包装、密封及标记要求</w:t>
            </w:r>
          </w:p>
        </w:tc>
        <w:tc>
          <w:tcPr>
            <w:tcW w:w="5425" w:type="dxa"/>
            <w:vAlign w:val="center"/>
          </w:tcPr>
          <w:p>
            <w:pPr>
              <w:spacing w:line="360" w:lineRule="auto"/>
              <w:ind w:left="315" w:hanging="315" w:hanging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1）文件正、副本应分别装订成册，装订应牢固、不易拆散和换页，不得采用活页装订。</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2）密封包装方式：</w:t>
            </w:r>
          </w:p>
          <w:p>
            <w:pPr>
              <w:spacing w:line="360" w:lineRule="auto"/>
              <w:ind w:left="554" w:leftChars="114" w:hanging="315" w:hanging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①资格部分投标文件正、副本一包密封；</w:t>
            </w:r>
          </w:p>
          <w:p>
            <w:pPr>
              <w:spacing w:line="360" w:lineRule="auto"/>
              <w:ind w:left="554" w:leftChars="114" w:hanging="315" w:hangingChars="150"/>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②技术和商务投标文件正、副本一包密封；</w:t>
            </w:r>
          </w:p>
          <w:p>
            <w:pPr>
              <w:spacing w:line="360" w:lineRule="auto"/>
              <w:ind w:left="554" w:leftChars="114" w:hanging="315" w:hanging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③电子版单独密封递交。</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3）外层包装请按以下要求标记：</w:t>
            </w:r>
          </w:p>
          <w:p>
            <w:pPr>
              <w:spacing w:line="360" w:lineRule="auto"/>
              <w:ind w:left="554" w:leftChars="114" w:hanging="315" w:hanging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①供应商的全称；</w:t>
            </w:r>
          </w:p>
          <w:p>
            <w:pPr>
              <w:spacing w:line="360" w:lineRule="auto"/>
              <w:ind w:left="554" w:leftChars="114" w:hanging="315" w:hanging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②投标项目名称、项目编号、包号；</w:t>
            </w:r>
          </w:p>
          <w:p>
            <w:pPr>
              <w:spacing w:line="360" w:lineRule="auto"/>
              <w:ind w:left="554" w:leftChars="114" w:hanging="315" w:hanging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③资格部分、技术和商务、电子版及“请勿在＿＿＿＿＿（开标时间）之前启封”。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1"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19.1</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投标文件的递交</w:t>
            </w:r>
          </w:p>
        </w:tc>
        <w:tc>
          <w:tcPr>
            <w:tcW w:w="5425"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投标文件递交地址：同开标地点</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投标截止时间：</w:t>
            </w:r>
            <w:r>
              <w:rPr>
                <w:rFonts w:hint="eastAsia" w:cs="宋体" w:asciiTheme="minorEastAsia" w:hAnsiTheme="minorEastAsia" w:eastAsiaTheme="minorEastAsia"/>
                <w:color w:val="auto"/>
                <w:szCs w:val="21"/>
                <w:highlight w:val="none"/>
                <w:lang w:bidi="ar"/>
              </w:rPr>
              <w:t>202</w:t>
            </w:r>
            <w:r>
              <w:rPr>
                <w:rFonts w:hint="eastAsia" w:cs="宋体" w:asciiTheme="minorEastAsia" w:hAnsiTheme="minorEastAsia" w:eastAsiaTheme="minorEastAsia"/>
                <w:color w:val="auto"/>
                <w:szCs w:val="21"/>
                <w:highlight w:val="none"/>
                <w:lang w:val="en-US" w:eastAsia="zh-CN" w:bidi="ar"/>
              </w:rPr>
              <w:t>2</w:t>
            </w:r>
            <w:r>
              <w:rPr>
                <w:rFonts w:hint="eastAsia" w:cs="宋体" w:asciiTheme="minorEastAsia" w:hAnsiTheme="minorEastAsia" w:eastAsiaTheme="minorEastAsia"/>
                <w:color w:val="auto"/>
                <w:szCs w:val="21"/>
                <w:highlight w:val="none"/>
                <w:lang w:bidi="ar"/>
              </w:rPr>
              <w:t>年</w:t>
            </w:r>
            <w:r>
              <w:rPr>
                <w:rFonts w:hint="eastAsia" w:cs="宋体" w:asciiTheme="minorEastAsia" w:hAnsiTheme="minorEastAsia" w:eastAsiaTheme="minorEastAsia"/>
                <w:color w:val="auto"/>
                <w:szCs w:val="21"/>
                <w:highlight w:val="none"/>
                <w:lang w:val="en-US" w:eastAsia="zh-CN" w:bidi="ar"/>
              </w:rPr>
              <w:t>09</w:t>
            </w:r>
            <w:r>
              <w:rPr>
                <w:rFonts w:hint="eastAsia" w:cs="宋体" w:asciiTheme="minorEastAsia" w:hAnsiTheme="minorEastAsia" w:eastAsiaTheme="minorEastAsia"/>
                <w:color w:val="auto"/>
                <w:szCs w:val="21"/>
                <w:highlight w:val="none"/>
                <w:lang w:bidi="ar"/>
              </w:rPr>
              <w:t>月</w:t>
            </w:r>
            <w:r>
              <w:rPr>
                <w:rFonts w:hint="eastAsia" w:cs="宋体" w:asciiTheme="minorEastAsia" w:hAnsiTheme="minorEastAsia" w:eastAsiaTheme="minorEastAsia"/>
                <w:color w:val="auto"/>
                <w:szCs w:val="21"/>
                <w:highlight w:val="none"/>
                <w:lang w:val="en-US" w:eastAsia="zh-CN" w:bidi="ar"/>
              </w:rPr>
              <w:t>01</w:t>
            </w:r>
            <w:r>
              <w:rPr>
                <w:rFonts w:hint="eastAsia" w:cs="宋体" w:asciiTheme="minorEastAsia" w:hAnsiTheme="minorEastAsia" w:eastAsiaTheme="minorEastAsia"/>
                <w:color w:val="auto"/>
                <w:szCs w:val="21"/>
                <w:highlight w:val="none"/>
                <w:lang w:bidi="ar"/>
              </w:rPr>
              <w:t>日</w:t>
            </w:r>
            <w:r>
              <w:rPr>
                <w:rFonts w:hint="eastAsia" w:cs="宋体" w:asciiTheme="minorEastAsia" w:hAnsiTheme="minorEastAsia" w:eastAsiaTheme="minorEastAsia"/>
                <w:color w:val="auto"/>
                <w:szCs w:val="21"/>
                <w:highlight w:val="none"/>
                <w:lang w:val="en-US" w:eastAsia="zh-CN" w:bidi="ar"/>
              </w:rPr>
              <w:t>09</w:t>
            </w:r>
            <w:r>
              <w:rPr>
                <w:rFonts w:hint="eastAsia" w:cs="宋体" w:asciiTheme="minorEastAsia" w:hAnsiTheme="minorEastAsia" w:eastAsiaTheme="minorEastAsia"/>
                <w:color w:val="auto"/>
                <w:szCs w:val="21"/>
                <w:highlight w:val="none"/>
                <w:lang w:bidi="ar"/>
              </w:rPr>
              <w:t>时</w:t>
            </w:r>
            <w:r>
              <w:rPr>
                <w:rFonts w:hint="eastAsia" w:cs="宋体" w:asciiTheme="minorEastAsia" w:hAnsiTheme="minorEastAsia" w:eastAsiaTheme="minorEastAsia"/>
                <w:color w:val="auto"/>
                <w:szCs w:val="21"/>
                <w:highlight w:val="none"/>
                <w:lang w:val="en-US" w:eastAsia="zh-CN" w:bidi="ar"/>
              </w:rPr>
              <w:t>30</w:t>
            </w:r>
            <w:r>
              <w:rPr>
                <w:rFonts w:hint="eastAsia" w:cs="宋体" w:asciiTheme="minorEastAsia" w:hAnsiTheme="minorEastAsia" w:eastAsiaTheme="minorEastAsia"/>
                <w:color w:val="auto"/>
                <w:szCs w:val="21"/>
                <w:highlight w:val="none"/>
                <w:lang w:bidi="ar"/>
              </w:rPr>
              <w:t>分</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投标文件接收人：西北（陕西）国际招标有限公司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6"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21.1</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开标时间和地点</w:t>
            </w:r>
          </w:p>
        </w:tc>
        <w:tc>
          <w:tcPr>
            <w:tcW w:w="5425"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开标时间：同投标截止时间</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开标地点：</w:t>
            </w:r>
            <w:r>
              <w:rPr>
                <w:rFonts w:hint="eastAsia" w:cs="宋体" w:asciiTheme="minorEastAsia" w:hAnsiTheme="minorEastAsia" w:eastAsiaTheme="minorEastAsia"/>
                <w:color w:val="auto"/>
                <w:szCs w:val="21"/>
                <w:highlight w:val="none"/>
              </w:rPr>
              <w:t>陕西省</w:t>
            </w:r>
            <w:r>
              <w:rPr>
                <w:rFonts w:hint="eastAsia" w:cs="宋体" w:asciiTheme="minorEastAsia" w:hAnsiTheme="minorEastAsia" w:eastAsiaTheme="minorEastAsia"/>
                <w:bCs/>
                <w:color w:val="auto"/>
                <w:szCs w:val="21"/>
                <w:highlight w:val="none"/>
              </w:rPr>
              <w:t>西安市南二环西段58号成长大厦10层</w:t>
            </w:r>
            <w:r>
              <w:rPr>
                <w:rFonts w:hint="eastAsia" w:cs="宋体" w:asciiTheme="minorEastAsia" w:hAnsiTheme="minorEastAsia" w:eastAsiaTheme="minorEastAsia"/>
                <w:color w:val="auto"/>
                <w:szCs w:val="21"/>
                <w:highlight w:val="none"/>
              </w:rPr>
              <w:t>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9"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21.3</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开标大会宣布内容</w:t>
            </w:r>
          </w:p>
        </w:tc>
        <w:tc>
          <w:tcPr>
            <w:tcW w:w="5425"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1）开标一览表的全部内容；</w:t>
            </w:r>
          </w:p>
          <w:p>
            <w:pPr>
              <w:spacing w:line="360" w:lineRule="auto"/>
              <w:ind w:left="315" w:hanging="315" w:hanging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2）价格折扣、修改或撤回或变动价格的书面通知（如果有）。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0"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21.8</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供应商资格审查</w:t>
            </w:r>
          </w:p>
        </w:tc>
        <w:tc>
          <w:tcPr>
            <w:tcW w:w="5425" w:type="dxa"/>
            <w:vAlign w:val="center"/>
          </w:tcPr>
          <w:p>
            <w:pPr>
              <w:spacing w:line="360" w:lineRule="auto"/>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采购人或采购代理机构将依法对供应商的资格进行审查。</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1）审查时间：开标结束后；</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2）审查内容：</w:t>
            </w:r>
          </w:p>
          <w:p>
            <w:pPr>
              <w:spacing w:line="360" w:lineRule="auto"/>
              <w:ind w:left="227" w:hanging="226" w:hangingChars="10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①在“信用中国”网站（www.creditchina.gov.cn）和“中国政府采购网”（ccgp.gov.cn）对投标人信用信息进行查询，如果投标人被查实在投标截止时间前列入失信被执行人</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页面跳转至“中国执行信息公开网”http://zxgk.court.gov.cn/shixin/</w:t>
            </w:r>
            <w:r>
              <w:rPr>
                <w:rFonts w:hint="eastAsia" w:asciiTheme="minorEastAsia" w:hAnsiTheme="minorEastAsia" w:eastAsiaTheme="minorEastAsia"/>
                <w:color w:val="auto"/>
                <w:szCs w:val="21"/>
                <w:highlight w:val="none"/>
              </w:rPr>
              <w:t>）、</w:t>
            </w:r>
            <w:r>
              <w:rPr>
                <w:rFonts w:hint="eastAsia" w:ascii="宋体" w:hAnsi="宋体" w:eastAsia="宋体" w:cs="宋体"/>
                <w:color w:val="auto"/>
                <w:kern w:val="0"/>
                <w:szCs w:val="21"/>
                <w:highlight w:val="none"/>
              </w:rPr>
              <w:t>重大税收违法</w:t>
            </w:r>
            <w:r>
              <w:rPr>
                <w:rFonts w:hint="eastAsia" w:ascii="宋体" w:hAnsi="宋体" w:cs="宋体"/>
                <w:color w:val="auto"/>
                <w:kern w:val="0"/>
                <w:szCs w:val="21"/>
                <w:highlight w:val="none"/>
                <w:lang w:eastAsia="zh-CN"/>
              </w:rPr>
              <w:t>失信主体</w:t>
            </w:r>
            <w:r>
              <w:rPr>
                <w:rFonts w:hint="eastAsia" w:asciiTheme="minorEastAsia" w:hAnsiTheme="minorEastAsia" w:eastAsiaTheme="minorEastAsia"/>
                <w:color w:val="auto"/>
                <w:szCs w:val="21"/>
                <w:highlight w:val="none"/>
              </w:rPr>
              <w:t>、政府采购严重违法失信行为记录名单，其投标为无效。</w:t>
            </w:r>
          </w:p>
          <w:p>
            <w:pPr>
              <w:spacing w:line="360" w:lineRule="auto"/>
              <w:ind w:left="235" w:hanging="235" w:hangingChars="108"/>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②审查供应商资格证明文件是否符合国家法律法规和</w:t>
            </w:r>
            <w:r>
              <w:rPr>
                <w:rFonts w:hint="eastAsia" w:asciiTheme="minorEastAsia" w:hAnsiTheme="minorEastAsia" w:eastAsiaTheme="minorEastAsia"/>
                <w:color w:val="auto"/>
                <w:kern w:val="0"/>
                <w:szCs w:val="21"/>
                <w:highlight w:val="none"/>
              </w:rPr>
              <w:t>招标</w:t>
            </w:r>
            <w:r>
              <w:rPr>
                <w:rFonts w:hint="eastAsia" w:asciiTheme="minorEastAsia" w:hAnsiTheme="minorEastAsia" w:eastAsiaTheme="minorEastAsia"/>
                <w:color w:val="auto"/>
                <w:spacing w:val="4"/>
                <w:szCs w:val="21"/>
                <w:highlight w:val="none"/>
              </w:rPr>
              <w:t>文件的要求，</w:t>
            </w:r>
            <w:r>
              <w:rPr>
                <w:rFonts w:hint="eastAsia" w:asciiTheme="minorEastAsia" w:hAnsiTheme="minorEastAsia" w:eastAsiaTheme="minorEastAsia"/>
                <w:color w:val="auto"/>
                <w:kern w:val="0"/>
                <w:szCs w:val="21"/>
                <w:highlight w:val="none"/>
              </w:rPr>
              <w:t>并且</w:t>
            </w:r>
            <w:r>
              <w:rPr>
                <w:rFonts w:hint="eastAsia" w:asciiTheme="minorEastAsia" w:hAnsiTheme="minorEastAsia" w:eastAsiaTheme="minorEastAsia"/>
                <w:color w:val="auto"/>
                <w:spacing w:val="4"/>
                <w:szCs w:val="21"/>
                <w:highlight w:val="none"/>
              </w:rPr>
              <w:t>齐全、真实、有效。资格证明文件不合格的，其投标为无效。</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pacing w:val="4"/>
                <w:szCs w:val="21"/>
                <w:highlight w:val="none"/>
              </w:rPr>
              <w:t>3）</w:t>
            </w:r>
            <w:r>
              <w:rPr>
                <w:rFonts w:hint="eastAsia" w:asciiTheme="minorEastAsia" w:hAnsiTheme="minorEastAsia" w:eastAsiaTheme="minorEastAsia"/>
                <w:color w:val="auto"/>
                <w:szCs w:val="21"/>
                <w:highlight w:val="none"/>
              </w:rPr>
              <w:t>合格供应商不足三家的，不进行评标。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24.1</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评标方法</w:t>
            </w:r>
          </w:p>
        </w:tc>
        <w:tc>
          <w:tcPr>
            <w:tcW w:w="5425"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综合评分法（详见第五章 评标方法）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7"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26.1</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中标候选人数量</w:t>
            </w:r>
          </w:p>
        </w:tc>
        <w:tc>
          <w:tcPr>
            <w:tcW w:w="5425"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推荐1～3名中标候选人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26.7</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评标特别规定</w:t>
            </w:r>
          </w:p>
        </w:tc>
        <w:tc>
          <w:tcPr>
            <w:tcW w:w="5425"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8" w:hRule="atLeast"/>
        </w:trPr>
        <w:tc>
          <w:tcPr>
            <w:tcW w:w="993" w:type="dxa"/>
            <w:vAlign w:val="center"/>
          </w:tcPr>
          <w:p>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w:t>
            </w:r>
          </w:p>
        </w:tc>
        <w:tc>
          <w:tcPr>
            <w:tcW w:w="188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招标代理服务费</w:t>
            </w:r>
          </w:p>
        </w:tc>
        <w:tc>
          <w:tcPr>
            <w:tcW w:w="5425" w:type="dxa"/>
            <w:vAlign w:val="center"/>
          </w:tcPr>
          <w:p>
            <w:pPr>
              <w:spacing w:line="360" w:lineRule="auto"/>
              <w:jc w:val="left"/>
              <w:rPr>
                <w:color w:val="auto"/>
                <w:highlight w:val="none"/>
              </w:rPr>
            </w:pPr>
            <w:r>
              <w:rPr>
                <w:rFonts w:hint="eastAsia"/>
                <w:color w:val="auto"/>
                <w:highlight w:val="none"/>
              </w:rPr>
              <w:t>确定中标人后3日内，</w:t>
            </w:r>
            <w:r>
              <w:rPr>
                <w:rFonts w:hint="eastAsia" w:asciiTheme="minorEastAsia" w:hAnsiTheme="minorEastAsia" w:eastAsiaTheme="minorEastAsia"/>
                <w:color w:val="auto"/>
                <w:szCs w:val="21"/>
                <w:highlight w:val="none"/>
              </w:rPr>
              <w:t>由</w:t>
            </w:r>
            <w:r>
              <w:rPr>
                <w:rFonts w:hint="eastAsia"/>
                <w:color w:val="auto"/>
                <w:highlight w:val="none"/>
              </w:rPr>
              <w:t>中标</w:t>
            </w:r>
            <w:r>
              <w:rPr>
                <w:rFonts w:hint="eastAsia" w:asciiTheme="minorEastAsia" w:hAnsiTheme="minorEastAsia" w:eastAsiaTheme="minorEastAsia"/>
                <w:color w:val="auto"/>
                <w:szCs w:val="21"/>
                <w:highlight w:val="none"/>
              </w:rPr>
              <w:t>人参照</w:t>
            </w:r>
            <w:r>
              <w:rPr>
                <w:rFonts w:asciiTheme="minorEastAsia" w:hAnsiTheme="minorEastAsia" w:eastAsiaTheme="minorEastAsia"/>
                <w:color w:val="auto"/>
                <w:szCs w:val="21"/>
                <w:highlight w:val="none"/>
              </w:rPr>
              <w:t>国家计委《招标代理服务收费管理暂行办法》（计价格[2002]1980号文）</w:t>
            </w:r>
            <w:r>
              <w:rPr>
                <w:rFonts w:hint="eastAsia" w:asciiTheme="minorEastAsia" w:hAnsiTheme="minorEastAsia" w:eastAsiaTheme="minorEastAsia"/>
                <w:color w:val="auto"/>
                <w:szCs w:val="21"/>
                <w:highlight w:val="none"/>
              </w:rPr>
              <w:t>规定的标准</w:t>
            </w:r>
            <w:r>
              <w:rPr>
                <w:rFonts w:hint="eastAsia" w:asciiTheme="minorEastAsia" w:hAnsiTheme="minorEastAsia" w:eastAsiaTheme="minorEastAsia"/>
                <w:color w:val="auto"/>
                <w:szCs w:val="21"/>
                <w:highlight w:val="none"/>
                <w:lang w:eastAsia="zh-CN"/>
              </w:rPr>
              <w:t>下浮</w:t>
            </w:r>
            <w:r>
              <w:rPr>
                <w:rFonts w:hint="eastAsia" w:asciiTheme="minorEastAsia" w:hAnsiTheme="minorEastAsia" w:eastAsiaTheme="minorEastAsia"/>
                <w:color w:val="auto"/>
                <w:szCs w:val="21"/>
                <w:highlight w:val="none"/>
                <w:lang w:val="en-US" w:eastAsia="zh-CN"/>
              </w:rPr>
              <w:t>20%</w:t>
            </w:r>
            <w:r>
              <w:rPr>
                <w:rFonts w:hint="eastAsia" w:asciiTheme="minorEastAsia" w:hAnsiTheme="minorEastAsia" w:eastAsiaTheme="minorEastAsia"/>
                <w:color w:val="auto"/>
                <w:szCs w:val="21"/>
                <w:highlight w:val="none"/>
              </w:rPr>
              <w:t>收费，不足8000元按照8000元收取，向采购代理机构一次付清代理服务费。</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auto"/>
          <w:spacing w:val="0"/>
          <w:sz w:val="28"/>
          <w:szCs w:val="28"/>
          <w:highlight w:val="none"/>
          <w:shd w:val="clear" w:color="auto" w:fill="FFFFFF"/>
          <w:lang w:eastAsia="zh-CN"/>
        </w:rPr>
      </w:pPr>
      <w:bookmarkStart w:id="34" w:name="_Toc75948147"/>
      <w:r>
        <w:rPr>
          <w:rFonts w:hint="eastAsia" w:asciiTheme="minorEastAsia" w:hAnsiTheme="minorEastAsia" w:eastAsiaTheme="minorEastAsia"/>
          <w:b/>
          <w:color w:val="auto"/>
          <w:sz w:val="36"/>
          <w:highlight w:val="none"/>
        </w:rPr>
        <w:br w:type="page"/>
      </w:r>
      <w:bookmarkStart w:id="35" w:name="_Toc9025"/>
      <w:bookmarkStart w:id="36" w:name="_Toc17317"/>
      <w:bookmarkStart w:id="37" w:name="_Toc23106"/>
      <w:r>
        <w:rPr>
          <w:rFonts w:hint="eastAsia" w:ascii="宋体" w:hAnsi="宋体" w:eastAsia="宋体" w:cs="宋体"/>
          <w:b/>
          <w:bCs/>
          <w:i w:val="0"/>
          <w:iCs w:val="0"/>
          <w:caps w:val="0"/>
          <w:color w:val="auto"/>
          <w:spacing w:val="0"/>
          <w:sz w:val="28"/>
          <w:szCs w:val="28"/>
          <w:highlight w:val="none"/>
          <w:shd w:val="clear" w:color="auto" w:fill="FFFFFF"/>
          <w:lang w:eastAsia="zh-CN"/>
        </w:rPr>
        <w:t>2021年至2022年陕西省政府采购支持中小企业信用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b/>
          <w:bCs/>
          <w:i w:val="0"/>
          <w:iCs w:val="0"/>
          <w:caps w:val="0"/>
          <w:color w:val="auto"/>
          <w:spacing w:val="0"/>
          <w:sz w:val="28"/>
          <w:szCs w:val="28"/>
          <w:highlight w:val="none"/>
          <w:shd w:val="clear" w:color="auto" w:fill="FFFFFF"/>
          <w:lang w:eastAsia="zh-CN"/>
        </w:rPr>
        <w:t>融资合作银行</w:t>
      </w:r>
      <w:r>
        <w:rPr>
          <w:rFonts w:hint="eastAsia" w:ascii="宋体" w:hAnsi="宋体" w:eastAsia="宋体" w:cs="宋体"/>
          <w:b/>
          <w:bCs/>
          <w:i w:val="0"/>
          <w:iCs w:val="0"/>
          <w:caps w:val="0"/>
          <w:color w:val="auto"/>
          <w:spacing w:val="0"/>
          <w:sz w:val="28"/>
          <w:szCs w:val="28"/>
          <w:highlight w:val="none"/>
          <w:shd w:val="clear" w:color="auto" w:fill="FFFFFF"/>
          <w:lang w:val="en-US" w:eastAsia="zh-CN"/>
        </w:rPr>
        <w:t>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根据中办、国办《关于促进中小企业健康发展的指导意见》、</w:t>
      </w:r>
      <w:r>
        <w:rPr>
          <w:rFonts w:hint="eastAsia" w:ascii="宋体" w:hAnsi="宋体" w:eastAsia="宋体" w:cs="Times New Roman"/>
          <w:b w:val="0"/>
          <w:bCs w:val="0"/>
          <w:color w:val="auto"/>
          <w:kern w:val="2"/>
          <w:sz w:val="21"/>
          <w:szCs w:val="21"/>
          <w:highlight w:val="none"/>
          <w:lang w:val="en-US" w:eastAsia="zh-CN" w:bidi="ar-SA"/>
        </w:rPr>
        <w:t>财政部、工信部《政府采购促进中小企业发展管理办法》（财库〔2020〕46号）、财政部《关于进一步加大政府采购支持中小企业力度的通知》（财库〔2022〕19号）</w:t>
      </w:r>
      <w:r>
        <w:rPr>
          <w:rFonts w:hint="eastAsia" w:ascii="宋体" w:hAnsi="宋体" w:eastAsia="宋体" w:cs="宋体"/>
          <w:i w:val="0"/>
          <w:iCs w:val="0"/>
          <w:caps w:val="0"/>
          <w:color w:val="auto"/>
          <w:spacing w:val="0"/>
          <w:sz w:val="21"/>
          <w:szCs w:val="21"/>
          <w:highlight w:val="none"/>
          <w:shd w:val="clear" w:color="auto" w:fill="FFFFFF"/>
        </w:rPr>
        <w:t>、陕西省政府《应对新冠肺炎疫情支持中小微企业稳定健康发展若干措施》（陕政办发〔2020〕4号）、陕西省财政厅《陕西省中小企业政府采购信用融资办法》（陕财办采〔2018〕23号）等有关规定</w:t>
      </w:r>
      <w:r>
        <w:rPr>
          <w:rFonts w:hint="eastAsia" w:ascii="宋体" w:hAnsi="宋体" w:eastAsia="宋体" w:cs="宋体"/>
          <w:i w:val="0"/>
          <w:iCs w:val="0"/>
          <w:caps w:val="0"/>
          <w:color w:val="auto"/>
          <w:spacing w:val="0"/>
          <w:sz w:val="21"/>
          <w:szCs w:val="21"/>
          <w:highlight w:val="none"/>
          <w:shd w:val="clear" w:color="auto" w:fill="FFFFFF"/>
          <w:lang w:eastAsia="zh-CN"/>
        </w:rPr>
        <w:t>，2021年至2022年陕西省政府采购支持中小企业信用融资合作银行</w:t>
      </w:r>
      <w:r>
        <w:rPr>
          <w:rFonts w:hint="eastAsia" w:ascii="宋体" w:hAnsi="宋体" w:eastAsia="宋体" w:cs="宋体"/>
          <w:i w:val="0"/>
          <w:iCs w:val="0"/>
          <w:caps w:val="0"/>
          <w:color w:val="auto"/>
          <w:spacing w:val="0"/>
          <w:sz w:val="21"/>
          <w:szCs w:val="21"/>
          <w:highlight w:val="none"/>
          <w:shd w:val="clear" w:color="auto" w:fill="FFFFFF"/>
          <w:lang w:val="en-US" w:eastAsia="zh-CN"/>
        </w:rPr>
        <w:t>名单如下（</w:t>
      </w:r>
      <w:r>
        <w:rPr>
          <w:rFonts w:hint="eastAsia" w:ascii="宋体" w:hAnsi="宋体" w:eastAsia="宋体" w:cs="宋体"/>
          <w:i w:val="0"/>
          <w:iCs w:val="0"/>
          <w:caps w:val="0"/>
          <w:color w:val="auto"/>
          <w:spacing w:val="0"/>
          <w:sz w:val="21"/>
          <w:szCs w:val="21"/>
          <w:highlight w:val="none"/>
          <w:shd w:val="clear" w:color="auto" w:fill="FFFFFF"/>
          <w:lang w:eastAsia="zh-CN"/>
        </w:rPr>
        <w:t>合作有效时间：2021年9月1日至2022年8月31）</w:t>
      </w:r>
      <w:r>
        <w:rPr>
          <w:rFonts w:hint="eastAsia" w:ascii="宋体" w:hAnsi="宋体" w:eastAsia="宋体" w:cs="宋体"/>
          <w:i w:val="0"/>
          <w:iCs w:val="0"/>
          <w:caps w:val="0"/>
          <w:color w:val="auto"/>
          <w:spacing w:val="0"/>
          <w:sz w:val="21"/>
          <w:szCs w:val="21"/>
          <w:highlight w:val="none"/>
          <w:shd w:val="clear" w:color="auto" w:fill="FFFFFF"/>
          <w:lang w:val="en-US" w:eastAsia="zh-CN"/>
        </w:rPr>
        <w:t>：</w:t>
      </w:r>
    </w:p>
    <w:p>
      <w:pPr>
        <w:jc w:val="center"/>
        <w:rPr>
          <w:rFonts w:ascii="微软雅黑" w:hAnsi="微软雅黑" w:eastAsia="微软雅黑" w:cs="微软雅黑"/>
          <w:i w:val="0"/>
          <w:iCs w:val="0"/>
          <w:caps w:val="0"/>
          <w:color w:val="auto"/>
          <w:spacing w:val="0"/>
          <w:sz w:val="21"/>
          <w:szCs w:val="21"/>
          <w:highlight w:val="none"/>
          <w:shd w:val="clear" w:color="auto" w:fill="FFFFFF"/>
        </w:rPr>
      </w:pPr>
      <w:r>
        <w:rPr>
          <w:rFonts w:ascii="微软雅黑" w:hAnsi="微软雅黑" w:eastAsia="微软雅黑" w:cs="微软雅黑"/>
          <w:i w:val="0"/>
          <w:iCs w:val="0"/>
          <w:caps w:val="0"/>
          <w:color w:val="auto"/>
          <w:spacing w:val="0"/>
          <w:sz w:val="21"/>
          <w:szCs w:val="21"/>
          <w:highlight w:val="none"/>
          <w:shd w:val="clear" w:color="auto" w:fill="FFFFFF"/>
        </w:rPr>
        <w:drawing>
          <wp:inline distT="0" distB="0" distL="114300" distR="114300">
            <wp:extent cx="5627370" cy="4514850"/>
            <wp:effectExtent l="0" t="0" r="11430" b="635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3"/>
                    <a:stretch>
                      <a:fillRect/>
                    </a:stretch>
                  </pic:blipFill>
                  <pic:spPr>
                    <a:xfrm>
                      <a:off x="0" y="0"/>
                      <a:ext cx="5627370" cy="45148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color w:val="auto"/>
          <w:sz w:val="24"/>
          <w:szCs w:val="24"/>
          <w:highlight w:val="none"/>
          <w:lang w:val="en-US" w:eastAsia="zh-CN"/>
        </w:rPr>
      </w:pPr>
      <w:r>
        <w:rPr>
          <w:rFonts w:hint="eastAsia"/>
          <w:b/>
          <w:color w:val="auto"/>
          <w:sz w:val="21"/>
          <w:szCs w:val="21"/>
          <w:highlight w:val="none"/>
          <w:lang w:val="en-US" w:eastAsia="zh-CN"/>
        </w:rPr>
        <w:t>注：此名单以陕西省政府采购网发布的最新名单为准，具体可登陆陕西省政府采购网(www.ccgp-shaanxi.gov.cn/）重要通知专栏查询。</w:t>
      </w:r>
    </w:p>
    <w:p>
      <w:pPr>
        <w:rPr>
          <w:rFonts w:hint="default" w:ascii="宋体" w:hAnsi="宋体" w:eastAsia="宋体" w:cs="宋体"/>
          <w:b/>
          <w:bCs/>
          <w:i w:val="0"/>
          <w:iCs w:val="0"/>
          <w:caps w:val="0"/>
          <w:color w:val="auto"/>
          <w:spacing w:val="0"/>
          <w:sz w:val="28"/>
          <w:szCs w:val="28"/>
          <w:highlight w:val="none"/>
          <w:shd w:val="clear" w:color="auto" w:fill="FFFFFF"/>
          <w:lang w:eastAsia="zh-CN"/>
        </w:rPr>
      </w:pPr>
      <w:r>
        <w:rPr>
          <w:rFonts w:hint="eastAsia"/>
          <w:b/>
          <w:color w:val="auto"/>
          <w:sz w:val="24"/>
          <w:szCs w:val="24"/>
          <w:highlight w:val="none"/>
          <w:lang w:val="en-US" w:eastAsia="zh-CN"/>
        </w:rPr>
        <w:br w:type="page"/>
      </w:r>
    </w:p>
    <w:p>
      <w:pPr>
        <w:jc w:val="center"/>
        <w:rPr>
          <w:rFonts w:hint="default" w:ascii="宋体" w:hAnsi="宋体" w:eastAsia="宋体" w:cs="宋体"/>
          <w:b/>
          <w:bCs/>
          <w:i w:val="0"/>
          <w:iCs w:val="0"/>
          <w:caps w:val="0"/>
          <w:color w:val="auto"/>
          <w:spacing w:val="0"/>
          <w:sz w:val="28"/>
          <w:szCs w:val="28"/>
          <w:highlight w:val="none"/>
          <w:shd w:val="clear" w:color="auto" w:fill="FFFFFF"/>
          <w:lang w:eastAsia="zh-CN"/>
        </w:rPr>
      </w:pPr>
      <w:r>
        <w:rPr>
          <w:rFonts w:hint="default" w:ascii="宋体" w:hAnsi="宋体" w:eastAsia="宋体" w:cs="宋体"/>
          <w:b/>
          <w:bCs/>
          <w:i w:val="0"/>
          <w:iCs w:val="0"/>
          <w:caps w:val="0"/>
          <w:color w:val="auto"/>
          <w:spacing w:val="0"/>
          <w:sz w:val="28"/>
          <w:szCs w:val="28"/>
          <w:highlight w:val="none"/>
          <w:shd w:val="clear" w:color="auto" w:fill="FFFFFF"/>
          <w:lang w:eastAsia="zh-CN"/>
        </w:rPr>
        <w:t>2022年陕西省政府采购支持中小企业信用融资合作银行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aps w:val="0"/>
          <w:color w:val="auto"/>
          <w:spacing w:val="0"/>
          <w:sz w:val="21"/>
          <w:szCs w:val="21"/>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根据中办、国办《关于促进中小企业健康发展的指导意见》、</w:t>
      </w:r>
      <w:r>
        <w:rPr>
          <w:rFonts w:hint="eastAsia" w:ascii="宋体" w:hAnsi="宋体" w:eastAsia="宋体" w:cs="Times New Roman"/>
          <w:b w:val="0"/>
          <w:bCs w:val="0"/>
          <w:color w:val="auto"/>
          <w:kern w:val="2"/>
          <w:sz w:val="21"/>
          <w:szCs w:val="21"/>
          <w:highlight w:val="none"/>
          <w:lang w:val="en-US" w:eastAsia="zh-CN" w:bidi="ar-SA"/>
        </w:rPr>
        <w:t>财政部、工信部《政府采购促进中小企业发展管理办法》（财库〔2020〕46号）、财政部《关于进一步加大政府采购支持中小企业力度的通知》（财库〔2022〕19号）</w:t>
      </w:r>
      <w:r>
        <w:rPr>
          <w:rFonts w:hint="eastAsia" w:ascii="宋体" w:hAnsi="宋体" w:eastAsia="宋体" w:cs="宋体"/>
          <w:i w:val="0"/>
          <w:iCs w:val="0"/>
          <w:caps w:val="0"/>
          <w:color w:val="auto"/>
          <w:spacing w:val="0"/>
          <w:sz w:val="21"/>
          <w:szCs w:val="21"/>
          <w:highlight w:val="none"/>
          <w:shd w:val="clear" w:color="auto" w:fill="FFFFFF"/>
        </w:rPr>
        <w:t>、陕西省政府《应对新冠肺炎疫情支持中小微企业稳定健康发展若干措施》（陕政办发〔2020〕4号）、陕西省财政厅《陕西省中小企业政府采购信用融资办法》（陕财办采〔2018〕23号）等有关规定</w:t>
      </w:r>
      <w:r>
        <w:rPr>
          <w:rFonts w:hint="eastAsia" w:ascii="宋体" w:hAnsi="宋体" w:eastAsia="宋体" w:cs="宋体"/>
          <w:i w:val="0"/>
          <w:iCs w:val="0"/>
          <w:caps w:val="0"/>
          <w:color w:val="auto"/>
          <w:spacing w:val="0"/>
          <w:sz w:val="21"/>
          <w:szCs w:val="21"/>
          <w:highlight w:val="none"/>
          <w:shd w:val="clear" w:color="auto" w:fill="FFFFFF"/>
          <w:lang w:eastAsia="zh-CN"/>
        </w:rPr>
        <w:t>，2021年至2022年陕西省政府采购支持中小企业信用融资合作银行</w:t>
      </w:r>
      <w:r>
        <w:rPr>
          <w:rFonts w:hint="eastAsia" w:ascii="宋体" w:hAnsi="宋体" w:eastAsia="宋体" w:cs="宋体"/>
          <w:i w:val="0"/>
          <w:iCs w:val="0"/>
          <w:caps w:val="0"/>
          <w:color w:val="auto"/>
          <w:spacing w:val="0"/>
          <w:sz w:val="21"/>
          <w:szCs w:val="21"/>
          <w:highlight w:val="none"/>
          <w:shd w:val="clear" w:color="auto" w:fill="FFFFFF"/>
          <w:lang w:val="en-US" w:eastAsia="zh-CN"/>
        </w:rPr>
        <w:t>名单如下（</w:t>
      </w:r>
      <w:r>
        <w:rPr>
          <w:rFonts w:hint="eastAsia" w:ascii="宋体" w:hAnsi="宋体" w:eastAsia="宋体" w:cs="宋体"/>
          <w:i w:val="0"/>
          <w:iCs w:val="0"/>
          <w:caps w:val="0"/>
          <w:color w:val="auto"/>
          <w:spacing w:val="0"/>
          <w:sz w:val="21"/>
          <w:szCs w:val="21"/>
          <w:highlight w:val="none"/>
          <w:shd w:val="clear" w:color="auto" w:fill="FFFFFF"/>
          <w:lang w:eastAsia="zh-CN"/>
        </w:rPr>
        <w:t>合作有效时间：2022年5月6日至2022年12月31）</w:t>
      </w:r>
      <w:r>
        <w:rPr>
          <w:rFonts w:hint="eastAsia" w:ascii="宋体" w:hAnsi="宋体" w:eastAsia="宋体" w:cs="宋体"/>
          <w:i w:val="0"/>
          <w:iCs w:val="0"/>
          <w:caps w:val="0"/>
          <w:color w:val="auto"/>
          <w:spacing w:val="0"/>
          <w:sz w:val="21"/>
          <w:szCs w:val="21"/>
          <w:highlight w:val="none"/>
          <w:shd w:val="clear" w:color="auto" w:fill="FFFFFF"/>
          <w:lang w:val="en-US" w:eastAsia="zh-CN"/>
        </w:rPr>
        <w:t>：</w:t>
      </w:r>
    </w:p>
    <w:p>
      <w:pPr>
        <w:jc w:val="center"/>
        <w:rPr>
          <w:rFonts w:hint="eastAsia" w:ascii="宋体" w:hAnsi="宋体" w:eastAsia="宋体" w:cs="宋体"/>
          <w:b/>
          <w:color w:val="auto"/>
          <w:sz w:val="36"/>
          <w:highlight w:val="none"/>
        </w:rPr>
      </w:pPr>
      <w:r>
        <w:rPr>
          <w:rFonts w:ascii="微软雅黑" w:hAnsi="微软雅黑" w:eastAsia="微软雅黑" w:cs="微软雅黑"/>
          <w:i w:val="0"/>
          <w:iCs w:val="0"/>
          <w:caps w:val="0"/>
          <w:color w:val="auto"/>
          <w:spacing w:val="0"/>
          <w:sz w:val="21"/>
          <w:szCs w:val="21"/>
          <w:highlight w:val="none"/>
          <w:shd w:val="clear" w:color="auto" w:fill="FFFFFF"/>
        </w:rPr>
        <w:fldChar w:fldCharType="begin"/>
      </w:r>
      <w:r>
        <w:rPr>
          <w:rFonts w:ascii="微软雅黑" w:hAnsi="微软雅黑" w:eastAsia="微软雅黑" w:cs="微软雅黑"/>
          <w:i w:val="0"/>
          <w:iCs w:val="0"/>
          <w:caps w:val="0"/>
          <w:color w:val="auto"/>
          <w:spacing w:val="0"/>
          <w:sz w:val="21"/>
          <w:szCs w:val="21"/>
          <w:highlight w:val="none"/>
          <w:shd w:val="clear" w:color="auto" w:fill="FFFFFF"/>
        </w:rPr>
        <w:instrText xml:space="preserve">INCLUDEPICTURE \d "http://www.ccgp-shaanxi.gov.cn/cms-sx/upload/a7a15d60-de5b-42f2-b35a-7e3efc34e54f/20220506/19101651822165715.png" \* MERGEFORMATINET </w:instrText>
      </w:r>
      <w:r>
        <w:rPr>
          <w:rFonts w:ascii="微软雅黑" w:hAnsi="微软雅黑" w:eastAsia="微软雅黑" w:cs="微软雅黑"/>
          <w:i w:val="0"/>
          <w:iCs w:val="0"/>
          <w:caps w:val="0"/>
          <w:color w:val="auto"/>
          <w:spacing w:val="0"/>
          <w:sz w:val="21"/>
          <w:szCs w:val="21"/>
          <w:highlight w:val="none"/>
          <w:shd w:val="clear" w:color="auto" w:fill="FFFFFF"/>
        </w:rPr>
        <w:fldChar w:fldCharType="separate"/>
      </w:r>
      <w:r>
        <w:rPr>
          <w:rFonts w:ascii="微软雅黑" w:hAnsi="微软雅黑" w:eastAsia="微软雅黑" w:cs="微软雅黑"/>
          <w:i w:val="0"/>
          <w:iCs w:val="0"/>
          <w:caps w:val="0"/>
          <w:color w:val="auto"/>
          <w:spacing w:val="0"/>
          <w:sz w:val="21"/>
          <w:szCs w:val="21"/>
          <w:highlight w:val="none"/>
          <w:shd w:val="clear" w:color="auto" w:fill="FFFFFF"/>
        </w:rPr>
        <w:drawing>
          <wp:inline distT="0" distB="0" distL="114300" distR="114300">
            <wp:extent cx="5697855" cy="1383030"/>
            <wp:effectExtent l="0" t="0" r="4445" b="1270"/>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14"/>
                    <a:stretch>
                      <a:fillRect/>
                    </a:stretch>
                  </pic:blipFill>
                  <pic:spPr>
                    <a:xfrm>
                      <a:off x="0" y="0"/>
                      <a:ext cx="5697855" cy="1383030"/>
                    </a:xfrm>
                    <a:prstGeom prst="rect">
                      <a:avLst/>
                    </a:prstGeom>
                    <a:noFill/>
                    <a:ln>
                      <a:noFill/>
                    </a:ln>
                  </pic:spPr>
                </pic:pic>
              </a:graphicData>
            </a:graphic>
          </wp:inline>
        </w:drawing>
      </w:r>
      <w:r>
        <w:rPr>
          <w:rFonts w:hint="eastAsia" w:ascii="微软雅黑" w:hAnsi="微软雅黑" w:eastAsia="微软雅黑" w:cs="微软雅黑"/>
          <w:i w:val="0"/>
          <w:iCs w:val="0"/>
          <w:caps w:val="0"/>
          <w:color w:val="auto"/>
          <w:spacing w:val="0"/>
          <w:sz w:val="21"/>
          <w:szCs w:val="21"/>
          <w:highlight w:val="none"/>
          <w:shd w:val="clear" w:color="auto" w:fill="FFFFFF"/>
        </w:rPr>
        <w:fldChar w:fldCharType="end"/>
      </w:r>
    </w:p>
    <w:p>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eastAsia="宋体"/>
          <w:b/>
          <w:color w:val="auto"/>
          <w:sz w:val="21"/>
          <w:szCs w:val="21"/>
          <w:highlight w:val="none"/>
          <w:lang w:val="en-US" w:eastAsia="zh-CN"/>
        </w:rPr>
      </w:pPr>
      <w:r>
        <w:rPr>
          <w:rFonts w:hint="eastAsia" w:eastAsia="宋体"/>
          <w:b/>
          <w:color w:val="auto"/>
          <w:sz w:val="21"/>
          <w:szCs w:val="21"/>
          <w:highlight w:val="none"/>
          <w:lang w:val="en-US" w:eastAsia="zh-CN"/>
        </w:rPr>
        <w:t>注：此名单以陕西省政府采购网发布的最新名单为准，具体可登陆陕西省政府采购网(www.ccgp-shaanxi.gov.cn/）重要通知专栏查询。</w:t>
      </w:r>
    </w:p>
    <w:p>
      <w:pPr>
        <w:rPr>
          <w:rFonts w:hint="eastAsia" w:eastAsia="宋体"/>
          <w:b/>
          <w:color w:val="auto"/>
          <w:sz w:val="21"/>
          <w:szCs w:val="21"/>
          <w:highlight w:val="none"/>
          <w:lang w:val="en-US" w:eastAsia="zh-CN"/>
        </w:rPr>
      </w:pPr>
      <w:r>
        <w:rPr>
          <w:rFonts w:hint="eastAsia" w:eastAsia="宋体"/>
          <w:b/>
          <w:color w:val="auto"/>
          <w:sz w:val="21"/>
          <w:szCs w:val="21"/>
          <w:highlight w:val="none"/>
          <w:lang w:val="en-US" w:eastAsia="zh-CN"/>
        </w:rPr>
        <w:br w:type="page"/>
      </w:r>
    </w:p>
    <w:p>
      <w:pPr>
        <w:spacing w:line="360" w:lineRule="auto"/>
        <w:ind w:left="1"/>
        <w:outlineLvl w:val="0"/>
        <w:rPr>
          <w:rStyle w:val="73"/>
          <w:rFonts w:hint="eastAsia" w:ascii="宋体" w:hAnsi="宋体" w:eastAsia="宋体" w:cs="Times New Roman"/>
          <w:b/>
          <w:color w:val="auto"/>
          <w:highlight w:val="none"/>
          <w:lang w:val="en-US" w:eastAsia="zh-CN"/>
        </w:rPr>
      </w:pPr>
      <w:bookmarkStart w:id="38" w:name="_Toc6011"/>
      <w:r>
        <w:rPr>
          <w:rStyle w:val="73"/>
          <w:rFonts w:hint="eastAsia" w:ascii="宋体" w:hAnsi="宋体" w:eastAsia="宋体" w:cs="Times New Roman"/>
          <w:b/>
          <w:color w:val="auto"/>
          <w:highlight w:val="none"/>
          <w:lang w:val="en-US" w:eastAsia="zh-CN"/>
        </w:rPr>
        <w:t>附件1</w:t>
      </w:r>
      <w:bookmarkEnd w:id="38"/>
    </w:p>
    <w:p>
      <w:pPr>
        <w:pStyle w:val="3"/>
        <w:keepNext w:val="0"/>
        <w:keepLines w:val="0"/>
        <w:widowControl/>
        <w:suppressLineNumbers w:val="0"/>
        <w:spacing w:before="0" w:beforeAutospacing="0" w:after="0" w:afterAutospacing="0" w:line="750" w:lineRule="atLeast"/>
        <w:ind w:left="0" w:right="0" w:firstLine="281" w:firstLineChars="100"/>
        <w:jc w:val="center"/>
        <w:rPr>
          <w:color w:val="auto"/>
          <w:sz w:val="36"/>
          <w:szCs w:val="36"/>
          <w:highlight w:val="none"/>
        </w:rPr>
      </w:pPr>
      <w:bookmarkStart w:id="39" w:name="_Toc9647"/>
      <w:r>
        <w:rPr>
          <w:b/>
          <w:bCs/>
          <w:color w:val="auto"/>
          <w:sz w:val="28"/>
          <w:szCs w:val="28"/>
          <w:highlight w:val="none"/>
        </w:rPr>
        <w:t>陕西省财政厅关于印发《陕西省中小企业政府采购信用融资办法》</w:t>
      </w:r>
      <w:bookmarkEnd w:id="39"/>
    </w:p>
    <w:p>
      <w:pPr>
        <w:pStyle w:val="21"/>
        <w:keepNext w:val="0"/>
        <w:keepLines w:val="0"/>
        <w:widowControl/>
        <w:suppressLineNumbers w:val="0"/>
        <w:spacing w:before="0" w:beforeAutospacing="0" w:after="0" w:afterAutospacing="0"/>
        <w:ind w:left="0" w:right="0"/>
        <w:jc w:val="center"/>
        <w:rPr>
          <w:color w:val="auto"/>
          <w:highlight w:val="none"/>
        </w:rPr>
      </w:pPr>
    </w:p>
    <w:p>
      <w:pPr>
        <w:pStyle w:val="21"/>
        <w:keepNext w:val="0"/>
        <w:keepLines w:val="0"/>
        <w:widowControl/>
        <w:suppressLineNumbers w:val="0"/>
        <w:spacing w:before="0" w:beforeAutospacing="0" w:after="0" w:afterAutospacing="0"/>
        <w:ind w:left="0" w:right="0"/>
        <w:jc w:val="center"/>
        <w:rPr>
          <w:color w:val="auto"/>
          <w:highlight w:val="none"/>
        </w:rPr>
      </w:pPr>
      <w:r>
        <w:rPr>
          <w:rFonts w:hint="eastAsia" w:ascii="宋体" w:hAnsi="宋体" w:eastAsia="宋体" w:cs="宋体"/>
          <w:color w:val="auto"/>
          <w:sz w:val="21"/>
          <w:szCs w:val="21"/>
          <w:highlight w:val="none"/>
        </w:rPr>
        <w:t>陕财办采〔2018〕23号</w:t>
      </w:r>
    </w:p>
    <w:p>
      <w:pPr>
        <w:pStyle w:val="21"/>
        <w:keepNext w:val="0"/>
        <w:keepLines w:val="0"/>
        <w:widowControl/>
        <w:suppressLineNumbers w:val="0"/>
        <w:spacing w:before="0" w:beforeAutospacing="0" w:after="0" w:afterAutospacing="0"/>
        <w:ind w:left="0" w:right="0"/>
        <w:jc w:val="center"/>
        <w:rPr>
          <w:color w:val="auto"/>
          <w:highlight w:val="none"/>
        </w:rPr>
      </w:pPr>
    </w:p>
    <w:p>
      <w:pPr>
        <w:pStyle w:val="21"/>
        <w:keepNext w:val="0"/>
        <w:keepLines w:val="0"/>
        <w:widowControl/>
        <w:suppressLineNumbers w:val="0"/>
        <w:spacing w:before="0" w:beforeAutospacing="0" w:after="0" w:afterAutospacing="0"/>
        <w:ind w:left="0" w:right="0"/>
        <w:jc w:val="center"/>
        <w:rPr>
          <w:color w:val="auto"/>
          <w:highlight w:val="none"/>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各设区市、西咸新区、韩城市财政局，省级各部门、单位，各有关金融机构、有关企业：</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auto"/>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自2012年起，我省启动了政府采购信用担保融资试点工作，取得了一定成效。为进一步贯彻落实国务院和我省关于支持中小企业发展的政策措施，发挥政府采购政策导向作用，充分利用信息化技术，通过搭建信息对称、相互对接的平台，有效缓解中小企业融资难、融资贵问题。结合我省政府采购信息化建设实际，我们制定了《陕西省中小企业政府采购信用融资办法》，现印发给你们，请遵照执行。</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color w:val="auto"/>
          <w:highlight w:val="none"/>
        </w:rPr>
      </w:pPr>
      <w:r>
        <w:rPr>
          <w:rFonts w:hint="eastAsia" w:ascii="宋体" w:hAnsi="宋体" w:eastAsia="宋体" w:cs="宋体"/>
          <w:color w:val="auto"/>
          <w:sz w:val="21"/>
          <w:szCs w:val="21"/>
          <w:highlight w:val="none"/>
        </w:rPr>
        <w:t>陕西省财政厅</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color w:val="auto"/>
          <w:highlight w:val="none"/>
        </w:rPr>
      </w:pPr>
      <w:r>
        <w:rPr>
          <w:rFonts w:hint="eastAsia" w:ascii="宋体" w:hAnsi="宋体" w:eastAsia="宋体" w:cs="宋体"/>
          <w:color w:val="auto"/>
          <w:sz w:val="21"/>
          <w:szCs w:val="21"/>
          <w:highlight w:val="none"/>
        </w:rPr>
        <w:t>2018年10月8日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陕西省中小企业政府采购信用融资办法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　　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第二条  本办法所称“中小企业”包括中型、小型及微型企业，其划型标准按照《关于印发中小企业划型标准规定的通知》（工信部联企业〔2011〕300号）规定执行。</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第四条  开展政府采购信用融资的银行，应当为在陕西省境内注册或设立分支机构，并经财政部门审核且在我省政府采购信息系统搭建服务链接窗口的金融机构。</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第五条  政府采购信用融资应当坚持“财政引导，市场运行，银企自愿，互惠共赢”的原则。</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第六条 省财政厅以全省统一的电子化政府采购系统为平台，对接银行信息化系统，推进政府采购中标成交信息、合同信息、融资信息、支付信息和信用信息等信息资源共享。</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第七条 各级财政部门应当以政府采购诚信考核和信息化建设为基础，积极为中小企业信用融资搭建平台，提供银企对接的机会和相关的服务支持，但不得为相关贷款项目提供任何形式的担保。</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第十条 银行为参与政府采购融资的中小企业提供的产品，应以信用贷款为主，贷款利率应当优于一般中小企业的贷款利率水平，并将产品信息（包括贷款发放条件、利率优惠、贷款金额）等在陕西政府采购网予以展示。</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第十二条 银行应按规定对申请信用融资的供应商的政府采购合同信息进行审查，必要时可通过陕西政府采购网对该政府采购合同进行审核，以确保政府采购合同的真实性和有效性。</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第十五条 省本级政府采购资金支付时，各采购单位必须将采购资金支付到备案合同中指定的融资银行及收款账号，以保障贷款资金的安全回收。</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第十六条 各市县操作程序由各地结合本地实际自行拟定，但应当体现“便捷高效、监管有效、风险可控”的原则。</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第十八条 本办法由陕西省财政厅负责解释。</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第十九条 本办法自2018年11月1日起施行。</w:t>
      </w:r>
    </w:p>
    <w:p>
      <w:pPr>
        <w:rPr>
          <w:rStyle w:val="34"/>
          <w:rFonts w:asciiTheme="minorEastAsia" w:hAnsiTheme="minorEastAsia" w:eastAsiaTheme="minorEastAsia"/>
          <w:color w:val="auto"/>
          <w:sz w:val="30"/>
          <w:szCs w:val="30"/>
          <w:highlight w:val="none"/>
        </w:rPr>
      </w:pPr>
      <w:r>
        <w:rPr>
          <w:rStyle w:val="34"/>
          <w:rFonts w:asciiTheme="minorEastAsia" w:hAnsiTheme="minorEastAsia" w:eastAsiaTheme="minorEastAsia"/>
          <w:color w:val="auto"/>
          <w:sz w:val="30"/>
          <w:szCs w:val="30"/>
          <w:highlight w:val="none"/>
        </w:rPr>
        <w:br w:type="page"/>
      </w:r>
    </w:p>
    <w:p>
      <w:pPr>
        <w:spacing w:line="360" w:lineRule="auto"/>
        <w:jc w:val="center"/>
        <w:outlineLvl w:val="1"/>
        <w:rPr>
          <w:rFonts w:asciiTheme="minorEastAsia" w:hAnsiTheme="minorEastAsia" w:eastAsiaTheme="minorEastAsia"/>
          <w:b/>
          <w:color w:val="auto"/>
          <w:sz w:val="36"/>
          <w:szCs w:val="36"/>
          <w:highlight w:val="none"/>
        </w:rPr>
      </w:pPr>
      <w:r>
        <w:rPr>
          <w:rStyle w:val="34"/>
          <w:rFonts w:asciiTheme="minorEastAsia" w:hAnsiTheme="minorEastAsia" w:eastAsiaTheme="minorEastAsia"/>
          <w:color w:val="auto"/>
          <w:sz w:val="30"/>
          <w:szCs w:val="30"/>
          <w:highlight w:val="none"/>
        </w:rPr>
        <w:t>一、总则</w:t>
      </w:r>
      <w:bookmarkEnd w:id="34"/>
      <w:bookmarkEnd w:id="35"/>
      <w:bookmarkEnd w:id="36"/>
      <w:bookmarkEnd w:id="37"/>
    </w:p>
    <w:p>
      <w:pPr>
        <w:spacing w:line="360" w:lineRule="auto"/>
        <w:rPr>
          <w:rFonts w:asciiTheme="minorEastAsia" w:hAnsiTheme="minorEastAsia" w:eastAsiaTheme="minorEastAsia"/>
          <w:color w:val="auto"/>
          <w:highlight w:val="none"/>
        </w:rPr>
      </w:pP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1.采购人、采购代理机构和资金来源</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1.1采购人名称、地址见前附表。</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1.2实施本次招标的采购代理机构为西北（陕西）国际招标有限公司。西北（陕西）国际招标有限公司具有中华人民共和国财政部授予的中华人民共和国政府采购代理机构甲级资格。</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 本次招标采购所签订合同将使用财政性资金支付，资金已落实到位。</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2.合格的供应商</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2.1合格供应商条件</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1）具有独立承担民事责任的能力；</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2）具有良好的商业信誉和健全的财务会计制度；</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3）具有履行合同所必需的设备和专业技术能力；</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 xml:space="preserve">    4）有依法缴纳税收和社会保障资金的良好记录；</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5）参加政府采购活动前三年内，在经营活动中没有重大违法纪录；</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6）中华人民共和国法律、行政法规规定的其他条件（见供应商须知前附表）；</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7）根据本次采购项目的特殊要求，规定的供应商特定条件（见供应商须知前附表）。</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2.2单位负责人为同一人或者存在直接控股、管理关系的不同供应商，不得参加本项目同一合同项下的投标。如果供应商在投标中隐瞒了上述关系，则该投标无效。</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2.3为本采购项目提供整体设计、规范编制或者项目管理、监理、检测等服务的供应商，不得再参加本采购项目的投标</w:t>
      </w:r>
      <w:r>
        <w:rPr>
          <w:rFonts w:hint="eastAsia" w:asciiTheme="minorEastAsia" w:hAnsiTheme="minorEastAsia" w:eastAsiaTheme="minorEastAsia"/>
          <w:color w:val="auto"/>
          <w:kern w:val="0"/>
          <w:szCs w:val="21"/>
          <w:highlight w:val="none"/>
        </w:rPr>
        <w:t>。</w:t>
      </w:r>
      <w:r>
        <w:rPr>
          <w:rFonts w:hint="eastAsia" w:asciiTheme="minorEastAsia" w:hAnsiTheme="minorEastAsia" w:eastAsiaTheme="minorEastAsia"/>
          <w:color w:val="auto"/>
          <w:szCs w:val="21"/>
          <w:highlight w:val="none"/>
        </w:rPr>
        <w:t>如果供应商在投标中隐瞒了上述事实，则该投标无效。</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2.4两个以上的供应商可以组成一个联合体，以一个供应商的身份共同参加投标。以联合体形式参加投标的，联合体各方均应当具备政府采购法第二十二条第一款规定的条件。采购人根据采购项目的特殊要求规定供应商特定条件的，联合体各方中至少应当有一方符合采购人规定的特定条件。</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2.4.1联合体各方之间应当签订共同投标协议，明确约定联合体各方承担的工作、合同份额和相应的责任，并将共同投标协议附在投标文件中一并提交。</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2.4.2联合体中有同类资质的供应商按照联合体分工承担相同工作的，按照资质等级较低的供应商确定资质等级。</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2.4.3以联合体形式参加投标的，联合体各方不得再单独参加或者与其他供应商另外组成联合体参加同一合同项下的投标，否则，其相关投标均为无效。</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2.5供应商必须在西北（陕西）国际招标有限公司</w:t>
      </w:r>
      <w:r>
        <w:rPr>
          <w:rFonts w:hint="eastAsia" w:asciiTheme="minorEastAsia" w:hAnsiTheme="minorEastAsia" w:eastAsiaTheme="minorEastAsia"/>
          <w:color w:val="auto"/>
          <w:szCs w:val="21"/>
          <w:highlight w:val="none"/>
          <w:lang w:val="en-US" w:eastAsia="zh-CN"/>
        </w:rPr>
        <w:t>依法获取</w:t>
      </w:r>
      <w:r>
        <w:rPr>
          <w:rFonts w:hint="eastAsia" w:asciiTheme="minorEastAsia" w:hAnsiTheme="minorEastAsia" w:eastAsiaTheme="minorEastAsia"/>
          <w:color w:val="auto"/>
          <w:szCs w:val="21"/>
          <w:highlight w:val="none"/>
        </w:rPr>
        <w:t>招标文件，方可参加投标。招标文件售后不退。</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2.6投标费用自理。不论投标的结果如何，供应商均应自行承担所有与参加投标有关的费用。</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3.供应商信用记录查询及使用</w:t>
      </w:r>
    </w:p>
    <w:p>
      <w:pPr>
        <w:spacing w:line="360" w:lineRule="auto"/>
        <w:ind w:firstLine="308" w:firstLineChars="147"/>
        <w:rPr>
          <w:rFonts w:asciiTheme="minorEastAsia" w:hAnsiTheme="minorEastAsia" w:eastAsiaTheme="minorEastAsia"/>
          <w:b/>
          <w:color w:val="auto"/>
          <w:szCs w:val="21"/>
          <w:highlight w:val="none"/>
        </w:rPr>
      </w:pPr>
      <w:r>
        <w:rPr>
          <w:rFonts w:hint="eastAsia" w:asciiTheme="minorEastAsia" w:hAnsiTheme="minorEastAsia" w:eastAsiaTheme="minorEastAsia"/>
          <w:color w:val="auto"/>
          <w:kern w:val="0"/>
          <w:szCs w:val="21"/>
          <w:highlight w:val="none"/>
        </w:rPr>
        <w:t>“信用中国”网站（www.creditchina.gov.cn）和“中国政府采购网”（www.ccgp.gov.cn）为供应商信用信息查询渠道，如果供应商被查实在投标截止时间前已列入失信被执行人、</w:t>
      </w:r>
      <w:r>
        <w:rPr>
          <w:rFonts w:hint="eastAsia" w:ascii="宋体" w:hAnsi="宋体" w:eastAsia="宋体" w:cs="宋体"/>
          <w:color w:val="auto"/>
          <w:kern w:val="0"/>
          <w:szCs w:val="21"/>
          <w:highlight w:val="none"/>
        </w:rPr>
        <w:t>重大税收违法</w:t>
      </w:r>
      <w:r>
        <w:rPr>
          <w:rFonts w:hint="eastAsia" w:ascii="宋体" w:hAnsi="宋体" w:cs="宋体"/>
          <w:color w:val="auto"/>
          <w:kern w:val="0"/>
          <w:szCs w:val="21"/>
          <w:highlight w:val="none"/>
          <w:lang w:eastAsia="zh-CN"/>
        </w:rPr>
        <w:t>失信主体</w:t>
      </w:r>
      <w:r>
        <w:rPr>
          <w:rFonts w:hint="eastAsia" w:asciiTheme="minorEastAsia" w:hAnsiTheme="minorEastAsia" w:eastAsiaTheme="minorEastAsia"/>
          <w:color w:val="auto"/>
          <w:kern w:val="0"/>
          <w:szCs w:val="21"/>
          <w:highlight w:val="none"/>
        </w:rPr>
        <w:t>、政府采购严重违法失信行为记录名单，其投标行为无效。采购代理机构将打印查询记录作为证据留存。</w:t>
      </w:r>
      <w:r>
        <w:rPr>
          <w:rFonts w:hint="eastAsia" w:asciiTheme="minorEastAsia" w:hAnsiTheme="minorEastAsia" w:eastAsiaTheme="minorEastAsia"/>
          <w:b/>
          <w:color w:val="auto"/>
          <w:szCs w:val="21"/>
          <w:highlight w:val="none"/>
        </w:rPr>
        <w:t xml:space="preserve"> </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4.投标文件内容的真实性</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4.1供应商应保证其投标文件中所提供的所有有关投标的资料、信息是真实的，并且来源于合法的渠道。因投标文件中所提供的有关投标的资料、信息不真实，或者其来源不合法而导致的所有法律责任，由供应商自行承担。</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5.招标过程的监督和管理</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5.1同级人民政府财政部门及有关部门依法履行对招标过程的监督管理职责。</w:t>
      </w:r>
    </w:p>
    <w:p>
      <w:pPr>
        <w:spacing w:line="360" w:lineRule="auto"/>
        <w:jc w:val="center"/>
        <w:rPr>
          <w:rFonts w:asciiTheme="minorEastAsia" w:hAnsiTheme="minorEastAsia" w:eastAsiaTheme="minorEastAsia"/>
          <w:b/>
          <w:color w:val="auto"/>
          <w:szCs w:val="21"/>
          <w:highlight w:val="none"/>
        </w:rPr>
      </w:pPr>
    </w:p>
    <w:p>
      <w:pPr>
        <w:spacing w:line="360" w:lineRule="auto"/>
        <w:jc w:val="center"/>
        <w:outlineLvl w:val="1"/>
        <w:rPr>
          <w:rStyle w:val="34"/>
          <w:rFonts w:asciiTheme="minorEastAsia" w:hAnsiTheme="minorEastAsia" w:eastAsiaTheme="minorEastAsia"/>
          <w:color w:val="auto"/>
          <w:sz w:val="30"/>
          <w:szCs w:val="30"/>
          <w:highlight w:val="none"/>
        </w:rPr>
      </w:pPr>
      <w:bookmarkStart w:id="40" w:name="_Toc75948148"/>
      <w:bookmarkStart w:id="41" w:name="_Toc3862"/>
      <w:bookmarkStart w:id="42" w:name="_Toc22182"/>
      <w:bookmarkStart w:id="43" w:name="_Toc17352"/>
      <w:r>
        <w:rPr>
          <w:rStyle w:val="34"/>
          <w:rFonts w:asciiTheme="minorEastAsia" w:hAnsiTheme="minorEastAsia" w:eastAsiaTheme="minorEastAsia"/>
          <w:color w:val="auto"/>
          <w:sz w:val="30"/>
          <w:szCs w:val="30"/>
          <w:highlight w:val="none"/>
        </w:rPr>
        <w:t>二</w:t>
      </w:r>
      <w:r>
        <w:rPr>
          <w:rStyle w:val="34"/>
          <w:rFonts w:hint="eastAsia" w:asciiTheme="minorEastAsia" w:hAnsiTheme="minorEastAsia" w:eastAsiaTheme="minorEastAsia"/>
          <w:color w:val="auto"/>
          <w:sz w:val="30"/>
          <w:szCs w:val="30"/>
          <w:highlight w:val="none"/>
        </w:rPr>
        <w:t>、</w:t>
      </w:r>
      <w:r>
        <w:rPr>
          <w:rStyle w:val="34"/>
          <w:rFonts w:asciiTheme="minorEastAsia" w:hAnsiTheme="minorEastAsia" w:eastAsiaTheme="minorEastAsia"/>
          <w:color w:val="auto"/>
          <w:sz w:val="30"/>
          <w:szCs w:val="30"/>
          <w:highlight w:val="none"/>
        </w:rPr>
        <w:t>招标文件</w:t>
      </w:r>
      <w:bookmarkEnd w:id="40"/>
      <w:bookmarkEnd w:id="41"/>
      <w:bookmarkEnd w:id="42"/>
      <w:bookmarkEnd w:id="43"/>
    </w:p>
    <w:p>
      <w:pPr>
        <w:spacing w:line="360" w:lineRule="auto"/>
        <w:rPr>
          <w:rFonts w:asciiTheme="minorEastAsia" w:hAnsiTheme="minorEastAsia" w:eastAsiaTheme="minorEastAsia"/>
          <w:b/>
          <w:color w:val="auto"/>
          <w:szCs w:val="21"/>
          <w:highlight w:val="none"/>
        </w:rPr>
      </w:pP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6.招标文件构成</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 招标文件规定了要求提供的服务，招标程序和合同条件在招标文件中均有说明。招标文件共六章，内容如下：</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第一章 招标公告</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第二章 供应商须知及前附表</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第三章 合同条款</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第四章 招标内容</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第五章 评标方法</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第六章 投标文件格式</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6.2供应商应认真阅读招标文件中所有的事项、格式、条款和规范等要求。如果供应商没有按照招标文件的要求提交全部必要的资料，由此带来的不利于供应商的评标结果，其风险由供应商承担。</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6.3如果投标文件没有对招标内容做出实质性响应，其投标为无效投标。</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6.4本招标文件的解释权归西北（陕西）国际招标有限公司。</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7.招标文件的澄清修改</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7.1采购人如果对已发出的招标文件进行必要的澄清或者修改，将在原公告发布媒体上发布澄清公告。澄清或者修改的内容为招标文件的组成部分。</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7.2澄清或者修改的内容可能影响投标文件编制的，采购代理机构将在投标截止时间至少15日前，以书面形式通知所有获取招标文件的潜在供应商；不足15日的，采购代理机构将顺延提交投标文件的截止时间。</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b/>
          <w:bCs/>
          <w:color w:val="auto"/>
          <w:szCs w:val="21"/>
          <w:highlight w:val="none"/>
        </w:rPr>
        <w:t>8.招标文件的质疑答复</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8.1 已经</w:t>
      </w:r>
      <w:r>
        <w:rPr>
          <w:rFonts w:hint="eastAsia" w:asciiTheme="minorEastAsia" w:hAnsiTheme="minorEastAsia" w:eastAsiaTheme="minorEastAsia"/>
          <w:color w:val="auto"/>
          <w:szCs w:val="21"/>
          <w:highlight w:val="none"/>
          <w:lang w:eastAsia="zh-CN"/>
        </w:rPr>
        <w:t>依法获取</w:t>
      </w:r>
      <w:r>
        <w:rPr>
          <w:rFonts w:hint="eastAsia" w:asciiTheme="minorEastAsia" w:hAnsiTheme="minorEastAsia" w:eastAsiaTheme="minorEastAsia"/>
          <w:color w:val="auto"/>
          <w:szCs w:val="21"/>
          <w:highlight w:val="none"/>
        </w:rPr>
        <w:t>招标文件的供应商对招标文件有疑问或者认为招标文件使自己的权益受到损害的，应当在“供应商须知前附表”规定的时间内，以书面形式向采购代理机构指定的联系部门提出询问或者质疑，在此之后提出的质疑均为无效，采购代理机构不予受理。</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8.2供应商提出质疑应当按照“供应商须知前附表”的要求提交质疑函和必要的证明材料。</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8.3对于在规定时间内收到的供应商依法提出的询问或者质疑，采购代理机构将按程序在规定的时间内予以答复。</w:t>
      </w:r>
    </w:p>
    <w:p>
      <w:pPr>
        <w:spacing w:line="360" w:lineRule="auto"/>
        <w:jc w:val="center"/>
        <w:rPr>
          <w:rFonts w:asciiTheme="minorEastAsia" w:hAnsiTheme="minorEastAsia" w:eastAsiaTheme="minorEastAsia"/>
          <w:b/>
          <w:color w:val="auto"/>
          <w:szCs w:val="21"/>
          <w:highlight w:val="none"/>
        </w:rPr>
      </w:pPr>
    </w:p>
    <w:p>
      <w:pPr>
        <w:pStyle w:val="4"/>
        <w:rPr>
          <w:rFonts w:asciiTheme="minorEastAsia" w:hAnsiTheme="minorEastAsia" w:eastAsiaTheme="minorEastAsia"/>
          <w:color w:val="auto"/>
          <w:sz w:val="30"/>
          <w:szCs w:val="30"/>
          <w:highlight w:val="none"/>
        </w:rPr>
      </w:pPr>
      <w:bookmarkStart w:id="44" w:name="_Toc21461"/>
      <w:bookmarkStart w:id="45" w:name="_Toc4148"/>
      <w:bookmarkStart w:id="46" w:name="_Toc75948149"/>
      <w:bookmarkStart w:id="47" w:name="_Toc25387"/>
      <w:r>
        <w:rPr>
          <w:rFonts w:hint="eastAsia" w:asciiTheme="minorEastAsia" w:hAnsiTheme="minorEastAsia" w:eastAsiaTheme="minorEastAsia"/>
          <w:color w:val="auto"/>
          <w:sz w:val="30"/>
          <w:szCs w:val="30"/>
          <w:highlight w:val="none"/>
        </w:rPr>
        <w:t>三、投标文件的编制</w:t>
      </w:r>
      <w:bookmarkEnd w:id="44"/>
      <w:bookmarkEnd w:id="45"/>
      <w:bookmarkEnd w:id="46"/>
      <w:bookmarkEnd w:id="47"/>
    </w:p>
    <w:p>
      <w:pPr>
        <w:spacing w:line="360" w:lineRule="auto"/>
        <w:rPr>
          <w:rFonts w:asciiTheme="minorEastAsia" w:hAnsiTheme="minorEastAsia" w:eastAsiaTheme="minorEastAsia"/>
          <w:b/>
          <w:color w:val="auto"/>
          <w:szCs w:val="21"/>
          <w:highlight w:val="none"/>
        </w:rPr>
      </w:pP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9.投标语言和投标货币</w:t>
      </w:r>
    </w:p>
    <w:p>
      <w:pPr>
        <w:spacing w:line="360" w:lineRule="auto"/>
        <w:ind w:firstLine="420"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9.1供应商提交的投标文件以及供应商与采购代理机构就有关投标的所有来往函电均应使用中文。对不同文字文本投标文件（包括产品样本、彩页、说明书等）的解释发生异议的，以中文文本为准。</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9.2投标应以人民币报价。任何包含非人民币报价的投标均按照无效投标处理。</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10.投标文件格式</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10.1供应商应按照招标文件中“投标文件格式”所提供的格式和要求制作投标文件，明确表达投标意愿，详细说明投标方案和投标价格。</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10.2供应商应完整地提供招标文件要求的所有数据和资料。</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11.投标报价和投标方案要求</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11.1供应商应按照“供应商须知前附表”中的规定和要求报价，任何不符合报价要求的投标将按照无效投标处理。</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11.2供应商应按照投标报价表的内容标明投标的所有单项价格和总价。投标分项报价表中标明的价格应为履行合同的固定价格，不得以任何理由予以变更。任何有选择的报价及以可调整价格提交的投标均按照无效投标处理。</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11.3 如果在招标文件中没有允许提供备选方案，则每个供应商只允许提交一个投标方案，否则，其投标按照无效投标处理。如果允许提供备选方案，则按照评标方法中的规定对备选方案进行评审。</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11.4本次投标的最小单元见“供应商须知前附表”中的规定，供应商可对任一最小单元进行投标，但不能对最小单元中的</w:t>
      </w:r>
      <w:r>
        <w:rPr>
          <w:rFonts w:hint="eastAsia" w:asciiTheme="minorEastAsia" w:hAnsiTheme="minorEastAsia" w:eastAsiaTheme="minorEastAsia"/>
          <w:color w:val="auto"/>
          <w:szCs w:val="21"/>
          <w:highlight w:val="none"/>
          <w:lang w:eastAsia="zh-CN"/>
        </w:rPr>
        <w:t>部分</w:t>
      </w:r>
      <w:r>
        <w:rPr>
          <w:rFonts w:hint="eastAsia" w:asciiTheme="minorEastAsia" w:hAnsiTheme="minorEastAsia" w:eastAsiaTheme="minorEastAsia"/>
          <w:color w:val="auto"/>
          <w:szCs w:val="21"/>
          <w:highlight w:val="none"/>
        </w:rPr>
        <w:t>内容或者分项内容进行不完全投标。任何不完全的投标将按照无效投标处理。</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12.投标文件的构成</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供应商提交的投标文件应包括下列内容：</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12.1按照供应商须知的要求和投标文件规定格式填写的投标书、投标报价表；按要求格式出具的法人代表授权书。</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12.2按照招标文件要求提交的资格证明文件（详见“供应商须知前附表”）。</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12.3按照招标文件要求提交的商务响应证明文件。</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12.4按照招标文件的要求编制的投标方案说明书，内容应包括设备和服务的详细说明、技术规格响应表、设备配置说明、供货一览表、彩色样本、使用说明书，质量保证和售后服务承诺等。</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 xml:space="preserve">    12.4.1投标人应在投标文件中提交货物满足招标文件要求并符合国家法律法规、行业管理部门要求的其他强制性标准的证明及文件。缺少上述证明及文件或证明及文件不合格的投标，与招标文件要求有重大偏离的投标，不符合国家法律法规、行业管理部门要求的其他强制性标准的投标将按照无效投标处理。</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 xml:space="preserve">    12.4.2上述证明可以是文字资料、图纸、图片和数据，也可以是实物，它包括：</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 xml:space="preserve">     1) 本次采购特别要求的货物合格性证明文件；</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 xml:space="preserve">     2）货物主要技术指标和性能的详细说明；</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 xml:space="preserve">     3）国家法定检验机构出具的检验报告；</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 xml:space="preserve">     4) 逐条对招标文件提出的技术要求和商务要求进行应答，说明所提供的货物和服务对招标的技术和商务要求是否做出了实质性响应并提供支持文件；</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 xml:space="preserve">     5）设备配置、供货范围和服务内容的详细说明。</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13.落实优先采购节能、环保产品的政策</w:t>
      </w:r>
    </w:p>
    <w:p>
      <w:pPr>
        <w:spacing w:line="360" w:lineRule="auto"/>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按照政府采购政策，优先采购节能产品，环境标志产品。投标产品进入“节能产品政府采购品目清单”的；进入“环境标志产品政府采购品目清单”的，提供证明文件，在评标中给予加分优惠（详见评标方法）。</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14.落实促进支持小微企业、监狱企业、残疾人企业发展、脱贫攻坚的政策</w:t>
      </w:r>
    </w:p>
    <w:p>
      <w:pPr>
        <w:spacing w:line="360" w:lineRule="auto"/>
        <w:ind w:firstLine="409" w:firstLineChars="19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按照政府采购政策，在评标中对于符合文件要求的小微企业投标的产品和服务，给予价格折扣优惠（详见评标方法）。投标单位属于（财库[2020]46号）文件规定的小微企业的，提供中小企业声明函；投标单位属于（财库[2014]68号）文件规定的监狱企业的，提供由省级以上监狱管理局、</w:t>
      </w:r>
      <w:r>
        <w:rPr>
          <w:rFonts w:hint="eastAsia" w:asciiTheme="minorEastAsia" w:hAnsiTheme="minorEastAsia" w:eastAsiaTheme="minorEastAsia"/>
          <w:color w:val="auto"/>
          <w:spacing w:val="4"/>
          <w:szCs w:val="21"/>
          <w:highlight w:val="none"/>
        </w:rPr>
        <w:t>戒毒管理局（含新疆生产建设兵团）</w:t>
      </w:r>
      <w:r>
        <w:rPr>
          <w:rFonts w:hint="eastAsia" w:asciiTheme="minorEastAsia" w:hAnsiTheme="minorEastAsia" w:eastAsiaTheme="minorEastAsia"/>
          <w:color w:val="auto"/>
          <w:szCs w:val="21"/>
          <w:highlight w:val="none"/>
        </w:rPr>
        <w:t>出具的属于监狱企业的证明文件，视同小微企业；投标单位属于（财库[2017]141号）文件规定的残疾人福利性单位的，提供《残疾人福利性单位声明函》，视同小微企业。</w:t>
      </w:r>
      <w:r>
        <w:rPr>
          <w:rFonts w:hint="eastAsia" w:cs="宋体" w:asciiTheme="minorEastAsia" w:hAnsiTheme="minorEastAsia" w:eastAsiaTheme="minorEastAsia"/>
          <w:color w:val="auto"/>
          <w:spacing w:val="4"/>
          <w:szCs w:val="21"/>
          <w:highlight w:val="none"/>
        </w:rPr>
        <w:t>投标产品为832个国家级贫困县域内贫困地区农副产品或提供物业服务的，应执行国家政策。</w:t>
      </w:r>
    </w:p>
    <w:p>
      <w:pPr>
        <w:numPr>
          <w:ilvl w:val="0"/>
          <w:numId w:val="3"/>
        </w:num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投标保证金</w:t>
      </w:r>
    </w:p>
    <w:p>
      <w:pPr>
        <w:pStyle w:val="2"/>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本次招标不要求投标保证金。</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16.投标有效期</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16.1投标应在“供应商须知前附表”中规定的投标有效期内保持有效。不满足规定有效期的投标将按照无效投标处理。</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16.2在特殊情况下，在原投标有效期期满之前，采购代理机构可向供应商提出延长投标有效期的要求。这种要求与答复均应以书面的形式。供应商可以拒绝采购代理机构的这种要求。同意延长的供应商既不能要求也不允许修改其投标文件。</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17.投标文件的格式和签署</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17.1供应商应按照供应商须知的要求,准备一份投标文件正本和“供应商须知前附表”中规定数量的副本，副本可以是正本的复印件。每套投标文件须清楚地标明“正本”或“副本”。如果发生正本与副本不一致的情况，以正本为准。</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17.2如果招标文件有要求，还应按照“供应商须知前附表”的要求准备相应格式和载体的电子版文件。</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17.3投标文件正本需打印或用不褪色的蓝（黑）色墨水（汁）书写,并由供应商法人代表或经法人代表正式授权的代表签字。授权代表须将按招标文件规定的格式出具的“法人代表授权书”附在投标文件中。法人代表签字要求见“供应商须知前附表”</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17.4任何行间插字、涂改和增删，必须由投标文件的签字人在旁边签署全名才有效。</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17.5因字迹潦草、表述不清或不按招标文件格式编制的投标文件，所引起的对供应商不利的后果，由供应商自行负责。</w:t>
      </w:r>
    </w:p>
    <w:p>
      <w:pPr>
        <w:spacing w:line="360" w:lineRule="auto"/>
        <w:ind w:firstLine="420" w:firstLineChars="200"/>
        <w:rPr>
          <w:rFonts w:asciiTheme="minorEastAsia" w:hAnsiTheme="minorEastAsia" w:eastAsiaTheme="minorEastAsia"/>
          <w:color w:val="auto"/>
          <w:szCs w:val="21"/>
          <w:highlight w:val="none"/>
        </w:rPr>
      </w:pPr>
    </w:p>
    <w:p>
      <w:pPr>
        <w:pStyle w:val="4"/>
        <w:rPr>
          <w:rFonts w:asciiTheme="minorEastAsia" w:hAnsiTheme="minorEastAsia" w:eastAsiaTheme="minorEastAsia"/>
          <w:color w:val="auto"/>
          <w:sz w:val="30"/>
          <w:szCs w:val="30"/>
          <w:highlight w:val="none"/>
        </w:rPr>
      </w:pPr>
      <w:bookmarkStart w:id="48" w:name="_Toc6840"/>
      <w:bookmarkStart w:id="49" w:name="_Toc19302"/>
      <w:bookmarkStart w:id="50" w:name="_Toc3022"/>
      <w:bookmarkStart w:id="51" w:name="_Toc75948150"/>
      <w:r>
        <w:rPr>
          <w:rFonts w:hint="eastAsia" w:asciiTheme="minorEastAsia" w:hAnsiTheme="minorEastAsia" w:eastAsiaTheme="minorEastAsia"/>
          <w:color w:val="auto"/>
          <w:sz w:val="30"/>
          <w:szCs w:val="30"/>
          <w:highlight w:val="none"/>
        </w:rPr>
        <w:t>四、投标文件的递交</w:t>
      </w:r>
      <w:bookmarkEnd w:id="48"/>
      <w:bookmarkEnd w:id="49"/>
      <w:bookmarkEnd w:id="50"/>
      <w:bookmarkEnd w:id="51"/>
    </w:p>
    <w:p>
      <w:pPr>
        <w:spacing w:line="360" w:lineRule="auto"/>
        <w:rPr>
          <w:rFonts w:asciiTheme="minorEastAsia" w:hAnsiTheme="minorEastAsia" w:eastAsiaTheme="minorEastAsia"/>
          <w:b/>
          <w:color w:val="auto"/>
          <w:szCs w:val="21"/>
          <w:highlight w:val="none"/>
        </w:rPr>
      </w:pP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18.投标文件的装订、密封和标记</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18.1投标文件的正本与副本应分别装订成册，并编制目录，具体装订、包装、密封和标记要求见本须知“供应商须知前附表”规定。</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18.2如果供应商未对投标文件按上述要求进行完好密封，由此而引起的投标文件误投、提前启封或投标资料泄露等不良后果，由供应商自行承担。</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19．投标文件递交方式和投标截止时间</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19.1纸质投标文件</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19.1.1供应商必须派出代表，在本须知“供应商须知前附表”规定的投标截止时间前，将全部投标文件和投标资料、物品等递交至投标地点并签字确认。投标地点见“供应商须知前附表”指明的地址或采购代理机构另行通知的地址。</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19.1.2以邮寄方式递交投标文件的按照无效投标处理。</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19.1.3采购代理机构拒绝接收在规定的投标截止时间后递交的投标文件和投标资料。</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20．投标的修改与撤回</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20.1供应商在递交投标文件后，可以修改或撤回其投标文件，也可以提出价格变动声明，但供应商必须在规定的投标截止时间之前将修改或撤回或变动价格的书面通知文件递交到采购代理机构。</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20.2供应商的修改或撤回或变动价格的通知应按本须知第17条和18条的规定编制、密封、标记和递交。</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20.3在投标截止时间之后，供应商不得对其投标做任何修改或撤回。</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20.4在开标之后，对于供应商正常经营活动必须的资质和其他证明文件原件（包括但不限于：营业执照、税务登记证、经营许可证、资质等级证书、中标通知书、合同等），经审查后予以退还。其他投标文件和资料一律不予退还。</w:t>
      </w:r>
    </w:p>
    <w:p>
      <w:pPr>
        <w:spacing w:line="360" w:lineRule="auto"/>
        <w:ind w:firstLine="420" w:firstLineChars="200"/>
        <w:rPr>
          <w:rFonts w:asciiTheme="minorEastAsia" w:hAnsiTheme="minorEastAsia" w:eastAsiaTheme="minorEastAsia"/>
          <w:color w:val="auto"/>
          <w:szCs w:val="21"/>
          <w:highlight w:val="none"/>
        </w:rPr>
      </w:pPr>
    </w:p>
    <w:p>
      <w:pPr>
        <w:pStyle w:val="4"/>
        <w:rPr>
          <w:rFonts w:asciiTheme="minorEastAsia" w:hAnsiTheme="minorEastAsia" w:eastAsiaTheme="minorEastAsia"/>
          <w:color w:val="auto"/>
          <w:sz w:val="30"/>
          <w:szCs w:val="30"/>
          <w:highlight w:val="none"/>
        </w:rPr>
      </w:pPr>
      <w:bookmarkStart w:id="52" w:name="_Toc75948151"/>
      <w:bookmarkStart w:id="53" w:name="_Toc26879"/>
      <w:bookmarkStart w:id="54" w:name="_Toc8304"/>
      <w:bookmarkStart w:id="55" w:name="_Toc1229"/>
      <w:r>
        <w:rPr>
          <w:rFonts w:hint="eastAsia" w:asciiTheme="minorEastAsia" w:hAnsiTheme="minorEastAsia" w:eastAsiaTheme="minorEastAsia"/>
          <w:color w:val="auto"/>
          <w:sz w:val="30"/>
          <w:szCs w:val="30"/>
          <w:highlight w:val="none"/>
        </w:rPr>
        <w:t>五、开标、审查与评标</w:t>
      </w:r>
      <w:bookmarkEnd w:id="52"/>
      <w:bookmarkEnd w:id="53"/>
      <w:bookmarkEnd w:id="54"/>
      <w:bookmarkEnd w:id="55"/>
    </w:p>
    <w:p>
      <w:pPr>
        <w:spacing w:line="360" w:lineRule="auto"/>
        <w:ind w:firstLine="422" w:firstLineChars="200"/>
        <w:jc w:val="center"/>
        <w:rPr>
          <w:rFonts w:asciiTheme="minorEastAsia" w:hAnsiTheme="minorEastAsia" w:eastAsiaTheme="minorEastAsia"/>
          <w:b/>
          <w:color w:val="auto"/>
          <w:szCs w:val="21"/>
          <w:highlight w:val="none"/>
        </w:rPr>
      </w:pP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21.开标</w:t>
      </w:r>
    </w:p>
    <w:p>
      <w:pPr>
        <w:spacing w:line="36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21.1 采购代理机构在规定的时间和地点组织公开开标。</w:t>
      </w:r>
    </w:p>
    <w:p>
      <w:pPr>
        <w:spacing w:line="36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21.2开标时，</w:t>
      </w:r>
      <w:r>
        <w:rPr>
          <w:rFonts w:hint="eastAsia" w:asciiTheme="minorEastAsia" w:hAnsiTheme="minorEastAsia" w:eastAsiaTheme="minorEastAsia"/>
          <w:color w:val="auto"/>
          <w:szCs w:val="21"/>
          <w:highlight w:val="none"/>
        </w:rPr>
        <w:t>由供应商代表检查各自在投标截止时间之前递交的投标文件的密封情况，以确认各供应商的投标文件密封情况是否与递交时一致，有无被提前启封等异常情况。</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21.3采购代理机构将</w:t>
      </w:r>
      <w:r>
        <w:rPr>
          <w:rFonts w:asciiTheme="minorEastAsia" w:hAnsiTheme="minorEastAsia" w:eastAsiaTheme="minorEastAsia"/>
          <w:color w:val="auto"/>
          <w:szCs w:val="21"/>
          <w:highlight w:val="none"/>
        </w:rPr>
        <w:t>当众</w:t>
      </w:r>
      <w:r>
        <w:rPr>
          <w:rFonts w:hint="eastAsia" w:asciiTheme="minorEastAsia" w:hAnsiTheme="minorEastAsia" w:eastAsiaTheme="minorEastAsia"/>
          <w:color w:val="auto"/>
          <w:szCs w:val="21"/>
          <w:highlight w:val="none"/>
        </w:rPr>
        <w:t>拆封投标文件，</w:t>
      </w:r>
      <w:r>
        <w:rPr>
          <w:rFonts w:asciiTheme="minorEastAsia" w:hAnsiTheme="minorEastAsia" w:eastAsiaTheme="minorEastAsia"/>
          <w:color w:val="auto"/>
          <w:szCs w:val="21"/>
          <w:highlight w:val="none"/>
        </w:rPr>
        <w:t>宣</w:t>
      </w:r>
      <w:r>
        <w:rPr>
          <w:rFonts w:hint="eastAsia" w:asciiTheme="minorEastAsia" w:hAnsiTheme="minorEastAsia" w:eastAsiaTheme="minorEastAsia"/>
          <w:color w:val="auto"/>
          <w:szCs w:val="21"/>
          <w:highlight w:val="none"/>
        </w:rPr>
        <w:t>布供应商</w:t>
      </w:r>
      <w:r>
        <w:rPr>
          <w:rFonts w:asciiTheme="minorEastAsia" w:hAnsiTheme="minorEastAsia" w:eastAsiaTheme="minorEastAsia"/>
          <w:color w:val="auto"/>
          <w:szCs w:val="21"/>
          <w:highlight w:val="none"/>
        </w:rPr>
        <w:t>名称、投标价格、价格折扣、修改或撤回或变动价格的书面通知（如果有），以及</w:t>
      </w:r>
      <w:r>
        <w:rPr>
          <w:rFonts w:hint="eastAsia" w:asciiTheme="minorEastAsia" w:hAnsiTheme="minorEastAsia" w:eastAsiaTheme="minorEastAsia"/>
          <w:color w:val="auto"/>
          <w:szCs w:val="21"/>
          <w:highlight w:val="none"/>
        </w:rPr>
        <w:t>本须知“供应商须知前附表”规定的需要宣布的</w:t>
      </w:r>
      <w:r>
        <w:rPr>
          <w:rFonts w:asciiTheme="minorEastAsia" w:hAnsiTheme="minorEastAsia" w:eastAsiaTheme="minorEastAsia"/>
          <w:color w:val="auto"/>
          <w:szCs w:val="21"/>
          <w:highlight w:val="none"/>
        </w:rPr>
        <w:t>其他内容。未在开标时宣读的投标价格和价格折扣，评标时不予承认。</w:t>
      </w:r>
    </w:p>
    <w:p>
      <w:pPr>
        <w:spacing w:line="36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21.</w:t>
      </w:r>
      <w:r>
        <w:rPr>
          <w:rFonts w:hint="eastAsia" w:asciiTheme="minorEastAsia" w:hAnsiTheme="minorEastAsia" w:eastAsiaTheme="minorEastAsia"/>
          <w:color w:val="auto"/>
          <w:szCs w:val="21"/>
          <w:highlight w:val="none"/>
        </w:rPr>
        <w:t>4</w:t>
      </w:r>
      <w:r>
        <w:rPr>
          <w:rFonts w:asciiTheme="minorEastAsia" w:hAnsiTheme="minorEastAsia" w:eastAsiaTheme="minorEastAsia"/>
          <w:color w:val="auto"/>
          <w:szCs w:val="21"/>
          <w:highlight w:val="none"/>
        </w:rPr>
        <w:t>在开标时没有</w:t>
      </w:r>
      <w:r>
        <w:rPr>
          <w:rFonts w:hint="eastAsia" w:asciiTheme="minorEastAsia" w:hAnsiTheme="minorEastAsia" w:eastAsiaTheme="minorEastAsia"/>
          <w:color w:val="auto"/>
          <w:szCs w:val="21"/>
          <w:highlight w:val="none"/>
        </w:rPr>
        <w:t>拆</w:t>
      </w:r>
      <w:r>
        <w:rPr>
          <w:rFonts w:asciiTheme="minorEastAsia" w:hAnsiTheme="minorEastAsia" w:eastAsiaTheme="minorEastAsia"/>
          <w:color w:val="auto"/>
          <w:szCs w:val="21"/>
          <w:highlight w:val="none"/>
        </w:rPr>
        <w:t>封和宣读的投标文件将原封退回给</w:t>
      </w:r>
      <w:r>
        <w:rPr>
          <w:rFonts w:hint="eastAsia" w:asciiTheme="minorEastAsia" w:hAnsiTheme="minorEastAsia" w:eastAsiaTheme="minorEastAsia"/>
          <w:color w:val="auto"/>
          <w:szCs w:val="21"/>
          <w:highlight w:val="none"/>
        </w:rPr>
        <w:t>供应商</w:t>
      </w:r>
      <w:r>
        <w:rPr>
          <w:rFonts w:asciiTheme="minorEastAsia" w:hAnsiTheme="minorEastAsia" w:eastAsiaTheme="minorEastAsia"/>
          <w:color w:val="auto"/>
          <w:szCs w:val="21"/>
          <w:highlight w:val="none"/>
        </w:rPr>
        <w:t>。</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21.5以邮寄方式递交投标文件的为无效投标，不予启封。</w:t>
      </w:r>
    </w:p>
    <w:p>
      <w:pPr>
        <w:spacing w:line="360" w:lineRule="auto"/>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21.</w:t>
      </w:r>
      <w:r>
        <w:rPr>
          <w:rFonts w:hint="eastAsia" w:asciiTheme="minorEastAsia" w:hAnsiTheme="minorEastAsia" w:eastAsiaTheme="minorEastAsia"/>
          <w:color w:val="auto"/>
          <w:szCs w:val="21"/>
          <w:highlight w:val="none"/>
        </w:rPr>
        <w:t>6</w:t>
      </w:r>
      <w:r>
        <w:rPr>
          <w:rFonts w:asciiTheme="minorEastAsia" w:hAnsiTheme="minorEastAsia" w:eastAsiaTheme="minorEastAsia"/>
          <w:color w:val="auto"/>
          <w:szCs w:val="21"/>
          <w:highlight w:val="none"/>
        </w:rPr>
        <w:t xml:space="preserve"> 采购代理机构将做开标记录，存档备查。</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21.7供应商未参加开标的，视同认可开标结果。</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21.8开标结束后，采购人或者采购代理机构将依法对供应商的资格情况进行审查。合格供应商不足三家的，不进行评标。</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22．评标组织及评标原则</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22.1按照《中华人民共和国政府采购法》、中华人民共和国2015年第658号国务院令--《中华人民共和国政府采购法实施条例》和中华人民共和国财政部2017年第87号部长令--《政府采购服务和服务招标投标管理办法》的规定，依法组建评标委员会。评标委员会按照招标文件规定的评标方法独立进行评标工作。</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22.2招标文件和投标文件是评标的依据。在评标中，不得改变招标文件中规定的评标标准、方法和中标条件。供应商不得在开标后使用任何方式对投标文件的实质性内容做任何更改。</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22.3在评标期间，对于投标文件中含义不明确、同类问题表述不一致或者有明显文字和计算错误的内容，评标委员会应当以书面形式（由评标委员会专家签字）要求供应商做出必要的澄清、说明或者纠正。供应商的澄清、说明或者补正应当采用书面形式，并由其法人代表或授权代表签署全名。供应商的澄清、说明或者补正不得超出投标文件的范围或者改变投标文件的实质性内容。</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22.4如果供应商在规定时限内，未能答复或拒绝答复评委会提出的澄清、说明或者补正的要求，将由评委会根据其投标文件按最大风险进行评标。</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23．评标过程的保密</w:t>
      </w:r>
    </w:p>
    <w:p>
      <w:pPr>
        <w:spacing w:line="360" w:lineRule="auto"/>
        <w:ind w:firstLine="525" w:firstLineChars="2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23.1评标委员会成员、采购人与采购代理机构有关人员对评标情况以及在评标过程中获悉的国家秘密、商业秘密负有保密责任。</w:t>
      </w:r>
    </w:p>
    <w:p>
      <w:pPr>
        <w:spacing w:line="360" w:lineRule="auto"/>
        <w:ind w:left="210" w:leftChars="100" w:firstLine="315" w:firstLine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23.2在评标过程中，如果供应商试图在投标文件的评审和比较、中标候选人的推荐以及与评标有关的其他方面，向评标人、采购人和采购代理机构施加任何影响，其投标将按照无效投标处理。</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24．评标方法</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24.1按照中华人民共和国2015年第658号国务院令--《中华人民共和国政府采购法实施条例》和中华人民共和国财政部2017年第87号部长令--《政府采购服务和服务招标投标管理办法》的规定，本次评标采用以下评标方法中的一种：具体见“供应商须知前附表”。</w:t>
      </w:r>
    </w:p>
    <w:p>
      <w:pPr>
        <w:spacing w:line="360" w:lineRule="auto"/>
        <w:ind w:firstLine="525" w:firstLineChars="25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24.1.1最低评标价法，</w:t>
      </w:r>
      <w:r>
        <w:rPr>
          <w:rFonts w:hint="eastAsia" w:asciiTheme="minorEastAsia" w:hAnsiTheme="minorEastAsia" w:eastAsiaTheme="minorEastAsia"/>
          <w:color w:val="auto"/>
          <w:kern w:val="0"/>
          <w:szCs w:val="21"/>
          <w:highlight w:val="none"/>
        </w:rPr>
        <w:t>是指投标文件满足招标文件全部实质性要求，且投标报价最低的供应商为中标候选人的评标方法。</w:t>
      </w:r>
    </w:p>
    <w:p>
      <w:pPr>
        <w:spacing w:line="360" w:lineRule="auto"/>
        <w:ind w:firstLine="525" w:firstLineChars="25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24.1.2综合评分法，</w:t>
      </w:r>
      <w:r>
        <w:rPr>
          <w:rFonts w:hint="eastAsia" w:asciiTheme="minorEastAsia" w:hAnsiTheme="minorEastAsia" w:eastAsiaTheme="minorEastAsia"/>
          <w:color w:val="auto"/>
          <w:kern w:val="0"/>
          <w:szCs w:val="21"/>
          <w:highlight w:val="none"/>
        </w:rPr>
        <w:t>是指投标文件满足招标文件全部实质性要求，且按照评审因素的量化指标评审得分最高的供应商为中标候选人的评标方法。</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25．评标程序</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评标程序为投标文件审查、澄清、比较与评价、确定中标候选人名单。</w:t>
      </w:r>
    </w:p>
    <w:p>
      <w:pPr>
        <w:spacing w:line="360" w:lineRule="auto"/>
        <w:jc w:val="center"/>
        <w:rPr>
          <w:rFonts w:asciiTheme="minorEastAsia" w:hAnsiTheme="minorEastAsia" w:eastAsiaTheme="minorEastAsia"/>
          <w:b/>
          <w:color w:val="auto"/>
          <w:szCs w:val="21"/>
          <w:highlight w:val="none"/>
        </w:rPr>
      </w:pPr>
    </w:p>
    <w:p>
      <w:pPr>
        <w:pStyle w:val="4"/>
        <w:rPr>
          <w:rFonts w:asciiTheme="minorEastAsia" w:hAnsiTheme="minorEastAsia" w:eastAsiaTheme="minorEastAsia"/>
          <w:color w:val="auto"/>
          <w:sz w:val="30"/>
          <w:szCs w:val="30"/>
          <w:highlight w:val="none"/>
        </w:rPr>
      </w:pPr>
      <w:bookmarkStart w:id="56" w:name="_Toc3605"/>
      <w:bookmarkStart w:id="57" w:name="_Toc28665"/>
      <w:bookmarkStart w:id="58" w:name="_Toc75948152"/>
      <w:bookmarkStart w:id="59" w:name="_Toc11876"/>
      <w:r>
        <w:rPr>
          <w:rFonts w:hint="eastAsia" w:asciiTheme="minorEastAsia" w:hAnsiTheme="minorEastAsia" w:eastAsiaTheme="minorEastAsia"/>
          <w:color w:val="auto"/>
          <w:sz w:val="30"/>
          <w:szCs w:val="30"/>
          <w:highlight w:val="none"/>
        </w:rPr>
        <w:t>六、定标、中标通知与签约</w:t>
      </w:r>
      <w:bookmarkEnd w:id="56"/>
      <w:bookmarkEnd w:id="57"/>
      <w:bookmarkEnd w:id="58"/>
      <w:bookmarkEnd w:id="59"/>
    </w:p>
    <w:p>
      <w:pPr>
        <w:spacing w:line="360" w:lineRule="auto"/>
        <w:rPr>
          <w:rFonts w:asciiTheme="minorEastAsia" w:hAnsiTheme="minorEastAsia" w:eastAsiaTheme="minorEastAsia"/>
          <w:b/>
          <w:color w:val="auto"/>
          <w:szCs w:val="21"/>
          <w:highlight w:val="none"/>
        </w:rPr>
      </w:pP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26．定标</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26.1评委会根据评标方法的规定对供应商进行评审排序，推荐1～3名中标候选人，作为评标结果。评标结果由全体评委签字确认。</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26.2采购人应当自收到评标报告之日起5个工作日内，在评标报告确定的中标候选人名单中按顺序确定中标供应商。中标候选人并列的，由采购人自行确定中标供应商。</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26.3</w:t>
      </w:r>
      <w:r>
        <w:rPr>
          <w:rFonts w:hint="eastAsia" w:asciiTheme="minorEastAsia" w:hAnsiTheme="minorEastAsia" w:eastAsiaTheme="minorEastAsia"/>
          <w:color w:val="auto"/>
          <w:spacing w:val="4"/>
          <w:szCs w:val="21"/>
          <w:highlight w:val="none"/>
        </w:rPr>
        <w:t>采购人也可以委托评委会直接确定中标供应商。</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26.4中标供应商确定之后，中标结果将在省级以上财政部门指定的媒体上公告。如果中标人为小微企业</w:t>
      </w:r>
      <w:r>
        <w:rPr>
          <w:rFonts w:hint="eastAsia" w:asciiTheme="minorEastAsia" w:hAnsiTheme="minorEastAsia" w:eastAsiaTheme="minorEastAsia"/>
          <w:color w:val="auto"/>
          <w:szCs w:val="21"/>
          <w:highlight w:val="none"/>
          <w:lang w:val="en-US" w:eastAsia="zh-CN"/>
        </w:rPr>
        <w:t>或残疾人福利性单位</w:t>
      </w:r>
      <w:r>
        <w:rPr>
          <w:rFonts w:hint="eastAsia" w:asciiTheme="minorEastAsia" w:hAnsiTheme="minorEastAsia" w:eastAsiaTheme="minorEastAsia"/>
          <w:color w:val="auto"/>
          <w:szCs w:val="21"/>
          <w:highlight w:val="none"/>
        </w:rPr>
        <w:t>的，将同时公告其《中小企业声明函》</w:t>
      </w:r>
      <w:r>
        <w:rPr>
          <w:rFonts w:hint="eastAsia" w:asciiTheme="minorEastAsia" w:hAnsiTheme="minorEastAsia" w:eastAsiaTheme="minorEastAsia"/>
          <w:color w:val="auto"/>
          <w:szCs w:val="21"/>
          <w:highlight w:val="none"/>
          <w:lang w:val="en-US" w:eastAsia="zh-CN"/>
        </w:rPr>
        <w:t>或《残疾人福利性单位声明函》</w:t>
      </w:r>
      <w:r>
        <w:rPr>
          <w:rFonts w:hint="eastAsia" w:asciiTheme="minorEastAsia" w:hAnsiTheme="minorEastAsia" w:eastAsiaTheme="minorEastAsia"/>
          <w:color w:val="auto"/>
          <w:szCs w:val="21"/>
          <w:highlight w:val="none"/>
        </w:rPr>
        <w:t>。</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26.5供应商对中标公告有异议的，按照《中华人民共和国政府采购法》第五十二条之规定执行。提出质疑的供应商应当有明确的请求和必要的证明材料，应保证提出的质疑内容及相应证明材料的真实性及来源的合法性，并承担相应的法律责任。</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26.6中标供应商拒绝与采购人或采购人指定单位签订合同的，采购人可以按照评审报告推荐的中标候选人名单排序，确定下一候选人为中标供应商，也可以重新开展政府采购活动。</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26.7关于本次评标的特别规定（见“供应商须知前附表”）。</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27．中标与落标通知</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27.1中标供应商确定之后，西北（陕西）国际招标有限公司将发出《中标通知书》。 </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27.2中标通知书对采购人和中标供应商具有同等法律效力。中标通知书发出之后，采购人改变中标结果，或者中标供应商放弃中标，应当承担相应的法律责任。</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28. 中标合同的签订</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28.1采购人或采购人指定单位应当自中标通知书发出之日起三十日内，按照招标文件和中标供应商投标文件（包括评标中形成的澄清文件）的规定，与中标供应商签订书面合同。所签订的合同不得对招标文件确定的事项和中标供应商投标文件作实质性修改。</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28.2采购人或采购人指定单位自政府采购合同签订之日起2个工作日内，将政府采购合同在省级以上人民政府财政部门指定的媒体上公告，但政府采购合同中涉及国家秘密、商业秘密的内容除外。</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29．中标合同的履约验收</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29.1</w:t>
      </w:r>
      <w:r>
        <w:rPr>
          <w:rFonts w:hint="eastAsia" w:asciiTheme="minorEastAsia" w:hAnsiTheme="minorEastAsia" w:eastAsiaTheme="minorEastAsia"/>
          <w:color w:val="auto"/>
          <w:kern w:val="0"/>
          <w:szCs w:val="21"/>
          <w:highlight w:val="none"/>
        </w:rPr>
        <w:t>政府采购合同的履行、违约责任和解决争议的方法等适用《中华人民共和国合同法》。</w:t>
      </w:r>
      <w:r>
        <w:rPr>
          <w:rFonts w:hint="eastAsia" w:asciiTheme="minorEastAsia" w:hAnsiTheme="minorEastAsia" w:eastAsiaTheme="minorEastAsia"/>
          <w:color w:val="auto"/>
          <w:szCs w:val="21"/>
          <w:highlight w:val="none"/>
        </w:rPr>
        <w:t>采购人按照政府采购合同规定的技术、服务、安全标准组织对供应商履约情况进行验收，并出具验收书。</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30．招标代理服务费</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30.1中标供应商应在收到中标通知书3日内，向西北（陕西）国际招标有限公司一次性支付招标代理服务费。</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30.2招标代理服务费的金额见前附表。</w:t>
      </w:r>
    </w:p>
    <w:p>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31.废标与采购方式的变更</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31.1在招标采购中，出现下列情形之一的，应予废标：</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31.1.1符合专业条件的供应商或者对招标文件作实质响应的供应商不足三家的； </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31.1.2出现影响采购公正的违法、违规行为的； </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31.1.3供应商的报价均超过了采购预算，采购人不能支付的；</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31.1.4因重大变故，采购任务取消的。 </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31.2废标后，除采购任务取消情形外，按照以下方式处理：</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31.2.1招标文件存在不合理条款或者招标程序不符合规定的，采购人、采购代理机构改正后依法重新招标；</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31.2.2招标文件没有不合理条款、招标程序符合规定，需要重新招标的，依法重新招标；需要采用其他采购方式采购的，采购人应当依法报财政部门批准。</w:t>
      </w:r>
    </w:p>
    <w:p>
      <w:pPr>
        <w:numPr>
          <w:ilvl w:val="0"/>
          <w:numId w:val="4"/>
        </w:num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投标答疑会</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32.1供应商须知前附表规定召开投标答疑会的，采购人按供应商须知前附表规定的时间和地点召开投标答疑会，答复供应商提出的问题。</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32.2 投标答疑会后，采购人在供应商须知前附表规定的时间内，将对供应商所提问题的答复通知所有购买招标文件的供应商。</w:t>
      </w:r>
    </w:p>
    <w:p>
      <w:pPr>
        <w:numPr>
          <w:ilvl w:val="0"/>
          <w:numId w:val="4"/>
        </w:num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其他</w:t>
      </w:r>
    </w:p>
    <w:p>
      <w:pPr>
        <w:spacing w:line="360" w:lineRule="auto"/>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详见供应商须知前附表。</w:t>
      </w:r>
    </w:p>
    <w:p>
      <w:pPr>
        <w:pStyle w:val="3"/>
        <w:rPr>
          <w:bCs/>
          <w:color w:val="auto"/>
          <w:sz w:val="32"/>
          <w:szCs w:val="32"/>
          <w:highlight w:val="none"/>
        </w:rPr>
      </w:pPr>
      <w:r>
        <w:rPr>
          <w:rFonts w:hint="eastAsia" w:asciiTheme="minorEastAsia" w:hAnsiTheme="minorEastAsia" w:eastAsiaTheme="minorEastAsia"/>
          <w:b w:val="0"/>
          <w:bCs/>
          <w:color w:val="auto"/>
          <w:sz w:val="21"/>
          <w:szCs w:val="21"/>
          <w:highlight w:val="none"/>
        </w:rPr>
        <w:br w:type="page"/>
      </w:r>
      <w:bookmarkStart w:id="60" w:name="_Toc31987"/>
      <w:bookmarkStart w:id="61" w:name="_Toc42518125"/>
      <w:bookmarkStart w:id="62" w:name="_Toc14376"/>
      <w:r>
        <w:rPr>
          <w:rFonts w:hint="eastAsia"/>
          <w:bCs/>
          <w:color w:val="auto"/>
          <w:sz w:val="32"/>
          <w:szCs w:val="32"/>
          <w:highlight w:val="none"/>
        </w:rPr>
        <w:t>第三章  合同条款</w:t>
      </w:r>
      <w:bookmarkEnd w:id="60"/>
    </w:p>
    <w:p>
      <w:pPr>
        <w:rPr>
          <w:bCs/>
          <w:color w:val="auto"/>
          <w:sz w:val="32"/>
          <w:szCs w:val="32"/>
          <w:highlight w:val="none"/>
        </w:rPr>
      </w:pPr>
      <w:r>
        <w:rPr>
          <w:rFonts w:hint="eastAsia"/>
          <w:b/>
          <w:bCs/>
          <w:color w:val="auto"/>
          <w:sz w:val="32"/>
          <w:szCs w:val="32"/>
          <w:highlight w:val="none"/>
        </w:rPr>
        <w:br w:type="page"/>
      </w:r>
    </w:p>
    <w:p>
      <w:pPr>
        <w:rPr>
          <w:color w:val="auto"/>
          <w:highlight w:val="none"/>
        </w:rPr>
      </w:pPr>
    </w:p>
    <w:p>
      <w:pPr>
        <w:pStyle w:val="3"/>
        <w:rPr>
          <w:color w:val="auto"/>
          <w:sz w:val="28"/>
          <w:szCs w:val="28"/>
          <w:highlight w:val="none"/>
        </w:rPr>
      </w:pPr>
      <w:bookmarkStart w:id="63" w:name="_Toc6564"/>
      <w:r>
        <w:rPr>
          <w:rFonts w:hint="eastAsia"/>
          <w:bCs/>
          <w:color w:val="auto"/>
          <w:sz w:val="28"/>
          <w:szCs w:val="28"/>
          <w:highlight w:val="none"/>
        </w:rPr>
        <w:t>第一部分 合同通用条款</w:t>
      </w:r>
      <w:bookmarkEnd w:id="61"/>
      <w:bookmarkEnd w:id="62"/>
      <w:bookmarkEnd w:id="63"/>
    </w:p>
    <w:p>
      <w:pPr>
        <w:spacing w:line="360" w:lineRule="auto"/>
        <w:outlineLvl w:val="1"/>
        <w:rPr>
          <w:rFonts w:ascii="宋体" w:hAnsi="宋体"/>
          <w:b/>
          <w:color w:val="auto"/>
          <w:szCs w:val="21"/>
          <w:highlight w:val="none"/>
        </w:rPr>
      </w:pPr>
      <w:bookmarkStart w:id="64" w:name="_Toc9242"/>
      <w:bookmarkStart w:id="65" w:name="_Toc5537"/>
      <w:bookmarkStart w:id="66" w:name="_Toc8836"/>
      <w:r>
        <w:rPr>
          <w:rFonts w:hint="eastAsia" w:ascii="宋体" w:hAnsi="宋体"/>
          <w:b/>
          <w:color w:val="auto"/>
          <w:szCs w:val="21"/>
          <w:highlight w:val="none"/>
        </w:rPr>
        <w:t>1.定义</w:t>
      </w:r>
      <w:bookmarkEnd w:id="64"/>
      <w:bookmarkEnd w:id="65"/>
      <w:bookmarkEnd w:id="66"/>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本合同下列术语应解释为:</w:t>
      </w:r>
    </w:p>
    <w:p>
      <w:pPr>
        <w:spacing w:line="360" w:lineRule="auto"/>
        <w:ind w:left="1018" w:leftChars="285" w:hanging="420" w:hangingChars="200"/>
        <w:rPr>
          <w:rFonts w:ascii="宋体" w:hAnsi="宋体"/>
          <w:color w:val="auto"/>
          <w:szCs w:val="21"/>
          <w:highlight w:val="none"/>
        </w:rPr>
      </w:pPr>
      <w:r>
        <w:rPr>
          <w:rFonts w:hint="eastAsia" w:ascii="宋体" w:hAnsi="宋体"/>
          <w:color w:val="auto"/>
          <w:szCs w:val="21"/>
          <w:highlight w:val="none"/>
        </w:rPr>
        <w:t>1）“合同”系指买卖双方签署的、合同格式中载明的买卖双方所达成的协议,包括所有的附件、附录和上述文件所提到的构成合同的所有文件。</w:t>
      </w:r>
    </w:p>
    <w:p>
      <w:pPr>
        <w:spacing w:line="360" w:lineRule="auto"/>
        <w:ind w:left="1018" w:leftChars="285" w:hanging="420" w:hangingChars="200"/>
        <w:rPr>
          <w:rFonts w:ascii="宋体" w:hAnsi="宋体"/>
          <w:color w:val="auto"/>
          <w:szCs w:val="21"/>
          <w:highlight w:val="none"/>
        </w:rPr>
      </w:pPr>
      <w:r>
        <w:rPr>
          <w:rFonts w:hint="eastAsia" w:ascii="宋体" w:hAnsi="宋体"/>
          <w:color w:val="auto"/>
          <w:szCs w:val="21"/>
          <w:highlight w:val="none"/>
        </w:rPr>
        <w:t>2）“合同价”系指根据本合同规定，乙方在正确地完全履行合同义务后甲方应支付给乙方的价格。</w:t>
      </w:r>
    </w:p>
    <w:p>
      <w:pPr>
        <w:spacing w:line="360" w:lineRule="auto"/>
        <w:ind w:left="1018" w:leftChars="285" w:hanging="420" w:hangingChars="200"/>
        <w:rPr>
          <w:rFonts w:ascii="宋体" w:hAnsi="宋体"/>
          <w:color w:val="auto"/>
          <w:szCs w:val="21"/>
          <w:highlight w:val="none"/>
        </w:rPr>
      </w:pPr>
      <w:r>
        <w:rPr>
          <w:rFonts w:hint="eastAsia" w:ascii="宋体" w:hAnsi="宋体"/>
          <w:color w:val="auto"/>
          <w:szCs w:val="21"/>
          <w:highlight w:val="none"/>
        </w:rPr>
        <w:t>3）“货物”系指乙方根据合同规定，须向甲方提供的一切材料、设备、机械、仪表、备件、工具和其它材料。</w:t>
      </w:r>
    </w:p>
    <w:p>
      <w:pPr>
        <w:spacing w:line="360" w:lineRule="auto"/>
        <w:ind w:left="1018" w:leftChars="285" w:hanging="420" w:hangingChars="200"/>
        <w:rPr>
          <w:rFonts w:ascii="宋体" w:hAnsi="宋体"/>
          <w:color w:val="auto"/>
          <w:szCs w:val="21"/>
          <w:highlight w:val="none"/>
        </w:rPr>
      </w:pPr>
      <w:r>
        <w:rPr>
          <w:rFonts w:hint="eastAsia" w:ascii="宋体" w:hAnsi="宋体"/>
          <w:color w:val="auto"/>
          <w:szCs w:val="21"/>
          <w:highlight w:val="none"/>
        </w:rPr>
        <w:t>4）“服务”系指根据合同规定，乙方承担与供货有关的服务。如运输、保险以及其它的伴随服务；例如安装、调试、提供技术援助、培训和合同中规定的乙方应承担的其它义务。</w:t>
      </w:r>
    </w:p>
    <w:p>
      <w:pPr>
        <w:spacing w:line="360" w:lineRule="auto"/>
        <w:ind w:firstLine="600"/>
        <w:rPr>
          <w:rFonts w:ascii="宋体" w:hAnsi="宋体"/>
          <w:color w:val="auto"/>
          <w:szCs w:val="21"/>
          <w:highlight w:val="none"/>
        </w:rPr>
      </w:pPr>
      <w:r>
        <w:rPr>
          <w:rFonts w:hint="eastAsia" w:ascii="宋体" w:hAnsi="宋体"/>
          <w:color w:val="auto"/>
          <w:szCs w:val="21"/>
          <w:highlight w:val="none"/>
        </w:rPr>
        <w:t>5）“合同条款”系指本合同条款。</w:t>
      </w:r>
    </w:p>
    <w:p>
      <w:pPr>
        <w:spacing w:line="360" w:lineRule="auto"/>
        <w:ind w:firstLine="600"/>
        <w:rPr>
          <w:rFonts w:ascii="宋体" w:hAnsi="宋体"/>
          <w:color w:val="auto"/>
          <w:szCs w:val="21"/>
          <w:highlight w:val="none"/>
        </w:rPr>
      </w:pPr>
      <w:r>
        <w:rPr>
          <w:rFonts w:hint="eastAsia" w:ascii="宋体" w:hAnsi="宋体"/>
          <w:color w:val="auto"/>
          <w:szCs w:val="21"/>
          <w:highlight w:val="none"/>
        </w:rPr>
        <w:t>6）“甲方”系指在合同条款资料表中指明的购买货物和服务的单位。</w:t>
      </w:r>
    </w:p>
    <w:p>
      <w:pPr>
        <w:spacing w:line="360" w:lineRule="auto"/>
        <w:ind w:firstLine="600"/>
        <w:rPr>
          <w:rFonts w:ascii="宋体" w:hAnsi="宋体"/>
          <w:color w:val="auto"/>
          <w:szCs w:val="21"/>
          <w:highlight w:val="none"/>
        </w:rPr>
      </w:pPr>
      <w:r>
        <w:rPr>
          <w:rFonts w:hint="eastAsia" w:ascii="宋体" w:hAnsi="宋体"/>
          <w:color w:val="auto"/>
          <w:szCs w:val="21"/>
          <w:highlight w:val="none"/>
        </w:rPr>
        <w:t>7）“乙方”系指签署本合同，提供本合同项下货物和服务的单位。</w:t>
      </w:r>
    </w:p>
    <w:p>
      <w:pPr>
        <w:spacing w:line="360" w:lineRule="auto"/>
        <w:ind w:left="808" w:leftChars="285" w:hanging="210" w:hangingChars="100"/>
        <w:rPr>
          <w:rFonts w:ascii="宋体" w:hAnsi="宋体"/>
          <w:color w:val="auto"/>
          <w:szCs w:val="21"/>
          <w:highlight w:val="none"/>
        </w:rPr>
      </w:pPr>
      <w:r>
        <w:rPr>
          <w:rFonts w:hint="eastAsia" w:ascii="宋体" w:hAnsi="宋体"/>
          <w:color w:val="auto"/>
          <w:szCs w:val="21"/>
          <w:highlight w:val="none"/>
        </w:rPr>
        <w:t>8）“项目现场”系指本合同（包括附件）指明的最终交货及安装、培训、使用地点。</w:t>
      </w:r>
    </w:p>
    <w:p>
      <w:pPr>
        <w:spacing w:line="360" w:lineRule="auto"/>
        <w:ind w:left="808" w:leftChars="285" w:hanging="210" w:hangingChars="100"/>
        <w:rPr>
          <w:rFonts w:ascii="宋体" w:hAnsi="宋体"/>
          <w:color w:val="auto"/>
          <w:szCs w:val="21"/>
          <w:highlight w:val="none"/>
        </w:rPr>
      </w:pPr>
      <w:r>
        <w:rPr>
          <w:rFonts w:hint="eastAsia" w:ascii="宋体" w:hAnsi="宋体"/>
          <w:color w:val="auto"/>
          <w:szCs w:val="21"/>
          <w:highlight w:val="none"/>
        </w:rPr>
        <w:t>9）“天”指日历天数。</w:t>
      </w:r>
    </w:p>
    <w:p>
      <w:pPr>
        <w:spacing w:line="360" w:lineRule="auto"/>
        <w:outlineLvl w:val="1"/>
        <w:rPr>
          <w:rFonts w:ascii="宋体" w:hAnsi="宋体"/>
          <w:b/>
          <w:color w:val="auto"/>
          <w:szCs w:val="21"/>
          <w:highlight w:val="none"/>
        </w:rPr>
      </w:pPr>
      <w:bookmarkStart w:id="67" w:name="_Toc16810"/>
      <w:bookmarkStart w:id="68" w:name="_Toc611"/>
      <w:bookmarkStart w:id="69" w:name="_Toc17870"/>
      <w:r>
        <w:rPr>
          <w:rFonts w:hint="eastAsia" w:ascii="宋体" w:hAnsi="宋体"/>
          <w:b/>
          <w:color w:val="auto"/>
          <w:szCs w:val="21"/>
          <w:highlight w:val="none"/>
        </w:rPr>
        <w:t>2.技术规格</w:t>
      </w:r>
      <w:bookmarkEnd w:id="67"/>
      <w:bookmarkEnd w:id="68"/>
      <w:bookmarkEnd w:id="69"/>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2.1乙方交付的货物的技术规格及型号应与本合同所指明的技术规格及型号（包括合同附件）相一致。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 除技术规格另有规定外,计量单位应该使用公制。</w:t>
      </w:r>
    </w:p>
    <w:p>
      <w:pPr>
        <w:spacing w:line="360" w:lineRule="auto"/>
        <w:outlineLvl w:val="1"/>
        <w:rPr>
          <w:rFonts w:ascii="宋体" w:hAnsi="宋体"/>
          <w:b/>
          <w:color w:val="auto"/>
          <w:szCs w:val="21"/>
          <w:highlight w:val="none"/>
        </w:rPr>
      </w:pPr>
      <w:bookmarkStart w:id="70" w:name="_Toc5598"/>
      <w:bookmarkStart w:id="71" w:name="_Toc23295"/>
      <w:bookmarkStart w:id="72" w:name="_Toc22257"/>
      <w:r>
        <w:rPr>
          <w:rFonts w:hint="eastAsia" w:ascii="宋体" w:hAnsi="宋体"/>
          <w:b/>
          <w:color w:val="auto"/>
          <w:szCs w:val="21"/>
          <w:highlight w:val="none"/>
        </w:rPr>
        <w:t>3.专利权及知识产权</w:t>
      </w:r>
      <w:bookmarkEnd w:id="70"/>
      <w:bookmarkEnd w:id="71"/>
      <w:bookmarkEnd w:id="72"/>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乙方应保证甲方在使用该货物或其任何一部分时免受第三方提出侵犯其专利权、商标权、工业设计权等权利的起诉。其他要求见合同专用条款。</w:t>
      </w:r>
    </w:p>
    <w:p>
      <w:pPr>
        <w:spacing w:line="360" w:lineRule="auto"/>
        <w:outlineLvl w:val="1"/>
        <w:rPr>
          <w:rFonts w:ascii="宋体" w:hAnsi="宋体"/>
          <w:b/>
          <w:color w:val="auto"/>
          <w:szCs w:val="21"/>
          <w:highlight w:val="none"/>
        </w:rPr>
      </w:pPr>
      <w:bookmarkStart w:id="73" w:name="_Toc21080"/>
      <w:bookmarkStart w:id="74" w:name="_Toc22323"/>
      <w:bookmarkStart w:id="75" w:name="_Toc32357"/>
      <w:r>
        <w:rPr>
          <w:rFonts w:hint="eastAsia" w:ascii="宋体" w:hAnsi="宋体"/>
          <w:b/>
          <w:color w:val="auto"/>
          <w:szCs w:val="21"/>
          <w:highlight w:val="none"/>
        </w:rPr>
        <w:t>4.交货地点和交货期</w:t>
      </w:r>
      <w:bookmarkEnd w:id="73"/>
      <w:bookmarkEnd w:id="74"/>
      <w:bookmarkEnd w:id="75"/>
    </w:p>
    <w:p>
      <w:pPr>
        <w:spacing w:line="360" w:lineRule="auto"/>
        <w:rPr>
          <w:rFonts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见合同专用条款。</w:t>
      </w:r>
    </w:p>
    <w:p>
      <w:pPr>
        <w:spacing w:line="360" w:lineRule="auto"/>
        <w:outlineLvl w:val="1"/>
        <w:rPr>
          <w:rFonts w:ascii="宋体" w:hAnsi="宋体"/>
          <w:b/>
          <w:color w:val="auto"/>
          <w:szCs w:val="21"/>
          <w:highlight w:val="none"/>
        </w:rPr>
      </w:pPr>
      <w:bookmarkStart w:id="76" w:name="_Toc29279"/>
      <w:bookmarkStart w:id="77" w:name="_Toc12019"/>
      <w:bookmarkStart w:id="78" w:name="_Toc3417"/>
      <w:r>
        <w:rPr>
          <w:rFonts w:hint="eastAsia" w:ascii="宋体" w:hAnsi="宋体"/>
          <w:b/>
          <w:color w:val="auto"/>
          <w:szCs w:val="21"/>
          <w:highlight w:val="none"/>
        </w:rPr>
        <w:t>5.包装要求和装运条件</w:t>
      </w:r>
      <w:bookmarkEnd w:id="76"/>
      <w:bookmarkEnd w:id="77"/>
      <w:bookmarkEnd w:id="78"/>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5.1除合同另有规定外，乙方提供的全部货物，均应按标准保护措施进行包装。这类包装应适应于远距离运输、防潮、防震、防锈和防野蛮装卸，以确保货物安全无损运抵项目现场。其他要求见合同专用条款。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5.2每一个包装箱内应附一份详细装箱单和质量合格证。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5.3乙方负责安排货物到达交货地点的一切运输，并承担运输费用。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5.4乙方装运的货物不应超过合同规定的数量或重量。否则，乙方应对因超数量或重量而产生的一切后果负责。</w:t>
      </w:r>
    </w:p>
    <w:p>
      <w:pPr>
        <w:spacing w:line="360" w:lineRule="auto"/>
        <w:outlineLvl w:val="1"/>
        <w:rPr>
          <w:rFonts w:ascii="宋体" w:hAnsi="宋体"/>
          <w:b/>
          <w:color w:val="auto"/>
          <w:szCs w:val="21"/>
          <w:highlight w:val="none"/>
        </w:rPr>
      </w:pPr>
      <w:bookmarkStart w:id="79" w:name="_Toc4178"/>
      <w:bookmarkStart w:id="80" w:name="_Toc9049"/>
      <w:bookmarkStart w:id="81" w:name="_Toc21049"/>
      <w:r>
        <w:rPr>
          <w:rFonts w:hint="eastAsia" w:ascii="宋体" w:hAnsi="宋体"/>
          <w:b/>
          <w:color w:val="auto"/>
          <w:szCs w:val="21"/>
          <w:highlight w:val="none"/>
        </w:rPr>
        <w:t>6.保险</w:t>
      </w:r>
      <w:bookmarkEnd w:id="79"/>
      <w:bookmarkEnd w:id="80"/>
      <w:bookmarkEnd w:id="81"/>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6.1保险范围应包括乙方装运的全部货物；由乙方办理货物在运抵目的港/项目现场途中的保险,保险应以人民币按照发票金额的110%办理“一切险”。</w:t>
      </w:r>
    </w:p>
    <w:p>
      <w:pPr>
        <w:spacing w:line="360" w:lineRule="auto"/>
        <w:outlineLvl w:val="1"/>
        <w:rPr>
          <w:rFonts w:eastAsia="Times New Roman"/>
          <w:color w:val="auto"/>
          <w:highlight w:val="none"/>
        </w:rPr>
      </w:pPr>
      <w:bookmarkStart w:id="82" w:name="_Toc26859"/>
      <w:bookmarkStart w:id="83" w:name="_Toc30875"/>
      <w:bookmarkStart w:id="84" w:name="_Toc31235"/>
      <w:r>
        <w:rPr>
          <w:rFonts w:hint="eastAsia" w:ascii="宋体" w:hAnsi="宋体"/>
          <w:b/>
          <w:color w:val="auto"/>
          <w:szCs w:val="21"/>
          <w:highlight w:val="none"/>
        </w:rPr>
        <w:t>7.</w:t>
      </w:r>
      <w:bookmarkStart w:id="85" w:name="_Toc18009"/>
      <w:bookmarkStart w:id="86" w:name="_Toc26461044"/>
      <w:r>
        <w:rPr>
          <w:rFonts w:hint="eastAsia" w:ascii="宋体" w:hAnsi="宋体"/>
          <w:b/>
          <w:color w:val="auto"/>
          <w:szCs w:val="21"/>
          <w:highlight w:val="none"/>
        </w:rPr>
        <w:t>履约保证金</w:t>
      </w:r>
      <w:bookmarkEnd w:id="82"/>
      <w:bookmarkEnd w:id="83"/>
      <w:bookmarkEnd w:id="84"/>
      <w:bookmarkEnd w:id="85"/>
      <w:bookmarkEnd w:id="86"/>
    </w:p>
    <w:p>
      <w:pPr>
        <w:spacing w:line="360" w:lineRule="auto"/>
        <w:ind w:firstLine="420" w:firstLineChars="200"/>
        <w:outlineLvl w:val="1"/>
        <w:rPr>
          <w:rFonts w:ascii="宋体" w:hAnsi="宋体"/>
          <w:b/>
          <w:color w:val="auto"/>
          <w:szCs w:val="21"/>
          <w:highlight w:val="none"/>
        </w:rPr>
      </w:pPr>
      <w:bookmarkStart w:id="87" w:name="_Toc31874"/>
      <w:bookmarkStart w:id="88" w:name="_Toc11166"/>
      <w:bookmarkStart w:id="89" w:name="_Toc2005"/>
      <w:r>
        <w:rPr>
          <w:rFonts w:ascii="宋体" w:hAnsi="宋体"/>
          <w:color w:val="auto"/>
          <w:highlight w:val="none"/>
        </w:rPr>
        <w:t>除合同专用条款另有约定外，履约保证金自合同生效之日起生效，在</w:t>
      </w:r>
      <w:r>
        <w:rPr>
          <w:rFonts w:hint="eastAsia" w:ascii="宋体" w:hAnsi="宋体"/>
          <w:color w:val="auto"/>
          <w:highlight w:val="none"/>
        </w:rPr>
        <w:t>合同标的</w:t>
      </w:r>
      <w:r>
        <w:rPr>
          <w:rFonts w:ascii="宋体" w:hAnsi="宋体"/>
          <w:color w:val="auto"/>
          <w:highlight w:val="none"/>
        </w:rPr>
        <w:t>验收证书或验收款支付函签署之日起</w:t>
      </w:r>
      <w:r>
        <w:rPr>
          <w:rFonts w:eastAsia="Times New Roman"/>
          <w:color w:val="auto"/>
          <w:highlight w:val="none"/>
        </w:rPr>
        <w:t xml:space="preserve"> 28 </w:t>
      </w:r>
      <w:r>
        <w:rPr>
          <w:rFonts w:ascii="宋体" w:hAnsi="宋体"/>
          <w:color w:val="auto"/>
          <w:highlight w:val="none"/>
        </w:rPr>
        <w:t>日后失效。如果</w:t>
      </w:r>
      <w:r>
        <w:rPr>
          <w:rFonts w:hint="eastAsia" w:ascii="宋体" w:hAnsi="宋体"/>
          <w:color w:val="auto"/>
          <w:highlight w:val="none"/>
        </w:rPr>
        <w:t>乙方</w:t>
      </w:r>
      <w:r>
        <w:rPr>
          <w:rFonts w:ascii="宋体" w:hAnsi="宋体"/>
          <w:color w:val="auto"/>
          <w:highlight w:val="none"/>
        </w:rPr>
        <w:t>不履行合同约定的义务或其履行不符合合同的约定，</w:t>
      </w:r>
      <w:r>
        <w:rPr>
          <w:rFonts w:hint="eastAsia" w:ascii="宋体" w:hAnsi="宋体"/>
          <w:color w:val="auto"/>
          <w:highlight w:val="none"/>
        </w:rPr>
        <w:t>甲方</w:t>
      </w:r>
      <w:r>
        <w:rPr>
          <w:rFonts w:ascii="宋体" w:hAnsi="宋体"/>
          <w:color w:val="auto"/>
          <w:highlight w:val="none"/>
        </w:rPr>
        <w:t>有权扣划相应金额的履约保证金。</w:t>
      </w:r>
      <w:bookmarkEnd w:id="87"/>
      <w:bookmarkEnd w:id="88"/>
      <w:bookmarkEnd w:id="89"/>
    </w:p>
    <w:p>
      <w:pPr>
        <w:spacing w:line="360" w:lineRule="auto"/>
        <w:outlineLvl w:val="1"/>
        <w:rPr>
          <w:rFonts w:ascii="宋体" w:hAnsi="宋体"/>
          <w:b/>
          <w:color w:val="auto"/>
          <w:szCs w:val="21"/>
          <w:highlight w:val="none"/>
        </w:rPr>
      </w:pPr>
      <w:bookmarkStart w:id="90" w:name="_Toc4731"/>
      <w:bookmarkStart w:id="91" w:name="_Toc15202"/>
      <w:bookmarkStart w:id="92" w:name="_Toc28373"/>
      <w:r>
        <w:rPr>
          <w:rFonts w:hint="eastAsia" w:ascii="宋体" w:hAnsi="宋体"/>
          <w:b/>
          <w:color w:val="auto"/>
          <w:szCs w:val="21"/>
          <w:highlight w:val="none"/>
        </w:rPr>
        <w:t>8.付款</w:t>
      </w:r>
      <w:bookmarkEnd w:id="90"/>
      <w:bookmarkEnd w:id="91"/>
      <w:bookmarkEnd w:id="92"/>
    </w:p>
    <w:p>
      <w:pPr>
        <w:spacing w:line="360" w:lineRule="auto"/>
        <w:ind w:firstLine="480"/>
        <w:rPr>
          <w:rFonts w:ascii="宋体" w:hAnsi="宋体"/>
          <w:color w:val="auto"/>
          <w:szCs w:val="21"/>
          <w:highlight w:val="none"/>
        </w:rPr>
      </w:pPr>
      <w:r>
        <w:rPr>
          <w:rFonts w:hint="eastAsia" w:ascii="宋体" w:hAnsi="宋体"/>
          <w:color w:val="auto"/>
          <w:szCs w:val="21"/>
          <w:highlight w:val="none"/>
        </w:rPr>
        <w:t>8.1本合同以人民币付款。</w:t>
      </w:r>
    </w:p>
    <w:p>
      <w:pPr>
        <w:spacing w:line="360" w:lineRule="auto"/>
        <w:ind w:firstLine="480"/>
        <w:rPr>
          <w:rFonts w:ascii="宋体" w:hAnsi="宋体"/>
          <w:color w:val="auto"/>
          <w:szCs w:val="21"/>
          <w:highlight w:val="none"/>
        </w:rPr>
      </w:pPr>
      <w:r>
        <w:rPr>
          <w:rFonts w:hint="eastAsia" w:ascii="宋体" w:hAnsi="宋体"/>
          <w:color w:val="auto"/>
          <w:szCs w:val="21"/>
          <w:highlight w:val="none"/>
        </w:rPr>
        <w:t>8.2乙方应按照双方签订的合同规定交货,货物由甲方验收合格并出具验收书后，连同合同一并送政府采购管理部门办理结算。货物发票交甲方。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8.3付款计划见合同附件。</w:t>
      </w:r>
    </w:p>
    <w:p>
      <w:pPr>
        <w:spacing w:line="360" w:lineRule="auto"/>
        <w:outlineLvl w:val="1"/>
        <w:rPr>
          <w:rFonts w:ascii="宋体" w:hAnsi="宋体"/>
          <w:b/>
          <w:color w:val="auto"/>
          <w:szCs w:val="21"/>
          <w:highlight w:val="none"/>
        </w:rPr>
      </w:pPr>
      <w:bookmarkStart w:id="93" w:name="_Toc21874"/>
      <w:bookmarkStart w:id="94" w:name="_Toc20447"/>
      <w:bookmarkStart w:id="95" w:name="_Toc29950"/>
      <w:r>
        <w:rPr>
          <w:rFonts w:hint="eastAsia" w:ascii="宋体" w:hAnsi="宋体"/>
          <w:b/>
          <w:color w:val="auto"/>
          <w:szCs w:val="21"/>
          <w:highlight w:val="none"/>
        </w:rPr>
        <w:t>9.伴随服务</w:t>
      </w:r>
      <w:bookmarkEnd w:id="93"/>
      <w:bookmarkEnd w:id="94"/>
      <w:bookmarkEnd w:id="9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9.1乙方应随同每套货物提供相应的每一套设备和仪器的中文的技术文件。例如：产品目录、图纸、操作手册、使用说明、维护手册或服务指南等。其他要求见合同专用条款。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9.2对于合同附件中有要求的货物，乙方还应提供下列服务：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1）货物的现场安装、调试和启动监督；</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2）提供货物组装和维修所需的工具，提供货物调试所需的试剂、耗材等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3）在双方商定的一定期限内对所供货物实施运行监督、维修，但前提条件是该服务并不能免除乙方在质量保证期应承担的义务。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4）技术支持服务。要求见合同专用条款。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5）在厂家或在项目现场就货物的安装、启动、运营、维护对甲方人员进行培训。其他要求见合同专用条款。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9.3伴随服务的费用已含在合同价中，不单独进行支付。</w:t>
      </w:r>
    </w:p>
    <w:p>
      <w:pPr>
        <w:spacing w:line="360" w:lineRule="auto"/>
        <w:outlineLvl w:val="1"/>
        <w:rPr>
          <w:rFonts w:ascii="宋体" w:hAnsi="宋体"/>
          <w:b/>
          <w:color w:val="auto"/>
          <w:szCs w:val="21"/>
          <w:highlight w:val="none"/>
        </w:rPr>
      </w:pPr>
      <w:bookmarkStart w:id="96" w:name="_Toc1398"/>
      <w:bookmarkStart w:id="97" w:name="_Toc22679"/>
      <w:bookmarkStart w:id="98" w:name="_Toc29308"/>
      <w:r>
        <w:rPr>
          <w:rFonts w:hint="eastAsia" w:ascii="宋体" w:hAnsi="宋体"/>
          <w:b/>
          <w:color w:val="auto"/>
          <w:szCs w:val="21"/>
          <w:highlight w:val="none"/>
        </w:rPr>
        <w:t>10.质量保证及索赔</w:t>
      </w:r>
      <w:bookmarkEnd w:id="96"/>
      <w:bookmarkEnd w:id="97"/>
      <w:bookmarkEnd w:id="98"/>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10.1乙方应保证所供货物是全新的、未使用过的，并完全符合合同规定的质量、规格、技术指标（包括合同附件）等要求。乙方应保证其货物在正确安装、正常使用和保养条件下，在其使用寿命内应具有满意的性能。在货物最终验收后的质量保证期内，乙方应对由于设计、工艺或材料的缺陷而产生的故障负责。质保期满后如出现此类问题亦应负责。其他要求见合同专用条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10.2在质量保证期内，如果发现货物的质量、规格、技术指标等存在与合同中任何一项不符，甲方应在60日内以书面形式向乙方提出索赔，同时应向政府采购管理部门报告。</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10.3乙方在收到甲方的通知后，应在2小时内响应，免费维修或更换有缺陷的货物或部件，并相应延长保修期限。具体响应时限见专用合同条款。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10.4如果乙方在收到通知后，没有在上述专用合同条款中规定的时限内及时弥补缺陷，甲方可采取必要的补救措施，但其风险和费用将由乙方承担，甲方根据合同规定对乙方行使的其它权力不受影响。甲方亦可从货款和乙方履约保证金中扣回索赔金额。</w:t>
      </w:r>
    </w:p>
    <w:p>
      <w:pPr>
        <w:spacing w:line="360" w:lineRule="auto"/>
        <w:outlineLvl w:val="1"/>
        <w:rPr>
          <w:rFonts w:ascii="宋体" w:hAnsi="宋体"/>
          <w:b/>
          <w:color w:val="auto"/>
          <w:szCs w:val="21"/>
          <w:highlight w:val="none"/>
        </w:rPr>
      </w:pPr>
      <w:bookmarkStart w:id="99" w:name="_Toc4859"/>
      <w:bookmarkStart w:id="100" w:name="_Toc12310"/>
      <w:bookmarkStart w:id="101" w:name="_Toc11755"/>
      <w:r>
        <w:rPr>
          <w:rFonts w:hint="eastAsia" w:ascii="宋体" w:hAnsi="宋体"/>
          <w:b/>
          <w:color w:val="auto"/>
          <w:szCs w:val="21"/>
          <w:highlight w:val="none"/>
        </w:rPr>
        <w:t>11.检验和验收</w:t>
      </w:r>
      <w:bookmarkEnd w:id="99"/>
      <w:bookmarkEnd w:id="100"/>
      <w:bookmarkEnd w:id="101"/>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11.1在交货前，制造商应对货物的质量、规格、数量等进行准确而全面的检验，并出具合格证。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11.2货物到货后，由采购单位根据合同规定的技术、服务、安全标准要求进行验收，并出具验收书。验收书应当包括每一项技术、服务、安全标准的履约情况。</w:t>
      </w:r>
    </w:p>
    <w:p>
      <w:pPr>
        <w:spacing w:line="360" w:lineRule="auto"/>
        <w:outlineLvl w:val="1"/>
        <w:rPr>
          <w:rFonts w:ascii="宋体" w:hAnsi="宋体"/>
          <w:b/>
          <w:color w:val="auto"/>
          <w:szCs w:val="21"/>
          <w:highlight w:val="none"/>
        </w:rPr>
      </w:pPr>
      <w:bookmarkStart w:id="102" w:name="_Toc24706"/>
      <w:bookmarkStart w:id="103" w:name="_Toc7907"/>
      <w:bookmarkStart w:id="104" w:name="_Toc30186"/>
      <w:r>
        <w:rPr>
          <w:rFonts w:hint="eastAsia" w:ascii="宋体" w:hAnsi="宋体"/>
          <w:b/>
          <w:color w:val="auto"/>
          <w:szCs w:val="21"/>
          <w:highlight w:val="none"/>
        </w:rPr>
        <w:t>12.乙方履约延误</w:t>
      </w:r>
      <w:bookmarkEnd w:id="102"/>
      <w:bookmarkEnd w:id="103"/>
      <w:bookmarkEnd w:id="104"/>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12.1如乙方事先未征得甲方同意并得到甲方的谅解而单方面延迟交货，将按违约终止合同。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见合同专用条款或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误期赔偿金以每周合同价0.5%计。</w:t>
      </w:r>
    </w:p>
    <w:p>
      <w:pPr>
        <w:spacing w:line="360" w:lineRule="auto"/>
        <w:outlineLvl w:val="1"/>
        <w:rPr>
          <w:rFonts w:ascii="宋体" w:hAnsi="宋体"/>
          <w:b/>
          <w:color w:val="auto"/>
          <w:szCs w:val="21"/>
          <w:highlight w:val="none"/>
        </w:rPr>
      </w:pPr>
      <w:bookmarkStart w:id="105" w:name="_Toc25889"/>
      <w:bookmarkStart w:id="106" w:name="_Toc7093"/>
      <w:bookmarkStart w:id="107" w:name="_Toc26948"/>
      <w:r>
        <w:rPr>
          <w:rFonts w:hint="eastAsia" w:ascii="宋体" w:hAnsi="宋体"/>
          <w:b/>
          <w:color w:val="auto"/>
          <w:szCs w:val="21"/>
          <w:highlight w:val="none"/>
        </w:rPr>
        <w:t>13.违约终止合同</w:t>
      </w:r>
      <w:bookmarkEnd w:id="105"/>
      <w:bookmarkEnd w:id="106"/>
      <w:bookmarkEnd w:id="107"/>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13.1在乙方违约的情况下，甲方报告政府采购管理部门后，有权终止合同，并依法向乙方进行索赔。</w:t>
      </w:r>
    </w:p>
    <w:p>
      <w:pPr>
        <w:spacing w:line="360" w:lineRule="auto"/>
        <w:outlineLvl w:val="1"/>
        <w:rPr>
          <w:rFonts w:ascii="宋体" w:hAnsi="宋体"/>
          <w:b/>
          <w:color w:val="auto"/>
          <w:szCs w:val="21"/>
          <w:highlight w:val="none"/>
        </w:rPr>
      </w:pPr>
      <w:bookmarkStart w:id="108" w:name="_Toc10992"/>
      <w:bookmarkStart w:id="109" w:name="_Toc1196"/>
      <w:bookmarkStart w:id="110" w:name="_Toc32355"/>
      <w:r>
        <w:rPr>
          <w:rFonts w:hint="eastAsia" w:ascii="宋体" w:hAnsi="宋体"/>
          <w:b/>
          <w:color w:val="auto"/>
          <w:szCs w:val="21"/>
          <w:highlight w:val="none"/>
        </w:rPr>
        <w:t>14.适用法律</w:t>
      </w:r>
      <w:bookmarkEnd w:id="108"/>
      <w:bookmarkEnd w:id="109"/>
      <w:bookmarkEnd w:id="110"/>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14.1本合同应按照中华人民共和国的现行法律进行解释。</w:t>
      </w:r>
    </w:p>
    <w:p>
      <w:pPr>
        <w:spacing w:line="360" w:lineRule="auto"/>
        <w:outlineLvl w:val="1"/>
        <w:rPr>
          <w:rFonts w:ascii="宋体" w:hAnsi="宋体"/>
          <w:b/>
          <w:color w:val="auto"/>
          <w:szCs w:val="21"/>
          <w:highlight w:val="none"/>
        </w:rPr>
      </w:pPr>
      <w:bookmarkStart w:id="111" w:name="_Toc13406"/>
      <w:bookmarkStart w:id="112" w:name="_Toc2141"/>
      <w:bookmarkStart w:id="113" w:name="_Toc2076"/>
      <w:r>
        <w:rPr>
          <w:rFonts w:hint="eastAsia" w:ascii="宋体" w:hAnsi="宋体"/>
          <w:b/>
          <w:color w:val="auto"/>
          <w:szCs w:val="21"/>
          <w:highlight w:val="none"/>
        </w:rPr>
        <w:t>15.合同生效及其它</w:t>
      </w:r>
      <w:bookmarkEnd w:id="111"/>
      <w:bookmarkEnd w:id="112"/>
      <w:bookmarkEnd w:id="113"/>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15.1本合同在甲、乙双方签字、盖章之后生效。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15.2本合同正本一式二份，副本一式四份，均以中文书写。甲方执正本一份、副本二份；乙方执正本一份，副本一份；政府采购管理部门备案副本一份。</w:t>
      </w:r>
    </w:p>
    <w:p>
      <w:pPr>
        <w:spacing w:line="360" w:lineRule="auto"/>
        <w:outlineLvl w:val="1"/>
        <w:rPr>
          <w:rFonts w:ascii="宋体" w:hAnsi="宋体"/>
          <w:b/>
          <w:color w:val="auto"/>
          <w:szCs w:val="21"/>
          <w:highlight w:val="none"/>
        </w:rPr>
      </w:pPr>
      <w:bookmarkStart w:id="114" w:name="_Toc30387"/>
      <w:bookmarkStart w:id="115" w:name="_Toc27119"/>
      <w:bookmarkStart w:id="116" w:name="_Toc23584"/>
      <w:r>
        <w:rPr>
          <w:rFonts w:hint="eastAsia" w:ascii="宋体" w:hAnsi="宋体"/>
          <w:b/>
          <w:color w:val="auto"/>
          <w:szCs w:val="21"/>
          <w:highlight w:val="none"/>
        </w:rPr>
        <w:t>16.合同修改</w:t>
      </w:r>
      <w:bookmarkEnd w:id="114"/>
      <w:bookmarkEnd w:id="115"/>
      <w:bookmarkEnd w:id="116"/>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16.1本合同在执行过程中，如提出修改，须报政府采购管理部门同意后，由甲、乙双方签署书面修改协议，并成为本合同不可分割的一部分。除此之外，本合同的条件不得有任何变化或修改。</w:t>
      </w:r>
    </w:p>
    <w:p>
      <w:pPr>
        <w:spacing w:line="360" w:lineRule="auto"/>
        <w:outlineLvl w:val="1"/>
        <w:rPr>
          <w:rFonts w:ascii="宋体" w:hAnsi="宋体"/>
          <w:b/>
          <w:color w:val="auto"/>
          <w:szCs w:val="21"/>
          <w:highlight w:val="none"/>
        </w:rPr>
      </w:pPr>
      <w:bookmarkStart w:id="117" w:name="_Toc30177"/>
      <w:bookmarkStart w:id="118" w:name="_Toc19106"/>
      <w:bookmarkStart w:id="119" w:name="_Toc29431"/>
      <w:r>
        <w:rPr>
          <w:rFonts w:hint="eastAsia" w:ascii="宋体" w:hAnsi="宋体"/>
          <w:b/>
          <w:color w:val="auto"/>
          <w:szCs w:val="21"/>
          <w:highlight w:val="none"/>
        </w:rPr>
        <w:t>17.</w:t>
      </w:r>
      <w:r>
        <w:rPr>
          <w:rFonts w:hint="eastAsia"/>
          <w:color w:val="auto"/>
          <w:highlight w:val="none"/>
        </w:rPr>
        <w:t xml:space="preserve"> </w:t>
      </w:r>
      <w:r>
        <w:rPr>
          <w:rFonts w:hint="eastAsia" w:ascii="宋体" w:hAnsi="宋体"/>
          <w:b/>
          <w:color w:val="auto"/>
          <w:szCs w:val="21"/>
          <w:highlight w:val="none"/>
        </w:rPr>
        <w:t>争议解决方式</w:t>
      </w:r>
      <w:bookmarkEnd w:id="117"/>
      <w:bookmarkEnd w:id="118"/>
      <w:bookmarkEnd w:id="119"/>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因执行本合同所发生的或与本合同有关的一切争议,双方应通过友好协商解决，协商不成的可依法向甲方所在地人民法院起诉。</w:t>
      </w:r>
    </w:p>
    <w:p>
      <w:pPr>
        <w:spacing w:line="360" w:lineRule="auto"/>
        <w:outlineLvl w:val="1"/>
        <w:rPr>
          <w:rFonts w:ascii="宋体" w:hAnsi="宋体"/>
          <w:b/>
          <w:color w:val="auto"/>
          <w:szCs w:val="21"/>
          <w:highlight w:val="none"/>
        </w:rPr>
      </w:pPr>
      <w:bookmarkStart w:id="120" w:name="_Toc32631"/>
      <w:bookmarkStart w:id="121" w:name="_Toc642"/>
      <w:bookmarkStart w:id="122" w:name="_Toc13955"/>
      <w:r>
        <w:rPr>
          <w:rFonts w:hint="eastAsia" w:ascii="宋体" w:hAnsi="宋体"/>
          <w:b/>
          <w:color w:val="auto"/>
          <w:szCs w:val="21"/>
          <w:highlight w:val="none"/>
        </w:rPr>
        <w:t>18. 合同附件</w:t>
      </w:r>
      <w:bookmarkEnd w:id="120"/>
      <w:bookmarkEnd w:id="121"/>
      <w:bookmarkEnd w:id="122"/>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18.1本合同所有附件是本合同不可分割的部分,与主合同具有同等法律效力</w:t>
      </w:r>
      <w:r>
        <w:rPr>
          <w:rFonts w:hint="eastAsia" w:ascii="宋体" w:hAnsi="宋体" w:cs="宋体"/>
          <w:color w:val="auto"/>
          <w:szCs w:val="21"/>
          <w:highlight w:val="none"/>
        </w:rPr>
        <w:t>。</w:t>
      </w:r>
    </w:p>
    <w:p>
      <w:pPr>
        <w:pStyle w:val="3"/>
        <w:rPr>
          <w:color w:val="auto"/>
          <w:sz w:val="28"/>
          <w:szCs w:val="28"/>
          <w:highlight w:val="none"/>
        </w:rPr>
      </w:pPr>
      <w:r>
        <w:rPr>
          <w:rFonts w:hint="eastAsia"/>
          <w:color w:val="auto"/>
          <w:szCs w:val="21"/>
          <w:highlight w:val="none"/>
        </w:rPr>
        <w:br w:type="page"/>
      </w:r>
      <w:bookmarkStart w:id="123" w:name="_Toc24544"/>
      <w:bookmarkStart w:id="124" w:name="_Toc42518126"/>
      <w:bookmarkStart w:id="125" w:name="_Toc18446"/>
      <w:r>
        <w:rPr>
          <w:rFonts w:hint="eastAsia"/>
          <w:bCs/>
          <w:color w:val="auto"/>
          <w:sz w:val="28"/>
          <w:szCs w:val="28"/>
          <w:highlight w:val="none"/>
        </w:rPr>
        <w:t>第二部分 合同专用条款</w:t>
      </w:r>
      <w:bookmarkEnd w:id="123"/>
      <w:bookmarkEnd w:id="124"/>
      <w:bookmarkEnd w:id="125"/>
    </w:p>
    <w:p>
      <w:pPr>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本表是对《合同通用条款》的具体补充和修改，如有矛盾，应以本表为准。</w:t>
      </w:r>
    </w:p>
    <w:tbl>
      <w:tblPr>
        <w:tblStyle w:val="24"/>
        <w:tblpPr w:leftFromText="180" w:rightFromText="180" w:vertAnchor="text" w:tblpXSpec="left" w:tblpY="1"/>
        <w:tblOverlap w:val="never"/>
        <w:tblW w:w="832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98"/>
        <w:gridCol w:w="68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9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6825" w:type="dxa"/>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1" w:hRule="atLeast"/>
        </w:trPr>
        <w:tc>
          <w:tcPr>
            <w:tcW w:w="149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6825" w:type="dxa"/>
            <w:vAlign w:val="center"/>
          </w:tcPr>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甲方名称：</w:t>
            </w:r>
            <w:r>
              <w:rPr>
                <w:rFonts w:hint="eastAsia" w:ascii="宋体" w:hAnsi="宋体" w:eastAsia="宋体" w:cs="宋体"/>
                <w:color w:val="auto"/>
                <w:kern w:val="0"/>
                <w:szCs w:val="21"/>
                <w:highlight w:val="none"/>
              </w:rPr>
              <w:t>陕西省水工环地质调查中心</w:t>
            </w:r>
          </w:p>
          <w:p>
            <w:pPr>
              <w:widowControl/>
              <w:spacing w:line="360" w:lineRule="auto"/>
              <w:jc w:val="left"/>
              <w:textAlignment w:val="auto"/>
              <w:rPr>
                <w:rFonts w:ascii="宋体" w:hAnsi="宋体" w:cs="宋体"/>
                <w:bCs/>
                <w:color w:val="auto"/>
                <w:kern w:val="0"/>
                <w:szCs w:val="21"/>
                <w:highlight w:val="none"/>
              </w:rPr>
            </w:pPr>
            <w:r>
              <w:rPr>
                <w:rFonts w:hint="eastAsia" w:ascii="宋体" w:hAnsi="宋体" w:cs="宋体"/>
                <w:color w:val="auto"/>
                <w:szCs w:val="21"/>
                <w:highlight w:val="none"/>
              </w:rPr>
              <w:t>地址：</w:t>
            </w:r>
            <w:r>
              <w:rPr>
                <w:rFonts w:hint="eastAsia" w:ascii="宋体" w:hAnsi="宋体" w:eastAsia="宋体" w:cs="宋体"/>
                <w:color w:val="auto"/>
                <w:kern w:val="0"/>
                <w:szCs w:val="21"/>
                <w:highlight w:val="none"/>
              </w:rPr>
              <w:t>陕西省西安市碑林区友谊西路243号</w:t>
            </w:r>
          </w:p>
          <w:p>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乙方：中标供应商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9" w:hRule="atLeast"/>
        </w:trPr>
        <w:tc>
          <w:tcPr>
            <w:tcW w:w="149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6825" w:type="dxa"/>
            <w:vAlign w:val="center"/>
          </w:tcPr>
          <w:p>
            <w:pPr>
              <w:spacing w:line="360" w:lineRule="auto"/>
              <w:rPr>
                <w:rFonts w:ascii="宋体" w:hAnsi="宋体" w:cs="宋体"/>
                <w:color w:val="auto"/>
                <w:szCs w:val="24"/>
                <w:highlight w:val="none"/>
              </w:rPr>
            </w:pPr>
            <w:bookmarkStart w:id="126" w:name="OLE_LINK6"/>
            <w:bookmarkStart w:id="127" w:name="OLE_LINK5"/>
            <w:r>
              <w:rPr>
                <w:rFonts w:hint="eastAsia" w:ascii="宋体" w:hAnsi="宋体" w:cs="宋体"/>
                <w:color w:val="auto"/>
                <w:szCs w:val="24"/>
                <w:highlight w:val="none"/>
              </w:rPr>
              <w:t>交货地点：采购人指定地点</w:t>
            </w:r>
          </w:p>
          <w:p>
            <w:pPr>
              <w:spacing w:line="360" w:lineRule="auto"/>
              <w:rPr>
                <w:rFonts w:ascii="宋体" w:hAnsi="宋体" w:cs="宋体"/>
                <w:color w:val="auto"/>
                <w:szCs w:val="21"/>
                <w:highlight w:val="none"/>
                <w:u w:val="single"/>
              </w:rPr>
            </w:pPr>
            <w:r>
              <w:rPr>
                <w:rFonts w:hint="eastAsia" w:ascii="宋体" w:hAnsi="宋体" w:cs="宋体"/>
                <w:color w:val="auto"/>
                <w:szCs w:val="24"/>
                <w:highlight w:val="none"/>
              </w:rPr>
              <w:t>交货期：</w:t>
            </w:r>
            <w:bookmarkEnd w:id="126"/>
            <w:bookmarkEnd w:id="127"/>
            <w:r>
              <w:rPr>
                <w:rFonts w:hint="eastAsia" w:ascii="宋体" w:hAnsi="宋体" w:cs="宋体"/>
                <w:color w:val="auto"/>
                <w:szCs w:val="24"/>
                <w:highlight w:val="none"/>
              </w:rPr>
              <w:t>合同签订后</w:t>
            </w:r>
            <w:r>
              <w:rPr>
                <w:rFonts w:hint="eastAsia" w:ascii="宋体" w:hAnsi="宋体" w:cs="宋体"/>
                <w:color w:val="auto"/>
                <w:szCs w:val="24"/>
                <w:highlight w:val="none"/>
                <w:u w:val="single"/>
                <w:lang w:val="en-US" w:eastAsia="zh-CN"/>
              </w:rPr>
              <w:t xml:space="preserve"> 20 </w:t>
            </w:r>
            <w:r>
              <w:rPr>
                <w:rFonts w:hint="eastAsia" w:ascii="宋体" w:hAnsi="宋体" w:cs="宋体"/>
                <w:color w:val="auto"/>
                <w:szCs w:val="24"/>
                <w:highlight w:val="none"/>
              </w:rPr>
              <w:t>日历天内，全部安装调试完毕，交付采购人使用。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9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8.3</w:t>
            </w:r>
          </w:p>
        </w:tc>
        <w:tc>
          <w:tcPr>
            <w:tcW w:w="6825"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付款计划：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合同签订后支付合同总价4%的履约保证金，采购人支付合同总价30%的预付款；待</w:t>
            </w:r>
            <w:r>
              <w:rPr>
                <w:rFonts w:hint="eastAsia" w:ascii="宋体" w:hAnsi="宋体" w:cs="宋体"/>
                <w:color w:val="auto"/>
                <w:szCs w:val="21"/>
                <w:highlight w:val="none"/>
                <w:lang w:eastAsia="zh-CN"/>
              </w:rPr>
              <w:t>所有</w:t>
            </w:r>
            <w:r>
              <w:rPr>
                <w:rFonts w:hint="eastAsia" w:ascii="宋体" w:hAnsi="宋体" w:cs="宋体"/>
                <w:color w:val="auto"/>
                <w:szCs w:val="21"/>
                <w:highlight w:val="none"/>
              </w:rPr>
              <w:t>货物</w:t>
            </w:r>
            <w:r>
              <w:rPr>
                <w:rFonts w:hint="eastAsia" w:ascii="宋体" w:hAnsi="宋体" w:cs="宋体"/>
                <w:color w:val="auto"/>
                <w:szCs w:val="21"/>
                <w:highlight w:val="none"/>
                <w:lang w:eastAsia="zh-CN"/>
              </w:rPr>
              <w:t>到达买方指定地点，</w:t>
            </w:r>
            <w:r>
              <w:rPr>
                <w:rFonts w:hint="eastAsia" w:ascii="宋体" w:hAnsi="宋体" w:cs="宋体"/>
                <w:color w:val="auto"/>
                <w:szCs w:val="21"/>
                <w:highlight w:val="none"/>
              </w:rPr>
              <w:t>安装、调试及验收合格后</w:t>
            </w:r>
            <w:r>
              <w:rPr>
                <w:rFonts w:hint="eastAsia" w:ascii="宋体" w:hAnsi="宋体" w:cs="宋体"/>
                <w:color w:val="auto"/>
                <w:szCs w:val="21"/>
                <w:highlight w:val="none"/>
                <w:lang w:val="en-US" w:eastAsia="zh-CN"/>
              </w:rPr>
              <w:t>10个工作日</w:t>
            </w:r>
            <w:r>
              <w:rPr>
                <w:rFonts w:hint="eastAsia" w:ascii="宋体" w:hAnsi="宋体" w:cs="宋体"/>
                <w:color w:val="auto"/>
                <w:szCs w:val="21"/>
                <w:highlight w:val="none"/>
              </w:rPr>
              <w:t>内支付合同总价</w:t>
            </w:r>
            <w:r>
              <w:rPr>
                <w:rFonts w:hint="eastAsia" w:ascii="宋体" w:hAnsi="宋体" w:cs="宋体"/>
                <w:color w:val="auto"/>
                <w:szCs w:val="21"/>
                <w:highlight w:val="none"/>
                <w:lang w:val="en-US" w:eastAsia="zh-CN"/>
              </w:rPr>
              <w:t>66</w:t>
            </w:r>
            <w:r>
              <w:rPr>
                <w:rFonts w:hint="eastAsia" w:ascii="宋体" w:hAnsi="宋体" w:cs="宋体"/>
                <w:color w:val="auto"/>
                <w:szCs w:val="21"/>
                <w:highlight w:val="none"/>
              </w:rPr>
              <w:t>%；履约保证金待本项目质量保修期过后一次性退还。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支付方式：银行转账。</w:t>
            </w:r>
          </w:p>
          <w:p>
            <w:pPr>
              <w:keepNext w:val="0"/>
              <w:keepLines w:val="0"/>
              <w:pageBreakBefore w:val="0"/>
              <w:widowControl w:val="0"/>
              <w:kinsoku/>
              <w:wordWrap/>
              <w:overflowPunct/>
              <w:topLinePunct w:val="0"/>
              <w:autoSpaceDE/>
              <w:autoSpaceDN/>
              <w:bidi w:val="0"/>
              <w:adjustRightInd/>
              <w:snapToGrid/>
              <w:spacing w:line="360" w:lineRule="auto"/>
              <w:ind w:left="315" w:hanging="315" w:hangingChars="15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）结算方式：供应商持验收书，增值税发票，中标通知书、供货合同，与采购人结算。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9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9.2</w:t>
            </w:r>
          </w:p>
        </w:tc>
        <w:tc>
          <w:tcPr>
            <w:tcW w:w="6825"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服务要求：</w:t>
            </w:r>
          </w:p>
          <w:p>
            <w:pPr>
              <w:spacing w:line="360" w:lineRule="auto"/>
              <w:ind w:left="315" w:hanging="315" w:hangingChars="150"/>
              <w:rPr>
                <w:rFonts w:ascii="宋体" w:hAnsi="宋体" w:cs="宋体"/>
                <w:color w:val="auto"/>
                <w:szCs w:val="21"/>
                <w:highlight w:val="none"/>
              </w:rPr>
            </w:pPr>
            <w:r>
              <w:rPr>
                <w:rFonts w:hint="eastAsia" w:ascii="宋体" w:hAnsi="宋体" w:cs="宋体"/>
                <w:color w:val="auto"/>
                <w:szCs w:val="21"/>
                <w:highlight w:val="none"/>
              </w:rPr>
              <w:t>1）质保期内免费对产品进行维护。出现重大质量及服务问题，买方有权要求退货。</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2）能保证系统维护人员2小时内相应。24小时内解决问题。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9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10.1</w:t>
            </w:r>
          </w:p>
        </w:tc>
        <w:tc>
          <w:tcPr>
            <w:tcW w:w="6825" w:type="dxa"/>
            <w:vAlign w:val="center"/>
          </w:tcPr>
          <w:p>
            <w:pPr>
              <w:spacing w:line="360" w:lineRule="auto"/>
              <w:ind w:left="315" w:hanging="315" w:hangingChars="150"/>
              <w:jc w:val="left"/>
              <w:rPr>
                <w:rFonts w:ascii="宋体" w:hAnsi="宋体" w:cs="宋体"/>
                <w:color w:val="auto"/>
                <w:szCs w:val="21"/>
                <w:highlight w:val="none"/>
              </w:rPr>
            </w:pPr>
            <w:r>
              <w:rPr>
                <w:rFonts w:hint="eastAsia" w:ascii="宋体" w:hAnsi="宋体" w:cs="宋体"/>
                <w:color w:val="auto"/>
                <w:szCs w:val="21"/>
                <w:highlight w:val="none"/>
              </w:rPr>
              <w:t>质量保证期：自合同签订之日起1年。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9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10.3</w:t>
            </w:r>
          </w:p>
        </w:tc>
        <w:tc>
          <w:tcPr>
            <w:tcW w:w="6825" w:type="dxa"/>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免费维护与更换缺陷的期限为乙方收到甲方通知后24小时内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149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11.2</w:t>
            </w:r>
          </w:p>
        </w:tc>
        <w:tc>
          <w:tcPr>
            <w:tcW w:w="6825"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验收方式及验收依据：</w:t>
            </w:r>
          </w:p>
          <w:p>
            <w:pPr>
              <w:spacing w:line="360" w:lineRule="auto"/>
              <w:rPr>
                <w:rFonts w:ascii="宋体" w:hAnsi="宋体" w:cs="宋体"/>
                <w:bCs/>
                <w:color w:val="auto"/>
                <w:szCs w:val="21"/>
                <w:highlight w:val="none"/>
              </w:rPr>
            </w:pPr>
            <w:r>
              <w:rPr>
                <w:rFonts w:hint="eastAsia" w:ascii="宋体" w:hAnsi="宋体" w:cs="宋体"/>
                <w:color w:val="auto"/>
                <w:szCs w:val="21"/>
                <w:highlight w:val="none"/>
              </w:rPr>
              <w:t>甲方及乙方共同对硬件及软件进行验收。其中确认硬件的产品名称、规格型号和数量由最终用户验收（初检）；再组织相关专业人员对硬件</w:t>
            </w:r>
            <w:r>
              <w:rPr>
                <w:rFonts w:hint="eastAsia" w:ascii="宋体" w:hAnsi="宋体" w:cs="宋体"/>
                <w:color w:val="auto"/>
                <w:szCs w:val="21"/>
                <w:highlight w:val="none"/>
                <w:lang w:bidi="ar"/>
              </w:rPr>
              <w:t>的性能、质量及软件系统的安装、调试结果</w:t>
            </w:r>
            <w:r>
              <w:rPr>
                <w:rFonts w:hint="eastAsia" w:ascii="宋体" w:hAnsi="宋体" w:cs="宋体"/>
                <w:color w:val="auto"/>
                <w:szCs w:val="21"/>
                <w:highlight w:val="none"/>
              </w:rPr>
              <w:t>进行逐项检查（复检）</w:t>
            </w:r>
            <w:r>
              <w:rPr>
                <w:rFonts w:hint="eastAsia" w:ascii="宋体" w:hAnsi="宋体" w:cs="宋体"/>
                <w:bCs/>
                <w:color w:val="auto"/>
                <w:szCs w:val="21"/>
                <w:highlight w:val="none"/>
              </w:rPr>
              <w:t>。</w:t>
            </w:r>
          </w:p>
          <w:p>
            <w:pPr>
              <w:spacing w:line="360" w:lineRule="auto"/>
              <w:ind w:left="315" w:hanging="315" w:hangingChars="150"/>
              <w:rPr>
                <w:rFonts w:ascii="宋体" w:hAnsi="宋体" w:cs="宋体"/>
                <w:bCs/>
                <w:color w:val="auto"/>
                <w:szCs w:val="21"/>
                <w:highlight w:val="none"/>
              </w:rPr>
            </w:pPr>
            <w:r>
              <w:rPr>
                <w:rFonts w:hint="eastAsia" w:ascii="宋体" w:hAnsi="宋体" w:cs="宋体"/>
                <w:bCs/>
                <w:color w:val="auto"/>
                <w:szCs w:val="21"/>
                <w:highlight w:val="none"/>
              </w:rPr>
              <w:t>1、所验货物的指标在验收时达不到招标文件要求和投标文件承诺的，或在使用中发现甲方不能容忍的缺陷等，将视为验收不合格，乙方应免费更换或退货。</w:t>
            </w:r>
          </w:p>
          <w:p>
            <w:pPr>
              <w:spacing w:line="360" w:lineRule="auto"/>
              <w:ind w:left="315" w:hanging="315" w:hangingChars="150"/>
              <w:rPr>
                <w:rFonts w:ascii="宋体" w:hAnsi="宋体" w:cs="宋体"/>
                <w:bCs/>
                <w:color w:val="auto"/>
                <w:szCs w:val="21"/>
                <w:highlight w:val="none"/>
              </w:rPr>
            </w:pPr>
            <w:r>
              <w:rPr>
                <w:rFonts w:hint="eastAsia" w:ascii="宋体" w:hAnsi="宋体" w:cs="宋体"/>
                <w:bCs/>
                <w:color w:val="auto"/>
                <w:szCs w:val="21"/>
                <w:highlight w:val="none"/>
              </w:rPr>
              <w:t>2、若发现乙方有弄虚作假的故意或随意夸大货物质量，甲方除要求退货外，有权没收乙方的要求卖方赔偿甲方相应的损失。</w:t>
            </w:r>
          </w:p>
          <w:p>
            <w:pPr>
              <w:spacing w:line="360" w:lineRule="auto"/>
              <w:ind w:left="315" w:hanging="315" w:hangingChars="150"/>
              <w:rPr>
                <w:rFonts w:ascii="宋体" w:hAnsi="宋体" w:cs="宋体"/>
                <w:bCs/>
                <w:color w:val="auto"/>
                <w:szCs w:val="21"/>
                <w:highlight w:val="none"/>
              </w:rPr>
            </w:pPr>
            <w:r>
              <w:rPr>
                <w:rFonts w:hint="eastAsia" w:ascii="宋体" w:hAnsi="宋体" w:cs="宋体"/>
                <w:bCs/>
                <w:color w:val="auto"/>
                <w:szCs w:val="21"/>
                <w:highlight w:val="none"/>
              </w:rPr>
              <w:t>3、验收合格后，填写验收单，甲乙双方签字生效。</w:t>
            </w:r>
          </w:p>
          <w:p>
            <w:pPr>
              <w:spacing w:line="360" w:lineRule="auto"/>
              <w:ind w:left="315" w:hanging="315" w:hangingChars="150"/>
              <w:rPr>
                <w:rFonts w:ascii="宋体" w:hAnsi="宋体" w:cs="宋体"/>
                <w:bCs/>
                <w:color w:val="auto"/>
                <w:szCs w:val="21"/>
                <w:highlight w:val="none"/>
              </w:rPr>
            </w:pPr>
            <w:r>
              <w:rPr>
                <w:rFonts w:hint="eastAsia" w:ascii="宋体" w:hAnsi="宋体" w:cs="宋体"/>
                <w:bCs/>
                <w:color w:val="auto"/>
                <w:szCs w:val="21"/>
                <w:highlight w:val="none"/>
              </w:rPr>
              <w:t>4、验收依据：</w:t>
            </w:r>
          </w:p>
          <w:p>
            <w:pPr>
              <w:spacing w:line="360" w:lineRule="auto"/>
              <w:ind w:left="315" w:hanging="315" w:hangingChars="150"/>
              <w:rPr>
                <w:rFonts w:ascii="宋体" w:hAnsi="宋体" w:cs="宋体"/>
                <w:bCs/>
                <w:color w:val="auto"/>
                <w:szCs w:val="21"/>
                <w:highlight w:val="none"/>
              </w:rPr>
            </w:pPr>
            <w:r>
              <w:rPr>
                <w:rFonts w:hint="eastAsia" w:ascii="宋体" w:hAnsi="宋体" w:cs="宋体"/>
                <w:bCs/>
                <w:color w:val="auto"/>
                <w:szCs w:val="21"/>
                <w:highlight w:val="none"/>
              </w:rPr>
              <w:t>1）本合同文本；</w:t>
            </w:r>
          </w:p>
          <w:p>
            <w:pPr>
              <w:spacing w:line="360" w:lineRule="auto"/>
              <w:ind w:left="315" w:hanging="315" w:hangingChars="150"/>
              <w:rPr>
                <w:rFonts w:ascii="宋体" w:hAnsi="宋体" w:cs="宋体"/>
                <w:bCs/>
                <w:color w:val="auto"/>
                <w:szCs w:val="21"/>
                <w:highlight w:val="none"/>
              </w:rPr>
            </w:pPr>
            <w:r>
              <w:rPr>
                <w:rFonts w:hint="eastAsia" w:ascii="宋体" w:hAnsi="宋体" w:cs="宋体"/>
                <w:bCs/>
                <w:color w:val="auto"/>
                <w:szCs w:val="21"/>
                <w:highlight w:val="none"/>
              </w:rPr>
              <w:t>2）招标文件要求和投标文件承诺；</w:t>
            </w:r>
          </w:p>
          <w:p>
            <w:pPr>
              <w:spacing w:line="360" w:lineRule="auto"/>
              <w:ind w:left="315" w:hanging="315" w:hangingChars="150"/>
              <w:rPr>
                <w:rFonts w:ascii="宋体" w:hAnsi="宋体" w:cs="宋体"/>
                <w:color w:val="auto"/>
                <w:szCs w:val="21"/>
                <w:highlight w:val="none"/>
              </w:rPr>
            </w:pPr>
            <w:r>
              <w:rPr>
                <w:rFonts w:hint="eastAsia" w:ascii="宋体" w:hAnsi="宋体" w:cs="宋体"/>
                <w:bCs/>
                <w:color w:val="auto"/>
                <w:szCs w:val="21"/>
                <w:highlight w:val="none"/>
              </w:rPr>
              <w:t>3）国家和制造商制定的相应的标准和规范。</w:t>
            </w:r>
          </w:p>
        </w:tc>
      </w:tr>
    </w:tbl>
    <w:p>
      <w:pPr>
        <w:rPr>
          <w:color w:val="auto"/>
          <w:highlight w:val="none"/>
        </w:rPr>
      </w:pPr>
      <w:r>
        <w:rPr>
          <w:rFonts w:hint="eastAsia" w:asciiTheme="minorEastAsia" w:hAnsiTheme="minorEastAsia" w:eastAsiaTheme="minorEastAsia"/>
          <w:color w:val="auto"/>
          <w:szCs w:val="21"/>
          <w:highlight w:val="none"/>
        </w:rPr>
        <w:br w:type="page"/>
      </w:r>
    </w:p>
    <w:p>
      <w:pPr>
        <w:pStyle w:val="57"/>
        <w:rPr>
          <w:rFonts w:ascii="黑体" w:hAnsi="黑体" w:eastAsia="黑体" w:cs="黑体"/>
          <w:b/>
          <w:bCs/>
          <w:color w:val="auto"/>
          <w:sz w:val="32"/>
          <w:szCs w:val="32"/>
          <w:highlight w:val="none"/>
        </w:rPr>
      </w:pPr>
      <w:bookmarkStart w:id="128" w:name="_Toc37938438"/>
      <w:bookmarkStart w:id="129" w:name="_Toc29943"/>
      <w:bookmarkStart w:id="130" w:name="_Toc47725871"/>
      <w:bookmarkStart w:id="131" w:name="_Toc30428"/>
      <w:bookmarkStart w:id="132" w:name="_Toc8444"/>
      <w:r>
        <w:rPr>
          <w:rFonts w:hint="eastAsia" w:asciiTheme="minorEastAsia" w:hAnsiTheme="minorEastAsia" w:eastAsiaTheme="minorEastAsia"/>
          <w:color w:val="auto"/>
          <w:highlight w:val="none"/>
        </w:rPr>
        <w:t>第四章  招标内容</w:t>
      </w:r>
      <w:bookmarkEnd w:id="128"/>
      <w:bookmarkEnd w:id="129"/>
      <w:bookmarkEnd w:id="130"/>
      <w:bookmarkEnd w:id="131"/>
      <w:bookmarkEnd w:id="132"/>
      <w:bookmarkStart w:id="133" w:name="_Toc47725891"/>
      <w:bookmarkStart w:id="134" w:name="_Toc11451"/>
      <w:bookmarkStart w:id="135" w:name="_Toc37938439"/>
      <w:bookmarkStart w:id="136" w:name="_Toc25123"/>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
          <w:bCs/>
          <w:color w:val="auto"/>
          <w:sz w:val="21"/>
          <w:szCs w:val="21"/>
          <w:highlight w:val="none"/>
        </w:rPr>
      </w:pPr>
      <w:bookmarkStart w:id="137" w:name="_Toc10867"/>
      <w:r>
        <w:rPr>
          <w:rFonts w:hint="eastAsia" w:ascii="宋体" w:hAnsi="宋体" w:eastAsia="宋体" w:cs="宋体"/>
          <w:b/>
          <w:bCs/>
          <w:color w:val="auto"/>
          <w:sz w:val="21"/>
          <w:szCs w:val="21"/>
          <w:highlight w:val="none"/>
        </w:rPr>
        <w:t>一、详细技术要求及配置清单</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1.1仪器工作要求满足：</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（1）工作温度范围：-45℃～+45℃</w:t>
      </w:r>
    </w:p>
    <w:p>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（2）工作湿度范围：0-90%</w:t>
      </w:r>
    </w:p>
    <w:p>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（3）防护等级不小于IP65等。</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（4）工作探测深度：一般覆盖层地质条件下满足</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0米以下实际有效探测深度，可以扩展低频天线达到100米以下实际有效探测深度。</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（5）功能模块：配置的所有天线均要求除了反射采集方式以外，</w:t>
      </w:r>
      <w:r>
        <w:rPr>
          <w:rFonts w:hint="eastAsia" w:ascii="宋体" w:hAnsi="宋体" w:eastAsia="宋体" w:cs="宋体"/>
          <w:color w:val="auto"/>
          <w:sz w:val="21"/>
          <w:szCs w:val="21"/>
          <w:highlight w:val="none"/>
          <w:lang w:val="en-US" w:eastAsia="zh-CN"/>
        </w:rPr>
        <w:t>可提供多种滤波功能，</w:t>
      </w:r>
      <w:r>
        <w:rPr>
          <w:rFonts w:hint="eastAsia" w:ascii="宋体" w:hAnsi="宋体" w:eastAsia="宋体" w:cs="宋体"/>
          <w:color w:val="auto"/>
          <w:sz w:val="21"/>
          <w:szCs w:val="21"/>
          <w:highlight w:val="none"/>
        </w:rPr>
        <w:t>可进行多种测量类型选择，包括反射、共中心点测量、WARR测量、透射法；可实现地层层析反演处理，实现土壤分析和分层处理。</w:t>
      </w:r>
    </w:p>
    <w:p>
      <w:pPr>
        <w:keepNext w:val="0"/>
        <w:keepLines w:val="0"/>
        <w:pageBreakBefore w:val="0"/>
        <w:kinsoku/>
        <w:wordWrap/>
        <w:overflowPunct/>
        <w:topLinePunct w:val="0"/>
        <w:autoSpaceDE/>
        <w:autoSpaceDN/>
        <w:bidi w:val="0"/>
        <w:adjustRightInd/>
        <w:snapToGrid/>
        <w:spacing w:line="400" w:lineRule="exact"/>
        <w:ind w:left="1680" w:hanging="1687" w:hangingChars="8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1.2仪器主机系统：</w:t>
      </w:r>
    </w:p>
    <w:p>
      <w:pPr>
        <w:keepNext w:val="0"/>
        <w:keepLines w:val="0"/>
        <w:pageBreakBefore w:val="0"/>
        <w:tabs>
          <w:tab w:val="left" w:pos="2220"/>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（1）适合野外便携的一体化主机系统，高清晰度显示触摸屏，手触摸屏及按健双重操作；</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（2）兼容数字型1000MHz、数字型500MHz、数字型250MHz、数字型200MHz、数字型100MHz、数字型50MHz、数字型25MHz、数字型12.5MHz数字型天线。</w:t>
      </w:r>
    </w:p>
    <w:p>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（3）时间窗口：0.5～200000ns；</w:t>
      </w:r>
    </w:p>
    <w:p>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（4）现场2D剖面显示或3D深度切片显示；</w:t>
      </w:r>
    </w:p>
    <w:p>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（5）测量方式：连续测量、点测量、测距轮测量</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（6）可外接高精度GPS，坐标数据可输出到Google EarthTM，CAD或GIS数据库；</w:t>
      </w:r>
    </w:p>
    <w:p>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（7）数据采集设置灵活多样：探测深度/叠加次数/时间窗口/网格尺寸/触发模式等可调；</w:t>
      </w:r>
    </w:p>
    <w:p>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（8）USB数据传输；</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1.3外置大功率发射系统：</w:t>
      </w:r>
    </w:p>
    <w:p>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（1）数据质量保证：动态的温度和电压补偿方式；</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（2）发射电压大于</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00V；</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1.4外置高灵敏接收系统：</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（1）动态范围≥</w:t>
      </w:r>
      <w:r>
        <w:rPr>
          <w:rFonts w:hint="eastAsia" w:ascii="宋体" w:hAnsi="宋体" w:eastAsia="宋体" w:cs="宋体"/>
          <w:color w:val="auto"/>
          <w:sz w:val="21"/>
          <w:szCs w:val="21"/>
          <w:highlight w:val="none"/>
          <w:lang w:val="en-US" w:eastAsia="zh-CN"/>
        </w:rPr>
        <w:t>160</w:t>
      </w:r>
      <w:r>
        <w:rPr>
          <w:rFonts w:hint="eastAsia" w:ascii="宋体" w:hAnsi="宋体" w:eastAsia="宋体" w:cs="宋体"/>
          <w:color w:val="auto"/>
          <w:sz w:val="21"/>
          <w:szCs w:val="21"/>
          <w:highlight w:val="none"/>
        </w:rPr>
        <w:t>dB；</w:t>
      </w:r>
    </w:p>
    <w:p>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（2）硬件时间信号采样增量不小于5ps；</w:t>
      </w:r>
    </w:p>
    <w:p>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（3）采样：数字等效时间采样；</w:t>
      </w:r>
    </w:p>
    <w:p>
      <w:pPr>
        <w:keepNext w:val="0"/>
        <w:keepLines w:val="0"/>
        <w:pageBreakBefore w:val="0"/>
        <w:kinsoku/>
        <w:wordWrap/>
        <w:overflowPunct/>
        <w:topLinePunct w:val="0"/>
        <w:autoSpaceDE/>
        <w:autoSpaceDN/>
        <w:bidi w:val="0"/>
        <w:adjustRightInd/>
        <w:snapToGrid/>
        <w:spacing w:line="400" w:lineRule="exact"/>
        <w:ind w:left="1575" w:hanging="1581" w:hangingChars="75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（4）叠加次数：最大可叠加次数不小于60000次；且50MHz天线选取最大叠加次数时（在时窗1200ns时），采样时间不超过3秒；</w:t>
      </w:r>
    </w:p>
    <w:p>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（5）采样点数：10～31000每道；</w:t>
      </w:r>
    </w:p>
    <w:p>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（6）采样间隔不小于5ps；</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1.5雷达天线：</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（1）分离式数字型50MHz、分离式数字型200MHz天线、分离式数字型250MHz，每组天线接收单元、发射单元距离可以任意设置、可以设置水平极化、垂直极化方向。</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※1.6详细配置清单(以下8项必须全部满足或者优于)：</w:t>
      </w:r>
    </w:p>
    <w:tbl>
      <w:tblPr>
        <w:tblStyle w:val="24"/>
        <w:tblW w:w="8342" w:type="dxa"/>
        <w:tblInd w:w="110" w:type="dxa"/>
        <w:tblLayout w:type="fixed"/>
        <w:tblCellMar>
          <w:top w:w="0" w:type="dxa"/>
          <w:left w:w="108" w:type="dxa"/>
          <w:bottom w:w="0" w:type="dxa"/>
          <w:right w:w="108" w:type="dxa"/>
        </w:tblCellMar>
      </w:tblPr>
      <w:tblGrid>
        <w:gridCol w:w="736"/>
        <w:gridCol w:w="6784"/>
        <w:gridCol w:w="822"/>
      </w:tblGrid>
      <w:tr>
        <w:tblPrEx>
          <w:tblCellMar>
            <w:top w:w="0" w:type="dxa"/>
            <w:left w:w="108" w:type="dxa"/>
            <w:bottom w:w="0" w:type="dxa"/>
            <w:right w:w="108" w:type="dxa"/>
          </w:tblCellMar>
        </w:tblPrEx>
        <w:trPr>
          <w:trHeight w:val="218" w:hRule="atLeast"/>
        </w:trPr>
        <w:tc>
          <w:tcPr>
            <w:tcW w:w="736" w:type="dxa"/>
            <w:tcBorders>
              <w:top w:val="single" w:color="auto" w:sz="4" w:space="0"/>
              <w:left w:val="single" w:color="auto" w:sz="4" w:space="0"/>
              <w:bottom w:val="single" w:color="auto" w:sz="4" w:space="0"/>
              <w:right w:val="single" w:color="auto" w:sz="4" w:space="0"/>
            </w:tcBorders>
            <w:shd w:val="clear" w:color="000000" w:fill="auto"/>
            <w:noWra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784" w:type="dxa"/>
            <w:tcBorders>
              <w:top w:val="single" w:color="auto" w:sz="4" w:space="0"/>
              <w:left w:val="single" w:color="auto" w:sz="4" w:space="0"/>
              <w:bottom w:val="single" w:color="auto" w:sz="4" w:space="0"/>
              <w:right w:val="single" w:color="auto" w:sz="4" w:space="0"/>
            </w:tcBorders>
            <w:shd w:val="clear" w:color="000000" w:fill="auto"/>
            <w:noWra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描述</w:t>
            </w:r>
          </w:p>
        </w:tc>
        <w:tc>
          <w:tcPr>
            <w:tcW w:w="822" w:type="dxa"/>
            <w:tcBorders>
              <w:top w:val="single" w:color="auto" w:sz="4" w:space="0"/>
              <w:left w:val="single" w:color="auto" w:sz="4" w:space="0"/>
              <w:bottom w:val="single" w:color="auto" w:sz="4" w:space="0"/>
              <w:right w:val="single" w:color="auto" w:sz="4" w:space="0"/>
            </w:tcBorders>
            <w:shd w:val="clear" w:color="000000" w:fill="auto"/>
            <w:noWra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tblPrEx>
          <w:tblCellMar>
            <w:top w:w="0" w:type="dxa"/>
            <w:left w:w="108" w:type="dxa"/>
            <w:bottom w:w="0" w:type="dxa"/>
            <w:right w:w="108" w:type="dxa"/>
          </w:tblCellMar>
        </w:tblPrEx>
        <w:trPr>
          <w:trHeight w:val="343" w:hRule="atLeast"/>
        </w:trPr>
        <w:tc>
          <w:tcPr>
            <w:tcW w:w="736" w:type="dxa"/>
            <w:tcBorders>
              <w:top w:val="single" w:color="auto" w:sz="4" w:space="0"/>
              <w:left w:val="single" w:color="auto" w:sz="4" w:space="0"/>
              <w:bottom w:val="single" w:color="auto" w:sz="4" w:space="0"/>
              <w:right w:val="nil"/>
            </w:tcBorders>
            <w:shd w:val="clear" w:color="auto" w:fill="auto"/>
            <w:noWra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84" w:type="dxa"/>
            <w:tcBorders>
              <w:top w:val="single" w:color="auto" w:sz="4" w:space="0"/>
              <w:left w:val="single" w:color="auto" w:sz="4" w:space="0"/>
              <w:bottom w:val="single" w:color="auto" w:sz="4" w:space="0"/>
              <w:right w:val="nil"/>
            </w:tcBorders>
            <w:shd w:val="clear" w:color="auto" w:fill="auto"/>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主机系统                                                                                                                                                                                                                                                                                                                                                                                                                                                                                                                                                                                                                                                                                                                                                                                                                                                                  </w:t>
            </w:r>
          </w:p>
        </w:tc>
        <w:tc>
          <w:tcPr>
            <w:tcW w:w="822" w:type="dxa"/>
            <w:tcBorders>
              <w:top w:val="single" w:color="auto" w:sz="4" w:space="0"/>
              <w:left w:val="single" w:color="auto" w:sz="4" w:space="0"/>
              <w:bottom w:val="single" w:color="000000"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tblPrEx>
          <w:tblCellMar>
            <w:top w:w="0" w:type="dxa"/>
            <w:left w:w="108" w:type="dxa"/>
            <w:bottom w:w="0" w:type="dxa"/>
            <w:right w:w="108" w:type="dxa"/>
          </w:tblCellMar>
        </w:tblPrEx>
        <w:trPr>
          <w:trHeight w:val="343" w:hRule="atLeast"/>
        </w:trPr>
        <w:tc>
          <w:tcPr>
            <w:tcW w:w="736"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784" w:type="dxa"/>
            <w:tcBorders>
              <w:top w:val="single" w:color="auto" w:sz="4" w:space="0"/>
              <w:left w:val="single" w:color="auto" w:sz="4" w:space="0"/>
              <w:bottom w:val="single" w:color="auto" w:sz="4" w:space="0"/>
              <w:right w:val="nil"/>
            </w:tcBorders>
            <w:shd w:val="clear" w:color="auto" w:fill="auto"/>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超强接收系统</w:t>
            </w:r>
          </w:p>
        </w:tc>
        <w:tc>
          <w:tcPr>
            <w:tcW w:w="822"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tblPrEx>
          <w:tblCellMar>
            <w:top w:w="0" w:type="dxa"/>
            <w:left w:w="108" w:type="dxa"/>
            <w:bottom w:w="0" w:type="dxa"/>
            <w:right w:w="108" w:type="dxa"/>
          </w:tblCellMar>
        </w:tblPrEx>
        <w:trPr>
          <w:trHeight w:val="343" w:hRule="atLeast"/>
        </w:trPr>
        <w:tc>
          <w:tcPr>
            <w:tcW w:w="736"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784" w:type="dxa"/>
            <w:tcBorders>
              <w:top w:val="nil"/>
              <w:left w:val="nil"/>
              <w:bottom w:val="single" w:color="auto" w:sz="4" w:space="0"/>
              <w:right w:val="nil"/>
            </w:tcBorders>
            <w:shd w:val="clear" w:color="auto" w:fill="auto"/>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大功率发射系统</w:t>
            </w:r>
          </w:p>
        </w:tc>
        <w:tc>
          <w:tcPr>
            <w:tcW w:w="822"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tblPrEx>
          <w:tblCellMar>
            <w:top w:w="0" w:type="dxa"/>
            <w:left w:w="108" w:type="dxa"/>
            <w:bottom w:w="0" w:type="dxa"/>
            <w:right w:w="108" w:type="dxa"/>
          </w:tblCellMar>
        </w:tblPrEx>
        <w:trPr>
          <w:trHeight w:val="359" w:hRule="atLeast"/>
        </w:trPr>
        <w:tc>
          <w:tcPr>
            <w:tcW w:w="736"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784" w:type="dxa"/>
            <w:tcBorders>
              <w:top w:val="nil"/>
              <w:left w:val="single" w:color="auto" w:sz="4" w:space="0"/>
              <w:bottom w:val="single" w:color="auto" w:sz="4" w:space="0"/>
              <w:right w:val="nil"/>
            </w:tcBorders>
            <w:shd w:val="clear" w:color="auto" w:fill="auto"/>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250MHz分离式数字型天线，天线重量小于7Kg</w:t>
            </w:r>
          </w:p>
        </w:tc>
        <w:tc>
          <w:tcPr>
            <w:tcW w:w="822"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1组</w:t>
            </w:r>
          </w:p>
        </w:tc>
      </w:tr>
      <w:tr>
        <w:tblPrEx>
          <w:tblCellMar>
            <w:top w:w="0" w:type="dxa"/>
            <w:left w:w="108" w:type="dxa"/>
            <w:bottom w:w="0" w:type="dxa"/>
            <w:right w:w="108" w:type="dxa"/>
          </w:tblCellMar>
        </w:tblPrEx>
        <w:trPr>
          <w:trHeight w:val="279" w:hRule="atLeast"/>
        </w:trPr>
        <w:tc>
          <w:tcPr>
            <w:tcW w:w="736"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784" w:type="dxa"/>
            <w:tcBorders>
              <w:top w:val="nil"/>
              <w:left w:val="single" w:color="auto" w:sz="4" w:space="0"/>
              <w:bottom w:val="single" w:color="auto" w:sz="4" w:space="0"/>
              <w:right w:val="nil"/>
            </w:tcBorders>
            <w:shd w:val="clear" w:color="auto" w:fill="auto"/>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50MHz分离式数字型天线，天线重量小于4Kg                                                                                                                                                                                                                                                                          </w:t>
            </w:r>
          </w:p>
        </w:tc>
        <w:tc>
          <w:tcPr>
            <w:tcW w:w="822"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1组</w:t>
            </w:r>
          </w:p>
        </w:tc>
      </w:tr>
      <w:tr>
        <w:tblPrEx>
          <w:tblCellMar>
            <w:top w:w="0" w:type="dxa"/>
            <w:left w:w="108" w:type="dxa"/>
            <w:bottom w:w="0" w:type="dxa"/>
            <w:right w:w="108" w:type="dxa"/>
          </w:tblCellMar>
        </w:tblPrEx>
        <w:trPr>
          <w:trHeight w:val="189" w:hRule="atLeast"/>
        </w:trPr>
        <w:tc>
          <w:tcPr>
            <w:tcW w:w="736"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784" w:type="dxa"/>
            <w:tcBorders>
              <w:top w:val="nil"/>
              <w:left w:val="single" w:color="auto" w:sz="4" w:space="0"/>
              <w:bottom w:val="single" w:color="auto" w:sz="4" w:space="0"/>
              <w:right w:val="nil"/>
            </w:tcBorders>
            <w:shd w:val="clear" w:color="auto" w:fill="auto"/>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200MHz分离式数字型天线，天线重量小于2Kg                                                                                                                                                                                                                                                                                                                                                                                                                                                                                                                                                 </w:t>
            </w:r>
          </w:p>
        </w:tc>
        <w:tc>
          <w:tcPr>
            <w:tcW w:w="822"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1组</w:t>
            </w:r>
          </w:p>
        </w:tc>
      </w:tr>
      <w:tr>
        <w:tblPrEx>
          <w:tblCellMar>
            <w:top w:w="0" w:type="dxa"/>
            <w:left w:w="108" w:type="dxa"/>
            <w:bottom w:w="0" w:type="dxa"/>
            <w:right w:w="108" w:type="dxa"/>
          </w:tblCellMar>
        </w:tblPrEx>
        <w:trPr>
          <w:trHeight w:val="269" w:hRule="atLeast"/>
        </w:trPr>
        <w:tc>
          <w:tcPr>
            <w:tcW w:w="736"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784" w:type="dxa"/>
            <w:tcBorders>
              <w:top w:val="single" w:color="auto" w:sz="4" w:space="0"/>
              <w:left w:val="single" w:color="auto" w:sz="4" w:space="0"/>
              <w:bottom w:val="single" w:color="auto" w:sz="4" w:space="0"/>
              <w:right w:val="nil"/>
            </w:tcBorders>
            <w:shd w:val="clear" w:color="auto" w:fill="auto"/>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其他配件（天线辅助配件）、四轮雷达智能探测车（含测距轮）： </w:t>
            </w:r>
          </w:p>
        </w:tc>
        <w:tc>
          <w:tcPr>
            <w:tcW w:w="822"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tblPrEx>
          <w:tblCellMar>
            <w:top w:w="0" w:type="dxa"/>
            <w:left w:w="108" w:type="dxa"/>
            <w:bottom w:w="0" w:type="dxa"/>
            <w:right w:w="108" w:type="dxa"/>
          </w:tblCellMar>
        </w:tblPrEx>
        <w:trPr>
          <w:trHeight w:val="302" w:hRule="atLeast"/>
        </w:trPr>
        <w:tc>
          <w:tcPr>
            <w:tcW w:w="736" w:type="dxa"/>
            <w:vMerge w:val="restart"/>
            <w:tcBorders>
              <w:top w:val="nil"/>
              <w:left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784" w:type="dxa"/>
            <w:tcBorders>
              <w:top w:val="single" w:color="auto" w:sz="4" w:space="0"/>
              <w:left w:val="nil"/>
              <w:bottom w:val="single" w:color="auto" w:sz="4" w:space="0"/>
              <w:right w:val="nil"/>
            </w:tcBorders>
            <w:shd w:val="clear" w:color="auto" w:fill="auto"/>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数据传输光纤、天线电源</w:t>
            </w:r>
          </w:p>
        </w:tc>
        <w:tc>
          <w:tcPr>
            <w:tcW w:w="822"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8个</w:t>
            </w:r>
          </w:p>
        </w:tc>
      </w:tr>
      <w:tr>
        <w:tblPrEx>
          <w:tblCellMar>
            <w:top w:w="0" w:type="dxa"/>
            <w:left w:w="108" w:type="dxa"/>
            <w:bottom w:w="0" w:type="dxa"/>
            <w:right w:w="108" w:type="dxa"/>
          </w:tblCellMar>
        </w:tblPrEx>
        <w:trPr>
          <w:trHeight w:val="175" w:hRule="atLeast"/>
        </w:trPr>
        <w:tc>
          <w:tcPr>
            <w:tcW w:w="736" w:type="dxa"/>
            <w:vMerge w:val="continue"/>
            <w:tcBorders>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6784" w:type="dxa"/>
            <w:tcBorders>
              <w:top w:val="single" w:color="auto" w:sz="4" w:space="0"/>
              <w:left w:val="nil"/>
              <w:bottom w:val="single" w:color="auto" w:sz="4" w:space="0"/>
              <w:right w:val="nil"/>
            </w:tcBorders>
            <w:shd w:val="clear" w:color="auto" w:fill="auto"/>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主机电源、充电器、天线电源充电器</w:t>
            </w:r>
          </w:p>
        </w:tc>
        <w:tc>
          <w:tcPr>
            <w:tcW w:w="822"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bl>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如投标产品为</w:t>
      </w:r>
      <w:r>
        <w:rPr>
          <w:rFonts w:hint="eastAsia" w:ascii="宋体" w:hAnsi="宋体" w:cs="宋体"/>
          <w:b/>
          <w:bCs/>
          <w:color w:val="auto"/>
          <w:sz w:val="21"/>
          <w:szCs w:val="21"/>
          <w:highlight w:val="none"/>
          <w:lang w:val="en-US" w:eastAsia="zh-CN"/>
        </w:rPr>
        <w:t>进口产品</w:t>
      </w:r>
      <w:r>
        <w:rPr>
          <w:rFonts w:hint="eastAsia" w:ascii="宋体" w:hAnsi="宋体" w:eastAsia="宋体" w:cs="宋体"/>
          <w:b/>
          <w:bCs/>
          <w:color w:val="auto"/>
          <w:sz w:val="21"/>
          <w:szCs w:val="21"/>
          <w:highlight w:val="none"/>
          <w:lang w:val="en-US" w:eastAsia="zh-CN"/>
        </w:rPr>
        <w:t>，需提供制造商或总代理商针对本项目的授权书、售后服务承诺函（复印件）</w:t>
      </w:r>
      <w:r>
        <w:rPr>
          <w:rFonts w:hint="eastAsia" w:ascii="宋体" w:hAnsi="宋体" w:cs="宋体"/>
          <w:b/>
          <w:bCs/>
          <w:color w:val="auto"/>
          <w:sz w:val="21"/>
          <w:szCs w:val="21"/>
          <w:highlight w:val="none"/>
          <w:lang w:val="en-US" w:eastAsia="zh-CN"/>
        </w:rPr>
        <w:t>，未提供将导致其投标被否决</w:t>
      </w:r>
      <w:r>
        <w:rPr>
          <w:rFonts w:hint="eastAsia" w:ascii="宋体" w:hAnsi="宋体" w:eastAsia="宋体" w:cs="宋体"/>
          <w:b/>
          <w:bCs/>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售后服务：整机质保一年，质保期后提供终身维修服务。</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付款方式：合同签订后预付30%，验收后10个工作日内支付66%，留4%质保金在质保期结束后付清。</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注：以上</w:t>
      </w:r>
      <w:r>
        <w:rPr>
          <w:rFonts w:hint="eastAsia" w:ascii="宋体" w:hAnsi="宋体" w:eastAsia="宋体" w:cs="宋体"/>
          <w:b/>
          <w:bCs/>
          <w:color w:val="auto"/>
          <w:sz w:val="21"/>
          <w:szCs w:val="21"/>
          <w:highlight w:val="none"/>
          <w:lang w:val="en-US" w:eastAsia="zh-CN"/>
        </w:rPr>
        <w:t>※参数投标人必须满足或优于，如有负偏离</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将导致</w:t>
      </w:r>
      <w:r>
        <w:rPr>
          <w:rFonts w:hint="eastAsia" w:ascii="宋体" w:hAnsi="宋体" w:cs="宋体"/>
          <w:b/>
          <w:bCs/>
          <w:color w:val="auto"/>
          <w:sz w:val="21"/>
          <w:szCs w:val="21"/>
          <w:highlight w:val="none"/>
          <w:lang w:val="en-US" w:eastAsia="zh-CN"/>
        </w:rPr>
        <w:t>其</w:t>
      </w:r>
      <w:r>
        <w:rPr>
          <w:rFonts w:hint="eastAsia" w:ascii="宋体" w:hAnsi="宋体" w:eastAsia="宋体" w:cs="宋体"/>
          <w:b/>
          <w:bCs/>
          <w:color w:val="auto"/>
          <w:sz w:val="21"/>
          <w:szCs w:val="21"/>
          <w:highlight w:val="none"/>
          <w:lang w:val="en-US" w:eastAsia="zh-CN"/>
        </w:rPr>
        <w:t>投标</w:t>
      </w:r>
      <w:r>
        <w:rPr>
          <w:rFonts w:hint="eastAsia" w:ascii="宋体" w:hAnsi="宋体" w:cs="宋体"/>
          <w:b/>
          <w:bCs/>
          <w:color w:val="auto"/>
          <w:sz w:val="21"/>
          <w:szCs w:val="21"/>
          <w:highlight w:val="none"/>
          <w:lang w:val="en-US" w:eastAsia="zh-CN"/>
        </w:rPr>
        <w:t>被否决。</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pStyle w:val="57"/>
        <w:rPr>
          <w:rFonts w:asciiTheme="minorEastAsia" w:hAnsiTheme="minorEastAsia" w:eastAsiaTheme="minorEastAsia"/>
          <w:color w:val="auto"/>
          <w:sz w:val="36"/>
          <w:szCs w:val="36"/>
          <w:highlight w:val="none"/>
        </w:rPr>
      </w:pPr>
      <w:r>
        <w:rPr>
          <w:rFonts w:hint="eastAsia" w:asciiTheme="minorEastAsia" w:hAnsiTheme="minorEastAsia" w:eastAsiaTheme="minorEastAsia"/>
          <w:color w:val="auto"/>
          <w:highlight w:val="none"/>
        </w:rPr>
        <w:t>第五章  评标方法</w:t>
      </w:r>
      <w:bookmarkEnd w:id="133"/>
      <w:bookmarkEnd w:id="134"/>
      <w:bookmarkEnd w:id="135"/>
      <w:bookmarkEnd w:id="136"/>
      <w:bookmarkEnd w:id="137"/>
    </w:p>
    <w:p>
      <w:pPr>
        <w:spacing w:line="350" w:lineRule="exact"/>
        <w:rPr>
          <w:rFonts w:asciiTheme="minorEastAsia" w:hAnsiTheme="minorEastAsia" w:eastAsiaTheme="minorEastAsia"/>
          <w:b/>
          <w:color w:val="auto"/>
          <w:spacing w:val="4"/>
          <w:sz w:val="24"/>
          <w:highlight w:val="none"/>
        </w:rPr>
      </w:pPr>
    </w:p>
    <w:p>
      <w:pPr>
        <w:spacing w:line="360" w:lineRule="auto"/>
        <w:outlineLvl w:val="1"/>
        <w:rPr>
          <w:rFonts w:asciiTheme="minorEastAsia" w:hAnsiTheme="minorEastAsia" w:eastAsiaTheme="minorEastAsia"/>
          <w:b/>
          <w:color w:val="auto"/>
          <w:spacing w:val="4"/>
          <w:szCs w:val="21"/>
          <w:highlight w:val="none"/>
        </w:rPr>
      </w:pPr>
      <w:bookmarkStart w:id="138" w:name="_Toc634"/>
      <w:bookmarkStart w:id="139" w:name="_Toc75948158"/>
      <w:bookmarkStart w:id="140" w:name="_Toc29255"/>
      <w:bookmarkStart w:id="141" w:name="_Toc26082"/>
      <w:r>
        <w:rPr>
          <w:rFonts w:hint="eastAsia" w:asciiTheme="minorEastAsia" w:hAnsiTheme="minorEastAsia" w:eastAsiaTheme="minorEastAsia"/>
          <w:b/>
          <w:color w:val="auto"/>
          <w:spacing w:val="4"/>
          <w:szCs w:val="21"/>
          <w:highlight w:val="none"/>
        </w:rPr>
        <w:t>一、评标方法</w:t>
      </w:r>
      <w:bookmarkEnd w:id="138"/>
      <w:bookmarkEnd w:id="139"/>
      <w:bookmarkEnd w:id="140"/>
      <w:bookmarkEnd w:id="141"/>
    </w:p>
    <w:p>
      <w:pPr>
        <w:spacing w:line="360" w:lineRule="auto"/>
        <w:ind w:firstLine="420"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zCs w:val="21"/>
          <w:highlight w:val="none"/>
        </w:rPr>
        <w:t>按照《中华人民共和国政府采购法》、中华人民共和国2015年第658号国务院令--《中华人民共和国政府采购法实施条例》和中华人民共和国财政部2017年第87号部长令--《政府采购货物和服务招标投标管理办法》的规定，</w:t>
      </w:r>
      <w:r>
        <w:rPr>
          <w:rFonts w:hint="eastAsia" w:asciiTheme="minorEastAsia" w:hAnsiTheme="minorEastAsia" w:eastAsiaTheme="minorEastAsia"/>
          <w:color w:val="auto"/>
          <w:spacing w:val="4"/>
          <w:szCs w:val="21"/>
          <w:highlight w:val="none"/>
        </w:rPr>
        <w:t>本次评标采用</w:t>
      </w:r>
      <w:r>
        <w:rPr>
          <w:rFonts w:hint="eastAsia" w:asciiTheme="minorEastAsia" w:hAnsiTheme="minorEastAsia" w:eastAsiaTheme="minorEastAsia"/>
          <w:b/>
          <w:color w:val="auto"/>
          <w:spacing w:val="4"/>
          <w:szCs w:val="21"/>
          <w:highlight w:val="none"/>
        </w:rPr>
        <w:t>综合评分法</w:t>
      </w:r>
      <w:r>
        <w:rPr>
          <w:rFonts w:hint="eastAsia" w:asciiTheme="minorEastAsia" w:hAnsiTheme="minorEastAsia" w:eastAsiaTheme="minorEastAsia"/>
          <w:color w:val="auto"/>
          <w:spacing w:val="4"/>
          <w:szCs w:val="21"/>
          <w:highlight w:val="none"/>
        </w:rPr>
        <w:t>--</w:t>
      </w:r>
      <w:r>
        <w:rPr>
          <w:rFonts w:hint="eastAsia" w:asciiTheme="minorEastAsia" w:hAnsiTheme="minorEastAsia" w:eastAsiaTheme="minorEastAsia"/>
          <w:color w:val="auto"/>
          <w:kern w:val="0"/>
          <w:szCs w:val="21"/>
          <w:highlight w:val="none"/>
        </w:rPr>
        <w:t>投标文件满足招标文件全部实质性要求，且按照评审因素的量化指标评审得分最高的供应商为中标人。</w:t>
      </w:r>
    </w:p>
    <w:p>
      <w:pPr>
        <w:spacing w:line="360" w:lineRule="auto"/>
        <w:outlineLvl w:val="1"/>
        <w:rPr>
          <w:rFonts w:asciiTheme="minorEastAsia" w:hAnsiTheme="minorEastAsia" w:eastAsiaTheme="minorEastAsia"/>
          <w:b/>
          <w:color w:val="auto"/>
          <w:spacing w:val="4"/>
          <w:szCs w:val="21"/>
          <w:highlight w:val="none"/>
        </w:rPr>
      </w:pPr>
      <w:bookmarkStart w:id="142" w:name="_Toc75948159"/>
      <w:bookmarkStart w:id="143" w:name="_Toc23389"/>
      <w:bookmarkStart w:id="144" w:name="_Toc2603"/>
      <w:bookmarkStart w:id="145" w:name="_Toc19635"/>
      <w:r>
        <w:rPr>
          <w:rFonts w:hint="eastAsia" w:asciiTheme="minorEastAsia" w:hAnsiTheme="minorEastAsia" w:eastAsiaTheme="minorEastAsia"/>
          <w:b/>
          <w:color w:val="auto"/>
          <w:spacing w:val="4"/>
          <w:szCs w:val="21"/>
          <w:highlight w:val="none"/>
        </w:rPr>
        <w:t>二、评标委员会负责具体评标事务，并独立履行下列职责：</w:t>
      </w:r>
      <w:bookmarkEnd w:id="142"/>
      <w:bookmarkEnd w:id="143"/>
      <w:bookmarkEnd w:id="144"/>
      <w:bookmarkEnd w:id="145"/>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（一）审查、评价投标文件是否符合招标文件的商务、技术、合同条款等实质性要求；</w:t>
      </w:r>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（二）要求供应商对投标文件有关事项作出澄清或者说明；</w:t>
      </w:r>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（三）对投标文件进行比较和评价；</w:t>
      </w:r>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（四）确定中标候选人名单，以及根据采购人委托直接确定中标人；</w:t>
      </w:r>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（五）向采购人、采购代理机构或者有关部门报告评标中发现的违法行为。</w:t>
      </w:r>
    </w:p>
    <w:p>
      <w:pPr>
        <w:spacing w:line="360" w:lineRule="auto"/>
        <w:outlineLvl w:val="1"/>
        <w:rPr>
          <w:rFonts w:asciiTheme="minorEastAsia" w:hAnsiTheme="minorEastAsia" w:eastAsiaTheme="minorEastAsia"/>
          <w:b/>
          <w:color w:val="auto"/>
          <w:spacing w:val="4"/>
          <w:szCs w:val="21"/>
          <w:highlight w:val="none"/>
        </w:rPr>
      </w:pPr>
      <w:bookmarkStart w:id="146" w:name="_Toc17816"/>
      <w:bookmarkStart w:id="147" w:name="_Toc75948160"/>
      <w:bookmarkStart w:id="148" w:name="_Toc6005"/>
      <w:bookmarkStart w:id="149" w:name="_Toc14091"/>
      <w:r>
        <w:rPr>
          <w:rFonts w:hint="eastAsia" w:asciiTheme="minorEastAsia" w:hAnsiTheme="minorEastAsia" w:eastAsiaTheme="minorEastAsia"/>
          <w:b/>
          <w:color w:val="auto"/>
          <w:spacing w:val="4"/>
          <w:szCs w:val="21"/>
          <w:highlight w:val="none"/>
        </w:rPr>
        <w:t>三、供应商存在下列情况之一的，投标无效：</w:t>
      </w:r>
      <w:bookmarkEnd w:id="146"/>
      <w:bookmarkEnd w:id="147"/>
      <w:bookmarkEnd w:id="148"/>
      <w:bookmarkEnd w:id="149"/>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（一）投标文件未按招标文件要求签署、盖章的；</w:t>
      </w:r>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（二）不具备招标文件中规定的资格要求的；</w:t>
      </w:r>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（三）报价超过招标文件中规定的预算金额或者最高限价的；</w:t>
      </w:r>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（四）投标文件含有采购人不能接受的附加条件的；</w:t>
      </w:r>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（五）单位负责人为同一人或者存在直接控股、管理关系的不同供应商，参加本项目同一合同项下的投标的；</w:t>
      </w:r>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（六）为本采购项目提供整体设计、规范编制或者项目管理、监理、检测等服务的供应商，参加本采购项目投标的；</w:t>
      </w:r>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（七）提供虚假投标文件和资料的；</w:t>
      </w:r>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（八）法律、法规和招标文件规定的其他无效情形。</w:t>
      </w:r>
    </w:p>
    <w:p>
      <w:pPr>
        <w:spacing w:line="360" w:lineRule="auto"/>
        <w:outlineLvl w:val="1"/>
        <w:rPr>
          <w:rFonts w:asciiTheme="minorEastAsia" w:hAnsiTheme="minorEastAsia" w:eastAsiaTheme="minorEastAsia"/>
          <w:b/>
          <w:color w:val="auto"/>
          <w:spacing w:val="4"/>
          <w:szCs w:val="21"/>
          <w:highlight w:val="none"/>
        </w:rPr>
      </w:pPr>
      <w:bookmarkStart w:id="150" w:name="_Toc29060"/>
      <w:bookmarkStart w:id="151" w:name="_Toc5107"/>
      <w:bookmarkStart w:id="152" w:name="_Toc75948161"/>
      <w:bookmarkStart w:id="153" w:name="_Toc7469"/>
      <w:r>
        <w:rPr>
          <w:rFonts w:hint="eastAsia" w:asciiTheme="minorEastAsia" w:hAnsiTheme="minorEastAsia" w:eastAsiaTheme="minorEastAsia"/>
          <w:b/>
          <w:color w:val="auto"/>
          <w:spacing w:val="4"/>
          <w:szCs w:val="21"/>
          <w:highlight w:val="none"/>
        </w:rPr>
        <w:t>四、供应商有下列情形之一的，视为供应商串通投标，其投标无效：</w:t>
      </w:r>
      <w:bookmarkEnd w:id="150"/>
      <w:bookmarkEnd w:id="151"/>
      <w:bookmarkEnd w:id="152"/>
      <w:bookmarkEnd w:id="153"/>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（一）不同供应商的投标文件由同一单位或者个人编制；</w:t>
      </w:r>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（二）不同供应商委托同一单位或者个人办理投标事宜；</w:t>
      </w:r>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（三）不同供应商的投标文件载明的项目管理成员或者联系人员为同一人；</w:t>
      </w:r>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（四）不同供应商的投标文件异常一致或者投标报价呈规律性差异；</w:t>
      </w:r>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（五）不同供应商的投标文件相互混装。</w:t>
      </w:r>
    </w:p>
    <w:p>
      <w:pPr>
        <w:spacing w:line="360" w:lineRule="auto"/>
        <w:outlineLvl w:val="1"/>
        <w:rPr>
          <w:rFonts w:asciiTheme="minorEastAsia" w:hAnsiTheme="minorEastAsia" w:eastAsiaTheme="minorEastAsia"/>
          <w:b/>
          <w:color w:val="auto"/>
          <w:spacing w:val="4"/>
          <w:szCs w:val="21"/>
          <w:highlight w:val="none"/>
        </w:rPr>
      </w:pPr>
      <w:bookmarkStart w:id="154" w:name="_Toc75948162"/>
      <w:bookmarkStart w:id="155" w:name="_Toc15035"/>
      <w:bookmarkStart w:id="156" w:name="_Toc19586"/>
      <w:bookmarkStart w:id="157" w:name="_Toc18730"/>
      <w:r>
        <w:rPr>
          <w:rFonts w:hint="eastAsia" w:asciiTheme="minorEastAsia" w:hAnsiTheme="minorEastAsia" w:eastAsiaTheme="minorEastAsia"/>
          <w:b/>
          <w:color w:val="auto"/>
          <w:spacing w:val="4"/>
          <w:szCs w:val="21"/>
          <w:highlight w:val="none"/>
        </w:rPr>
        <w:t>五、评标程序</w:t>
      </w:r>
      <w:bookmarkEnd w:id="154"/>
      <w:bookmarkEnd w:id="155"/>
      <w:bookmarkEnd w:id="156"/>
      <w:bookmarkEnd w:id="157"/>
    </w:p>
    <w:p>
      <w:pPr>
        <w:spacing w:line="360" w:lineRule="auto"/>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1、投标文件的审查</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审查分为资格性检查和符合性检查。分别按照以下内容对</w:t>
      </w:r>
      <w:r>
        <w:rPr>
          <w:rFonts w:hint="eastAsia" w:asciiTheme="minorEastAsia" w:hAnsiTheme="minorEastAsia" w:eastAsiaTheme="minorEastAsia"/>
          <w:color w:val="auto"/>
          <w:spacing w:val="4"/>
          <w:szCs w:val="21"/>
          <w:highlight w:val="none"/>
          <w:lang w:val="en-US" w:eastAsia="zh-CN"/>
        </w:rPr>
        <w:t>投标</w:t>
      </w:r>
      <w:r>
        <w:rPr>
          <w:rFonts w:hint="eastAsia" w:asciiTheme="minorEastAsia" w:hAnsiTheme="minorEastAsia" w:eastAsiaTheme="minorEastAsia"/>
          <w:color w:val="auto"/>
          <w:spacing w:val="4"/>
          <w:szCs w:val="21"/>
          <w:highlight w:val="none"/>
        </w:rPr>
        <w:t>文件进行检查，一项不合格即按照无效响应处理。</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lang w:val="en-US" w:eastAsia="zh-CN"/>
        </w:rPr>
        <w:t>投标</w:t>
      </w:r>
      <w:r>
        <w:rPr>
          <w:rFonts w:hint="eastAsia" w:asciiTheme="minorEastAsia" w:hAnsiTheme="minorEastAsia" w:eastAsiaTheme="minorEastAsia"/>
          <w:color w:val="auto"/>
          <w:spacing w:val="4"/>
          <w:szCs w:val="21"/>
          <w:highlight w:val="none"/>
        </w:rPr>
        <w:t>文件审查合格的为实质性</w:t>
      </w:r>
      <w:r>
        <w:rPr>
          <w:rFonts w:hint="eastAsia" w:asciiTheme="minorEastAsia" w:hAnsiTheme="minorEastAsia" w:eastAsiaTheme="minorEastAsia"/>
          <w:color w:val="auto"/>
          <w:spacing w:val="4"/>
          <w:szCs w:val="21"/>
          <w:highlight w:val="none"/>
          <w:lang w:val="en-US" w:eastAsia="zh-CN"/>
        </w:rPr>
        <w:t>响应招标</w:t>
      </w:r>
      <w:r>
        <w:rPr>
          <w:rFonts w:hint="eastAsia" w:asciiTheme="minorEastAsia" w:hAnsiTheme="minorEastAsia" w:eastAsiaTheme="minorEastAsia"/>
          <w:color w:val="auto"/>
          <w:spacing w:val="4"/>
          <w:szCs w:val="21"/>
          <w:highlight w:val="none"/>
        </w:rPr>
        <w:t>文件要求的供应商。</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1.1资格性检查：</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1.1.1提供的资格证明文件是否符合国家法律法规和</w:t>
      </w:r>
      <w:r>
        <w:rPr>
          <w:rFonts w:hint="eastAsia" w:asciiTheme="minorEastAsia" w:hAnsiTheme="minorEastAsia" w:eastAsiaTheme="minorEastAsia"/>
          <w:color w:val="auto"/>
          <w:spacing w:val="4"/>
          <w:szCs w:val="21"/>
          <w:highlight w:val="none"/>
          <w:lang w:val="en-US" w:eastAsia="zh-CN"/>
        </w:rPr>
        <w:t>招标</w:t>
      </w:r>
      <w:r>
        <w:rPr>
          <w:rFonts w:hint="eastAsia" w:asciiTheme="minorEastAsia" w:hAnsiTheme="minorEastAsia" w:eastAsiaTheme="minorEastAsia"/>
          <w:color w:val="auto"/>
          <w:spacing w:val="4"/>
          <w:szCs w:val="21"/>
          <w:highlight w:val="none"/>
        </w:rPr>
        <w:t>文件的要求，并且齐全、真实、有效。</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1.1.2是否按照</w:t>
      </w:r>
      <w:r>
        <w:rPr>
          <w:rFonts w:hint="eastAsia" w:asciiTheme="minorEastAsia" w:hAnsiTheme="minorEastAsia" w:eastAsiaTheme="minorEastAsia"/>
          <w:color w:val="auto"/>
          <w:spacing w:val="4"/>
          <w:szCs w:val="21"/>
          <w:highlight w:val="none"/>
          <w:lang w:val="en-US" w:eastAsia="zh-CN"/>
        </w:rPr>
        <w:t>招标</w:t>
      </w:r>
      <w:r>
        <w:rPr>
          <w:rFonts w:hint="eastAsia" w:asciiTheme="minorEastAsia" w:hAnsiTheme="minorEastAsia" w:eastAsiaTheme="minorEastAsia"/>
          <w:color w:val="auto"/>
          <w:spacing w:val="4"/>
          <w:szCs w:val="21"/>
          <w:highlight w:val="none"/>
        </w:rPr>
        <w:t>文件的要求提交了足额有效的</w:t>
      </w:r>
      <w:r>
        <w:rPr>
          <w:rFonts w:hint="eastAsia" w:asciiTheme="minorEastAsia" w:hAnsiTheme="minorEastAsia" w:eastAsiaTheme="minorEastAsia"/>
          <w:color w:val="auto"/>
          <w:spacing w:val="4"/>
          <w:szCs w:val="21"/>
          <w:highlight w:val="none"/>
          <w:lang w:val="en-US" w:eastAsia="zh-CN"/>
        </w:rPr>
        <w:t>投标</w:t>
      </w:r>
      <w:r>
        <w:rPr>
          <w:rFonts w:hint="eastAsia" w:asciiTheme="minorEastAsia" w:hAnsiTheme="minorEastAsia" w:eastAsiaTheme="minorEastAsia"/>
          <w:color w:val="auto"/>
          <w:spacing w:val="4"/>
          <w:szCs w:val="21"/>
          <w:highlight w:val="none"/>
        </w:rPr>
        <w:t>保证金</w:t>
      </w:r>
      <w:r>
        <w:rPr>
          <w:rFonts w:hint="eastAsia" w:asciiTheme="minorEastAsia" w:hAnsiTheme="minorEastAsia" w:eastAsiaTheme="minorEastAsia"/>
          <w:color w:val="auto"/>
          <w:spacing w:val="4"/>
          <w:szCs w:val="21"/>
          <w:highlight w:val="none"/>
          <w:lang w:eastAsia="zh-CN"/>
        </w:rPr>
        <w:t>（</w:t>
      </w:r>
      <w:r>
        <w:rPr>
          <w:rFonts w:hint="eastAsia" w:asciiTheme="minorEastAsia" w:hAnsiTheme="minorEastAsia" w:eastAsiaTheme="minorEastAsia"/>
          <w:color w:val="auto"/>
          <w:spacing w:val="4"/>
          <w:szCs w:val="21"/>
          <w:highlight w:val="none"/>
          <w:lang w:val="en-US" w:eastAsia="zh-CN"/>
        </w:rPr>
        <w:t>如有要求）</w:t>
      </w:r>
      <w:r>
        <w:rPr>
          <w:rFonts w:hint="eastAsia" w:asciiTheme="minorEastAsia" w:hAnsiTheme="minorEastAsia" w:eastAsiaTheme="minorEastAsia"/>
          <w:color w:val="auto"/>
          <w:spacing w:val="4"/>
          <w:szCs w:val="21"/>
          <w:highlight w:val="none"/>
        </w:rPr>
        <w:t>。</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1.1.3在 “信用中国”网站（www.creditchina.gov.cn）和“中国政府采购网”（www.ccgp.gov.cn）对供应商信用信息进行查询，如果供应商被查实在谈判截止时间前已列入失信被执行人、</w:t>
      </w:r>
      <w:r>
        <w:rPr>
          <w:rFonts w:hint="eastAsia" w:ascii="宋体" w:hAnsi="宋体" w:eastAsia="宋体" w:cs="宋体"/>
          <w:color w:val="auto"/>
          <w:kern w:val="0"/>
          <w:szCs w:val="21"/>
          <w:highlight w:val="none"/>
        </w:rPr>
        <w:t>重大税收违法</w:t>
      </w:r>
      <w:r>
        <w:rPr>
          <w:rFonts w:hint="eastAsia" w:ascii="宋体" w:hAnsi="宋体" w:cs="宋体"/>
          <w:color w:val="auto"/>
          <w:kern w:val="0"/>
          <w:szCs w:val="21"/>
          <w:highlight w:val="none"/>
          <w:lang w:eastAsia="zh-CN"/>
        </w:rPr>
        <w:t>失信主体</w:t>
      </w:r>
      <w:r>
        <w:rPr>
          <w:rFonts w:hint="eastAsia" w:asciiTheme="minorEastAsia" w:hAnsiTheme="minorEastAsia" w:eastAsiaTheme="minorEastAsia"/>
          <w:color w:val="auto"/>
          <w:spacing w:val="4"/>
          <w:szCs w:val="21"/>
          <w:highlight w:val="none"/>
        </w:rPr>
        <w:t>、政府采购严重违法失信行为记录名单，其谈判响应为无效。</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1.2符合性检查：</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lang w:val="en-US" w:eastAsia="zh-CN"/>
        </w:rPr>
        <w:t>1.2.1</w:t>
      </w:r>
      <w:r>
        <w:rPr>
          <w:rFonts w:hint="eastAsia" w:asciiTheme="minorEastAsia" w:hAnsiTheme="minorEastAsia" w:eastAsiaTheme="minorEastAsia"/>
          <w:color w:val="auto"/>
          <w:spacing w:val="4"/>
          <w:szCs w:val="21"/>
          <w:highlight w:val="none"/>
        </w:rPr>
        <w:t>评标委员会对符合资格的投标人的投标文件进行符合性</w:t>
      </w:r>
      <w:r>
        <w:rPr>
          <w:rFonts w:hint="eastAsia" w:asciiTheme="minorEastAsia" w:hAnsiTheme="minorEastAsia" w:eastAsiaTheme="minorEastAsia"/>
          <w:color w:val="auto"/>
          <w:spacing w:val="4"/>
          <w:szCs w:val="21"/>
          <w:highlight w:val="none"/>
          <w:lang w:eastAsia="zh-CN"/>
        </w:rPr>
        <w:t>（</w:t>
      </w:r>
      <w:r>
        <w:rPr>
          <w:rFonts w:hint="eastAsia" w:asciiTheme="minorEastAsia" w:hAnsiTheme="minorEastAsia" w:eastAsiaTheme="minorEastAsia"/>
          <w:color w:val="auto"/>
          <w:spacing w:val="4"/>
          <w:szCs w:val="21"/>
          <w:highlight w:val="none"/>
          <w:lang w:val="en-US" w:eastAsia="zh-CN"/>
        </w:rPr>
        <w:t>完整性、有效性及响应性）</w:t>
      </w:r>
      <w:r>
        <w:rPr>
          <w:rFonts w:hint="eastAsia" w:asciiTheme="minorEastAsia" w:hAnsiTheme="minorEastAsia" w:eastAsiaTheme="minorEastAsia"/>
          <w:color w:val="auto"/>
          <w:spacing w:val="4"/>
          <w:szCs w:val="21"/>
          <w:highlight w:val="none"/>
        </w:rPr>
        <w:t>审查，以确定其是否满足招标文件的商务、技术等实质性要求。</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1.2.1</w:t>
      </w:r>
      <w:r>
        <w:rPr>
          <w:rFonts w:hint="eastAsia" w:asciiTheme="minorEastAsia" w:hAnsiTheme="minorEastAsia" w:eastAsiaTheme="minorEastAsia"/>
          <w:color w:val="auto"/>
          <w:spacing w:val="4"/>
          <w:szCs w:val="21"/>
          <w:highlight w:val="none"/>
          <w:lang w:val="en-US" w:eastAsia="zh-CN"/>
        </w:rPr>
        <w:t>.1</w:t>
      </w:r>
      <w:r>
        <w:rPr>
          <w:rFonts w:hint="eastAsia" w:asciiTheme="minorEastAsia" w:hAnsiTheme="minorEastAsia" w:eastAsiaTheme="minorEastAsia"/>
          <w:color w:val="auto"/>
          <w:spacing w:val="4"/>
          <w:szCs w:val="21"/>
          <w:highlight w:val="none"/>
        </w:rPr>
        <w:t>投标文件的完整性审查。</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lang w:val="en-US" w:eastAsia="zh-CN"/>
        </w:rPr>
        <w:t>1.2.1.1.1</w:t>
      </w:r>
      <w:r>
        <w:rPr>
          <w:rFonts w:hint="eastAsia" w:asciiTheme="minorEastAsia" w:hAnsiTheme="minorEastAsia" w:eastAsiaTheme="minorEastAsia"/>
          <w:color w:val="auto"/>
          <w:spacing w:val="4"/>
          <w:szCs w:val="21"/>
          <w:highlight w:val="none"/>
        </w:rPr>
        <w:t>投标文件是否按照谈判文件要求的格式编写；</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1.2.1.</w:t>
      </w:r>
      <w:r>
        <w:rPr>
          <w:rFonts w:hint="eastAsia" w:asciiTheme="minorEastAsia" w:hAnsiTheme="minorEastAsia" w:eastAsiaTheme="minorEastAsia"/>
          <w:color w:val="auto"/>
          <w:spacing w:val="4"/>
          <w:szCs w:val="21"/>
          <w:highlight w:val="none"/>
          <w:lang w:val="en-US" w:eastAsia="zh-CN"/>
        </w:rPr>
        <w:t>1.</w:t>
      </w:r>
      <w:r>
        <w:rPr>
          <w:rFonts w:hint="eastAsia" w:asciiTheme="minorEastAsia" w:hAnsiTheme="minorEastAsia" w:eastAsiaTheme="minorEastAsia"/>
          <w:color w:val="auto"/>
          <w:spacing w:val="4"/>
          <w:szCs w:val="21"/>
          <w:highlight w:val="none"/>
        </w:rPr>
        <w:t xml:space="preserve">2投标文件内容是否有重大缺漏项。 </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1.2.</w:t>
      </w:r>
      <w:r>
        <w:rPr>
          <w:rFonts w:hint="eastAsia" w:asciiTheme="minorEastAsia" w:hAnsiTheme="minorEastAsia" w:eastAsiaTheme="minorEastAsia"/>
          <w:color w:val="auto"/>
          <w:spacing w:val="4"/>
          <w:szCs w:val="21"/>
          <w:highlight w:val="none"/>
          <w:lang w:val="en-US" w:eastAsia="zh-CN"/>
        </w:rPr>
        <w:t>1.2</w:t>
      </w:r>
      <w:r>
        <w:rPr>
          <w:rFonts w:hint="eastAsia" w:asciiTheme="minorEastAsia" w:hAnsiTheme="minorEastAsia" w:eastAsiaTheme="minorEastAsia"/>
          <w:color w:val="auto"/>
          <w:spacing w:val="4"/>
          <w:szCs w:val="21"/>
          <w:highlight w:val="none"/>
        </w:rPr>
        <w:t>投标文件的有效性审查。</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1.2.</w:t>
      </w:r>
      <w:r>
        <w:rPr>
          <w:rFonts w:hint="eastAsia" w:asciiTheme="minorEastAsia" w:hAnsiTheme="minorEastAsia" w:eastAsiaTheme="minorEastAsia"/>
          <w:color w:val="auto"/>
          <w:spacing w:val="4"/>
          <w:szCs w:val="21"/>
          <w:highlight w:val="none"/>
          <w:lang w:val="en-US" w:eastAsia="zh-CN"/>
        </w:rPr>
        <w:t>1</w:t>
      </w:r>
      <w:r>
        <w:rPr>
          <w:rFonts w:hint="eastAsia" w:asciiTheme="minorEastAsia" w:hAnsiTheme="minorEastAsia" w:eastAsiaTheme="minorEastAsia"/>
          <w:color w:val="auto"/>
          <w:spacing w:val="4"/>
          <w:szCs w:val="21"/>
          <w:highlight w:val="none"/>
        </w:rPr>
        <w:t>.</w:t>
      </w:r>
      <w:r>
        <w:rPr>
          <w:rFonts w:hint="eastAsia" w:asciiTheme="minorEastAsia" w:hAnsiTheme="minorEastAsia" w:eastAsiaTheme="minorEastAsia"/>
          <w:color w:val="auto"/>
          <w:spacing w:val="4"/>
          <w:szCs w:val="21"/>
          <w:highlight w:val="none"/>
          <w:lang w:val="en-US" w:eastAsia="zh-CN"/>
        </w:rPr>
        <w:t>2.</w:t>
      </w:r>
      <w:r>
        <w:rPr>
          <w:rFonts w:hint="eastAsia" w:asciiTheme="minorEastAsia" w:hAnsiTheme="minorEastAsia" w:eastAsiaTheme="minorEastAsia"/>
          <w:color w:val="auto"/>
          <w:spacing w:val="4"/>
          <w:szCs w:val="21"/>
          <w:highlight w:val="none"/>
        </w:rPr>
        <w:t>1投标文件的签署、加盖印章是否有效；提供的各种证明文件、数据、资料是否有效。</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1.2.</w:t>
      </w:r>
      <w:r>
        <w:rPr>
          <w:rFonts w:hint="eastAsia" w:asciiTheme="minorEastAsia" w:hAnsiTheme="minorEastAsia" w:eastAsiaTheme="minorEastAsia"/>
          <w:color w:val="auto"/>
          <w:spacing w:val="4"/>
          <w:szCs w:val="21"/>
          <w:highlight w:val="none"/>
          <w:lang w:val="en-US" w:eastAsia="zh-CN"/>
        </w:rPr>
        <w:t>1.3</w:t>
      </w:r>
      <w:r>
        <w:rPr>
          <w:rFonts w:hint="eastAsia" w:asciiTheme="minorEastAsia" w:hAnsiTheme="minorEastAsia" w:eastAsiaTheme="minorEastAsia"/>
          <w:color w:val="auto"/>
          <w:spacing w:val="4"/>
          <w:szCs w:val="21"/>
          <w:highlight w:val="none"/>
        </w:rPr>
        <w:t>投标文件的响应性审查。</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1.2.</w:t>
      </w:r>
      <w:r>
        <w:rPr>
          <w:rFonts w:hint="eastAsia" w:asciiTheme="minorEastAsia" w:hAnsiTheme="minorEastAsia" w:eastAsiaTheme="minorEastAsia"/>
          <w:color w:val="auto"/>
          <w:spacing w:val="4"/>
          <w:szCs w:val="21"/>
          <w:highlight w:val="none"/>
          <w:lang w:val="en-US" w:eastAsia="zh-CN"/>
        </w:rPr>
        <w:t>1</w:t>
      </w:r>
      <w:r>
        <w:rPr>
          <w:rFonts w:hint="eastAsia" w:asciiTheme="minorEastAsia" w:hAnsiTheme="minorEastAsia" w:eastAsiaTheme="minorEastAsia"/>
          <w:color w:val="auto"/>
          <w:spacing w:val="4"/>
          <w:szCs w:val="21"/>
          <w:highlight w:val="none"/>
        </w:rPr>
        <w:t>.</w:t>
      </w:r>
      <w:r>
        <w:rPr>
          <w:rFonts w:hint="eastAsia" w:asciiTheme="minorEastAsia" w:hAnsiTheme="minorEastAsia" w:eastAsiaTheme="minorEastAsia"/>
          <w:color w:val="auto"/>
          <w:spacing w:val="4"/>
          <w:szCs w:val="21"/>
          <w:highlight w:val="none"/>
          <w:lang w:val="en-US" w:eastAsia="zh-CN"/>
        </w:rPr>
        <w:t>3.</w:t>
      </w:r>
      <w:r>
        <w:rPr>
          <w:rFonts w:hint="eastAsia" w:asciiTheme="minorEastAsia" w:hAnsiTheme="minorEastAsia" w:eastAsiaTheme="minorEastAsia"/>
          <w:color w:val="auto"/>
          <w:spacing w:val="4"/>
          <w:szCs w:val="21"/>
          <w:highlight w:val="none"/>
        </w:rPr>
        <w:t>1投标报价是否超过采购预算；</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1.2.</w:t>
      </w:r>
      <w:r>
        <w:rPr>
          <w:rFonts w:hint="eastAsia" w:asciiTheme="minorEastAsia" w:hAnsiTheme="minorEastAsia" w:eastAsiaTheme="minorEastAsia"/>
          <w:color w:val="auto"/>
          <w:spacing w:val="4"/>
          <w:szCs w:val="21"/>
          <w:highlight w:val="none"/>
          <w:lang w:val="en-US" w:eastAsia="zh-CN"/>
        </w:rPr>
        <w:t>1.</w:t>
      </w:r>
      <w:r>
        <w:rPr>
          <w:rFonts w:hint="eastAsia" w:asciiTheme="minorEastAsia" w:hAnsiTheme="minorEastAsia" w:eastAsiaTheme="minorEastAsia"/>
          <w:color w:val="auto"/>
          <w:spacing w:val="4"/>
          <w:szCs w:val="21"/>
          <w:highlight w:val="none"/>
        </w:rPr>
        <w:t>3.</w:t>
      </w:r>
      <w:r>
        <w:rPr>
          <w:rFonts w:hint="eastAsia" w:asciiTheme="minorEastAsia" w:hAnsiTheme="minorEastAsia" w:eastAsiaTheme="minorEastAsia"/>
          <w:color w:val="auto"/>
          <w:spacing w:val="4"/>
          <w:szCs w:val="21"/>
          <w:highlight w:val="none"/>
          <w:lang w:val="en-US" w:eastAsia="zh-CN"/>
        </w:rPr>
        <w:t>2投标</w:t>
      </w:r>
      <w:r>
        <w:rPr>
          <w:rFonts w:hint="eastAsia" w:asciiTheme="minorEastAsia" w:hAnsiTheme="minorEastAsia" w:eastAsiaTheme="minorEastAsia"/>
          <w:color w:val="auto"/>
          <w:spacing w:val="4"/>
          <w:szCs w:val="21"/>
          <w:highlight w:val="none"/>
        </w:rPr>
        <w:t>报价有效期是否符合</w:t>
      </w:r>
      <w:r>
        <w:rPr>
          <w:rFonts w:hint="eastAsia" w:asciiTheme="minorEastAsia" w:hAnsiTheme="minorEastAsia" w:eastAsiaTheme="minorEastAsia"/>
          <w:color w:val="auto"/>
          <w:spacing w:val="4"/>
          <w:szCs w:val="21"/>
          <w:highlight w:val="none"/>
          <w:lang w:val="en-US" w:eastAsia="zh-CN"/>
        </w:rPr>
        <w:t>招标</w:t>
      </w:r>
      <w:r>
        <w:rPr>
          <w:rFonts w:hint="eastAsia" w:asciiTheme="minorEastAsia" w:hAnsiTheme="minorEastAsia" w:eastAsiaTheme="minorEastAsia"/>
          <w:color w:val="auto"/>
          <w:spacing w:val="4"/>
          <w:szCs w:val="21"/>
          <w:highlight w:val="none"/>
        </w:rPr>
        <w:t>文件的要求；</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1.2.</w:t>
      </w:r>
      <w:r>
        <w:rPr>
          <w:rFonts w:hint="eastAsia" w:asciiTheme="minorEastAsia" w:hAnsiTheme="minorEastAsia" w:eastAsiaTheme="minorEastAsia"/>
          <w:color w:val="auto"/>
          <w:spacing w:val="4"/>
          <w:szCs w:val="21"/>
          <w:highlight w:val="none"/>
          <w:lang w:val="en-US" w:eastAsia="zh-CN"/>
        </w:rPr>
        <w:t>1.</w:t>
      </w:r>
      <w:r>
        <w:rPr>
          <w:rFonts w:hint="eastAsia" w:asciiTheme="minorEastAsia" w:hAnsiTheme="minorEastAsia" w:eastAsiaTheme="minorEastAsia"/>
          <w:color w:val="auto"/>
          <w:spacing w:val="4"/>
          <w:szCs w:val="21"/>
          <w:highlight w:val="none"/>
        </w:rPr>
        <w:t>3.</w:t>
      </w:r>
      <w:r>
        <w:rPr>
          <w:rFonts w:hint="eastAsia" w:asciiTheme="minorEastAsia" w:hAnsiTheme="minorEastAsia" w:eastAsiaTheme="minorEastAsia"/>
          <w:color w:val="auto"/>
          <w:spacing w:val="4"/>
          <w:szCs w:val="21"/>
          <w:highlight w:val="none"/>
          <w:lang w:val="en-US" w:eastAsia="zh-CN"/>
        </w:rPr>
        <w:t>3</w:t>
      </w:r>
      <w:r>
        <w:rPr>
          <w:rFonts w:hint="eastAsia" w:asciiTheme="minorEastAsia" w:hAnsiTheme="minorEastAsia" w:eastAsiaTheme="minorEastAsia"/>
          <w:color w:val="auto"/>
          <w:spacing w:val="4"/>
          <w:szCs w:val="21"/>
          <w:highlight w:val="none"/>
        </w:rPr>
        <w:t>投标文件内容是否符合国家法律法规，没有重大偏离；</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1.2.</w:t>
      </w:r>
      <w:r>
        <w:rPr>
          <w:rFonts w:hint="eastAsia" w:asciiTheme="minorEastAsia" w:hAnsiTheme="minorEastAsia" w:eastAsiaTheme="minorEastAsia"/>
          <w:color w:val="auto"/>
          <w:spacing w:val="4"/>
          <w:szCs w:val="21"/>
          <w:highlight w:val="none"/>
          <w:lang w:val="en-US" w:eastAsia="zh-CN"/>
        </w:rPr>
        <w:t>1.</w:t>
      </w:r>
      <w:r>
        <w:rPr>
          <w:rFonts w:hint="eastAsia" w:asciiTheme="minorEastAsia" w:hAnsiTheme="minorEastAsia" w:eastAsiaTheme="minorEastAsia"/>
          <w:color w:val="auto"/>
          <w:spacing w:val="4"/>
          <w:szCs w:val="21"/>
          <w:highlight w:val="none"/>
        </w:rPr>
        <w:t>3.</w:t>
      </w:r>
      <w:r>
        <w:rPr>
          <w:rFonts w:hint="eastAsia" w:asciiTheme="minorEastAsia" w:hAnsiTheme="minorEastAsia" w:eastAsiaTheme="minorEastAsia"/>
          <w:color w:val="auto"/>
          <w:spacing w:val="4"/>
          <w:szCs w:val="21"/>
          <w:highlight w:val="none"/>
          <w:lang w:val="en-US" w:eastAsia="zh-CN"/>
        </w:rPr>
        <w:t>4</w:t>
      </w:r>
      <w:r>
        <w:rPr>
          <w:rFonts w:hint="eastAsia" w:asciiTheme="minorEastAsia" w:hAnsiTheme="minorEastAsia" w:eastAsiaTheme="minorEastAsia"/>
          <w:color w:val="auto"/>
          <w:spacing w:val="4"/>
          <w:szCs w:val="21"/>
          <w:highlight w:val="none"/>
        </w:rPr>
        <w:t>对</w:t>
      </w:r>
      <w:r>
        <w:rPr>
          <w:rFonts w:hint="eastAsia" w:asciiTheme="minorEastAsia" w:hAnsiTheme="minorEastAsia" w:eastAsiaTheme="minorEastAsia"/>
          <w:color w:val="auto"/>
          <w:spacing w:val="4"/>
          <w:szCs w:val="21"/>
          <w:highlight w:val="none"/>
          <w:lang w:val="en-US" w:eastAsia="zh-CN"/>
        </w:rPr>
        <w:t>招标</w:t>
      </w:r>
      <w:r>
        <w:rPr>
          <w:rFonts w:hint="eastAsia" w:asciiTheme="minorEastAsia" w:hAnsiTheme="minorEastAsia" w:eastAsiaTheme="minorEastAsia"/>
          <w:color w:val="auto"/>
          <w:spacing w:val="4"/>
          <w:szCs w:val="21"/>
          <w:highlight w:val="none"/>
        </w:rPr>
        <w:t>文件中规定的要求是否做出了实质性响应。</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1.</w:t>
      </w:r>
      <w:r>
        <w:rPr>
          <w:rFonts w:hint="eastAsia" w:asciiTheme="minorEastAsia" w:hAnsiTheme="minorEastAsia" w:eastAsiaTheme="minorEastAsia"/>
          <w:color w:val="auto"/>
          <w:spacing w:val="4"/>
          <w:szCs w:val="21"/>
          <w:highlight w:val="none"/>
          <w:lang w:val="en-US" w:eastAsia="zh-CN"/>
        </w:rPr>
        <w:t>3</w:t>
      </w:r>
      <w:r>
        <w:rPr>
          <w:rFonts w:hint="eastAsia" w:asciiTheme="minorEastAsia" w:hAnsiTheme="minorEastAsia" w:eastAsiaTheme="minorEastAsia"/>
          <w:color w:val="auto"/>
          <w:spacing w:val="4"/>
          <w:szCs w:val="21"/>
          <w:highlight w:val="none"/>
        </w:rPr>
        <w:t>评标委员会认为投标人的报价明显低于其他通过符合性审查投标人</w:t>
      </w:r>
    </w:p>
    <w:p>
      <w:pPr>
        <w:spacing w:line="360" w:lineRule="auto"/>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2、相同品牌产品投标的处理：</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提供相同品牌产品且通过资格审查、符合性审查的不同投标人参加同一包（标段）投标的，按一家投标人计算，评审后得分最高的同品牌投标人获得中标人推荐资格；评审得分相同的，由采购人自行确定一个投标人获得中标人推荐资格，其他同品牌投标人不作为中标候选人。</w:t>
      </w:r>
    </w:p>
    <w:p>
      <w:pPr>
        <w:spacing w:line="360" w:lineRule="auto"/>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在第</w:t>
      </w:r>
      <w:r>
        <w:rPr>
          <w:rFonts w:hint="eastAsia" w:asciiTheme="minorEastAsia" w:hAnsiTheme="minorEastAsia" w:eastAsiaTheme="minorEastAsia"/>
          <w:color w:val="auto"/>
          <w:spacing w:val="4"/>
          <w:szCs w:val="21"/>
          <w:highlight w:val="none"/>
          <w:lang w:eastAsia="zh-CN"/>
        </w:rPr>
        <w:t>四</w:t>
      </w:r>
      <w:r>
        <w:rPr>
          <w:rFonts w:hint="eastAsia" w:asciiTheme="minorEastAsia" w:hAnsiTheme="minorEastAsia" w:eastAsiaTheme="minorEastAsia"/>
          <w:color w:val="auto"/>
          <w:spacing w:val="4"/>
          <w:szCs w:val="21"/>
          <w:highlight w:val="none"/>
        </w:rPr>
        <w:t>章招标内容一览表中载明核心产品，投标人提供的核心产品中只要有1 个核心产品的品牌相同，相关投标人将被认定为属于提供相同品牌产品，按以上规定处理。</w:t>
      </w:r>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3.澄清有关问题：</w:t>
      </w:r>
    </w:p>
    <w:p>
      <w:pPr>
        <w:spacing w:line="360" w:lineRule="auto"/>
        <w:ind w:firstLine="436"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spacing w:val="4"/>
          <w:szCs w:val="21"/>
          <w:highlight w:val="none"/>
        </w:rPr>
        <w:t xml:space="preserve">3.1 </w:t>
      </w:r>
      <w:r>
        <w:rPr>
          <w:rFonts w:hint="eastAsia" w:asciiTheme="minorEastAsia" w:hAnsiTheme="minorEastAsia" w:eastAsiaTheme="minorEastAsia"/>
          <w:color w:val="auto"/>
          <w:kern w:val="0"/>
          <w:szCs w:val="21"/>
          <w:highlight w:val="none"/>
        </w:rPr>
        <w:t>对于投标文件中含义不明确、同类问题表述不一致或者有明显文字和计算错误的内容，评标委员会以书面形式要求供应商做出必要的澄清、说明或者补正。供应商的澄清、说明或者补正应当采用书面形式，由法定代表人（单位负责人）或其授权的代表签署全名。供应商的澄清、说明或者补正不得超出投标文件的范围或者改变投标文件的实质性内容。</w:t>
      </w:r>
    </w:p>
    <w:p>
      <w:pPr>
        <w:spacing w:line="360" w:lineRule="auto"/>
        <w:ind w:firstLine="436"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spacing w:val="4"/>
          <w:szCs w:val="21"/>
          <w:highlight w:val="none"/>
        </w:rPr>
        <w:t xml:space="preserve">3.2 </w:t>
      </w:r>
      <w:r>
        <w:rPr>
          <w:rFonts w:hint="eastAsia" w:asciiTheme="minorEastAsia" w:hAnsiTheme="minorEastAsia" w:eastAsiaTheme="minorEastAsia"/>
          <w:color w:val="auto"/>
          <w:kern w:val="0"/>
          <w:szCs w:val="21"/>
          <w:highlight w:val="none"/>
        </w:rPr>
        <w:t>投标文件报价出现前后不一致的，按照下列规定修正：</w:t>
      </w:r>
    </w:p>
    <w:p>
      <w:pPr>
        <w:spacing w:line="360" w:lineRule="auto"/>
        <w:ind w:firstLine="43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（一）投标文件中开标一览表（报价表）内容与投标文件中相应内容不一致的，以开标一览表（报价表）为准；</w:t>
      </w:r>
    </w:p>
    <w:p>
      <w:pPr>
        <w:spacing w:line="360" w:lineRule="auto"/>
        <w:ind w:firstLine="43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（二）大写金额和小写金额不一致的，以大写金额为准；</w:t>
      </w:r>
    </w:p>
    <w:p>
      <w:pPr>
        <w:spacing w:line="360" w:lineRule="auto"/>
        <w:ind w:firstLine="43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（三）单价金额小数点或者百分比有明显错位的，以开标一览表的总价为准，并修改单价；</w:t>
      </w:r>
    </w:p>
    <w:p>
      <w:pPr>
        <w:spacing w:line="360" w:lineRule="auto"/>
        <w:ind w:firstLine="43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（四）总价金额与按单价汇总金额不一致的，以单价金额计算结果为准。</w:t>
      </w:r>
      <w:r>
        <w:rPr>
          <w:rFonts w:hint="eastAsia" w:asciiTheme="minorEastAsia" w:hAnsiTheme="minorEastAsia" w:eastAsiaTheme="minorEastAsia"/>
          <w:color w:val="auto"/>
          <w:kern w:val="0"/>
          <w:szCs w:val="21"/>
          <w:highlight w:val="none"/>
        </w:rPr>
        <w:t>同时出现两种以上不一致的，按照前款规定的顺序修正。修正后的报价经供应商书面确认后产生约束力，供应商不确认的，其投标无效。</w:t>
      </w:r>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4.评标价的确定：</w:t>
      </w:r>
    </w:p>
    <w:p>
      <w:pPr>
        <w:spacing w:line="360" w:lineRule="auto"/>
        <w:ind w:firstLine="436" w:firstLineChars="200"/>
        <w:rPr>
          <w:rFonts w:hint="eastAsia" w:cs="Times New Roman" w:asciiTheme="minorEastAsia" w:hAnsiTheme="minorEastAsia" w:eastAsiaTheme="minorEastAsia"/>
          <w:color w:val="auto"/>
          <w:spacing w:val="4"/>
          <w:szCs w:val="21"/>
          <w:highlight w:val="none"/>
        </w:rPr>
      </w:pPr>
      <w:r>
        <w:rPr>
          <w:rFonts w:hint="eastAsia" w:cs="Times New Roman" w:asciiTheme="minorEastAsia" w:hAnsiTheme="minorEastAsia" w:eastAsiaTheme="minorEastAsia"/>
          <w:color w:val="auto"/>
          <w:spacing w:val="4"/>
          <w:szCs w:val="21"/>
          <w:highlight w:val="none"/>
        </w:rPr>
        <w:t>投标文件经审查合格的，为有效投标。对于所有有效投标按照以下规则进行评标价的确定。</w:t>
      </w:r>
    </w:p>
    <w:p>
      <w:pPr>
        <w:spacing w:line="360" w:lineRule="auto"/>
        <w:ind w:firstLine="436" w:firstLineChars="200"/>
        <w:rPr>
          <w:rFonts w:hint="eastAsia" w:cs="Times New Roman" w:asciiTheme="minorEastAsia" w:hAnsiTheme="minorEastAsia" w:eastAsiaTheme="minorEastAsia"/>
          <w:color w:val="auto"/>
          <w:spacing w:val="4"/>
          <w:szCs w:val="21"/>
          <w:highlight w:val="none"/>
        </w:rPr>
      </w:pPr>
      <w:r>
        <w:rPr>
          <w:rFonts w:hint="eastAsia" w:cs="Times New Roman" w:asciiTheme="minorEastAsia" w:hAnsiTheme="minorEastAsia" w:eastAsiaTheme="minorEastAsia"/>
          <w:color w:val="auto"/>
          <w:spacing w:val="4"/>
          <w:szCs w:val="21"/>
          <w:highlight w:val="none"/>
        </w:rPr>
        <w:t>4.1对于不需要进行政策性价格优惠调整的，其评标价为按照以上3.2条款修正后的投标总价。</w:t>
      </w:r>
    </w:p>
    <w:p>
      <w:pPr>
        <w:spacing w:line="360" w:lineRule="auto"/>
        <w:ind w:firstLine="436" w:firstLineChars="200"/>
        <w:rPr>
          <w:rFonts w:hint="eastAsia" w:cs="Times New Roman" w:asciiTheme="minorEastAsia" w:hAnsiTheme="minorEastAsia" w:eastAsiaTheme="minorEastAsia"/>
          <w:color w:val="auto"/>
          <w:spacing w:val="4"/>
          <w:szCs w:val="21"/>
          <w:highlight w:val="none"/>
        </w:rPr>
      </w:pPr>
      <w:r>
        <w:rPr>
          <w:rFonts w:hint="eastAsia" w:cs="Times New Roman" w:asciiTheme="minorEastAsia" w:hAnsiTheme="minorEastAsia" w:eastAsiaTheme="minorEastAsia"/>
          <w:color w:val="auto"/>
          <w:spacing w:val="4"/>
          <w:szCs w:val="21"/>
          <w:highlight w:val="none"/>
        </w:rPr>
        <w:t>4.2对于符合政策性优惠的，其评标价按照以下规则进行计算调整。</w:t>
      </w:r>
    </w:p>
    <w:p>
      <w:pPr>
        <w:spacing w:line="360" w:lineRule="auto"/>
        <w:ind w:firstLine="436" w:firstLineChars="200"/>
        <w:rPr>
          <w:rFonts w:hint="eastAsia" w:cs="Times New Roman" w:asciiTheme="minorEastAsia" w:hAnsiTheme="minorEastAsia" w:eastAsiaTheme="minorEastAsia"/>
          <w:color w:val="auto"/>
          <w:spacing w:val="4"/>
          <w:szCs w:val="21"/>
          <w:highlight w:val="none"/>
        </w:rPr>
      </w:pPr>
      <w:r>
        <w:rPr>
          <w:rFonts w:hint="eastAsia" w:cs="Times New Roman" w:asciiTheme="minorEastAsia" w:hAnsiTheme="minorEastAsia" w:eastAsiaTheme="minorEastAsia"/>
          <w:color w:val="auto"/>
          <w:spacing w:val="4"/>
          <w:szCs w:val="21"/>
          <w:highlight w:val="none"/>
        </w:rPr>
        <w:t>4.2.1符合财库〔2020〕46号文件规定的小微企业单位的评标价计算规则：</w:t>
      </w:r>
    </w:p>
    <w:p>
      <w:pPr>
        <w:spacing w:line="360" w:lineRule="auto"/>
        <w:ind w:firstLine="436" w:firstLineChars="200"/>
        <w:rPr>
          <w:rFonts w:hint="eastAsia" w:cs="Times New Roman" w:asciiTheme="minorEastAsia" w:hAnsiTheme="minorEastAsia" w:eastAsiaTheme="minorEastAsia"/>
          <w:color w:val="auto"/>
          <w:spacing w:val="4"/>
          <w:szCs w:val="21"/>
          <w:highlight w:val="none"/>
        </w:rPr>
      </w:pPr>
      <w:r>
        <w:rPr>
          <w:rFonts w:hint="eastAsia" w:cs="Times New Roman" w:asciiTheme="minorEastAsia" w:hAnsiTheme="minorEastAsia" w:eastAsiaTheme="minorEastAsia"/>
          <w:color w:val="auto"/>
          <w:spacing w:val="4"/>
          <w:szCs w:val="21"/>
          <w:highlight w:val="none"/>
        </w:rPr>
        <w:t>4.2.1.1对符合规定的小型和微型企业（非联合体投标）报价给予</w:t>
      </w:r>
      <w:r>
        <w:rPr>
          <w:rFonts w:hint="eastAsia" w:cs="Times New Roman" w:asciiTheme="minorEastAsia" w:hAnsiTheme="minorEastAsia" w:eastAsiaTheme="minorEastAsia"/>
          <w:color w:val="auto"/>
          <w:spacing w:val="4"/>
          <w:szCs w:val="21"/>
          <w:highlight w:val="none"/>
          <w:lang w:val="en-US" w:eastAsia="zh-CN"/>
        </w:rPr>
        <w:t>10</w:t>
      </w:r>
      <w:r>
        <w:rPr>
          <w:rFonts w:hint="eastAsia" w:cs="Times New Roman" w:asciiTheme="minorEastAsia" w:hAnsiTheme="minorEastAsia" w:eastAsiaTheme="minorEastAsia"/>
          <w:color w:val="auto"/>
          <w:spacing w:val="4"/>
          <w:szCs w:val="21"/>
          <w:highlight w:val="none"/>
        </w:rPr>
        <w:t>%的扣除，用扣除后的价格参加评审。</w:t>
      </w:r>
    </w:p>
    <w:p>
      <w:pPr>
        <w:spacing w:line="360" w:lineRule="auto"/>
        <w:ind w:firstLine="436" w:firstLineChars="200"/>
        <w:rPr>
          <w:rFonts w:hint="eastAsia" w:cs="Times New Roman" w:asciiTheme="minorEastAsia" w:hAnsiTheme="minorEastAsia" w:eastAsiaTheme="minorEastAsia"/>
          <w:color w:val="auto"/>
          <w:spacing w:val="4"/>
          <w:szCs w:val="21"/>
          <w:highlight w:val="none"/>
        </w:rPr>
      </w:pPr>
      <w:r>
        <w:rPr>
          <w:rFonts w:hint="eastAsia" w:cs="Times New Roman" w:asciiTheme="minorEastAsia" w:hAnsiTheme="minorEastAsia" w:eastAsiaTheme="minorEastAsia"/>
          <w:color w:val="auto"/>
          <w:spacing w:val="4"/>
          <w:szCs w:val="21"/>
          <w:highlight w:val="none"/>
        </w:rPr>
        <w:t>其评标价=投标报价*（1-</w:t>
      </w:r>
      <w:r>
        <w:rPr>
          <w:rFonts w:hint="eastAsia" w:cs="Times New Roman" w:asciiTheme="minorEastAsia" w:hAnsiTheme="minorEastAsia" w:eastAsiaTheme="minorEastAsia"/>
          <w:color w:val="auto"/>
          <w:spacing w:val="4"/>
          <w:szCs w:val="21"/>
          <w:highlight w:val="none"/>
          <w:lang w:val="en-US" w:eastAsia="zh-CN"/>
        </w:rPr>
        <w:t>10</w:t>
      </w:r>
      <w:r>
        <w:rPr>
          <w:rFonts w:hint="eastAsia" w:cs="Times New Roman" w:asciiTheme="minorEastAsia" w:hAnsiTheme="minorEastAsia" w:eastAsiaTheme="minorEastAsia"/>
          <w:color w:val="auto"/>
          <w:spacing w:val="4"/>
          <w:szCs w:val="21"/>
          <w:highlight w:val="none"/>
        </w:rPr>
        <w:t>%）</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rPr>
        <w:t>4.2.1.2对于联合协议或者分包意向协议约定小微企业的合同份额占到合同总金额30%以上</w:t>
      </w:r>
      <w:r>
        <w:rPr>
          <w:rFonts w:hint="eastAsia" w:cs="Times New Roman" w:asciiTheme="minorEastAsia" w:hAnsiTheme="minorEastAsia" w:eastAsiaTheme="minorEastAsia"/>
          <w:color w:val="auto"/>
          <w:spacing w:val="4"/>
          <w:szCs w:val="21"/>
          <w:highlight w:val="none"/>
          <w:lang w:val="en-US" w:eastAsia="zh-CN"/>
        </w:rPr>
        <w:t>的（须在联合协议或分包意向协议中明确小微企业的合同份额，否则评标时不予给予价格扣除），对联合体或者大中型企业的报价给予4%的扣除，用扣除后的价格参加评审。</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其评标价=投标报价*（1-4%）</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4.2.1.3确认为小微企业（含小型、微型企业，下同）投标的，应当同时符合以下条件：</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4.2.1.3.1符合国务院有关部门根据企业从业人员、营业收入、资产总额等指标制定的中小企业划型标准（工信部联企业〔2011〕300号）；</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 xml:space="preserve">4.2.1.3.2在货物采购项目中，货物由中小企业制造，即货物由中小企业生产且使用该中小企业商号或者注册商标； </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4.2.1.3.3投标时须提供按照（财库〔2020〕46号）文件附件格式填写的《中小企业声明函（货物）》。</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4.2.2符合（财库〔2017〕141号）文件规定的残疾人福利性单位的评标价计算规则：</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4.2.2.1在政府采购活动中，残疾人福利性单位视同小型、微型企业，享受预留份额、评审中价格扣除等促进中小企业发展的政府采购政策。向残疾人福利性单位采购的金额，计入面向中小企业采购的统计数据。报价给予10%的扣除，用扣除后的价格参加评审。</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其评标价=投标报价*（1-10%）</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4.2.2.2对于联合协议或者分包意向协议约定残疾人福利性单位的合同份额占到合同总金额30%以上的（须在联合协议或分包意向协议中明确残疾人福利性单位的合同份额，否则评标时不予给予价格扣除），对联合体或者大中型企业的报价给予4%的扣除，用扣除后的价格参加评审。</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其评标价=投标报价*（1-4%）</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4.2.2.3确认为残疾人福利性单位投标的，应当同时符合以下条件：</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4.2.2.3.1符合（财库〔2017〕141号）文件相关规定。</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4.2.2.3.2投标时提供本单位制造的货物、承担的工程或者服务（以下简称产品），或者提供其他残疾人福利性单位制造的货物（不包括使用非残疾人福利性单位注册商标的货物）。</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4.2.2.3.3投标人须提供《残疾人福利性单位声明函》。</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4.2.3符合（财库〔2014〕68号）文件规定的监狱企业的评标价计算规则：</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4.2.3.1在政府采购活动中，监狱企业视同小型、微型企业，享受预留份额、评审中价格扣除等政府采购促进中小企业发展的政府采购政策。向监狱企业采购的金额，计入面向中小企业采购的统计数据。报价给予10%）的扣除，用扣除后的价格参加评审。</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其评标价=投标报价*（1-10%）</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4.2.3.2对于联合协议或者分包意向协议约定监狱企业的合同份额占到合同总金额30%以上的（须在联合协议或分包意向协议中明确监狱企业的合同份额，否则评标时不予给予价格扣除），对联合体或者大中型企业的报价给予4%的扣除，用扣除后的价格参加评审。</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其评标价=投标报价*（1-4%）</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4.2.3.3确认为监狱企业投标的，应当同时符合以下条件：</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4.2.3.3.1符合（财库〔2014〕68号）文件相关规定。</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4.2.3.3.2投标时提供本单位生产的货物，或者提供其他监狱企业生产的货物。</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4.2.3.3.3投标人须提供由省级以上监狱管理局、戒毒管理局（含新疆生产建设兵团）出具的属于监狱企业的证明文件。</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4.3评标价的计算：</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4.3.1投标人为非联合体的情况：</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小型企业，其评标价=最终报价*（1-10%）；</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微型企业，其评标价=最终报价*（1-10%）；</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监狱企业，其评标价=最终报价*（1-10%）；</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残疾人福利性单位，其评标价=最终报价*（1-10%）；</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4.3.2投标人为联合体且联合体协议中或分包意向协议约定小型、微型企业的协议合同金额占到联合体协议合同总金额30％以上的，按照以下规则进行评审价计算：</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与小型企业联合或分包的，其评标价=最终报价*（1-4%）；</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与微型企业联合或分包的，其评标价=最终报价*（1-4%）；</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与监狱企业联合或分包的，其评标价=最终报价*（1-4%）；</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与残疾人福利性单位联合或分包的，其评标价=最终报价*（1-4%）。</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4.4对于不享受以上政策性优惠价格调整的，其评标价=投标人提交的最终报价。</w:t>
      </w:r>
    </w:p>
    <w:p>
      <w:pPr>
        <w:spacing w:line="360" w:lineRule="auto"/>
        <w:ind w:firstLine="436" w:firstLineChars="200"/>
        <w:rPr>
          <w:rFonts w:hint="default"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5、符合政府采购政策的投标产品的加分规则</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5.1符合节能产品文件规定的加分规则：</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5.1.2投标货物涉及提供的所有投标产品进入“节能产品政府采购品目清单”（相关证书的颁发机构应来自《参与实施政府采购节能产品认证机构名录》）的予以加分，具体评审标准及分值见《评审因素量化赋分表》；（不是所有投标产品的不享受此项优惠）。</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5.2符合环境标志产品文件规定的加分规则：</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5.2.1投标货物涉及提供的所有投标产品进入“环境标志产品政府采购品目清单”（相关证书的颁发机构应来自《参与实施政府采购环境标志产品认证机构名录》）的予以加分，具体评审标准及分值见《评审因素量化赋分表》；（不是所有投标产品的不享受此项优惠）。</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6、比较与评价：</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6.1评委会各成员按照《评审因素量化赋分表》规定的内容，独立进行综合比较、评价打分。</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7、推荐中标候选人名单：</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7.1汇总全体评委对每个投标人的赋分，计算出每个投标人的综合得分，按包得分从高到低顺序排列，推荐前3名为中标候选人。</w:t>
      </w:r>
    </w:p>
    <w:p>
      <w:pPr>
        <w:spacing w:line="360" w:lineRule="auto"/>
        <w:ind w:firstLine="436" w:firstLineChars="200"/>
        <w:rPr>
          <w:rFonts w:hint="eastAsia" w:cs="Times New Roman" w:asciiTheme="minorEastAsia" w:hAnsiTheme="minorEastAsia" w:eastAsiaTheme="minorEastAsia"/>
          <w:color w:val="auto"/>
          <w:spacing w:val="4"/>
          <w:szCs w:val="21"/>
          <w:highlight w:val="none"/>
          <w:lang w:val="en-US" w:eastAsia="zh-CN"/>
        </w:rPr>
      </w:pPr>
      <w:r>
        <w:rPr>
          <w:rFonts w:hint="eastAsia" w:cs="Times New Roman" w:asciiTheme="minorEastAsia" w:hAnsiTheme="minorEastAsia" w:eastAsiaTheme="minorEastAsia"/>
          <w:color w:val="auto"/>
          <w:spacing w:val="4"/>
          <w:szCs w:val="21"/>
          <w:highlight w:val="none"/>
          <w:lang w:val="en-US" w:eastAsia="zh-CN"/>
        </w:rPr>
        <w:t>7.2得分相同的，按投标报价由低到高顺序排列。得分且投标报价相同的并列。</w:t>
      </w:r>
    </w:p>
    <w:p>
      <w:pPr>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br w:type="page"/>
      </w:r>
    </w:p>
    <w:p>
      <w:pPr>
        <w:spacing w:line="360" w:lineRule="auto"/>
        <w:jc w:val="center"/>
        <w:outlineLvl w:val="1"/>
        <w:rPr>
          <w:rFonts w:cs="宋体" w:asciiTheme="minorEastAsia" w:hAnsiTheme="minorEastAsia" w:eastAsiaTheme="minorEastAsia"/>
          <w:color w:val="auto"/>
          <w:szCs w:val="21"/>
          <w:highlight w:val="none"/>
        </w:rPr>
      </w:pPr>
      <w:bookmarkStart w:id="158" w:name="_Toc8734"/>
      <w:bookmarkStart w:id="159" w:name="_Toc75948163"/>
      <w:bookmarkStart w:id="160" w:name="_Toc889"/>
      <w:bookmarkStart w:id="161" w:name="_Toc29667"/>
      <w:r>
        <w:rPr>
          <w:rFonts w:hint="eastAsia" w:asciiTheme="minorEastAsia" w:hAnsiTheme="minorEastAsia" w:eastAsiaTheme="minorEastAsia"/>
          <w:b/>
          <w:color w:val="auto"/>
          <w:sz w:val="30"/>
          <w:szCs w:val="30"/>
          <w:highlight w:val="none"/>
        </w:rPr>
        <w:t>评审因素量化赋分表</w:t>
      </w:r>
      <w:bookmarkEnd w:id="158"/>
      <w:bookmarkEnd w:id="159"/>
      <w:bookmarkEnd w:id="160"/>
      <w:bookmarkEnd w:id="161"/>
    </w:p>
    <w:tbl>
      <w:tblPr>
        <w:tblStyle w:val="24"/>
        <w:tblW w:w="8343" w:type="dxa"/>
        <w:tblInd w:w="7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3"/>
        <w:gridCol w:w="721"/>
        <w:gridCol w:w="1953"/>
        <w:gridCol w:w="49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3" w:type="dxa"/>
            <w:vAlign w:val="center"/>
          </w:tcPr>
          <w:p>
            <w:pPr>
              <w:pStyle w:val="13"/>
              <w:spacing w:line="360" w:lineRule="auto"/>
              <w:contextualSpacing/>
              <w:jc w:val="center"/>
              <w:rPr>
                <w:rFonts w:cs="宋体" w:asciiTheme="minorEastAsia" w:hAnsiTheme="minorEastAsia" w:eastAsiaTheme="minorEastAsia"/>
                <w:bCs/>
                <w:color w:val="auto"/>
                <w:sz w:val="21"/>
                <w:szCs w:val="21"/>
                <w:highlight w:val="none"/>
              </w:rPr>
            </w:pPr>
            <w:r>
              <w:rPr>
                <w:rFonts w:cs="宋体" w:asciiTheme="minorEastAsia" w:hAnsiTheme="minorEastAsia" w:eastAsiaTheme="minorEastAsia"/>
                <w:bCs/>
                <w:color w:val="auto"/>
                <w:sz w:val="21"/>
                <w:szCs w:val="21"/>
                <w:highlight w:val="none"/>
              </w:rPr>
              <w:t>类别</w:t>
            </w:r>
          </w:p>
        </w:tc>
        <w:tc>
          <w:tcPr>
            <w:tcW w:w="721" w:type="dxa"/>
            <w:vAlign w:val="center"/>
          </w:tcPr>
          <w:p>
            <w:pPr>
              <w:spacing w:line="360" w:lineRule="auto"/>
              <w:contextualSpacing/>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序号</w:t>
            </w:r>
          </w:p>
        </w:tc>
        <w:tc>
          <w:tcPr>
            <w:tcW w:w="1953" w:type="dxa"/>
            <w:vAlign w:val="center"/>
          </w:tcPr>
          <w:p>
            <w:pPr>
              <w:spacing w:line="360" w:lineRule="auto"/>
              <w:contextualSpacing/>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评审要素及分值</w:t>
            </w:r>
          </w:p>
        </w:tc>
        <w:tc>
          <w:tcPr>
            <w:tcW w:w="4916" w:type="dxa"/>
            <w:vAlign w:val="center"/>
          </w:tcPr>
          <w:p>
            <w:pPr>
              <w:spacing w:line="360" w:lineRule="auto"/>
              <w:contextualSpacing/>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赋分标准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3" w:type="dxa"/>
            <w:vMerge w:val="restart"/>
            <w:vAlign w:val="center"/>
          </w:tcPr>
          <w:p>
            <w:pPr>
              <w:spacing w:line="360" w:lineRule="auto"/>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技术</w:t>
            </w:r>
          </w:p>
          <w:p>
            <w:pPr>
              <w:spacing w:line="360" w:lineRule="auto"/>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w:t>
            </w: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分</w:t>
            </w:r>
          </w:p>
        </w:tc>
        <w:tc>
          <w:tcPr>
            <w:tcW w:w="721" w:type="dxa"/>
            <w:vAlign w:val="center"/>
          </w:tcPr>
          <w:p>
            <w:pPr>
              <w:spacing w:line="360" w:lineRule="auto"/>
              <w:ind w:right="-107" w:rightChars="-51"/>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1953" w:type="dxa"/>
            <w:vAlign w:val="center"/>
          </w:tcPr>
          <w:p>
            <w:pPr>
              <w:spacing w:line="360" w:lineRule="auto"/>
              <w:ind w:left="10" w:hanging="10" w:hangingChars="5"/>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产品技术参数</w:t>
            </w:r>
          </w:p>
          <w:p>
            <w:pPr>
              <w:spacing w:line="360" w:lineRule="auto"/>
              <w:ind w:left="10" w:hanging="10" w:hangingChars="5"/>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15分</w:t>
            </w:r>
          </w:p>
        </w:tc>
        <w:tc>
          <w:tcPr>
            <w:tcW w:w="4916" w:type="dxa"/>
            <w:vAlign w:val="center"/>
          </w:tcPr>
          <w:p>
            <w:pPr>
              <w:spacing w:line="360" w:lineRule="auto"/>
              <w:contextualSpacing/>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投标产品技术参数清楚、明确，符合招标文件要求，完全响应得12分，优于招标文件技术要求每项加0.5分，最多加3分；每偏离一项扣1分，扣完为止。偏离项≥3项的，优于项不予加分。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3" w:type="dxa"/>
            <w:vMerge w:val="continue"/>
            <w:vAlign w:val="center"/>
          </w:tcPr>
          <w:p>
            <w:pPr>
              <w:spacing w:line="360" w:lineRule="auto"/>
              <w:contextualSpacing/>
              <w:jc w:val="center"/>
              <w:rPr>
                <w:rFonts w:cs="宋体" w:asciiTheme="minorEastAsia" w:hAnsiTheme="minorEastAsia" w:eastAsiaTheme="minorEastAsia"/>
                <w:color w:val="auto"/>
                <w:szCs w:val="21"/>
                <w:highlight w:val="none"/>
              </w:rPr>
            </w:pPr>
          </w:p>
        </w:tc>
        <w:tc>
          <w:tcPr>
            <w:tcW w:w="721" w:type="dxa"/>
            <w:vAlign w:val="center"/>
          </w:tcPr>
          <w:p>
            <w:pPr>
              <w:spacing w:line="360" w:lineRule="auto"/>
              <w:ind w:right="-107" w:rightChars="-51"/>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p>
        </w:tc>
        <w:tc>
          <w:tcPr>
            <w:tcW w:w="1953" w:type="dxa"/>
            <w:vAlign w:val="center"/>
          </w:tcPr>
          <w:p>
            <w:pPr>
              <w:spacing w:line="360" w:lineRule="auto"/>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产品选型及配置</w:t>
            </w:r>
          </w:p>
          <w:p>
            <w:pPr>
              <w:spacing w:line="360" w:lineRule="auto"/>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10</w:t>
            </w:r>
            <w:r>
              <w:rPr>
                <w:rFonts w:hint="eastAsia" w:cs="宋体" w:asciiTheme="minorEastAsia" w:hAnsiTheme="minorEastAsia" w:eastAsiaTheme="minorEastAsia"/>
                <w:color w:val="auto"/>
                <w:szCs w:val="21"/>
                <w:highlight w:val="none"/>
              </w:rPr>
              <w:t>分</w:t>
            </w:r>
          </w:p>
        </w:tc>
        <w:tc>
          <w:tcPr>
            <w:tcW w:w="4916" w:type="dxa"/>
            <w:vAlign w:val="center"/>
          </w:tcPr>
          <w:p>
            <w:pPr>
              <w:spacing w:line="360" w:lineRule="auto"/>
              <w:ind w:left="315" w:hanging="315" w:hangingChars="150"/>
              <w:contextualSpacing/>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1）产品选型符合招标文件要求，根据响应情况综合评审。选型合理，技术先进，得（</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]分，其他得[0,</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]分</w:t>
            </w:r>
            <w:r>
              <w:rPr>
                <w:rFonts w:hint="eastAsia" w:cs="宋体" w:asciiTheme="minorEastAsia" w:hAnsiTheme="minorEastAsia" w:eastAsiaTheme="minorEastAsia"/>
                <w:color w:val="auto"/>
                <w:szCs w:val="21"/>
                <w:highlight w:val="none"/>
                <w:lang w:eastAsia="zh-CN"/>
              </w:rPr>
              <w:t>。</w:t>
            </w:r>
          </w:p>
          <w:p>
            <w:pPr>
              <w:spacing w:line="360" w:lineRule="auto"/>
              <w:ind w:left="315" w:hanging="315" w:hangingChars="150"/>
              <w:contextualSpacing/>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2）产品配置及备品备件配套等满足项目使用需求，根据响应情况综合评审。产品配置高、性能优、可操作性强，得（</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]分，其他得[0,</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4" w:hRule="atLeast"/>
        </w:trPr>
        <w:tc>
          <w:tcPr>
            <w:tcW w:w="753" w:type="dxa"/>
            <w:vMerge w:val="continue"/>
            <w:vAlign w:val="center"/>
          </w:tcPr>
          <w:p>
            <w:pPr>
              <w:spacing w:line="360" w:lineRule="auto"/>
              <w:contextualSpacing/>
              <w:jc w:val="center"/>
              <w:rPr>
                <w:rFonts w:cs="宋体" w:asciiTheme="minorEastAsia" w:hAnsiTheme="minorEastAsia" w:eastAsiaTheme="minorEastAsia"/>
                <w:color w:val="auto"/>
                <w:szCs w:val="21"/>
                <w:highlight w:val="none"/>
              </w:rPr>
            </w:pPr>
          </w:p>
        </w:tc>
        <w:tc>
          <w:tcPr>
            <w:tcW w:w="721" w:type="dxa"/>
            <w:vAlign w:val="center"/>
          </w:tcPr>
          <w:p>
            <w:pPr>
              <w:spacing w:line="360" w:lineRule="auto"/>
              <w:ind w:right="-107" w:rightChars="-51"/>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p>
        </w:tc>
        <w:tc>
          <w:tcPr>
            <w:tcW w:w="1953" w:type="dxa"/>
            <w:vAlign w:val="center"/>
          </w:tcPr>
          <w:p>
            <w:pPr>
              <w:spacing w:line="360" w:lineRule="auto"/>
              <w:ind w:left="10" w:hanging="10" w:hangingChars="5"/>
              <w:contextualSpacing/>
              <w:jc w:val="center"/>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实施方案</w:t>
            </w:r>
          </w:p>
          <w:p>
            <w:pPr>
              <w:spacing w:line="360" w:lineRule="auto"/>
              <w:ind w:left="10" w:hanging="10" w:hangingChars="5"/>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8</w:t>
            </w:r>
            <w:r>
              <w:rPr>
                <w:rFonts w:hint="eastAsia" w:cs="宋体" w:asciiTheme="minorEastAsia" w:hAnsiTheme="minorEastAsia" w:eastAsiaTheme="minorEastAsia"/>
                <w:color w:val="auto"/>
                <w:szCs w:val="21"/>
                <w:highlight w:val="none"/>
              </w:rPr>
              <w:t>分</w:t>
            </w:r>
          </w:p>
        </w:tc>
        <w:tc>
          <w:tcPr>
            <w:tcW w:w="4916" w:type="dxa"/>
            <w:vAlign w:val="center"/>
          </w:tcPr>
          <w:p>
            <w:pPr>
              <w:spacing w:line="360" w:lineRule="auto"/>
              <w:contextualSpacing/>
              <w:jc w:val="left"/>
              <w:rPr>
                <w:rFonts w:hint="eastAsia"/>
                <w:color w:val="auto"/>
                <w:highlight w:val="none"/>
              </w:rPr>
            </w:pPr>
            <w:r>
              <w:rPr>
                <w:rFonts w:hint="eastAsia"/>
                <w:color w:val="auto"/>
                <w:highlight w:val="none"/>
                <w:lang w:eastAsia="zh-CN"/>
              </w:rPr>
              <w:t>针对</w:t>
            </w:r>
            <w:r>
              <w:rPr>
                <w:rFonts w:hint="eastAsia"/>
                <w:color w:val="auto"/>
                <w:highlight w:val="none"/>
              </w:rPr>
              <w:t>采购人</w:t>
            </w:r>
            <w:r>
              <w:rPr>
                <w:rFonts w:hint="eastAsia"/>
                <w:color w:val="auto"/>
                <w:highlight w:val="none"/>
                <w:lang w:eastAsia="zh-CN"/>
              </w:rPr>
              <w:t>实际需求</w:t>
            </w:r>
            <w:r>
              <w:rPr>
                <w:rFonts w:hint="eastAsia"/>
                <w:color w:val="auto"/>
                <w:highlight w:val="none"/>
              </w:rPr>
              <w:t>，设计合理的措施方案。</w:t>
            </w:r>
            <w:r>
              <w:rPr>
                <w:rFonts w:hint="eastAsia"/>
                <w:color w:val="auto"/>
                <w:highlight w:val="none"/>
                <w:lang w:eastAsia="zh-CN"/>
              </w:rPr>
              <w:t>（</w:t>
            </w:r>
            <w:r>
              <w:rPr>
                <w:rFonts w:hint="eastAsia"/>
                <w:color w:val="auto"/>
                <w:highlight w:val="none"/>
              </w:rPr>
              <w:t>包括但不限于：质量保证措施、安全保证措施，配套装修方案，劳动力安排、主要机械设备配备计划等)。</w:t>
            </w:r>
          </w:p>
          <w:p>
            <w:pPr>
              <w:spacing w:line="360" w:lineRule="auto"/>
              <w:ind w:left="315" w:leftChars="0" w:hanging="315" w:hangingChars="150"/>
              <w:contextualSpacing/>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rPr>
              <w:t>方案</w:t>
            </w:r>
            <w:r>
              <w:rPr>
                <w:rFonts w:hint="eastAsia" w:cs="宋体" w:asciiTheme="minorEastAsia" w:hAnsiTheme="minorEastAsia" w:eastAsiaTheme="minorEastAsia"/>
                <w:color w:val="auto"/>
                <w:szCs w:val="21"/>
                <w:highlight w:val="none"/>
                <w:lang w:eastAsia="zh-CN"/>
              </w:rPr>
              <w:t>详细</w:t>
            </w:r>
            <w:r>
              <w:rPr>
                <w:rFonts w:hint="eastAsia" w:cs="宋体" w:asciiTheme="minorEastAsia" w:hAnsiTheme="minorEastAsia" w:eastAsiaTheme="minorEastAsia"/>
                <w:color w:val="auto"/>
                <w:szCs w:val="21"/>
                <w:highlight w:val="none"/>
              </w:rPr>
              <w:t>可行，</w:t>
            </w:r>
            <w:r>
              <w:rPr>
                <w:rFonts w:hint="eastAsia" w:cs="宋体" w:asciiTheme="minorEastAsia" w:hAnsiTheme="minorEastAsia" w:eastAsiaTheme="minorEastAsia"/>
                <w:color w:val="auto"/>
                <w:szCs w:val="21"/>
                <w:highlight w:val="none"/>
                <w:lang w:eastAsia="zh-CN"/>
              </w:rPr>
              <w:t>项目</w:t>
            </w:r>
            <w:r>
              <w:rPr>
                <w:rFonts w:hint="eastAsia" w:cs="宋体" w:asciiTheme="minorEastAsia" w:hAnsiTheme="minorEastAsia" w:eastAsiaTheme="minorEastAsia"/>
                <w:color w:val="auto"/>
                <w:szCs w:val="21"/>
                <w:highlight w:val="none"/>
              </w:rPr>
              <w:t>保证措施</w:t>
            </w:r>
            <w:r>
              <w:rPr>
                <w:rFonts w:hint="eastAsia" w:cs="宋体" w:asciiTheme="minorEastAsia" w:hAnsiTheme="minorEastAsia" w:eastAsiaTheme="minorEastAsia"/>
                <w:color w:val="auto"/>
                <w:szCs w:val="21"/>
                <w:highlight w:val="none"/>
                <w:lang w:eastAsia="zh-CN"/>
              </w:rPr>
              <w:t>科学合理</w:t>
            </w:r>
            <w:r>
              <w:rPr>
                <w:rFonts w:hint="eastAsia" w:cs="宋体" w:asciiTheme="minorEastAsia" w:hAnsiTheme="minorEastAsia" w:eastAsiaTheme="minorEastAsia"/>
                <w:color w:val="auto"/>
                <w:szCs w:val="21"/>
                <w:highlight w:val="none"/>
              </w:rPr>
              <w:t>，满足</w:t>
            </w:r>
            <w:r>
              <w:rPr>
                <w:rFonts w:hint="eastAsia" w:cs="宋体" w:asciiTheme="minorEastAsia" w:hAnsiTheme="minorEastAsia" w:eastAsiaTheme="minorEastAsia"/>
                <w:color w:val="auto"/>
                <w:szCs w:val="21"/>
                <w:highlight w:val="none"/>
                <w:lang w:eastAsia="zh-CN"/>
              </w:rPr>
              <w:t>采购人</w:t>
            </w:r>
            <w:r>
              <w:rPr>
                <w:rFonts w:hint="eastAsia" w:cs="宋体" w:asciiTheme="minorEastAsia" w:hAnsiTheme="minorEastAsia" w:eastAsiaTheme="minorEastAsia"/>
                <w:color w:val="auto"/>
                <w:szCs w:val="21"/>
                <w:highlight w:val="none"/>
              </w:rPr>
              <w:t>实际需求，</w:t>
            </w:r>
            <w:r>
              <w:rPr>
                <w:rFonts w:hint="eastAsia" w:cs="宋体" w:asciiTheme="minorEastAsia" w:hAnsiTheme="minorEastAsia" w:eastAsiaTheme="minorEastAsia"/>
                <w:color w:val="auto"/>
                <w:szCs w:val="21"/>
                <w:highlight w:val="none"/>
                <w:lang w:eastAsia="zh-CN"/>
              </w:rPr>
              <w:t>描述</w:t>
            </w:r>
            <w:r>
              <w:rPr>
                <w:rFonts w:hint="eastAsia" w:cs="宋体" w:asciiTheme="minorEastAsia" w:hAnsiTheme="minorEastAsia" w:eastAsiaTheme="minorEastAsia"/>
                <w:color w:val="auto"/>
                <w:szCs w:val="21"/>
                <w:highlight w:val="none"/>
              </w:rPr>
              <w:t>清晰，针对性</w:t>
            </w:r>
            <w:r>
              <w:rPr>
                <w:rFonts w:hint="eastAsia" w:cs="宋体" w:asciiTheme="minorEastAsia" w:hAnsiTheme="minorEastAsia" w:eastAsiaTheme="minorEastAsia"/>
                <w:color w:val="auto"/>
                <w:szCs w:val="21"/>
                <w:highlight w:val="none"/>
                <w:lang w:eastAsia="zh-CN"/>
              </w:rPr>
              <w:t>强</w:t>
            </w:r>
            <w:r>
              <w:rPr>
                <w:rFonts w:hint="eastAsia" w:cs="宋体" w:asciiTheme="minorEastAsia" w:hAnsiTheme="minorEastAsia" w:eastAsiaTheme="minorEastAsia"/>
                <w:color w:val="auto"/>
                <w:szCs w:val="21"/>
                <w:highlight w:val="none"/>
              </w:rPr>
              <w:t>，得</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6</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8</w:t>
            </w:r>
            <w:r>
              <w:rPr>
                <w:rFonts w:hint="eastAsia" w:cs="宋体" w:asciiTheme="minorEastAsia" w:hAnsiTheme="minorEastAsia" w:eastAsiaTheme="minorEastAsia"/>
                <w:color w:val="auto"/>
                <w:szCs w:val="21"/>
                <w:highlight w:val="none"/>
              </w:rPr>
              <w:t>]分。</w:t>
            </w:r>
          </w:p>
          <w:p>
            <w:pPr>
              <w:spacing w:line="360" w:lineRule="auto"/>
              <w:ind w:left="315" w:leftChars="0" w:hanging="315" w:hangingChars="150"/>
              <w:contextualSpacing/>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rPr>
              <w:t>方案较为完整，</w:t>
            </w:r>
            <w:r>
              <w:rPr>
                <w:rFonts w:hint="eastAsia" w:cs="宋体" w:asciiTheme="minorEastAsia" w:hAnsiTheme="minorEastAsia" w:eastAsiaTheme="minorEastAsia"/>
                <w:color w:val="auto"/>
                <w:szCs w:val="21"/>
                <w:highlight w:val="none"/>
                <w:lang w:eastAsia="zh-CN"/>
              </w:rPr>
              <w:t>项目</w:t>
            </w:r>
            <w:r>
              <w:rPr>
                <w:rFonts w:hint="eastAsia" w:cs="宋体" w:asciiTheme="minorEastAsia" w:hAnsiTheme="minorEastAsia" w:eastAsiaTheme="minorEastAsia"/>
                <w:color w:val="auto"/>
                <w:szCs w:val="21"/>
                <w:highlight w:val="none"/>
              </w:rPr>
              <w:t>保证措施基本满足采购人实际需求，</w:t>
            </w:r>
            <w:r>
              <w:rPr>
                <w:rFonts w:hint="eastAsia" w:cs="宋体" w:asciiTheme="minorEastAsia" w:hAnsiTheme="minorEastAsia" w:eastAsiaTheme="minorEastAsia"/>
                <w:color w:val="auto"/>
                <w:szCs w:val="21"/>
                <w:highlight w:val="none"/>
                <w:lang w:eastAsia="zh-CN"/>
              </w:rPr>
              <w:t>描述较</w:t>
            </w:r>
            <w:r>
              <w:rPr>
                <w:rFonts w:hint="eastAsia" w:cs="宋体" w:asciiTheme="minorEastAsia" w:hAnsiTheme="minorEastAsia" w:eastAsiaTheme="minorEastAsia"/>
                <w:color w:val="auto"/>
                <w:szCs w:val="21"/>
                <w:highlight w:val="none"/>
              </w:rPr>
              <w:t>清晰，针对性</w:t>
            </w:r>
            <w:r>
              <w:rPr>
                <w:rFonts w:hint="eastAsia" w:cs="宋体" w:asciiTheme="minorEastAsia" w:hAnsiTheme="minorEastAsia" w:eastAsiaTheme="minorEastAsia"/>
                <w:color w:val="auto"/>
                <w:szCs w:val="21"/>
                <w:highlight w:val="none"/>
                <w:lang w:eastAsia="zh-CN"/>
              </w:rPr>
              <w:t>较强，</w:t>
            </w:r>
            <w:r>
              <w:rPr>
                <w:rFonts w:hint="eastAsia" w:cs="宋体" w:asciiTheme="minorEastAsia" w:hAnsiTheme="minorEastAsia" w:eastAsiaTheme="minorEastAsia"/>
                <w:color w:val="auto"/>
                <w:szCs w:val="21"/>
                <w:highlight w:val="none"/>
              </w:rPr>
              <w:t>得</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6</w:t>
            </w:r>
            <w:r>
              <w:rPr>
                <w:rFonts w:hint="eastAsia" w:cs="宋体" w:asciiTheme="minorEastAsia" w:hAnsiTheme="minorEastAsia" w:eastAsiaTheme="minorEastAsia"/>
                <w:color w:val="auto"/>
                <w:szCs w:val="21"/>
                <w:highlight w:val="none"/>
              </w:rPr>
              <w:t>]分。</w:t>
            </w:r>
          </w:p>
          <w:p>
            <w:pPr>
              <w:spacing w:line="360" w:lineRule="auto"/>
              <w:ind w:left="315" w:leftChars="0" w:hanging="315" w:hangingChars="150"/>
              <w:contextualSpacing/>
              <w:rPr>
                <w:rFonts w:hint="default"/>
                <w:color w:val="auto"/>
                <w:highlight w:val="none"/>
                <w:lang w:val="en-US" w:eastAsia="zh-CN"/>
              </w:rPr>
            </w:pPr>
            <w:r>
              <w:rPr>
                <w:rFonts w:hint="eastAsia"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rPr>
              <w:t>方案有明显缺陷，针对性较差，得[</w:t>
            </w:r>
            <w:r>
              <w:rPr>
                <w:rFonts w:hint="eastAsia" w:cs="宋体" w:asciiTheme="minorEastAsia" w:hAnsiTheme="minorEastAsia" w:eastAsiaTheme="minorEastAsia"/>
                <w:color w:val="auto"/>
                <w:szCs w:val="21"/>
                <w:highlight w:val="none"/>
                <w:lang w:val="en-US" w:eastAsia="zh-CN"/>
              </w:rPr>
              <w:t>0</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3" w:type="dxa"/>
            <w:vMerge w:val="continue"/>
            <w:vAlign w:val="center"/>
          </w:tcPr>
          <w:p>
            <w:pPr>
              <w:spacing w:line="360" w:lineRule="auto"/>
              <w:contextualSpacing/>
              <w:jc w:val="center"/>
              <w:rPr>
                <w:rFonts w:cs="宋体" w:asciiTheme="minorEastAsia" w:hAnsiTheme="minorEastAsia" w:eastAsiaTheme="minorEastAsia"/>
                <w:color w:val="auto"/>
                <w:szCs w:val="21"/>
                <w:highlight w:val="none"/>
              </w:rPr>
            </w:pPr>
          </w:p>
        </w:tc>
        <w:tc>
          <w:tcPr>
            <w:tcW w:w="721" w:type="dxa"/>
            <w:vAlign w:val="center"/>
          </w:tcPr>
          <w:p>
            <w:pPr>
              <w:spacing w:line="360" w:lineRule="auto"/>
              <w:ind w:right="-107" w:rightChars="-51"/>
              <w:contextualSpacing/>
              <w:jc w:val="center"/>
              <w:rPr>
                <w:rFonts w:hint="eastAsia" w:cs="宋体" w:asciiTheme="minorEastAsia" w:hAnsiTheme="minorEastAsia" w:eastAsiaTheme="minorEastAsia"/>
                <w:color w:val="auto"/>
                <w:szCs w:val="21"/>
                <w:highlight w:val="none"/>
                <w:lang w:val="en-US" w:eastAsia="zh-CN"/>
              </w:rPr>
            </w:pPr>
          </w:p>
        </w:tc>
        <w:tc>
          <w:tcPr>
            <w:tcW w:w="1953" w:type="dxa"/>
            <w:vAlign w:val="center"/>
          </w:tcPr>
          <w:p>
            <w:pPr>
              <w:spacing w:line="360" w:lineRule="auto"/>
              <w:ind w:left="10" w:hanging="10" w:hangingChars="5"/>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产品质量</w:t>
            </w:r>
          </w:p>
          <w:p>
            <w:pPr>
              <w:spacing w:line="360" w:lineRule="auto"/>
              <w:ind w:left="10" w:leftChars="0" w:hanging="10" w:hangingChars="5"/>
              <w:contextualSpacing/>
              <w:jc w:val="center"/>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Cs w:val="21"/>
                <w:highlight w:val="none"/>
                <w:lang w:val="en-US" w:eastAsia="zh-CN"/>
              </w:rPr>
              <w:t>7</w:t>
            </w:r>
            <w:r>
              <w:rPr>
                <w:rFonts w:hint="eastAsia" w:cs="宋体" w:asciiTheme="minorEastAsia" w:hAnsiTheme="minorEastAsia" w:eastAsiaTheme="minorEastAsia"/>
                <w:color w:val="auto"/>
                <w:szCs w:val="21"/>
                <w:highlight w:val="none"/>
              </w:rPr>
              <w:t>分</w:t>
            </w:r>
          </w:p>
        </w:tc>
        <w:tc>
          <w:tcPr>
            <w:tcW w:w="4916" w:type="dxa"/>
            <w:vAlign w:val="top"/>
          </w:tcPr>
          <w:p>
            <w:pPr>
              <w:spacing w:line="360" w:lineRule="auto"/>
              <w:ind w:left="315" w:hanging="315" w:hangingChars="150"/>
              <w:contextualSpacing/>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1）</w:t>
            </w:r>
            <w:r>
              <w:rPr>
                <w:rFonts w:hint="eastAsia"/>
                <w:color w:val="auto"/>
                <w:highlight w:val="none"/>
              </w:rPr>
              <w:t>根据产品质保期，稳定性、安全性和耐用性</w:t>
            </w:r>
            <w:r>
              <w:rPr>
                <w:rFonts w:hint="eastAsia"/>
                <w:color w:val="auto"/>
                <w:highlight w:val="none"/>
                <w:lang w:eastAsia="zh-CN"/>
              </w:rPr>
              <w:t>综</w:t>
            </w:r>
            <w:r>
              <w:rPr>
                <w:rFonts w:hint="eastAsia"/>
                <w:color w:val="auto"/>
                <w:highlight w:val="none"/>
              </w:rPr>
              <w:t>合评审。质量可靠</w:t>
            </w:r>
            <w:r>
              <w:rPr>
                <w:rFonts w:hint="eastAsia" w:cs="宋体" w:asciiTheme="minorEastAsia" w:hAnsiTheme="minorEastAsia" w:eastAsiaTheme="minorEastAsia"/>
                <w:color w:val="auto"/>
                <w:szCs w:val="21"/>
                <w:highlight w:val="none"/>
              </w:rPr>
              <w:t>、安全，得（2,4]分，其他得[0,2]分</w:t>
            </w:r>
            <w:r>
              <w:rPr>
                <w:rFonts w:hint="eastAsia" w:cs="宋体" w:asciiTheme="minorEastAsia" w:hAnsiTheme="minorEastAsia" w:eastAsiaTheme="minorEastAsia"/>
                <w:color w:val="auto"/>
                <w:szCs w:val="21"/>
                <w:highlight w:val="none"/>
                <w:lang w:eastAsia="zh-CN"/>
              </w:rPr>
              <w:t>。</w:t>
            </w:r>
          </w:p>
          <w:p>
            <w:pPr>
              <w:spacing w:line="360" w:lineRule="auto"/>
              <w:ind w:left="315" w:leftChars="0" w:hanging="315" w:hangingChars="150"/>
              <w:contextualSpacing/>
              <w:rPr>
                <w:rFonts w:hint="eastAsia" w:ascii="宋体" w:hAnsi="宋体" w:eastAsia="宋体" w:cs="Times New Roman"/>
                <w:color w:val="auto"/>
                <w:kern w:val="2"/>
                <w:sz w:val="21"/>
                <w:szCs w:val="21"/>
                <w:highlight w:val="none"/>
                <w:lang w:val="en-US" w:eastAsia="zh-CN" w:bidi="ar-SA"/>
              </w:rPr>
            </w:pPr>
            <w:r>
              <w:rPr>
                <w:rFonts w:hint="eastAsia"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lang w:val="en-US" w:eastAsia="zh-CN"/>
              </w:rPr>
              <w:t>备品、配件供应有保障，产品附属配件、易损件、零配件在主体设备寿命极限内的保障能力，按其响应程度得</w:t>
            </w:r>
            <w:r>
              <w:rPr>
                <w:rFonts w:hint="eastAsia" w:cs="宋体" w:asciiTheme="minorEastAsia" w:hAnsiTheme="minorEastAsia" w:eastAsiaTheme="minorEastAsia"/>
                <w:color w:val="auto"/>
                <w:szCs w:val="21"/>
                <w:highlight w:val="none"/>
              </w:rPr>
              <w:t>[0,</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3" w:type="dxa"/>
            <w:vMerge w:val="continue"/>
            <w:vAlign w:val="center"/>
          </w:tcPr>
          <w:p>
            <w:pPr>
              <w:spacing w:line="360" w:lineRule="auto"/>
              <w:contextualSpacing/>
              <w:jc w:val="center"/>
              <w:rPr>
                <w:rFonts w:cs="宋体" w:asciiTheme="minorEastAsia" w:hAnsiTheme="minorEastAsia" w:eastAsiaTheme="minorEastAsia"/>
                <w:color w:val="auto"/>
                <w:szCs w:val="21"/>
                <w:highlight w:val="none"/>
              </w:rPr>
            </w:pPr>
          </w:p>
        </w:tc>
        <w:tc>
          <w:tcPr>
            <w:tcW w:w="721" w:type="dxa"/>
            <w:vAlign w:val="center"/>
          </w:tcPr>
          <w:p>
            <w:pPr>
              <w:spacing w:line="360" w:lineRule="auto"/>
              <w:ind w:right="-107" w:rightChars="-51"/>
              <w:contextualSpacing/>
              <w:jc w:val="center"/>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val="en-US" w:eastAsia="zh-CN"/>
              </w:rPr>
              <w:t>4</w:t>
            </w:r>
          </w:p>
        </w:tc>
        <w:tc>
          <w:tcPr>
            <w:tcW w:w="1953" w:type="dxa"/>
            <w:vAlign w:val="center"/>
          </w:tcPr>
          <w:p>
            <w:pPr>
              <w:spacing w:line="360" w:lineRule="auto"/>
              <w:contextualSpacing/>
              <w:jc w:val="center"/>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供货</w:t>
            </w:r>
            <w:r>
              <w:rPr>
                <w:rFonts w:hint="eastAsia" w:cs="宋体" w:asciiTheme="minorEastAsia" w:hAnsiTheme="minorEastAsia" w:eastAsiaTheme="minorEastAsia"/>
                <w:color w:val="auto"/>
                <w:szCs w:val="21"/>
                <w:highlight w:val="none"/>
                <w:lang w:eastAsia="zh-CN"/>
              </w:rPr>
              <w:t>及履约能力</w:t>
            </w:r>
          </w:p>
          <w:p>
            <w:pPr>
              <w:spacing w:line="360" w:lineRule="auto"/>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分</w:t>
            </w:r>
          </w:p>
        </w:tc>
        <w:tc>
          <w:tcPr>
            <w:tcW w:w="4916" w:type="dxa"/>
            <w:vAlign w:val="center"/>
          </w:tcPr>
          <w:p>
            <w:pPr>
              <w:spacing w:line="360" w:lineRule="auto"/>
              <w:contextualSpacing/>
              <w:jc w:val="left"/>
              <w:rPr>
                <w:color w:val="auto"/>
                <w:highlight w:val="none"/>
              </w:rPr>
            </w:pPr>
            <w:r>
              <w:rPr>
                <w:rFonts w:hint="eastAsia"/>
                <w:color w:val="auto"/>
                <w:highlight w:val="none"/>
              </w:rPr>
              <w:t>针对本项目提供具体可行的供货、</w:t>
            </w:r>
            <w:r>
              <w:rPr>
                <w:rFonts w:hint="eastAsia" w:cs="宋体" w:asciiTheme="minorEastAsia" w:hAnsiTheme="minorEastAsia" w:eastAsiaTheme="minorEastAsia"/>
                <w:color w:val="auto"/>
                <w:szCs w:val="21"/>
                <w:highlight w:val="none"/>
              </w:rPr>
              <w:t>安装程序、设备材料更换</w:t>
            </w:r>
            <w:r>
              <w:rPr>
                <w:rFonts w:hint="eastAsia" w:cs="宋体" w:asciiTheme="minorEastAsia" w:hAnsiTheme="minorEastAsia" w:eastAsiaTheme="minorEastAsia"/>
                <w:color w:val="auto"/>
                <w:szCs w:val="21"/>
                <w:highlight w:val="none"/>
                <w:lang w:eastAsia="zh-CN"/>
              </w:rPr>
              <w:t>、</w:t>
            </w:r>
            <w:r>
              <w:rPr>
                <w:rFonts w:hint="eastAsia"/>
                <w:color w:val="auto"/>
                <w:highlight w:val="none"/>
              </w:rPr>
              <w:t>保证按期供货</w:t>
            </w:r>
            <w:r>
              <w:rPr>
                <w:rFonts w:hint="eastAsia"/>
                <w:color w:val="auto"/>
                <w:highlight w:val="none"/>
                <w:lang w:eastAsia="zh-CN"/>
              </w:rPr>
              <w:t>及履约</w:t>
            </w:r>
            <w:r>
              <w:rPr>
                <w:rFonts w:hint="eastAsia"/>
                <w:color w:val="auto"/>
                <w:highlight w:val="none"/>
              </w:rPr>
              <w:t>的说明。方案明确、可行，得</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]分，方案基本明确、可行，对</w:t>
            </w:r>
            <w:r>
              <w:rPr>
                <w:rFonts w:hint="eastAsia" w:cs="宋体" w:asciiTheme="minorEastAsia" w:hAnsiTheme="minorEastAsia" w:eastAsiaTheme="minorEastAsia"/>
                <w:color w:val="auto"/>
                <w:szCs w:val="21"/>
                <w:highlight w:val="none"/>
                <w:lang w:eastAsia="zh-CN"/>
              </w:rPr>
              <w:t>项目</w:t>
            </w:r>
            <w:r>
              <w:rPr>
                <w:rFonts w:hint="eastAsia" w:cs="宋体" w:asciiTheme="minorEastAsia" w:hAnsiTheme="minorEastAsia" w:eastAsiaTheme="minorEastAsia"/>
                <w:color w:val="auto"/>
                <w:szCs w:val="21"/>
                <w:highlight w:val="none"/>
              </w:rPr>
              <w:t>实际情况考虑不足，得[0,</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3" w:type="dxa"/>
            <w:vMerge w:val="continue"/>
            <w:vAlign w:val="center"/>
          </w:tcPr>
          <w:p>
            <w:pPr>
              <w:spacing w:line="360" w:lineRule="auto"/>
              <w:contextualSpacing/>
              <w:jc w:val="center"/>
              <w:rPr>
                <w:rFonts w:cs="宋体" w:asciiTheme="minorEastAsia" w:hAnsiTheme="minorEastAsia" w:eastAsiaTheme="minorEastAsia"/>
                <w:color w:val="auto"/>
                <w:szCs w:val="21"/>
                <w:highlight w:val="none"/>
              </w:rPr>
            </w:pPr>
          </w:p>
        </w:tc>
        <w:tc>
          <w:tcPr>
            <w:tcW w:w="721" w:type="dxa"/>
            <w:vAlign w:val="center"/>
          </w:tcPr>
          <w:p>
            <w:pPr>
              <w:spacing w:line="360" w:lineRule="auto"/>
              <w:contextualSpacing/>
              <w:jc w:val="center"/>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val="en-US" w:eastAsia="zh-CN"/>
              </w:rPr>
              <w:t>5</w:t>
            </w:r>
          </w:p>
        </w:tc>
        <w:tc>
          <w:tcPr>
            <w:tcW w:w="1953" w:type="dxa"/>
            <w:vAlign w:val="center"/>
          </w:tcPr>
          <w:p>
            <w:pPr>
              <w:spacing w:line="360" w:lineRule="auto"/>
              <w:ind w:left="10" w:hanging="10" w:hangingChars="5"/>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售后服务</w:t>
            </w:r>
          </w:p>
          <w:p>
            <w:pPr>
              <w:spacing w:line="360" w:lineRule="auto"/>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10</w:t>
            </w:r>
            <w:r>
              <w:rPr>
                <w:rFonts w:hint="eastAsia" w:cs="宋体" w:asciiTheme="minorEastAsia" w:hAnsiTheme="minorEastAsia" w:eastAsiaTheme="minorEastAsia"/>
                <w:color w:val="auto"/>
                <w:szCs w:val="21"/>
                <w:highlight w:val="none"/>
              </w:rPr>
              <w:t>分</w:t>
            </w:r>
          </w:p>
        </w:tc>
        <w:tc>
          <w:tcPr>
            <w:tcW w:w="4916" w:type="dxa"/>
            <w:vAlign w:val="center"/>
          </w:tcPr>
          <w:p>
            <w:pPr>
              <w:spacing w:line="360" w:lineRule="auto"/>
              <w:ind w:left="315" w:hanging="315" w:hangingChars="150"/>
              <w:contextualSpacing/>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lang w:val="zh-CN"/>
              </w:rPr>
              <w:t>）提供详细具体可行的售后服务措施、厂家售后服务承诺。</w:t>
            </w:r>
            <w:r>
              <w:rPr>
                <w:rFonts w:hint="eastAsia" w:cs="宋体" w:asciiTheme="minorEastAsia" w:hAnsiTheme="minorEastAsia" w:eastAsiaTheme="minorEastAsia"/>
                <w:color w:val="auto"/>
                <w:szCs w:val="21"/>
                <w:highlight w:val="none"/>
              </w:rPr>
              <w:t>承诺内容全面、可行性强，得（3，5]分，承诺内容完整、可行性一般，得[0,3]分；</w:t>
            </w:r>
          </w:p>
          <w:p>
            <w:pPr>
              <w:spacing w:line="360" w:lineRule="auto"/>
              <w:ind w:left="315" w:hanging="315" w:hangingChars="150"/>
              <w:contextualSpacing/>
              <w:rPr>
                <w:rFonts w:asciiTheme="minorEastAsia" w:hAnsiTheme="minorEastAsia" w:eastAsiaTheme="minorEastAsia"/>
                <w:color w:val="auto"/>
                <w:highlight w:val="none"/>
              </w:rPr>
            </w:pPr>
            <w:r>
              <w:rPr>
                <w:rFonts w:hint="eastAsia" w:cs="宋体" w:asciiTheme="minorEastAsia" w:hAnsiTheme="minorEastAsia" w:eastAsiaTheme="minorEastAsia"/>
                <w:color w:val="auto"/>
                <w:szCs w:val="21"/>
                <w:highlight w:val="none"/>
              </w:rPr>
              <w:t>2）发生故障或产品有破损后的补救措施，措施完善、及时性、可行性强，得（</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]分，措施较完善、及时性、可行性一般，得[0,</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]分</w:t>
            </w:r>
            <w:r>
              <w:rPr>
                <w:rFonts w:hint="eastAsia" w:cs="宋体" w:asciiTheme="minorEastAsia" w:hAnsiTheme="minorEastAsia" w:eastAsiaTheme="minorEastAsia"/>
                <w:color w:val="auto"/>
                <w:szCs w:val="21"/>
                <w:highlight w:val="none"/>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3" w:type="dxa"/>
            <w:vMerge w:val="restart"/>
            <w:vAlign w:val="center"/>
          </w:tcPr>
          <w:p>
            <w:pPr>
              <w:spacing w:line="360" w:lineRule="auto"/>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商务4</w:t>
            </w: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分</w:t>
            </w:r>
          </w:p>
        </w:tc>
        <w:tc>
          <w:tcPr>
            <w:tcW w:w="721" w:type="dxa"/>
            <w:vAlign w:val="center"/>
          </w:tcPr>
          <w:p>
            <w:pPr>
              <w:spacing w:line="360" w:lineRule="auto"/>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1953" w:type="dxa"/>
            <w:vAlign w:val="center"/>
          </w:tcPr>
          <w:p>
            <w:pPr>
              <w:spacing w:line="360" w:lineRule="auto"/>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价格</w:t>
            </w:r>
          </w:p>
          <w:p>
            <w:pPr>
              <w:widowControl/>
              <w:spacing w:line="360" w:lineRule="auto"/>
              <w:ind w:left="15" w:leftChars="6" w:hanging="2"/>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30分</w:t>
            </w:r>
          </w:p>
        </w:tc>
        <w:tc>
          <w:tcPr>
            <w:tcW w:w="4916" w:type="dxa"/>
            <w:vAlign w:val="center"/>
          </w:tcPr>
          <w:p>
            <w:pPr>
              <w:spacing w:line="360" w:lineRule="auto"/>
              <w:ind w:left="315" w:hanging="315" w:hangingChars="150"/>
              <w:contextualSpacing/>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1）最低评审价为评审基准价，得30分。</w:t>
            </w:r>
          </w:p>
          <w:p>
            <w:pPr>
              <w:spacing w:line="360" w:lineRule="auto"/>
              <w:ind w:left="315" w:hanging="315" w:hangingChars="150"/>
              <w:contextualSpacing/>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2）按（评审基准价/评审价×30）的公式计算价格得分。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753" w:type="dxa"/>
            <w:vMerge w:val="continue"/>
            <w:vAlign w:val="center"/>
          </w:tcPr>
          <w:p>
            <w:pPr>
              <w:spacing w:line="360" w:lineRule="auto"/>
              <w:contextualSpacing/>
              <w:jc w:val="center"/>
              <w:rPr>
                <w:rFonts w:cs="宋体" w:asciiTheme="minorEastAsia" w:hAnsiTheme="minorEastAsia" w:eastAsiaTheme="minorEastAsia"/>
                <w:color w:val="auto"/>
                <w:szCs w:val="21"/>
                <w:highlight w:val="none"/>
              </w:rPr>
            </w:pPr>
          </w:p>
        </w:tc>
        <w:tc>
          <w:tcPr>
            <w:tcW w:w="721" w:type="dxa"/>
            <w:vAlign w:val="center"/>
          </w:tcPr>
          <w:p>
            <w:pPr>
              <w:spacing w:line="360" w:lineRule="auto"/>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p>
        </w:tc>
        <w:tc>
          <w:tcPr>
            <w:tcW w:w="1953" w:type="dxa"/>
            <w:vAlign w:val="center"/>
          </w:tcPr>
          <w:p>
            <w:pPr>
              <w:spacing w:line="360" w:lineRule="auto"/>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综合实力</w:t>
            </w:r>
          </w:p>
          <w:p>
            <w:pPr>
              <w:pStyle w:val="2"/>
              <w:ind w:firstLine="630" w:firstLineChars="300"/>
              <w:rPr>
                <w:color w:val="auto"/>
                <w:highlight w:val="none"/>
              </w:rPr>
            </w:pP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分</w:t>
            </w:r>
          </w:p>
        </w:tc>
        <w:tc>
          <w:tcPr>
            <w:tcW w:w="4916" w:type="dxa"/>
            <w:vAlign w:val="center"/>
          </w:tcPr>
          <w:p>
            <w:pPr>
              <w:spacing w:line="360" w:lineRule="auto"/>
              <w:contextualSpacing/>
              <w:jc w:val="left"/>
              <w:rPr>
                <w:color w:val="auto"/>
                <w:highlight w:val="none"/>
              </w:rPr>
            </w:pPr>
            <w:r>
              <w:rPr>
                <w:rFonts w:hint="eastAsia" w:cs="宋体" w:asciiTheme="minorEastAsia" w:hAnsiTheme="minorEastAsia" w:eastAsiaTheme="minorEastAsia"/>
                <w:color w:val="auto"/>
                <w:szCs w:val="21"/>
                <w:highlight w:val="none"/>
                <w:lang w:eastAsia="zh-CN"/>
              </w:rPr>
              <w:t>基本情况介绍：具备良好的信誉，有经营实力，有足够的技术力量，得（</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lang w:eastAsia="zh-CN"/>
              </w:rPr>
              <w:t>]分，</w:t>
            </w:r>
            <w:r>
              <w:rPr>
                <w:rFonts w:hint="eastAsia" w:cs="宋体" w:asciiTheme="minorEastAsia" w:hAnsiTheme="minorEastAsia" w:eastAsiaTheme="minorEastAsia"/>
                <w:color w:val="auto"/>
                <w:szCs w:val="21"/>
                <w:highlight w:val="none"/>
              </w:rPr>
              <w:t>其他得[0,</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3" w:type="dxa"/>
            <w:vMerge w:val="continue"/>
            <w:vAlign w:val="center"/>
          </w:tcPr>
          <w:p>
            <w:pPr>
              <w:spacing w:line="360" w:lineRule="auto"/>
              <w:contextualSpacing/>
              <w:jc w:val="center"/>
              <w:rPr>
                <w:rFonts w:cs="宋体" w:asciiTheme="minorEastAsia" w:hAnsiTheme="minorEastAsia" w:eastAsiaTheme="minorEastAsia"/>
                <w:color w:val="auto"/>
                <w:szCs w:val="21"/>
                <w:highlight w:val="none"/>
              </w:rPr>
            </w:pPr>
          </w:p>
        </w:tc>
        <w:tc>
          <w:tcPr>
            <w:tcW w:w="721" w:type="dxa"/>
            <w:vAlign w:val="center"/>
          </w:tcPr>
          <w:p>
            <w:pPr>
              <w:spacing w:line="360" w:lineRule="auto"/>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p>
        </w:tc>
        <w:tc>
          <w:tcPr>
            <w:tcW w:w="1953" w:type="dxa"/>
            <w:vAlign w:val="center"/>
          </w:tcPr>
          <w:p>
            <w:pPr>
              <w:spacing w:line="360" w:lineRule="auto"/>
              <w:ind w:left="10" w:hanging="10" w:hangingChars="5"/>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业绩</w:t>
            </w:r>
          </w:p>
          <w:p>
            <w:pPr>
              <w:spacing w:line="360" w:lineRule="auto"/>
              <w:ind w:left="10" w:hanging="10" w:hangingChars="5"/>
              <w:contextualSpacing/>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10分</w:t>
            </w:r>
          </w:p>
        </w:tc>
        <w:tc>
          <w:tcPr>
            <w:tcW w:w="4916" w:type="dxa"/>
            <w:vAlign w:val="center"/>
          </w:tcPr>
          <w:p>
            <w:pPr>
              <w:spacing w:line="360" w:lineRule="auto"/>
              <w:contextualSpacing/>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201</w:t>
            </w:r>
            <w:r>
              <w:rPr>
                <w:rFonts w:hint="eastAsia" w:cs="宋体" w:asciiTheme="minorEastAsia" w:hAnsiTheme="minorEastAsia" w:eastAsiaTheme="minorEastAsia"/>
                <w:color w:val="auto"/>
                <w:szCs w:val="21"/>
                <w:highlight w:val="none"/>
                <w:lang w:val="en-US" w:eastAsia="zh-CN"/>
              </w:rPr>
              <w:t>9</w:t>
            </w:r>
            <w:r>
              <w:rPr>
                <w:rFonts w:hint="eastAsia" w:cs="宋体" w:asciiTheme="minorEastAsia" w:hAnsiTheme="minorEastAsia" w:eastAsiaTheme="minorEastAsia"/>
                <w:color w:val="auto"/>
                <w:szCs w:val="21"/>
                <w:highlight w:val="none"/>
              </w:rPr>
              <w:t>年1月1日起至今承担的类似项目业绩（附中标（成交）通知书及合同复印件），每提供一份有效业绩得2分，最多得10分。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43" w:type="dxa"/>
            <w:gridSpan w:val="4"/>
            <w:vAlign w:val="center"/>
          </w:tcPr>
          <w:p>
            <w:pPr>
              <w:spacing w:line="360" w:lineRule="auto"/>
              <w:contextualSpacing/>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1）评标委员会成员独立打分。</w:t>
            </w:r>
          </w:p>
          <w:p>
            <w:pPr>
              <w:spacing w:line="360" w:lineRule="auto"/>
              <w:ind w:left="315" w:hanging="315" w:hangingChars="150"/>
              <w:contextualSpacing/>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Cs w:val="21"/>
                <w:highlight w:val="none"/>
              </w:rPr>
              <w:t>2）评标委员会成员打分超过得分界限或未按本表规定赋分时，该成员的打分无效，不计入汇总分。</w:t>
            </w:r>
          </w:p>
          <w:p>
            <w:pPr>
              <w:spacing w:line="360" w:lineRule="auto"/>
              <w:ind w:left="315" w:hanging="315" w:hangingChars="150"/>
              <w:contextualSpacing/>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3）若出现综合得分相同的，按投标报价由低到高顺序排列名次；得分且投标报价相同的，按技术指标得分顺序排列名次。</w:t>
            </w:r>
          </w:p>
          <w:p>
            <w:pPr>
              <w:spacing w:line="360" w:lineRule="auto"/>
              <w:contextualSpacing/>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4）各种计算采用插入法，最终结果数字保留二位小数，第三位“四舍五入”。</w:t>
            </w:r>
          </w:p>
        </w:tc>
      </w:tr>
    </w:tbl>
    <w:p>
      <w:pPr>
        <w:pStyle w:val="2"/>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57"/>
        <w:rPr>
          <w:rFonts w:asciiTheme="minorEastAsia" w:hAnsiTheme="minorEastAsia" w:eastAsiaTheme="minorEastAsia"/>
          <w:color w:val="auto"/>
          <w:highlight w:val="none"/>
        </w:rPr>
      </w:pPr>
      <w:bookmarkStart w:id="162" w:name="_Toc15470"/>
      <w:bookmarkStart w:id="163" w:name="_Toc24871"/>
      <w:bookmarkStart w:id="164" w:name="_Toc19941"/>
      <w:bookmarkStart w:id="165" w:name="_Toc37938440"/>
      <w:bookmarkStart w:id="166" w:name="_Toc47725892"/>
      <w:r>
        <w:rPr>
          <w:rFonts w:hint="eastAsia" w:asciiTheme="minorEastAsia" w:hAnsiTheme="minorEastAsia" w:eastAsiaTheme="minorEastAsia"/>
          <w:color w:val="auto"/>
          <w:highlight w:val="none"/>
        </w:rPr>
        <w:t>第六章  投标文件格式</w:t>
      </w:r>
      <w:bookmarkEnd w:id="162"/>
      <w:bookmarkEnd w:id="163"/>
      <w:bookmarkEnd w:id="164"/>
      <w:bookmarkEnd w:id="165"/>
      <w:bookmarkEnd w:id="166"/>
    </w:p>
    <w:p>
      <w:pP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p>
    <w:p>
      <w:pPr>
        <w:pStyle w:val="57"/>
        <w:rPr>
          <w:rFonts w:asciiTheme="minorEastAsia" w:hAnsiTheme="minorEastAsia" w:eastAsiaTheme="minorEastAsia"/>
          <w:color w:val="auto"/>
          <w:highlight w:val="none"/>
        </w:rPr>
      </w:pPr>
    </w:p>
    <w:p>
      <w:pPr>
        <w:jc w:val="center"/>
        <w:rPr>
          <w:rFonts w:asciiTheme="minorEastAsia" w:hAnsiTheme="minorEastAsia" w:eastAsiaTheme="minorEastAsia"/>
          <w:b/>
          <w:color w:val="auto"/>
          <w:sz w:val="44"/>
          <w:szCs w:val="44"/>
          <w:highlight w:val="none"/>
        </w:rPr>
      </w:pPr>
    </w:p>
    <w:p>
      <w:pPr>
        <w:jc w:val="center"/>
        <w:outlineLvl w:val="0"/>
        <w:rPr>
          <w:rFonts w:asciiTheme="minorEastAsia" w:hAnsiTheme="minorEastAsia" w:eastAsiaTheme="minorEastAsia"/>
          <w:b/>
          <w:color w:val="auto"/>
          <w:sz w:val="44"/>
          <w:szCs w:val="44"/>
          <w:highlight w:val="none"/>
        </w:rPr>
      </w:pPr>
      <w:bookmarkStart w:id="167" w:name="_Toc16053"/>
      <w:bookmarkStart w:id="168" w:name="_Toc16033"/>
      <w:bookmarkStart w:id="169" w:name="_Toc47725893"/>
      <w:bookmarkStart w:id="170" w:name="_Toc27471"/>
      <w:bookmarkStart w:id="171" w:name="_Toc22771"/>
      <w:bookmarkStart w:id="172" w:name="_Toc5871"/>
      <w:bookmarkStart w:id="173" w:name="_Toc75948165"/>
      <w:r>
        <w:rPr>
          <w:rFonts w:hint="eastAsia" w:asciiTheme="minorEastAsia" w:hAnsiTheme="minorEastAsia" w:eastAsiaTheme="minorEastAsia"/>
          <w:b/>
          <w:color w:val="auto"/>
          <w:sz w:val="44"/>
          <w:szCs w:val="44"/>
          <w:highlight w:val="none"/>
        </w:rPr>
        <w:t>政府采购货物项目</w:t>
      </w:r>
      <w:bookmarkEnd w:id="167"/>
      <w:bookmarkEnd w:id="168"/>
      <w:bookmarkEnd w:id="169"/>
      <w:bookmarkEnd w:id="170"/>
      <w:bookmarkEnd w:id="171"/>
      <w:bookmarkEnd w:id="172"/>
      <w:bookmarkEnd w:id="173"/>
    </w:p>
    <w:p>
      <w:pPr>
        <w:jc w:val="center"/>
        <w:rPr>
          <w:rFonts w:asciiTheme="minorEastAsia" w:hAnsiTheme="minorEastAsia" w:eastAsiaTheme="minorEastAsia"/>
          <w:b/>
          <w:color w:val="auto"/>
          <w:sz w:val="24"/>
          <w:szCs w:val="24"/>
          <w:highlight w:val="none"/>
        </w:rPr>
      </w:pPr>
    </w:p>
    <w:p>
      <w:pPr>
        <w:jc w:val="center"/>
        <w:rPr>
          <w:rFonts w:asciiTheme="minorEastAsia" w:hAnsiTheme="minorEastAsia" w:eastAsiaTheme="minorEastAsia"/>
          <w:b/>
          <w:color w:val="auto"/>
          <w:sz w:val="24"/>
          <w:szCs w:val="24"/>
          <w:highlight w:val="none"/>
        </w:rPr>
      </w:pPr>
    </w:p>
    <w:p>
      <w:pPr>
        <w:jc w:val="center"/>
        <w:rPr>
          <w:rFonts w:asciiTheme="minorEastAsia" w:hAnsiTheme="minorEastAsia" w:eastAsiaTheme="minorEastAsia"/>
          <w:b/>
          <w:color w:val="auto"/>
          <w:sz w:val="24"/>
          <w:szCs w:val="24"/>
          <w:highlight w:val="none"/>
        </w:rPr>
      </w:pPr>
    </w:p>
    <w:p>
      <w:pPr>
        <w:jc w:val="center"/>
        <w:rPr>
          <w:rFonts w:asciiTheme="minorEastAsia" w:hAnsiTheme="minorEastAsia" w:eastAsiaTheme="minorEastAsia"/>
          <w:b/>
          <w:color w:val="auto"/>
          <w:sz w:val="24"/>
          <w:szCs w:val="24"/>
          <w:highlight w:val="none"/>
        </w:rPr>
      </w:pPr>
    </w:p>
    <w:p>
      <w:pPr>
        <w:jc w:val="center"/>
        <w:outlineLvl w:val="1"/>
        <w:rPr>
          <w:rFonts w:asciiTheme="minorEastAsia" w:hAnsiTheme="minorEastAsia" w:eastAsiaTheme="minorEastAsia"/>
          <w:b/>
          <w:color w:val="auto"/>
          <w:sz w:val="84"/>
          <w:szCs w:val="84"/>
          <w:highlight w:val="none"/>
        </w:rPr>
      </w:pPr>
      <w:bookmarkStart w:id="174" w:name="_Toc11333"/>
      <w:bookmarkStart w:id="175" w:name="_Toc75948166"/>
      <w:bookmarkStart w:id="176" w:name="_Toc23168"/>
      <w:bookmarkStart w:id="177" w:name="_Toc661"/>
      <w:bookmarkStart w:id="178" w:name="_Toc18496"/>
      <w:r>
        <w:rPr>
          <w:rFonts w:hint="eastAsia" w:asciiTheme="minorEastAsia" w:hAnsiTheme="minorEastAsia" w:eastAsiaTheme="minorEastAsia"/>
          <w:b/>
          <w:color w:val="auto"/>
          <w:sz w:val="84"/>
          <w:szCs w:val="84"/>
          <w:highlight w:val="none"/>
        </w:rPr>
        <w:t>投 标 文 件</w:t>
      </w:r>
      <w:bookmarkEnd w:id="174"/>
      <w:bookmarkEnd w:id="175"/>
      <w:bookmarkEnd w:id="176"/>
      <w:bookmarkEnd w:id="177"/>
      <w:bookmarkEnd w:id="178"/>
    </w:p>
    <w:p>
      <w:pPr>
        <w:jc w:val="center"/>
        <w:rPr>
          <w:rFonts w:asciiTheme="minorEastAsia" w:hAnsiTheme="minorEastAsia" w:eastAsiaTheme="minorEastAsia"/>
          <w:b/>
          <w:color w:val="auto"/>
          <w:sz w:val="36"/>
          <w:szCs w:val="36"/>
          <w:highlight w:val="none"/>
        </w:rPr>
      </w:pPr>
    </w:p>
    <w:p>
      <w:pPr>
        <w:pStyle w:val="4"/>
        <w:rPr>
          <w:rFonts w:asciiTheme="minorEastAsia" w:hAnsiTheme="minorEastAsia" w:eastAsiaTheme="minorEastAsia"/>
          <w:color w:val="auto"/>
          <w:highlight w:val="none"/>
        </w:rPr>
      </w:pPr>
      <w:bookmarkStart w:id="179" w:name="_Toc37938441"/>
      <w:bookmarkStart w:id="180" w:name="_Toc2979"/>
      <w:bookmarkStart w:id="181" w:name="_Toc31978"/>
      <w:bookmarkStart w:id="182" w:name="_Toc11524"/>
      <w:bookmarkStart w:id="183" w:name="_Toc47725894"/>
      <w:bookmarkStart w:id="184" w:name="_Toc14919"/>
      <w:r>
        <w:rPr>
          <w:rFonts w:hint="eastAsia" w:asciiTheme="minorEastAsia" w:hAnsiTheme="minorEastAsia" w:eastAsiaTheme="minorEastAsia"/>
          <w:color w:val="auto"/>
          <w:highlight w:val="none"/>
        </w:rPr>
        <w:t>（资格部分）</w:t>
      </w:r>
      <w:bookmarkEnd w:id="179"/>
      <w:bookmarkEnd w:id="180"/>
      <w:bookmarkEnd w:id="181"/>
      <w:bookmarkEnd w:id="182"/>
      <w:bookmarkEnd w:id="183"/>
      <w:bookmarkEnd w:id="184"/>
    </w:p>
    <w:p>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 xml:space="preserve">  </w:t>
      </w:r>
    </w:p>
    <w:p>
      <w:pPr>
        <w:jc w:val="center"/>
        <w:rPr>
          <w:rFonts w:asciiTheme="minorEastAsia" w:hAnsiTheme="minorEastAsia" w:eastAsiaTheme="minorEastAsia"/>
          <w:b/>
          <w:color w:val="auto"/>
          <w:sz w:val="24"/>
          <w:szCs w:val="24"/>
          <w:highlight w:val="none"/>
        </w:rPr>
      </w:pPr>
    </w:p>
    <w:p>
      <w:pPr>
        <w:jc w:val="center"/>
        <w:rPr>
          <w:rFonts w:asciiTheme="minorEastAsia" w:hAnsiTheme="minorEastAsia" w:eastAsiaTheme="minorEastAsia"/>
          <w:color w:val="auto"/>
          <w:sz w:val="24"/>
          <w:szCs w:val="24"/>
          <w:highlight w:val="none"/>
        </w:rPr>
      </w:pPr>
    </w:p>
    <w:p>
      <w:pPr>
        <w:jc w:val="center"/>
        <w:rPr>
          <w:rFonts w:asciiTheme="minorEastAsia" w:hAnsiTheme="minorEastAsia" w:eastAsiaTheme="minorEastAsia"/>
          <w:color w:val="auto"/>
          <w:sz w:val="24"/>
          <w:szCs w:val="24"/>
          <w:highlight w:val="none"/>
        </w:rPr>
      </w:pPr>
    </w:p>
    <w:p>
      <w:pPr>
        <w:jc w:val="center"/>
        <w:rPr>
          <w:rFonts w:asciiTheme="minorEastAsia" w:hAnsiTheme="minorEastAsia" w:eastAsiaTheme="minorEastAsia"/>
          <w:color w:val="auto"/>
          <w:sz w:val="24"/>
          <w:szCs w:val="24"/>
          <w:highlight w:val="none"/>
        </w:rPr>
      </w:pPr>
    </w:p>
    <w:p>
      <w:pPr>
        <w:jc w:val="center"/>
        <w:rPr>
          <w:rFonts w:asciiTheme="minorEastAsia" w:hAnsiTheme="minorEastAsia" w:eastAsiaTheme="minorEastAsia"/>
          <w:color w:val="auto"/>
          <w:sz w:val="24"/>
          <w:szCs w:val="24"/>
          <w:highlight w:val="none"/>
        </w:rPr>
      </w:pPr>
    </w:p>
    <w:p>
      <w:pPr>
        <w:tabs>
          <w:tab w:val="left" w:pos="2628"/>
        </w:tabs>
        <w:spacing w:line="360" w:lineRule="auto"/>
        <w:ind w:left="2498" w:leftChars="401" w:hanging="1656" w:hangingChars="550"/>
        <w:jc w:val="left"/>
        <w:rPr>
          <w:rFonts w:asciiTheme="minorEastAsia" w:hAnsiTheme="minorEastAsia" w:eastAsiaTheme="minorEastAsia"/>
          <w:b/>
          <w:bCs/>
          <w:color w:val="auto"/>
          <w:sz w:val="30"/>
          <w:szCs w:val="30"/>
          <w:highlight w:val="none"/>
        </w:rPr>
      </w:pPr>
      <w:r>
        <w:rPr>
          <w:rFonts w:hint="eastAsia" w:asciiTheme="minorEastAsia" w:hAnsiTheme="minorEastAsia" w:eastAsiaTheme="minorEastAsia"/>
          <w:b/>
          <w:bCs/>
          <w:color w:val="auto"/>
          <w:sz w:val="30"/>
          <w:szCs w:val="30"/>
          <w:highlight w:val="none"/>
        </w:rPr>
        <w:t>项目名称：</w:t>
      </w:r>
      <w:r>
        <w:rPr>
          <w:rFonts w:hint="eastAsia" w:asciiTheme="minorEastAsia" w:hAnsiTheme="minorEastAsia" w:eastAsiaTheme="minorEastAsia"/>
          <w:b/>
          <w:bCs/>
          <w:color w:val="auto"/>
          <w:sz w:val="30"/>
          <w:szCs w:val="30"/>
          <w:highlight w:val="none"/>
        </w:rPr>
        <w:tab/>
      </w:r>
    </w:p>
    <w:p>
      <w:pPr>
        <w:tabs>
          <w:tab w:val="left" w:pos="2628"/>
        </w:tabs>
        <w:spacing w:line="360" w:lineRule="auto"/>
        <w:ind w:left="843"/>
        <w:jc w:val="left"/>
        <w:rPr>
          <w:rFonts w:asciiTheme="minorEastAsia" w:hAnsiTheme="minorEastAsia" w:eastAsiaTheme="minorEastAsia"/>
          <w:b/>
          <w:bCs/>
          <w:color w:val="auto"/>
          <w:sz w:val="30"/>
          <w:szCs w:val="30"/>
          <w:highlight w:val="none"/>
        </w:rPr>
      </w:pPr>
      <w:r>
        <w:rPr>
          <w:rFonts w:hint="eastAsia" w:asciiTheme="minorEastAsia" w:hAnsiTheme="minorEastAsia" w:eastAsiaTheme="minorEastAsia"/>
          <w:b/>
          <w:bCs/>
          <w:color w:val="auto"/>
          <w:sz w:val="30"/>
          <w:szCs w:val="30"/>
          <w:highlight w:val="none"/>
        </w:rPr>
        <w:t>项目编号：</w:t>
      </w:r>
    </w:p>
    <w:p>
      <w:pPr>
        <w:pStyle w:val="2"/>
        <w:rPr>
          <w:rFonts w:asciiTheme="minorEastAsia" w:hAnsiTheme="minorEastAsia" w:eastAsiaTheme="minorEastAsia"/>
          <w:color w:val="auto"/>
          <w:highlight w:val="none"/>
        </w:rPr>
      </w:pPr>
    </w:p>
    <w:p>
      <w:pPr>
        <w:spacing w:line="360" w:lineRule="auto"/>
        <w:ind w:left="1080"/>
        <w:rPr>
          <w:rFonts w:asciiTheme="minorEastAsia" w:hAnsiTheme="minorEastAsia" w:eastAsiaTheme="minorEastAsia"/>
          <w:b/>
          <w:bCs/>
          <w:color w:val="auto"/>
          <w:sz w:val="30"/>
          <w:szCs w:val="30"/>
          <w:highlight w:val="none"/>
        </w:rPr>
      </w:pPr>
      <w:r>
        <w:rPr>
          <w:rFonts w:hint="eastAsia" w:asciiTheme="minorEastAsia" w:hAnsiTheme="minorEastAsia" w:eastAsiaTheme="minorEastAsia"/>
          <w:b/>
          <w:bCs/>
          <w:color w:val="auto"/>
          <w:sz w:val="30"/>
          <w:szCs w:val="30"/>
          <w:highlight w:val="none"/>
        </w:rPr>
        <w:t xml:space="preserve"> </w:t>
      </w:r>
    </w:p>
    <w:p>
      <w:pPr>
        <w:spacing w:line="360" w:lineRule="auto"/>
        <w:ind w:left="1080"/>
        <w:rPr>
          <w:rFonts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sz w:val="28"/>
          <w:szCs w:val="28"/>
          <w:highlight w:val="none"/>
        </w:rPr>
        <w:t xml:space="preserve">  </w:t>
      </w:r>
    </w:p>
    <w:p>
      <w:pPr>
        <w:jc w:val="center"/>
        <w:rPr>
          <w:rFonts w:asciiTheme="minorEastAsia" w:hAnsiTheme="minorEastAsia" w:eastAsiaTheme="minorEastAsia"/>
          <w:color w:val="auto"/>
          <w:sz w:val="44"/>
          <w:szCs w:val="44"/>
          <w:highlight w:val="none"/>
        </w:rPr>
      </w:pPr>
    </w:p>
    <w:p>
      <w:pPr>
        <w:jc w:val="center"/>
        <w:rPr>
          <w:rFonts w:asciiTheme="minorEastAsia" w:hAnsiTheme="minorEastAsia" w:eastAsiaTheme="minorEastAsia"/>
          <w:color w:val="auto"/>
          <w:sz w:val="44"/>
          <w:szCs w:val="44"/>
          <w:highlight w:val="none"/>
        </w:rPr>
      </w:pPr>
    </w:p>
    <w:p>
      <w:pPr>
        <w:ind w:firstLine="1506" w:firstLineChars="500"/>
        <w:rPr>
          <w:rFonts w:asciiTheme="minorEastAsia" w:hAnsiTheme="minorEastAsia" w:eastAsiaTheme="minorEastAsia"/>
          <w:b/>
          <w:color w:val="auto"/>
          <w:sz w:val="30"/>
          <w:szCs w:val="30"/>
          <w:highlight w:val="none"/>
        </w:rPr>
      </w:pPr>
      <w:r>
        <w:rPr>
          <w:rFonts w:hint="eastAsia" w:asciiTheme="minorEastAsia" w:hAnsiTheme="minorEastAsia" w:eastAsiaTheme="minorEastAsia"/>
          <w:b/>
          <w:color w:val="auto"/>
          <w:sz w:val="30"/>
          <w:szCs w:val="30"/>
          <w:highlight w:val="none"/>
        </w:rPr>
        <w:t>供应商：</w:t>
      </w:r>
      <w:r>
        <w:rPr>
          <w:rFonts w:hint="eastAsia" w:asciiTheme="minorEastAsia" w:hAnsiTheme="minorEastAsia" w:eastAsiaTheme="minorEastAsia"/>
          <w:b/>
          <w:color w:val="auto"/>
          <w:sz w:val="30"/>
          <w:szCs w:val="30"/>
          <w:highlight w:val="none"/>
          <w:u w:val="single"/>
        </w:rPr>
        <w:t xml:space="preserve">                   </w:t>
      </w:r>
      <w:r>
        <w:rPr>
          <w:rFonts w:hint="eastAsia" w:asciiTheme="minorEastAsia" w:hAnsiTheme="minorEastAsia" w:eastAsiaTheme="minorEastAsia"/>
          <w:b/>
          <w:color w:val="auto"/>
          <w:sz w:val="30"/>
          <w:szCs w:val="30"/>
          <w:highlight w:val="none"/>
        </w:rPr>
        <w:t>（公章）</w:t>
      </w:r>
    </w:p>
    <w:p>
      <w:pPr>
        <w:rPr>
          <w:rFonts w:asciiTheme="minorEastAsia" w:hAnsiTheme="minorEastAsia" w:eastAsiaTheme="minorEastAsia"/>
          <w:b/>
          <w:color w:val="auto"/>
          <w:sz w:val="30"/>
          <w:szCs w:val="30"/>
          <w:highlight w:val="none"/>
        </w:rPr>
      </w:pPr>
    </w:p>
    <w:p>
      <w:pPr>
        <w:ind w:firstLine="1506" w:firstLineChars="50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30"/>
          <w:szCs w:val="30"/>
          <w:highlight w:val="none"/>
        </w:rPr>
        <w:t>日  期：</w:t>
      </w:r>
      <w:r>
        <w:rPr>
          <w:rFonts w:hint="eastAsia" w:asciiTheme="minorEastAsia" w:hAnsiTheme="minorEastAsia" w:eastAsiaTheme="minorEastAsia"/>
          <w:b/>
          <w:color w:val="auto"/>
          <w:sz w:val="30"/>
          <w:szCs w:val="30"/>
          <w:highlight w:val="none"/>
          <w:u w:val="single"/>
        </w:rPr>
        <w:t xml:space="preserve">        </w:t>
      </w:r>
      <w:r>
        <w:rPr>
          <w:rFonts w:hint="eastAsia" w:asciiTheme="minorEastAsia" w:hAnsiTheme="minorEastAsia" w:eastAsiaTheme="minorEastAsia"/>
          <w:b/>
          <w:color w:val="auto"/>
          <w:sz w:val="30"/>
          <w:szCs w:val="30"/>
          <w:highlight w:val="none"/>
        </w:rPr>
        <w:t>年</w:t>
      </w:r>
      <w:r>
        <w:rPr>
          <w:rFonts w:hint="eastAsia" w:asciiTheme="minorEastAsia" w:hAnsiTheme="minorEastAsia" w:eastAsiaTheme="minorEastAsia"/>
          <w:b/>
          <w:color w:val="auto"/>
          <w:sz w:val="30"/>
          <w:szCs w:val="30"/>
          <w:highlight w:val="none"/>
          <w:u w:val="single"/>
        </w:rPr>
        <w:t xml:space="preserve">    </w:t>
      </w:r>
      <w:r>
        <w:rPr>
          <w:rFonts w:hint="eastAsia" w:asciiTheme="minorEastAsia" w:hAnsiTheme="minorEastAsia" w:eastAsiaTheme="minorEastAsia"/>
          <w:b/>
          <w:color w:val="auto"/>
          <w:sz w:val="30"/>
          <w:szCs w:val="30"/>
          <w:highlight w:val="none"/>
        </w:rPr>
        <w:t>月</w:t>
      </w:r>
      <w:r>
        <w:rPr>
          <w:rFonts w:hint="eastAsia" w:asciiTheme="minorEastAsia" w:hAnsiTheme="minorEastAsia" w:eastAsiaTheme="minorEastAsia"/>
          <w:b/>
          <w:color w:val="auto"/>
          <w:sz w:val="30"/>
          <w:szCs w:val="30"/>
          <w:highlight w:val="none"/>
          <w:u w:val="single"/>
        </w:rPr>
        <w:t xml:space="preserve">    </w:t>
      </w:r>
      <w:r>
        <w:rPr>
          <w:rFonts w:hint="eastAsia" w:asciiTheme="minorEastAsia" w:hAnsiTheme="minorEastAsia" w:eastAsiaTheme="minorEastAsia"/>
          <w:b/>
          <w:color w:val="auto"/>
          <w:sz w:val="30"/>
          <w:szCs w:val="30"/>
          <w:highlight w:val="none"/>
        </w:rPr>
        <w:t>日</w:t>
      </w:r>
    </w:p>
    <w:p>
      <w:pPr>
        <w:widowControl/>
        <w:jc w:val="left"/>
        <w:rPr>
          <w:rFonts w:asciiTheme="minorEastAsia" w:hAnsiTheme="minorEastAsia" w:eastAsiaTheme="minorEastAsia"/>
          <w:b/>
          <w:bCs/>
          <w:color w:val="auto"/>
          <w:spacing w:val="4"/>
          <w:sz w:val="36"/>
          <w:szCs w:val="36"/>
          <w:highlight w:val="none"/>
        </w:rPr>
      </w:pPr>
      <w:r>
        <w:rPr>
          <w:rFonts w:asciiTheme="minorEastAsia" w:hAnsiTheme="minorEastAsia" w:eastAsiaTheme="minorEastAsia"/>
          <w:b/>
          <w:bCs/>
          <w:color w:val="auto"/>
          <w:spacing w:val="4"/>
          <w:sz w:val="36"/>
          <w:szCs w:val="36"/>
          <w:highlight w:val="none"/>
        </w:rPr>
        <w:br w:type="page"/>
      </w:r>
    </w:p>
    <w:p>
      <w:pPr>
        <w:spacing w:line="500" w:lineRule="exact"/>
        <w:jc w:val="center"/>
        <w:rPr>
          <w:rFonts w:asciiTheme="minorEastAsia" w:hAnsiTheme="minorEastAsia" w:eastAsiaTheme="minorEastAsia"/>
          <w:b/>
          <w:bCs/>
          <w:color w:val="auto"/>
          <w:spacing w:val="4"/>
          <w:sz w:val="36"/>
          <w:szCs w:val="36"/>
          <w:highlight w:val="none"/>
        </w:rPr>
      </w:pPr>
    </w:p>
    <w:p>
      <w:pPr>
        <w:spacing w:line="500" w:lineRule="exact"/>
        <w:jc w:val="center"/>
        <w:outlineLvl w:val="1"/>
        <w:rPr>
          <w:rFonts w:asciiTheme="minorEastAsia" w:hAnsiTheme="minorEastAsia" w:eastAsiaTheme="minorEastAsia"/>
          <w:b/>
          <w:bCs/>
          <w:color w:val="auto"/>
          <w:spacing w:val="4"/>
          <w:sz w:val="30"/>
          <w:szCs w:val="30"/>
          <w:highlight w:val="none"/>
        </w:rPr>
      </w:pPr>
      <w:bookmarkStart w:id="185" w:name="_Toc24906"/>
      <w:bookmarkStart w:id="186" w:name="_Toc19503"/>
      <w:bookmarkStart w:id="187" w:name="_Toc75948168"/>
      <w:bookmarkStart w:id="188" w:name="_Toc23170"/>
      <w:bookmarkStart w:id="189" w:name="_Toc9607"/>
      <w:bookmarkStart w:id="190" w:name="_Toc3462"/>
      <w:r>
        <w:rPr>
          <w:rFonts w:hint="eastAsia" w:asciiTheme="minorEastAsia" w:hAnsiTheme="minorEastAsia" w:eastAsiaTheme="minorEastAsia"/>
          <w:b/>
          <w:bCs/>
          <w:color w:val="auto"/>
          <w:spacing w:val="4"/>
          <w:sz w:val="30"/>
          <w:szCs w:val="30"/>
          <w:highlight w:val="none"/>
        </w:rPr>
        <w:t>目 录</w:t>
      </w:r>
      <w:bookmarkEnd w:id="185"/>
      <w:bookmarkEnd w:id="186"/>
      <w:bookmarkEnd w:id="187"/>
      <w:bookmarkEnd w:id="188"/>
      <w:bookmarkEnd w:id="189"/>
      <w:bookmarkEnd w:id="190"/>
    </w:p>
    <w:p>
      <w:pPr>
        <w:spacing w:line="500" w:lineRule="exact"/>
        <w:jc w:val="left"/>
        <w:rPr>
          <w:rFonts w:asciiTheme="minorEastAsia" w:hAnsiTheme="minorEastAsia" w:eastAsiaTheme="minorEastAsia"/>
          <w:b/>
          <w:bCs/>
          <w:color w:val="auto"/>
          <w:spacing w:val="4"/>
          <w:sz w:val="30"/>
          <w:szCs w:val="30"/>
          <w:highlight w:val="none"/>
        </w:rPr>
      </w:pPr>
    </w:p>
    <w:p>
      <w:pPr>
        <w:spacing w:line="480" w:lineRule="auto"/>
        <w:ind w:firstLine="654" w:firstLineChars="300"/>
        <w:jc w:val="left"/>
        <w:outlineLvl w:val="1"/>
        <w:rPr>
          <w:rFonts w:asciiTheme="minorEastAsia" w:hAnsiTheme="minorEastAsia" w:eastAsiaTheme="minorEastAsia"/>
          <w:color w:val="auto"/>
          <w:spacing w:val="4"/>
          <w:szCs w:val="21"/>
          <w:highlight w:val="none"/>
        </w:rPr>
      </w:pPr>
      <w:bookmarkStart w:id="191" w:name="_Toc75948169"/>
      <w:bookmarkStart w:id="192" w:name="_Toc21419"/>
      <w:bookmarkStart w:id="193" w:name="_Toc17794"/>
      <w:bookmarkStart w:id="194" w:name="_Toc11482"/>
      <w:bookmarkStart w:id="195" w:name="_Toc2114"/>
      <w:bookmarkStart w:id="196" w:name="_Toc9620"/>
      <w:r>
        <w:rPr>
          <w:rFonts w:hint="eastAsia" w:asciiTheme="minorEastAsia" w:hAnsiTheme="minorEastAsia" w:eastAsiaTheme="minorEastAsia"/>
          <w:color w:val="auto"/>
          <w:spacing w:val="4"/>
          <w:szCs w:val="21"/>
          <w:highlight w:val="none"/>
        </w:rPr>
        <w:t>（一）法人代表授权书</w:t>
      </w:r>
      <w:bookmarkEnd w:id="191"/>
      <w:bookmarkEnd w:id="192"/>
      <w:bookmarkEnd w:id="193"/>
      <w:bookmarkEnd w:id="194"/>
      <w:bookmarkEnd w:id="195"/>
      <w:bookmarkEnd w:id="196"/>
    </w:p>
    <w:p>
      <w:pPr>
        <w:spacing w:line="480" w:lineRule="auto"/>
        <w:ind w:firstLine="654" w:firstLineChars="300"/>
        <w:jc w:val="left"/>
        <w:outlineLvl w:val="1"/>
        <w:rPr>
          <w:rFonts w:asciiTheme="minorEastAsia" w:hAnsiTheme="minorEastAsia" w:eastAsiaTheme="minorEastAsia"/>
          <w:color w:val="auto"/>
          <w:spacing w:val="4"/>
          <w:szCs w:val="21"/>
          <w:highlight w:val="none"/>
        </w:rPr>
      </w:pPr>
      <w:bookmarkStart w:id="197" w:name="_Toc27782"/>
      <w:bookmarkStart w:id="198" w:name="_Toc19969"/>
      <w:bookmarkStart w:id="199" w:name="_Toc25414"/>
      <w:bookmarkStart w:id="200" w:name="_Toc23057"/>
      <w:bookmarkStart w:id="201" w:name="_Toc75948170"/>
      <w:bookmarkStart w:id="202" w:name="_Toc1929"/>
      <w:r>
        <w:rPr>
          <w:rFonts w:hint="eastAsia" w:asciiTheme="minorEastAsia" w:hAnsiTheme="minorEastAsia" w:eastAsiaTheme="minorEastAsia"/>
          <w:color w:val="auto"/>
          <w:spacing w:val="4"/>
          <w:szCs w:val="21"/>
          <w:highlight w:val="none"/>
        </w:rPr>
        <w:t>（二）陕西省政府采购供应商拒绝政府采购领域商业贿赂承诺书</w:t>
      </w:r>
      <w:bookmarkEnd w:id="197"/>
      <w:bookmarkEnd w:id="198"/>
      <w:bookmarkEnd w:id="199"/>
      <w:bookmarkEnd w:id="200"/>
      <w:bookmarkEnd w:id="201"/>
      <w:bookmarkEnd w:id="202"/>
    </w:p>
    <w:p>
      <w:pPr>
        <w:spacing w:line="480" w:lineRule="auto"/>
        <w:ind w:firstLine="654" w:firstLineChars="300"/>
        <w:jc w:val="left"/>
        <w:outlineLvl w:val="1"/>
        <w:rPr>
          <w:rFonts w:asciiTheme="minorEastAsia" w:hAnsiTheme="minorEastAsia" w:eastAsiaTheme="minorEastAsia"/>
          <w:color w:val="auto"/>
          <w:spacing w:val="4"/>
          <w:szCs w:val="21"/>
          <w:highlight w:val="none"/>
        </w:rPr>
      </w:pPr>
      <w:bookmarkStart w:id="203" w:name="_Toc75948171"/>
      <w:bookmarkStart w:id="204" w:name="_Toc29670"/>
      <w:bookmarkStart w:id="205" w:name="_Toc12754"/>
      <w:bookmarkStart w:id="206" w:name="_Toc7111"/>
      <w:bookmarkStart w:id="207" w:name="_Toc10270"/>
      <w:bookmarkStart w:id="208" w:name="_Toc26944"/>
      <w:r>
        <w:rPr>
          <w:rFonts w:hint="eastAsia" w:asciiTheme="minorEastAsia" w:hAnsiTheme="minorEastAsia" w:eastAsiaTheme="minorEastAsia"/>
          <w:color w:val="auto"/>
          <w:spacing w:val="4"/>
          <w:szCs w:val="21"/>
          <w:highlight w:val="none"/>
        </w:rPr>
        <w:t>（三）资格证明文件</w:t>
      </w:r>
      <w:bookmarkEnd w:id="203"/>
      <w:bookmarkEnd w:id="204"/>
      <w:bookmarkEnd w:id="205"/>
      <w:bookmarkEnd w:id="206"/>
      <w:bookmarkEnd w:id="207"/>
      <w:bookmarkEnd w:id="208"/>
    </w:p>
    <w:p>
      <w:pPr>
        <w:pStyle w:val="2"/>
        <w:rPr>
          <w:rFonts w:asciiTheme="minorEastAsia" w:hAnsiTheme="minorEastAsia" w:eastAsiaTheme="minorEastAsia"/>
          <w:color w:val="auto"/>
          <w:highlight w:val="none"/>
        </w:rPr>
      </w:pPr>
    </w:p>
    <w:p>
      <w:pPr>
        <w:pStyle w:val="51"/>
        <w:rPr>
          <w:rFonts w:asciiTheme="minorEastAsia" w:hAnsiTheme="minorEastAsia" w:eastAsiaTheme="minorEastAsia"/>
          <w:color w:val="auto"/>
          <w:highlight w:val="none"/>
        </w:rPr>
      </w:pPr>
      <w:r>
        <w:rPr>
          <w:rFonts w:hint="eastAsia" w:asciiTheme="minorEastAsia" w:hAnsiTheme="minorEastAsia" w:eastAsiaTheme="minorEastAsia"/>
          <w:color w:val="auto"/>
          <w:sz w:val="28"/>
          <w:highlight w:val="none"/>
        </w:rPr>
        <w:br w:type="page"/>
      </w:r>
      <w:r>
        <w:rPr>
          <w:rFonts w:hint="eastAsia" w:asciiTheme="minorEastAsia" w:hAnsiTheme="minorEastAsia" w:eastAsiaTheme="minorEastAsia"/>
          <w:color w:val="auto"/>
          <w:highlight w:val="none"/>
        </w:rPr>
        <w:t xml:space="preserve"> </w:t>
      </w:r>
      <w:bookmarkStart w:id="209" w:name="_Toc47725895"/>
      <w:bookmarkStart w:id="210" w:name="_Toc1038"/>
      <w:bookmarkStart w:id="211" w:name="_Toc22534"/>
      <w:bookmarkStart w:id="212" w:name="_Toc37938442"/>
      <w:bookmarkStart w:id="213" w:name="_Toc2154"/>
      <w:bookmarkStart w:id="214" w:name="_Toc17976"/>
      <w:bookmarkStart w:id="215" w:name="_Toc16947"/>
      <w:bookmarkStart w:id="216" w:name="_Toc16438"/>
      <w:bookmarkStart w:id="217" w:name="_Hlk2094468"/>
      <w:r>
        <w:rPr>
          <w:rFonts w:hint="eastAsia" w:asciiTheme="minorEastAsia" w:hAnsiTheme="minorEastAsia" w:eastAsiaTheme="minorEastAsia"/>
          <w:color w:val="auto"/>
          <w:highlight w:val="none"/>
        </w:rPr>
        <w:t>一、法人代表授权书</w:t>
      </w:r>
      <w:bookmarkEnd w:id="209"/>
      <w:bookmarkEnd w:id="210"/>
      <w:bookmarkEnd w:id="211"/>
      <w:bookmarkEnd w:id="212"/>
      <w:bookmarkEnd w:id="213"/>
      <w:bookmarkEnd w:id="214"/>
      <w:bookmarkEnd w:id="215"/>
      <w:bookmarkEnd w:id="216"/>
    </w:p>
    <w:p>
      <w:pPr>
        <w:spacing w:line="360" w:lineRule="auto"/>
        <w:ind w:left="-359" w:leftChars="-171" w:firstLine="496" w:firstLineChars="200"/>
        <w:jc w:val="center"/>
        <w:rPr>
          <w:rFonts w:asciiTheme="minorEastAsia" w:hAnsiTheme="minorEastAsia" w:eastAsiaTheme="minorEastAsia"/>
          <w:b/>
          <w:bCs/>
          <w:color w:val="auto"/>
          <w:spacing w:val="4"/>
          <w:sz w:val="24"/>
          <w:szCs w:val="32"/>
          <w:highlight w:val="none"/>
        </w:rPr>
      </w:pPr>
      <w:r>
        <w:rPr>
          <w:rFonts w:hint="eastAsia" w:asciiTheme="minorEastAsia" w:hAnsiTheme="minorEastAsia" w:eastAsiaTheme="minorEastAsia"/>
          <w:color w:val="auto"/>
          <w:spacing w:val="4"/>
          <w:sz w:val="24"/>
          <w:highlight w:val="none"/>
        </w:rPr>
        <w:t xml:space="preserve">      </w:t>
      </w:r>
      <w:r>
        <w:rPr>
          <w:rFonts w:hint="eastAsia" w:asciiTheme="minorEastAsia" w:hAnsiTheme="minorEastAsia" w:eastAsiaTheme="minorEastAsia"/>
          <w:color w:val="auto"/>
          <w:spacing w:val="4"/>
          <w:sz w:val="24"/>
          <w:szCs w:val="32"/>
          <w:highlight w:val="none"/>
        </w:rPr>
        <w:t xml:space="preserve"> </w:t>
      </w:r>
    </w:p>
    <w:p>
      <w:pPr>
        <w:spacing w:line="360" w:lineRule="auto"/>
        <w:jc w:val="left"/>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致：西北（陕西）国际招标有限公司</w:t>
      </w:r>
    </w:p>
    <w:p>
      <w:pPr>
        <w:spacing w:line="360" w:lineRule="auto"/>
        <w:ind w:firstLine="436" w:firstLineChars="200"/>
        <w:jc w:val="left"/>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w:t>
      </w:r>
      <w:r>
        <w:rPr>
          <w:rFonts w:hint="eastAsia" w:asciiTheme="minorEastAsia" w:hAnsiTheme="minorEastAsia" w:eastAsiaTheme="minorEastAsia"/>
          <w:color w:val="auto"/>
          <w:spacing w:val="4"/>
          <w:szCs w:val="21"/>
          <w:highlight w:val="none"/>
          <w:u w:val="single"/>
        </w:rPr>
        <w:t>供应商名称</w:t>
      </w:r>
      <w:r>
        <w:rPr>
          <w:rFonts w:hint="eastAsia" w:asciiTheme="minorEastAsia" w:hAnsiTheme="minorEastAsia" w:eastAsiaTheme="minorEastAsia"/>
          <w:color w:val="auto"/>
          <w:spacing w:val="4"/>
          <w:szCs w:val="21"/>
          <w:highlight w:val="none"/>
        </w:rPr>
        <w:t>）按中华人民共和国法律于（</w:t>
      </w:r>
      <w:r>
        <w:rPr>
          <w:rFonts w:hint="eastAsia" w:asciiTheme="minorEastAsia" w:hAnsiTheme="minorEastAsia" w:eastAsiaTheme="minorEastAsia"/>
          <w:color w:val="auto"/>
          <w:spacing w:val="4"/>
          <w:szCs w:val="21"/>
          <w:highlight w:val="none"/>
          <w:u w:val="single"/>
        </w:rPr>
        <w:t xml:space="preserve">     年   月   日</w:t>
      </w:r>
      <w:r>
        <w:rPr>
          <w:rFonts w:hint="eastAsia" w:asciiTheme="minorEastAsia" w:hAnsiTheme="minorEastAsia" w:eastAsiaTheme="minorEastAsia"/>
          <w:color w:val="auto"/>
          <w:spacing w:val="4"/>
          <w:szCs w:val="21"/>
          <w:highlight w:val="none"/>
        </w:rPr>
        <w:t>）成立，现注册地址为（</w:t>
      </w:r>
      <w:r>
        <w:rPr>
          <w:rFonts w:hint="eastAsia" w:asciiTheme="minorEastAsia" w:hAnsiTheme="minorEastAsia" w:eastAsiaTheme="minorEastAsia"/>
          <w:color w:val="auto"/>
          <w:spacing w:val="4"/>
          <w:szCs w:val="21"/>
          <w:highlight w:val="none"/>
          <w:u w:val="single"/>
        </w:rPr>
        <w:t>填写完整的地址信息</w:t>
      </w:r>
      <w:r>
        <w:rPr>
          <w:rFonts w:hint="eastAsia" w:asciiTheme="minorEastAsia" w:hAnsiTheme="minorEastAsia" w:eastAsiaTheme="minorEastAsia"/>
          <w:color w:val="auto"/>
          <w:spacing w:val="4"/>
          <w:szCs w:val="21"/>
          <w:highlight w:val="none"/>
        </w:rPr>
        <w:t>），营业（办公）地址为（</w:t>
      </w:r>
      <w:r>
        <w:rPr>
          <w:rFonts w:hint="eastAsia" w:asciiTheme="minorEastAsia" w:hAnsiTheme="minorEastAsia" w:eastAsiaTheme="minorEastAsia"/>
          <w:color w:val="auto"/>
          <w:spacing w:val="4"/>
          <w:szCs w:val="21"/>
          <w:highlight w:val="none"/>
          <w:u w:val="single"/>
        </w:rPr>
        <w:t>填写完整的地址信息</w:t>
      </w:r>
      <w:r>
        <w:rPr>
          <w:rFonts w:hint="eastAsia" w:asciiTheme="minorEastAsia" w:hAnsiTheme="minorEastAsia" w:eastAsiaTheme="minorEastAsia"/>
          <w:color w:val="auto"/>
          <w:spacing w:val="4"/>
          <w:szCs w:val="21"/>
          <w:highlight w:val="none"/>
        </w:rPr>
        <w:t>）正式联系电话为（</w:t>
      </w:r>
      <w:r>
        <w:rPr>
          <w:rFonts w:hint="eastAsia" w:asciiTheme="minorEastAsia" w:hAnsiTheme="minorEastAsia" w:eastAsiaTheme="minorEastAsia"/>
          <w:color w:val="auto"/>
          <w:spacing w:val="4"/>
          <w:szCs w:val="21"/>
          <w:highlight w:val="none"/>
          <w:u w:val="single"/>
        </w:rPr>
        <w:t xml:space="preserve">               </w:t>
      </w:r>
      <w:r>
        <w:rPr>
          <w:rFonts w:hint="eastAsia" w:asciiTheme="minorEastAsia" w:hAnsiTheme="minorEastAsia" w:eastAsiaTheme="minorEastAsia"/>
          <w:color w:val="auto"/>
          <w:spacing w:val="4"/>
          <w:szCs w:val="21"/>
          <w:highlight w:val="none"/>
        </w:rPr>
        <w:t>）。（</w:t>
      </w:r>
      <w:r>
        <w:rPr>
          <w:rFonts w:hint="eastAsia" w:asciiTheme="minorEastAsia" w:hAnsiTheme="minorEastAsia" w:eastAsiaTheme="minorEastAsia"/>
          <w:color w:val="auto"/>
          <w:spacing w:val="4"/>
          <w:szCs w:val="21"/>
          <w:highlight w:val="none"/>
          <w:u w:val="single"/>
        </w:rPr>
        <w:t>法定代表人（单位负责人）姓名</w:t>
      </w:r>
      <w:r>
        <w:rPr>
          <w:rFonts w:hint="eastAsia" w:asciiTheme="minorEastAsia" w:hAnsiTheme="minorEastAsia" w:eastAsiaTheme="minorEastAsia"/>
          <w:color w:val="auto"/>
          <w:spacing w:val="4"/>
          <w:szCs w:val="21"/>
          <w:highlight w:val="none"/>
        </w:rPr>
        <w:t>）特授权（</w:t>
      </w:r>
      <w:r>
        <w:rPr>
          <w:rFonts w:hint="eastAsia" w:asciiTheme="minorEastAsia" w:hAnsiTheme="minorEastAsia" w:eastAsiaTheme="minorEastAsia"/>
          <w:color w:val="auto"/>
          <w:spacing w:val="4"/>
          <w:szCs w:val="21"/>
          <w:highlight w:val="none"/>
          <w:u w:val="single"/>
        </w:rPr>
        <w:t>被授权人姓名</w:t>
      </w:r>
      <w:r>
        <w:rPr>
          <w:rFonts w:hint="eastAsia" w:asciiTheme="minorEastAsia" w:hAnsiTheme="minorEastAsia" w:eastAsiaTheme="minorEastAsia"/>
          <w:color w:val="auto"/>
          <w:spacing w:val="4"/>
          <w:szCs w:val="21"/>
          <w:highlight w:val="none"/>
        </w:rPr>
        <w:t>）代表我公司全权办理针对本次政府采购（</w:t>
      </w:r>
      <w:r>
        <w:rPr>
          <w:rFonts w:hint="eastAsia" w:asciiTheme="minorEastAsia" w:hAnsiTheme="minorEastAsia" w:eastAsiaTheme="minorEastAsia"/>
          <w:color w:val="auto"/>
          <w:spacing w:val="4"/>
          <w:szCs w:val="21"/>
          <w:highlight w:val="none"/>
          <w:u w:val="single"/>
        </w:rPr>
        <w:t>招标项目名称和项目编号</w:t>
      </w:r>
      <w:r>
        <w:rPr>
          <w:rFonts w:hint="eastAsia" w:asciiTheme="minorEastAsia" w:hAnsiTheme="minorEastAsia" w:eastAsiaTheme="minorEastAsia"/>
          <w:color w:val="auto"/>
          <w:spacing w:val="4"/>
          <w:szCs w:val="21"/>
          <w:highlight w:val="none"/>
        </w:rPr>
        <w:t>）项目的投标、谈判、签约等具体工作，并签署全部有关的文件、协议及合同。</w:t>
      </w:r>
    </w:p>
    <w:p>
      <w:pPr>
        <w:spacing w:line="360" w:lineRule="auto"/>
        <w:ind w:firstLine="436" w:firstLineChars="200"/>
        <w:jc w:val="left"/>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我公司对被授权人的签名负全部责任。</w:t>
      </w:r>
    </w:p>
    <w:p>
      <w:pPr>
        <w:spacing w:line="360" w:lineRule="auto"/>
        <w:ind w:firstLine="436" w:firstLineChars="200"/>
        <w:jc w:val="left"/>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本授权书于</w:t>
      </w:r>
      <w:r>
        <w:rPr>
          <w:rFonts w:hint="eastAsia" w:asciiTheme="minorEastAsia" w:hAnsiTheme="minorEastAsia" w:eastAsiaTheme="minorEastAsia"/>
          <w:color w:val="auto"/>
          <w:spacing w:val="4"/>
          <w:szCs w:val="21"/>
          <w:highlight w:val="none"/>
          <w:u w:val="single"/>
        </w:rPr>
        <w:t xml:space="preserve">      年   月   </w:t>
      </w:r>
      <w:r>
        <w:rPr>
          <w:rFonts w:hint="eastAsia" w:asciiTheme="minorEastAsia" w:hAnsiTheme="minorEastAsia" w:eastAsiaTheme="minorEastAsia"/>
          <w:color w:val="auto"/>
          <w:spacing w:val="4"/>
          <w:szCs w:val="21"/>
          <w:highlight w:val="none"/>
        </w:rPr>
        <w:t>日起签字生效，特此证明。</w:t>
      </w:r>
    </w:p>
    <w:p>
      <w:pPr>
        <w:spacing w:line="360" w:lineRule="auto"/>
        <w:jc w:val="left"/>
        <w:rPr>
          <w:rFonts w:asciiTheme="minorEastAsia" w:hAnsiTheme="minorEastAsia" w:eastAsiaTheme="minorEastAsia"/>
          <w:color w:val="auto"/>
          <w:spacing w:val="4"/>
          <w:szCs w:val="21"/>
          <w:highlight w:val="none"/>
        </w:rPr>
      </w:pPr>
    </w:p>
    <w:p>
      <w:pPr>
        <w:spacing w:line="360" w:lineRule="auto"/>
        <w:ind w:firstLine="436" w:firstLineChars="200"/>
        <w:jc w:val="left"/>
        <w:rPr>
          <w:rFonts w:asciiTheme="minorEastAsia" w:hAnsiTheme="minorEastAsia" w:eastAsiaTheme="minorEastAsia"/>
          <w:color w:val="auto"/>
          <w:spacing w:val="4"/>
          <w:szCs w:val="21"/>
          <w:highlight w:val="none"/>
        </w:rPr>
      </w:pPr>
    </w:p>
    <w:tbl>
      <w:tblPr>
        <w:tblStyle w:val="24"/>
        <w:tblW w:w="7889" w:type="dxa"/>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tcPr>
          <w:p>
            <w:pPr>
              <w:spacing w:line="360" w:lineRule="auto"/>
              <w:jc w:val="left"/>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授权代表签字/盖章：</w:t>
            </w:r>
          </w:p>
        </w:tc>
        <w:tc>
          <w:tcPr>
            <w:tcW w:w="3844" w:type="dxa"/>
          </w:tcPr>
          <w:p>
            <w:pPr>
              <w:spacing w:line="360" w:lineRule="auto"/>
              <w:jc w:val="left"/>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法定代表人（单位负责人）签字/盖章：</w:t>
            </w:r>
          </w:p>
        </w:tc>
      </w:tr>
      <w:tr>
        <w:tblPrEx>
          <w:tblCellMar>
            <w:top w:w="0" w:type="dxa"/>
            <w:left w:w="108" w:type="dxa"/>
            <w:bottom w:w="0" w:type="dxa"/>
            <w:right w:w="108" w:type="dxa"/>
          </w:tblCellMar>
        </w:tblPrEx>
        <w:trPr>
          <w:trHeight w:val="600" w:hRule="atLeast"/>
        </w:trPr>
        <w:tc>
          <w:tcPr>
            <w:tcW w:w="4045" w:type="dxa"/>
          </w:tcPr>
          <w:p>
            <w:pPr>
              <w:spacing w:line="360" w:lineRule="auto"/>
              <w:jc w:val="left"/>
              <w:rPr>
                <w:rFonts w:asciiTheme="minorEastAsia" w:hAnsiTheme="minorEastAsia" w:eastAsiaTheme="minorEastAsia"/>
                <w:color w:val="auto"/>
                <w:spacing w:val="4"/>
                <w:szCs w:val="21"/>
                <w:highlight w:val="none"/>
              </w:rPr>
            </w:pPr>
          </w:p>
        </w:tc>
        <w:tc>
          <w:tcPr>
            <w:tcW w:w="3844" w:type="dxa"/>
          </w:tcPr>
          <w:p>
            <w:pPr>
              <w:spacing w:line="360" w:lineRule="auto"/>
              <w:jc w:val="left"/>
              <w:rPr>
                <w:rFonts w:asciiTheme="minorEastAsia" w:hAnsiTheme="minorEastAsia" w:eastAsiaTheme="minorEastAsia"/>
                <w:color w:val="auto"/>
                <w:spacing w:val="4"/>
                <w:szCs w:val="21"/>
                <w:highlight w:val="none"/>
              </w:rPr>
            </w:pPr>
          </w:p>
        </w:tc>
      </w:tr>
      <w:tr>
        <w:tblPrEx>
          <w:tblCellMar>
            <w:top w:w="0" w:type="dxa"/>
            <w:left w:w="108" w:type="dxa"/>
            <w:bottom w:w="0" w:type="dxa"/>
            <w:right w:w="108" w:type="dxa"/>
          </w:tblCellMar>
        </w:tblPrEx>
        <w:trPr>
          <w:trHeight w:val="600" w:hRule="atLeast"/>
        </w:trPr>
        <w:tc>
          <w:tcPr>
            <w:tcW w:w="4045" w:type="dxa"/>
          </w:tcPr>
          <w:p>
            <w:pPr>
              <w:spacing w:line="360" w:lineRule="auto"/>
              <w:jc w:val="left"/>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职务：</w:t>
            </w:r>
          </w:p>
        </w:tc>
        <w:tc>
          <w:tcPr>
            <w:tcW w:w="3844" w:type="dxa"/>
          </w:tcPr>
          <w:p>
            <w:pPr>
              <w:spacing w:line="360" w:lineRule="auto"/>
              <w:jc w:val="left"/>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职务：</w:t>
            </w:r>
          </w:p>
        </w:tc>
      </w:tr>
      <w:tr>
        <w:tblPrEx>
          <w:tblCellMar>
            <w:top w:w="0" w:type="dxa"/>
            <w:left w:w="108" w:type="dxa"/>
            <w:bottom w:w="0" w:type="dxa"/>
            <w:right w:w="108" w:type="dxa"/>
          </w:tblCellMar>
        </w:tblPrEx>
        <w:trPr>
          <w:trHeight w:val="600" w:hRule="atLeast"/>
        </w:trPr>
        <w:tc>
          <w:tcPr>
            <w:tcW w:w="4045" w:type="dxa"/>
          </w:tcPr>
          <w:p>
            <w:pPr>
              <w:spacing w:line="360" w:lineRule="auto"/>
              <w:jc w:val="left"/>
              <w:rPr>
                <w:rFonts w:asciiTheme="minorEastAsia" w:hAnsiTheme="minorEastAsia" w:eastAsiaTheme="minorEastAsia"/>
                <w:color w:val="auto"/>
                <w:spacing w:val="4"/>
                <w:szCs w:val="21"/>
                <w:highlight w:val="none"/>
              </w:rPr>
            </w:pPr>
          </w:p>
        </w:tc>
        <w:tc>
          <w:tcPr>
            <w:tcW w:w="3844" w:type="dxa"/>
          </w:tcPr>
          <w:p>
            <w:pPr>
              <w:spacing w:line="360" w:lineRule="auto"/>
              <w:jc w:val="left"/>
              <w:rPr>
                <w:rFonts w:asciiTheme="minorEastAsia" w:hAnsiTheme="minorEastAsia" w:eastAsiaTheme="minorEastAsia"/>
                <w:color w:val="auto"/>
                <w:spacing w:val="4"/>
                <w:szCs w:val="21"/>
                <w:highlight w:val="none"/>
              </w:rPr>
            </w:pPr>
          </w:p>
        </w:tc>
      </w:tr>
      <w:tr>
        <w:tblPrEx>
          <w:tblCellMar>
            <w:top w:w="0" w:type="dxa"/>
            <w:left w:w="108" w:type="dxa"/>
            <w:bottom w:w="0" w:type="dxa"/>
            <w:right w:w="108" w:type="dxa"/>
          </w:tblCellMar>
        </w:tblPrEx>
        <w:trPr>
          <w:trHeight w:val="600" w:hRule="atLeast"/>
        </w:trPr>
        <w:tc>
          <w:tcPr>
            <w:tcW w:w="4045" w:type="dxa"/>
          </w:tcPr>
          <w:p>
            <w:pPr>
              <w:spacing w:line="360" w:lineRule="auto"/>
              <w:jc w:val="left"/>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所在部门：</w:t>
            </w:r>
          </w:p>
        </w:tc>
        <w:tc>
          <w:tcPr>
            <w:tcW w:w="3844" w:type="dxa"/>
          </w:tcPr>
          <w:p>
            <w:pPr>
              <w:spacing w:line="360" w:lineRule="auto"/>
              <w:jc w:val="left"/>
              <w:rPr>
                <w:rFonts w:asciiTheme="minorEastAsia" w:hAnsiTheme="minorEastAsia" w:eastAsiaTheme="minorEastAsia"/>
                <w:color w:val="auto"/>
                <w:spacing w:val="4"/>
                <w:szCs w:val="21"/>
                <w:highlight w:val="none"/>
              </w:rPr>
            </w:pPr>
          </w:p>
        </w:tc>
      </w:tr>
    </w:tbl>
    <w:p>
      <w:pPr>
        <w:spacing w:line="360" w:lineRule="auto"/>
        <w:rPr>
          <w:rFonts w:asciiTheme="minorEastAsia" w:hAnsiTheme="minorEastAsia" w:eastAsiaTheme="minorEastAsia"/>
          <w:color w:val="auto"/>
          <w:spacing w:val="4"/>
          <w:szCs w:val="21"/>
          <w:highlight w:val="none"/>
        </w:rPr>
      </w:pPr>
    </w:p>
    <w:p>
      <w:pPr>
        <w:spacing w:line="360" w:lineRule="auto"/>
        <w:rPr>
          <w:rFonts w:asciiTheme="minorEastAsia" w:hAnsiTheme="minorEastAsia" w:eastAsiaTheme="minorEastAsia"/>
          <w:color w:val="auto"/>
          <w:spacing w:val="4"/>
          <w:szCs w:val="21"/>
          <w:highlight w:val="none"/>
        </w:rPr>
      </w:pPr>
    </w:p>
    <w:p>
      <w:pPr>
        <w:spacing w:line="360" w:lineRule="auto"/>
        <w:ind w:firstLine="43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供应商名称：</w:t>
      </w:r>
    </w:p>
    <w:p>
      <w:pPr>
        <w:spacing w:line="360" w:lineRule="auto"/>
        <w:ind w:firstLine="327" w:firstLineChars="150"/>
        <w:rPr>
          <w:rFonts w:asciiTheme="minorEastAsia" w:hAnsiTheme="minorEastAsia" w:eastAsiaTheme="minorEastAsia"/>
          <w:color w:val="auto"/>
          <w:spacing w:val="4"/>
          <w:szCs w:val="21"/>
          <w:highlight w:val="none"/>
        </w:rPr>
      </w:pPr>
    </w:p>
    <w:p>
      <w:pPr>
        <w:spacing w:line="360" w:lineRule="auto"/>
        <w:ind w:firstLine="43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公章：</w:t>
      </w:r>
    </w:p>
    <w:p>
      <w:pPr>
        <w:spacing w:line="360" w:lineRule="auto"/>
        <w:ind w:firstLine="510"/>
        <w:rPr>
          <w:rFonts w:asciiTheme="minorEastAsia" w:hAnsiTheme="minorEastAsia" w:eastAsiaTheme="minorEastAsia"/>
          <w:color w:val="auto"/>
          <w:spacing w:val="4"/>
          <w:szCs w:val="21"/>
          <w:highlight w:val="none"/>
        </w:rPr>
      </w:pPr>
    </w:p>
    <w:p>
      <w:pPr>
        <w:spacing w:line="360" w:lineRule="auto"/>
        <w:ind w:firstLine="43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附件：法定代表人（单位负责人）、被授权人身份证复印件</w:t>
      </w:r>
    </w:p>
    <w:p>
      <w:pPr>
        <w:spacing w:line="360" w:lineRule="auto"/>
        <w:ind w:firstLine="1090" w:firstLineChars="500"/>
        <w:rPr>
          <w:rFonts w:asciiTheme="minorEastAsia" w:hAnsiTheme="minorEastAsia" w:eastAsiaTheme="minorEastAsia"/>
          <w:color w:val="auto"/>
          <w:highlight w:val="none"/>
        </w:rPr>
      </w:pPr>
      <w:r>
        <w:rPr>
          <w:rFonts w:hint="eastAsia" w:asciiTheme="minorEastAsia" w:hAnsiTheme="minorEastAsia" w:eastAsiaTheme="minorEastAsia"/>
          <w:color w:val="auto"/>
          <w:spacing w:val="4"/>
          <w:szCs w:val="21"/>
          <w:highlight w:val="none"/>
        </w:rPr>
        <w:t>（必须印正反两面的完整信息）</w:t>
      </w:r>
      <w:r>
        <w:rPr>
          <w:rFonts w:hint="eastAsia" w:asciiTheme="minorEastAsia" w:hAnsiTheme="minorEastAsia" w:eastAsiaTheme="minorEastAsia"/>
          <w:color w:val="auto"/>
          <w:sz w:val="36"/>
          <w:szCs w:val="36"/>
          <w:highlight w:val="none"/>
        </w:rPr>
        <w:br w:type="page"/>
      </w:r>
      <w:bookmarkStart w:id="218" w:name="_Toc37938443"/>
      <w:bookmarkStart w:id="219" w:name="_Toc26420"/>
      <w:bookmarkStart w:id="220" w:name="_Toc8557"/>
      <w:bookmarkStart w:id="221" w:name="_Toc5875"/>
      <w:bookmarkStart w:id="222" w:name="_Toc9464"/>
      <w:bookmarkStart w:id="223" w:name="_Toc12195"/>
      <w:bookmarkStart w:id="224" w:name="_Toc47725896"/>
      <w:bookmarkStart w:id="225" w:name="_Toc17080"/>
      <w:r>
        <w:rPr>
          <w:rFonts w:hint="eastAsia" w:asciiTheme="minorEastAsia" w:hAnsiTheme="minorEastAsia" w:eastAsiaTheme="minorEastAsia"/>
          <w:color w:val="auto"/>
          <w:highlight w:val="none"/>
        </w:rPr>
        <w:t>二、陕西省政府采购供应商拒绝政府采购领域商业贿赂承诺书</w:t>
      </w:r>
      <w:bookmarkEnd w:id="218"/>
      <w:bookmarkEnd w:id="219"/>
      <w:bookmarkEnd w:id="220"/>
      <w:bookmarkEnd w:id="221"/>
      <w:bookmarkEnd w:id="222"/>
      <w:bookmarkEnd w:id="223"/>
      <w:bookmarkEnd w:id="224"/>
      <w:bookmarkEnd w:id="225"/>
    </w:p>
    <w:p>
      <w:pPr>
        <w:widowControl/>
        <w:spacing w:line="360" w:lineRule="auto"/>
        <w:ind w:left="239" w:leftChars="114" w:firstLine="470" w:firstLineChars="196"/>
        <w:jc w:val="left"/>
        <w:rPr>
          <w:rFonts w:asciiTheme="minorEastAsia" w:hAnsiTheme="minorEastAsia" w:eastAsiaTheme="minorEastAsia"/>
          <w:color w:val="auto"/>
          <w:kern w:val="0"/>
          <w:sz w:val="24"/>
          <w:highlight w:val="none"/>
        </w:rPr>
      </w:pPr>
    </w:p>
    <w:p>
      <w:pPr>
        <w:widowControl/>
        <w:spacing w:line="360" w:lineRule="auto"/>
        <w:ind w:left="239" w:leftChars="114" w:firstLine="411" w:firstLineChars="196"/>
        <w:jc w:val="left"/>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为响应党中央、国务院关于治理政府采购领域商业贿赂行为的号召，我公司在此庄严承诺：</w:t>
      </w:r>
      <w:r>
        <w:rPr>
          <w:rFonts w:hint="eastAsia" w:asciiTheme="minorEastAsia" w:hAnsiTheme="minorEastAsia" w:eastAsiaTheme="minorEastAsia"/>
          <w:color w:val="auto"/>
          <w:kern w:val="0"/>
          <w:szCs w:val="21"/>
          <w:highlight w:val="none"/>
        </w:rPr>
        <w:br w:type="textWrapping"/>
      </w:r>
      <w:r>
        <w:rPr>
          <w:rFonts w:hint="eastAsia" w:asciiTheme="minorEastAsia" w:hAnsiTheme="minorEastAsia" w:eastAsiaTheme="minorEastAsia"/>
          <w:color w:val="auto"/>
          <w:kern w:val="0"/>
          <w:szCs w:val="21"/>
          <w:highlight w:val="none"/>
        </w:rPr>
        <w:t>1.在参与政府采购活动中遵纪守法、诚信经营、公平竞标。</w:t>
      </w:r>
      <w:r>
        <w:rPr>
          <w:rFonts w:hint="eastAsia" w:asciiTheme="minorEastAsia" w:hAnsiTheme="minorEastAsia" w:eastAsiaTheme="minorEastAsia"/>
          <w:color w:val="auto"/>
          <w:kern w:val="0"/>
          <w:szCs w:val="21"/>
          <w:highlight w:val="none"/>
        </w:rPr>
        <w:br w:type="textWrapping"/>
      </w:r>
      <w:r>
        <w:rPr>
          <w:rFonts w:hint="eastAsia" w:asciiTheme="minorEastAsia" w:hAnsiTheme="minorEastAsia" w:eastAsiaTheme="minorEastAsia"/>
          <w:color w:val="auto"/>
          <w:kern w:val="0"/>
          <w:szCs w:val="21"/>
          <w:highlight w:val="none"/>
        </w:rPr>
        <w:t>2.不向政府采购人、采购代理机构和政府采购评审专家进行任何形式的商业贿赂以谋取交易机会。</w:t>
      </w:r>
      <w:r>
        <w:rPr>
          <w:rFonts w:hint="eastAsia" w:asciiTheme="minorEastAsia" w:hAnsiTheme="minorEastAsia" w:eastAsiaTheme="minorEastAsia"/>
          <w:color w:val="auto"/>
          <w:kern w:val="0"/>
          <w:szCs w:val="21"/>
          <w:highlight w:val="none"/>
        </w:rPr>
        <w:br w:type="textWrapping"/>
      </w:r>
      <w:r>
        <w:rPr>
          <w:rFonts w:hint="eastAsia" w:asciiTheme="minorEastAsia" w:hAnsiTheme="minorEastAsia" w:eastAsiaTheme="minorEastAsia"/>
          <w:color w:val="auto"/>
          <w:kern w:val="0"/>
          <w:szCs w:val="21"/>
          <w:highlight w:val="none"/>
        </w:rPr>
        <w:t>3.不向政府采购代理机构和采购人提供虚假资质文件或采用虚假应标方式参与政府采购市场竞争并谋取中标、中标。</w:t>
      </w:r>
      <w:r>
        <w:rPr>
          <w:rFonts w:hint="eastAsia" w:asciiTheme="minorEastAsia" w:hAnsiTheme="minorEastAsia" w:eastAsiaTheme="minorEastAsia"/>
          <w:color w:val="auto"/>
          <w:kern w:val="0"/>
          <w:szCs w:val="21"/>
          <w:highlight w:val="none"/>
        </w:rPr>
        <w:br w:type="textWrapping"/>
      </w:r>
      <w:r>
        <w:rPr>
          <w:rFonts w:hint="eastAsia" w:asciiTheme="minorEastAsia" w:hAnsiTheme="minorEastAsia" w:eastAsiaTheme="minorEastAsia"/>
          <w:color w:val="auto"/>
          <w:kern w:val="0"/>
          <w:szCs w:val="21"/>
          <w:highlight w:val="none"/>
        </w:rPr>
        <w:t>4.不采取“围标、陪标”等商业欺诈手段获得政府采购定单。</w:t>
      </w:r>
      <w:r>
        <w:rPr>
          <w:rFonts w:hint="eastAsia" w:asciiTheme="minorEastAsia" w:hAnsiTheme="minorEastAsia" w:eastAsiaTheme="minorEastAsia"/>
          <w:color w:val="auto"/>
          <w:kern w:val="0"/>
          <w:szCs w:val="21"/>
          <w:highlight w:val="none"/>
        </w:rPr>
        <w:br w:type="textWrapping"/>
      </w:r>
      <w:r>
        <w:rPr>
          <w:rFonts w:hint="eastAsia" w:asciiTheme="minorEastAsia" w:hAnsiTheme="minorEastAsia" w:eastAsiaTheme="minorEastAsia"/>
          <w:color w:val="auto"/>
          <w:kern w:val="0"/>
          <w:szCs w:val="21"/>
          <w:highlight w:val="none"/>
        </w:rPr>
        <w:t>5.不采取不正当手段诋毁、排挤其他供应商。</w:t>
      </w:r>
      <w:r>
        <w:rPr>
          <w:rFonts w:hint="eastAsia" w:asciiTheme="minorEastAsia" w:hAnsiTheme="minorEastAsia" w:eastAsiaTheme="minorEastAsia"/>
          <w:color w:val="auto"/>
          <w:kern w:val="0"/>
          <w:szCs w:val="21"/>
          <w:highlight w:val="none"/>
        </w:rPr>
        <w:br w:type="textWrapping"/>
      </w:r>
      <w:r>
        <w:rPr>
          <w:rFonts w:hint="eastAsia" w:asciiTheme="minorEastAsia" w:hAnsiTheme="minorEastAsia" w:eastAsiaTheme="minorEastAsia"/>
          <w:color w:val="auto"/>
          <w:kern w:val="0"/>
          <w:szCs w:val="21"/>
          <w:highlight w:val="none"/>
        </w:rPr>
        <w:t>6.不在提供商品和服务时“偷梁换柱、以次充好”损害采购人的合法权益。</w:t>
      </w:r>
      <w:r>
        <w:rPr>
          <w:rFonts w:hint="eastAsia" w:asciiTheme="minorEastAsia" w:hAnsiTheme="minorEastAsia" w:eastAsiaTheme="minorEastAsia"/>
          <w:color w:val="auto"/>
          <w:kern w:val="0"/>
          <w:szCs w:val="21"/>
          <w:highlight w:val="none"/>
        </w:rPr>
        <w:br w:type="textWrapping"/>
      </w:r>
      <w:r>
        <w:rPr>
          <w:rFonts w:hint="eastAsia" w:asciiTheme="minorEastAsia" w:hAnsiTheme="minorEastAsia" w:eastAsiaTheme="minorEastAsia"/>
          <w:color w:val="auto"/>
          <w:kern w:val="0"/>
          <w:szCs w:val="21"/>
          <w:highlight w:val="none"/>
        </w:rPr>
        <w:t>7.不与采购人、采购代理机构政府采购评审专家或其它供应商恶意串通，进行质疑和投诉，维护政府采购市场秩序。</w:t>
      </w:r>
      <w:r>
        <w:rPr>
          <w:rFonts w:hint="eastAsia" w:asciiTheme="minorEastAsia" w:hAnsiTheme="minorEastAsia" w:eastAsiaTheme="minorEastAsia"/>
          <w:color w:val="auto"/>
          <w:kern w:val="0"/>
          <w:szCs w:val="21"/>
          <w:highlight w:val="none"/>
        </w:rPr>
        <w:br w:type="textWrapping"/>
      </w:r>
      <w:r>
        <w:rPr>
          <w:rFonts w:hint="eastAsia" w:asciiTheme="minorEastAsia" w:hAnsiTheme="minorEastAsia" w:eastAsiaTheme="minorEastAsia"/>
          <w:color w:val="auto"/>
          <w:kern w:val="0"/>
          <w:szCs w:val="21"/>
          <w:highlight w:val="none"/>
        </w:rPr>
        <w:t>8.尊重和接受政府采购监督管理部门的监督和政府采购代理机构招标采购要求，承担因违约行为给采购人造成的损失。</w:t>
      </w:r>
      <w:r>
        <w:rPr>
          <w:rFonts w:hint="eastAsia" w:asciiTheme="minorEastAsia" w:hAnsiTheme="minorEastAsia" w:eastAsiaTheme="minorEastAsia"/>
          <w:color w:val="auto"/>
          <w:kern w:val="0"/>
          <w:szCs w:val="21"/>
          <w:highlight w:val="none"/>
        </w:rPr>
        <w:br w:type="textWrapping"/>
      </w:r>
      <w:r>
        <w:rPr>
          <w:rFonts w:hint="eastAsia" w:asciiTheme="minorEastAsia" w:hAnsiTheme="minorEastAsia" w:eastAsiaTheme="minorEastAsia"/>
          <w:color w:val="auto"/>
          <w:kern w:val="0"/>
          <w:szCs w:val="21"/>
          <w:highlight w:val="none"/>
        </w:rPr>
        <w:t>9.不发生其他有悖于政府采购公开、公平、公正和诚信原则的行为。</w:t>
      </w:r>
      <w:r>
        <w:rPr>
          <w:rFonts w:hint="eastAsia" w:asciiTheme="minorEastAsia" w:hAnsiTheme="minorEastAsia" w:eastAsiaTheme="minorEastAsia"/>
          <w:color w:val="auto"/>
          <w:kern w:val="0"/>
          <w:szCs w:val="21"/>
          <w:highlight w:val="none"/>
        </w:rPr>
        <w:br w:type="textWrapping"/>
      </w:r>
    </w:p>
    <w:p>
      <w:pPr>
        <w:spacing w:line="360" w:lineRule="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供应商名称：</w:t>
      </w:r>
    </w:p>
    <w:p>
      <w:pPr>
        <w:spacing w:line="360" w:lineRule="auto"/>
        <w:rPr>
          <w:rFonts w:asciiTheme="minorEastAsia" w:hAnsiTheme="minorEastAsia" w:eastAsiaTheme="minorEastAsia"/>
          <w:color w:val="auto"/>
          <w:kern w:val="0"/>
          <w:szCs w:val="21"/>
          <w:highlight w:val="none"/>
        </w:rPr>
      </w:pPr>
    </w:p>
    <w:p>
      <w:pPr>
        <w:spacing w:line="360" w:lineRule="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公章：</w:t>
      </w:r>
    </w:p>
    <w:p>
      <w:pPr>
        <w:spacing w:line="360"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Cs w:val="21"/>
          <w:highlight w:val="none"/>
        </w:rPr>
        <w:br w:type="textWrapping"/>
      </w:r>
      <w:r>
        <w:rPr>
          <w:rFonts w:hint="eastAsia" w:asciiTheme="minorEastAsia" w:hAnsiTheme="minorEastAsia" w:eastAsiaTheme="minorEastAsia"/>
          <w:color w:val="auto"/>
          <w:kern w:val="0"/>
          <w:szCs w:val="21"/>
          <w:highlight w:val="none"/>
        </w:rPr>
        <w:t>法定代表人或授权代表（签字或盖章）：</w:t>
      </w:r>
    </w:p>
    <w:p>
      <w:pPr>
        <w:pStyle w:val="3"/>
        <w:rPr>
          <w:rFonts w:asciiTheme="minorEastAsia" w:hAnsiTheme="minorEastAsia" w:eastAsiaTheme="minorEastAsia"/>
          <w:color w:val="auto"/>
          <w:sz w:val="36"/>
          <w:szCs w:val="36"/>
          <w:highlight w:val="none"/>
        </w:rPr>
      </w:pPr>
      <w:r>
        <w:rPr>
          <w:rFonts w:hint="eastAsia" w:asciiTheme="minorEastAsia" w:hAnsiTheme="minorEastAsia" w:eastAsiaTheme="minorEastAsia"/>
          <w:color w:val="auto"/>
          <w:kern w:val="0"/>
          <w:sz w:val="24"/>
          <w:highlight w:val="none"/>
        </w:rPr>
        <w:br w:type="page"/>
      </w:r>
      <w:bookmarkStart w:id="226" w:name="_Toc20714"/>
      <w:bookmarkStart w:id="227" w:name="_Toc29271"/>
      <w:bookmarkStart w:id="228" w:name="_Toc37938444"/>
      <w:bookmarkStart w:id="229" w:name="_Toc21505"/>
      <w:bookmarkStart w:id="230" w:name="_Toc29217"/>
      <w:bookmarkStart w:id="231" w:name="_Toc16337"/>
      <w:bookmarkStart w:id="232" w:name="_Toc47725897"/>
      <w:bookmarkStart w:id="233" w:name="_Toc5267"/>
      <w:r>
        <w:rPr>
          <w:rFonts w:hint="eastAsia" w:asciiTheme="minorEastAsia" w:hAnsiTheme="minorEastAsia" w:eastAsiaTheme="minorEastAsia"/>
          <w:color w:val="auto"/>
          <w:highlight w:val="none"/>
        </w:rPr>
        <w:t>三、资格证明文件</w:t>
      </w:r>
      <w:bookmarkEnd w:id="226"/>
      <w:bookmarkEnd w:id="227"/>
      <w:bookmarkEnd w:id="228"/>
      <w:bookmarkEnd w:id="229"/>
      <w:bookmarkEnd w:id="230"/>
      <w:bookmarkEnd w:id="231"/>
      <w:bookmarkEnd w:id="232"/>
      <w:bookmarkEnd w:id="233"/>
      <w:r>
        <w:rPr>
          <w:rFonts w:hint="eastAsia" w:asciiTheme="minorEastAsia" w:hAnsiTheme="minorEastAsia" w:eastAsiaTheme="minorEastAsia"/>
          <w:color w:val="auto"/>
          <w:highlight w:val="none"/>
        </w:rPr>
        <w:t xml:space="preserve"> </w:t>
      </w:r>
    </w:p>
    <w:p>
      <w:pPr>
        <w:spacing w:before="240" w:line="360" w:lineRule="auto"/>
        <w:ind w:left="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供应商资格证明文件</w:t>
      </w:r>
    </w:p>
    <w:p>
      <w:pPr>
        <w:spacing w:line="360" w:lineRule="auto"/>
        <w:ind w:left="316" w:hanging="316" w:hangingChars="15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（1）具有独立承担民事责任的能力</w:t>
      </w:r>
    </w:p>
    <w:p>
      <w:pPr>
        <w:spacing w:line="360" w:lineRule="auto"/>
        <w:ind w:left="71" w:leftChars="34"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提供注册登记凭证（营业执照、其他组织经营的合法凭证，自然人的提供身份证明文件）</w:t>
      </w:r>
      <w:r>
        <w:rPr>
          <w:rFonts w:hint="eastAsia" w:cs="宋体" w:asciiTheme="minorEastAsia" w:hAnsiTheme="minorEastAsia" w:eastAsiaTheme="minorEastAsia"/>
          <w:color w:val="auto"/>
          <w:szCs w:val="21"/>
          <w:highlight w:val="none"/>
        </w:rPr>
        <w:t>；</w:t>
      </w:r>
    </w:p>
    <w:p>
      <w:pPr>
        <w:spacing w:line="360" w:lineRule="auto"/>
        <w:ind w:left="316" w:hanging="316" w:hangingChars="15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（2）具有良好的商业信誉和健全的财务会计制度</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提供202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年度经审计的财务报告（包括四表一注，即资产负债表、利润表、现金流量表、所有者权益变动表及其附注），且无反对意见；事业法人提供部门决算报告；</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/或在投标截止时间期前六个月内其基本开户银行出具的资信证明（附《基本存款账户信息》或《银行开户许可证》复印件）；</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/或财政部门认可的政府采购专业担保机构出具的投标担保函；</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/或表明具有良好的商业信誉和健全的财务会计制度的诚信声明；</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以上四种形式的资料提供任何一种即可。</w:t>
      </w:r>
    </w:p>
    <w:p>
      <w:pPr>
        <w:spacing w:line="360" w:lineRule="auto"/>
        <w:ind w:left="316" w:hanging="316" w:hangingChars="15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（3）具有履行合同所必需的设备和专业技术能力</w:t>
      </w:r>
    </w:p>
    <w:p>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提供声明文件原件。</w:t>
      </w:r>
    </w:p>
    <w:p>
      <w:pPr>
        <w:spacing w:line="360" w:lineRule="auto"/>
        <w:ind w:left="316" w:hanging="316" w:hangingChars="150"/>
        <w:rPr>
          <w:rFonts w:cs="宋体" w:asciiTheme="minorEastAsia" w:hAnsiTheme="minorEastAsia" w:eastAsiaTheme="minorEastAsia"/>
          <w:b/>
          <w:color w:val="auto"/>
          <w:szCs w:val="21"/>
          <w:highlight w:val="none"/>
          <w:lang w:bidi="ar"/>
        </w:rPr>
      </w:pPr>
      <w:r>
        <w:rPr>
          <w:rFonts w:hint="eastAsia" w:asciiTheme="minorEastAsia" w:hAnsiTheme="minorEastAsia" w:eastAsiaTheme="minorEastAsia"/>
          <w:b/>
          <w:color w:val="auto"/>
          <w:szCs w:val="21"/>
          <w:highlight w:val="none"/>
        </w:rPr>
        <w:t>（4）</w:t>
      </w:r>
      <w:r>
        <w:rPr>
          <w:rFonts w:hint="eastAsia" w:cs="宋体" w:asciiTheme="minorEastAsia" w:hAnsiTheme="minorEastAsia" w:eastAsiaTheme="minorEastAsia"/>
          <w:b/>
          <w:color w:val="auto"/>
          <w:szCs w:val="21"/>
          <w:highlight w:val="none"/>
          <w:lang w:bidi="ar"/>
        </w:rPr>
        <w:t>具有依法缴纳税收的良好记录</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提供缴费所属日期为投标截止时间前12个月内任一月份（投标截止时间当月不计入）的增值税（或企业所得税）缴费凭据或税务机关出具的完税证明/在法规范围内不需提供的应出具书面说明和证明文件；</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/或具有依法缴纳税收的诚信声明；</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以上二种形式的资料提供任何一种即可。</w:t>
      </w:r>
    </w:p>
    <w:p>
      <w:pPr>
        <w:spacing w:line="360" w:lineRule="auto"/>
        <w:ind w:left="316" w:hanging="316" w:hangingChars="150"/>
        <w:rPr>
          <w:rFonts w:cs="宋体" w:asciiTheme="minorEastAsia" w:hAnsiTheme="minorEastAsia" w:eastAsiaTheme="minorEastAsia"/>
          <w:b/>
          <w:color w:val="auto"/>
          <w:szCs w:val="21"/>
          <w:highlight w:val="none"/>
          <w:lang w:bidi="ar"/>
        </w:rPr>
      </w:pPr>
      <w:r>
        <w:rPr>
          <w:rFonts w:hint="eastAsia" w:asciiTheme="minorEastAsia" w:hAnsiTheme="minorEastAsia" w:eastAsiaTheme="minorEastAsia"/>
          <w:b/>
          <w:color w:val="auto"/>
          <w:szCs w:val="21"/>
          <w:highlight w:val="none"/>
        </w:rPr>
        <w:t>（5）</w:t>
      </w:r>
      <w:r>
        <w:rPr>
          <w:rFonts w:hint="eastAsia" w:cs="宋体" w:asciiTheme="minorEastAsia" w:hAnsiTheme="minorEastAsia" w:eastAsiaTheme="minorEastAsia"/>
          <w:b/>
          <w:color w:val="auto"/>
          <w:szCs w:val="21"/>
          <w:highlight w:val="none"/>
          <w:lang w:bidi="ar"/>
        </w:rPr>
        <w:t>具有依法缴纳社会保障资金的良好记录</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提供缴费所属日期为投标截止时间前12个月内任一月份（投标截止时间当月不计入）的缴费凭据或社保机关出具的缴费证明/在法规范围内不需提供的应出具书面说明和证明文件；</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/或具有依法缴纳社会保障资金的缴纳记录的诚信声明；</w: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以上二种形式的资料提供任何一种即可。</w:t>
      </w:r>
    </w:p>
    <w:p>
      <w:pPr>
        <w:spacing w:line="360" w:lineRule="auto"/>
        <w:ind w:left="316" w:hanging="316" w:hangingChars="15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（6）参加政府采购活动前3年内在经营活动中没有重大违法记录的书面声明（原件）；</w:t>
      </w:r>
    </w:p>
    <w:p>
      <w:pPr>
        <w:spacing w:line="360" w:lineRule="auto"/>
        <w:ind w:left="316" w:hanging="316" w:hangingChars="150"/>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（7）法人代表授权书（原件）；</w:t>
      </w:r>
    </w:p>
    <w:p>
      <w:pPr>
        <w:spacing w:line="360" w:lineRule="auto"/>
        <w:rPr>
          <w:rFonts w:asciiTheme="minorEastAsia" w:hAnsiTheme="minorEastAsia" w:eastAsiaTheme="minorEastAsia"/>
          <w:color w:val="auto"/>
          <w:szCs w:val="21"/>
          <w:highlight w:val="none"/>
        </w:rPr>
      </w:pPr>
    </w:p>
    <w:p>
      <w:pPr>
        <w:spacing w:line="360" w:lineRule="auto"/>
        <w:ind w:left="316" w:hanging="316" w:hangingChars="15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w:t>
      </w:r>
    </w:p>
    <w:p>
      <w:pPr>
        <w:numPr>
          <w:ilvl w:val="0"/>
          <w:numId w:val="5"/>
        </w:numPr>
        <w:spacing w:line="360" w:lineRule="auto"/>
        <w:ind w:left="315" w:hanging="315" w:hanging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除注明原件外，均为复印件并须加盖供应商公章。</w:t>
      </w:r>
    </w:p>
    <w:p>
      <w:pPr>
        <w:numPr>
          <w:ilvl w:val="0"/>
          <w:numId w:val="5"/>
        </w:numPr>
        <w:spacing w:line="360" w:lineRule="auto"/>
        <w:ind w:left="315" w:hanging="315" w:hangingChars="1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供应商应按照招标文件的要求自行准备以上证明文件并编目、封装。</w:t>
      </w:r>
    </w:p>
    <w:p>
      <w:pPr>
        <w:numPr>
          <w:ilvl w:val="0"/>
          <w:numId w:val="5"/>
        </w:numPr>
        <w:spacing w:line="360" w:lineRule="auto"/>
        <w:ind w:left="315" w:hanging="315" w:hangingChars="150"/>
        <w:rPr>
          <w:rFonts w:asciiTheme="minorEastAsia" w:hAnsiTheme="minorEastAsia" w:eastAsiaTheme="minorEastAsia"/>
          <w:color w:val="auto"/>
          <w:spacing w:val="4"/>
          <w:sz w:val="24"/>
          <w:szCs w:val="24"/>
          <w:highlight w:val="none"/>
        </w:rPr>
      </w:pPr>
      <w:r>
        <w:rPr>
          <w:rFonts w:hint="eastAsia" w:asciiTheme="minorEastAsia" w:hAnsiTheme="minorEastAsia" w:eastAsiaTheme="minorEastAsia"/>
          <w:color w:val="auto"/>
          <w:szCs w:val="21"/>
          <w:highlight w:val="none"/>
        </w:rPr>
        <w:t>除要求在投标时一并提交的原件外，其它所有要求在投标文件中提供复印件的文件，在开标之后的审查过程中，采购代理机构可随时要求查验原件，供应商不得拒绝，否则其投标将按照无效投标处理。</w:t>
      </w:r>
    </w:p>
    <w:p>
      <w:pPr>
        <w:spacing w:line="360" w:lineRule="auto"/>
        <w:ind w:left="1"/>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0"/>
          <w:szCs w:val="30"/>
          <w:highlight w:val="none"/>
        </w:rPr>
        <w:br w:type="page"/>
      </w:r>
      <w:r>
        <w:rPr>
          <w:rFonts w:hint="eastAsia" w:asciiTheme="minorEastAsia" w:hAnsiTheme="minorEastAsia" w:eastAsiaTheme="minorEastAsia"/>
          <w:b/>
          <w:color w:val="auto"/>
          <w:sz w:val="24"/>
          <w:szCs w:val="24"/>
          <w:highlight w:val="none"/>
        </w:rPr>
        <w:t>附件：格式</w:t>
      </w:r>
      <w:r>
        <w:rPr>
          <w:rFonts w:hint="eastAsia" w:asciiTheme="minorEastAsia" w:hAnsiTheme="minorEastAsia" w:eastAsiaTheme="minorEastAsia"/>
          <w:b/>
          <w:color w:val="auto"/>
          <w:sz w:val="36"/>
          <w:szCs w:val="36"/>
          <w:highlight w:val="none"/>
        </w:rPr>
        <w:t xml:space="preserve"> </w:t>
      </w:r>
    </w:p>
    <w:p>
      <w:pPr>
        <w:spacing w:line="360" w:lineRule="auto"/>
        <w:ind w:left="1"/>
        <w:rPr>
          <w:rFonts w:asciiTheme="minorEastAsia" w:hAnsiTheme="minorEastAsia" w:eastAsiaTheme="minorEastAsia"/>
          <w:b/>
          <w:color w:val="auto"/>
          <w:sz w:val="36"/>
          <w:szCs w:val="36"/>
          <w:highlight w:val="none"/>
        </w:rPr>
      </w:pPr>
    </w:p>
    <w:p>
      <w:pPr>
        <w:pStyle w:val="4"/>
        <w:rPr>
          <w:rFonts w:asciiTheme="minorEastAsia" w:hAnsiTheme="minorEastAsia" w:eastAsiaTheme="minorEastAsia"/>
          <w:color w:val="auto"/>
          <w:highlight w:val="none"/>
        </w:rPr>
      </w:pPr>
      <w:bookmarkStart w:id="234" w:name="_Toc30373"/>
      <w:bookmarkStart w:id="235" w:name="_Toc5120"/>
      <w:bookmarkStart w:id="236" w:name="_Toc1465"/>
      <w:bookmarkStart w:id="237" w:name="_Toc75948175"/>
      <w:bookmarkStart w:id="238" w:name="_Toc37938445"/>
      <w:bookmarkStart w:id="239" w:name="_Toc28056"/>
      <w:bookmarkStart w:id="240" w:name="_Toc47725898"/>
      <w:bookmarkStart w:id="241" w:name="_Toc12361"/>
      <w:bookmarkStart w:id="242" w:name="_Toc37938219"/>
      <w:r>
        <w:rPr>
          <w:rFonts w:hint="eastAsia" w:asciiTheme="minorEastAsia" w:hAnsiTheme="minorEastAsia" w:eastAsiaTheme="minorEastAsia"/>
          <w:color w:val="auto"/>
          <w:sz w:val="30"/>
          <w:szCs w:val="30"/>
          <w:highlight w:val="none"/>
        </w:rPr>
        <w:t>供应商无重大违法记录的书面声明格式</w:t>
      </w:r>
      <w:bookmarkEnd w:id="234"/>
      <w:bookmarkEnd w:id="235"/>
      <w:bookmarkEnd w:id="236"/>
      <w:bookmarkEnd w:id="237"/>
      <w:bookmarkEnd w:id="238"/>
      <w:bookmarkEnd w:id="239"/>
      <w:bookmarkEnd w:id="240"/>
      <w:bookmarkEnd w:id="241"/>
      <w:bookmarkEnd w:id="242"/>
    </w:p>
    <w:p>
      <w:pPr>
        <w:spacing w:line="360" w:lineRule="auto"/>
        <w:rPr>
          <w:rFonts w:asciiTheme="minorEastAsia" w:hAnsiTheme="minorEastAsia" w:eastAsiaTheme="minorEastAsia"/>
          <w:b/>
          <w:color w:val="auto"/>
          <w:spacing w:val="4"/>
          <w:sz w:val="30"/>
          <w:szCs w:val="30"/>
          <w:highlight w:val="none"/>
          <w:u w:val="single"/>
        </w:rPr>
      </w:pPr>
    </w:p>
    <w:p>
      <w:pPr>
        <w:spacing w:line="360" w:lineRule="auto"/>
        <w:rPr>
          <w:rFonts w:asciiTheme="minorEastAsia" w:hAnsiTheme="minorEastAsia" w:eastAsiaTheme="minorEastAsia"/>
          <w:color w:val="auto"/>
          <w:spacing w:val="4"/>
          <w:szCs w:val="21"/>
          <w:highlight w:val="none"/>
          <w:u w:val="single"/>
        </w:rPr>
      </w:pPr>
      <w:r>
        <w:rPr>
          <w:rFonts w:hint="eastAsia" w:asciiTheme="minorEastAsia" w:hAnsiTheme="minorEastAsia" w:eastAsiaTheme="minorEastAsia"/>
          <w:color w:val="auto"/>
          <w:spacing w:val="4"/>
          <w:szCs w:val="21"/>
          <w:highlight w:val="none"/>
          <w:u w:val="single"/>
        </w:rPr>
        <w:t>致：     （采购人名称）    ：</w:t>
      </w:r>
    </w:p>
    <w:p>
      <w:pPr>
        <w:spacing w:line="360" w:lineRule="auto"/>
        <w:rPr>
          <w:rFonts w:asciiTheme="minorEastAsia" w:hAnsiTheme="minorEastAsia" w:eastAsiaTheme="minorEastAsia"/>
          <w:color w:val="auto"/>
          <w:spacing w:val="4"/>
          <w:szCs w:val="21"/>
          <w:highlight w:val="none"/>
          <w:u w:val="single"/>
        </w:rPr>
      </w:pPr>
    </w:p>
    <w:p>
      <w:pPr>
        <w:spacing w:line="360" w:lineRule="auto"/>
        <w:ind w:firstLine="43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（-------公司）为在中华人民共和国境内合法注册并经营的机构。在此郑重声明，我公司在参与本次政府采购活动前3年内在经营活动中没有重大违法记录。</w:t>
      </w:r>
    </w:p>
    <w:p>
      <w:pPr>
        <w:spacing w:before="240" w:beforeLines="100" w:after="120" w:afterLines="50" w:line="360" w:lineRule="auto"/>
        <w:ind w:firstLine="170"/>
        <w:rPr>
          <w:rFonts w:asciiTheme="minorEastAsia" w:hAnsiTheme="minorEastAsia" w:eastAsiaTheme="minorEastAsia"/>
          <w:color w:val="auto"/>
          <w:spacing w:val="4"/>
          <w:szCs w:val="21"/>
          <w:highlight w:val="none"/>
        </w:rPr>
      </w:pPr>
    </w:p>
    <w:p>
      <w:pPr>
        <w:spacing w:before="240" w:beforeLines="100" w:after="120" w:afterLines="50" w:line="360" w:lineRule="auto"/>
        <w:ind w:firstLine="170"/>
        <w:rPr>
          <w:rFonts w:asciiTheme="minorEastAsia" w:hAnsiTheme="minorEastAsia" w:eastAsiaTheme="minorEastAsia"/>
          <w:color w:val="auto"/>
          <w:spacing w:val="4"/>
          <w:szCs w:val="21"/>
          <w:highlight w:val="none"/>
        </w:rPr>
      </w:pPr>
    </w:p>
    <w:p>
      <w:pPr>
        <w:spacing w:before="240" w:beforeLines="100" w:after="120" w:afterLines="50" w:line="360" w:lineRule="auto"/>
        <w:ind w:firstLine="170"/>
        <w:rPr>
          <w:rFonts w:asciiTheme="minorEastAsia" w:hAnsiTheme="minorEastAsia" w:eastAsiaTheme="minorEastAsia"/>
          <w:color w:val="auto"/>
          <w:spacing w:val="4"/>
          <w:szCs w:val="21"/>
          <w:highlight w:val="none"/>
        </w:rPr>
      </w:pPr>
    </w:p>
    <w:p>
      <w:pPr>
        <w:spacing w:before="240" w:beforeLines="100" w:after="120" w:afterLines="50" w:line="360" w:lineRule="auto"/>
        <w:ind w:firstLine="170"/>
        <w:rPr>
          <w:rFonts w:asciiTheme="minorEastAsia" w:hAnsiTheme="minorEastAsia" w:eastAsiaTheme="minorEastAsia"/>
          <w:color w:val="auto"/>
          <w:spacing w:val="4"/>
          <w:szCs w:val="21"/>
          <w:highlight w:val="none"/>
        </w:rPr>
      </w:pPr>
    </w:p>
    <w:p>
      <w:pPr>
        <w:spacing w:before="240" w:beforeLines="100" w:after="120" w:afterLines="50" w:line="360" w:lineRule="auto"/>
        <w:ind w:firstLine="3270" w:firstLineChars="1500"/>
        <w:jc w:val="left"/>
        <w:rPr>
          <w:rFonts w:asciiTheme="minorEastAsia" w:hAnsiTheme="minorEastAsia" w:eastAsiaTheme="minorEastAsia"/>
          <w:color w:val="auto"/>
          <w:spacing w:val="14"/>
          <w:kern w:val="0"/>
          <w:szCs w:val="21"/>
          <w:highlight w:val="none"/>
        </w:rPr>
      </w:pPr>
      <w:r>
        <w:rPr>
          <w:rFonts w:hint="eastAsia" w:asciiTheme="minorEastAsia" w:hAnsiTheme="minorEastAsia" w:eastAsiaTheme="minorEastAsia"/>
          <w:color w:val="auto"/>
          <w:spacing w:val="4"/>
          <w:szCs w:val="21"/>
          <w:highlight w:val="none"/>
        </w:rPr>
        <w:t>供应商名称（盖章）：</w:t>
      </w:r>
      <w:r>
        <w:rPr>
          <w:rFonts w:hint="eastAsia" w:asciiTheme="minorEastAsia" w:hAnsiTheme="minorEastAsia" w:eastAsiaTheme="minorEastAsia"/>
          <w:color w:val="auto"/>
          <w:spacing w:val="4"/>
          <w:szCs w:val="21"/>
          <w:highlight w:val="none"/>
          <w:u w:val="single"/>
        </w:rPr>
        <w:t xml:space="preserve">               </w:t>
      </w:r>
      <w:r>
        <w:rPr>
          <w:rFonts w:hint="eastAsia" w:asciiTheme="minorEastAsia" w:hAnsiTheme="minorEastAsia" w:eastAsiaTheme="minorEastAsia"/>
          <w:color w:val="auto"/>
          <w:spacing w:val="14"/>
          <w:kern w:val="0"/>
          <w:szCs w:val="21"/>
          <w:highlight w:val="none"/>
          <w:u w:val="single"/>
        </w:rPr>
        <w:t>（单位全称）</w:t>
      </w:r>
    </w:p>
    <w:p>
      <w:pPr>
        <w:spacing w:before="240" w:beforeLines="100" w:after="120" w:afterLines="50" w:line="360" w:lineRule="auto"/>
        <w:ind w:firstLine="3270" w:firstLineChars="1500"/>
        <w:jc w:val="left"/>
        <w:rPr>
          <w:rFonts w:asciiTheme="minorEastAsia" w:hAnsiTheme="minorEastAsia" w:eastAsiaTheme="minorEastAsia"/>
          <w:color w:val="auto"/>
          <w:spacing w:val="4"/>
          <w:szCs w:val="21"/>
          <w:highlight w:val="none"/>
          <w:u w:val="single"/>
        </w:rPr>
      </w:pPr>
      <w:r>
        <w:rPr>
          <w:rFonts w:hint="eastAsia" w:asciiTheme="minorEastAsia" w:hAnsiTheme="minorEastAsia" w:eastAsiaTheme="minorEastAsia"/>
          <w:color w:val="auto"/>
          <w:spacing w:val="4"/>
          <w:szCs w:val="21"/>
          <w:highlight w:val="none"/>
        </w:rPr>
        <w:t>法定代表人（签字或盖章）：</w:t>
      </w:r>
      <w:r>
        <w:rPr>
          <w:rFonts w:hint="eastAsia" w:asciiTheme="minorEastAsia" w:hAnsiTheme="minorEastAsia" w:eastAsiaTheme="minorEastAsia"/>
          <w:color w:val="auto"/>
          <w:spacing w:val="4"/>
          <w:szCs w:val="21"/>
          <w:highlight w:val="none"/>
          <w:u w:val="single"/>
        </w:rPr>
        <w:t xml:space="preserve">                      </w:t>
      </w:r>
    </w:p>
    <w:p>
      <w:pPr>
        <w:spacing w:before="240" w:beforeLines="100" w:after="120" w:afterLines="50" w:line="360" w:lineRule="auto"/>
        <w:ind w:firstLine="4142" w:firstLineChars="1900"/>
        <w:jc w:val="left"/>
        <w:rPr>
          <w:rFonts w:asciiTheme="minorEastAsia" w:hAnsiTheme="minorEastAsia" w:eastAsiaTheme="minorEastAsia"/>
          <w:color w:val="auto"/>
          <w:spacing w:val="4"/>
          <w:szCs w:val="21"/>
          <w:highlight w:val="none"/>
        </w:rPr>
      </w:pPr>
    </w:p>
    <w:p>
      <w:pPr>
        <w:spacing w:line="360" w:lineRule="auto"/>
        <w:ind w:left="1"/>
        <w:jc w:val="center"/>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 xml:space="preserve">                                  日期：   年     月    日</w:t>
      </w:r>
    </w:p>
    <w:p>
      <w:pPr>
        <w:spacing w:line="360" w:lineRule="auto"/>
        <w:jc w:val="left"/>
        <w:rPr>
          <w:rFonts w:asciiTheme="minorEastAsia" w:hAnsiTheme="minorEastAsia" w:eastAsiaTheme="minorEastAsia"/>
          <w:b/>
          <w:color w:val="auto"/>
          <w:sz w:val="30"/>
          <w:szCs w:val="30"/>
          <w:highlight w:val="none"/>
        </w:rPr>
      </w:pPr>
      <w:r>
        <w:rPr>
          <w:rFonts w:asciiTheme="minorEastAsia" w:hAnsiTheme="minorEastAsia" w:eastAsiaTheme="minorEastAsia"/>
          <w:color w:val="auto"/>
          <w:highlight w:val="none"/>
        </w:rPr>
        <w:br w:type="page"/>
      </w:r>
      <w:r>
        <w:rPr>
          <w:rFonts w:hint="eastAsia" w:cs="宋体" w:asciiTheme="minorEastAsia" w:hAnsiTheme="minorEastAsia" w:eastAsiaTheme="minorEastAsia"/>
          <w:b/>
          <w:color w:val="auto"/>
          <w:sz w:val="24"/>
          <w:szCs w:val="24"/>
          <w:highlight w:val="none"/>
        </w:rPr>
        <w:t>附件：格式</w:t>
      </w:r>
    </w:p>
    <w:p>
      <w:pPr>
        <w:spacing w:line="360" w:lineRule="auto"/>
        <w:ind w:left="1"/>
        <w:jc w:val="center"/>
        <w:rPr>
          <w:rFonts w:asciiTheme="minorEastAsia" w:hAnsiTheme="minorEastAsia" w:eastAsiaTheme="minorEastAsia"/>
          <w:b/>
          <w:color w:val="auto"/>
          <w:sz w:val="36"/>
          <w:szCs w:val="36"/>
          <w:highlight w:val="none"/>
        </w:rPr>
      </w:pPr>
    </w:p>
    <w:p>
      <w:pPr>
        <w:spacing w:line="360" w:lineRule="auto"/>
        <w:ind w:left="1"/>
        <w:jc w:val="center"/>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color w:val="auto"/>
          <w:sz w:val="30"/>
          <w:szCs w:val="30"/>
          <w:highlight w:val="none"/>
        </w:rPr>
        <w:t>诚信声明</w:t>
      </w:r>
    </w:p>
    <w:p>
      <w:pPr>
        <w:spacing w:line="360" w:lineRule="auto"/>
        <w:rPr>
          <w:rFonts w:asciiTheme="minorEastAsia" w:hAnsiTheme="minorEastAsia" w:eastAsiaTheme="minorEastAsia"/>
          <w:color w:val="auto"/>
          <w:spacing w:val="4"/>
          <w:sz w:val="24"/>
          <w:szCs w:val="24"/>
          <w:highlight w:val="none"/>
          <w:u w:val="single"/>
        </w:rPr>
      </w:pPr>
    </w:p>
    <w:p>
      <w:pPr>
        <w:spacing w:line="360" w:lineRule="auto"/>
        <w:jc w:val="left"/>
        <w:rPr>
          <w:rFonts w:asciiTheme="minorEastAsia" w:hAnsiTheme="minorEastAsia" w:eastAsiaTheme="minorEastAsia"/>
          <w:color w:val="auto"/>
          <w:spacing w:val="4"/>
          <w:szCs w:val="21"/>
          <w:highlight w:val="none"/>
          <w:u w:val="single"/>
        </w:rPr>
      </w:pPr>
      <w:r>
        <w:rPr>
          <w:rFonts w:hint="eastAsia" w:asciiTheme="minorEastAsia" w:hAnsiTheme="minorEastAsia" w:eastAsiaTheme="minorEastAsia"/>
          <w:color w:val="auto"/>
          <w:spacing w:val="4"/>
          <w:szCs w:val="21"/>
          <w:highlight w:val="none"/>
        </w:rPr>
        <w:t>致：</w:t>
      </w:r>
      <w:r>
        <w:rPr>
          <w:rFonts w:hint="eastAsia" w:asciiTheme="minorEastAsia" w:hAnsiTheme="minorEastAsia" w:eastAsiaTheme="minorEastAsia"/>
          <w:color w:val="auto"/>
          <w:spacing w:val="4"/>
          <w:szCs w:val="21"/>
          <w:highlight w:val="none"/>
          <w:u w:val="single"/>
        </w:rPr>
        <w:t>（采购人名称）、（采购代理机构名称）</w:t>
      </w:r>
    </w:p>
    <w:p>
      <w:pPr>
        <w:spacing w:line="360" w:lineRule="auto"/>
        <w:jc w:val="left"/>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项目名称：</w:t>
      </w:r>
      <w:r>
        <w:rPr>
          <w:rFonts w:hint="eastAsia" w:asciiTheme="minorEastAsia" w:hAnsiTheme="minorEastAsia" w:eastAsiaTheme="minorEastAsia"/>
          <w:color w:val="auto"/>
          <w:spacing w:val="4"/>
          <w:szCs w:val="21"/>
          <w:highlight w:val="none"/>
          <w:u w:val="single"/>
        </w:rPr>
        <w:t xml:space="preserve">           </w:t>
      </w:r>
    </w:p>
    <w:p>
      <w:pPr>
        <w:spacing w:line="360" w:lineRule="auto"/>
        <w:jc w:val="left"/>
        <w:rPr>
          <w:rFonts w:asciiTheme="minorEastAsia" w:hAnsiTheme="minorEastAsia" w:eastAsiaTheme="minorEastAsia"/>
          <w:color w:val="auto"/>
          <w:spacing w:val="4"/>
          <w:szCs w:val="21"/>
          <w:highlight w:val="none"/>
          <w:u w:val="single"/>
        </w:rPr>
      </w:pPr>
      <w:r>
        <w:rPr>
          <w:rFonts w:hint="eastAsia" w:asciiTheme="minorEastAsia" w:hAnsiTheme="minorEastAsia" w:eastAsiaTheme="minorEastAsia"/>
          <w:color w:val="auto"/>
          <w:spacing w:val="4"/>
          <w:szCs w:val="21"/>
          <w:highlight w:val="none"/>
        </w:rPr>
        <w:t>项目编号：</w:t>
      </w:r>
      <w:r>
        <w:rPr>
          <w:rFonts w:hint="eastAsia" w:asciiTheme="minorEastAsia" w:hAnsiTheme="minorEastAsia" w:eastAsiaTheme="minorEastAsia"/>
          <w:color w:val="auto"/>
          <w:spacing w:val="4"/>
          <w:szCs w:val="21"/>
          <w:highlight w:val="none"/>
          <w:u w:val="single"/>
        </w:rPr>
        <w:t xml:space="preserve">           </w:t>
      </w:r>
    </w:p>
    <w:p>
      <w:pPr>
        <w:spacing w:line="360" w:lineRule="auto"/>
        <w:jc w:val="left"/>
        <w:rPr>
          <w:rFonts w:asciiTheme="minorEastAsia" w:hAnsiTheme="minorEastAsia" w:eastAsiaTheme="minorEastAsia"/>
          <w:color w:val="auto"/>
          <w:spacing w:val="4"/>
          <w:szCs w:val="21"/>
          <w:highlight w:val="none"/>
          <w:u w:val="single"/>
        </w:rPr>
      </w:pPr>
    </w:p>
    <w:p>
      <w:pPr>
        <w:spacing w:line="360" w:lineRule="auto"/>
        <w:ind w:firstLine="436" w:firstLineChars="200"/>
        <w:jc w:val="left"/>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u w:val="single"/>
        </w:rPr>
        <w:t xml:space="preserve">     （供应商名称）     </w:t>
      </w:r>
      <w:r>
        <w:rPr>
          <w:rFonts w:hint="eastAsia" w:asciiTheme="minorEastAsia" w:hAnsiTheme="minorEastAsia" w:eastAsiaTheme="minorEastAsia"/>
          <w:color w:val="auto"/>
          <w:spacing w:val="4"/>
          <w:szCs w:val="21"/>
          <w:highlight w:val="none"/>
        </w:rPr>
        <w:t>郑重声明，我公司具有良好的商业信誉和健全的财务会计制度，具有履行合同所必需的设备和专业技术能力，有依法缴纳税收和社会保障资金的良好记录，在合同签订前后随时愿意提供相关证明材料，符合《政府采购法》规定的供应商资格条件。我方对以上声明负全部法律责任，并按招标文件要求提供相关证明材料。</w:t>
      </w:r>
    </w:p>
    <w:p>
      <w:pPr>
        <w:spacing w:line="360" w:lineRule="auto"/>
        <w:ind w:firstLine="436" w:firstLineChars="200"/>
        <w:jc w:val="left"/>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特此声明。</w:t>
      </w:r>
    </w:p>
    <w:p>
      <w:pPr>
        <w:spacing w:line="360" w:lineRule="auto"/>
        <w:jc w:val="left"/>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 xml:space="preserve">    </w:t>
      </w:r>
    </w:p>
    <w:p>
      <w:pPr>
        <w:spacing w:line="360" w:lineRule="auto"/>
        <w:jc w:val="left"/>
        <w:rPr>
          <w:rFonts w:asciiTheme="minorEastAsia" w:hAnsiTheme="minorEastAsia" w:eastAsiaTheme="minorEastAsia"/>
          <w:color w:val="auto"/>
          <w:spacing w:val="4"/>
          <w:szCs w:val="21"/>
          <w:highlight w:val="none"/>
          <w:u w:val="single"/>
        </w:rPr>
      </w:pPr>
    </w:p>
    <w:p>
      <w:pPr>
        <w:spacing w:line="360" w:lineRule="auto"/>
        <w:jc w:val="left"/>
        <w:rPr>
          <w:rFonts w:asciiTheme="minorEastAsia" w:hAnsiTheme="minorEastAsia" w:eastAsiaTheme="minorEastAsia"/>
          <w:color w:val="auto"/>
          <w:spacing w:val="4"/>
          <w:szCs w:val="21"/>
          <w:highlight w:val="none"/>
          <w:u w:val="single"/>
        </w:rPr>
      </w:pPr>
    </w:p>
    <w:p>
      <w:pPr>
        <w:spacing w:before="240" w:beforeLines="100" w:after="120" w:afterLines="50" w:line="360" w:lineRule="auto"/>
        <w:ind w:firstLine="2243" w:firstLineChars="1029"/>
        <w:jc w:val="left"/>
        <w:rPr>
          <w:rFonts w:cs="宋体" w:asciiTheme="minorEastAsia" w:hAnsiTheme="minorEastAsia" w:eastAsiaTheme="minorEastAsia"/>
          <w:color w:val="auto"/>
          <w:spacing w:val="14"/>
          <w:kern w:val="0"/>
          <w:szCs w:val="21"/>
          <w:highlight w:val="none"/>
        </w:rPr>
      </w:pPr>
      <w:r>
        <w:rPr>
          <w:rFonts w:hint="eastAsia" w:cs="宋体" w:asciiTheme="minorEastAsia" w:hAnsiTheme="minorEastAsia" w:eastAsiaTheme="minorEastAsia"/>
          <w:color w:val="auto"/>
          <w:spacing w:val="4"/>
          <w:szCs w:val="21"/>
          <w:highlight w:val="none"/>
        </w:rPr>
        <w:t>供应商名称（盖章）：</w:t>
      </w:r>
      <w:r>
        <w:rPr>
          <w:rFonts w:hint="eastAsia" w:cs="宋体" w:asciiTheme="minorEastAsia" w:hAnsiTheme="minorEastAsia" w:eastAsiaTheme="minorEastAsia"/>
          <w:color w:val="auto"/>
          <w:spacing w:val="4"/>
          <w:szCs w:val="21"/>
          <w:highlight w:val="none"/>
          <w:u w:val="single"/>
        </w:rPr>
        <w:t xml:space="preserve">                     </w:t>
      </w:r>
      <w:r>
        <w:rPr>
          <w:rFonts w:hint="eastAsia" w:cs="宋体" w:asciiTheme="minorEastAsia" w:hAnsiTheme="minorEastAsia" w:eastAsiaTheme="minorEastAsia"/>
          <w:color w:val="auto"/>
          <w:spacing w:val="14"/>
          <w:kern w:val="0"/>
          <w:szCs w:val="21"/>
          <w:highlight w:val="none"/>
          <w:u w:val="single"/>
        </w:rPr>
        <w:t>（单位全称）</w:t>
      </w:r>
    </w:p>
    <w:p>
      <w:pPr>
        <w:spacing w:before="240" w:beforeLines="100" w:after="120" w:afterLines="50" w:line="360" w:lineRule="auto"/>
        <w:ind w:firstLine="2243" w:firstLineChars="1029"/>
        <w:jc w:val="left"/>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法定代表人（签字或盖章）：</w:t>
      </w:r>
      <w:r>
        <w:rPr>
          <w:rFonts w:hint="eastAsia" w:cs="宋体" w:asciiTheme="minorEastAsia" w:hAnsiTheme="minorEastAsia" w:eastAsiaTheme="minorEastAsia"/>
          <w:color w:val="auto"/>
          <w:spacing w:val="4"/>
          <w:szCs w:val="21"/>
          <w:highlight w:val="none"/>
          <w:u w:val="single"/>
        </w:rPr>
        <w:t xml:space="preserve">                            </w:t>
      </w:r>
    </w:p>
    <w:p>
      <w:pPr>
        <w:spacing w:line="360" w:lineRule="auto"/>
        <w:ind w:left="1"/>
        <w:jc w:val="center"/>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 xml:space="preserve">                      </w:t>
      </w:r>
    </w:p>
    <w:p>
      <w:pPr>
        <w:spacing w:line="360" w:lineRule="auto"/>
        <w:ind w:left="1"/>
        <w:jc w:val="center"/>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 xml:space="preserve">                                   日期：   年     月    日</w:t>
      </w:r>
    </w:p>
    <w:p>
      <w:pPr>
        <w:spacing w:line="360" w:lineRule="auto"/>
        <w:jc w:val="left"/>
        <w:rPr>
          <w:rFonts w:cs="宋体" w:asciiTheme="minorEastAsia" w:hAnsiTheme="minorEastAsia" w:eastAsiaTheme="minorEastAsia"/>
          <w:b/>
          <w:color w:val="auto"/>
          <w:sz w:val="24"/>
          <w:szCs w:val="24"/>
          <w:highlight w:val="none"/>
        </w:rPr>
      </w:pPr>
      <w:r>
        <w:rPr>
          <w:rFonts w:asciiTheme="minorEastAsia" w:hAnsiTheme="minorEastAsia" w:eastAsiaTheme="minorEastAsia"/>
          <w:color w:val="auto"/>
          <w:highlight w:val="none"/>
        </w:rPr>
        <w:br w:type="page"/>
      </w:r>
      <w:r>
        <w:rPr>
          <w:rFonts w:hint="eastAsia" w:cs="宋体" w:asciiTheme="minorEastAsia" w:hAnsiTheme="minorEastAsia" w:eastAsiaTheme="minorEastAsia"/>
          <w:b/>
          <w:color w:val="auto"/>
          <w:sz w:val="24"/>
          <w:szCs w:val="24"/>
          <w:highlight w:val="none"/>
        </w:rPr>
        <w:t>附件：格式</w:t>
      </w:r>
    </w:p>
    <w:p>
      <w:pPr>
        <w:spacing w:line="360" w:lineRule="auto"/>
        <w:jc w:val="center"/>
        <w:rPr>
          <w:rStyle w:val="73"/>
          <w:rFonts w:hint="eastAsia" w:ascii="宋体" w:hAnsi="宋体" w:eastAsia="宋体" w:cs="Times New Roman"/>
          <w:b/>
          <w:color w:val="auto"/>
          <w:sz w:val="30"/>
          <w:szCs w:val="30"/>
          <w:highlight w:val="none"/>
          <w:lang w:val="en-US" w:eastAsia="zh-CN"/>
        </w:rPr>
      </w:pPr>
      <w:r>
        <w:rPr>
          <w:rStyle w:val="73"/>
          <w:rFonts w:hint="eastAsia" w:ascii="宋体" w:hAnsi="宋体" w:eastAsia="宋体" w:cs="Times New Roman"/>
          <w:b/>
          <w:color w:val="auto"/>
          <w:sz w:val="30"/>
          <w:szCs w:val="30"/>
          <w:highlight w:val="none"/>
        </w:rPr>
        <w:t>注：非</w:t>
      </w:r>
      <w:r>
        <w:rPr>
          <w:rStyle w:val="73"/>
          <w:rFonts w:hint="eastAsia" w:ascii="宋体" w:hAnsi="宋体" w:cs="Times New Roman"/>
          <w:b/>
          <w:color w:val="auto"/>
          <w:sz w:val="30"/>
          <w:szCs w:val="30"/>
          <w:highlight w:val="none"/>
          <w:lang w:eastAsia="zh-CN"/>
        </w:rPr>
        <w:t>中小企业</w:t>
      </w:r>
      <w:r>
        <w:rPr>
          <w:rStyle w:val="73"/>
          <w:rFonts w:hint="eastAsia" w:ascii="宋体" w:hAnsi="宋体" w:eastAsia="宋体" w:cs="Times New Roman"/>
          <w:b/>
          <w:color w:val="auto"/>
          <w:sz w:val="30"/>
          <w:szCs w:val="30"/>
          <w:highlight w:val="none"/>
        </w:rPr>
        <w:t>无须附此表</w:t>
      </w:r>
      <w:r>
        <w:rPr>
          <w:rStyle w:val="73"/>
          <w:rFonts w:hint="eastAsia" w:ascii="宋体" w:hAnsi="宋体" w:eastAsia="宋体" w:cs="Times New Roman"/>
          <w:b/>
          <w:color w:val="auto"/>
          <w:sz w:val="30"/>
          <w:szCs w:val="30"/>
          <w:highlight w:val="none"/>
          <w:lang w:eastAsia="zh-CN"/>
        </w:rPr>
        <w:t>，</w:t>
      </w:r>
      <w:r>
        <w:rPr>
          <w:rStyle w:val="73"/>
          <w:rFonts w:hint="eastAsia" w:ascii="宋体" w:hAnsi="宋体" w:eastAsia="宋体" w:cs="Times New Roman"/>
          <w:b/>
          <w:color w:val="auto"/>
          <w:sz w:val="30"/>
          <w:szCs w:val="30"/>
          <w:highlight w:val="none"/>
          <w:lang w:val="en-US" w:eastAsia="zh-CN"/>
        </w:rPr>
        <w:t>否则由此产</w:t>
      </w:r>
    </w:p>
    <w:p>
      <w:pPr>
        <w:spacing w:line="360" w:lineRule="auto"/>
        <w:jc w:val="center"/>
        <w:rPr>
          <w:rStyle w:val="73"/>
          <w:rFonts w:hint="default" w:ascii="宋体" w:hAnsi="宋体" w:eastAsia="宋体" w:cs="Times New Roman"/>
          <w:b/>
          <w:color w:val="auto"/>
          <w:sz w:val="30"/>
          <w:szCs w:val="30"/>
          <w:highlight w:val="none"/>
          <w:lang w:val="en-US" w:eastAsia="zh-CN"/>
        </w:rPr>
      </w:pPr>
      <w:r>
        <w:rPr>
          <w:rStyle w:val="73"/>
          <w:rFonts w:hint="eastAsia" w:ascii="宋体" w:hAnsi="宋体" w:eastAsia="宋体" w:cs="Times New Roman"/>
          <w:b/>
          <w:color w:val="auto"/>
          <w:sz w:val="30"/>
          <w:szCs w:val="30"/>
          <w:highlight w:val="none"/>
          <w:lang w:val="en-US" w:eastAsia="zh-CN"/>
        </w:rPr>
        <w:t>生的一切不利后果由供应商自行承担</w:t>
      </w:r>
    </w:p>
    <w:p>
      <w:pPr>
        <w:spacing w:line="360" w:lineRule="auto"/>
        <w:jc w:val="left"/>
        <w:rPr>
          <w:rFonts w:cs="宋体" w:asciiTheme="minorEastAsia" w:hAnsiTheme="minorEastAsia" w:eastAsiaTheme="minorEastAsia"/>
          <w:b/>
          <w:color w:val="auto"/>
          <w:sz w:val="24"/>
          <w:szCs w:val="24"/>
          <w:highlight w:val="none"/>
        </w:rPr>
      </w:pPr>
    </w:p>
    <w:p>
      <w:pPr>
        <w:spacing w:line="360" w:lineRule="auto"/>
        <w:ind w:left="1"/>
        <w:jc w:val="center"/>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color w:val="auto"/>
          <w:sz w:val="30"/>
          <w:szCs w:val="30"/>
          <w:highlight w:val="none"/>
        </w:rPr>
        <w:t>中小企业声明函</w:t>
      </w:r>
    </w:p>
    <w:p>
      <w:pPr>
        <w:spacing w:line="360" w:lineRule="auto"/>
        <w:ind w:left="1"/>
        <w:jc w:val="center"/>
        <w:rPr>
          <w:rFonts w:asciiTheme="minorEastAsia" w:hAnsiTheme="minorEastAsia" w:eastAsiaTheme="minorEastAsia"/>
          <w:b/>
          <w:color w:val="auto"/>
          <w:sz w:val="36"/>
          <w:szCs w:val="36"/>
          <w:highlight w:val="none"/>
        </w:rPr>
      </w:pPr>
    </w:p>
    <w:p>
      <w:pPr>
        <w:spacing w:line="360" w:lineRule="auto"/>
        <w:ind w:firstLine="43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36" w:firstLineChars="200"/>
        <w:jc w:val="left"/>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1.</w:t>
      </w:r>
      <w:r>
        <w:rPr>
          <w:rFonts w:hint="eastAsia" w:asciiTheme="minorEastAsia" w:hAnsiTheme="minorEastAsia" w:eastAsiaTheme="minorEastAsia"/>
          <w:i/>
          <w:color w:val="auto"/>
          <w:spacing w:val="4"/>
          <w:szCs w:val="21"/>
          <w:highlight w:val="none"/>
          <w:u w:val="single"/>
        </w:rPr>
        <w:t>（标的名称）</w:t>
      </w:r>
      <w:r>
        <w:rPr>
          <w:rFonts w:hint="eastAsia" w:asciiTheme="minorEastAsia" w:hAnsiTheme="minorEastAsia" w:eastAsiaTheme="minorEastAsia"/>
          <w:color w:val="auto"/>
          <w:spacing w:val="4"/>
          <w:szCs w:val="21"/>
          <w:highlight w:val="none"/>
        </w:rPr>
        <w:t>，属于</w:t>
      </w:r>
      <w:r>
        <w:rPr>
          <w:rFonts w:hint="eastAsia" w:asciiTheme="minorEastAsia" w:hAnsiTheme="minorEastAsia" w:eastAsiaTheme="minorEastAsia"/>
          <w:i/>
          <w:color w:val="auto"/>
          <w:spacing w:val="4"/>
          <w:szCs w:val="21"/>
          <w:highlight w:val="none"/>
          <w:u w:val="single"/>
        </w:rPr>
        <w:t>（采购文件中明确的所属行业）</w:t>
      </w:r>
      <w:r>
        <w:rPr>
          <w:rFonts w:hint="eastAsia" w:asciiTheme="minorEastAsia" w:hAnsiTheme="minorEastAsia" w:eastAsiaTheme="minorEastAsia"/>
          <w:color w:val="auto"/>
          <w:spacing w:val="4"/>
          <w:szCs w:val="21"/>
          <w:highlight w:val="none"/>
        </w:rPr>
        <w:t>；制造商为</w:t>
      </w:r>
      <w:r>
        <w:rPr>
          <w:rFonts w:hint="eastAsia" w:asciiTheme="minorEastAsia" w:hAnsiTheme="minorEastAsia" w:eastAsiaTheme="minorEastAsia"/>
          <w:i/>
          <w:color w:val="auto"/>
          <w:spacing w:val="4"/>
          <w:szCs w:val="21"/>
          <w:highlight w:val="none"/>
          <w:u w:val="single"/>
        </w:rPr>
        <w:t>（企业名称）</w:t>
      </w:r>
      <w:r>
        <w:rPr>
          <w:rFonts w:hint="eastAsia" w:asciiTheme="minorEastAsia" w:hAnsiTheme="minorEastAsia" w:eastAsiaTheme="minorEastAsia"/>
          <w:color w:val="auto"/>
          <w:spacing w:val="4"/>
          <w:szCs w:val="21"/>
          <w:highlight w:val="none"/>
        </w:rPr>
        <w:t>，从业人员</w:t>
      </w:r>
      <w:r>
        <w:rPr>
          <w:rFonts w:hint="eastAsia" w:asciiTheme="minorEastAsia" w:hAnsiTheme="minorEastAsia" w:eastAsiaTheme="minorEastAsia"/>
          <w:color w:val="auto"/>
          <w:spacing w:val="4"/>
          <w:szCs w:val="21"/>
          <w:highlight w:val="none"/>
          <w:u w:val="single"/>
        </w:rPr>
        <w:t xml:space="preserve">    </w:t>
      </w:r>
      <w:r>
        <w:rPr>
          <w:rFonts w:hint="eastAsia" w:asciiTheme="minorEastAsia" w:hAnsiTheme="minorEastAsia" w:eastAsiaTheme="minorEastAsia"/>
          <w:color w:val="auto"/>
          <w:spacing w:val="4"/>
          <w:szCs w:val="21"/>
          <w:highlight w:val="none"/>
        </w:rPr>
        <w:t>人，营业收入为</w:t>
      </w:r>
      <w:r>
        <w:rPr>
          <w:rFonts w:hint="eastAsia" w:asciiTheme="minorEastAsia" w:hAnsiTheme="minorEastAsia" w:eastAsiaTheme="minorEastAsia"/>
          <w:color w:val="auto"/>
          <w:spacing w:val="4"/>
          <w:szCs w:val="21"/>
          <w:highlight w:val="none"/>
          <w:u w:val="single"/>
        </w:rPr>
        <w:t xml:space="preserve">    </w:t>
      </w:r>
      <w:r>
        <w:rPr>
          <w:rFonts w:hint="eastAsia" w:asciiTheme="minorEastAsia" w:hAnsiTheme="minorEastAsia" w:eastAsiaTheme="minorEastAsia"/>
          <w:color w:val="auto"/>
          <w:spacing w:val="4"/>
          <w:szCs w:val="21"/>
          <w:highlight w:val="none"/>
        </w:rPr>
        <w:t>万元，资产总额为</w:t>
      </w:r>
      <w:r>
        <w:rPr>
          <w:rFonts w:hint="eastAsia" w:asciiTheme="minorEastAsia" w:hAnsiTheme="minorEastAsia" w:eastAsiaTheme="minorEastAsia"/>
          <w:color w:val="auto"/>
          <w:spacing w:val="4"/>
          <w:szCs w:val="21"/>
          <w:highlight w:val="none"/>
          <w:u w:val="single"/>
        </w:rPr>
        <w:t xml:space="preserve">  </w:t>
      </w:r>
      <w:r>
        <w:rPr>
          <w:rFonts w:hint="eastAsia" w:asciiTheme="minorEastAsia" w:hAnsiTheme="minorEastAsia" w:eastAsiaTheme="minorEastAsia"/>
          <w:color w:val="auto"/>
          <w:spacing w:val="4"/>
          <w:szCs w:val="21"/>
          <w:highlight w:val="none"/>
        </w:rPr>
        <w:t>万元，属于</w:t>
      </w:r>
      <w:r>
        <w:rPr>
          <w:rFonts w:hint="eastAsia" w:asciiTheme="minorEastAsia" w:hAnsiTheme="minorEastAsia" w:eastAsiaTheme="minorEastAsia"/>
          <w:i/>
          <w:color w:val="auto"/>
          <w:spacing w:val="4"/>
          <w:szCs w:val="21"/>
          <w:highlight w:val="none"/>
          <w:u w:val="single"/>
        </w:rPr>
        <w:t>（中型企业、小型企业、微型企业）</w:t>
      </w:r>
      <w:r>
        <w:rPr>
          <w:rFonts w:hint="eastAsia" w:asciiTheme="minorEastAsia" w:hAnsiTheme="minorEastAsia" w:eastAsiaTheme="minorEastAsia"/>
          <w:color w:val="auto"/>
          <w:spacing w:val="4"/>
          <w:szCs w:val="21"/>
          <w:highlight w:val="none"/>
        </w:rPr>
        <w:t xml:space="preserve">； </w:t>
      </w:r>
    </w:p>
    <w:p>
      <w:pPr>
        <w:spacing w:line="360" w:lineRule="auto"/>
        <w:ind w:firstLine="436" w:firstLineChars="200"/>
        <w:jc w:val="left"/>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2.</w:t>
      </w:r>
      <w:r>
        <w:rPr>
          <w:rFonts w:hint="eastAsia" w:asciiTheme="minorEastAsia" w:hAnsiTheme="minorEastAsia" w:eastAsiaTheme="minorEastAsia"/>
          <w:i/>
          <w:color w:val="auto"/>
          <w:spacing w:val="4"/>
          <w:szCs w:val="21"/>
          <w:highlight w:val="none"/>
          <w:u w:val="single"/>
        </w:rPr>
        <w:t>（标的名称）</w:t>
      </w:r>
      <w:r>
        <w:rPr>
          <w:rFonts w:hint="eastAsia" w:asciiTheme="minorEastAsia" w:hAnsiTheme="minorEastAsia" w:eastAsiaTheme="minorEastAsia"/>
          <w:color w:val="auto"/>
          <w:spacing w:val="4"/>
          <w:szCs w:val="21"/>
          <w:highlight w:val="none"/>
        </w:rPr>
        <w:t>，属于（采购文件中明确的所属行业）；制造商为</w:t>
      </w:r>
      <w:r>
        <w:rPr>
          <w:rFonts w:hint="eastAsia" w:asciiTheme="minorEastAsia" w:hAnsiTheme="minorEastAsia" w:eastAsiaTheme="minorEastAsia"/>
          <w:i/>
          <w:color w:val="auto"/>
          <w:spacing w:val="4"/>
          <w:szCs w:val="21"/>
          <w:highlight w:val="none"/>
          <w:u w:val="single"/>
        </w:rPr>
        <w:t>（企业名称）</w:t>
      </w:r>
      <w:r>
        <w:rPr>
          <w:rFonts w:hint="eastAsia" w:asciiTheme="minorEastAsia" w:hAnsiTheme="minorEastAsia" w:eastAsiaTheme="minorEastAsia"/>
          <w:color w:val="auto"/>
          <w:spacing w:val="4"/>
          <w:szCs w:val="21"/>
          <w:highlight w:val="none"/>
        </w:rPr>
        <w:t>，从业人员</w:t>
      </w:r>
      <w:r>
        <w:rPr>
          <w:rFonts w:hint="eastAsia" w:asciiTheme="minorEastAsia" w:hAnsiTheme="minorEastAsia" w:eastAsiaTheme="minorEastAsia"/>
          <w:color w:val="auto"/>
          <w:spacing w:val="4"/>
          <w:szCs w:val="21"/>
          <w:highlight w:val="none"/>
          <w:u w:val="single"/>
        </w:rPr>
        <w:t xml:space="preserve">    </w:t>
      </w:r>
      <w:r>
        <w:rPr>
          <w:rFonts w:hint="eastAsia" w:asciiTheme="minorEastAsia" w:hAnsiTheme="minorEastAsia" w:eastAsiaTheme="minorEastAsia"/>
          <w:color w:val="auto"/>
          <w:spacing w:val="4"/>
          <w:szCs w:val="21"/>
          <w:highlight w:val="none"/>
        </w:rPr>
        <w:t>人，营业收入为</w:t>
      </w:r>
      <w:r>
        <w:rPr>
          <w:rFonts w:hint="eastAsia" w:asciiTheme="minorEastAsia" w:hAnsiTheme="minorEastAsia" w:eastAsiaTheme="minorEastAsia"/>
          <w:color w:val="auto"/>
          <w:spacing w:val="4"/>
          <w:szCs w:val="21"/>
          <w:highlight w:val="none"/>
          <w:u w:val="single"/>
        </w:rPr>
        <w:t xml:space="preserve">    </w:t>
      </w:r>
      <w:r>
        <w:rPr>
          <w:rFonts w:hint="eastAsia" w:asciiTheme="minorEastAsia" w:hAnsiTheme="minorEastAsia" w:eastAsiaTheme="minorEastAsia"/>
          <w:color w:val="auto"/>
          <w:spacing w:val="4"/>
          <w:szCs w:val="21"/>
          <w:highlight w:val="none"/>
        </w:rPr>
        <w:t>万元，资产总额为</w:t>
      </w:r>
      <w:r>
        <w:rPr>
          <w:rFonts w:hint="eastAsia" w:asciiTheme="minorEastAsia" w:hAnsiTheme="minorEastAsia" w:eastAsiaTheme="minorEastAsia"/>
          <w:color w:val="auto"/>
          <w:spacing w:val="4"/>
          <w:szCs w:val="21"/>
          <w:highlight w:val="none"/>
          <w:u w:val="single"/>
        </w:rPr>
        <w:t xml:space="preserve">   </w:t>
      </w:r>
      <w:r>
        <w:rPr>
          <w:rFonts w:hint="eastAsia" w:asciiTheme="minorEastAsia" w:hAnsiTheme="minorEastAsia" w:eastAsiaTheme="minorEastAsia"/>
          <w:color w:val="auto"/>
          <w:spacing w:val="4"/>
          <w:szCs w:val="21"/>
          <w:highlight w:val="none"/>
        </w:rPr>
        <w:t>万元，属于</w:t>
      </w:r>
      <w:r>
        <w:rPr>
          <w:rFonts w:hint="eastAsia" w:asciiTheme="minorEastAsia" w:hAnsiTheme="minorEastAsia" w:eastAsiaTheme="minorEastAsia"/>
          <w:i/>
          <w:color w:val="auto"/>
          <w:spacing w:val="4"/>
          <w:szCs w:val="21"/>
          <w:highlight w:val="none"/>
          <w:u w:val="single"/>
        </w:rPr>
        <w:t>（中型企业、小型企业、微型企业）</w:t>
      </w:r>
      <w:r>
        <w:rPr>
          <w:rFonts w:hint="eastAsia" w:asciiTheme="minorEastAsia" w:hAnsiTheme="minorEastAsia" w:eastAsiaTheme="minorEastAsia"/>
          <w:color w:val="auto"/>
          <w:spacing w:val="4"/>
          <w:szCs w:val="21"/>
          <w:highlight w:val="none"/>
        </w:rPr>
        <w:t xml:space="preserve">； </w:t>
      </w:r>
    </w:p>
    <w:p>
      <w:pPr>
        <w:spacing w:line="360" w:lineRule="auto"/>
        <w:ind w:firstLine="49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 w:val="24"/>
          <w:szCs w:val="24"/>
          <w:highlight w:val="none"/>
        </w:rPr>
        <w:t>……</w:t>
      </w:r>
    </w:p>
    <w:p>
      <w:pPr>
        <w:spacing w:line="360" w:lineRule="auto"/>
        <w:ind w:firstLine="43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 xml:space="preserve">以上企业，不属于大企业的分支机构，不存在控股股东为大企业的情形，也不存在与大企业的负责人为同一人的情形。 </w:t>
      </w:r>
    </w:p>
    <w:p>
      <w:pPr>
        <w:spacing w:line="360" w:lineRule="auto"/>
        <w:ind w:firstLine="43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本企业对上述声明内容的真实性负责。如有虚假，将依法承担相应责任。</w:t>
      </w:r>
    </w:p>
    <w:p>
      <w:pPr>
        <w:spacing w:line="360" w:lineRule="auto"/>
        <w:ind w:left="1"/>
        <w:rPr>
          <w:rFonts w:cs="宋体" w:asciiTheme="minorEastAsia" w:hAnsiTheme="minorEastAsia" w:eastAsiaTheme="minorEastAsia"/>
          <w:color w:val="auto"/>
          <w:szCs w:val="21"/>
          <w:highlight w:val="none"/>
        </w:rPr>
      </w:pPr>
    </w:p>
    <w:p>
      <w:pPr>
        <w:spacing w:line="360" w:lineRule="auto"/>
        <w:ind w:left="1"/>
        <w:rPr>
          <w:rFonts w:cs="宋体" w:asciiTheme="minorEastAsia" w:hAnsiTheme="minorEastAsia" w:eastAsiaTheme="minorEastAsia"/>
          <w:color w:val="auto"/>
          <w:sz w:val="24"/>
          <w:szCs w:val="24"/>
          <w:highlight w:val="none"/>
        </w:rPr>
      </w:pPr>
    </w:p>
    <w:p>
      <w:pPr>
        <w:spacing w:before="240" w:beforeLines="100" w:after="120" w:afterLines="50" w:line="360" w:lineRule="auto"/>
        <w:ind w:firstLine="2243" w:firstLineChars="1029"/>
        <w:jc w:val="left"/>
        <w:rPr>
          <w:rFonts w:cs="宋体" w:asciiTheme="minorEastAsia" w:hAnsiTheme="minorEastAsia" w:eastAsiaTheme="minorEastAsia"/>
          <w:color w:val="auto"/>
          <w:spacing w:val="14"/>
          <w:kern w:val="0"/>
          <w:szCs w:val="21"/>
          <w:highlight w:val="none"/>
        </w:rPr>
      </w:pPr>
      <w:r>
        <w:rPr>
          <w:rFonts w:hint="eastAsia" w:cs="宋体" w:asciiTheme="minorEastAsia" w:hAnsiTheme="minorEastAsia" w:eastAsiaTheme="minorEastAsia"/>
          <w:color w:val="auto"/>
          <w:spacing w:val="4"/>
          <w:szCs w:val="21"/>
          <w:highlight w:val="none"/>
        </w:rPr>
        <w:t>供应商名称（盖章）：</w:t>
      </w:r>
      <w:r>
        <w:rPr>
          <w:rFonts w:hint="eastAsia" w:cs="宋体" w:asciiTheme="minorEastAsia" w:hAnsiTheme="minorEastAsia" w:eastAsiaTheme="minorEastAsia"/>
          <w:color w:val="auto"/>
          <w:spacing w:val="4"/>
          <w:szCs w:val="21"/>
          <w:highlight w:val="none"/>
          <w:u w:val="single"/>
        </w:rPr>
        <w:t xml:space="preserve">                     </w:t>
      </w:r>
      <w:r>
        <w:rPr>
          <w:rFonts w:hint="eastAsia" w:cs="宋体" w:asciiTheme="minorEastAsia" w:hAnsiTheme="minorEastAsia" w:eastAsiaTheme="minorEastAsia"/>
          <w:color w:val="auto"/>
          <w:spacing w:val="14"/>
          <w:kern w:val="0"/>
          <w:szCs w:val="21"/>
          <w:highlight w:val="none"/>
          <w:u w:val="single"/>
        </w:rPr>
        <w:t>（单位全称）</w:t>
      </w:r>
    </w:p>
    <w:p>
      <w:pPr>
        <w:spacing w:before="240" w:beforeLines="100" w:after="120" w:afterLines="50" w:line="360" w:lineRule="auto"/>
        <w:ind w:firstLine="2243" w:firstLineChars="1029"/>
        <w:jc w:val="left"/>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法定代表人（签字或盖章）：</w:t>
      </w:r>
      <w:r>
        <w:rPr>
          <w:rFonts w:hint="eastAsia" w:cs="宋体" w:asciiTheme="minorEastAsia" w:hAnsiTheme="minorEastAsia" w:eastAsiaTheme="minorEastAsia"/>
          <w:color w:val="auto"/>
          <w:spacing w:val="4"/>
          <w:szCs w:val="21"/>
          <w:highlight w:val="none"/>
          <w:u w:val="single"/>
        </w:rPr>
        <w:t xml:space="preserve">                            </w:t>
      </w:r>
    </w:p>
    <w:p>
      <w:pPr>
        <w:spacing w:line="360" w:lineRule="auto"/>
        <w:ind w:left="1"/>
        <w:jc w:val="center"/>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 xml:space="preserve">                      </w:t>
      </w:r>
    </w:p>
    <w:p>
      <w:pPr>
        <w:pStyle w:val="2"/>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 xml:space="preserve">                                   日期：   年     月    日</w:t>
      </w:r>
    </w:p>
    <w:p>
      <w:pPr>
        <w:spacing w:line="360" w:lineRule="auto"/>
        <w:jc w:val="left"/>
        <w:rPr>
          <w:rFonts w:asciiTheme="minorEastAsia" w:hAnsiTheme="minorEastAsia" w:eastAsiaTheme="minorEastAsia"/>
          <w:color w:val="auto"/>
          <w:sz w:val="28"/>
          <w:szCs w:val="28"/>
          <w:highlight w:val="none"/>
        </w:rPr>
      </w:pPr>
    </w:p>
    <w:p>
      <w:pPr>
        <w:spacing w:line="360" w:lineRule="auto"/>
        <w:ind w:firstLine="4900" w:firstLineChars="175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133350</wp:posOffset>
                </wp:positionH>
                <wp:positionV relativeFrom="paragraph">
                  <wp:posOffset>371475</wp:posOffset>
                </wp:positionV>
                <wp:extent cx="2867025" cy="0"/>
                <wp:effectExtent l="9525" t="9525" r="9525" b="9525"/>
                <wp:wrapNone/>
                <wp:docPr id="8" name="直接箭头连接符 8"/>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0.5pt;margin-top:29.25pt;height:0pt;width:225.75pt;z-index:251663360;mso-width-relative:page;mso-height-relative:page;" filled="f" stroked="t" coordsize="21600,21600" o:gfxdata="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9b94c1wAAAAgBAAAPAAAAAAAAAAEAIAAAACIAAABkcnMvZG93bnJldi54bWxQSwECFAAU&#10;AAAACACHTuJA78NK3vIBAAC+AwAADgAAAAAAAAABACAAAAAmAQAAZHJzL2Uyb0RvYy54bWxQSwUG&#10;AAAAAAYABgBZAQAAigUAAAAA&#10;">
                <v:fill on="f" focussize="0,0"/>
                <v:stroke color="#000000" joinstyle="round"/>
                <v:imagedata o:title=""/>
                <o:lock v:ext="edit" aspectratio="f"/>
              </v:shape>
            </w:pict>
          </mc:Fallback>
        </mc:AlternateContent>
      </w:r>
    </w:p>
    <w:p>
      <w:pPr>
        <w:spacing w:line="360" w:lineRule="auto"/>
        <w:jc w:val="left"/>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 xml:space="preserve">从业人员、营业收入、资产总额填报上一年度数据，无上一年度数据的新成立企业可不填报。 </w:t>
      </w:r>
    </w:p>
    <w:p>
      <w:pPr>
        <w:spacing w:line="360" w:lineRule="auto"/>
        <w:jc w:val="left"/>
        <w:rPr>
          <w:rFonts w:asciiTheme="minorEastAsia" w:hAnsiTheme="minorEastAsia" w:eastAsiaTheme="minorEastAsia"/>
          <w:b/>
          <w:color w:val="auto"/>
          <w:sz w:val="30"/>
          <w:szCs w:val="30"/>
          <w:highlight w:val="none"/>
        </w:rPr>
      </w:pPr>
      <w:r>
        <w:rPr>
          <w:rFonts w:hint="eastAsia" w:cs="宋体" w:asciiTheme="minorEastAsia" w:hAnsiTheme="minorEastAsia" w:eastAsiaTheme="minorEastAsia"/>
          <w:color w:val="auto"/>
          <w:spacing w:val="4"/>
          <w:szCs w:val="21"/>
          <w:highlight w:val="none"/>
        </w:rPr>
        <w:br w:type="page"/>
      </w:r>
      <w:r>
        <w:rPr>
          <w:rFonts w:hint="eastAsia" w:cs="宋体" w:asciiTheme="minorEastAsia" w:hAnsiTheme="minorEastAsia" w:eastAsiaTheme="minorEastAsia"/>
          <w:b/>
          <w:color w:val="auto"/>
          <w:sz w:val="24"/>
          <w:szCs w:val="24"/>
          <w:highlight w:val="none"/>
        </w:rPr>
        <w:t>附件：格式</w:t>
      </w:r>
    </w:p>
    <w:p>
      <w:pPr>
        <w:spacing w:line="360" w:lineRule="auto"/>
        <w:jc w:val="center"/>
        <w:rPr>
          <w:rStyle w:val="73"/>
          <w:rFonts w:hint="eastAsia" w:ascii="宋体" w:hAnsi="宋体" w:eastAsia="宋体" w:cs="Times New Roman"/>
          <w:b/>
          <w:color w:val="auto"/>
          <w:sz w:val="30"/>
          <w:szCs w:val="30"/>
          <w:highlight w:val="none"/>
          <w:lang w:val="en-US" w:eastAsia="zh-CN"/>
        </w:rPr>
      </w:pPr>
      <w:r>
        <w:rPr>
          <w:rStyle w:val="73"/>
          <w:rFonts w:hint="eastAsia" w:ascii="宋体" w:hAnsi="宋体" w:eastAsia="宋体" w:cs="Times New Roman"/>
          <w:b/>
          <w:color w:val="auto"/>
          <w:sz w:val="30"/>
          <w:szCs w:val="30"/>
          <w:highlight w:val="none"/>
        </w:rPr>
        <w:t>注：非残疾人福利性单位，无须附此表</w:t>
      </w:r>
      <w:r>
        <w:rPr>
          <w:rStyle w:val="73"/>
          <w:rFonts w:hint="eastAsia" w:ascii="宋体" w:hAnsi="宋体" w:eastAsia="宋体" w:cs="Times New Roman"/>
          <w:b/>
          <w:color w:val="auto"/>
          <w:sz w:val="30"/>
          <w:szCs w:val="30"/>
          <w:highlight w:val="none"/>
          <w:lang w:eastAsia="zh-CN"/>
        </w:rPr>
        <w:t>，</w:t>
      </w:r>
      <w:r>
        <w:rPr>
          <w:rStyle w:val="73"/>
          <w:rFonts w:hint="eastAsia" w:ascii="宋体" w:hAnsi="宋体" w:eastAsia="宋体" w:cs="Times New Roman"/>
          <w:b/>
          <w:color w:val="auto"/>
          <w:sz w:val="30"/>
          <w:szCs w:val="30"/>
          <w:highlight w:val="none"/>
          <w:lang w:val="en-US" w:eastAsia="zh-CN"/>
        </w:rPr>
        <w:t>否则由此产</w:t>
      </w:r>
    </w:p>
    <w:p>
      <w:pPr>
        <w:spacing w:line="360" w:lineRule="auto"/>
        <w:jc w:val="center"/>
        <w:rPr>
          <w:rStyle w:val="73"/>
          <w:rFonts w:hint="default" w:ascii="宋体" w:hAnsi="宋体" w:eastAsia="宋体" w:cs="Times New Roman"/>
          <w:b/>
          <w:color w:val="auto"/>
          <w:sz w:val="30"/>
          <w:szCs w:val="30"/>
          <w:highlight w:val="none"/>
          <w:lang w:val="en-US" w:eastAsia="zh-CN"/>
        </w:rPr>
      </w:pPr>
      <w:r>
        <w:rPr>
          <w:rStyle w:val="73"/>
          <w:rFonts w:hint="eastAsia" w:ascii="宋体" w:hAnsi="宋体" w:eastAsia="宋体" w:cs="Times New Roman"/>
          <w:b/>
          <w:color w:val="auto"/>
          <w:sz w:val="30"/>
          <w:szCs w:val="30"/>
          <w:highlight w:val="none"/>
          <w:lang w:val="en-US" w:eastAsia="zh-CN"/>
        </w:rPr>
        <w:t>生的一切不利后果由供应商自行承担</w:t>
      </w:r>
    </w:p>
    <w:p>
      <w:pPr>
        <w:spacing w:line="588" w:lineRule="exact"/>
        <w:rPr>
          <w:rFonts w:asciiTheme="minorEastAsia" w:hAnsiTheme="minorEastAsia" w:eastAsiaTheme="minorEastAsia"/>
          <w:b/>
          <w:color w:val="auto"/>
          <w:sz w:val="30"/>
          <w:szCs w:val="30"/>
          <w:highlight w:val="none"/>
        </w:rPr>
      </w:pPr>
    </w:p>
    <w:p>
      <w:pPr>
        <w:spacing w:line="360" w:lineRule="auto"/>
        <w:ind w:left="1"/>
        <w:jc w:val="center"/>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color w:val="auto"/>
          <w:sz w:val="30"/>
          <w:szCs w:val="30"/>
          <w:highlight w:val="none"/>
        </w:rPr>
        <w:t>残疾人福利性单位声明函</w:t>
      </w:r>
    </w:p>
    <w:p>
      <w:pPr>
        <w:spacing w:line="588" w:lineRule="exact"/>
        <w:rPr>
          <w:rFonts w:asciiTheme="minorEastAsia" w:hAnsiTheme="minorEastAsia" w:eastAsiaTheme="minorEastAsia"/>
          <w:b/>
          <w:color w:val="auto"/>
          <w:spacing w:val="6"/>
          <w:sz w:val="30"/>
          <w:szCs w:val="30"/>
          <w:highlight w:val="none"/>
        </w:rPr>
      </w:pPr>
    </w:p>
    <w:p>
      <w:pPr>
        <w:spacing w:line="588" w:lineRule="exact"/>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olor w:val="auto"/>
          <w:spacing w:val="4"/>
          <w:szCs w:val="21"/>
          <w:highlight w:val="none"/>
          <w:u w:val="single"/>
        </w:rPr>
        <w:t xml:space="preserve">                        </w:t>
      </w:r>
      <w:r>
        <w:rPr>
          <w:rFonts w:hint="eastAsia" w:asciiTheme="minorEastAsia" w:hAnsiTheme="minorEastAsia" w:eastAsiaTheme="minorEastAsia"/>
          <w:color w:val="auto"/>
          <w:spacing w:val="4"/>
          <w:szCs w:val="21"/>
          <w:highlight w:val="none"/>
        </w:rPr>
        <w:t>单位的</w:t>
      </w:r>
      <w:r>
        <w:rPr>
          <w:rFonts w:hint="eastAsia" w:asciiTheme="minorEastAsia" w:hAnsiTheme="minorEastAsia" w:eastAsiaTheme="minorEastAsia"/>
          <w:color w:val="auto"/>
          <w:spacing w:val="4"/>
          <w:szCs w:val="21"/>
          <w:highlight w:val="none"/>
          <w:u w:val="single"/>
        </w:rPr>
        <w:t xml:space="preserve">                   </w:t>
      </w:r>
      <w:r>
        <w:rPr>
          <w:rFonts w:hint="eastAsia" w:asciiTheme="minorEastAsia" w:hAnsiTheme="minorEastAsia" w:eastAsiaTheme="minorEastAsia"/>
          <w:color w:val="auto"/>
          <w:spacing w:val="4"/>
          <w:szCs w:val="21"/>
          <w:highlight w:val="none"/>
        </w:rPr>
        <w:t>项目采购活动提供本单位制造的货物，或者提供其他残疾人福利性单位制造的货物（不包括使用非残疾人福利性单位注册商标的货物）。</w:t>
      </w:r>
    </w:p>
    <w:p>
      <w:pPr>
        <w:spacing w:line="588" w:lineRule="exact"/>
        <w:ind w:firstLine="436" w:firstLineChars="200"/>
        <w:rPr>
          <w:rFonts w:hint="eastAsia"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本单位对上述声明的真实性负责。如有虚假，将依法承担相应责任。</w:t>
      </w:r>
    </w:p>
    <w:p>
      <w:pPr>
        <w:pStyle w:val="2"/>
        <w:rPr>
          <w:rFonts w:asciiTheme="minorEastAsia" w:hAnsiTheme="minorEastAsia" w:eastAsiaTheme="minorEastAsia"/>
          <w:color w:val="auto"/>
          <w:highlight w:val="none"/>
        </w:rPr>
      </w:pPr>
    </w:p>
    <w:p>
      <w:pPr>
        <w:spacing w:line="360" w:lineRule="auto"/>
        <w:ind w:left="1"/>
        <w:rPr>
          <w:rFonts w:cs="宋体" w:asciiTheme="minorEastAsia" w:hAnsiTheme="minorEastAsia" w:eastAsiaTheme="minorEastAsia"/>
          <w:color w:val="auto"/>
          <w:szCs w:val="21"/>
          <w:highlight w:val="none"/>
        </w:rPr>
      </w:pPr>
    </w:p>
    <w:p>
      <w:pPr>
        <w:spacing w:line="360" w:lineRule="auto"/>
        <w:ind w:left="1"/>
        <w:rPr>
          <w:rFonts w:cs="宋体" w:asciiTheme="minorEastAsia" w:hAnsiTheme="minorEastAsia" w:eastAsiaTheme="minorEastAsia"/>
          <w:color w:val="auto"/>
          <w:sz w:val="24"/>
          <w:szCs w:val="24"/>
          <w:highlight w:val="none"/>
        </w:rPr>
      </w:pPr>
    </w:p>
    <w:p>
      <w:pPr>
        <w:spacing w:before="240" w:beforeLines="100" w:after="120" w:afterLines="50" w:line="360" w:lineRule="auto"/>
        <w:ind w:firstLine="2243" w:firstLineChars="1029"/>
        <w:jc w:val="left"/>
        <w:rPr>
          <w:rFonts w:cs="宋体" w:asciiTheme="minorEastAsia" w:hAnsiTheme="minorEastAsia" w:eastAsiaTheme="minorEastAsia"/>
          <w:color w:val="auto"/>
          <w:spacing w:val="14"/>
          <w:kern w:val="0"/>
          <w:szCs w:val="21"/>
          <w:highlight w:val="none"/>
        </w:rPr>
      </w:pPr>
      <w:r>
        <w:rPr>
          <w:rFonts w:hint="eastAsia" w:cs="宋体" w:asciiTheme="minorEastAsia" w:hAnsiTheme="minorEastAsia" w:eastAsiaTheme="minorEastAsia"/>
          <w:color w:val="auto"/>
          <w:spacing w:val="4"/>
          <w:szCs w:val="21"/>
          <w:highlight w:val="none"/>
        </w:rPr>
        <w:t>供应商名称（盖章）：</w:t>
      </w:r>
      <w:r>
        <w:rPr>
          <w:rFonts w:hint="eastAsia" w:cs="宋体" w:asciiTheme="minorEastAsia" w:hAnsiTheme="minorEastAsia" w:eastAsiaTheme="minorEastAsia"/>
          <w:color w:val="auto"/>
          <w:spacing w:val="4"/>
          <w:szCs w:val="21"/>
          <w:highlight w:val="none"/>
          <w:u w:val="single"/>
        </w:rPr>
        <w:t xml:space="preserve">                     </w:t>
      </w:r>
      <w:r>
        <w:rPr>
          <w:rFonts w:hint="eastAsia" w:cs="宋体" w:asciiTheme="minorEastAsia" w:hAnsiTheme="minorEastAsia" w:eastAsiaTheme="minorEastAsia"/>
          <w:color w:val="auto"/>
          <w:spacing w:val="14"/>
          <w:kern w:val="0"/>
          <w:szCs w:val="21"/>
          <w:highlight w:val="none"/>
          <w:u w:val="single"/>
        </w:rPr>
        <w:t>（单位全称）</w:t>
      </w:r>
    </w:p>
    <w:p>
      <w:pPr>
        <w:spacing w:before="240" w:beforeLines="100" w:after="120" w:afterLines="50" w:line="360" w:lineRule="auto"/>
        <w:ind w:firstLine="2243" w:firstLineChars="1029"/>
        <w:jc w:val="left"/>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法定代表人（签字或盖章）：</w:t>
      </w:r>
      <w:r>
        <w:rPr>
          <w:rFonts w:hint="eastAsia" w:cs="宋体" w:asciiTheme="minorEastAsia" w:hAnsiTheme="minorEastAsia" w:eastAsiaTheme="minorEastAsia"/>
          <w:color w:val="auto"/>
          <w:spacing w:val="4"/>
          <w:szCs w:val="21"/>
          <w:highlight w:val="none"/>
          <w:u w:val="single"/>
        </w:rPr>
        <w:t xml:space="preserve">                            </w:t>
      </w:r>
    </w:p>
    <w:p>
      <w:pPr>
        <w:spacing w:line="360" w:lineRule="auto"/>
        <w:ind w:left="1"/>
        <w:jc w:val="center"/>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 xml:space="preserve">                      </w:t>
      </w:r>
    </w:p>
    <w:p>
      <w:pPr>
        <w:pStyle w:val="2"/>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 xml:space="preserve">                                   日期：   年     月    日</w:t>
      </w:r>
    </w:p>
    <w:p>
      <w:pPr>
        <w:rPr>
          <w:rFonts w:asciiTheme="minorEastAsia" w:hAnsiTheme="minorEastAsia" w:eastAsiaTheme="minorEastAsia"/>
          <w:color w:val="auto"/>
          <w:highlight w:val="none"/>
        </w:rPr>
      </w:pPr>
    </w:p>
    <w:p>
      <w:pPr>
        <w:widowControl/>
        <w:jc w:val="left"/>
        <w:rPr>
          <w:rFonts w:cs="宋体" w:asciiTheme="minorEastAsia" w:hAnsiTheme="minorEastAsia" w:eastAsiaTheme="minorEastAsia"/>
          <w:color w:val="auto"/>
          <w:spacing w:val="4"/>
          <w:szCs w:val="21"/>
          <w:highlight w:val="none"/>
        </w:rPr>
      </w:pPr>
      <w:r>
        <w:rPr>
          <w:rFonts w:cs="宋体" w:asciiTheme="minorEastAsia" w:hAnsiTheme="minorEastAsia" w:eastAsiaTheme="minorEastAsia"/>
          <w:color w:val="auto"/>
          <w:spacing w:val="4"/>
          <w:szCs w:val="21"/>
          <w:highlight w:val="none"/>
        </w:rPr>
        <w:br w:type="page"/>
      </w:r>
    </w:p>
    <w:p>
      <w:pPr>
        <w:rPr>
          <w:rFonts w:cs="宋体" w:asciiTheme="minorEastAsia" w:hAnsiTheme="minorEastAsia" w:eastAsiaTheme="minorEastAsia"/>
          <w:color w:val="auto"/>
          <w:spacing w:val="4"/>
          <w:szCs w:val="21"/>
          <w:highlight w:val="none"/>
        </w:rPr>
      </w:pPr>
    </w:p>
    <w:bookmarkEnd w:id="217"/>
    <w:p>
      <w:pPr>
        <w:spacing w:line="360" w:lineRule="auto"/>
        <w:ind w:left="1"/>
        <w:jc w:val="center"/>
        <w:rPr>
          <w:rFonts w:asciiTheme="minorEastAsia" w:hAnsiTheme="minorEastAsia" w:eastAsiaTheme="minorEastAsia"/>
          <w:color w:val="auto"/>
          <w:sz w:val="24"/>
          <w:szCs w:val="24"/>
          <w:highlight w:val="none"/>
        </w:rPr>
      </w:pPr>
    </w:p>
    <w:p>
      <w:pPr>
        <w:spacing w:line="360" w:lineRule="auto"/>
        <w:ind w:left="1"/>
        <w:jc w:val="center"/>
        <w:rPr>
          <w:rFonts w:asciiTheme="minorEastAsia" w:hAnsiTheme="minorEastAsia" w:eastAsiaTheme="minorEastAsia"/>
          <w:color w:val="auto"/>
          <w:sz w:val="24"/>
          <w:szCs w:val="24"/>
          <w:highlight w:val="none"/>
        </w:rPr>
      </w:pPr>
    </w:p>
    <w:p>
      <w:pPr>
        <w:spacing w:line="360" w:lineRule="auto"/>
        <w:ind w:left="1"/>
        <w:jc w:val="center"/>
        <w:outlineLvl w:val="0"/>
        <w:rPr>
          <w:rFonts w:asciiTheme="minorEastAsia" w:hAnsiTheme="minorEastAsia" w:eastAsiaTheme="minorEastAsia"/>
          <w:b/>
          <w:color w:val="auto"/>
          <w:sz w:val="44"/>
          <w:szCs w:val="44"/>
          <w:highlight w:val="none"/>
        </w:rPr>
      </w:pPr>
      <w:bookmarkStart w:id="243" w:name="_Toc13999"/>
      <w:bookmarkStart w:id="244" w:name="_Toc2197"/>
      <w:bookmarkStart w:id="245" w:name="_Toc13691"/>
      <w:bookmarkStart w:id="246" w:name="_Toc15489"/>
      <w:bookmarkStart w:id="247" w:name="_Toc30778"/>
      <w:bookmarkStart w:id="248" w:name="_Toc47725899"/>
      <w:bookmarkStart w:id="249" w:name="_Toc75948176"/>
      <w:bookmarkStart w:id="250" w:name="_Toc19317"/>
      <w:r>
        <w:rPr>
          <w:rFonts w:hint="eastAsia" w:asciiTheme="minorEastAsia" w:hAnsiTheme="minorEastAsia" w:eastAsiaTheme="minorEastAsia"/>
          <w:b/>
          <w:color w:val="auto"/>
          <w:sz w:val="44"/>
          <w:szCs w:val="44"/>
          <w:highlight w:val="none"/>
        </w:rPr>
        <w:t>政府采购货物项目</w:t>
      </w:r>
      <w:bookmarkEnd w:id="243"/>
      <w:bookmarkEnd w:id="244"/>
      <w:bookmarkEnd w:id="245"/>
      <w:bookmarkEnd w:id="246"/>
      <w:bookmarkEnd w:id="247"/>
      <w:bookmarkEnd w:id="248"/>
      <w:bookmarkEnd w:id="249"/>
      <w:bookmarkEnd w:id="250"/>
    </w:p>
    <w:p>
      <w:pPr>
        <w:jc w:val="center"/>
        <w:rPr>
          <w:rFonts w:asciiTheme="minorEastAsia" w:hAnsiTheme="minorEastAsia" w:eastAsiaTheme="minorEastAsia"/>
          <w:b/>
          <w:color w:val="auto"/>
          <w:sz w:val="24"/>
          <w:szCs w:val="24"/>
          <w:highlight w:val="none"/>
        </w:rPr>
      </w:pPr>
    </w:p>
    <w:p>
      <w:pPr>
        <w:jc w:val="center"/>
        <w:rPr>
          <w:rFonts w:asciiTheme="minorEastAsia" w:hAnsiTheme="minorEastAsia" w:eastAsiaTheme="minorEastAsia"/>
          <w:b/>
          <w:color w:val="auto"/>
          <w:sz w:val="24"/>
          <w:szCs w:val="24"/>
          <w:highlight w:val="none"/>
        </w:rPr>
      </w:pPr>
    </w:p>
    <w:p>
      <w:pPr>
        <w:jc w:val="center"/>
        <w:rPr>
          <w:rFonts w:asciiTheme="minorEastAsia" w:hAnsiTheme="minorEastAsia" w:eastAsiaTheme="minorEastAsia"/>
          <w:b/>
          <w:color w:val="auto"/>
          <w:sz w:val="24"/>
          <w:szCs w:val="24"/>
          <w:highlight w:val="none"/>
        </w:rPr>
      </w:pPr>
    </w:p>
    <w:p>
      <w:pPr>
        <w:jc w:val="center"/>
        <w:rPr>
          <w:rFonts w:asciiTheme="minorEastAsia" w:hAnsiTheme="minorEastAsia" w:eastAsiaTheme="minorEastAsia"/>
          <w:b/>
          <w:color w:val="auto"/>
          <w:sz w:val="24"/>
          <w:szCs w:val="24"/>
          <w:highlight w:val="none"/>
        </w:rPr>
      </w:pPr>
    </w:p>
    <w:p>
      <w:pPr>
        <w:jc w:val="center"/>
        <w:rPr>
          <w:rFonts w:asciiTheme="minorEastAsia" w:hAnsiTheme="minorEastAsia" w:eastAsiaTheme="minorEastAsia"/>
          <w:b/>
          <w:color w:val="auto"/>
          <w:sz w:val="24"/>
          <w:szCs w:val="24"/>
          <w:highlight w:val="none"/>
        </w:rPr>
      </w:pPr>
    </w:p>
    <w:p>
      <w:pPr>
        <w:jc w:val="center"/>
        <w:rPr>
          <w:rFonts w:asciiTheme="minorEastAsia" w:hAnsiTheme="minorEastAsia" w:eastAsiaTheme="minorEastAsia"/>
          <w:b/>
          <w:color w:val="auto"/>
          <w:sz w:val="84"/>
          <w:szCs w:val="84"/>
          <w:highlight w:val="none"/>
        </w:rPr>
      </w:pPr>
      <w:r>
        <w:rPr>
          <w:rFonts w:hint="eastAsia" w:asciiTheme="minorEastAsia" w:hAnsiTheme="minorEastAsia" w:eastAsiaTheme="minorEastAsia"/>
          <w:b/>
          <w:color w:val="auto"/>
          <w:sz w:val="84"/>
          <w:szCs w:val="84"/>
          <w:highlight w:val="none"/>
        </w:rPr>
        <w:t>投 标 文 件</w:t>
      </w:r>
    </w:p>
    <w:p>
      <w:pPr>
        <w:jc w:val="center"/>
        <w:rPr>
          <w:rFonts w:asciiTheme="minorEastAsia" w:hAnsiTheme="minorEastAsia" w:eastAsiaTheme="minorEastAsia"/>
          <w:b/>
          <w:color w:val="auto"/>
          <w:sz w:val="36"/>
          <w:szCs w:val="36"/>
          <w:highlight w:val="none"/>
        </w:rPr>
      </w:pPr>
    </w:p>
    <w:p>
      <w:pPr>
        <w:pStyle w:val="4"/>
        <w:rPr>
          <w:rFonts w:asciiTheme="minorEastAsia" w:hAnsiTheme="minorEastAsia" w:eastAsiaTheme="minorEastAsia"/>
          <w:color w:val="auto"/>
          <w:highlight w:val="none"/>
        </w:rPr>
      </w:pPr>
      <w:bookmarkStart w:id="251" w:name="_Toc47725900"/>
      <w:bookmarkStart w:id="252" w:name="_Toc30885"/>
      <w:bookmarkStart w:id="253" w:name="_Toc27226"/>
      <w:bookmarkStart w:id="254" w:name="_Toc774"/>
      <w:bookmarkStart w:id="255" w:name="_Toc37938447"/>
      <w:r>
        <w:rPr>
          <w:rFonts w:hint="eastAsia" w:asciiTheme="minorEastAsia" w:hAnsiTheme="minorEastAsia" w:eastAsiaTheme="minorEastAsia"/>
          <w:color w:val="auto"/>
          <w:highlight w:val="none"/>
        </w:rPr>
        <w:t>（技术和商务部分）</w:t>
      </w:r>
      <w:bookmarkEnd w:id="251"/>
      <w:bookmarkEnd w:id="252"/>
      <w:bookmarkEnd w:id="253"/>
      <w:bookmarkEnd w:id="254"/>
      <w:bookmarkEnd w:id="255"/>
    </w:p>
    <w:p>
      <w:pPr>
        <w:jc w:val="center"/>
        <w:rPr>
          <w:rFonts w:asciiTheme="minorEastAsia" w:hAnsiTheme="minorEastAsia" w:eastAsiaTheme="minorEastAsia"/>
          <w:b/>
          <w:color w:val="auto"/>
          <w:sz w:val="24"/>
          <w:szCs w:val="24"/>
          <w:highlight w:val="none"/>
        </w:rPr>
      </w:pPr>
    </w:p>
    <w:p>
      <w:pPr>
        <w:jc w:val="center"/>
        <w:rPr>
          <w:rFonts w:asciiTheme="minorEastAsia" w:hAnsiTheme="minorEastAsia" w:eastAsiaTheme="minorEastAsia"/>
          <w:b/>
          <w:color w:val="auto"/>
          <w:sz w:val="24"/>
          <w:szCs w:val="24"/>
          <w:highlight w:val="none"/>
        </w:rPr>
      </w:pPr>
    </w:p>
    <w:p>
      <w:pPr>
        <w:jc w:val="center"/>
        <w:rPr>
          <w:rFonts w:asciiTheme="minorEastAsia" w:hAnsiTheme="minorEastAsia" w:eastAsiaTheme="minorEastAsia"/>
          <w:b/>
          <w:color w:val="auto"/>
          <w:sz w:val="24"/>
          <w:szCs w:val="24"/>
          <w:highlight w:val="none"/>
        </w:rPr>
      </w:pPr>
    </w:p>
    <w:p>
      <w:pPr>
        <w:rPr>
          <w:rFonts w:asciiTheme="minorEastAsia" w:hAnsiTheme="minorEastAsia" w:eastAsiaTheme="minorEastAsia"/>
          <w:b/>
          <w:color w:val="auto"/>
          <w:sz w:val="24"/>
          <w:szCs w:val="24"/>
          <w:highlight w:val="none"/>
        </w:rPr>
      </w:pPr>
    </w:p>
    <w:p>
      <w:pPr>
        <w:jc w:val="center"/>
        <w:rPr>
          <w:rFonts w:asciiTheme="minorEastAsia" w:hAnsiTheme="minorEastAsia" w:eastAsiaTheme="minorEastAsia"/>
          <w:color w:val="auto"/>
          <w:sz w:val="24"/>
          <w:szCs w:val="24"/>
          <w:highlight w:val="none"/>
        </w:rPr>
      </w:pPr>
    </w:p>
    <w:p>
      <w:pPr>
        <w:tabs>
          <w:tab w:val="left" w:pos="2628"/>
        </w:tabs>
        <w:spacing w:line="360" w:lineRule="auto"/>
        <w:ind w:left="2497" w:leftChars="544" w:hanging="1355" w:hangingChars="450"/>
        <w:jc w:val="left"/>
        <w:rPr>
          <w:rFonts w:asciiTheme="minorEastAsia" w:hAnsiTheme="minorEastAsia" w:eastAsiaTheme="minorEastAsia"/>
          <w:b/>
          <w:color w:val="auto"/>
          <w:sz w:val="30"/>
          <w:szCs w:val="30"/>
          <w:highlight w:val="none"/>
        </w:rPr>
      </w:pPr>
      <w:r>
        <w:rPr>
          <w:rFonts w:hint="eastAsia" w:asciiTheme="minorEastAsia" w:hAnsiTheme="minorEastAsia" w:eastAsiaTheme="minorEastAsia"/>
          <w:b/>
          <w:color w:val="auto"/>
          <w:sz w:val="30"/>
          <w:szCs w:val="30"/>
          <w:highlight w:val="none"/>
        </w:rPr>
        <w:t>项目名称：</w:t>
      </w:r>
    </w:p>
    <w:p>
      <w:pPr>
        <w:tabs>
          <w:tab w:val="left" w:pos="2628"/>
        </w:tabs>
        <w:spacing w:line="360" w:lineRule="auto"/>
        <w:ind w:left="842" w:leftChars="401" w:firstLine="301" w:firstLineChars="100"/>
        <w:jc w:val="left"/>
        <w:rPr>
          <w:rFonts w:asciiTheme="minorEastAsia" w:hAnsiTheme="minorEastAsia" w:eastAsiaTheme="minorEastAsia"/>
          <w:b/>
          <w:color w:val="auto"/>
          <w:sz w:val="30"/>
          <w:szCs w:val="30"/>
          <w:highlight w:val="none"/>
        </w:rPr>
      </w:pPr>
      <w:r>
        <w:rPr>
          <w:rFonts w:hint="eastAsia" w:asciiTheme="minorEastAsia" w:hAnsiTheme="minorEastAsia" w:eastAsiaTheme="minorEastAsia"/>
          <w:b/>
          <w:color w:val="auto"/>
          <w:sz w:val="30"/>
          <w:szCs w:val="30"/>
          <w:highlight w:val="none"/>
        </w:rPr>
        <w:t>项目编号：</w:t>
      </w:r>
    </w:p>
    <w:p>
      <w:pPr>
        <w:tabs>
          <w:tab w:val="left" w:pos="2628"/>
        </w:tabs>
        <w:spacing w:line="360" w:lineRule="auto"/>
        <w:ind w:left="842" w:leftChars="401" w:firstLine="301" w:firstLineChars="100"/>
        <w:jc w:val="left"/>
        <w:rPr>
          <w:rFonts w:asciiTheme="minorEastAsia" w:hAnsiTheme="minorEastAsia" w:eastAsiaTheme="minorEastAsia"/>
          <w:b/>
          <w:color w:val="auto"/>
          <w:sz w:val="30"/>
          <w:szCs w:val="30"/>
          <w:highlight w:val="none"/>
        </w:rPr>
      </w:pP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 w:val="24"/>
          <w:szCs w:val="24"/>
          <w:highlight w:val="none"/>
        </w:rPr>
      </w:pPr>
    </w:p>
    <w:p>
      <w:pPr>
        <w:ind w:firstLine="1506" w:firstLineChars="500"/>
        <w:rPr>
          <w:rFonts w:asciiTheme="minorEastAsia" w:hAnsiTheme="minorEastAsia" w:eastAsiaTheme="minorEastAsia"/>
          <w:b/>
          <w:color w:val="auto"/>
          <w:sz w:val="30"/>
          <w:szCs w:val="30"/>
          <w:highlight w:val="none"/>
        </w:rPr>
      </w:pPr>
      <w:r>
        <w:rPr>
          <w:rFonts w:hint="eastAsia" w:asciiTheme="minorEastAsia" w:hAnsiTheme="minorEastAsia" w:eastAsiaTheme="minorEastAsia"/>
          <w:b/>
          <w:color w:val="auto"/>
          <w:sz w:val="30"/>
          <w:szCs w:val="30"/>
          <w:highlight w:val="none"/>
        </w:rPr>
        <w:t>供应商：</w:t>
      </w:r>
      <w:r>
        <w:rPr>
          <w:rFonts w:hint="eastAsia" w:asciiTheme="minorEastAsia" w:hAnsiTheme="minorEastAsia" w:eastAsiaTheme="minorEastAsia"/>
          <w:b/>
          <w:color w:val="auto"/>
          <w:sz w:val="30"/>
          <w:szCs w:val="30"/>
          <w:highlight w:val="none"/>
          <w:u w:val="single"/>
        </w:rPr>
        <w:t xml:space="preserve">                   </w:t>
      </w:r>
      <w:r>
        <w:rPr>
          <w:rFonts w:hint="eastAsia" w:asciiTheme="minorEastAsia" w:hAnsiTheme="minorEastAsia" w:eastAsiaTheme="minorEastAsia"/>
          <w:b/>
          <w:color w:val="auto"/>
          <w:sz w:val="30"/>
          <w:szCs w:val="30"/>
          <w:highlight w:val="none"/>
        </w:rPr>
        <w:t>（公章）</w:t>
      </w:r>
    </w:p>
    <w:p>
      <w:pPr>
        <w:jc w:val="center"/>
        <w:rPr>
          <w:rFonts w:asciiTheme="minorEastAsia" w:hAnsiTheme="minorEastAsia" w:eastAsiaTheme="minorEastAsia"/>
          <w:b/>
          <w:color w:val="auto"/>
          <w:sz w:val="30"/>
          <w:szCs w:val="30"/>
          <w:highlight w:val="none"/>
        </w:rPr>
      </w:pPr>
    </w:p>
    <w:p>
      <w:pPr>
        <w:ind w:firstLine="1506" w:firstLineChars="500"/>
        <w:rPr>
          <w:rFonts w:asciiTheme="minorEastAsia" w:hAnsiTheme="minorEastAsia" w:eastAsiaTheme="minorEastAsia"/>
          <w:b/>
          <w:color w:val="auto"/>
          <w:sz w:val="30"/>
          <w:szCs w:val="30"/>
          <w:highlight w:val="none"/>
        </w:rPr>
      </w:pPr>
      <w:r>
        <w:rPr>
          <w:rFonts w:hint="eastAsia" w:asciiTheme="minorEastAsia" w:hAnsiTheme="minorEastAsia" w:eastAsiaTheme="minorEastAsia"/>
          <w:b/>
          <w:color w:val="auto"/>
          <w:sz w:val="30"/>
          <w:szCs w:val="30"/>
          <w:highlight w:val="none"/>
        </w:rPr>
        <w:t>日  期：</w:t>
      </w:r>
      <w:r>
        <w:rPr>
          <w:rFonts w:hint="eastAsia" w:asciiTheme="minorEastAsia" w:hAnsiTheme="minorEastAsia" w:eastAsiaTheme="minorEastAsia"/>
          <w:b/>
          <w:color w:val="auto"/>
          <w:sz w:val="30"/>
          <w:szCs w:val="30"/>
          <w:highlight w:val="none"/>
          <w:u w:val="single"/>
        </w:rPr>
        <w:t xml:space="preserve">        </w:t>
      </w:r>
      <w:r>
        <w:rPr>
          <w:rFonts w:hint="eastAsia" w:asciiTheme="minorEastAsia" w:hAnsiTheme="minorEastAsia" w:eastAsiaTheme="minorEastAsia"/>
          <w:b/>
          <w:color w:val="auto"/>
          <w:sz w:val="30"/>
          <w:szCs w:val="30"/>
          <w:highlight w:val="none"/>
        </w:rPr>
        <w:t>年</w:t>
      </w:r>
      <w:r>
        <w:rPr>
          <w:rFonts w:hint="eastAsia" w:asciiTheme="minorEastAsia" w:hAnsiTheme="minorEastAsia" w:eastAsiaTheme="minorEastAsia"/>
          <w:b/>
          <w:color w:val="auto"/>
          <w:sz w:val="30"/>
          <w:szCs w:val="30"/>
          <w:highlight w:val="none"/>
          <w:u w:val="single"/>
        </w:rPr>
        <w:t xml:space="preserve">     </w:t>
      </w:r>
      <w:r>
        <w:rPr>
          <w:rFonts w:hint="eastAsia" w:asciiTheme="minorEastAsia" w:hAnsiTheme="minorEastAsia" w:eastAsiaTheme="minorEastAsia"/>
          <w:b/>
          <w:color w:val="auto"/>
          <w:sz w:val="30"/>
          <w:szCs w:val="30"/>
          <w:highlight w:val="none"/>
        </w:rPr>
        <w:t>月</w:t>
      </w:r>
      <w:r>
        <w:rPr>
          <w:rFonts w:hint="eastAsia" w:asciiTheme="minorEastAsia" w:hAnsiTheme="minorEastAsia" w:eastAsiaTheme="minorEastAsia"/>
          <w:b/>
          <w:color w:val="auto"/>
          <w:sz w:val="30"/>
          <w:szCs w:val="30"/>
          <w:highlight w:val="none"/>
          <w:u w:val="single"/>
        </w:rPr>
        <w:t xml:space="preserve">     </w:t>
      </w:r>
      <w:r>
        <w:rPr>
          <w:rFonts w:hint="eastAsia" w:asciiTheme="minorEastAsia" w:hAnsiTheme="minorEastAsia" w:eastAsiaTheme="minorEastAsia"/>
          <w:b/>
          <w:color w:val="auto"/>
          <w:sz w:val="30"/>
          <w:szCs w:val="30"/>
          <w:highlight w:val="none"/>
        </w:rPr>
        <w:t>日</w:t>
      </w:r>
    </w:p>
    <w:p>
      <w:pPr>
        <w:spacing w:line="500" w:lineRule="exact"/>
        <w:jc w:val="center"/>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br w:type="page"/>
      </w:r>
    </w:p>
    <w:p>
      <w:pPr>
        <w:spacing w:line="500" w:lineRule="exact"/>
        <w:jc w:val="center"/>
        <w:rPr>
          <w:rFonts w:asciiTheme="minorEastAsia" w:hAnsiTheme="minorEastAsia" w:eastAsiaTheme="minorEastAsia"/>
          <w:b/>
          <w:color w:val="auto"/>
          <w:sz w:val="36"/>
          <w:szCs w:val="36"/>
          <w:highlight w:val="none"/>
        </w:rPr>
      </w:pPr>
    </w:p>
    <w:p>
      <w:pPr>
        <w:spacing w:line="500" w:lineRule="exact"/>
        <w:jc w:val="center"/>
        <w:rPr>
          <w:rFonts w:asciiTheme="minorEastAsia" w:hAnsiTheme="minorEastAsia" w:eastAsiaTheme="minorEastAsia"/>
          <w:b/>
          <w:bCs/>
          <w:color w:val="auto"/>
          <w:spacing w:val="4"/>
          <w:sz w:val="30"/>
          <w:szCs w:val="30"/>
          <w:highlight w:val="none"/>
        </w:rPr>
      </w:pPr>
      <w:r>
        <w:rPr>
          <w:rFonts w:hint="eastAsia" w:asciiTheme="minorEastAsia" w:hAnsiTheme="minorEastAsia" w:eastAsiaTheme="minorEastAsia"/>
          <w:b/>
          <w:bCs/>
          <w:color w:val="auto"/>
          <w:spacing w:val="4"/>
          <w:sz w:val="30"/>
          <w:szCs w:val="30"/>
          <w:highlight w:val="none"/>
        </w:rPr>
        <w:t>目 录</w:t>
      </w:r>
    </w:p>
    <w:p>
      <w:pPr>
        <w:spacing w:line="500" w:lineRule="exact"/>
        <w:jc w:val="center"/>
        <w:rPr>
          <w:rFonts w:asciiTheme="minorEastAsia" w:hAnsiTheme="minorEastAsia" w:eastAsiaTheme="minorEastAsia"/>
          <w:b/>
          <w:bCs/>
          <w:color w:val="auto"/>
          <w:spacing w:val="4"/>
          <w:sz w:val="36"/>
          <w:szCs w:val="36"/>
          <w:highlight w:val="none"/>
        </w:rPr>
      </w:pPr>
    </w:p>
    <w:p>
      <w:pPr>
        <w:spacing w:line="480" w:lineRule="auto"/>
        <w:ind w:firstLine="654" w:firstLineChars="300"/>
        <w:jc w:val="left"/>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（一）投标函</w:t>
      </w:r>
    </w:p>
    <w:p>
      <w:pPr>
        <w:spacing w:line="480" w:lineRule="auto"/>
        <w:ind w:firstLine="654" w:firstLineChars="300"/>
        <w:jc w:val="left"/>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（二）投标报价表</w:t>
      </w:r>
    </w:p>
    <w:p>
      <w:pPr>
        <w:spacing w:line="480" w:lineRule="auto"/>
        <w:ind w:firstLine="654" w:firstLineChars="300"/>
        <w:jc w:val="left"/>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（三）投标方案说明书</w:t>
      </w:r>
    </w:p>
    <w:p>
      <w:pPr>
        <w:spacing w:before="240" w:line="360" w:lineRule="auto"/>
        <w:rPr>
          <w:rFonts w:asciiTheme="minorEastAsia" w:hAnsiTheme="minorEastAsia" w:eastAsiaTheme="minorEastAsia"/>
          <w:color w:val="auto"/>
          <w:sz w:val="24"/>
          <w:szCs w:val="24"/>
          <w:highlight w:val="none"/>
        </w:rPr>
      </w:pPr>
    </w:p>
    <w:p>
      <w:pPr>
        <w:pStyle w:val="3"/>
        <w:rPr>
          <w:rFonts w:asciiTheme="minorEastAsia" w:hAnsiTheme="minorEastAsia" w:eastAsiaTheme="minorEastAsia"/>
          <w:color w:val="auto"/>
          <w:sz w:val="36"/>
          <w:szCs w:val="36"/>
          <w:highlight w:val="none"/>
        </w:rPr>
      </w:pPr>
      <w:r>
        <w:rPr>
          <w:rFonts w:hint="eastAsia" w:asciiTheme="minorEastAsia" w:hAnsiTheme="minorEastAsia" w:eastAsiaTheme="minorEastAsia"/>
          <w:color w:val="auto"/>
          <w:sz w:val="36"/>
          <w:szCs w:val="36"/>
          <w:highlight w:val="none"/>
        </w:rPr>
        <w:br w:type="page"/>
      </w:r>
      <w:bookmarkStart w:id="256" w:name="_Toc4522"/>
      <w:bookmarkStart w:id="257" w:name="_Toc2676"/>
      <w:bookmarkStart w:id="258" w:name="_Toc37938448"/>
      <w:bookmarkStart w:id="259" w:name="_Toc5771"/>
      <w:bookmarkStart w:id="260" w:name="_Toc26889"/>
      <w:bookmarkStart w:id="261" w:name="_Toc30098"/>
      <w:bookmarkStart w:id="262" w:name="_Toc47725901"/>
      <w:bookmarkStart w:id="263" w:name="_Toc11749"/>
      <w:r>
        <w:rPr>
          <w:rFonts w:hint="eastAsia" w:asciiTheme="minorEastAsia" w:hAnsiTheme="minorEastAsia" w:eastAsiaTheme="minorEastAsia"/>
          <w:color w:val="auto"/>
          <w:highlight w:val="none"/>
        </w:rPr>
        <w:t>一、投标函</w:t>
      </w:r>
      <w:bookmarkEnd w:id="256"/>
      <w:bookmarkEnd w:id="257"/>
      <w:bookmarkEnd w:id="258"/>
      <w:bookmarkEnd w:id="259"/>
      <w:bookmarkEnd w:id="260"/>
      <w:bookmarkEnd w:id="261"/>
      <w:bookmarkEnd w:id="262"/>
      <w:bookmarkEnd w:id="263"/>
    </w:p>
    <w:p>
      <w:pPr>
        <w:spacing w:line="360" w:lineRule="auto"/>
        <w:jc w:val="left"/>
        <w:rPr>
          <w:rFonts w:asciiTheme="minorEastAsia" w:hAnsiTheme="minorEastAsia" w:eastAsiaTheme="minorEastAsia"/>
          <w:color w:val="auto"/>
          <w:spacing w:val="4"/>
          <w:sz w:val="24"/>
          <w:highlight w:val="none"/>
        </w:rPr>
      </w:pPr>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致：西北（陕西）国际招标有限公司</w:t>
      </w:r>
    </w:p>
    <w:p>
      <w:pPr>
        <w:spacing w:line="360" w:lineRule="auto"/>
        <w:ind w:firstLine="43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根据贵方为</w:t>
      </w:r>
      <w:r>
        <w:rPr>
          <w:rFonts w:hint="eastAsia" w:asciiTheme="minorEastAsia" w:hAnsiTheme="minorEastAsia" w:eastAsiaTheme="minorEastAsia"/>
          <w:color w:val="auto"/>
          <w:spacing w:val="4"/>
          <w:szCs w:val="21"/>
          <w:highlight w:val="none"/>
          <w:u w:val="single"/>
        </w:rPr>
        <w:t>（项目名称）</w:t>
      </w:r>
      <w:r>
        <w:rPr>
          <w:rFonts w:hint="eastAsia" w:asciiTheme="minorEastAsia" w:hAnsiTheme="minorEastAsia" w:eastAsiaTheme="minorEastAsia"/>
          <w:color w:val="auto"/>
          <w:spacing w:val="4"/>
          <w:szCs w:val="21"/>
          <w:highlight w:val="none"/>
        </w:rPr>
        <w:t>项目招标采购货物及服务的投标邀请</w:t>
      </w:r>
      <w:r>
        <w:rPr>
          <w:rFonts w:hint="eastAsia" w:asciiTheme="minorEastAsia" w:hAnsiTheme="minorEastAsia" w:eastAsiaTheme="minorEastAsia"/>
          <w:color w:val="auto"/>
          <w:spacing w:val="4"/>
          <w:szCs w:val="21"/>
          <w:highlight w:val="none"/>
          <w:u w:val="single"/>
        </w:rPr>
        <w:t>（项目编号）</w:t>
      </w:r>
      <w:r>
        <w:rPr>
          <w:rFonts w:hint="eastAsia" w:asciiTheme="minorEastAsia" w:hAnsiTheme="minorEastAsia" w:eastAsiaTheme="minorEastAsia"/>
          <w:color w:val="auto"/>
          <w:spacing w:val="4"/>
          <w:szCs w:val="21"/>
          <w:highlight w:val="none"/>
        </w:rPr>
        <w:t>，签字代表</w:t>
      </w:r>
      <w:r>
        <w:rPr>
          <w:rFonts w:hint="eastAsia" w:asciiTheme="minorEastAsia" w:hAnsiTheme="minorEastAsia" w:eastAsiaTheme="minorEastAsia"/>
          <w:color w:val="auto"/>
          <w:spacing w:val="4"/>
          <w:szCs w:val="21"/>
          <w:highlight w:val="none"/>
          <w:u w:val="single"/>
        </w:rPr>
        <w:t>（姓名、职务）</w:t>
      </w:r>
      <w:r>
        <w:rPr>
          <w:rFonts w:hint="eastAsia" w:asciiTheme="minorEastAsia" w:hAnsiTheme="minorEastAsia" w:eastAsiaTheme="minorEastAsia"/>
          <w:color w:val="auto"/>
          <w:spacing w:val="4"/>
          <w:szCs w:val="21"/>
          <w:highlight w:val="none"/>
        </w:rPr>
        <w:t>经正式授权并代表供应商</w:t>
      </w:r>
      <w:r>
        <w:rPr>
          <w:rFonts w:hint="eastAsia" w:asciiTheme="minorEastAsia" w:hAnsiTheme="minorEastAsia" w:eastAsiaTheme="minorEastAsia"/>
          <w:color w:val="auto"/>
          <w:spacing w:val="4"/>
          <w:szCs w:val="21"/>
          <w:highlight w:val="none"/>
          <w:u w:val="single"/>
        </w:rPr>
        <w:t>（供应商名称）</w:t>
      </w:r>
      <w:r>
        <w:rPr>
          <w:rFonts w:hint="eastAsia" w:asciiTheme="minorEastAsia" w:hAnsiTheme="minorEastAsia" w:eastAsiaTheme="minorEastAsia"/>
          <w:color w:val="auto"/>
          <w:spacing w:val="4"/>
          <w:szCs w:val="21"/>
          <w:highlight w:val="none"/>
        </w:rPr>
        <w:t xml:space="preserve"> 提交下述文件正本一份及副本</w:t>
      </w:r>
      <w:r>
        <w:rPr>
          <w:rFonts w:hint="eastAsia" w:asciiTheme="minorEastAsia" w:hAnsiTheme="minorEastAsia" w:eastAsiaTheme="minorEastAsia"/>
          <w:color w:val="auto"/>
          <w:spacing w:val="4"/>
          <w:szCs w:val="21"/>
          <w:highlight w:val="none"/>
          <w:u w:val="single"/>
        </w:rPr>
        <w:t xml:space="preserve">  </w:t>
      </w:r>
      <w:r>
        <w:rPr>
          <w:rFonts w:hint="eastAsia" w:asciiTheme="minorEastAsia" w:hAnsiTheme="minorEastAsia" w:eastAsiaTheme="minorEastAsia"/>
          <w:color w:val="auto"/>
          <w:spacing w:val="4"/>
          <w:szCs w:val="21"/>
          <w:highlight w:val="none"/>
        </w:rPr>
        <w:t>份。</w:t>
      </w:r>
    </w:p>
    <w:p>
      <w:pPr>
        <w:spacing w:line="360" w:lineRule="auto"/>
        <w:ind w:left="546" w:leftChars="251" w:hanging="19" w:hangingChars="9"/>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我方承诺如下：</w:t>
      </w:r>
    </w:p>
    <w:p>
      <w:pPr>
        <w:numPr>
          <w:ilvl w:val="0"/>
          <w:numId w:val="6"/>
        </w:numPr>
        <w:tabs>
          <w:tab w:val="left" w:pos="2160"/>
        </w:tabs>
        <w:spacing w:line="360" w:lineRule="auto"/>
        <w:ind w:left="0" w:firstLine="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 xml:space="preserve">投标总价为 </w:t>
      </w:r>
      <w:r>
        <w:rPr>
          <w:rFonts w:hint="eastAsia" w:asciiTheme="minorEastAsia" w:hAnsiTheme="minorEastAsia" w:eastAsiaTheme="minorEastAsia"/>
          <w:color w:val="auto"/>
          <w:spacing w:val="4"/>
          <w:szCs w:val="21"/>
          <w:highlight w:val="none"/>
          <w:u w:val="single"/>
        </w:rPr>
        <w:t xml:space="preserve">          </w:t>
      </w:r>
      <w:r>
        <w:rPr>
          <w:rFonts w:hint="eastAsia" w:asciiTheme="minorEastAsia" w:hAnsiTheme="minorEastAsia" w:eastAsiaTheme="minorEastAsia"/>
          <w:color w:val="auto"/>
          <w:spacing w:val="4"/>
          <w:szCs w:val="21"/>
          <w:highlight w:val="none"/>
        </w:rPr>
        <w:t>（人民币）（用文字和数字表示的投标总价）。</w:t>
      </w:r>
    </w:p>
    <w:p>
      <w:pPr>
        <w:numPr>
          <w:ilvl w:val="0"/>
          <w:numId w:val="6"/>
        </w:numPr>
        <w:tabs>
          <w:tab w:val="left" w:pos="2160"/>
        </w:tabs>
        <w:spacing w:line="360" w:lineRule="auto"/>
        <w:ind w:left="0" w:firstLine="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如果中标，我们根据招标文件的规定，履行合同的责任和义务。</w:t>
      </w:r>
    </w:p>
    <w:p>
      <w:pPr>
        <w:numPr>
          <w:ilvl w:val="0"/>
          <w:numId w:val="6"/>
        </w:numPr>
        <w:tabs>
          <w:tab w:val="left" w:pos="2160"/>
        </w:tabs>
        <w:spacing w:line="360" w:lineRule="auto"/>
        <w:ind w:left="0" w:firstLine="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我们已详细阅读和审核全部招标文件（含修改部分，如有的话），及有关附件，我们知道必须放弃提出含糊不清或误解的问题的权利。</w:t>
      </w:r>
    </w:p>
    <w:p>
      <w:pPr>
        <w:numPr>
          <w:ilvl w:val="0"/>
          <w:numId w:val="6"/>
        </w:numPr>
        <w:tabs>
          <w:tab w:val="left" w:pos="2160"/>
        </w:tabs>
        <w:spacing w:line="360" w:lineRule="auto"/>
        <w:ind w:left="0" w:firstLine="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我们同意在贵方文件规定的投标有效期内（自开标之日起</w:t>
      </w:r>
      <w:r>
        <w:rPr>
          <w:rFonts w:hint="eastAsia" w:asciiTheme="minorEastAsia" w:hAnsiTheme="minorEastAsia" w:eastAsiaTheme="minorEastAsia"/>
          <w:color w:val="auto"/>
          <w:spacing w:val="4"/>
          <w:szCs w:val="21"/>
          <w:highlight w:val="none"/>
          <w:u w:val="single"/>
        </w:rPr>
        <w:t xml:space="preserve">    </w:t>
      </w:r>
      <w:r>
        <w:rPr>
          <w:rFonts w:hint="eastAsia" w:asciiTheme="minorEastAsia" w:hAnsiTheme="minorEastAsia" w:eastAsiaTheme="minorEastAsia"/>
          <w:color w:val="auto"/>
          <w:spacing w:val="4"/>
          <w:szCs w:val="21"/>
          <w:highlight w:val="none"/>
        </w:rPr>
        <w:t>天内），本投标函对我方具有约束力。</w:t>
      </w:r>
    </w:p>
    <w:p>
      <w:pPr>
        <w:numPr>
          <w:ilvl w:val="0"/>
          <w:numId w:val="6"/>
        </w:numPr>
        <w:tabs>
          <w:tab w:val="left" w:pos="2160"/>
        </w:tabs>
        <w:spacing w:line="360" w:lineRule="auto"/>
        <w:ind w:left="0" w:firstLine="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我方承诺，按照招标要求提交的全部资格和其他证明文件的真实性，如有虚假，愿承担一切法律责任。</w:t>
      </w:r>
    </w:p>
    <w:p>
      <w:pPr>
        <w:numPr>
          <w:ilvl w:val="0"/>
          <w:numId w:val="6"/>
        </w:numPr>
        <w:tabs>
          <w:tab w:val="left" w:pos="2160"/>
        </w:tabs>
        <w:spacing w:line="360" w:lineRule="auto"/>
        <w:ind w:left="0" w:firstLine="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 xml:space="preserve">同意提供贵方可能另外要求的与本投标有关的任何证据和资料。  </w:t>
      </w:r>
    </w:p>
    <w:p>
      <w:pPr>
        <w:numPr>
          <w:ilvl w:val="0"/>
          <w:numId w:val="6"/>
        </w:numPr>
        <w:tabs>
          <w:tab w:val="left" w:pos="2160"/>
        </w:tabs>
        <w:spacing w:line="360" w:lineRule="auto"/>
        <w:ind w:left="0" w:firstLine="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我们同意，如果中标，向西北（陕西）国际招标有限公司交纳招标代理服务费。</w:t>
      </w:r>
    </w:p>
    <w:p>
      <w:pPr>
        <w:numPr>
          <w:ilvl w:val="0"/>
          <w:numId w:val="6"/>
        </w:numPr>
        <w:tabs>
          <w:tab w:val="left" w:pos="2160"/>
        </w:tabs>
        <w:spacing w:line="360" w:lineRule="auto"/>
        <w:ind w:left="0" w:firstLine="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与本投标有关的一切正式信函请寄：</w:t>
      </w:r>
    </w:p>
    <w:p>
      <w:pPr>
        <w:spacing w:line="360" w:lineRule="auto"/>
        <w:ind w:firstLine="43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详细地址：                          邮政编码：</w:t>
      </w:r>
    </w:p>
    <w:p>
      <w:pPr>
        <w:spacing w:line="360" w:lineRule="auto"/>
        <w:ind w:firstLine="436" w:firstLineChars="200"/>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电话/传真：                         电子邮件：</w:t>
      </w:r>
    </w:p>
    <w:p>
      <w:pPr>
        <w:spacing w:line="360" w:lineRule="auto"/>
        <w:rPr>
          <w:rFonts w:asciiTheme="minorEastAsia" w:hAnsiTheme="minorEastAsia" w:eastAsiaTheme="minorEastAsia"/>
          <w:color w:val="auto"/>
          <w:spacing w:val="4"/>
          <w:szCs w:val="21"/>
          <w:highlight w:val="none"/>
        </w:rPr>
      </w:pPr>
      <w:r>
        <w:rPr>
          <w:rFonts w:hint="eastAsia" w:asciiTheme="minorEastAsia" w:hAnsiTheme="minorEastAsia" w:eastAsiaTheme="minorEastAsia"/>
          <w:color w:val="auto"/>
          <w:spacing w:val="4"/>
          <w:szCs w:val="21"/>
          <w:highlight w:val="none"/>
        </w:rPr>
        <w:t xml:space="preserve">      </w:t>
      </w:r>
    </w:p>
    <w:p>
      <w:pPr>
        <w:snapToGrid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法定代表人或授权代表（签字或盖章）</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（单位公章）</w:t>
      </w:r>
    </w:p>
    <w:p>
      <w:pPr>
        <w:snapToGrid w:val="0"/>
        <w:spacing w:line="360" w:lineRule="auto"/>
        <w:rPr>
          <w:rFonts w:asciiTheme="minorEastAsia" w:hAnsiTheme="minorEastAsia" w:eastAsiaTheme="minorEastAsia"/>
          <w:color w:val="auto"/>
          <w:szCs w:val="21"/>
          <w:highlight w:val="none"/>
        </w:rPr>
      </w:pPr>
    </w:p>
    <w:p>
      <w:pPr>
        <w:spacing w:before="240" w:line="360" w:lineRule="auto"/>
        <w:jc w:val="lef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日期：</w:t>
      </w:r>
      <w:r>
        <w:rPr>
          <w:rFonts w:hint="eastAsia" w:asciiTheme="minorEastAsia" w:hAnsiTheme="minorEastAsia" w:eastAsiaTheme="minorEastAsia"/>
          <w:color w:val="auto"/>
          <w:szCs w:val="21"/>
          <w:highlight w:val="none"/>
          <w:u w:val="single"/>
        </w:rPr>
        <w:t xml:space="preserve">                    </w:t>
      </w:r>
    </w:p>
    <w:p>
      <w:pPr>
        <w:pStyle w:val="57"/>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bookmarkStart w:id="264" w:name="_Toc37938449"/>
      <w:bookmarkStart w:id="265" w:name="_Toc8712"/>
      <w:bookmarkStart w:id="266" w:name="_Toc17332"/>
      <w:bookmarkStart w:id="267" w:name="_Toc5074"/>
      <w:bookmarkStart w:id="268" w:name="_Toc15654"/>
      <w:bookmarkStart w:id="269" w:name="_Toc11711"/>
      <w:bookmarkStart w:id="270" w:name="_Toc47725902"/>
      <w:bookmarkStart w:id="271" w:name="_Toc7442"/>
      <w:r>
        <w:rPr>
          <w:rFonts w:hint="eastAsia" w:asciiTheme="minorEastAsia" w:hAnsiTheme="minorEastAsia" w:eastAsiaTheme="minorEastAsia"/>
          <w:color w:val="auto"/>
          <w:highlight w:val="none"/>
        </w:rPr>
        <w:t>二、投标报价表</w:t>
      </w:r>
      <w:bookmarkEnd w:id="264"/>
      <w:bookmarkEnd w:id="265"/>
      <w:bookmarkEnd w:id="266"/>
      <w:bookmarkEnd w:id="267"/>
      <w:bookmarkEnd w:id="268"/>
      <w:bookmarkEnd w:id="269"/>
      <w:bookmarkEnd w:id="270"/>
      <w:bookmarkEnd w:id="271"/>
    </w:p>
    <w:p>
      <w:pPr>
        <w:jc w:val="center"/>
        <w:rPr>
          <w:rFonts w:asciiTheme="minorEastAsia" w:hAnsiTheme="minorEastAsia" w:eastAsiaTheme="minorEastAsia"/>
          <w:b/>
          <w:color w:val="auto"/>
          <w:sz w:val="36"/>
          <w:highlight w:val="none"/>
        </w:rPr>
      </w:pPr>
    </w:p>
    <w:p>
      <w:pPr>
        <w:pStyle w:val="4"/>
        <w:rPr>
          <w:rFonts w:asciiTheme="minorEastAsia" w:hAnsiTheme="minorEastAsia" w:eastAsiaTheme="minorEastAsia"/>
          <w:color w:val="auto"/>
          <w:sz w:val="32"/>
          <w:highlight w:val="none"/>
        </w:rPr>
      </w:pPr>
      <w:bookmarkStart w:id="272" w:name="_Toc47725903"/>
      <w:bookmarkStart w:id="273" w:name="_Toc75948180"/>
      <w:bookmarkStart w:id="274" w:name="_Toc15347"/>
      <w:bookmarkStart w:id="275" w:name="_Toc37938223"/>
      <w:bookmarkStart w:id="276" w:name="_Toc5189"/>
      <w:bookmarkStart w:id="277" w:name="_Toc9865"/>
      <w:bookmarkStart w:id="278" w:name="_Toc2040"/>
      <w:bookmarkStart w:id="279" w:name="_Toc24183"/>
      <w:bookmarkStart w:id="280" w:name="_Toc37938450"/>
      <w:r>
        <w:rPr>
          <w:rFonts w:hint="eastAsia" w:asciiTheme="minorEastAsia" w:hAnsiTheme="minorEastAsia" w:eastAsiaTheme="minorEastAsia"/>
          <w:color w:val="auto"/>
          <w:sz w:val="32"/>
          <w:highlight w:val="none"/>
        </w:rPr>
        <w:t>2.1开标一览表</w:t>
      </w:r>
      <w:bookmarkEnd w:id="272"/>
      <w:bookmarkEnd w:id="273"/>
      <w:bookmarkEnd w:id="274"/>
      <w:bookmarkEnd w:id="275"/>
      <w:bookmarkEnd w:id="276"/>
      <w:bookmarkEnd w:id="277"/>
      <w:bookmarkEnd w:id="278"/>
      <w:bookmarkEnd w:id="279"/>
      <w:bookmarkEnd w:id="280"/>
    </w:p>
    <w:p>
      <w:pPr>
        <w:rPr>
          <w:rFonts w:asciiTheme="minorEastAsia" w:hAnsiTheme="minorEastAsia" w:eastAsiaTheme="minorEastAsia"/>
          <w:color w:val="auto"/>
          <w:sz w:val="24"/>
          <w:szCs w:val="24"/>
          <w:highlight w:val="none"/>
        </w:rPr>
      </w:pP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供应商名称：</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项目编号：</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p>
    <w:tbl>
      <w:tblPr>
        <w:tblStyle w:val="24"/>
        <w:tblW w:w="86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73"/>
        <w:gridCol w:w="2238"/>
        <w:gridCol w:w="2048"/>
        <w:gridCol w:w="1143"/>
        <w:gridCol w:w="1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8" w:hRule="atLeast"/>
        </w:trPr>
        <w:tc>
          <w:tcPr>
            <w:tcW w:w="2173" w:type="dxa"/>
            <w:vAlign w:val="center"/>
          </w:tcPr>
          <w:p>
            <w:pPr>
              <w:spacing w:after="12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项目名称</w:t>
            </w:r>
          </w:p>
        </w:tc>
        <w:tc>
          <w:tcPr>
            <w:tcW w:w="2238" w:type="dxa"/>
            <w:vAlign w:val="center"/>
          </w:tcPr>
          <w:p>
            <w:pPr>
              <w:spacing w:after="12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投标总价（元）</w:t>
            </w:r>
          </w:p>
        </w:tc>
        <w:tc>
          <w:tcPr>
            <w:tcW w:w="2048" w:type="dxa"/>
            <w:vAlign w:val="center"/>
          </w:tcPr>
          <w:p>
            <w:pPr>
              <w:spacing w:after="12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交货期</w:t>
            </w:r>
          </w:p>
        </w:tc>
        <w:tc>
          <w:tcPr>
            <w:tcW w:w="1143" w:type="dxa"/>
            <w:vAlign w:val="center"/>
          </w:tcPr>
          <w:p>
            <w:pPr>
              <w:spacing w:after="120"/>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交货</w:t>
            </w:r>
            <w:r>
              <w:rPr>
                <w:rFonts w:hint="eastAsia" w:asciiTheme="minorEastAsia" w:hAnsiTheme="minorEastAsia" w:eastAsiaTheme="minorEastAsia"/>
                <w:color w:val="auto"/>
                <w:szCs w:val="21"/>
                <w:highlight w:val="none"/>
                <w:lang w:eastAsia="zh-CN"/>
              </w:rPr>
              <w:t>地点</w:t>
            </w:r>
          </w:p>
        </w:tc>
        <w:tc>
          <w:tcPr>
            <w:tcW w:w="1016" w:type="dxa"/>
            <w:vAlign w:val="center"/>
          </w:tcPr>
          <w:p>
            <w:pPr>
              <w:spacing w:after="120"/>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25" w:hRule="atLeast"/>
        </w:trPr>
        <w:tc>
          <w:tcPr>
            <w:tcW w:w="2173"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highlight w:val="none"/>
                <w:lang w:eastAsia="zh-CN"/>
              </w:rPr>
              <w:t>陕西省水工环地质调查中心大深度地质雷达系统采购项目</w:t>
            </w:r>
          </w:p>
        </w:tc>
        <w:tc>
          <w:tcPr>
            <w:tcW w:w="2238" w:type="dxa"/>
            <w:vAlign w:val="center"/>
          </w:tcPr>
          <w:p>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小写金额：</w:t>
            </w:r>
          </w:p>
          <w:p>
            <w:pPr>
              <w:jc w:val="left"/>
              <w:rPr>
                <w:rFonts w:asciiTheme="minorEastAsia" w:hAnsiTheme="minorEastAsia" w:eastAsiaTheme="minorEastAsia"/>
                <w:color w:val="auto"/>
                <w:szCs w:val="21"/>
                <w:highlight w:val="none"/>
              </w:rPr>
            </w:pPr>
          </w:p>
          <w:p>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大写金额：</w:t>
            </w:r>
          </w:p>
        </w:tc>
        <w:tc>
          <w:tcPr>
            <w:tcW w:w="204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highlight w:val="none"/>
                <w:lang w:eastAsia="zh-CN"/>
              </w:rPr>
              <w:t>合同签订后</w:t>
            </w:r>
            <w:r>
              <w:rPr>
                <w:rFonts w:hint="eastAsia" w:asciiTheme="minorEastAsia" w:hAnsiTheme="minorEastAsia" w:eastAsiaTheme="minorEastAsia"/>
                <w:color w:val="auto"/>
                <w:highlight w:val="none"/>
                <w:u w:val="single"/>
                <w:lang w:val="en-US" w:eastAsia="zh-CN"/>
              </w:rPr>
              <w:t xml:space="preserve"> 20 </w:t>
            </w:r>
            <w:r>
              <w:rPr>
                <w:rFonts w:hint="eastAsia" w:asciiTheme="minorEastAsia" w:hAnsiTheme="minorEastAsia" w:eastAsiaTheme="minorEastAsia"/>
                <w:color w:val="auto"/>
                <w:highlight w:val="none"/>
                <w:lang w:eastAsia="zh-CN"/>
              </w:rPr>
              <w:t>日历天内，全部安装调试完毕，交付采购人使用</w:t>
            </w:r>
          </w:p>
        </w:tc>
        <w:tc>
          <w:tcPr>
            <w:tcW w:w="1143" w:type="dxa"/>
            <w:vAlign w:val="center"/>
          </w:tcPr>
          <w:p>
            <w:pPr>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采购人指定地点</w:t>
            </w:r>
          </w:p>
        </w:tc>
        <w:tc>
          <w:tcPr>
            <w:tcW w:w="1016" w:type="dxa"/>
            <w:vAlign w:val="center"/>
          </w:tcPr>
          <w:p>
            <w:pPr>
              <w:jc w:val="center"/>
              <w:rPr>
                <w:rFonts w:asciiTheme="minorEastAsia" w:hAnsiTheme="minorEastAsia" w:eastAsiaTheme="minorEastAsia"/>
                <w:color w:val="auto"/>
                <w:szCs w:val="21"/>
                <w:highlight w:val="none"/>
              </w:rPr>
            </w:pPr>
          </w:p>
        </w:tc>
      </w:tr>
    </w:tbl>
    <w:p>
      <w:pPr>
        <w:rPr>
          <w:rFonts w:asciiTheme="minorEastAsia" w:hAnsiTheme="minorEastAsia" w:eastAsiaTheme="minorEastAsia"/>
          <w:color w:val="auto"/>
          <w:sz w:val="24"/>
          <w:szCs w:val="24"/>
          <w:highlight w:val="none"/>
        </w:rPr>
      </w:pPr>
    </w:p>
    <w:p>
      <w:pPr>
        <w:numPr>
          <w:ilvl w:val="0"/>
          <w:numId w:val="0"/>
        </w:numPr>
        <w:snapToGrid w:val="0"/>
        <w:spacing w:line="300" w:lineRule="auto"/>
        <w:ind w:leftChars="0"/>
        <w:rPr>
          <w:rFonts w:asciiTheme="minorEastAsia" w:hAnsiTheme="minorEastAsia" w:eastAsiaTheme="minorEastAsia"/>
          <w:color w:val="auto"/>
          <w:szCs w:val="21"/>
          <w:highlight w:val="none"/>
        </w:rPr>
      </w:pPr>
    </w:p>
    <w:p>
      <w:pPr>
        <w:pStyle w:val="2"/>
        <w:rPr>
          <w:rFonts w:asciiTheme="minorEastAsia" w:hAnsiTheme="minorEastAsia" w:eastAsiaTheme="minorEastAsia"/>
          <w:color w:val="auto"/>
          <w:szCs w:val="21"/>
          <w:highlight w:val="none"/>
        </w:rPr>
      </w:pPr>
    </w:p>
    <w:p>
      <w:pPr>
        <w:rPr>
          <w:rFonts w:asciiTheme="minorEastAsia" w:hAnsiTheme="minorEastAsia" w:eastAsiaTheme="minorEastAsia"/>
          <w:color w:val="auto"/>
          <w:highlight w:val="none"/>
        </w:rPr>
      </w:pPr>
    </w:p>
    <w:p>
      <w:pPr>
        <w:snapToGrid w:val="0"/>
        <w:spacing w:line="30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法定代表人或授权代表（签字或盖章）</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（单位公章）</w:t>
      </w:r>
    </w:p>
    <w:p>
      <w:pPr>
        <w:snapToGrid w:val="0"/>
        <w:spacing w:line="300" w:lineRule="auto"/>
        <w:rPr>
          <w:rFonts w:asciiTheme="minorEastAsia" w:hAnsiTheme="minorEastAsia" w:eastAsiaTheme="minorEastAsia"/>
          <w:color w:val="auto"/>
          <w:szCs w:val="21"/>
          <w:highlight w:val="none"/>
        </w:rPr>
      </w:pPr>
    </w:p>
    <w:p>
      <w:pPr>
        <w:snapToGrid w:val="0"/>
        <w:spacing w:line="300" w:lineRule="auto"/>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w:t>
      </w:r>
      <w:r>
        <w:rPr>
          <w:rFonts w:hint="eastAsia" w:asciiTheme="minorEastAsia" w:hAnsiTheme="minorEastAsia" w:eastAsiaTheme="minorEastAsia"/>
          <w:color w:val="auto"/>
          <w:szCs w:val="21"/>
          <w:highlight w:val="none"/>
          <w:u w:val="single"/>
        </w:rPr>
        <w:t xml:space="preserve">                    </w:t>
      </w:r>
    </w:p>
    <w:p>
      <w:pPr>
        <w:rPr>
          <w:rFonts w:asciiTheme="minorEastAsia" w:hAnsiTheme="minorEastAsia" w:eastAsiaTheme="minorEastAsia"/>
          <w:color w:val="auto"/>
          <w:sz w:val="24"/>
          <w:szCs w:val="24"/>
          <w:highlight w:val="none"/>
        </w:rPr>
      </w:pPr>
    </w:p>
    <w:p>
      <w:pPr>
        <w:rPr>
          <w:rFonts w:asciiTheme="minorEastAsia" w:hAnsiTheme="minorEastAsia" w:eastAsiaTheme="minorEastAsia"/>
          <w:color w:val="auto"/>
          <w:sz w:val="32"/>
          <w:highlight w:val="none"/>
        </w:rPr>
        <w:sectPr>
          <w:footerReference r:id="rId10" w:type="default"/>
          <w:pgSz w:w="11906" w:h="16838"/>
          <w:pgMar w:top="1440" w:right="1797" w:bottom="1440" w:left="1797" w:header="851" w:footer="851" w:gutter="0"/>
          <w:cols w:space="720" w:num="1"/>
          <w:docGrid w:linePitch="312" w:charSpace="0"/>
        </w:sectPr>
      </w:pPr>
    </w:p>
    <w:p>
      <w:pPr>
        <w:pStyle w:val="4"/>
        <w:rPr>
          <w:rFonts w:asciiTheme="minorEastAsia" w:hAnsiTheme="minorEastAsia" w:eastAsiaTheme="minorEastAsia"/>
          <w:color w:val="auto"/>
          <w:sz w:val="32"/>
          <w:highlight w:val="none"/>
        </w:rPr>
      </w:pPr>
      <w:bookmarkStart w:id="281" w:name="_Toc24701"/>
      <w:bookmarkStart w:id="282" w:name="_Toc1352"/>
      <w:bookmarkStart w:id="283" w:name="_Toc24794"/>
      <w:bookmarkStart w:id="284" w:name="_Toc24672"/>
      <w:bookmarkStart w:id="285" w:name="_Toc75948181"/>
      <w:bookmarkStart w:id="286" w:name="_Toc7335"/>
      <w:r>
        <w:rPr>
          <w:rFonts w:hint="eastAsia" w:asciiTheme="minorEastAsia" w:hAnsiTheme="minorEastAsia" w:eastAsiaTheme="minorEastAsia"/>
          <w:color w:val="auto"/>
          <w:sz w:val="32"/>
          <w:highlight w:val="none"/>
        </w:rPr>
        <w:t>2.2</w:t>
      </w:r>
      <w:bookmarkEnd w:id="281"/>
      <w:bookmarkEnd w:id="282"/>
      <w:bookmarkEnd w:id="283"/>
      <w:r>
        <w:rPr>
          <w:rFonts w:hint="eastAsia" w:asciiTheme="minorEastAsia" w:hAnsiTheme="minorEastAsia" w:eastAsiaTheme="minorEastAsia"/>
          <w:color w:val="auto"/>
          <w:sz w:val="32"/>
          <w:highlight w:val="none"/>
        </w:rPr>
        <w:t>分项报价表</w:t>
      </w:r>
      <w:bookmarkEnd w:id="284"/>
      <w:bookmarkEnd w:id="285"/>
      <w:bookmarkEnd w:id="286"/>
    </w:p>
    <w:p>
      <w:pPr>
        <w:spacing w:line="360" w:lineRule="auto"/>
        <w:ind w:firstLine="420" w:firstLineChars="200"/>
        <w:rPr>
          <w:rFonts w:asciiTheme="minorEastAsia" w:hAnsiTheme="minorEastAsia" w:eastAsiaTheme="minorEastAsia"/>
          <w:color w:val="auto"/>
          <w:highlight w:val="none"/>
        </w:rPr>
      </w:pPr>
    </w:p>
    <w:p>
      <w:pPr>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供应商名称：</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项目编号：</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 xml:space="preserve">   </w:t>
      </w:r>
    </w:p>
    <w:tbl>
      <w:tblPr>
        <w:tblStyle w:val="24"/>
        <w:tblW w:w="1401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72"/>
        <w:gridCol w:w="1642"/>
        <w:gridCol w:w="1645"/>
        <w:gridCol w:w="872"/>
        <w:gridCol w:w="3184"/>
        <w:gridCol w:w="872"/>
        <w:gridCol w:w="2026"/>
        <w:gridCol w:w="2026"/>
        <w:gridCol w:w="8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872"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序号</w:t>
            </w:r>
          </w:p>
        </w:tc>
        <w:tc>
          <w:tcPr>
            <w:tcW w:w="1642"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货物名称</w:t>
            </w:r>
          </w:p>
        </w:tc>
        <w:tc>
          <w:tcPr>
            <w:tcW w:w="1645"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规格型号</w:t>
            </w:r>
          </w:p>
        </w:tc>
        <w:tc>
          <w:tcPr>
            <w:tcW w:w="872"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品牌</w:t>
            </w:r>
          </w:p>
        </w:tc>
        <w:tc>
          <w:tcPr>
            <w:tcW w:w="3184"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原产地及制造厂名</w:t>
            </w:r>
          </w:p>
        </w:tc>
        <w:tc>
          <w:tcPr>
            <w:tcW w:w="872"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数量</w:t>
            </w:r>
          </w:p>
        </w:tc>
        <w:tc>
          <w:tcPr>
            <w:tcW w:w="2026"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单价（元）</w:t>
            </w:r>
          </w:p>
        </w:tc>
        <w:tc>
          <w:tcPr>
            <w:tcW w:w="2026"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合价（元）</w:t>
            </w:r>
          </w:p>
        </w:tc>
        <w:tc>
          <w:tcPr>
            <w:tcW w:w="875" w:type="dxa"/>
            <w:vAlign w:val="center"/>
          </w:tcPr>
          <w:p>
            <w:pPr>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872"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642"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645" w:type="dxa"/>
            <w:vAlign w:val="center"/>
          </w:tcPr>
          <w:p>
            <w:pPr>
              <w:snapToGrid w:val="0"/>
              <w:jc w:val="center"/>
              <w:rPr>
                <w:rFonts w:cs="宋体" w:asciiTheme="minorEastAsia" w:hAnsiTheme="minorEastAsia" w:eastAsiaTheme="minorEastAsia"/>
                <w:color w:val="auto"/>
                <w:szCs w:val="21"/>
                <w:highlight w:val="none"/>
              </w:rPr>
            </w:pPr>
          </w:p>
        </w:tc>
        <w:tc>
          <w:tcPr>
            <w:tcW w:w="872" w:type="dxa"/>
            <w:vAlign w:val="center"/>
          </w:tcPr>
          <w:p>
            <w:pPr>
              <w:snapToGrid w:val="0"/>
              <w:jc w:val="center"/>
              <w:rPr>
                <w:rFonts w:cs="宋体" w:asciiTheme="minorEastAsia" w:hAnsiTheme="minorEastAsia" w:eastAsiaTheme="minorEastAsia"/>
                <w:color w:val="auto"/>
                <w:szCs w:val="21"/>
                <w:highlight w:val="none"/>
              </w:rPr>
            </w:pPr>
          </w:p>
        </w:tc>
        <w:tc>
          <w:tcPr>
            <w:tcW w:w="3184" w:type="dxa"/>
            <w:vAlign w:val="center"/>
          </w:tcPr>
          <w:p>
            <w:pPr>
              <w:snapToGrid w:val="0"/>
              <w:jc w:val="center"/>
              <w:rPr>
                <w:rFonts w:cs="宋体" w:asciiTheme="minorEastAsia" w:hAnsiTheme="minorEastAsia" w:eastAsiaTheme="minorEastAsia"/>
                <w:color w:val="auto"/>
                <w:szCs w:val="21"/>
                <w:highlight w:val="none"/>
              </w:rPr>
            </w:pPr>
          </w:p>
        </w:tc>
        <w:tc>
          <w:tcPr>
            <w:tcW w:w="872"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2026" w:type="dxa"/>
            <w:vAlign w:val="center"/>
          </w:tcPr>
          <w:p>
            <w:pPr>
              <w:snapToGrid w:val="0"/>
              <w:jc w:val="center"/>
              <w:rPr>
                <w:rFonts w:cs="宋体" w:asciiTheme="minorEastAsia" w:hAnsiTheme="minorEastAsia" w:eastAsiaTheme="minorEastAsia"/>
                <w:color w:val="auto"/>
                <w:szCs w:val="21"/>
                <w:highlight w:val="none"/>
              </w:rPr>
            </w:pPr>
          </w:p>
        </w:tc>
        <w:tc>
          <w:tcPr>
            <w:tcW w:w="2026" w:type="dxa"/>
            <w:vAlign w:val="center"/>
          </w:tcPr>
          <w:p>
            <w:pPr>
              <w:snapToGrid w:val="0"/>
              <w:jc w:val="center"/>
              <w:rPr>
                <w:rFonts w:cs="宋体" w:asciiTheme="minorEastAsia" w:hAnsiTheme="minorEastAsia" w:eastAsiaTheme="minorEastAsia"/>
                <w:color w:val="auto"/>
                <w:szCs w:val="21"/>
                <w:highlight w:val="none"/>
              </w:rPr>
            </w:pPr>
          </w:p>
        </w:tc>
        <w:tc>
          <w:tcPr>
            <w:tcW w:w="875" w:type="dxa"/>
            <w:vAlign w:val="center"/>
          </w:tcPr>
          <w:p>
            <w:pPr>
              <w:snapToGrid w:val="0"/>
              <w:jc w:val="center"/>
              <w:rPr>
                <w:rFonts w:cs="宋体"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872"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642"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645" w:type="dxa"/>
            <w:vAlign w:val="center"/>
          </w:tcPr>
          <w:p>
            <w:pPr>
              <w:snapToGrid w:val="0"/>
              <w:jc w:val="center"/>
              <w:rPr>
                <w:rFonts w:cs="宋体" w:asciiTheme="minorEastAsia" w:hAnsiTheme="minorEastAsia" w:eastAsiaTheme="minorEastAsia"/>
                <w:color w:val="auto"/>
                <w:szCs w:val="21"/>
                <w:highlight w:val="none"/>
              </w:rPr>
            </w:pPr>
          </w:p>
        </w:tc>
        <w:tc>
          <w:tcPr>
            <w:tcW w:w="872" w:type="dxa"/>
            <w:vAlign w:val="center"/>
          </w:tcPr>
          <w:p>
            <w:pPr>
              <w:snapToGrid w:val="0"/>
              <w:jc w:val="center"/>
              <w:rPr>
                <w:rFonts w:cs="宋体" w:asciiTheme="minorEastAsia" w:hAnsiTheme="minorEastAsia" w:eastAsiaTheme="minorEastAsia"/>
                <w:color w:val="auto"/>
                <w:szCs w:val="21"/>
                <w:highlight w:val="none"/>
              </w:rPr>
            </w:pPr>
          </w:p>
        </w:tc>
        <w:tc>
          <w:tcPr>
            <w:tcW w:w="3184" w:type="dxa"/>
            <w:vAlign w:val="center"/>
          </w:tcPr>
          <w:p>
            <w:pPr>
              <w:snapToGrid w:val="0"/>
              <w:jc w:val="center"/>
              <w:rPr>
                <w:rFonts w:cs="宋体" w:asciiTheme="minorEastAsia" w:hAnsiTheme="minorEastAsia" w:eastAsiaTheme="minorEastAsia"/>
                <w:color w:val="auto"/>
                <w:szCs w:val="21"/>
                <w:highlight w:val="none"/>
              </w:rPr>
            </w:pPr>
          </w:p>
        </w:tc>
        <w:tc>
          <w:tcPr>
            <w:tcW w:w="872"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2026" w:type="dxa"/>
            <w:vAlign w:val="center"/>
          </w:tcPr>
          <w:p>
            <w:pPr>
              <w:snapToGrid w:val="0"/>
              <w:jc w:val="center"/>
              <w:rPr>
                <w:rFonts w:cs="宋体" w:asciiTheme="minorEastAsia" w:hAnsiTheme="minorEastAsia" w:eastAsiaTheme="minorEastAsia"/>
                <w:color w:val="auto"/>
                <w:szCs w:val="21"/>
                <w:highlight w:val="none"/>
              </w:rPr>
            </w:pPr>
          </w:p>
        </w:tc>
        <w:tc>
          <w:tcPr>
            <w:tcW w:w="2026" w:type="dxa"/>
            <w:vAlign w:val="center"/>
          </w:tcPr>
          <w:p>
            <w:pPr>
              <w:snapToGrid w:val="0"/>
              <w:jc w:val="center"/>
              <w:rPr>
                <w:rFonts w:cs="宋体" w:asciiTheme="minorEastAsia" w:hAnsiTheme="minorEastAsia" w:eastAsiaTheme="minorEastAsia"/>
                <w:color w:val="auto"/>
                <w:szCs w:val="21"/>
                <w:highlight w:val="none"/>
              </w:rPr>
            </w:pPr>
          </w:p>
        </w:tc>
        <w:tc>
          <w:tcPr>
            <w:tcW w:w="875" w:type="dxa"/>
            <w:vAlign w:val="center"/>
          </w:tcPr>
          <w:p>
            <w:pPr>
              <w:snapToGrid w:val="0"/>
              <w:jc w:val="center"/>
              <w:rPr>
                <w:rFonts w:cs="宋体"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872"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642"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645" w:type="dxa"/>
            <w:vAlign w:val="center"/>
          </w:tcPr>
          <w:p>
            <w:pPr>
              <w:snapToGrid w:val="0"/>
              <w:jc w:val="center"/>
              <w:rPr>
                <w:rFonts w:cs="宋体" w:asciiTheme="minorEastAsia" w:hAnsiTheme="minorEastAsia" w:eastAsiaTheme="minorEastAsia"/>
                <w:color w:val="auto"/>
                <w:szCs w:val="21"/>
                <w:highlight w:val="none"/>
              </w:rPr>
            </w:pPr>
          </w:p>
        </w:tc>
        <w:tc>
          <w:tcPr>
            <w:tcW w:w="872" w:type="dxa"/>
            <w:vAlign w:val="center"/>
          </w:tcPr>
          <w:p>
            <w:pPr>
              <w:snapToGrid w:val="0"/>
              <w:jc w:val="center"/>
              <w:rPr>
                <w:rFonts w:cs="宋体" w:asciiTheme="minorEastAsia" w:hAnsiTheme="minorEastAsia" w:eastAsiaTheme="minorEastAsia"/>
                <w:color w:val="auto"/>
                <w:szCs w:val="21"/>
                <w:highlight w:val="none"/>
              </w:rPr>
            </w:pPr>
          </w:p>
        </w:tc>
        <w:tc>
          <w:tcPr>
            <w:tcW w:w="3184" w:type="dxa"/>
            <w:vAlign w:val="center"/>
          </w:tcPr>
          <w:p>
            <w:pPr>
              <w:snapToGrid w:val="0"/>
              <w:jc w:val="center"/>
              <w:rPr>
                <w:rFonts w:cs="宋体" w:asciiTheme="minorEastAsia" w:hAnsiTheme="minorEastAsia" w:eastAsiaTheme="minorEastAsia"/>
                <w:color w:val="auto"/>
                <w:szCs w:val="21"/>
                <w:highlight w:val="none"/>
              </w:rPr>
            </w:pPr>
          </w:p>
        </w:tc>
        <w:tc>
          <w:tcPr>
            <w:tcW w:w="872"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2026" w:type="dxa"/>
            <w:vAlign w:val="center"/>
          </w:tcPr>
          <w:p>
            <w:pPr>
              <w:snapToGrid w:val="0"/>
              <w:jc w:val="center"/>
              <w:rPr>
                <w:rFonts w:cs="宋体" w:asciiTheme="minorEastAsia" w:hAnsiTheme="minorEastAsia" w:eastAsiaTheme="minorEastAsia"/>
                <w:color w:val="auto"/>
                <w:szCs w:val="21"/>
                <w:highlight w:val="none"/>
              </w:rPr>
            </w:pPr>
          </w:p>
        </w:tc>
        <w:tc>
          <w:tcPr>
            <w:tcW w:w="2026" w:type="dxa"/>
            <w:vAlign w:val="center"/>
          </w:tcPr>
          <w:p>
            <w:pPr>
              <w:snapToGrid w:val="0"/>
              <w:jc w:val="center"/>
              <w:rPr>
                <w:rFonts w:cs="宋体" w:asciiTheme="minorEastAsia" w:hAnsiTheme="minorEastAsia" w:eastAsiaTheme="minorEastAsia"/>
                <w:color w:val="auto"/>
                <w:szCs w:val="21"/>
                <w:highlight w:val="none"/>
              </w:rPr>
            </w:pPr>
          </w:p>
        </w:tc>
        <w:tc>
          <w:tcPr>
            <w:tcW w:w="875" w:type="dxa"/>
            <w:vAlign w:val="center"/>
          </w:tcPr>
          <w:p>
            <w:pPr>
              <w:snapToGrid w:val="0"/>
              <w:jc w:val="center"/>
              <w:rPr>
                <w:rFonts w:cs="宋体"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872"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642"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645" w:type="dxa"/>
            <w:vAlign w:val="center"/>
          </w:tcPr>
          <w:p>
            <w:pPr>
              <w:snapToGrid w:val="0"/>
              <w:jc w:val="center"/>
              <w:rPr>
                <w:rFonts w:cs="宋体" w:asciiTheme="minorEastAsia" w:hAnsiTheme="minorEastAsia" w:eastAsiaTheme="minorEastAsia"/>
                <w:color w:val="auto"/>
                <w:szCs w:val="21"/>
                <w:highlight w:val="none"/>
              </w:rPr>
            </w:pPr>
          </w:p>
        </w:tc>
        <w:tc>
          <w:tcPr>
            <w:tcW w:w="872" w:type="dxa"/>
            <w:vAlign w:val="center"/>
          </w:tcPr>
          <w:p>
            <w:pPr>
              <w:snapToGrid w:val="0"/>
              <w:jc w:val="center"/>
              <w:rPr>
                <w:rFonts w:cs="宋体" w:asciiTheme="minorEastAsia" w:hAnsiTheme="minorEastAsia" w:eastAsiaTheme="minorEastAsia"/>
                <w:color w:val="auto"/>
                <w:szCs w:val="21"/>
                <w:highlight w:val="none"/>
              </w:rPr>
            </w:pPr>
          </w:p>
        </w:tc>
        <w:tc>
          <w:tcPr>
            <w:tcW w:w="3184" w:type="dxa"/>
            <w:vAlign w:val="center"/>
          </w:tcPr>
          <w:p>
            <w:pPr>
              <w:snapToGrid w:val="0"/>
              <w:jc w:val="center"/>
              <w:rPr>
                <w:rFonts w:cs="宋体" w:asciiTheme="minorEastAsia" w:hAnsiTheme="minorEastAsia" w:eastAsiaTheme="minorEastAsia"/>
                <w:color w:val="auto"/>
                <w:szCs w:val="21"/>
                <w:highlight w:val="none"/>
              </w:rPr>
            </w:pPr>
          </w:p>
        </w:tc>
        <w:tc>
          <w:tcPr>
            <w:tcW w:w="872"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2026" w:type="dxa"/>
            <w:vAlign w:val="center"/>
          </w:tcPr>
          <w:p>
            <w:pPr>
              <w:snapToGrid w:val="0"/>
              <w:jc w:val="center"/>
              <w:rPr>
                <w:rFonts w:cs="宋体" w:asciiTheme="minorEastAsia" w:hAnsiTheme="minorEastAsia" w:eastAsiaTheme="minorEastAsia"/>
                <w:color w:val="auto"/>
                <w:szCs w:val="21"/>
                <w:highlight w:val="none"/>
              </w:rPr>
            </w:pPr>
          </w:p>
        </w:tc>
        <w:tc>
          <w:tcPr>
            <w:tcW w:w="2026" w:type="dxa"/>
            <w:vAlign w:val="center"/>
          </w:tcPr>
          <w:p>
            <w:pPr>
              <w:snapToGrid w:val="0"/>
              <w:jc w:val="center"/>
              <w:rPr>
                <w:rFonts w:cs="宋体" w:asciiTheme="minorEastAsia" w:hAnsiTheme="minorEastAsia" w:eastAsiaTheme="minorEastAsia"/>
                <w:color w:val="auto"/>
                <w:szCs w:val="21"/>
                <w:highlight w:val="none"/>
              </w:rPr>
            </w:pPr>
          </w:p>
        </w:tc>
        <w:tc>
          <w:tcPr>
            <w:tcW w:w="875" w:type="dxa"/>
            <w:vAlign w:val="center"/>
          </w:tcPr>
          <w:p>
            <w:pPr>
              <w:snapToGrid w:val="0"/>
              <w:jc w:val="center"/>
              <w:rPr>
                <w:rFonts w:cs="宋体"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872" w:type="dxa"/>
            <w:vAlign w:val="center"/>
          </w:tcPr>
          <w:p>
            <w:pPr>
              <w:widowControl/>
              <w:snapToGrid w:val="0"/>
              <w:jc w:val="center"/>
              <w:textAlignment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w:t>
            </w:r>
          </w:p>
        </w:tc>
        <w:tc>
          <w:tcPr>
            <w:tcW w:w="1642" w:type="dxa"/>
            <w:vAlign w:val="center"/>
          </w:tcPr>
          <w:p>
            <w:pPr>
              <w:widowControl/>
              <w:snapToGrid w:val="0"/>
              <w:jc w:val="center"/>
              <w:textAlignment w:val="center"/>
              <w:rPr>
                <w:rFonts w:cs="宋体" w:asciiTheme="minorEastAsia" w:hAnsiTheme="minorEastAsia" w:eastAsiaTheme="minorEastAsia"/>
                <w:color w:val="auto"/>
                <w:szCs w:val="21"/>
                <w:highlight w:val="none"/>
              </w:rPr>
            </w:pPr>
          </w:p>
        </w:tc>
        <w:tc>
          <w:tcPr>
            <w:tcW w:w="1645" w:type="dxa"/>
            <w:vAlign w:val="center"/>
          </w:tcPr>
          <w:p>
            <w:pPr>
              <w:snapToGrid w:val="0"/>
              <w:jc w:val="center"/>
              <w:rPr>
                <w:rFonts w:cs="宋体" w:asciiTheme="minorEastAsia" w:hAnsiTheme="minorEastAsia" w:eastAsiaTheme="minorEastAsia"/>
                <w:color w:val="auto"/>
                <w:szCs w:val="21"/>
                <w:highlight w:val="none"/>
              </w:rPr>
            </w:pPr>
          </w:p>
        </w:tc>
        <w:tc>
          <w:tcPr>
            <w:tcW w:w="872" w:type="dxa"/>
            <w:vAlign w:val="center"/>
          </w:tcPr>
          <w:p>
            <w:pPr>
              <w:snapToGrid w:val="0"/>
              <w:jc w:val="center"/>
              <w:rPr>
                <w:rFonts w:cs="宋体" w:asciiTheme="minorEastAsia" w:hAnsiTheme="minorEastAsia" w:eastAsiaTheme="minorEastAsia"/>
                <w:color w:val="auto"/>
                <w:szCs w:val="21"/>
                <w:highlight w:val="none"/>
              </w:rPr>
            </w:pPr>
          </w:p>
        </w:tc>
        <w:tc>
          <w:tcPr>
            <w:tcW w:w="3184" w:type="dxa"/>
            <w:vAlign w:val="center"/>
          </w:tcPr>
          <w:p>
            <w:pPr>
              <w:snapToGrid w:val="0"/>
              <w:jc w:val="center"/>
              <w:rPr>
                <w:rFonts w:cs="宋体" w:asciiTheme="minorEastAsia" w:hAnsiTheme="minorEastAsia" w:eastAsiaTheme="minorEastAsia"/>
                <w:color w:val="auto"/>
                <w:szCs w:val="21"/>
                <w:highlight w:val="none"/>
              </w:rPr>
            </w:pPr>
          </w:p>
        </w:tc>
        <w:tc>
          <w:tcPr>
            <w:tcW w:w="872" w:type="dxa"/>
            <w:vAlign w:val="center"/>
          </w:tcPr>
          <w:p>
            <w:pPr>
              <w:snapToGrid w:val="0"/>
              <w:jc w:val="center"/>
              <w:rPr>
                <w:rFonts w:cs="宋体" w:asciiTheme="minorEastAsia" w:hAnsiTheme="minorEastAsia" w:eastAsiaTheme="minorEastAsia"/>
                <w:color w:val="auto"/>
                <w:szCs w:val="21"/>
                <w:highlight w:val="none"/>
              </w:rPr>
            </w:pPr>
          </w:p>
        </w:tc>
        <w:tc>
          <w:tcPr>
            <w:tcW w:w="2026" w:type="dxa"/>
            <w:vAlign w:val="center"/>
          </w:tcPr>
          <w:p>
            <w:pPr>
              <w:snapToGrid w:val="0"/>
              <w:jc w:val="center"/>
              <w:rPr>
                <w:rFonts w:cs="宋体" w:asciiTheme="minorEastAsia" w:hAnsiTheme="minorEastAsia" w:eastAsiaTheme="minorEastAsia"/>
                <w:color w:val="auto"/>
                <w:szCs w:val="21"/>
                <w:highlight w:val="none"/>
              </w:rPr>
            </w:pPr>
          </w:p>
        </w:tc>
        <w:tc>
          <w:tcPr>
            <w:tcW w:w="2026" w:type="dxa"/>
            <w:vAlign w:val="center"/>
          </w:tcPr>
          <w:p>
            <w:pPr>
              <w:snapToGrid w:val="0"/>
              <w:jc w:val="center"/>
              <w:rPr>
                <w:rFonts w:cs="宋体" w:asciiTheme="minorEastAsia" w:hAnsiTheme="minorEastAsia" w:eastAsiaTheme="minorEastAsia"/>
                <w:color w:val="auto"/>
                <w:szCs w:val="21"/>
                <w:highlight w:val="none"/>
              </w:rPr>
            </w:pPr>
          </w:p>
        </w:tc>
        <w:tc>
          <w:tcPr>
            <w:tcW w:w="875" w:type="dxa"/>
            <w:vAlign w:val="center"/>
          </w:tcPr>
          <w:p>
            <w:pPr>
              <w:snapToGrid w:val="0"/>
              <w:jc w:val="center"/>
              <w:rPr>
                <w:rFonts w:cs="宋体"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5031" w:type="dxa"/>
            <w:gridSpan w:val="4"/>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投标报价</w:t>
            </w:r>
          </w:p>
        </w:tc>
        <w:tc>
          <w:tcPr>
            <w:tcW w:w="8983" w:type="dxa"/>
            <w:gridSpan w:val="5"/>
            <w:vAlign w:val="center"/>
          </w:tcPr>
          <w:p>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小写金额：</w:t>
            </w:r>
          </w:p>
          <w:p>
            <w:pPr>
              <w:snapToGrid w:val="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大写金额：</w:t>
            </w:r>
          </w:p>
        </w:tc>
      </w:tr>
    </w:tbl>
    <w:p>
      <w:pPr>
        <w:pStyle w:val="2"/>
        <w:rPr>
          <w:rFonts w:asciiTheme="minorEastAsia" w:hAnsiTheme="minorEastAsia" w:eastAsiaTheme="minorEastAsia"/>
          <w:color w:val="auto"/>
          <w:highlight w:val="none"/>
        </w:rPr>
      </w:pP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注：1、分项报价表为完成本项目工作的</w:t>
      </w:r>
      <w:r>
        <w:rPr>
          <w:rFonts w:hint="eastAsia" w:asciiTheme="minorEastAsia" w:hAnsiTheme="minorEastAsia" w:eastAsiaTheme="minorEastAsia"/>
          <w:color w:val="auto"/>
          <w:highlight w:val="none"/>
          <w:lang w:eastAsia="zh-CN"/>
        </w:rPr>
        <w:t>各项</w:t>
      </w:r>
      <w:r>
        <w:rPr>
          <w:rFonts w:hint="eastAsia" w:asciiTheme="minorEastAsia" w:hAnsiTheme="minorEastAsia" w:eastAsiaTheme="minorEastAsia"/>
          <w:color w:val="auto"/>
          <w:highlight w:val="none"/>
        </w:rPr>
        <w:t>价格构成，供应商的报价应便于采购人理解项目费用去向。</w:t>
      </w:r>
    </w:p>
    <w:p>
      <w:pPr>
        <w:pStyle w:val="2"/>
        <w:spacing w:line="36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        2、表格仅为参考格式，供应商可做适当调整。</w:t>
      </w:r>
    </w:p>
    <w:p>
      <w:pPr>
        <w:snapToGrid w:val="0"/>
        <w:spacing w:line="360" w:lineRule="auto"/>
        <w:ind w:left="420"/>
        <w:rPr>
          <w:rFonts w:asciiTheme="minorEastAsia" w:hAnsiTheme="minorEastAsia" w:eastAsiaTheme="minorEastAsia" w:cstheme="minorEastAsia"/>
          <w:color w:val="auto"/>
          <w:szCs w:val="21"/>
          <w:highlight w:val="none"/>
        </w:rPr>
      </w:pPr>
    </w:p>
    <w:p>
      <w:pPr>
        <w:snapToGrid w:val="0"/>
        <w:spacing w:line="30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法定代表人或授权代表（签字或盖章）</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（单位公章）</w:t>
      </w:r>
    </w:p>
    <w:p>
      <w:pPr>
        <w:snapToGrid w:val="0"/>
        <w:spacing w:line="300" w:lineRule="auto"/>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rPr>
          <w:rFonts w:asciiTheme="minorEastAsia" w:hAnsiTheme="minorEastAsia" w:eastAsiaTheme="minorEastAsia"/>
          <w:color w:val="auto"/>
          <w:highlight w:val="none"/>
        </w:rPr>
        <w:sectPr>
          <w:pgSz w:w="16838" w:h="11906" w:orient="landscape"/>
          <w:pgMar w:top="1797" w:right="1440" w:bottom="1797" w:left="1440" w:header="851" w:footer="851" w:gutter="0"/>
          <w:cols w:space="720" w:num="1"/>
          <w:docGrid w:linePitch="312" w:charSpace="0"/>
        </w:sectPr>
      </w:pPr>
      <w:r>
        <w:rPr>
          <w:rFonts w:hint="eastAsia" w:asciiTheme="minorEastAsia" w:hAnsiTheme="minorEastAsia" w:eastAsiaTheme="minorEastAsia"/>
          <w:color w:val="auto"/>
          <w:szCs w:val="21"/>
          <w:highlight w:val="none"/>
        </w:rPr>
        <w:t>日期：</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br w:type="page"/>
      </w:r>
      <w:bookmarkStart w:id="287" w:name="_Toc25126"/>
      <w:bookmarkStart w:id="288" w:name="_Toc28234"/>
      <w:bookmarkStart w:id="289" w:name="_Toc26996"/>
      <w:bookmarkStart w:id="290" w:name="_Toc24800"/>
      <w:bookmarkStart w:id="291" w:name="_Toc47725905"/>
      <w:bookmarkStart w:id="292" w:name="_Toc37938453"/>
    </w:p>
    <w:p>
      <w:pPr>
        <w:pStyle w:val="3"/>
        <w:rPr>
          <w:rFonts w:asciiTheme="minorEastAsia" w:hAnsiTheme="minorEastAsia" w:eastAsiaTheme="minorEastAsia"/>
          <w:color w:val="auto"/>
          <w:sz w:val="24"/>
          <w:szCs w:val="24"/>
          <w:highlight w:val="none"/>
        </w:rPr>
      </w:pPr>
      <w:bookmarkStart w:id="293" w:name="_Toc5904"/>
      <w:bookmarkStart w:id="294" w:name="_Toc6996"/>
      <w:r>
        <w:rPr>
          <w:rFonts w:hint="eastAsia" w:asciiTheme="minorEastAsia" w:hAnsiTheme="minorEastAsia" w:eastAsiaTheme="minorEastAsia"/>
          <w:color w:val="auto"/>
          <w:highlight w:val="none"/>
        </w:rPr>
        <w:t>三、投标方案说明书</w:t>
      </w:r>
      <w:bookmarkEnd w:id="287"/>
      <w:bookmarkEnd w:id="288"/>
      <w:bookmarkEnd w:id="289"/>
      <w:bookmarkEnd w:id="290"/>
      <w:bookmarkEnd w:id="291"/>
      <w:bookmarkEnd w:id="292"/>
      <w:bookmarkEnd w:id="293"/>
      <w:bookmarkEnd w:id="294"/>
    </w:p>
    <w:p>
      <w:pPr>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项目名称：</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项目编号：</w:t>
      </w:r>
    </w:p>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200025</wp:posOffset>
                </wp:positionV>
                <wp:extent cx="5261610" cy="635"/>
                <wp:effectExtent l="8255" t="9525" r="6985" b="889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6161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35pt;margin-top:15.75pt;height:0.05pt;width:414.3pt;z-index:251660288;mso-width-relative:page;mso-height-relative:page;" filled="f" stroked="t" coordsize="21600,21600" o:gfxdata="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gPMEjXAAAA&#10;CAEAAA8AAAAAAAAAAQAgAAAAIgAAAGRycy9kb3ducmV2LnhtbFBLAQIUABQAAAAIAIdO4kDb1Fkc&#10;5QEAAKwDAAAOAAAAAAAAAAEAIAAAACYBAABkcnMvZTJvRG9jLnhtbFBLBQYAAAAABgAGAFkBAAB9&#10;BQAAAAA=&#10;">
                <v:fill on="f" focussize="0,0"/>
                <v:stroke color="#000000" joinstyle="round"/>
                <v:imagedata o:title=""/>
                <o:lock v:ext="edit" aspectratio="f"/>
              </v:line>
            </w:pict>
          </mc:Fallback>
        </mc:AlternateContent>
      </w:r>
    </w:p>
    <w:p>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按照招标文件的要求编制投标方案说明书，</w:t>
      </w:r>
      <w:r>
        <w:rPr>
          <w:rFonts w:hint="eastAsia" w:cs="宋体" w:asciiTheme="minorEastAsia" w:hAnsiTheme="minorEastAsia" w:eastAsiaTheme="minorEastAsia"/>
          <w:color w:val="auto"/>
          <w:szCs w:val="21"/>
          <w:highlight w:val="none"/>
        </w:rPr>
        <w:t>内容应包括所投标货物（设备）和/或服务的详细说明、质量保证和售后服务承诺、交货期、付款条件和付款方式、交货地点及运输方式、验收依据、业绩证明文件等。</w:t>
      </w:r>
      <w:r>
        <w:rPr>
          <w:rFonts w:hint="eastAsia" w:asciiTheme="minorEastAsia" w:hAnsiTheme="minorEastAsia" w:eastAsiaTheme="minorEastAsia"/>
          <w:b/>
          <w:bCs/>
          <w:color w:val="auto"/>
          <w:szCs w:val="21"/>
          <w:highlight w:val="none"/>
        </w:rPr>
        <w:t>应</w:t>
      </w:r>
      <w:r>
        <w:rPr>
          <w:rFonts w:hint="eastAsia" w:asciiTheme="minorEastAsia" w:hAnsiTheme="minorEastAsia" w:eastAsiaTheme="minorEastAsia"/>
          <w:b/>
          <w:color w:val="auto"/>
          <w:szCs w:val="21"/>
          <w:highlight w:val="none"/>
        </w:rPr>
        <w:t>包括但不限于如下内容</w:t>
      </w:r>
      <w:r>
        <w:rPr>
          <w:rFonts w:hint="eastAsia" w:asciiTheme="minorEastAsia" w:hAnsiTheme="minorEastAsia" w:eastAsiaTheme="minorEastAsia"/>
          <w:color w:val="auto"/>
          <w:szCs w:val="21"/>
          <w:highlight w:val="none"/>
        </w:rPr>
        <w:t>：</w:t>
      </w:r>
    </w:p>
    <w:p>
      <w:pPr>
        <w:spacing w:line="360" w:lineRule="auto"/>
        <w:ind w:firstLine="420" w:firstLineChars="200"/>
        <w:outlineLvl w:val="1"/>
        <w:rPr>
          <w:rFonts w:cs="宋体" w:asciiTheme="minorEastAsia" w:hAnsiTheme="minorEastAsia" w:eastAsiaTheme="minorEastAsia"/>
          <w:color w:val="auto"/>
          <w:szCs w:val="21"/>
          <w:highlight w:val="none"/>
        </w:rPr>
      </w:pPr>
      <w:bookmarkStart w:id="295" w:name="_Toc3312"/>
      <w:bookmarkStart w:id="296" w:name="_Toc6199"/>
      <w:bookmarkStart w:id="297" w:name="_Toc13756"/>
      <w:bookmarkStart w:id="298" w:name="_Toc6809"/>
      <w:bookmarkStart w:id="299" w:name="_Toc75948183"/>
      <w:r>
        <w:rPr>
          <w:rFonts w:hint="eastAsia" w:cs="宋体" w:asciiTheme="minorEastAsia" w:hAnsiTheme="minorEastAsia" w:eastAsiaTheme="minorEastAsia"/>
          <w:color w:val="auto"/>
          <w:szCs w:val="21"/>
          <w:highlight w:val="none"/>
        </w:rPr>
        <w:t>1.</w:t>
      </w:r>
      <w:bookmarkEnd w:id="295"/>
      <w:bookmarkEnd w:id="296"/>
      <w:r>
        <w:rPr>
          <w:rFonts w:hint="eastAsia" w:cs="宋体" w:asciiTheme="minorEastAsia" w:hAnsiTheme="minorEastAsia" w:eastAsiaTheme="minorEastAsia"/>
          <w:color w:val="auto"/>
          <w:szCs w:val="21"/>
          <w:highlight w:val="none"/>
        </w:rPr>
        <w:t>技术说明书</w:t>
      </w:r>
      <w:bookmarkEnd w:id="297"/>
      <w:bookmarkEnd w:id="298"/>
      <w:bookmarkEnd w:id="299"/>
    </w:p>
    <w:p>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1.1投标产品的商标、型号、功能、技术规格、详细的供货配置清单，投标产品制造商及原产地（填写供货一览表，并详细说明投标报价所包含的全部供货内容和服务内容）；</w:t>
      </w:r>
    </w:p>
    <w:p>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1.2产品选型及配置；</w:t>
      </w:r>
    </w:p>
    <w:p>
      <w:pPr>
        <w:spacing w:line="360" w:lineRule="auto"/>
        <w:ind w:left="208" w:leftChars="99" w:firstLine="197" w:firstLineChars="94"/>
        <w:contextualSpacing/>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1.3实施方案；</w:t>
      </w:r>
    </w:p>
    <w:p>
      <w:pPr>
        <w:spacing w:line="360" w:lineRule="auto"/>
        <w:ind w:left="208" w:leftChars="99" w:firstLine="197" w:firstLineChars="94"/>
        <w:contextualSpacing/>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1.4产品质量；</w:t>
      </w:r>
    </w:p>
    <w:p>
      <w:pPr>
        <w:pStyle w:val="2"/>
        <w:ind w:firstLine="42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1.5针对本项目提供供货</w:t>
      </w:r>
      <w:r>
        <w:rPr>
          <w:rFonts w:hint="eastAsia" w:cs="宋体" w:asciiTheme="minorEastAsia" w:hAnsiTheme="minorEastAsia" w:eastAsiaTheme="minorEastAsia"/>
          <w:color w:val="auto"/>
          <w:szCs w:val="21"/>
          <w:highlight w:val="none"/>
          <w:lang w:eastAsia="zh-CN"/>
        </w:rPr>
        <w:t>及履约方案</w:t>
      </w:r>
      <w:r>
        <w:rPr>
          <w:rFonts w:hint="eastAsia" w:cs="宋体" w:asciiTheme="minorEastAsia" w:hAnsiTheme="minorEastAsia" w:eastAsiaTheme="minorEastAsia"/>
          <w:color w:val="auto"/>
          <w:szCs w:val="21"/>
          <w:highlight w:val="none"/>
        </w:rPr>
        <w:t>；</w:t>
      </w:r>
    </w:p>
    <w:p>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lang w:val="en-US" w:eastAsia="zh-CN"/>
        </w:rPr>
        <w:t>6针对</w:t>
      </w:r>
      <w:r>
        <w:rPr>
          <w:rFonts w:hint="eastAsia" w:cs="宋体" w:asciiTheme="minorEastAsia" w:hAnsiTheme="minorEastAsia" w:eastAsiaTheme="minorEastAsia"/>
          <w:color w:val="auto"/>
          <w:szCs w:val="21"/>
          <w:highlight w:val="none"/>
        </w:rPr>
        <w:t>本次投标产品</w:t>
      </w:r>
      <w:r>
        <w:rPr>
          <w:rFonts w:hint="eastAsia" w:cs="宋体" w:asciiTheme="minorEastAsia" w:hAnsiTheme="minorEastAsia" w:eastAsiaTheme="minorEastAsia"/>
          <w:color w:val="auto"/>
          <w:szCs w:val="21"/>
          <w:highlight w:val="none"/>
          <w:lang w:eastAsia="zh-CN"/>
        </w:rPr>
        <w:t>提供</w:t>
      </w:r>
      <w:r>
        <w:rPr>
          <w:rFonts w:hint="eastAsia" w:cs="宋体" w:asciiTheme="minorEastAsia" w:hAnsiTheme="minorEastAsia" w:eastAsiaTheme="minorEastAsia"/>
          <w:color w:val="auto"/>
          <w:szCs w:val="21"/>
          <w:highlight w:val="none"/>
        </w:rPr>
        <w:t>售后服务</w:t>
      </w:r>
      <w:r>
        <w:rPr>
          <w:rFonts w:hint="eastAsia" w:cs="宋体" w:asciiTheme="minorEastAsia" w:hAnsiTheme="minorEastAsia" w:eastAsiaTheme="minorEastAsia"/>
          <w:color w:val="auto"/>
          <w:szCs w:val="21"/>
          <w:highlight w:val="none"/>
          <w:lang w:eastAsia="zh-CN"/>
        </w:rPr>
        <w:t>措施及</w:t>
      </w:r>
      <w:r>
        <w:rPr>
          <w:rFonts w:hint="eastAsia" w:cs="宋体" w:asciiTheme="minorEastAsia" w:hAnsiTheme="minorEastAsia" w:eastAsiaTheme="minorEastAsia"/>
          <w:color w:val="auto"/>
          <w:szCs w:val="21"/>
          <w:highlight w:val="none"/>
        </w:rPr>
        <w:t>承诺书。</w:t>
      </w:r>
    </w:p>
    <w:p>
      <w:pPr>
        <w:spacing w:line="360" w:lineRule="auto"/>
        <w:ind w:firstLine="420" w:firstLineChars="200"/>
        <w:outlineLvl w:val="1"/>
        <w:rPr>
          <w:rFonts w:cs="宋体" w:asciiTheme="minorEastAsia" w:hAnsiTheme="minorEastAsia" w:eastAsiaTheme="minorEastAsia"/>
          <w:color w:val="auto"/>
          <w:szCs w:val="21"/>
          <w:highlight w:val="none"/>
        </w:rPr>
      </w:pPr>
      <w:bookmarkStart w:id="300" w:name="_Toc13642"/>
      <w:bookmarkStart w:id="301" w:name="_Toc17052"/>
      <w:bookmarkStart w:id="302" w:name="_Toc13995"/>
      <w:bookmarkStart w:id="303" w:name="_Toc75948184"/>
      <w:bookmarkStart w:id="304" w:name="_Toc17223"/>
      <w:r>
        <w:rPr>
          <w:rFonts w:hint="eastAsia" w:cs="宋体" w:asciiTheme="minorEastAsia" w:hAnsiTheme="minorEastAsia" w:eastAsiaTheme="minorEastAsia"/>
          <w:color w:val="auto"/>
          <w:szCs w:val="21"/>
          <w:highlight w:val="none"/>
        </w:rPr>
        <w:t>2.商务响应</w:t>
      </w:r>
      <w:bookmarkEnd w:id="300"/>
      <w:bookmarkEnd w:id="301"/>
      <w:bookmarkEnd w:id="302"/>
      <w:bookmarkEnd w:id="303"/>
      <w:bookmarkEnd w:id="304"/>
    </w:p>
    <w:p>
      <w:pPr>
        <w:spacing w:line="360" w:lineRule="auto"/>
        <w:ind w:firstLine="420" w:firstLineChars="200"/>
        <w:rPr>
          <w:rFonts w:cs="宋体" w:asciiTheme="minorEastAsia" w:hAnsiTheme="minorEastAsia" w:eastAsiaTheme="minorEastAsia"/>
          <w:color w:val="auto"/>
          <w:szCs w:val="21"/>
          <w:highlight w:val="none"/>
        </w:rPr>
      </w:pPr>
      <w:r>
        <w:rPr>
          <w:rFonts w:hint="eastAsia" w:asciiTheme="minorEastAsia" w:hAnsiTheme="minorEastAsia" w:eastAsiaTheme="minorEastAsia" w:cstheme="minorEastAsia"/>
          <w:color w:val="auto"/>
          <w:szCs w:val="21"/>
          <w:highlight w:val="none"/>
        </w:rPr>
        <w:t>业绩</w:t>
      </w:r>
      <w:r>
        <w:rPr>
          <w:rFonts w:hint="eastAsia" w:ascii="宋体" w:hAnsi="宋体" w:cs="宋体"/>
          <w:color w:val="auto"/>
          <w:szCs w:val="21"/>
          <w:highlight w:val="none"/>
        </w:rPr>
        <w:t>（附中标（成交）通知书及合同复印件）</w:t>
      </w:r>
    </w:p>
    <w:p>
      <w:pPr>
        <w:spacing w:line="360" w:lineRule="auto"/>
        <w:ind w:firstLine="420" w:firstLineChars="200"/>
        <w:outlineLvl w:val="1"/>
        <w:rPr>
          <w:rFonts w:cs="宋体" w:asciiTheme="minorEastAsia" w:hAnsiTheme="minorEastAsia" w:eastAsiaTheme="minorEastAsia"/>
          <w:color w:val="auto"/>
          <w:szCs w:val="21"/>
          <w:highlight w:val="none"/>
        </w:rPr>
      </w:pPr>
      <w:bookmarkStart w:id="305" w:name="_Toc16287"/>
      <w:bookmarkStart w:id="306" w:name="_Toc20970"/>
      <w:bookmarkStart w:id="307" w:name="_Toc75948185"/>
      <w:bookmarkStart w:id="308" w:name="_Toc28063"/>
      <w:bookmarkStart w:id="309" w:name="_Toc29661"/>
      <w:r>
        <w:rPr>
          <w:rFonts w:hint="eastAsia" w:cs="宋体" w:asciiTheme="minorEastAsia" w:hAnsiTheme="minorEastAsia" w:eastAsiaTheme="minorEastAsia"/>
          <w:color w:val="auto"/>
          <w:szCs w:val="21"/>
          <w:highlight w:val="none"/>
        </w:rPr>
        <w:t>3.</w:t>
      </w:r>
      <w:bookmarkEnd w:id="305"/>
      <w:bookmarkStart w:id="310" w:name="_Toc32036"/>
      <w:r>
        <w:rPr>
          <w:rFonts w:hint="eastAsia" w:cs="宋体" w:asciiTheme="minorEastAsia" w:hAnsiTheme="minorEastAsia" w:eastAsiaTheme="minorEastAsia"/>
          <w:color w:val="auto"/>
          <w:szCs w:val="21"/>
          <w:highlight w:val="none"/>
        </w:rPr>
        <w:t>交货期、付款条件和付款方式、交货地点及运输方式、付款条件和付款方式</w:t>
      </w:r>
      <w:bookmarkEnd w:id="310"/>
      <w:bookmarkStart w:id="311" w:name="_Toc27513"/>
      <w:r>
        <w:rPr>
          <w:rFonts w:hint="eastAsia" w:cs="宋体" w:asciiTheme="minorEastAsia" w:hAnsiTheme="minorEastAsia" w:eastAsiaTheme="minorEastAsia"/>
          <w:color w:val="auto"/>
          <w:szCs w:val="21"/>
          <w:highlight w:val="none"/>
        </w:rPr>
        <w:t>、成果的交付和验收依据等商务内容响应。</w:t>
      </w:r>
      <w:bookmarkEnd w:id="306"/>
      <w:bookmarkEnd w:id="307"/>
      <w:bookmarkEnd w:id="308"/>
      <w:bookmarkEnd w:id="309"/>
      <w:bookmarkEnd w:id="311"/>
    </w:p>
    <w:p>
      <w:pPr>
        <w:spacing w:line="360" w:lineRule="auto"/>
        <w:ind w:left="840" w:leftChars="200" w:hanging="420" w:hangingChars="200"/>
        <w:rPr>
          <w:rFonts w:cs="宋体" w:asciiTheme="minorEastAsia" w:hAnsiTheme="minorEastAsia" w:eastAsiaTheme="minorEastAsia"/>
          <w:color w:val="auto"/>
          <w:szCs w:val="21"/>
          <w:highlight w:val="none"/>
        </w:rPr>
      </w:pPr>
    </w:p>
    <w:p>
      <w:pPr>
        <w:spacing w:line="360" w:lineRule="auto"/>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Cs w:val="21"/>
          <w:highlight w:val="none"/>
        </w:rPr>
        <w:t>说明：后附部分内容参考格式，其他内容供应商自行编制。</w:t>
      </w:r>
    </w:p>
    <w:p>
      <w:pPr>
        <w:spacing w:after="12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br w:type="page"/>
      </w:r>
      <w:r>
        <w:rPr>
          <w:rFonts w:hint="eastAsia" w:cs="宋体" w:asciiTheme="minorEastAsia" w:hAnsiTheme="minorEastAsia" w:eastAsiaTheme="minorEastAsia"/>
          <w:b/>
          <w:color w:val="auto"/>
          <w:sz w:val="24"/>
          <w:szCs w:val="24"/>
          <w:highlight w:val="none"/>
        </w:rPr>
        <w:t>附件：格式</w:t>
      </w:r>
    </w:p>
    <w:p>
      <w:pPr>
        <w:jc w:val="center"/>
        <w:rPr>
          <w:rFonts w:cs="宋体" w:asciiTheme="minorEastAsia" w:hAnsiTheme="minorEastAsia" w:eastAsiaTheme="minorEastAsia"/>
          <w:b/>
          <w:bCs/>
          <w:color w:val="auto"/>
          <w:sz w:val="32"/>
          <w:szCs w:val="32"/>
          <w:highlight w:val="none"/>
        </w:rPr>
      </w:pPr>
    </w:p>
    <w:p>
      <w:pPr>
        <w:spacing w:line="400" w:lineRule="exact"/>
        <w:jc w:val="center"/>
        <w:outlineLvl w:val="1"/>
        <w:rPr>
          <w:rFonts w:cs="宋体" w:asciiTheme="minorEastAsia" w:hAnsiTheme="minorEastAsia" w:eastAsiaTheme="minorEastAsia"/>
          <w:b/>
          <w:color w:val="auto"/>
          <w:sz w:val="30"/>
          <w:szCs w:val="30"/>
          <w:highlight w:val="none"/>
        </w:rPr>
      </w:pPr>
      <w:bookmarkStart w:id="312" w:name="_Toc37938227"/>
      <w:bookmarkStart w:id="313" w:name="_Toc37938454"/>
      <w:bookmarkStart w:id="314" w:name="_Toc28783"/>
      <w:bookmarkStart w:id="315" w:name="_Toc30547"/>
      <w:bookmarkStart w:id="316" w:name="_Toc75948186"/>
      <w:bookmarkStart w:id="317" w:name="_Toc7611"/>
      <w:bookmarkStart w:id="318" w:name="_Toc23788"/>
      <w:bookmarkStart w:id="319" w:name="_Toc16759"/>
      <w:r>
        <w:rPr>
          <w:rFonts w:hint="eastAsia" w:cs="宋体" w:asciiTheme="minorEastAsia" w:hAnsiTheme="minorEastAsia" w:eastAsiaTheme="minorEastAsia"/>
          <w:b/>
          <w:color w:val="auto"/>
          <w:sz w:val="30"/>
          <w:szCs w:val="30"/>
          <w:highlight w:val="none"/>
        </w:rPr>
        <w:t>商务</w:t>
      </w:r>
      <w:bookmarkEnd w:id="312"/>
      <w:bookmarkEnd w:id="313"/>
      <w:r>
        <w:rPr>
          <w:rFonts w:hint="eastAsia" w:cs="宋体" w:asciiTheme="minorEastAsia" w:hAnsiTheme="minorEastAsia" w:eastAsiaTheme="minorEastAsia"/>
          <w:b/>
          <w:color w:val="auto"/>
          <w:sz w:val="30"/>
          <w:szCs w:val="30"/>
          <w:highlight w:val="none"/>
        </w:rPr>
        <w:t>偏离表</w:t>
      </w:r>
      <w:bookmarkEnd w:id="314"/>
      <w:bookmarkEnd w:id="315"/>
      <w:bookmarkEnd w:id="316"/>
      <w:bookmarkEnd w:id="317"/>
      <w:bookmarkEnd w:id="318"/>
      <w:bookmarkEnd w:id="319"/>
    </w:p>
    <w:p>
      <w:pPr>
        <w:jc w:val="center"/>
        <w:rPr>
          <w:rFonts w:cs="宋体" w:asciiTheme="minorEastAsia" w:hAnsiTheme="minorEastAsia" w:eastAsiaTheme="minorEastAsia"/>
          <w:b/>
          <w:bCs/>
          <w:color w:val="auto"/>
          <w:szCs w:val="21"/>
          <w:highlight w:val="none"/>
        </w:rPr>
      </w:pPr>
    </w:p>
    <w:tbl>
      <w:tblPr>
        <w:tblStyle w:val="24"/>
        <w:tblW w:w="8325" w:type="dxa"/>
        <w:tblInd w:w="1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725"/>
        <w:gridCol w:w="2988"/>
        <w:gridCol w:w="17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725" w:type="dxa"/>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招标文件章节及条款号</w:t>
            </w:r>
          </w:p>
        </w:tc>
        <w:tc>
          <w:tcPr>
            <w:tcW w:w="2988" w:type="dxa"/>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投标文件章节及条款号</w:t>
            </w:r>
          </w:p>
        </w:tc>
        <w:tc>
          <w:tcPr>
            <w:tcW w:w="1700" w:type="dxa"/>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偏差说明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2725" w:type="dxa"/>
          </w:tcPr>
          <w:p>
            <w:pPr>
              <w:spacing w:line="440" w:lineRule="exact"/>
              <w:rPr>
                <w:rFonts w:ascii="宋体" w:hAnsi="宋体" w:cs="宋体"/>
                <w:b/>
                <w:color w:val="auto"/>
                <w:sz w:val="32"/>
                <w:highlight w:val="none"/>
              </w:rPr>
            </w:pPr>
          </w:p>
        </w:tc>
        <w:tc>
          <w:tcPr>
            <w:tcW w:w="2988" w:type="dxa"/>
          </w:tcPr>
          <w:p>
            <w:pPr>
              <w:spacing w:line="440" w:lineRule="exact"/>
              <w:rPr>
                <w:rFonts w:ascii="宋体" w:hAnsi="宋体" w:cs="宋体"/>
                <w:b/>
                <w:color w:val="auto"/>
                <w:sz w:val="32"/>
                <w:highlight w:val="none"/>
              </w:rPr>
            </w:pPr>
          </w:p>
        </w:tc>
        <w:tc>
          <w:tcPr>
            <w:tcW w:w="1700" w:type="dxa"/>
          </w:tcPr>
          <w:p>
            <w:pPr>
              <w:spacing w:line="440" w:lineRule="exact"/>
              <w:rPr>
                <w:rFonts w:ascii="宋体" w:hAnsi="宋体" w:cs="宋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2725" w:type="dxa"/>
          </w:tcPr>
          <w:p>
            <w:pPr>
              <w:spacing w:line="440" w:lineRule="exact"/>
              <w:rPr>
                <w:rFonts w:ascii="宋体" w:hAnsi="宋体" w:cs="宋体"/>
                <w:b/>
                <w:color w:val="auto"/>
                <w:sz w:val="32"/>
                <w:highlight w:val="none"/>
              </w:rPr>
            </w:pPr>
          </w:p>
        </w:tc>
        <w:tc>
          <w:tcPr>
            <w:tcW w:w="2988" w:type="dxa"/>
          </w:tcPr>
          <w:p>
            <w:pPr>
              <w:spacing w:line="440" w:lineRule="exact"/>
              <w:rPr>
                <w:rFonts w:ascii="宋体" w:hAnsi="宋体" w:cs="宋体"/>
                <w:b/>
                <w:color w:val="auto"/>
                <w:sz w:val="32"/>
                <w:highlight w:val="none"/>
              </w:rPr>
            </w:pPr>
          </w:p>
        </w:tc>
        <w:tc>
          <w:tcPr>
            <w:tcW w:w="1700" w:type="dxa"/>
          </w:tcPr>
          <w:p>
            <w:pPr>
              <w:spacing w:line="440" w:lineRule="exact"/>
              <w:rPr>
                <w:rFonts w:ascii="宋体" w:hAnsi="宋体" w:cs="宋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2725" w:type="dxa"/>
          </w:tcPr>
          <w:p>
            <w:pPr>
              <w:spacing w:line="440" w:lineRule="exact"/>
              <w:rPr>
                <w:rFonts w:ascii="宋体" w:hAnsi="宋体" w:cs="宋体"/>
                <w:b/>
                <w:color w:val="auto"/>
                <w:sz w:val="32"/>
                <w:highlight w:val="none"/>
              </w:rPr>
            </w:pPr>
          </w:p>
        </w:tc>
        <w:tc>
          <w:tcPr>
            <w:tcW w:w="2988" w:type="dxa"/>
          </w:tcPr>
          <w:p>
            <w:pPr>
              <w:spacing w:line="440" w:lineRule="exact"/>
              <w:rPr>
                <w:rFonts w:ascii="宋体" w:hAnsi="宋体" w:cs="宋体"/>
                <w:b/>
                <w:color w:val="auto"/>
                <w:sz w:val="32"/>
                <w:highlight w:val="none"/>
              </w:rPr>
            </w:pPr>
          </w:p>
        </w:tc>
        <w:tc>
          <w:tcPr>
            <w:tcW w:w="1700" w:type="dxa"/>
          </w:tcPr>
          <w:p>
            <w:pPr>
              <w:spacing w:line="440" w:lineRule="exact"/>
              <w:rPr>
                <w:rFonts w:ascii="宋体" w:hAnsi="宋体" w:cs="宋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4</w:t>
            </w:r>
          </w:p>
        </w:tc>
        <w:tc>
          <w:tcPr>
            <w:tcW w:w="2725" w:type="dxa"/>
          </w:tcPr>
          <w:p>
            <w:pPr>
              <w:spacing w:line="440" w:lineRule="exact"/>
              <w:rPr>
                <w:rFonts w:ascii="宋体" w:hAnsi="宋体" w:cs="宋体"/>
                <w:b/>
                <w:color w:val="auto"/>
                <w:sz w:val="32"/>
                <w:highlight w:val="none"/>
              </w:rPr>
            </w:pPr>
          </w:p>
        </w:tc>
        <w:tc>
          <w:tcPr>
            <w:tcW w:w="2988" w:type="dxa"/>
          </w:tcPr>
          <w:p>
            <w:pPr>
              <w:spacing w:line="440" w:lineRule="exact"/>
              <w:rPr>
                <w:rFonts w:ascii="宋体" w:hAnsi="宋体" w:cs="宋体"/>
                <w:b/>
                <w:color w:val="auto"/>
                <w:sz w:val="32"/>
                <w:highlight w:val="none"/>
              </w:rPr>
            </w:pPr>
          </w:p>
        </w:tc>
        <w:tc>
          <w:tcPr>
            <w:tcW w:w="1700" w:type="dxa"/>
          </w:tcPr>
          <w:p>
            <w:pPr>
              <w:spacing w:line="440" w:lineRule="exact"/>
              <w:rPr>
                <w:rFonts w:ascii="宋体" w:hAnsi="宋体" w:cs="宋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5</w:t>
            </w:r>
          </w:p>
        </w:tc>
        <w:tc>
          <w:tcPr>
            <w:tcW w:w="2725" w:type="dxa"/>
          </w:tcPr>
          <w:p>
            <w:pPr>
              <w:spacing w:line="440" w:lineRule="exact"/>
              <w:rPr>
                <w:rFonts w:ascii="宋体" w:hAnsi="宋体" w:cs="宋体"/>
                <w:b/>
                <w:color w:val="auto"/>
                <w:sz w:val="32"/>
                <w:highlight w:val="none"/>
              </w:rPr>
            </w:pPr>
          </w:p>
        </w:tc>
        <w:tc>
          <w:tcPr>
            <w:tcW w:w="2988" w:type="dxa"/>
          </w:tcPr>
          <w:p>
            <w:pPr>
              <w:spacing w:line="440" w:lineRule="exact"/>
              <w:rPr>
                <w:rFonts w:ascii="宋体" w:hAnsi="宋体" w:cs="宋体"/>
                <w:b/>
                <w:color w:val="auto"/>
                <w:sz w:val="32"/>
                <w:highlight w:val="none"/>
              </w:rPr>
            </w:pPr>
          </w:p>
        </w:tc>
        <w:tc>
          <w:tcPr>
            <w:tcW w:w="1700" w:type="dxa"/>
          </w:tcPr>
          <w:p>
            <w:pPr>
              <w:spacing w:line="440" w:lineRule="exact"/>
              <w:rPr>
                <w:rFonts w:ascii="宋体" w:hAnsi="宋体" w:cs="宋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w:t>
            </w:r>
          </w:p>
        </w:tc>
        <w:tc>
          <w:tcPr>
            <w:tcW w:w="2725" w:type="dxa"/>
          </w:tcPr>
          <w:p>
            <w:pPr>
              <w:spacing w:line="440" w:lineRule="exact"/>
              <w:rPr>
                <w:rFonts w:ascii="宋体" w:hAnsi="宋体" w:cs="宋体"/>
                <w:b/>
                <w:color w:val="auto"/>
                <w:sz w:val="32"/>
                <w:highlight w:val="none"/>
              </w:rPr>
            </w:pPr>
          </w:p>
        </w:tc>
        <w:tc>
          <w:tcPr>
            <w:tcW w:w="2988" w:type="dxa"/>
          </w:tcPr>
          <w:p>
            <w:pPr>
              <w:spacing w:line="440" w:lineRule="exact"/>
              <w:rPr>
                <w:rFonts w:ascii="宋体" w:hAnsi="宋体" w:cs="宋体"/>
                <w:b/>
                <w:color w:val="auto"/>
                <w:sz w:val="32"/>
                <w:highlight w:val="none"/>
              </w:rPr>
            </w:pPr>
          </w:p>
        </w:tc>
        <w:tc>
          <w:tcPr>
            <w:tcW w:w="1700" w:type="dxa"/>
          </w:tcPr>
          <w:p>
            <w:pPr>
              <w:spacing w:line="440" w:lineRule="exact"/>
              <w:rPr>
                <w:rFonts w:ascii="宋体" w:hAnsi="宋体" w:cs="宋体"/>
                <w:b/>
                <w:color w:val="auto"/>
                <w:sz w:val="32"/>
                <w:highlight w:val="none"/>
              </w:rPr>
            </w:pPr>
          </w:p>
        </w:tc>
      </w:tr>
    </w:tbl>
    <w:p>
      <w:pPr>
        <w:pStyle w:val="2"/>
        <w:rPr>
          <w:rFonts w:asciiTheme="minorEastAsia" w:hAnsiTheme="minorEastAsia" w:eastAsiaTheme="minorEastAsia"/>
          <w:color w:val="auto"/>
          <w:highlight w:val="none"/>
        </w:rPr>
      </w:pPr>
    </w:p>
    <w:p>
      <w:pPr>
        <w:spacing w:line="440" w:lineRule="exact"/>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供应商</w:t>
      </w:r>
      <w:r>
        <w:rPr>
          <w:rFonts w:asciiTheme="minorEastAsia" w:hAnsiTheme="minorEastAsia" w:eastAsiaTheme="minorEastAsia"/>
          <w:b/>
          <w:bCs/>
          <w:color w:val="auto"/>
          <w:highlight w:val="none"/>
        </w:rPr>
        <w:t>保证：除商务偏差表列出的偏差外，</w:t>
      </w:r>
      <w:r>
        <w:rPr>
          <w:rFonts w:hint="eastAsia" w:asciiTheme="minorEastAsia" w:hAnsiTheme="minorEastAsia" w:eastAsiaTheme="minorEastAsia"/>
          <w:b/>
          <w:bCs/>
          <w:color w:val="auto"/>
          <w:highlight w:val="none"/>
        </w:rPr>
        <w:t>供应商</w:t>
      </w:r>
      <w:r>
        <w:rPr>
          <w:rFonts w:asciiTheme="minorEastAsia" w:hAnsiTheme="minorEastAsia" w:eastAsiaTheme="minorEastAsia"/>
          <w:b/>
          <w:bCs/>
          <w:color w:val="auto"/>
          <w:highlight w:val="none"/>
        </w:rPr>
        <w:t>响应招标文件的全部要求。</w:t>
      </w:r>
    </w:p>
    <w:p>
      <w:pPr>
        <w:snapToGrid w:val="0"/>
        <w:spacing w:line="360" w:lineRule="auto"/>
        <w:rPr>
          <w:rFonts w:cs="宋体" w:asciiTheme="minorEastAsia" w:hAnsiTheme="minorEastAsia" w:eastAsiaTheme="minorEastAsia"/>
          <w:color w:val="auto"/>
          <w:szCs w:val="21"/>
          <w:highlight w:val="none"/>
        </w:rPr>
      </w:pPr>
    </w:p>
    <w:p>
      <w:pPr>
        <w:snapToGrid w:val="0"/>
        <w:spacing w:line="360" w:lineRule="auto"/>
        <w:rPr>
          <w:rFonts w:cs="宋体" w:asciiTheme="minorEastAsia" w:hAnsiTheme="minorEastAsia" w:eastAsiaTheme="minorEastAsia"/>
          <w:color w:val="auto"/>
          <w:szCs w:val="21"/>
          <w:highlight w:val="none"/>
        </w:rPr>
      </w:pPr>
    </w:p>
    <w:p>
      <w:pPr>
        <w:snapToGrid w:val="0"/>
        <w:spacing w:line="360" w:lineRule="auto"/>
        <w:rPr>
          <w:rFonts w:cs="宋体" w:asciiTheme="minorEastAsia" w:hAnsiTheme="minorEastAsia" w:eastAsiaTheme="minorEastAsia"/>
          <w:color w:val="auto"/>
          <w:szCs w:val="21"/>
          <w:highlight w:val="none"/>
        </w:rPr>
      </w:pPr>
    </w:p>
    <w:p>
      <w:pPr>
        <w:snapToGrid w:val="0"/>
        <w:spacing w:line="30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法定代表人或授权代表（签字或盖章）</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（单位公章）</w:t>
      </w:r>
    </w:p>
    <w:p>
      <w:pPr>
        <w:snapToGrid w:val="0"/>
        <w:spacing w:line="300" w:lineRule="auto"/>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jc w:val="left"/>
        <w:rPr>
          <w:rFonts w:cs="宋体"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日期：</w:t>
      </w:r>
      <w:r>
        <w:rPr>
          <w:rFonts w:hint="eastAsia" w:asciiTheme="minorEastAsia" w:hAnsiTheme="minorEastAsia" w:eastAsiaTheme="minorEastAsia"/>
          <w:color w:val="auto"/>
          <w:szCs w:val="21"/>
          <w:highlight w:val="none"/>
          <w:u w:val="single"/>
        </w:rPr>
        <w:t xml:space="preserve">                    </w:t>
      </w:r>
    </w:p>
    <w:p>
      <w:pPr>
        <w:spacing w:after="12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b/>
          <w:color w:val="auto"/>
          <w:sz w:val="24"/>
          <w:szCs w:val="24"/>
          <w:highlight w:val="none"/>
        </w:rPr>
        <w:br w:type="page"/>
      </w:r>
      <w:r>
        <w:rPr>
          <w:rFonts w:hint="eastAsia" w:cs="宋体" w:asciiTheme="minorEastAsia" w:hAnsiTheme="minorEastAsia" w:eastAsiaTheme="minorEastAsia"/>
          <w:b/>
          <w:color w:val="auto"/>
          <w:sz w:val="24"/>
          <w:szCs w:val="24"/>
          <w:highlight w:val="none"/>
        </w:rPr>
        <w:t>附件：格式</w:t>
      </w:r>
    </w:p>
    <w:p>
      <w:pPr>
        <w:spacing w:line="400" w:lineRule="exact"/>
        <w:jc w:val="center"/>
        <w:rPr>
          <w:rFonts w:cs="宋体" w:asciiTheme="minorEastAsia" w:hAnsiTheme="minorEastAsia" w:eastAsiaTheme="minorEastAsia"/>
          <w:b/>
          <w:color w:val="auto"/>
          <w:sz w:val="30"/>
          <w:szCs w:val="30"/>
          <w:highlight w:val="none"/>
        </w:rPr>
      </w:pPr>
      <w:bookmarkStart w:id="320" w:name="_Toc27536"/>
      <w:bookmarkStart w:id="321" w:name="_Toc7596"/>
    </w:p>
    <w:p>
      <w:pPr>
        <w:spacing w:line="400" w:lineRule="exact"/>
        <w:jc w:val="center"/>
        <w:outlineLvl w:val="1"/>
        <w:rPr>
          <w:rFonts w:cs="宋体" w:asciiTheme="minorEastAsia" w:hAnsiTheme="minorEastAsia" w:eastAsiaTheme="minorEastAsia"/>
          <w:b/>
          <w:color w:val="auto"/>
          <w:sz w:val="30"/>
          <w:szCs w:val="30"/>
          <w:highlight w:val="none"/>
        </w:rPr>
      </w:pPr>
      <w:bookmarkStart w:id="322" w:name="_Toc2546"/>
      <w:bookmarkStart w:id="323" w:name="_Toc20021"/>
      <w:bookmarkStart w:id="324" w:name="_Toc75948187"/>
      <w:bookmarkStart w:id="325" w:name="_Toc18499"/>
      <w:r>
        <w:rPr>
          <w:rFonts w:hint="eastAsia" w:cs="宋体" w:asciiTheme="minorEastAsia" w:hAnsiTheme="minorEastAsia" w:eastAsiaTheme="minorEastAsia"/>
          <w:b/>
          <w:color w:val="auto"/>
          <w:sz w:val="30"/>
          <w:szCs w:val="30"/>
          <w:highlight w:val="none"/>
        </w:rPr>
        <w:t>技术偏离表</w:t>
      </w:r>
      <w:bookmarkEnd w:id="320"/>
      <w:bookmarkEnd w:id="321"/>
      <w:bookmarkEnd w:id="322"/>
      <w:bookmarkEnd w:id="323"/>
      <w:bookmarkEnd w:id="324"/>
      <w:bookmarkEnd w:id="325"/>
    </w:p>
    <w:p>
      <w:pPr>
        <w:pStyle w:val="2"/>
        <w:rPr>
          <w:rFonts w:asciiTheme="minorEastAsia" w:hAnsiTheme="minorEastAsia" w:eastAsiaTheme="minorEastAsia"/>
          <w:color w:val="auto"/>
          <w:highlight w:val="none"/>
        </w:rPr>
      </w:pPr>
    </w:p>
    <w:tbl>
      <w:tblPr>
        <w:tblStyle w:val="24"/>
        <w:tblW w:w="8325" w:type="dxa"/>
        <w:tblInd w:w="1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725"/>
        <w:gridCol w:w="2988"/>
        <w:gridCol w:w="17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725" w:type="dxa"/>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招标文件章节及条款号</w:t>
            </w:r>
          </w:p>
        </w:tc>
        <w:tc>
          <w:tcPr>
            <w:tcW w:w="2988" w:type="dxa"/>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投标文件章节及条款号</w:t>
            </w:r>
          </w:p>
        </w:tc>
        <w:tc>
          <w:tcPr>
            <w:tcW w:w="1700" w:type="dxa"/>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偏差说明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2725" w:type="dxa"/>
          </w:tcPr>
          <w:p>
            <w:pPr>
              <w:spacing w:line="440" w:lineRule="exact"/>
              <w:rPr>
                <w:rFonts w:ascii="黑体" w:hAnsi="黑体" w:eastAsia="黑体"/>
                <w:b/>
                <w:color w:val="auto"/>
                <w:sz w:val="32"/>
                <w:highlight w:val="none"/>
              </w:rPr>
            </w:pPr>
          </w:p>
        </w:tc>
        <w:tc>
          <w:tcPr>
            <w:tcW w:w="2988" w:type="dxa"/>
          </w:tcPr>
          <w:p>
            <w:pPr>
              <w:spacing w:line="440" w:lineRule="exact"/>
              <w:rPr>
                <w:rFonts w:ascii="黑体" w:hAnsi="黑体" w:eastAsia="黑体"/>
                <w:b/>
                <w:color w:val="auto"/>
                <w:sz w:val="32"/>
                <w:highlight w:val="none"/>
              </w:rPr>
            </w:pPr>
          </w:p>
        </w:tc>
        <w:tc>
          <w:tcPr>
            <w:tcW w:w="1700" w:type="dxa"/>
          </w:tcPr>
          <w:p>
            <w:pPr>
              <w:spacing w:line="440" w:lineRule="exact"/>
              <w:rPr>
                <w:rFonts w:ascii="黑体" w:hAnsi="黑体" w:eastAsia="黑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2725" w:type="dxa"/>
          </w:tcPr>
          <w:p>
            <w:pPr>
              <w:spacing w:line="440" w:lineRule="exact"/>
              <w:rPr>
                <w:rFonts w:ascii="黑体" w:hAnsi="黑体" w:eastAsia="黑体"/>
                <w:b/>
                <w:color w:val="auto"/>
                <w:sz w:val="32"/>
                <w:highlight w:val="none"/>
              </w:rPr>
            </w:pPr>
          </w:p>
        </w:tc>
        <w:tc>
          <w:tcPr>
            <w:tcW w:w="2988" w:type="dxa"/>
          </w:tcPr>
          <w:p>
            <w:pPr>
              <w:spacing w:line="440" w:lineRule="exact"/>
              <w:rPr>
                <w:rFonts w:ascii="黑体" w:hAnsi="黑体" w:eastAsia="黑体"/>
                <w:b/>
                <w:color w:val="auto"/>
                <w:sz w:val="32"/>
                <w:highlight w:val="none"/>
              </w:rPr>
            </w:pPr>
          </w:p>
        </w:tc>
        <w:tc>
          <w:tcPr>
            <w:tcW w:w="1700" w:type="dxa"/>
          </w:tcPr>
          <w:p>
            <w:pPr>
              <w:spacing w:line="440" w:lineRule="exact"/>
              <w:rPr>
                <w:rFonts w:ascii="黑体" w:hAnsi="黑体" w:eastAsia="黑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2725" w:type="dxa"/>
          </w:tcPr>
          <w:p>
            <w:pPr>
              <w:spacing w:line="440" w:lineRule="exact"/>
              <w:rPr>
                <w:rFonts w:ascii="黑体" w:hAnsi="黑体" w:eastAsia="黑体"/>
                <w:b/>
                <w:color w:val="auto"/>
                <w:sz w:val="32"/>
                <w:highlight w:val="none"/>
              </w:rPr>
            </w:pPr>
          </w:p>
        </w:tc>
        <w:tc>
          <w:tcPr>
            <w:tcW w:w="2988" w:type="dxa"/>
          </w:tcPr>
          <w:p>
            <w:pPr>
              <w:spacing w:line="440" w:lineRule="exact"/>
              <w:rPr>
                <w:rFonts w:ascii="黑体" w:hAnsi="黑体" w:eastAsia="黑体"/>
                <w:b/>
                <w:color w:val="auto"/>
                <w:sz w:val="32"/>
                <w:highlight w:val="none"/>
              </w:rPr>
            </w:pPr>
          </w:p>
        </w:tc>
        <w:tc>
          <w:tcPr>
            <w:tcW w:w="1700" w:type="dxa"/>
          </w:tcPr>
          <w:p>
            <w:pPr>
              <w:spacing w:line="440" w:lineRule="exact"/>
              <w:rPr>
                <w:rFonts w:ascii="黑体" w:hAnsi="黑体" w:eastAsia="黑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4</w:t>
            </w:r>
          </w:p>
        </w:tc>
        <w:tc>
          <w:tcPr>
            <w:tcW w:w="2725" w:type="dxa"/>
          </w:tcPr>
          <w:p>
            <w:pPr>
              <w:spacing w:line="440" w:lineRule="exact"/>
              <w:rPr>
                <w:rFonts w:ascii="黑体" w:hAnsi="黑体" w:eastAsia="黑体"/>
                <w:b/>
                <w:color w:val="auto"/>
                <w:sz w:val="32"/>
                <w:highlight w:val="none"/>
              </w:rPr>
            </w:pPr>
          </w:p>
        </w:tc>
        <w:tc>
          <w:tcPr>
            <w:tcW w:w="2988" w:type="dxa"/>
          </w:tcPr>
          <w:p>
            <w:pPr>
              <w:spacing w:line="440" w:lineRule="exact"/>
              <w:rPr>
                <w:rFonts w:ascii="黑体" w:hAnsi="黑体" w:eastAsia="黑体"/>
                <w:b/>
                <w:color w:val="auto"/>
                <w:sz w:val="32"/>
                <w:highlight w:val="none"/>
              </w:rPr>
            </w:pPr>
          </w:p>
        </w:tc>
        <w:tc>
          <w:tcPr>
            <w:tcW w:w="1700" w:type="dxa"/>
          </w:tcPr>
          <w:p>
            <w:pPr>
              <w:spacing w:line="440" w:lineRule="exact"/>
              <w:rPr>
                <w:rFonts w:ascii="黑体" w:hAnsi="黑体" w:eastAsia="黑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5</w:t>
            </w:r>
          </w:p>
        </w:tc>
        <w:tc>
          <w:tcPr>
            <w:tcW w:w="2725" w:type="dxa"/>
          </w:tcPr>
          <w:p>
            <w:pPr>
              <w:spacing w:line="440" w:lineRule="exact"/>
              <w:rPr>
                <w:rFonts w:ascii="黑体" w:hAnsi="黑体" w:eastAsia="黑体"/>
                <w:b/>
                <w:color w:val="auto"/>
                <w:sz w:val="32"/>
                <w:highlight w:val="none"/>
              </w:rPr>
            </w:pPr>
          </w:p>
        </w:tc>
        <w:tc>
          <w:tcPr>
            <w:tcW w:w="2988" w:type="dxa"/>
          </w:tcPr>
          <w:p>
            <w:pPr>
              <w:spacing w:line="440" w:lineRule="exact"/>
              <w:rPr>
                <w:rFonts w:ascii="黑体" w:hAnsi="黑体" w:eastAsia="黑体"/>
                <w:b/>
                <w:color w:val="auto"/>
                <w:sz w:val="32"/>
                <w:highlight w:val="none"/>
              </w:rPr>
            </w:pPr>
          </w:p>
        </w:tc>
        <w:tc>
          <w:tcPr>
            <w:tcW w:w="1700" w:type="dxa"/>
          </w:tcPr>
          <w:p>
            <w:pPr>
              <w:spacing w:line="440" w:lineRule="exact"/>
              <w:rPr>
                <w:rFonts w:ascii="黑体" w:hAnsi="黑体" w:eastAsia="黑体"/>
                <w:b/>
                <w:color w:val="auto"/>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w:t>
            </w:r>
          </w:p>
        </w:tc>
        <w:tc>
          <w:tcPr>
            <w:tcW w:w="2725" w:type="dxa"/>
          </w:tcPr>
          <w:p>
            <w:pPr>
              <w:spacing w:line="440" w:lineRule="exact"/>
              <w:rPr>
                <w:rFonts w:ascii="黑体" w:hAnsi="黑体" w:eastAsia="黑体"/>
                <w:b/>
                <w:color w:val="auto"/>
                <w:sz w:val="32"/>
                <w:highlight w:val="none"/>
              </w:rPr>
            </w:pPr>
          </w:p>
        </w:tc>
        <w:tc>
          <w:tcPr>
            <w:tcW w:w="2988" w:type="dxa"/>
          </w:tcPr>
          <w:p>
            <w:pPr>
              <w:spacing w:line="440" w:lineRule="exact"/>
              <w:rPr>
                <w:rFonts w:ascii="黑体" w:hAnsi="黑体" w:eastAsia="黑体"/>
                <w:b/>
                <w:color w:val="auto"/>
                <w:sz w:val="32"/>
                <w:highlight w:val="none"/>
              </w:rPr>
            </w:pPr>
          </w:p>
        </w:tc>
        <w:tc>
          <w:tcPr>
            <w:tcW w:w="1700" w:type="dxa"/>
          </w:tcPr>
          <w:p>
            <w:pPr>
              <w:spacing w:line="440" w:lineRule="exact"/>
              <w:rPr>
                <w:rFonts w:ascii="黑体" w:hAnsi="黑体" w:eastAsia="黑体"/>
                <w:b/>
                <w:color w:val="auto"/>
                <w:sz w:val="32"/>
                <w:highlight w:val="none"/>
              </w:rPr>
            </w:pPr>
          </w:p>
        </w:tc>
      </w:tr>
    </w:tbl>
    <w:p>
      <w:pPr>
        <w:spacing w:line="440" w:lineRule="exact"/>
        <w:rPr>
          <w:rFonts w:asciiTheme="minorEastAsia" w:hAnsiTheme="minorEastAsia" w:eastAsiaTheme="minorEastAsia"/>
          <w:color w:val="auto"/>
          <w:szCs w:val="21"/>
          <w:highlight w:val="none"/>
          <w:u w:val="single"/>
        </w:rPr>
      </w:pPr>
      <w:r>
        <w:rPr>
          <w:rFonts w:hint="eastAsia" w:asciiTheme="minorEastAsia" w:hAnsiTheme="minorEastAsia" w:eastAsiaTheme="minorEastAsia"/>
          <w:b/>
          <w:bCs/>
          <w:color w:val="auto"/>
          <w:highlight w:val="none"/>
        </w:rPr>
        <w:t>供应商</w:t>
      </w:r>
      <w:r>
        <w:rPr>
          <w:rFonts w:asciiTheme="minorEastAsia" w:hAnsiTheme="minorEastAsia" w:eastAsiaTheme="minorEastAsia"/>
          <w:b/>
          <w:bCs/>
          <w:color w:val="auto"/>
          <w:highlight w:val="none"/>
        </w:rPr>
        <w:t>保证：除</w:t>
      </w:r>
      <w:r>
        <w:rPr>
          <w:rFonts w:hint="eastAsia" w:asciiTheme="minorEastAsia" w:hAnsiTheme="minorEastAsia" w:eastAsiaTheme="minorEastAsia"/>
          <w:b/>
          <w:bCs/>
          <w:color w:val="auto"/>
          <w:highlight w:val="none"/>
        </w:rPr>
        <w:t>技术偏离</w:t>
      </w:r>
      <w:r>
        <w:rPr>
          <w:rFonts w:asciiTheme="minorEastAsia" w:hAnsiTheme="minorEastAsia" w:eastAsiaTheme="minorEastAsia"/>
          <w:b/>
          <w:bCs/>
          <w:color w:val="auto"/>
          <w:highlight w:val="none"/>
        </w:rPr>
        <w:t>表列出的偏差外，</w:t>
      </w:r>
      <w:r>
        <w:rPr>
          <w:rFonts w:hint="eastAsia" w:asciiTheme="minorEastAsia" w:hAnsiTheme="minorEastAsia" w:eastAsiaTheme="minorEastAsia"/>
          <w:b/>
          <w:bCs/>
          <w:color w:val="auto"/>
          <w:highlight w:val="none"/>
        </w:rPr>
        <w:t>供应商</w:t>
      </w:r>
      <w:r>
        <w:rPr>
          <w:rFonts w:asciiTheme="minorEastAsia" w:hAnsiTheme="minorEastAsia" w:eastAsiaTheme="minorEastAsia"/>
          <w:b/>
          <w:bCs/>
          <w:color w:val="auto"/>
          <w:highlight w:val="none"/>
        </w:rPr>
        <w:t>响应招标文件的全部要求。</w:t>
      </w:r>
    </w:p>
    <w:p>
      <w:pPr>
        <w:spacing w:line="360" w:lineRule="auto"/>
        <w:rPr>
          <w:rFonts w:asciiTheme="minorEastAsia" w:hAnsiTheme="minorEastAsia" w:eastAsiaTheme="minorEastAsia"/>
          <w:b/>
          <w:bCs/>
          <w:color w:val="auto"/>
          <w:sz w:val="24"/>
          <w:szCs w:val="24"/>
          <w:highlight w:val="none"/>
        </w:rPr>
      </w:pPr>
    </w:p>
    <w:p>
      <w:pPr>
        <w:snapToGrid w:val="0"/>
        <w:spacing w:line="300" w:lineRule="auto"/>
        <w:rPr>
          <w:rFonts w:asciiTheme="minorEastAsia" w:hAnsiTheme="minorEastAsia" w:eastAsiaTheme="minorEastAsia"/>
          <w:color w:val="auto"/>
          <w:szCs w:val="21"/>
          <w:highlight w:val="none"/>
        </w:rPr>
      </w:pPr>
    </w:p>
    <w:p>
      <w:pPr>
        <w:snapToGrid w:val="0"/>
        <w:spacing w:line="300" w:lineRule="auto"/>
        <w:rPr>
          <w:rFonts w:asciiTheme="minorEastAsia" w:hAnsiTheme="minorEastAsia" w:eastAsiaTheme="minorEastAsia"/>
          <w:color w:val="auto"/>
          <w:szCs w:val="21"/>
          <w:highlight w:val="none"/>
        </w:rPr>
      </w:pPr>
    </w:p>
    <w:p>
      <w:pPr>
        <w:snapToGrid w:val="0"/>
        <w:spacing w:line="30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法定代表人或授权代表（签字或盖章）</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（单位公章）</w:t>
      </w:r>
    </w:p>
    <w:p>
      <w:pPr>
        <w:snapToGrid w:val="0"/>
        <w:spacing w:line="300" w:lineRule="auto"/>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spacing w:line="360" w:lineRule="auto"/>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日期：</w:t>
      </w:r>
      <w:r>
        <w:rPr>
          <w:rFonts w:hint="eastAsia" w:asciiTheme="minorEastAsia" w:hAnsiTheme="minorEastAsia" w:eastAsiaTheme="minorEastAsia"/>
          <w:color w:val="auto"/>
          <w:szCs w:val="21"/>
          <w:highlight w:val="none"/>
          <w:u w:val="single"/>
        </w:rPr>
        <w:t xml:space="preserve">                    </w:t>
      </w:r>
    </w:p>
    <w:p>
      <w:pPr>
        <w:spacing w:after="120"/>
        <w:rPr>
          <w:rFonts w:cs="宋体" w:asciiTheme="minorEastAsia" w:hAnsiTheme="minorEastAsia" w:eastAsiaTheme="minorEastAsia"/>
          <w:b/>
          <w:bCs/>
          <w:color w:val="auto"/>
          <w:sz w:val="24"/>
          <w:szCs w:val="24"/>
          <w:highlight w:val="none"/>
        </w:rPr>
        <w:sectPr>
          <w:pgSz w:w="11906" w:h="16838"/>
          <w:pgMar w:top="1440" w:right="1797" w:bottom="1440" w:left="1797" w:header="851" w:footer="851" w:gutter="0"/>
          <w:cols w:space="720" w:num="1"/>
          <w:docGrid w:linePitch="312" w:charSpace="0"/>
        </w:sectPr>
      </w:pPr>
      <w:r>
        <w:rPr>
          <w:rFonts w:cs="宋体" w:asciiTheme="minorEastAsia" w:hAnsiTheme="minorEastAsia" w:eastAsiaTheme="minorEastAsia"/>
          <w:b/>
          <w:bCs/>
          <w:color w:val="auto"/>
          <w:sz w:val="24"/>
          <w:szCs w:val="24"/>
          <w:highlight w:val="none"/>
        </w:rPr>
        <w:br w:type="page"/>
      </w:r>
    </w:p>
    <w:p>
      <w:pPr>
        <w:spacing w:after="12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b/>
          <w:color w:val="auto"/>
          <w:sz w:val="24"/>
          <w:szCs w:val="24"/>
          <w:highlight w:val="none"/>
        </w:rPr>
        <w:t>附件：格式</w:t>
      </w:r>
    </w:p>
    <w:p>
      <w:pPr>
        <w:spacing w:line="400" w:lineRule="exact"/>
        <w:jc w:val="center"/>
        <w:outlineLvl w:val="1"/>
        <w:rPr>
          <w:rFonts w:asciiTheme="minorEastAsia" w:hAnsiTheme="minorEastAsia" w:eastAsiaTheme="minorEastAsia"/>
          <w:b/>
          <w:color w:val="auto"/>
          <w:sz w:val="30"/>
          <w:szCs w:val="30"/>
          <w:highlight w:val="none"/>
        </w:rPr>
      </w:pPr>
      <w:bookmarkStart w:id="326" w:name="_Toc75948188"/>
      <w:bookmarkStart w:id="327" w:name="_Toc7306"/>
      <w:bookmarkStart w:id="328" w:name="_Toc2495"/>
      <w:r>
        <w:rPr>
          <w:rFonts w:hint="eastAsia" w:asciiTheme="minorEastAsia" w:hAnsiTheme="minorEastAsia" w:eastAsiaTheme="minorEastAsia"/>
          <w:b/>
          <w:color w:val="auto"/>
          <w:sz w:val="30"/>
          <w:szCs w:val="30"/>
          <w:highlight w:val="none"/>
        </w:rPr>
        <w:t>供货一览表</w:t>
      </w:r>
      <w:bookmarkEnd w:id="326"/>
      <w:bookmarkEnd w:id="327"/>
      <w:bookmarkEnd w:id="328"/>
    </w:p>
    <w:p>
      <w:pPr>
        <w:pStyle w:val="2"/>
        <w:rPr>
          <w:rFonts w:asciiTheme="minorEastAsia" w:hAnsiTheme="minorEastAsia" w:eastAsiaTheme="minorEastAsia"/>
          <w:color w:val="auto"/>
          <w:highlight w:val="none"/>
        </w:rPr>
      </w:pPr>
    </w:p>
    <w:tbl>
      <w:tblPr>
        <w:tblStyle w:val="24"/>
        <w:tblW w:w="1401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55"/>
        <w:gridCol w:w="1794"/>
        <w:gridCol w:w="1794"/>
        <w:gridCol w:w="950"/>
        <w:gridCol w:w="3467"/>
        <w:gridCol w:w="950"/>
        <w:gridCol w:w="1371"/>
        <w:gridCol w:w="1791"/>
        <w:gridCol w:w="9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955"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序号</w:t>
            </w:r>
          </w:p>
        </w:tc>
        <w:tc>
          <w:tcPr>
            <w:tcW w:w="1794"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货物名称</w:t>
            </w:r>
          </w:p>
        </w:tc>
        <w:tc>
          <w:tcPr>
            <w:tcW w:w="1794"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规格型号</w:t>
            </w:r>
          </w:p>
        </w:tc>
        <w:tc>
          <w:tcPr>
            <w:tcW w:w="950"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品牌</w:t>
            </w:r>
          </w:p>
        </w:tc>
        <w:tc>
          <w:tcPr>
            <w:tcW w:w="3467"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原产地及制造厂名</w:t>
            </w:r>
          </w:p>
        </w:tc>
        <w:tc>
          <w:tcPr>
            <w:tcW w:w="950"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数量</w:t>
            </w:r>
          </w:p>
        </w:tc>
        <w:tc>
          <w:tcPr>
            <w:tcW w:w="1371" w:type="dxa"/>
            <w:vAlign w:val="center"/>
          </w:tcPr>
          <w:p>
            <w:pPr>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交货期</w:t>
            </w:r>
          </w:p>
        </w:tc>
        <w:tc>
          <w:tcPr>
            <w:tcW w:w="1791" w:type="dxa"/>
            <w:vAlign w:val="center"/>
          </w:tcPr>
          <w:p>
            <w:pPr>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交货地点</w:t>
            </w:r>
          </w:p>
        </w:tc>
        <w:tc>
          <w:tcPr>
            <w:tcW w:w="942" w:type="dxa"/>
            <w:vAlign w:val="center"/>
          </w:tcPr>
          <w:p>
            <w:pPr>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955"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794"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794" w:type="dxa"/>
            <w:vAlign w:val="center"/>
          </w:tcPr>
          <w:p>
            <w:pPr>
              <w:snapToGrid w:val="0"/>
              <w:jc w:val="center"/>
              <w:rPr>
                <w:rFonts w:cs="宋体" w:asciiTheme="minorEastAsia" w:hAnsiTheme="minorEastAsia" w:eastAsiaTheme="minorEastAsia"/>
                <w:color w:val="auto"/>
                <w:szCs w:val="21"/>
                <w:highlight w:val="none"/>
              </w:rPr>
            </w:pPr>
          </w:p>
        </w:tc>
        <w:tc>
          <w:tcPr>
            <w:tcW w:w="950" w:type="dxa"/>
            <w:vAlign w:val="center"/>
          </w:tcPr>
          <w:p>
            <w:pPr>
              <w:snapToGrid w:val="0"/>
              <w:jc w:val="center"/>
              <w:rPr>
                <w:rFonts w:cs="宋体" w:asciiTheme="minorEastAsia" w:hAnsiTheme="minorEastAsia" w:eastAsiaTheme="minorEastAsia"/>
                <w:color w:val="auto"/>
                <w:szCs w:val="21"/>
                <w:highlight w:val="none"/>
              </w:rPr>
            </w:pPr>
          </w:p>
        </w:tc>
        <w:tc>
          <w:tcPr>
            <w:tcW w:w="3467" w:type="dxa"/>
            <w:vAlign w:val="center"/>
          </w:tcPr>
          <w:p>
            <w:pPr>
              <w:snapToGrid w:val="0"/>
              <w:jc w:val="center"/>
              <w:rPr>
                <w:rFonts w:cs="宋体" w:asciiTheme="minorEastAsia" w:hAnsiTheme="minorEastAsia" w:eastAsiaTheme="minorEastAsia"/>
                <w:color w:val="auto"/>
                <w:szCs w:val="21"/>
                <w:highlight w:val="none"/>
              </w:rPr>
            </w:pPr>
          </w:p>
        </w:tc>
        <w:tc>
          <w:tcPr>
            <w:tcW w:w="950"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371" w:type="dxa"/>
            <w:vAlign w:val="center"/>
          </w:tcPr>
          <w:p>
            <w:pPr>
              <w:snapToGrid w:val="0"/>
              <w:jc w:val="center"/>
              <w:rPr>
                <w:rFonts w:cs="宋体" w:asciiTheme="minorEastAsia" w:hAnsiTheme="minorEastAsia" w:eastAsiaTheme="minorEastAsia"/>
                <w:color w:val="auto"/>
                <w:szCs w:val="21"/>
                <w:highlight w:val="none"/>
              </w:rPr>
            </w:pPr>
          </w:p>
        </w:tc>
        <w:tc>
          <w:tcPr>
            <w:tcW w:w="1791" w:type="dxa"/>
            <w:vAlign w:val="center"/>
          </w:tcPr>
          <w:p>
            <w:pPr>
              <w:snapToGrid w:val="0"/>
              <w:jc w:val="center"/>
              <w:rPr>
                <w:rFonts w:cs="宋体" w:asciiTheme="minorEastAsia" w:hAnsiTheme="minorEastAsia" w:eastAsiaTheme="minorEastAsia"/>
                <w:color w:val="auto"/>
                <w:szCs w:val="21"/>
                <w:highlight w:val="none"/>
              </w:rPr>
            </w:pPr>
          </w:p>
        </w:tc>
        <w:tc>
          <w:tcPr>
            <w:tcW w:w="942" w:type="dxa"/>
            <w:vAlign w:val="center"/>
          </w:tcPr>
          <w:p>
            <w:pPr>
              <w:snapToGrid w:val="0"/>
              <w:jc w:val="center"/>
              <w:rPr>
                <w:rFonts w:cs="宋体"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955"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794"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794" w:type="dxa"/>
            <w:vAlign w:val="center"/>
          </w:tcPr>
          <w:p>
            <w:pPr>
              <w:snapToGrid w:val="0"/>
              <w:jc w:val="center"/>
              <w:rPr>
                <w:rFonts w:cs="宋体" w:asciiTheme="minorEastAsia" w:hAnsiTheme="minorEastAsia" w:eastAsiaTheme="minorEastAsia"/>
                <w:color w:val="auto"/>
                <w:szCs w:val="21"/>
                <w:highlight w:val="none"/>
              </w:rPr>
            </w:pPr>
          </w:p>
        </w:tc>
        <w:tc>
          <w:tcPr>
            <w:tcW w:w="950" w:type="dxa"/>
            <w:vAlign w:val="center"/>
          </w:tcPr>
          <w:p>
            <w:pPr>
              <w:snapToGrid w:val="0"/>
              <w:jc w:val="center"/>
              <w:rPr>
                <w:rFonts w:cs="宋体" w:asciiTheme="minorEastAsia" w:hAnsiTheme="minorEastAsia" w:eastAsiaTheme="minorEastAsia"/>
                <w:color w:val="auto"/>
                <w:szCs w:val="21"/>
                <w:highlight w:val="none"/>
              </w:rPr>
            </w:pPr>
          </w:p>
        </w:tc>
        <w:tc>
          <w:tcPr>
            <w:tcW w:w="3467" w:type="dxa"/>
            <w:vAlign w:val="center"/>
          </w:tcPr>
          <w:p>
            <w:pPr>
              <w:snapToGrid w:val="0"/>
              <w:jc w:val="center"/>
              <w:rPr>
                <w:rFonts w:cs="宋体" w:asciiTheme="minorEastAsia" w:hAnsiTheme="minorEastAsia" w:eastAsiaTheme="minorEastAsia"/>
                <w:color w:val="auto"/>
                <w:szCs w:val="21"/>
                <w:highlight w:val="none"/>
              </w:rPr>
            </w:pPr>
          </w:p>
        </w:tc>
        <w:tc>
          <w:tcPr>
            <w:tcW w:w="950"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371" w:type="dxa"/>
            <w:vAlign w:val="center"/>
          </w:tcPr>
          <w:p>
            <w:pPr>
              <w:snapToGrid w:val="0"/>
              <w:jc w:val="center"/>
              <w:rPr>
                <w:rFonts w:cs="宋体" w:asciiTheme="minorEastAsia" w:hAnsiTheme="minorEastAsia" w:eastAsiaTheme="minorEastAsia"/>
                <w:color w:val="auto"/>
                <w:szCs w:val="21"/>
                <w:highlight w:val="none"/>
              </w:rPr>
            </w:pPr>
          </w:p>
        </w:tc>
        <w:tc>
          <w:tcPr>
            <w:tcW w:w="1791" w:type="dxa"/>
            <w:vAlign w:val="center"/>
          </w:tcPr>
          <w:p>
            <w:pPr>
              <w:snapToGrid w:val="0"/>
              <w:jc w:val="center"/>
              <w:rPr>
                <w:rFonts w:cs="宋体" w:asciiTheme="minorEastAsia" w:hAnsiTheme="minorEastAsia" w:eastAsiaTheme="minorEastAsia"/>
                <w:color w:val="auto"/>
                <w:szCs w:val="21"/>
                <w:highlight w:val="none"/>
              </w:rPr>
            </w:pPr>
          </w:p>
        </w:tc>
        <w:tc>
          <w:tcPr>
            <w:tcW w:w="942" w:type="dxa"/>
            <w:vAlign w:val="center"/>
          </w:tcPr>
          <w:p>
            <w:pPr>
              <w:snapToGrid w:val="0"/>
              <w:jc w:val="center"/>
              <w:rPr>
                <w:rFonts w:cs="宋体"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955"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794"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794" w:type="dxa"/>
            <w:vAlign w:val="center"/>
          </w:tcPr>
          <w:p>
            <w:pPr>
              <w:snapToGrid w:val="0"/>
              <w:jc w:val="center"/>
              <w:rPr>
                <w:rFonts w:cs="宋体" w:asciiTheme="minorEastAsia" w:hAnsiTheme="minorEastAsia" w:eastAsiaTheme="minorEastAsia"/>
                <w:color w:val="auto"/>
                <w:szCs w:val="21"/>
                <w:highlight w:val="none"/>
              </w:rPr>
            </w:pPr>
          </w:p>
        </w:tc>
        <w:tc>
          <w:tcPr>
            <w:tcW w:w="950" w:type="dxa"/>
            <w:vAlign w:val="center"/>
          </w:tcPr>
          <w:p>
            <w:pPr>
              <w:snapToGrid w:val="0"/>
              <w:jc w:val="center"/>
              <w:rPr>
                <w:rFonts w:cs="宋体" w:asciiTheme="minorEastAsia" w:hAnsiTheme="minorEastAsia" w:eastAsiaTheme="minorEastAsia"/>
                <w:color w:val="auto"/>
                <w:szCs w:val="21"/>
                <w:highlight w:val="none"/>
              </w:rPr>
            </w:pPr>
          </w:p>
        </w:tc>
        <w:tc>
          <w:tcPr>
            <w:tcW w:w="3467" w:type="dxa"/>
            <w:vAlign w:val="center"/>
          </w:tcPr>
          <w:p>
            <w:pPr>
              <w:snapToGrid w:val="0"/>
              <w:jc w:val="center"/>
              <w:rPr>
                <w:rFonts w:cs="宋体" w:asciiTheme="minorEastAsia" w:hAnsiTheme="minorEastAsia" w:eastAsiaTheme="minorEastAsia"/>
                <w:color w:val="auto"/>
                <w:szCs w:val="21"/>
                <w:highlight w:val="none"/>
              </w:rPr>
            </w:pPr>
          </w:p>
        </w:tc>
        <w:tc>
          <w:tcPr>
            <w:tcW w:w="950"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371" w:type="dxa"/>
            <w:vAlign w:val="center"/>
          </w:tcPr>
          <w:p>
            <w:pPr>
              <w:snapToGrid w:val="0"/>
              <w:jc w:val="center"/>
              <w:rPr>
                <w:rFonts w:cs="宋体" w:asciiTheme="minorEastAsia" w:hAnsiTheme="minorEastAsia" w:eastAsiaTheme="minorEastAsia"/>
                <w:color w:val="auto"/>
                <w:szCs w:val="21"/>
                <w:highlight w:val="none"/>
              </w:rPr>
            </w:pPr>
          </w:p>
        </w:tc>
        <w:tc>
          <w:tcPr>
            <w:tcW w:w="1791" w:type="dxa"/>
            <w:vAlign w:val="center"/>
          </w:tcPr>
          <w:p>
            <w:pPr>
              <w:snapToGrid w:val="0"/>
              <w:jc w:val="center"/>
              <w:rPr>
                <w:rFonts w:cs="宋体" w:asciiTheme="minorEastAsia" w:hAnsiTheme="minorEastAsia" w:eastAsiaTheme="minorEastAsia"/>
                <w:color w:val="auto"/>
                <w:szCs w:val="21"/>
                <w:highlight w:val="none"/>
              </w:rPr>
            </w:pPr>
          </w:p>
        </w:tc>
        <w:tc>
          <w:tcPr>
            <w:tcW w:w="942" w:type="dxa"/>
            <w:vAlign w:val="center"/>
          </w:tcPr>
          <w:p>
            <w:pPr>
              <w:snapToGrid w:val="0"/>
              <w:jc w:val="center"/>
              <w:rPr>
                <w:rFonts w:cs="宋体"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955"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794"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794" w:type="dxa"/>
            <w:vAlign w:val="center"/>
          </w:tcPr>
          <w:p>
            <w:pPr>
              <w:snapToGrid w:val="0"/>
              <w:jc w:val="center"/>
              <w:rPr>
                <w:rFonts w:cs="宋体" w:asciiTheme="minorEastAsia" w:hAnsiTheme="minorEastAsia" w:eastAsiaTheme="minorEastAsia"/>
                <w:color w:val="auto"/>
                <w:szCs w:val="21"/>
                <w:highlight w:val="none"/>
              </w:rPr>
            </w:pPr>
          </w:p>
        </w:tc>
        <w:tc>
          <w:tcPr>
            <w:tcW w:w="950" w:type="dxa"/>
            <w:vAlign w:val="center"/>
          </w:tcPr>
          <w:p>
            <w:pPr>
              <w:snapToGrid w:val="0"/>
              <w:jc w:val="center"/>
              <w:rPr>
                <w:rFonts w:cs="宋体" w:asciiTheme="minorEastAsia" w:hAnsiTheme="minorEastAsia" w:eastAsiaTheme="minorEastAsia"/>
                <w:color w:val="auto"/>
                <w:szCs w:val="21"/>
                <w:highlight w:val="none"/>
              </w:rPr>
            </w:pPr>
          </w:p>
        </w:tc>
        <w:tc>
          <w:tcPr>
            <w:tcW w:w="3467" w:type="dxa"/>
            <w:vAlign w:val="center"/>
          </w:tcPr>
          <w:p>
            <w:pPr>
              <w:snapToGrid w:val="0"/>
              <w:jc w:val="center"/>
              <w:rPr>
                <w:rFonts w:cs="宋体" w:asciiTheme="minorEastAsia" w:hAnsiTheme="minorEastAsia" w:eastAsiaTheme="minorEastAsia"/>
                <w:color w:val="auto"/>
                <w:szCs w:val="21"/>
                <w:highlight w:val="none"/>
              </w:rPr>
            </w:pPr>
          </w:p>
        </w:tc>
        <w:tc>
          <w:tcPr>
            <w:tcW w:w="950" w:type="dxa"/>
            <w:vAlign w:val="center"/>
          </w:tcPr>
          <w:p>
            <w:pPr>
              <w:widowControl/>
              <w:jc w:val="center"/>
              <w:textAlignment w:val="center"/>
              <w:rPr>
                <w:rFonts w:cs="宋体" w:asciiTheme="minorEastAsia" w:hAnsiTheme="minorEastAsia" w:eastAsiaTheme="minorEastAsia"/>
                <w:color w:val="auto"/>
                <w:szCs w:val="21"/>
                <w:highlight w:val="none"/>
              </w:rPr>
            </w:pPr>
          </w:p>
        </w:tc>
        <w:tc>
          <w:tcPr>
            <w:tcW w:w="1371" w:type="dxa"/>
            <w:vAlign w:val="center"/>
          </w:tcPr>
          <w:p>
            <w:pPr>
              <w:snapToGrid w:val="0"/>
              <w:jc w:val="center"/>
              <w:rPr>
                <w:rFonts w:cs="宋体" w:asciiTheme="minorEastAsia" w:hAnsiTheme="minorEastAsia" w:eastAsiaTheme="minorEastAsia"/>
                <w:color w:val="auto"/>
                <w:szCs w:val="21"/>
                <w:highlight w:val="none"/>
              </w:rPr>
            </w:pPr>
          </w:p>
        </w:tc>
        <w:tc>
          <w:tcPr>
            <w:tcW w:w="1791" w:type="dxa"/>
            <w:vAlign w:val="center"/>
          </w:tcPr>
          <w:p>
            <w:pPr>
              <w:snapToGrid w:val="0"/>
              <w:jc w:val="center"/>
              <w:rPr>
                <w:rFonts w:cs="宋体" w:asciiTheme="minorEastAsia" w:hAnsiTheme="minorEastAsia" w:eastAsiaTheme="minorEastAsia"/>
                <w:color w:val="auto"/>
                <w:szCs w:val="21"/>
                <w:highlight w:val="none"/>
              </w:rPr>
            </w:pPr>
          </w:p>
        </w:tc>
        <w:tc>
          <w:tcPr>
            <w:tcW w:w="942" w:type="dxa"/>
            <w:vAlign w:val="center"/>
          </w:tcPr>
          <w:p>
            <w:pPr>
              <w:snapToGrid w:val="0"/>
              <w:jc w:val="center"/>
              <w:rPr>
                <w:rFonts w:cs="宋体"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955" w:type="dxa"/>
            <w:vAlign w:val="center"/>
          </w:tcPr>
          <w:p>
            <w:pPr>
              <w:widowControl/>
              <w:snapToGrid w:val="0"/>
              <w:jc w:val="center"/>
              <w:textAlignment w:val="center"/>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w:t>
            </w:r>
          </w:p>
        </w:tc>
        <w:tc>
          <w:tcPr>
            <w:tcW w:w="1794" w:type="dxa"/>
            <w:vAlign w:val="center"/>
          </w:tcPr>
          <w:p>
            <w:pPr>
              <w:widowControl/>
              <w:snapToGrid w:val="0"/>
              <w:jc w:val="center"/>
              <w:textAlignment w:val="center"/>
              <w:rPr>
                <w:rFonts w:cs="宋体" w:asciiTheme="minorEastAsia" w:hAnsiTheme="minorEastAsia" w:eastAsiaTheme="minorEastAsia"/>
                <w:color w:val="auto"/>
                <w:szCs w:val="21"/>
                <w:highlight w:val="none"/>
              </w:rPr>
            </w:pPr>
          </w:p>
        </w:tc>
        <w:tc>
          <w:tcPr>
            <w:tcW w:w="1794" w:type="dxa"/>
            <w:vAlign w:val="center"/>
          </w:tcPr>
          <w:p>
            <w:pPr>
              <w:snapToGrid w:val="0"/>
              <w:jc w:val="center"/>
              <w:rPr>
                <w:rFonts w:cs="宋体" w:asciiTheme="minorEastAsia" w:hAnsiTheme="minorEastAsia" w:eastAsiaTheme="minorEastAsia"/>
                <w:color w:val="auto"/>
                <w:szCs w:val="21"/>
                <w:highlight w:val="none"/>
              </w:rPr>
            </w:pPr>
          </w:p>
        </w:tc>
        <w:tc>
          <w:tcPr>
            <w:tcW w:w="950" w:type="dxa"/>
            <w:vAlign w:val="center"/>
          </w:tcPr>
          <w:p>
            <w:pPr>
              <w:snapToGrid w:val="0"/>
              <w:jc w:val="center"/>
              <w:rPr>
                <w:rFonts w:cs="宋体" w:asciiTheme="minorEastAsia" w:hAnsiTheme="minorEastAsia" w:eastAsiaTheme="minorEastAsia"/>
                <w:color w:val="auto"/>
                <w:szCs w:val="21"/>
                <w:highlight w:val="none"/>
              </w:rPr>
            </w:pPr>
          </w:p>
        </w:tc>
        <w:tc>
          <w:tcPr>
            <w:tcW w:w="3467" w:type="dxa"/>
            <w:vAlign w:val="center"/>
          </w:tcPr>
          <w:p>
            <w:pPr>
              <w:snapToGrid w:val="0"/>
              <w:jc w:val="center"/>
              <w:rPr>
                <w:rFonts w:cs="宋体" w:asciiTheme="minorEastAsia" w:hAnsiTheme="minorEastAsia" w:eastAsiaTheme="minorEastAsia"/>
                <w:color w:val="auto"/>
                <w:szCs w:val="21"/>
                <w:highlight w:val="none"/>
              </w:rPr>
            </w:pPr>
          </w:p>
        </w:tc>
        <w:tc>
          <w:tcPr>
            <w:tcW w:w="950" w:type="dxa"/>
            <w:vAlign w:val="center"/>
          </w:tcPr>
          <w:p>
            <w:pPr>
              <w:snapToGrid w:val="0"/>
              <w:jc w:val="center"/>
              <w:rPr>
                <w:rFonts w:cs="宋体" w:asciiTheme="minorEastAsia" w:hAnsiTheme="minorEastAsia" w:eastAsiaTheme="minorEastAsia"/>
                <w:color w:val="auto"/>
                <w:szCs w:val="21"/>
                <w:highlight w:val="none"/>
              </w:rPr>
            </w:pPr>
          </w:p>
        </w:tc>
        <w:tc>
          <w:tcPr>
            <w:tcW w:w="1371" w:type="dxa"/>
            <w:vAlign w:val="center"/>
          </w:tcPr>
          <w:p>
            <w:pPr>
              <w:snapToGrid w:val="0"/>
              <w:jc w:val="center"/>
              <w:rPr>
                <w:rFonts w:cs="宋体" w:asciiTheme="minorEastAsia" w:hAnsiTheme="minorEastAsia" w:eastAsiaTheme="minorEastAsia"/>
                <w:color w:val="auto"/>
                <w:szCs w:val="21"/>
                <w:highlight w:val="none"/>
              </w:rPr>
            </w:pPr>
          </w:p>
        </w:tc>
        <w:tc>
          <w:tcPr>
            <w:tcW w:w="1791" w:type="dxa"/>
            <w:vAlign w:val="center"/>
          </w:tcPr>
          <w:p>
            <w:pPr>
              <w:snapToGrid w:val="0"/>
              <w:jc w:val="center"/>
              <w:rPr>
                <w:rFonts w:cs="宋体" w:asciiTheme="minorEastAsia" w:hAnsiTheme="minorEastAsia" w:eastAsiaTheme="minorEastAsia"/>
                <w:color w:val="auto"/>
                <w:szCs w:val="21"/>
                <w:highlight w:val="none"/>
              </w:rPr>
            </w:pPr>
          </w:p>
        </w:tc>
        <w:tc>
          <w:tcPr>
            <w:tcW w:w="942" w:type="dxa"/>
            <w:vAlign w:val="center"/>
          </w:tcPr>
          <w:p>
            <w:pPr>
              <w:snapToGrid w:val="0"/>
              <w:jc w:val="center"/>
              <w:rPr>
                <w:rFonts w:cs="宋体" w:asciiTheme="minorEastAsia" w:hAnsiTheme="minorEastAsia" w:eastAsiaTheme="minorEastAsia"/>
                <w:color w:val="auto"/>
                <w:szCs w:val="21"/>
                <w:highlight w:val="none"/>
              </w:rPr>
            </w:pPr>
          </w:p>
        </w:tc>
      </w:tr>
    </w:tbl>
    <w:p>
      <w:pPr>
        <w:rPr>
          <w:rFonts w:asciiTheme="minorEastAsia" w:hAnsiTheme="minorEastAsia" w:eastAsiaTheme="minorEastAsia"/>
          <w:color w:val="auto"/>
          <w:highlight w:val="none"/>
        </w:rPr>
      </w:pPr>
    </w:p>
    <w:p>
      <w:pPr>
        <w:pStyle w:val="2"/>
        <w:rPr>
          <w:rFonts w:asciiTheme="minorEastAsia" w:hAnsiTheme="minorEastAsia" w:eastAsiaTheme="minorEastAsia"/>
          <w:color w:val="auto"/>
          <w:highlight w:val="none"/>
        </w:rPr>
      </w:pPr>
    </w:p>
    <w:p>
      <w:pPr>
        <w:rPr>
          <w:rFonts w:asciiTheme="minorEastAsia" w:hAnsiTheme="minorEastAsia" w:eastAsiaTheme="minorEastAsia"/>
          <w:color w:val="auto"/>
          <w:highlight w:val="none"/>
        </w:rPr>
      </w:pPr>
    </w:p>
    <w:p>
      <w:pPr>
        <w:snapToGrid w:val="0"/>
        <w:spacing w:line="30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法定代表人或授权代表（签字或盖章）</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（单位公章）</w:t>
      </w:r>
    </w:p>
    <w:p>
      <w:pPr>
        <w:snapToGrid w:val="0"/>
        <w:spacing w:line="300" w:lineRule="auto"/>
        <w:rPr>
          <w:rFonts w:asciiTheme="minorEastAsia" w:hAnsiTheme="minorEastAsia" w:eastAsiaTheme="minorEastAsia"/>
          <w:color w:val="auto"/>
          <w:szCs w:val="21"/>
          <w:highlight w:val="none"/>
        </w:rPr>
      </w:pPr>
    </w:p>
    <w:p>
      <w:pPr>
        <w:rPr>
          <w:rFonts w:asciiTheme="minorEastAsia" w:hAnsiTheme="minorEastAsia" w:eastAsiaTheme="minorEastAsia"/>
          <w:color w:val="auto"/>
          <w:szCs w:val="21"/>
          <w:highlight w:val="none"/>
        </w:rPr>
      </w:pPr>
    </w:p>
    <w:p>
      <w:pPr>
        <w:pStyle w:val="2"/>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日期：</w:t>
      </w:r>
      <w:r>
        <w:rPr>
          <w:rFonts w:hint="eastAsia" w:asciiTheme="minorEastAsia" w:hAnsiTheme="minorEastAsia" w:eastAsiaTheme="minorEastAsia"/>
          <w:color w:val="auto"/>
          <w:szCs w:val="21"/>
          <w:highlight w:val="none"/>
          <w:u w:val="single"/>
        </w:rPr>
        <w:t xml:space="preserve">                    </w:t>
      </w:r>
    </w:p>
    <w:p>
      <w:pPr>
        <w:pStyle w:val="2"/>
        <w:rPr>
          <w:rFonts w:cs="宋体" w:asciiTheme="minorEastAsia" w:hAnsiTheme="minorEastAsia" w:eastAsiaTheme="minorEastAsia"/>
          <w:b/>
          <w:bCs/>
          <w:color w:val="auto"/>
          <w:sz w:val="24"/>
          <w:szCs w:val="24"/>
          <w:highlight w:val="none"/>
        </w:rPr>
        <w:sectPr>
          <w:pgSz w:w="16838" w:h="11906" w:orient="landscape"/>
          <w:pgMar w:top="1797" w:right="1440" w:bottom="1797" w:left="1440" w:header="851" w:footer="851" w:gutter="0"/>
          <w:cols w:space="720" w:num="1"/>
          <w:docGrid w:linePitch="312" w:charSpace="0"/>
        </w:sectPr>
      </w:pPr>
      <w:r>
        <w:rPr>
          <w:rFonts w:asciiTheme="minorEastAsia" w:hAnsiTheme="minorEastAsia" w:eastAsiaTheme="minorEastAsia"/>
          <w:color w:val="auto"/>
          <w:highlight w:val="none"/>
        </w:rPr>
        <w:br w:type="page"/>
      </w:r>
    </w:p>
    <w:p>
      <w:pPr>
        <w:spacing w:line="360" w:lineRule="auto"/>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附件：格式</w:t>
      </w:r>
    </w:p>
    <w:p>
      <w:pPr>
        <w:rPr>
          <w:rFonts w:asciiTheme="minorEastAsia" w:hAnsiTheme="minorEastAsia" w:eastAsiaTheme="minorEastAsia"/>
          <w:color w:val="auto"/>
          <w:highlight w:val="none"/>
        </w:rPr>
      </w:pPr>
    </w:p>
    <w:p>
      <w:pPr>
        <w:spacing w:line="400" w:lineRule="exact"/>
        <w:jc w:val="center"/>
        <w:outlineLvl w:val="1"/>
        <w:rPr>
          <w:rFonts w:asciiTheme="minorEastAsia" w:hAnsiTheme="minorEastAsia" w:eastAsiaTheme="minorEastAsia"/>
          <w:b/>
          <w:color w:val="auto"/>
          <w:sz w:val="30"/>
          <w:szCs w:val="30"/>
          <w:highlight w:val="none"/>
        </w:rPr>
      </w:pPr>
      <w:bookmarkStart w:id="329" w:name="_Toc25508"/>
      <w:bookmarkStart w:id="330" w:name="_Toc37938459"/>
      <w:bookmarkStart w:id="331" w:name="_Toc26818"/>
      <w:bookmarkStart w:id="332" w:name="_Toc27295"/>
      <w:bookmarkStart w:id="333" w:name="_Toc545"/>
      <w:bookmarkStart w:id="334" w:name="_Toc6673"/>
      <w:bookmarkStart w:id="335" w:name="_Toc37938232"/>
      <w:bookmarkStart w:id="336" w:name="_Toc75948189"/>
      <w:bookmarkStart w:id="337" w:name="_Toc47725910"/>
      <w:r>
        <w:rPr>
          <w:rFonts w:hint="eastAsia" w:asciiTheme="minorEastAsia" w:hAnsiTheme="minorEastAsia" w:eastAsiaTheme="minorEastAsia"/>
          <w:b/>
          <w:color w:val="auto"/>
          <w:sz w:val="30"/>
          <w:szCs w:val="30"/>
          <w:highlight w:val="none"/>
        </w:rPr>
        <w:t>基本情况表</w:t>
      </w:r>
      <w:bookmarkEnd w:id="329"/>
      <w:bookmarkEnd w:id="330"/>
      <w:bookmarkEnd w:id="331"/>
      <w:bookmarkEnd w:id="332"/>
      <w:bookmarkEnd w:id="333"/>
      <w:bookmarkEnd w:id="334"/>
      <w:bookmarkEnd w:id="335"/>
      <w:bookmarkEnd w:id="336"/>
      <w:bookmarkEnd w:id="337"/>
    </w:p>
    <w:p>
      <w:pPr>
        <w:rPr>
          <w:rFonts w:asciiTheme="minorEastAsia" w:hAnsiTheme="minorEastAsia" w:eastAsiaTheme="minorEastAsia"/>
          <w:color w:val="auto"/>
          <w:highlight w:val="none"/>
        </w:rPr>
      </w:pPr>
    </w:p>
    <w:tbl>
      <w:tblPr>
        <w:tblStyle w:val="24"/>
        <w:tblW w:w="8323"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297"/>
        <w:gridCol w:w="501"/>
        <w:gridCol w:w="1249"/>
        <w:gridCol w:w="1398"/>
        <w:gridCol w:w="1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8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名称</w:t>
            </w:r>
          </w:p>
        </w:tc>
        <w:tc>
          <w:tcPr>
            <w:tcW w:w="6428" w:type="dxa"/>
            <w:gridSpan w:val="5"/>
          </w:tcPr>
          <w:p>
            <w:pP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注册地址</w:t>
            </w:r>
          </w:p>
        </w:tc>
        <w:tc>
          <w:tcPr>
            <w:tcW w:w="3047" w:type="dxa"/>
            <w:gridSpan w:val="3"/>
            <w:vAlign w:val="center"/>
          </w:tcPr>
          <w:p>
            <w:pPr>
              <w:jc w:val="center"/>
              <w:rPr>
                <w:rFonts w:asciiTheme="minorEastAsia" w:hAnsiTheme="minorEastAsia" w:eastAsiaTheme="minorEastAsia"/>
                <w:color w:val="auto"/>
                <w:szCs w:val="21"/>
                <w:highlight w:val="none"/>
              </w:rPr>
            </w:pPr>
          </w:p>
        </w:tc>
        <w:tc>
          <w:tcPr>
            <w:tcW w:w="139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邮政编码</w:t>
            </w:r>
          </w:p>
        </w:tc>
        <w:tc>
          <w:tcPr>
            <w:tcW w:w="1983"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95" w:type="dxa"/>
            <w:vMerge w:val="restart"/>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联系方式</w:t>
            </w:r>
          </w:p>
        </w:tc>
        <w:tc>
          <w:tcPr>
            <w:tcW w:w="1297"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联系人</w:t>
            </w:r>
          </w:p>
        </w:tc>
        <w:tc>
          <w:tcPr>
            <w:tcW w:w="1750" w:type="dxa"/>
            <w:gridSpan w:val="2"/>
            <w:vAlign w:val="center"/>
          </w:tcPr>
          <w:p>
            <w:pPr>
              <w:jc w:val="center"/>
              <w:rPr>
                <w:rFonts w:asciiTheme="minorEastAsia" w:hAnsiTheme="minorEastAsia" w:eastAsiaTheme="minorEastAsia"/>
                <w:color w:val="auto"/>
                <w:szCs w:val="21"/>
                <w:highlight w:val="none"/>
              </w:rPr>
            </w:pPr>
          </w:p>
        </w:tc>
        <w:tc>
          <w:tcPr>
            <w:tcW w:w="139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电话</w:t>
            </w:r>
          </w:p>
        </w:tc>
        <w:tc>
          <w:tcPr>
            <w:tcW w:w="1983"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95" w:type="dxa"/>
            <w:vMerge w:val="continue"/>
            <w:vAlign w:val="center"/>
          </w:tcPr>
          <w:p>
            <w:pPr>
              <w:jc w:val="center"/>
              <w:rPr>
                <w:rFonts w:asciiTheme="minorEastAsia" w:hAnsiTheme="minorEastAsia" w:eastAsiaTheme="minorEastAsia"/>
                <w:color w:val="auto"/>
                <w:szCs w:val="21"/>
                <w:highlight w:val="none"/>
              </w:rPr>
            </w:pPr>
          </w:p>
        </w:tc>
        <w:tc>
          <w:tcPr>
            <w:tcW w:w="1297"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传真</w:t>
            </w:r>
          </w:p>
        </w:tc>
        <w:tc>
          <w:tcPr>
            <w:tcW w:w="1750" w:type="dxa"/>
            <w:gridSpan w:val="2"/>
            <w:vAlign w:val="center"/>
          </w:tcPr>
          <w:p>
            <w:pPr>
              <w:jc w:val="center"/>
              <w:rPr>
                <w:rFonts w:asciiTheme="minorEastAsia" w:hAnsiTheme="minorEastAsia" w:eastAsiaTheme="minorEastAsia"/>
                <w:color w:val="auto"/>
                <w:szCs w:val="21"/>
                <w:highlight w:val="none"/>
              </w:rPr>
            </w:pPr>
          </w:p>
        </w:tc>
        <w:tc>
          <w:tcPr>
            <w:tcW w:w="139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网址</w:t>
            </w:r>
          </w:p>
        </w:tc>
        <w:tc>
          <w:tcPr>
            <w:tcW w:w="1983"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组织结构</w:t>
            </w:r>
          </w:p>
        </w:tc>
        <w:tc>
          <w:tcPr>
            <w:tcW w:w="6428" w:type="dxa"/>
            <w:gridSpan w:val="5"/>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8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法定代表人（单位负责人）</w:t>
            </w:r>
          </w:p>
        </w:tc>
        <w:tc>
          <w:tcPr>
            <w:tcW w:w="1297"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姓名</w:t>
            </w:r>
          </w:p>
        </w:tc>
        <w:tc>
          <w:tcPr>
            <w:tcW w:w="1750" w:type="dxa"/>
            <w:gridSpan w:val="2"/>
            <w:vAlign w:val="center"/>
          </w:tcPr>
          <w:p>
            <w:pPr>
              <w:jc w:val="center"/>
              <w:rPr>
                <w:rFonts w:asciiTheme="minorEastAsia" w:hAnsiTheme="minorEastAsia" w:eastAsiaTheme="minorEastAsia"/>
                <w:color w:val="auto"/>
                <w:szCs w:val="21"/>
                <w:highlight w:val="none"/>
              </w:rPr>
            </w:pPr>
          </w:p>
        </w:tc>
        <w:tc>
          <w:tcPr>
            <w:tcW w:w="139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电话</w:t>
            </w:r>
          </w:p>
        </w:tc>
        <w:tc>
          <w:tcPr>
            <w:tcW w:w="1983"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8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技术负责人</w:t>
            </w:r>
          </w:p>
        </w:tc>
        <w:tc>
          <w:tcPr>
            <w:tcW w:w="1297"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姓名</w:t>
            </w:r>
          </w:p>
        </w:tc>
        <w:tc>
          <w:tcPr>
            <w:tcW w:w="1750" w:type="dxa"/>
            <w:gridSpan w:val="2"/>
            <w:vAlign w:val="center"/>
          </w:tcPr>
          <w:p>
            <w:pPr>
              <w:jc w:val="center"/>
              <w:rPr>
                <w:rFonts w:asciiTheme="minorEastAsia" w:hAnsiTheme="minorEastAsia" w:eastAsiaTheme="minorEastAsia"/>
                <w:color w:val="auto"/>
                <w:szCs w:val="21"/>
                <w:highlight w:val="none"/>
              </w:rPr>
            </w:pPr>
          </w:p>
        </w:tc>
        <w:tc>
          <w:tcPr>
            <w:tcW w:w="1398"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电话</w:t>
            </w:r>
          </w:p>
        </w:tc>
        <w:tc>
          <w:tcPr>
            <w:tcW w:w="1983" w:type="dxa"/>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成立时间</w:t>
            </w:r>
          </w:p>
        </w:tc>
        <w:tc>
          <w:tcPr>
            <w:tcW w:w="1798" w:type="dxa"/>
            <w:gridSpan w:val="2"/>
            <w:vAlign w:val="center"/>
          </w:tcPr>
          <w:p>
            <w:pPr>
              <w:jc w:val="center"/>
              <w:rPr>
                <w:rFonts w:asciiTheme="minorEastAsia" w:hAnsiTheme="minorEastAsia" w:eastAsiaTheme="minorEastAsia"/>
                <w:color w:val="auto"/>
                <w:szCs w:val="21"/>
                <w:highlight w:val="none"/>
              </w:rPr>
            </w:pPr>
          </w:p>
        </w:tc>
        <w:tc>
          <w:tcPr>
            <w:tcW w:w="4630" w:type="dxa"/>
            <w:gridSpan w:val="3"/>
            <w:vAlign w:val="center"/>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资质证书</w:t>
            </w:r>
          </w:p>
        </w:tc>
        <w:tc>
          <w:tcPr>
            <w:tcW w:w="1798" w:type="dxa"/>
            <w:gridSpan w:val="2"/>
            <w:vAlign w:val="center"/>
          </w:tcPr>
          <w:p>
            <w:pPr>
              <w:jc w:val="center"/>
              <w:rPr>
                <w:rFonts w:asciiTheme="minorEastAsia" w:hAnsiTheme="minorEastAsia" w:eastAsiaTheme="minorEastAsia"/>
                <w:color w:val="auto"/>
                <w:szCs w:val="21"/>
                <w:highlight w:val="none"/>
              </w:rPr>
            </w:pPr>
          </w:p>
        </w:tc>
        <w:tc>
          <w:tcPr>
            <w:tcW w:w="4630" w:type="dxa"/>
            <w:gridSpan w:val="3"/>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8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营业执照号</w:t>
            </w:r>
          </w:p>
        </w:tc>
        <w:tc>
          <w:tcPr>
            <w:tcW w:w="1798" w:type="dxa"/>
            <w:gridSpan w:val="2"/>
            <w:vAlign w:val="center"/>
          </w:tcPr>
          <w:p>
            <w:pPr>
              <w:jc w:val="center"/>
              <w:rPr>
                <w:rFonts w:asciiTheme="minorEastAsia" w:hAnsiTheme="minorEastAsia" w:eastAsiaTheme="minorEastAsia"/>
                <w:color w:val="auto"/>
                <w:szCs w:val="21"/>
                <w:highlight w:val="none"/>
              </w:rPr>
            </w:pPr>
          </w:p>
        </w:tc>
        <w:tc>
          <w:tcPr>
            <w:tcW w:w="4630" w:type="dxa"/>
            <w:gridSpan w:val="3"/>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注册资金</w:t>
            </w:r>
          </w:p>
        </w:tc>
        <w:tc>
          <w:tcPr>
            <w:tcW w:w="1798" w:type="dxa"/>
            <w:gridSpan w:val="2"/>
            <w:vAlign w:val="center"/>
          </w:tcPr>
          <w:p>
            <w:pPr>
              <w:jc w:val="center"/>
              <w:rPr>
                <w:rFonts w:asciiTheme="minorEastAsia" w:hAnsiTheme="minorEastAsia" w:eastAsiaTheme="minorEastAsia"/>
                <w:color w:val="auto"/>
                <w:szCs w:val="21"/>
                <w:highlight w:val="none"/>
              </w:rPr>
            </w:pPr>
          </w:p>
        </w:tc>
        <w:tc>
          <w:tcPr>
            <w:tcW w:w="4630" w:type="dxa"/>
            <w:gridSpan w:val="3"/>
            <w:vAlign w:val="center"/>
          </w:tcPr>
          <w:p>
            <w:pPr>
              <w:jc w:val="center"/>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1895" w:type="dxa"/>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经营范围备注</w:t>
            </w:r>
          </w:p>
        </w:tc>
        <w:tc>
          <w:tcPr>
            <w:tcW w:w="6428" w:type="dxa"/>
            <w:gridSpan w:val="5"/>
          </w:tcPr>
          <w:p>
            <w:pPr>
              <w:ind w:firstLine="420" w:firstLineChars="200"/>
              <w:rPr>
                <w:rFonts w:asciiTheme="minorEastAsia" w:hAnsiTheme="minorEastAsia" w:eastAsiaTheme="minorEastAsia"/>
                <w:color w:val="auto"/>
                <w:szCs w:val="21"/>
                <w:highlight w:val="none"/>
              </w:rPr>
            </w:pPr>
          </w:p>
        </w:tc>
      </w:tr>
    </w:tbl>
    <w:p>
      <w:pPr>
        <w:rPr>
          <w:rFonts w:asciiTheme="minorEastAsia" w:hAnsiTheme="minorEastAsia" w:eastAsiaTheme="minorEastAsia"/>
          <w:b/>
          <w:color w:val="auto"/>
          <w:highlight w:val="none"/>
          <w:u w:val="single"/>
        </w:rPr>
      </w:pPr>
      <w:r>
        <w:rPr>
          <w:rFonts w:hint="eastAsia" w:asciiTheme="minorEastAsia" w:hAnsiTheme="minorEastAsia" w:eastAsiaTheme="minorEastAsia"/>
          <w:b/>
          <w:color w:val="auto"/>
          <w:highlight w:val="none"/>
        </w:rPr>
        <w:t>注：填写上表后，供应商如认为有必要，也可附其他文字或表格补充描述。</w:t>
      </w:r>
    </w:p>
    <w:p>
      <w:pPr>
        <w:spacing w:before="120" w:beforeLines="50" w:line="360" w:lineRule="auto"/>
        <w:ind w:firstLine="480" w:firstLineChars="200"/>
        <w:rPr>
          <w:rFonts w:cs="Calibri" w:asciiTheme="minorEastAsia" w:hAnsiTheme="minorEastAsia" w:eastAsiaTheme="minorEastAsia"/>
          <w:b/>
          <w:color w:val="auto"/>
          <w:highlight w:val="none"/>
        </w:rPr>
      </w:pPr>
      <w:r>
        <w:rPr>
          <w:rFonts w:hint="eastAsia" w:asciiTheme="minorEastAsia" w:hAnsiTheme="minorEastAsia" w:eastAsiaTheme="minorEastAsia"/>
          <w:color w:val="auto"/>
          <w:sz w:val="24"/>
          <w:szCs w:val="24"/>
          <w:highlight w:val="none"/>
          <w:u w:val="single"/>
        </w:rPr>
        <w:br w:type="page"/>
      </w:r>
      <w:r>
        <w:rPr>
          <w:rFonts w:hint="eastAsia" w:cs="Calibri" w:asciiTheme="minorEastAsia" w:hAnsiTheme="minorEastAsia" w:eastAsiaTheme="minorEastAsia"/>
          <w:b/>
          <w:color w:val="auto"/>
          <w:highlight w:val="none"/>
        </w:rPr>
        <w:t>（</w:t>
      </w:r>
      <w:r>
        <w:rPr>
          <w:rFonts w:cs="Calibri" w:asciiTheme="minorEastAsia" w:hAnsiTheme="minorEastAsia" w:eastAsiaTheme="minorEastAsia"/>
          <w:b/>
          <w:color w:val="auto"/>
          <w:highlight w:val="none"/>
        </w:rPr>
        <w:t>一</w:t>
      </w:r>
      <w:r>
        <w:rPr>
          <w:rFonts w:hint="eastAsia" w:cs="Calibri" w:asciiTheme="minorEastAsia" w:hAnsiTheme="minorEastAsia" w:eastAsiaTheme="minorEastAsia"/>
          <w:b/>
          <w:color w:val="auto"/>
          <w:highlight w:val="none"/>
        </w:rPr>
        <w:t>）供应商</w:t>
      </w:r>
      <w:r>
        <w:rPr>
          <w:rFonts w:cs="Calibri" w:asciiTheme="minorEastAsia" w:hAnsiTheme="minorEastAsia" w:eastAsiaTheme="minorEastAsia"/>
          <w:b/>
          <w:color w:val="auto"/>
          <w:highlight w:val="none"/>
        </w:rPr>
        <w:t>基本信息</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如设立时间、隶属关系、经营范围、资质等级及单位人员情况。</w:t>
      </w:r>
    </w:p>
    <w:p>
      <w:pPr>
        <w:spacing w:before="120" w:beforeLines="50" w:line="360" w:lineRule="auto"/>
        <w:ind w:firstLine="422" w:firstLineChars="200"/>
        <w:rPr>
          <w:rFonts w:cs="Calibri" w:asciiTheme="minorEastAsia" w:hAnsiTheme="minorEastAsia" w:eastAsiaTheme="minorEastAsia"/>
          <w:b/>
          <w:color w:val="auto"/>
          <w:highlight w:val="none"/>
        </w:rPr>
      </w:pPr>
      <w:r>
        <w:rPr>
          <w:rFonts w:hint="eastAsia" w:cs="Calibri" w:asciiTheme="minorEastAsia" w:hAnsiTheme="minorEastAsia" w:eastAsiaTheme="minorEastAsia"/>
          <w:b/>
          <w:color w:val="auto"/>
          <w:highlight w:val="none"/>
        </w:rPr>
        <w:t>（二）供应商性质</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中小企业单位投标时，应提供《中小企业声明函》。未提供的不能享受招标文件规定的价格扣除，但不影响投标文件的有效性。</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残疾人福利性单位投标时，应提供《残疾人福利性单位声明函》。未提供证明文件的不能享受招标文件规定的价格扣除，但不影响投标文件的有效性。</w:t>
      </w:r>
    </w:p>
    <w:p>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监狱企业投标时，应当提供由省级以上监狱管理局、戒毒管理局（含新疆生产建设兵团）出具的属于监狱企业的</w:t>
      </w:r>
      <w:r>
        <w:rPr>
          <w:rFonts w:hint="eastAsia" w:asciiTheme="minorEastAsia" w:hAnsiTheme="minorEastAsia" w:eastAsiaTheme="minorEastAsia"/>
          <w:b/>
          <w:bCs/>
          <w:color w:val="auto"/>
          <w:highlight w:val="none"/>
        </w:rPr>
        <w:t>证明文件</w:t>
      </w:r>
      <w:r>
        <w:rPr>
          <w:rFonts w:hint="eastAsia" w:asciiTheme="minorEastAsia" w:hAnsiTheme="minorEastAsia" w:eastAsiaTheme="minorEastAsia"/>
          <w:color w:val="auto"/>
          <w:highlight w:val="none"/>
        </w:rPr>
        <w:t>（格式不做要求）。未提供证明文件的不能享受招标文件规定的价格扣除，但不影响投标文件的有效性。</w:t>
      </w:r>
    </w:p>
    <w:p>
      <w:pPr>
        <w:spacing w:line="360" w:lineRule="auto"/>
        <w:ind w:firstLine="436" w:firstLineChars="200"/>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投标产品为贫困地区农副产品的，应提供隶属于832个国家级贫困县域内注册的企业、农民专业合作社、家庭农场等出产的农副产品的</w:t>
      </w:r>
      <w:r>
        <w:rPr>
          <w:rFonts w:hint="eastAsia" w:cs="宋体" w:asciiTheme="minorEastAsia" w:hAnsiTheme="minorEastAsia" w:eastAsiaTheme="minorEastAsia"/>
          <w:b/>
          <w:bCs/>
          <w:color w:val="auto"/>
          <w:spacing w:val="4"/>
          <w:szCs w:val="21"/>
          <w:highlight w:val="none"/>
        </w:rPr>
        <w:t>证明文件</w:t>
      </w:r>
      <w:r>
        <w:rPr>
          <w:rFonts w:hint="eastAsia" w:cs="宋体" w:asciiTheme="minorEastAsia" w:hAnsiTheme="minorEastAsia" w:eastAsiaTheme="minorEastAsia"/>
          <w:color w:val="auto"/>
          <w:spacing w:val="4"/>
          <w:szCs w:val="21"/>
          <w:highlight w:val="none"/>
        </w:rPr>
        <w:t>。</w:t>
      </w:r>
    </w:p>
    <w:p>
      <w:pPr>
        <w:spacing w:line="360" w:lineRule="auto"/>
        <w:ind w:firstLine="436" w:firstLineChars="200"/>
        <w:rPr>
          <w:rFonts w:asciiTheme="minorEastAsia" w:hAnsiTheme="minorEastAsia" w:eastAsiaTheme="minorEastAsia"/>
          <w:color w:val="auto"/>
          <w:highlight w:val="none"/>
        </w:rPr>
      </w:pPr>
      <w:r>
        <w:rPr>
          <w:rFonts w:hint="eastAsia" w:cs="宋体" w:asciiTheme="minorEastAsia" w:hAnsiTheme="minorEastAsia" w:eastAsiaTheme="minorEastAsia"/>
          <w:color w:val="auto"/>
          <w:spacing w:val="4"/>
          <w:szCs w:val="21"/>
          <w:highlight w:val="none"/>
        </w:rPr>
        <w:t>投标人为物业公司提供物业服务的，应提供隶属于832个国家级贫困县域内，且聘用建档立卡贫困人员的</w:t>
      </w:r>
      <w:r>
        <w:rPr>
          <w:rFonts w:hint="eastAsia" w:cs="宋体" w:asciiTheme="minorEastAsia" w:hAnsiTheme="minorEastAsia" w:eastAsiaTheme="minorEastAsia"/>
          <w:b/>
          <w:bCs/>
          <w:color w:val="auto"/>
          <w:spacing w:val="4"/>
          <w:szCs w:val="21"/>
          <w:highlight w:val="none"/>
        </w:rPr>
        <w:t>证明文件</w:t>
      </w:r>
      <w:r>
        <w:rPr>
          <w:rFonts w:hint="eastAsia" w:cs="宋体" w:asciiTheme="minorEastAsia" w:hAnsiTheme="minorEastAsia" w:eastAsiaTheme="minorEastAsia"/>
          <w:color w:val="auto"/>
          <w:spacing w:val="4"/>
          <w:szCs w:val="21"/>
          <w:highlight w:val="none"/>
        </w:rPr>
        <w:t>。</w:t>
      </w:r>
    </w:p>
    <w:p>
      <w:pPr>
        <w:spacing w:line="360" w:lineRule="auto"/>
        <w:ind w:firstLine="422" w:firstLineChars="200"/>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特别提醒：供应商性质（证明文件）将随中标公告一同公布。</w:t>
      </w:r>
    </w:p>
    <w:p>
      <w:pPr>
        <w:spacing w:before="120" w:beforeLines="50" w:line="360" w:lineRule="auto"/>
        <w:ind w:firstLine="422" w:firstLineChars="200"/>
        <w:rPr>
          <w:rFonts w:cs="Calibri" w:asciiTheme="minorEastAsia" w:hAnsiTheme="minorEastAsia" w:eastAsiaTheme="minorEastAsia"/>
          <w:b/>
          <w:color w:val="auto"/>
          <w:highlight w:val="none"/>
        </w:rPr>
      </w:pPr>
      <w:r>
        <w:rPr>
          <w:rFonts w:hint="eastAsia" w:cs="Calibri" w:asciiTheme="minorEastAsia" w:hAnsiTheme="minorEastAsia" w:eastAsiaTheme="minorEastAsia"/>
          <w:b/>
          <w:color w:val="auto"/>
          <w:highlight w:val="none"/>
        </w:rPr>
        <w:t>（三）</w:t>
      </w:r>
      <w:r>
        <w:rPr>
          <w:rFonts w:cs="Calibri" w:asciiTheme="minorEastAsia" w:hAnsiTheme="minorEastAsia" w:eastAsiaTheme="minorEastAsia"/>
          <w:b/>
          <w:color w:val="auto"/>
          <w:highlight w:val="none"/>
        </w:rPr>
        <w:t>其他</w:t>
      </w:r>
    </w:p>
    <w:p>
      <w:pPr>
        <w:tabs>
          <w:tab w:val="right" w:pos="8364"/>
        </w:tabs>
        <w:spacing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如：</w:t>
      </w:r>
      <w:r>
        <w:rPr>
          <w:rFonts w:asciiTheme="minorEastAsia" w:hAnsiTheme="minorEastAsia" w:eastAsiaTheme="minorEastAsia"/>
          <w:color w:val="auto"/>
          <w:highlight w:val="none"/>
        </w:rPr>
        <w:t>经营状况</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用户评价</w:t>
      </w:r>
      <w:r>
        <w:rPr>
          <w:rFonts w:hint="eastAsia" w:asciiTheme="minorEastAsia" w:hAnsiTheme="minorEastAsia" w:eastAsiaTheme="minorEastAsia"/>
          <w:color w:val="auto"/>
          <w:highlight w:val="none"/>
        </w:rPr>
        <w:t>等</w:t>
      </w:r>
      <w:r>
        <w:rPr>
          <w:rFonts w:asciiTheme="minorEastAsia" w:hAnsiTheme="minorEastAsia" w:eastAsiaTheme="minorEastAsia"/>
          <w:color w:val="auto"/>
          <w:highlight w:val="none"/>
        </w:rPr>
        <w:t>。</w:t>
      </w:r>
    </w:p>
    <w:p>
      <w:pPr>
        <w:spacing w:line="360" w:lineRule="auto"/>
        <w:jc w:val="left"/>
        <w:rPr>
          <w:rFonts w:asciiTheme="minorEastAsia" w:hAnsiTheme="minorEastAsia" w:eastAsiaTheme="minorEastAsia"/>
          <w:color w:val="auto"/>
          <w:highlight w:val="none"/>
        </w:rPr>
      </w:pPr>
    </w:p>
    <w:p>
      <w:pP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br w:type="page"/>
      </w:r>
    </w:p>
    <w:p>
      <w:pPr>
        <w:spacing w:line="360" w:lineRule="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附件：格式</w:t>
      </w:r>
    </w:p>
    <w:p>
      <w:pPr>
        <w:spacing w:line="360" w:lineRule="auto"/>
        <w:rPr>
          <w:rFonts w:asciiTheme="minorEastAsia" w:hAnsiTheme="minorEastAsia" w:eastAsiaTheme="minorEastAsia"/>
          <w:b/>
          <w:bCs/>
          <w:color w:val="auto"/>
          <w:sz w:val="24"/>
          <w:szCs w:val="24"/>
          <w:highlight w:val="none"/>
        </w:rPr>
      </w:pPr>
    </w:p>
    <w:p>
      <w:pPr>
        <w:spacing w:line="400" w:lineRule="exact"/>
        <w:jc w:val="center"/>
        <w:outlineLvl w:val="1"/>
        <w:rPr>
          <w:rFonts w:asciiTheme="minorEastAsia" w:hAnsiTheme="minorEastAsia" w:eastAsiaTheme="minorEastAsia"/>
          <w:b/>
          <w:color w:val="auto"/>
          <w:sz w:val="30"/>
          <w:szCs w:val="30"/>
          <w:highlight w:val="none"/>
        </w:rPr>
      </w:pPr>
      <w:bookmarkStart w:id="338" w:name="_Toc75948190"/>
      <w:bookmarkStart w:id="339" w:name="_Toc37938233"/>
      <w:bookmarkStart w:id="340" w:name="_Toc37938460"/>
      <w:bookmarkStart w:id="341" w:name="_Toc13433"/>
      <w:bookmarkStart w:id="342" w:name="_Toc26180"/>
      <w:bookmarkStart w:id="343" w:name="_Toc47725911"/>
      <w:bookmarkStart w:id="344" w:name="_Toc19556"/>
      <w:bookmarkStart w:id="345" w:name="_Toc17680"/>
      <w:bookmarkStart w:id="346" w:name="_Toc29201"/>
      <w:r>
        <w:rPr>
          <w:rFonts w:hint="eastAsia" w:asciiTheme="minorEastAsia" w:hAnsiTheme="minorEastAsia" w:eastAsiaTheme="minorEastAsia"/>
          <w:b/>
          <w:color w:val="auto"/>
          <w:sz w:val="30"/>
          <w:szCs w:val="30"/>
          <w:highlight w:val="none"/>
        </w:rPr>
        <w:t>业绩一览表</w:t>
      </w:r>
      <w:bookmarkEnd w:id="338"/>
      <w:bookmarkEnd w:id="339"/>
      <w:bookmarkEnd w:id="340"/>
      <w:bookmarkEnd w:id="341"/>
      <w:bookmarkEnd w:id="342"/>
      <w:bookmarkEnd w:id="343"/>
      <w:bookmarkEnd w:id="344"/>
      <w:bookmarkEnd w:id="345"/>
      <w:bookmarkEnd w:id="346"/>
    </w:p>
    <w:p>
      <w:pPr>
        <w:pStyle w:val="2"/>
        <w:rPr>
          <w:rFonts w:asciiTheme="minorEastAsia" w:hAnsiTheme="minorEastAsia" w:eastAsiaTheme="minorEastAsia"/>
          <w:color w:val="auto"/>
          <w:highlight w:val="none"/>
        </w:rPr>
      </w:pPr>
    </w:p>
    <w:tbl>
      <w:tblPr>
        <w:tblStyle w:val="24"/>
        <w:tblW w:w="8326" w:type="dxa"/>
        <w:tblInd w:w="9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61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73" w:type="dxa"/>
            <w:vAlign w:val="center"/>
          </w:tcPr>
          <w:p>
            <w:pPr>
              <w:topLinePunct/>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项目名称</w:t>
            </w:r>
          </w:p>
        </w:tc>
        <w:tc>
          <w:tcPr>
            <w:tcW w:w="6153" w:type="dxa"/>
          </w:tcPr>
          <w:p>
            <w:pPr>
              <w:topLinePunct/>
              <w:spacing w:line="440" w:lineRule="exact"/>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73" w:type="dxa"/>
            <w:vAlign w:val="center"/>
          </w:tcPr>
          <w:p>
            <w:pPr>
              <w:topLinePunct/>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合同履行时间</w:t>
            </w:r>
          </w:p>
        </w:tc>
        <w:tc>
          <w:tcPr>
            <w:tcW w:w="6153" w:type="dxa"/>
          </w:tcPr>
          <w:p>
            <w:pPr>
              <w:topLinePunct/>
              <w:spacing w:line="440" w:lineRule="exact"/>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73" w:type="dxa"/>
            <w:vAlign w:val="center"/>
          </w:tcPr>
          <w:p>
            <w:pPr>
              <w:topLinePunct/>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采购内容</w:t>
            </w:r>
          </w:p>
        </w:tc>
        <w:tc>
          <w:tcPr>
            <w:tcW w:w="6153" w:type="dxa"/>
          </w:tcPr>
          <w:p>
            <w:pPr>
              <w:topLinePunct/>
              <w:spacing w:line="440" w:lineRule="exact"/>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73" w:type="dxa"/>
            <w:vAlign w:val="center"/>
          </w:tcPr>
          <w:p>
            <w:pPr>
              <w:topLinePunct/>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甲方名称</w:t>
            </w:r>
          </w:p>
        </w:tc>
        <w:tc>
          <w:tcPr>
            <w:tcW w:w="6153" w:type="dxa"/>
          </w:tcPr>
          <w:p>
            <w:pPr>
              <w:topLinePunct/>
              <w:spacing w:line="440" w:lineRule="exact"/>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73" w:type="dxa"/>
            <w:vAlign w:val="center"/>
          </w:tcPr>
          <w:p>
            <w:pPr>
              <w:topLinePunct/>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甲方联系人及电话</w:t>
            </w:r>
          </w:p>
        </w:tc>
        <w:tc>
          <w:tcPr>
            <w:tcW w:w="6153" w:type="dxa"/>
          </w:tcPr>
          <w:p>
            <w:pPr>
              <w:topLinePunct/>
              <w:spacing w:line="440" w:lineRule="exact"/>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73" w:type="dxa"/>
            <w:vAlign w:val="center"/>
          </w:tcPr>
          <w:p>
            <w:pPr>
              <w:topLinePunct/>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合同价格</w:t>
            </w:r>
          </w:p>
        </w:tc>
        <w:tc>
          <w:tcPr>
            <w:tcW w:w="6153" w:type="dxa"/>
          </w:tcPr>
          <w:p>
            <w:pPr>
              <w:topLinePunct/>
              <w:spacing w:line="440" w:lineRule="exact"/>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2173" w:type="dxa"/>
            <w:vAlign w:val="center"/>
          </w:tcPr>
          <w:p>
            <w:pPr>
              <w:topLinePunct/>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项目概况及履约情况</w:t>
            </w:r>
          </w:p>
        </w:tc>
        <w:tc>
          <w:tcPr>
            <w:tcW w:w="6153" w:type="dxa"/>
          </w:tcPr>
          <w:p>
            <w:pPr>
              <w:topLinePunct/>
              <w:spacing w:line="440" w:lineRule="exact"/>
              <w:rPr>
                <w:rFonts w:asciiTheme="minorEastAsia" w:hAnsiTheme="minorEastAsia" w:eastAsiaTheme="minorEastAsia"/>
                <w:color w:val="auto"/>
                <w:szCs w:val="21"/>
                <w:highlight w:val="none"/>
              </w:rPr>
            </w:pPr>
          </w:p>
          <w:p>
            <w:pPr>
              <w:topLinePunct/>
              <w:spacing w:line="440" w:lineRule="exact"/>
              <w:rPr>
                <w:rFonts w:asciiTheme="minorEastAsia" w:hAnsiTheme="minorEastAsia" w:eastAsiaTheme="minorEastAsia"/>
                <w:color w:val="auto"/>
                <w:szCs w:val="21"/>
                <w:highlight w:val="none"/>
              </w:rPr>
            </w:pPr>
          </w:p>
          <w:p>
            <w:pPr>
              <w:topLinePunct/>
              <w:spacing w:line="440" w:lineRule="exact"/>
              <w:rPr>
                <w:rFonts w:asciiTheme="minorEastAsia" w:hAnsiTheme="minorEastAsia" w:eastAsiaTheme="minorEastAsia"/>
                <w:color w:val="auto"/>
                <w:szCs w:val="21"/>
                <w:highlight w:val="none"/>
              </w:rPr>
            </w:pPr>
          </w:p>
          <w:p>
            <w:pPr>
              <w:topLinePunct/>
              <w:spacing w:line="440" w:lineRule="exact"/>
              <w:rPr>
                <w:rFonts w:asciiTheme="minorEastAsia" w:hAnsiTheme="minorEastAsia" w:eastAsiaTheme="minorEastAsia"/>
                <w:color w:val="auto"/>
                <w:szCs w:val="21"/>
                <w:highlight w:val="none"/>
              </w:rPr>
            </w:pPr>
          </w:p>
          <w:p>
            <w:pPr>
              <w:topLinePunct/>
              <w:spacing w:line="440" w:lineRule="exact"/>
              <w:rPr>
                <w:rFonts w:asciiTheme="minorEastAsia" w:hAnsiTheme="minorEastAsia" w:eastAsiaTheme="minorEastAsia"/>
                <w:color w:val="auto"/>
                <w:szCs w:val="21"/>
                <w:highlight w:val="none"/>
              </w:rPr>
            </w:pPr>
          </w:p>
          <w:p>
            <w:pPr>
              <w:topLinePunct/>
              <w:spacing w:line="440" w:lineRule="exact"/>
              <w:rPr>
                <w:rFonts w:asciiTheme="minorEastAsia" w:hAnsiTheme="minorEastAsia" w:eastAsiaTheme="minorEastAsia"/>
                <w:color w:val="auto"/>
                <w:szCs w:val="21"/>
                <w:highlight w:val="none"/>
              </w:rPr>
            </w:pPr>
          </w:p>
          <w:p>
            <w:pPr>
              <w:topLinePunct/>
              <w:spacing w:line="440" w:lineRule="exact"/>
              <w:rPr>
                <w:rFonts w:asciiTheme="minorEastAsia" w:hAnsiTheme="minorEastAsia" w:eastAsiaTheme="minor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73" w:type="dxa"/>
            <w:vAlign w:val="center"/>
          </w:tcPr>
          <w:p>
            <w:pPr>
              <w:topLinePunct/>
              <w:spacing w:line="44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备注</w:t>
            </w:r>
          </w:p>
        </w:tc>
        <w:tc>
          <w:tcPr>
            <w:tcW w:w="6153" w:type="dxa"/>
          </w:tcPr>
          <w:p>
            <w:pPr>
              <w:topLinePunct/>
              <w:spacing w:line="440" w:lineRule="exact"/>
              <w:rPr>
                <w:rFonts w:asciiTheme="minorEastAsia" w:hAnsiTheme="minorEastAsia" w:eastAsiaTheme="minorEastAsia"/>
                <w:color w:val="auto"/>
                <w:szCs w:val="21"/>
                <w:highlight w:val="none"/>
              </w:rPr>
            </w:pPr>
          </w:p>
        </w:tc>
      </w:tr>
    </w:tbl>
    <w:p>
      <w:pPr>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      </w:t>
      </w:r>
    </w:p>
    <w:p>
      <w:pPr>
        <w:jc w:val="left"/>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注：每份有效业绩单独填写上表。（附中标（成交）通知书及合同复印件）</w:t>
      </w:r>
    </w:p>
    <w:p>
      <w:pPr>
        <w:widowControl/>
        <w:jc w:val="left"/>
        <w:rPr>
          <w:rFonts w:asciiTheme="minorEastAsia" w:hAnsiTheme="minorEastAsia" w:eastAsiaTheme="minorEastAsia"/>
          <w:color w:val="auto"/>
          <w:highlight w:val="none"/>
        </w:rPr>
      </w:pPr>
    </w:p>
    <w:sectPr>
      <w:pgSz w:w="11906" w:h="16838"/>
      <w:pgMar w:top="1440" w:right="1797" w:bottom="1440"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hakuyoxingshu7000">
    <w:altName w:val="宋体"/>
    <w:panose1 w:val="02000600000000000000"/>
    <w:charset w:val="86"/>
    <w:family w:val="auto"/>
    <w:pitch w:val="default"/>
    <w:sig w:usb0="00000000" w:usb1="00000000" w:usb2="0000003F" w:usb3="00000000" w:csb0="603F00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361" w:wrap="around" w:vAnchor="text" w:hAnchor="page" w:x="5761" w:y="-5"/>
      <w:rPr>
        <w:rStyle w:val="28"/>
      </w:rP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fldChar w:fldCharType="begin"/>
    </w:r>
    <w:r>
      <w:rPr>
        <w:rStyle w:val="28"/>
      </w:rPr>
      <w:instrText xml:space="preserve">PAGE  </w:instrTex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Style w:val="28"/>
      </w:rPr>
    </w:pP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5240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4.55pt;mso-position-horizontal:center;mso-position-horizontal-relative:margin;mso-wrap-style:none;z-index:251661312;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3rDkDQAAAAAgEAAA8AAAAAAAAAAQAgAAAAIgAAAGRycy9k&#10;b3ducmV2LnhtbFBLAQIUABQAAAAIAIdO4kDVRc3oCgIAAAEEAAAOAAAAAAAAAAEAIAAAAB8BAABk&#10;cnMvZTJvRG9jLnhtbFBLBQYAAAAABgAGAFkBAACb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Style w:val="2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147955</wp:posOffset>
              </wp:positionV>
              <wp:extent cx="5257800" cy="0"/>
              <wp:effectExtent l="9525" t="12065" r="9525" b="698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11.65pt;height:0pt;width:414pt;z-index:251659264;mso-width-relative:page;mso-height-relative:page;" filled="f" stroked="t" coordsize="21600,21600" o:gfxdata="UEsDBAoAAAAAAIdO4kAAAAAAAAAAAAAAAAAEAAAAZHJzL1BLAwQUAAAACACHTuJAtREvy9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REvy9MAAAAGAQAADwAA&#10;AAAAAAABACAAAAAiAAAAZHJzL2Rvd25yZXYueG1sUEsBAhQAFAAAAAgAh07iQNQMF6niAQAAqgMA&#10;AA4AAAAAAAAAAQAgAAAAIgEAAGRycy9lMm9Eb2MueG1sUEsFBgAAAAAGAAYAWQEAAHYFAAAAAA==&#10;">
              <v:fill on="f" focussize="0,0"/>
              <v:stroke color="#000000" joinstyle="round"/>
              <v:imagedata o:title=""/>
              <o:lock v:ext="edit" aspectratio="f"/>
            </v:line>
          </w:pict>
        </mc:Fallback>
      </mc:AlternateContent>
    </w:r>
    <w:r>
      <w:rPr>
        <w:rFonts w:hint="eastAsia"/>
      </w:rPr>
      <w:t>第十四届全国运动会陕西省筹备委员会食堂购买社会化服务（第一包）招标文件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1"/>
        <w:left w:val="none" w:color="auto" w:sz="0" w:space="4"/>
        <w:bottom w:val="single" w:color="auto" w:sz="4" w:space="1"/>
        <w:right w:val="none" w:color="auto" w:sz="0" w:space="4"/>
      </w:pBdr>
    </w:pPr>
    <w:r>
      <w:rPr>
        <w:rFonts w:hint="eastAsia"/>
        <w:lang w:eastAsia="zh-CN"/>
      </w:rPr>
      <w:t>陕西省水工环地质调查中心大深度地质雷达系统采购项目</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65B10"/>
    <w:multiLevelType w:val="singleLevel"/>
    <w:tmpl w:val="ED065B10"/>
    <w:lvl w:ilvl="0" w:tentative="0">
      <w:start w:val="15"/>
      <w:numFmt w:val="decimal"/>
      <w:lvlText w:val="%1."/>
      <w:lvlJc w:val="left"/>
      <w:pPr>
        <w:tabs>
          <w:tab w:val="left" w:pos="312"/>
        </w:tabs>
      </w:pPr>
    </w:lvl>
  </w:abstractNum>
  <w:abstractNum w:abstractNumId="1">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b/>
        <w:i w:val="0"/>
        <w:sz w:val="32"/>
        <w:szCs w:val="32"/>
      </w:rPr>
    </w:lvl>
    <w:lvl w:ilvl="1" w:tentative="0">
      <w:start w:val="1"/>
      <w:numFmt w:val="decimal"/>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pStyle w:val="5"/>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abstractNum w:abstractNumId="2">
    <w:nsid w:val="0F7F9F3B"/>
    <w:multiLevelType w:val="singleLevel"/>
    <w:tmpl w:val="0F7F9F3B"/>
    <w:lvl w:ilvl="0" w:tentative="0">
      <w:start w:val="32"/>
      <w:numFmt w:val="decimal"/>
      <w:lvlText w:val="%1."/>
      <w:lvlJc w:val="left"/>
      <w:pPr>
        <w:tabs>
          <w:tab w:val="left" w:pos="312"/>
        </w:tabs>
      </w:pPr>
    </w:lvl>
  </w:abstractNum>
  <w:abstractNum w:abstractNumId="3">
    <w:nsid w:val="15C3AC2A"/>
    <w:multiLevelType w:val="singleLevel"/>
    <w:tmpl w:val="15C3AC2A"/>
    <w:lvl w:ilvl="0" w:tentative="0">
      <w:start w:val="1"/>
      <w:numFmt w:val="decimal"/>
      <w:suff w:val="space"/>
      <w:lvlText w:val="%1."/>
      <w:lvlJc w:val="left"/>
    </w:lvl>
  </w:abstractNum>
  <w:abstractNum w:abstractNumId="4">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5">
    <w:nsid w:val="6A6CD215"/>
    <w:multiLevelType w:val="singleLevel"/>
    <w:tmpl w:val="6A6CD215"/>
    <w:lvl w:ilvl="0" w:tentative="0">
      <w:start w:val="6"/>
      <w:numFmt w:val="chineseCounting"/>
      <w:suff w:val="nothing"/>
      <w:lvlText w:val="%1、"/>
      <w:lvlJc w:val="left"/>
      <w:rPr>
        <w:rFonts w:hint="eastAsia"/>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YTZkNjU1YjVkNzEzZTljNzlmNmY5NzM5M2VjOTQifQ=="/>
  </w:docVars>
  <w:rsids>
    <w:rsidRoot w:val="00667826"/>
    <w:rsid w:val="00012864"/>
    <w:rsid w:val="0002568F"/>
    <w:rsid w:val="00026DD7"/>
    <w:rsid w:val="00026E06"/>
    <w:rsid w:val="00036993"/>
    <w:rsid w:val="00046139"/>
    <w:rsid w:val="00050020"/>
    <w:rsid w:val="00062B39"/>
    <w:rsid w:val="00066758"/>
    <w:rsid w:val="0006691D"/>
    <w:rsid w:val="00070725"/>
    <w:rsid w:val="00072085"/>
    <w:rsid w:val="000722DF"/>
    <w:rsid w:val="00073258"/>
    <w:rsid w:val="00075DE3"/>
    <w:rsid w:val="00084D20"/>
    <w:rsid w:val="000852E8"/>
    <w:rsid w:val="00087AB1"/>
    <w:rsid w:val="00094A74"/>
    <w:rsid w:val="00096AE7"/>
    <w:rsid w:val="000A04C3"/>
    <w:rsid w:val="000A0AD1"/>
    <w:rsid w:val="000A0CDE"/>
    <w:rsid w:val="000A20EC"/>
    <w:rsid w:val="000A3656"/>
    <w:rsid w:val="000A42FA"/>
    <w:rsid w:val="000B311C"/>
    <w:rsid w:val="000B6A96"/>
    <w:rsid w:val="000B7963"/>
    <w:rsid w:val="000C07EA"/>
    <w:rsid w:val="000C210D"/>
    <w:rsid w:val="000C2218"/>
    <w:rsid w:val="000C35AD"/>
    <w:rsid w:val="000C47B4"/>
    <w:rsid w:val="000C547C"/>
    <w:rsid w:val="000C7519"/>
    <w:rsid w:val="000D35E7"/>
    <w:rsid w:val="000D3FD5"/>
    <w:rsid w:val="000D4BEF"/>
    <w:rsid w:val="000D735F"/>
    <w:rsid w:val="000F3338"/>
    <w:rsid w:val="000F3FD1"/>
    <w:rsid w:val="000F4D75"/>
    <w:rsid w:val="000F67E3"/>
    <w:rsid w:val="00104D06"/>
    <w:rsid w:val="00106F1A"/>
    <w:rsid w:val="00112FA9"/>
    <w:rsid w:val="001132DA"/>
    <w:rsid w:val="0011613A"/>
    <w:rsid w:val="0012112C"/>
    <w:rsid w:val="001277BC"/>
    <w:rsid w:val="00131E03"/>
    <w:rsid w:val="001348AE"/>
    <w:rsid w:val="00134F02"/>
    <w:rsid w:val="00135DBD"/>
    <w:rsid w:val="00144ED2"/>
    <w:rsid w:val="00146F7E"/>
    <w:rsid w:val="00147CDB"/>
    <w:rsid w:val="00150393"/>
    <w:rsid w:val="00150BBF"/>
    <w:rsid w:val="00151C6B"/>
    <w:rsid w:val="001532D7"/>
    <w:rsid w:val="0015485E"/>
    <w:rsid w:val="001574E2"/>
    <w:rsid w:val="001600B6"/>
    <w:rsid w:val="00161134"/>
    <w:rsid w:val="001666CF"/>
    <w:rsid w:val="00190234"/>
    <w:rsid w:val="00195277"/>
    <w:rsid w:val="001A6BE8"/>
    <w:rsid w:val="001B23D9"/>
    <w:rsid w:val="001B4CFB"/>
    <w:rsid w:val="001C0579"/>
    <w:rsid w:val="001C61C2"/>
    <w:rsid w:val="001D718E"/>
    <w:rsid w:val="001D7C92"/>
    <w:rsid w:val="001E0F38"/>
    <w:rsid w:val="001E3EC1"/>
    <w:rsid w:val="001E7D5A"/>
    <w:rsid w:val="001F08C3"/>
    <w:rsid w:val="001F1182"/>
    <w:rsid w:val="001F1EA1"/>
    <w:rsid w:val="001F2228"/>
    <w:rsid w:val="00212786"/>
    <w:rsid w:val="002128FE"/>
    <w:rsid w:val="00213C5D"/>
    <w:rsid w:val="00214EA5"/>
    <w:rsid w:val="00216247"/>
    <w:rsid w:val="002428B2"/>
    <w:rsid w:val="0024690E"/>
    <w:rsid w:val="00257758"/>
    <w:rsid w:val="00263598"/>
    <w:rsid w:val="00271298"/>
    <w:rsid w:val="002835CA"/>
    <w:rsid w:val="00287FF9"/>
    <w:rsid w:val="002921D7"/>
    <w:rsid w:val="002922A5"/>
    <w:rsid w:val="00296DFA"/>
    <w:rsid w:val="002B1230"/>
    <w:rsid w:val="002B7802"/>
    <w:rsid w:val="002D009A"/>
    <w:rsid w:val="002E3282"/>
    <w:rsid w:val="002F6543"/>
    <w:rsid w:val="0030031A"/>
    <w:rsid w:val="0030094B"/>
    <w:rsid w:val="0030138D"/>
    <w:rsid w:val="003039FE"/>
    <w:rsid w:val="00305DEE"/>
    <w:rsid w:val="0032067D"/>
    <w:rsid w:val="003211D6"/>
    <w:rsid w:val="00326713"/>
    <w:rsid w:val="003318E4"/>
    <w:rsid w:val="0033201A"/>
    <w:rsid w:val="00332CB8"/>
    <w:rsid w:val="00336747"/>
    <w:rsid w:val="003454F7"/>
    <w:rsid w:val="00345958"/>
    <w:rsid w:val="003567E9"/>
    <w:rsid w:val="00356BCE"/>
    <w:rsid w:val="00363C9E"/>
    <w:rsid w:val="00364D9F"/>
    <w:rsid w:val="0036655C"/>
    <w:rsid w:val="00366C3A"/>
    <w:rsid w:val="0037110C"/>
    <w:rsid w:val="00380E30"/>
    <w:rsid w:val="0038233E"/>
    <w:rsid w:val="00382527"/>
    <w:rsid w:val="00382B68"/>
    <w:rsid w:val="00397E17"/>
    <w:rsid w:val="003A381D"/>
    <w:rsid w:val="003A48C6"/>
    <w:rsid w:val="003C20C5"/>
    <w:rsid w:val="003C2A7F"/>
    <w:rsid w:val="003C7F9A"/>
    <w:rsid w:val="003D143E"/>
    <w:rsid w:val="003D2280"/>
    <w:rsid w:val="003D4642"/>
    <w:rsid w:val="003D51A4"/>
    <w:rsid w:val="003E068C"/>
    <w:rsid w:val="003E6E75"/>
    <w:rsid w:val="003F1E8E"/>
    <w:rsid w:val="004024B5"/>
    <w:rsid w:val="00403D78"/>
    <w:rsid w:val="0040616E"/>
    <w:rsid w:val="00410F17"/>
    <w:rsid w:val="004124B2"/>
    <w:rsid w:val="00412F71"/>
    <w:rsid w:val="004147C7"/>
    <w:rsid w:val="004218CA"/>
    <w:rsid w:val="00425C37"/>
    <w:rsid w:val="0042684E"/>
    <w:rsid w:val="00430EC1"/>
    <w:rsid w:val="004357C2"/>
    <w:rsid w:val="00436812"/>
    <w:rsid w:val="004550CB"/>
    <w:rsid w:val="004629FD"/>
    <w:rsid w:val="00467152"/>
    <w:rsid w:val="00470FB6"/>
    <w:rsid w:val="004828A5"/>
    <w:rsid w:val="004910D6"/>
    <w:rsid w:val="00496E9C"/>
    <w:rsid w:val="004978B9"/>
    <w:rsid w:val="004A0822"/>
    <w:rsid w:val="004A2119"/>
    <w:rsid w:val="004B41D8"/>
    <w:rsid w:val="004B5046"/>
    <w:rsid w:val="004C4475"/>
    <w:rsid w:val="004C4B0E"/>
    <w:rsid w:val="004C7FCF"/>
    <w:rsid w:val="004D30F8"/>
    <w:rsid w:val="004D7287"/>
    <w:rsid w:val="004D7C55"/>
    <w:rsid w:val="004E04D8"/>
    <w:rsid w:val="004F1249"/>
    <w:rsid w:val="004F3577"/>
    <w:rsid w:val="004F7A7B"/>
    <w:rsid w:val="005004AB"/>
    <w:rsid w:val="0050234F"/>
    <w:rsid w:val="005030E7"/>
    <w:rsid w:val="00504ACB"/>
    <w:rsid w:val="00511AC9"/>
    <w:rsid w:val="005214DE"/>
    <w:rsid w:val="00521A76"/>
    <w:rsid w:val="005258FF"/>
    <w:rsid w:val="00530D79"/>
    <w:rsid w:val="00543F63"/>
    <w:rsid w:val="00554F8D"/>
    <w:rsid w:val="00561162"/>
    <w:rsid w:val="00561322"/>
    <w:rsid w:val="005646A2"/>
    <w:rsid w:val="00565463"/>
    <w:rsid w:val="005665D7"/>
    <w:rsid w:val="005672AF"/>
    <w:rsid w:val="00571095"/>
    <w:rsid w:val="00581455"/>
    <w:rsid w:val="00583D61"/>
    <w:rsid w:val="005A032A"/>
    <w:rsid w:val="005A389B"/>
    <w:rsid w:val="005A428B"/>
    <w:rsid w:val="005A48C2"/>
    <w:rsid w:val="005A48F6"/>
    <w:rsid w:val="005C132B"/>
    <w:rsid w:val="005C5CBB"/>
    <w:rsid w:val="005E2600"/>
    <w:rsid w:val="005E35E4"/>
    <w:rsid w:val="005E3FA6"/>
    <w:rsid w:val="005E6068"/>
    <w:rsid w:val="005F1561"/>
    <w:rsid w:val="005F36E4"/>
    <w:rsid w:val="005F7892"/>
    <w:rsid w:val="00601E11"/>
    <w:rsid w:val="00606F5E"/>
    <w:rsid w:val="00610C35"/>
    <w:rsid w:val="00611C4D"/>
    <w:rsid w:val="00625887"/>
    <w:rsid w:val="00630485"/>
    <w:rsid w:val="00633B6E"/>
    <w:rsid w:val="00640277"/>
    <w:rsid w:val="00653870"/>
    <w:rsid w:val="00655271"/>
    <w:rsid w:val="00655867"/>
    <w:rsid w:val="006671E8"/>
    <w:rsid w:val="00667826"/>
    <w:rsid w:val="006834C6"/>
    <w:rsid w:val="006839F5"/>
    <w:rsid w:val="00684E1B"/>
    <w:rsid w:val="00690B8C"/>
    <w:rsid w:val="006943FB"/>
    <w:rsid w:val="006A319E"/>
    <w:rsid w:val="006A555C"/>
    <w:rsid w:val="006B02B0"/>
    <w:rsid w:val="006B0898"/>
    <w:rsid w:val="006B1247"/>
    <w:rsid w:val="006B4FC1"/>
    <w:rsid w:val="006B6227"/>
    <w:rsid w:val="006B6F5C"/>
    <w:rsid w:val="006C0752"/>
    <w:rsid w:val="006C0EF7"/>
    <w:rsid w:val="006C13D0"/>
    <w:rsid w:val="006C260B"/>
    <w:rsid w:val="006C6866"/>
    <w:rsid w:val="006D1DF6"/>
    <w:rsid w:val="006D3FB6"/>
    <w:rsid w:val="006E3D9E"/>
    <w:rsid w:val="006E638D"/>
    <w:rsid w:val="006E7219"/>
    <w:rsid w:val="006F0561"/>
    <w:rsid w:val="00700196"/>
    <w:rsid w:val="00700F4D"/>
    <w:rsid w:val="00706401"/>
    <w:rsid w:val="007153EA"/>
    <w:rsid w:val="00715D60"/>
    <w:rsid w:val="00716CE9"/>
    <w:rsid w:val="007364A1"/>
    <w:rsid w:val="007370EC"/>
    <w:rsid w:val="00737200"/>
    <w:rsid w:val="00744F6F"/>
    <w:rsid w:val="00746437"/>
    <w:rsid w:val="00761052"/>
    <w:rsid w:val="0077511C"/>
    <w:rsid w:val="00775DEA"/>
    <w:rsid w:val="007841E2"/>
    <w:rsid w:val="0078607F"/>
    <w:rsid w:val="00792605"/>
    <w:rsid w:val="007A325C"/>
    <w:rsid w:val="007A3D55"/>
    <w:rsid w:val="007A62FF"/>
    <w:rsid w:val="007B3AE8"/>
    <w:rsid w:val="007B4A25"/>
    <w:rsid w:val="007B4E11"/>
    <w:rsid w:val="007C034B"/>
    <w:rsid w:val="007C43E4"/>
    <w:rsid w:val="007C45AB"/>
    <w:rsid w:val="007C7BC0"/>
    <w:rsid w:val="007D3FA3"/>
    <w:rsid w:val="007F153E"/>
    <w:rsid w:val="007F1B74"/>
    <w:rsid w:val="007F1F0E"/>
    <w:rsid w:val="00805225"/>
    <w:rsid w:val="0080560F"/>
    <w:rsid w:val="008078B7"/>
    <w:rsid w:val="008103B2"/>
    <w:rsid w:val="00812A5F"/>
    <w:rsid w:val="008152D3"/>
    <w:rsid w:val="00820BB4"/>
    <w:rsid w:val="0083186F"/>
    <w:rsid w:val="008329B5"/>
    <w:rsid w:val="00832F74"/>
    <w:rsid w:val="008359C3"/>
    <w:rsid w:val="00835FAF"/>
    <w:rsid w:val="00836E9F"/>
    <w:rsid w:val="0084294A"/>
    <w:rsid w:val="00847B11"/>
    <w:rsid w:val="00852FCE"/>
    <w:rsid w:val="00853709"/>
    <w:rsid w:val="008554E3"/>
    <w:rsid w:val="008575B7"/>
    <w:rsid w:val="00857868"/>
    <w:rsid w:val="00861134"/>
    <w:rsid w:val="00864FFC"/>
    <w:rsid w:val="00865C45"/>
    <w:rsid w:val="00870A27"/>
    <w:rsid w:val="00880342"/>
    <w:rsid w:val="008814EE"/>
    <w:rsid w:val="0089188B"/>
    <w:rsid w:val="00892037"/>
    <w:rsid w:val="00894417"/>
    <w:rsid w:val="00896473"/>
    <w:rsid w:val="008A14C7"/>
    <w:rsid w:val="008A2BD0"/>
    <w:rsid w:val="008B2147"/>
    <w:rsid w:val="008C2841"/>
    <w:rsid w:val="008C3C47"/>
    <w:rsid w:val="008C75AB"/>
    <w:rsid w:val="008D4968"/>
    <w:rsid w:val="008E1E73"/>
    <w:rsid w:val="008E4DD6"/>
    <w:rsid w:val="008E78BD"/>
    <w:rsid w:val="008F0F33"/>
    <w:rsid w:val="008F1D7E"/>
    <w:rsid w:val="00902C3C"/>
    <w:rsid w:val="00903C34"/>
    <w:rsid w:val="009067F8"/>
    <w:rsid w:val="00906883"/>
    <w:rsid w:val="00911221"/>
    <w:rsid w:val="00911458"/>
    <w:rsid w:val="0091424B"/>
    <w:rsid w:val="00920A7E"/>
    <w:rsid w:val="00926711"/>
    <w:rsid w:val="009419E5"/>
    <w:rsid w:val="00946E82"/>
    <w:rsid w:val="009473B3"/>
    <w:rsid w:val="00955E49"/>
    <w:rsid w:val="009655DC"/>
    <w:rsid w:val="00984AA4"/>
    <w:rsid w:val="00985452"/>
    <w:rsid w:val="00993ABF"/>
    <w:rsid w:val="00995462"/>
    <w:rsid w:val="00995CE3"/>
    <w:rsid w:val="009A3798"/>
    <w:rsid w:val="009C2854"/>
    <w:rsid w:val="009C2C53"/>
    <w:rsid w:val="009C7AFE"/>
    <w:rsid w:val="009D1526"/>
    <w:rsid w:val="009D385B"/>
    <w:rsid w:val="009D3B1A"/>
    <w:rsid w:val="009D54C8"/>
    <w:rsid w:val="009E221D"/>
    <w:rsid w:val="009E5810"/>
    <w:rsid w:val="009F3814"/>
    <w:rsid w:val="009F4ABC"/>
    <w:rsid w:val="00A03B5E"/>
    <w:rsid w:val="00A10709"/>
    <w:rsid w:val="00A136A3"/>
    <w:rsid w:val="00A21A91"/>
    <w:rsid w:val="00A233A6"/>
    <w:rsid w:val="00A30873"/>
    <w:rsid w:val="00A3090E"/>
    <w:rsid w:val="00A40AB8"/>
    <w:rsid w:val="00A46ED2"/>
    <w:rsid w:val="00A473B2"/>
    <w:rsid w:val="00A52A97"/>
    <w:rsid w:val="00A63AE0"/>
    <w:rsid w:val="00A67D58"/>
    <w:rsid w:val="00A72617"/>
    <w:rsid w:val="00A733ED"/>
    <w:rsid w:val="00A81CE6"/>
    <w:rsid w:val="00A82FC4"/>
    <w:rsid w:val="00A848D8"/>
    <w:rsid w:val="00A90D1B"/>
    <w:rsid w:val="00A90DEA"/>
    <w:rsid w:val="00A923D3"/>
    <w:rsid w:val="00A93453"/>
    <w:rsid w:val="00A9637B"/>
    <w:rsid w:val="00AA1C8A"/>
    <w:rsid w:val="00AA2EEB"/>
    <w:rsid w:val="00AB3904"/>
    <w:rsid w:val="00AB7DA6"/>
    <w:rsid w:val="00AC3566"/>
    <w:rsid w:val="00AC67E9"/>
    <w:rsid w:val="00AD47AC"/>
    <w:rsid w:val="00AD6399"/>
    <w:rsid w:val="00AE24C8"/>
    <w:rsid w:val="00AE3A25"/>
    <w:rsid w:val="00AF0621"/>
    <w:rsid w:val="00AF126B"/>
    <w:rsid w:val="00AF7538"/>
    <w:rsid w:val="00B231D9"/>
    <w:rsid w:val="00B3164A"/>
    <w:rsid w:val="00B319F6"/>
    <w:rsid w:val="00B3283D"/>
    <w:rsid w:val="00B436C6"/>
    <w:rsid w:val="00B67A43"/>
    <w:rsid w:val="00B711A2"/>
    <w:rsid w:val="00B776D0"/>
    <w:rsid w:val="00B90256"/>
    <w:rsid w:val="00B93C5B"/>
    <w:rsid w:val="00BA2E58"/>
    <w:rsid w:val="00BA76F1"/>
    <w:rsid w:val="00BB49EC"/>
    <w:rsid w:val="00BB7EFD"/>
    <w:rsid w:val="00BC3843"/>
    <w:rsid w:val="00BC5493"/>
    <w:rsid w:val="00BC780F"/>
    <w:rsid w:val="00BD3EFF"/>
    <w:rsid w:val="00BD4EDF"/>
    <w:rsid w:val="00BD626F"/>
    <w:rsid w:val="00BD6438"/>
    <w:rsid w:val="00BE32C4"/>
    <w:rsid w:val="00BF15BA"/>
    <w:rsid w:val="00BF35DD"/>
    <w:rsid w:val="00BF53E2"/>
    <w:rsid w:val="00C02EF4"/>
    <w:rsid w:val="00C03CF7"/>
    <w:rsid w:val="00C05B66"/>
    <w:rsid w:val="00C10199"/>
    <w:rsid w:val="00C16F31"/>
    <w:rsid w:val="00C22503"/>
    <w:rsid w:val="00C30D0F"/>
    <w:rsid w:val="00C34D06"/>
    <w:rsid w:val="00C45393"/>
    <w:rsid w:val="00C46328"/>
    <w:rsid w:val="00C47FFD"/>
    <w:rsid w:val="00C5210A"/>
    <w:rsid w:val="00C613C6"/>
    <w:rsid w:val="00C61997"/>
    <w:rsid w:val="00C64E76"/>
    <w:rsid w:val="00C652B7"/>
    <w:rsid w:val="00C77C64"/>
    <w:rsid w:val="00C93889"/>
    <w:rsid w:val="00CA4CD8"/>
    <w:rsid w:val="00CA6482"/>
    <w:rsid w:val="00CB4CF1"/>
    <w:rsid w:val="00CB511B"/>
    <w:rsid w:val="00CB7D04"/>
    <w:rsid w:val="00CC2593"/>
    <w:rsid w:val="00CC6BF6"/>
    <w:rsid w:val="00CD67FD"/>
    <w:rsid w:val="00CF4786"/>
    <w:rsid w:val="00CF4D42"/>
    <w:rsid w:val="00D01B5A"/>
    <w:rsid w:val="00D032CB"/>
    <w:rsid w:val="00D03EFA"/>
    <w:rsid w:val="00D06A22"/>
    <w:rsid w:val="00D07294"/>
    <w:rsid w:val="00D16098"/>
    <w:rsid w:val="00D17F88"/>
    <w:rsid w:val="00D20B4D"/>
    <w:rsid w:val="00D211AF"/>
    <w:rsid w:val="00D30493"/>
    <w:rsid w:val="00D441F8"/>
    <w:rsid w:val="00D46051"/>
    <w:rsid w:val="00D50696"/>
    <w:rsid w:val="00D51F0A"/>
    <w:rsid w:val="00D56D1D"/>
    <w:rsid w:val="00D6012B"/>
    <w:rsid w:val="00D66DE7"/>
    <w:rsid w:val="00D6736B"/>
    <w:rsid w:val="00D7295A"/>
    <w:rsid w:val="00D74591"/>
    <w:rsid w:val="00D75B69"/>
    <w:rsid w:val="00D90C40"/>
    <w:rsid w:val="00D95C61"/>
    <w:rsid w:val="00D969C3"/>
    <w:rsid w:val="00D96A82"/>
    <w:rsid w:val="00D96AB6"/>
    <w:rsid w:val="00D97D13"/>
    <w:rsid w:val="00DA485C"/>
    <w:rsid w:val="00DA4CC5"/>
    <w:rsid w:val="00DA7CA6"/>
    <w:rsid w:val="00DB0E53"/>
    <w:rsid w:val="00DB2369"/>
    <w:rsid w:val="00DB6D3B"/>
    <w:rsid w:val="00DB7FD4"/>
    <w:rsid w:val="00DC1D16"/>
    <w:rsid w:val="00DC6341"/>
    <w:rsid w:val="00DD68AB"/>
    <w:rsid w:val="00DD7FE0"/>
    <w:rsid w:val="00E01046"/>
    <w:rsid w:val="00E01633"/>
    <w:rsid w:val="00E044B6"/>
    <w:rsid w:val="00E04568"/>
    <w:rsid w:val="00E1633F"/>
    <w:rsid w:val="00E22B1F"/>
    <w:rsid w:val="00E23C0A"/>
    <w:rsid w:val="00E2507B"/>
    <w:rsid w:val="00E25AD4"/>
    <w:rsid w:val="00E2780C"/>
    <w:rsid w:val="00E3537F"/>
    <w:rsid w:val="00E36EA7"/>
    <w:rsid w:val="00E4399F"/>
    <w:rsid w:val="00E567D6"/>
    <w:rsid w:val="00E56988"/>
    <w:rsid w:val="00E6175F"/>
    <w:rsid w:val="00E622AF"/>
    <w:rsid w:val="00E65B99"/>
    <w:rsid w:val="00E67D30"/>
    <w:rsid w:val="00E759B0"/>
    <w:rsid w:val="00E820D8"/>
    <w:rsid w:val="00E91C44"/>
    <w:rsid w:val="00E93E7D"/>
    <w:rsid w:val="00E94405"/>
    <w:rsid w:val="00EA0BCA"/>
    <w:rsid w:val="00EA3D98"/>
    <w:rsid w:val="00EC537F"/>
    <w:rsid w:val="00EC69F4"/>
    <w:rsid w:val="00EE5139"/>
    <w:rsid w:val="00F00B47"/>
    <w:rsid w:val="00F02009"/>
    <w:rsid w:val="00F0728A"/>
    <w:rsid w:val="00F07AA1"/>
    <w:rsid w:val="00F07F81"/>
    <w:rsid w:val="00F13105"/>
    <w:rsid w:val="00F17106"/>
    <w:rsid w:val="00F23E21"/>
    <w:rsid w:val="00F30883"/>
    <w:rsid w:val="00F32FFA"/>
    <w:rsid w:val="00F40168"/>
    <w:rsid w:val="00F45197"/>
    <w:rsid w:val="00F475F3"/>
    <w:rsid w:val="00F57A07"/>
    <w:rsid w:val="00F662DD"/>
    <w:rsid w:val="00F809D0"/>
    <w:rsid w:val="00F81079"/>
    <w:rsid w:val="00F81E9D"/>
    <w:rsid w:val="00F8424A"/>
    <w:rsid w:val="00FA23EC"/>
    <w:rsid w:val="00FA3CB4"/>
    <w:rsid w:val="00FA71D2"/>
    <w:rsid w:val="00FB03F8"/>
    <w:rsid w:val="00FB0644"/>
    <w:rsid w:val="00FC26D1"/>
    <w:rsid w:val="00FC60F2"/>
    <w:rsid w:val="00FC7FB1"/>
    <w:rsid w:val="00FF3CA2"/>
    <w:rsid w:val="00FF667E"/>
    <w:rsid w:val="010B089C"/>
    <w:rsid w:val="0149727D"/>
    <w:rsid w:val="016B7026"/>
    <w:rsid w:val="01A87038"/>
    <w:rsid w:val="01D45280"/>
    <w:rsid w:val="02312C18"/>
    <w:rsid w:val="02535B20"/>
    <w:rsid w:val="029A1B3E"/>
    <w:rsid w:val="02AB36C2"/>
    <w:rsid w:val="02B865C8"/>
    <w:rsid w:val="02FF6AB0"/>
    <w:rsid w:val="035455B5"/>
    <w:rsid w:val="036F6FBD"/>
    <w:rsid w:val="03873994"/>
    <w:rsid w:val="03BF77F9"/>
    <w:rsid w:val="03E7244E"/>
    <w:rsid w:val="042555D1"/>
    <w:rsid w:val="043B5EBB"/>
    <w:rsid w:val="04552B09"/>
    <w:rsid w:val="04911272"/>
    <w:rsid w:val="04C61AB3"/>
    <w:rsid w:val="04E63E98"/>
    <w:rsid w:val="050B3E59"/>
    <w:rsid w:val="055067EC"/>
    <w:rsid w:val="05681222"/>
    <w:rsid w:val="057063BE"/>
    <w:rsid w:val="058B0F58"/>
    <w:rsid w:val="05AC4E56"/>
    <w:rsid w:val="05C54E4C"/>
    <w:rsid w:val="061439B5"/>
    <w:rsid w:val="06373E36"/>
    <w:rsid w:val="069F2084"/>
    <w:rsid w:val="06BD0A35"/>
    <w:rsid w:val="06FE5332"/>
    <w:rsid w:val="07164D25"/>
    <w:rsid w:val="07B12DCF"/>
    <w:rsid w:val="07C80CD2"/>
    <w:rsid w:val="07CB1CE3"/>
    <w:rsid w:val="07D47CE6"/>
    <w:rsid w:val="07EB16F0"/>
    <w:rsid w:val="07F8315B"/>
    <w:rsid w:val="07FF0256"/>
    <w:rsid w:val="0805246C"/>
    <w:rsid w:val="08687FDA"/>
    <w:rsid w:val="08865772"/>
    <w:rsid w:val="08A4622C"/>
    <w:rsid w:val="08BA7587"/>
    <w:rsid w:val="09212EDB"/>
    <w:rsid w:val="093C73A3"/>
    <w:rsid w:val="09402855"/>
    <w:rsid w:val="09A210E9"/>
    <w:rsid w:val="09C37D91"/>
    <w:rsid w:val="09DA04BF"/>
    <w:rsid w:val="09E32BAB"/>
    <w:rsid w:val="09F5161D"/>
    <w:rsid w:val="0AD424DF"/>
    <w:rsid w:val="0AD950EC"/>
    <w:rsid w:val="0AEE30D5"/>
    <w:rsid w:val="0AF50259"/>
    <w:rsid w:val="0B63277E"/>
    <w:rsid w:val="0B7F3FC7"/>
    <w:rsid w:val="0B867869"/>
    <w:rsid w:val="0BBF5488"/>
    <w:rsid w:val="0C046A34"/>
    <w:rsid w:val="0C6100D1"/>
    <w:rsid w:val="0C7B75DC"/>
    <w:rsid w:val="0C870A55"/>
    <w:rsid w:val="0C8A70D9"/>
    <w:rsid w:val="0CB06DDC"/>
    <w:rsid w:val="0D0608FB"/>
    <w:rsid w:val="0D1D6CE3"/>
    <w:rsid w:val="0D2A5F44"/>
    <w:rsid w:val="0D3B3FE2"/>
    <w:rsid w:val="0D636772"/>
    <w:rsid w:val="0D6D3E71"/>
    <w:rsid w:val="0D814068"/>
    <w:rsid w:val="0DA656A7"/>
    <w:rsid w:val="0DB53C92"/>
    <w:rsid w:val="0E5F1291"/>
    <w:rsid w:val="0E840528"/>
    <w:rsid w:val="0EB41B5C"/>
    <w:rsid w:val="0EB55E81"/>
    <w:rsid w:val="0EDB4AD6"/>
    <w:rsid w:val="0EDE0303"/>
    <w:rsid w:val="0EF85B98"/>
    <w:rsid w:val="0F6F59E1"/>
    <w:rsid w:val="0FCE3EDB"/>
    <w:rsid w:val="10680330"/>
    <w:rsid w:val="107734BE"/>
    <w:rsid w:val="10BE33AF"/>
    <w:rsid w:val="10C80620"/>
    <w:rsid w:val="10F863AD"/>
    <w:rsid w:val="110A553C"/>
    <w:rsid w:val="114A26FD"/>
    <w:rsid w:val="11943EAB"/>
    <w:rsid w:val="11B23228"/>
    <w:rsid w:val="11BA4AD4"/>
    <w:rsid w:val="11F81CAB"/>
    <w:rsid w:val="120A6719"/>
    <w:rsid w:val="122B4622"/>
    <w:rsid w:val="1242764C"/>
    <w:rsid w:val="126E569C"/>
    <w:rsid w:val="127B1F23"/>
    <w:rsid w:val="129978F3"/>
    <w:rsid w:val="130267DA"/>
    <w:rsid w:val="130F09A7"/>
    <w:rsid w:val="131D5028"/>
    <w:rsid w:val="131F5B97"/>
    <w:rsid w:val="13267F07"/>
    <w:rsid w:val="13420660"/>
    <w:rsid w:val="13550837"/>
    <w:rsid w:val="1356385F"/>
    <w:rsid w:val="13581385"/>
    <w:rsid w:val="13A42F1E"/>
    <w:rsid w:val="14411257"/>
    <w:rsid w:val="145466AD"/>
    <w:rsid w:val="146151D1"/>
    <w:rsid w:val="148E0EDF"/>
    <w:rsid w:val="14CB4B05"/>
    <w:rsid w:val="152D6508"/>
    <w:rsid w:val="15392F52"/>
    <w:rsid w:val="159365AD"/>
    <w:rsid w:val="15B73AB7"/>
    <w:rsid w:val="15CB5385"/>
    <w:rsid w:val="15DA4AAE"/>
    <w:rsid w:val="162B2C79"/>
    <w:rsid w:val="16FE7123"/>
    <w:rsid w:val="170500B3"/>
    <w:rsid w:val="17392D16"/>
    <w:rsid w:val="17B43822"/>
    <w:rsid w:val="1804105D"/>
    <w:rsid w:val="18592060"/>
    <w:rsid w:val="18627C8C"/>
    <w:rsid w:val="186A3028"/>
    <w:rsid w:val="189402E0"/>
    <w:rsid w:val="18C02431"/>
    <w:rsid w:val="18D8084E"/>
    <w:rsid w:val="18DC607F"/>
    <w:rsid w:val="18ED66C4"/>
    <w:rsid w:val="19197FD5"/>
    <w:rsid w:val="191F5B41"/>
    <w:rsid w:val="194A5CAD"/>
    <w:rsid w:val="1A023090"/>
    <w:rsid w:val="1A3348FA"/>
    <w:rsid w:val="1A400152"/>
    <w:rsid w:val="1A4729C7"/>
    <w:rsid w:val="1A816E40"/>
    <w:rsid w:val="1AA95F23"/>
    <w:rsid w:val="1ADD03C2"/>
    <w:rsid w:val="1AED4EFF"/>
    <w:rsid w:val="1AFD0A64"/>
    <w:rsid w:val="1B685FEA"/>
    <w:rsid w:val="1BBD32A4"/>
    <w:rsid w:val="1C2C7C95"/>
    <w:rsid w:val="1C476D83"/>
    <w:rsid w:val="1C594200"/>
    <w:rsid w:val="1C7D3E7D"/>
    <w:rsid w:val="1CBF22CC"/>
    <w:rsid w:val="1CD210BE"/>
    <w:rsid w:val="1D5A321C"/>
    <w:rsid w:val="1D6D0123"/>
    <w:rsid w:val="1DA05B37"/>
    <w:rsid w:val="1E0068A1"/>
    <w:rsid w:val="1E4D4EC3"/>
    <w:rsid w:val="1E64045F"/>
    <w:rsid w:val="1E8C3F5A"/>
    <w:rsid w:val="1EA01E32"/>
    <w:rsid w:val="1EC54D92"/>
    <w:rsid w:val="1ECA17E2"/>
    <w:rsid w:val="1F007DAA"/>
    <w:rsid w:val="1F0B693B"/>
    <w:rsid w:val="201F345A"/>
    <w:rsid w:val="20204431"/>
    <w:rsid w:val="205C5AE2"/>
    <w:rsid w:val="20A025BE"/>
    <w:rsid w:val="20D85F2F"/>
    <w:rsid w:val="20F072EE"/>
    <w:rsid w:val="21091F11"/>
    <w:rsid w:val="21303D4A"/>
    <w:rsid w:val="2151320C"/>
    <w:rsid w:val="21596DDD"/>
    <w:rsid w:val="21B31DCE"/>
    <w:rsid w:val="21B4396E"/>
    <w:rsid w:val="21C20E45"/>
    <w:rsid w:val="21D12840"/>
    <w:rsid w:val="221A3813"/>
    <w:rsid w:val="22322EE5"/>
    <w:rsid w:val="223446E4"/>
    <w:rsid w:val="22615C1F"/>
    <w:rsid w:val="226769BA"/>
    <w:rsid w:val="228F67B6"/>
    <w:rsid w:val="22AF220F"/>
    <w:rsid w:val="22CB7D75"/>
    <w:rsid w:val="23025883"/>
    <w:rsid w:val="23117F72"/>
    <w:rsid w:val="235333B2"/>
    <w:rsid w:val="23953F30"/>
    <w:rsid w:val="23CE5342"/>
    <w:rsid w:val="23DF477D"/>
    <w:rsid w:val="24166F5E"/>
    <w:rsid w:val="24C101A3"/>
    <w:rsid w:val="24CF1D1B"/>
    <w:rsid w:val="24E00B9A"/>
    <w:rsid w:val="24F83CA6"/>
    <w:rsid w:val="24FF6042"/>
    <w:rsid w:val="2539480D"/>
    <w:rsid w:val="25565941"/>
    <w:rsid w:val="25573708"/>
    <w:rsid w:val="255A581D"/>
    <w:rsid w:val="25877EAE"/>
    <w:rsid w:val="25B74631"/>
    <w:rsid w:val="25BF34E6"/>
    <w:rsid w:val="25D96A50"/>
    <w:rsid w:val="25F24B46"/>
    <w:rsid w:val="25F866FF"/>
    <w:rsid w:val="268A3456"/>
    <w:rsid w:val="26DD2814"/>
    <w:rsid w:val="26E03C43"/>
    <w:rsid w:val="26F23447"/>
    <w:rsid w:val="272C0707"/>
    <w:rsid w:val="27B3148D"/>
    <w:rsid w:val="27C55B95"/>
    <w:rsid w:val="27F60BC2"/>
    <w:rsid w:val="28285CC2"/>
    <w:rsid w:val="28333D17"/>
    <w:rsid w:val="28340D2E"/>
    <w:rsid w:val="28832F82"/>
    <w:rsid w:val="28E165D5"/>
    <w:rsid w:val="29453CC8"/>
    <w:rsid w:val="298C7DDD"/>
    <w:rsid w:val="299F7B13"/>
    <w:rsid w:val="29E11929"/>
    <w:rsid w:val="2A78677A"/>
    <w:rsid w:val="2A790F71"/>
    <w:rsid w:val="2A8535B5"/>
    <w:rsid w:val="2A8B1EEB"/>
    <w:rsid w:val="2ADD5FD4"/>
    <w:rsid w:val="2B1D381C"/>
    <w:rsid w:val="2B67440D"/>
    <w:rsid w:val="2B9D580D"/>
    <w:rsid w:val="2BAD21F6"/>
    <w:rsid w:val="2BEF3886"/>
    <w:rsid w:val="2BF66211"/>
    <w:rsid w:val="2BFA6100"/>
    <w:rsid w:val="2C493CE5"/>
    <w:rsid w:val="2C4B4D73"/>
    <w:rsid w:val="2C656456"/>
    <w:rsid w:val="2CB75184"/>
    <w:rsid w:val="2D2B1461"/>
    <w:rsid w:val="2D371D87"/>
    <w:rsid w:val="2D467BDD"/>
    <w:rsid w:val="2D992B1A"/>
    <w:rsid w:val="2DA17F1D"/>
    <w:rsid w:val="2DA3256D"/>
    <w:rsid w:val="2DC00AF5"/>
    <w:rsid w:val="2DD212E4"/>
    <w:rsid w:val="2DEF23E6"/>
    <w:rsid w:val="2E356953"/>
    <w:rsid w:val="2E56075F"/>
    <w:rsid w:val="2E615DF8"/>
    <w:rsid w:val="2EBC255E"/>
    <w:rsid w:val="2F5D6C4D"/>
    <w:rsid w:val="2F6D2B2D"/>
    <w:rsid w:val="2F9741F9"/>
    <w:rsid w:val="2FA85643"/>
    <w:rsid w:val="30037DB2"/>
    <w:rsid w:val="30540992"/>
    <w:rsid w:val="3055468E"/>
    <w:rsid w:val="306C426A"/>
    <w:rsid w:val="30A1145E"/>
    <w:rsid w:val="30A532D8"/>
    <w:rsid w:val="30D047F9"/>
    <w:rsid w:val="30F87A84"/>
    <w:rsid w:val="311A19D9"/>
    <w:rsid w:val="314A6B49"/>
    <w:rsid w:val="31744CBA"/>
    <w:rsid w:val="317A7F3F"/>
    <w:rsid w:val="31A47287"/>
    <w:rsid w:val="31BD2FCF"/>
    <w:rsid w:val="31EA3699"/>
    <w:rsid w:val="322B789F"/>
    <w:rsid w:val="32804067"/>
    <w:rsid w:val="32BF0681"/>
    <w:rsid w:val="32C31684"/>
    <w:rsid w:val="32E34198"/>
    <w:rsid w:val="32F752D0"/>
    <w:rsid w:val="333702C6"/>
    <w:rsid w:val="334F2C75"/>
    <w:rsid w:val="33C07DDC"/>
    <w:rsid w:val="34473E34"/>
    <w:rsid w:val="347248DD"/>
    <w:rsid w:val="34782E40"/>
    <w:rsid w:val="348E4FEA"/>
    <w:rsid w:val="3494734F"/>
    <w:rsid w:val="34A33566"/>
    <w:rsid w:val="34DB2170"/>
    <w:rsid w:val="35373E45"/>
    <w:rsid w:val="354608F4"/>
    <w:rsid w:val="354C0426"/>
    <w:rsid w:val="358D25B9"/>
    <w:rsid w:val="35AC79D2"/>
    <w:rsid w:val="35AD3072"/>
    <w:rsid w:val="35AE35D2"/>
    <w:rsid w:val="35C73F9F"/>
    <w:rsid w:val="35FC7E3E"/>
    <w:rsid w:val="360F50BC"/>
    <w:rsid w:val="3628143C"/>
    <w:rsid w:val="36587BB6"/>
    <w:rsid w:val="366C3D62"/>
    <w:rsid w:val="368E7AF1"/>
    <w:rsid w:val="36A9647F"/>
    <w:rsid w:val="36AA2780"/>
    <w:rsid w:val="372A0B38"/>
    <w:rsid w:val="375B2943"/>
    <w:rsid w:val="37CB7AC8"/>
    <w:rsid w:val="380E11B5"/>
    <w:rsid w:val="385C0D1F"/>
    <w:rsid w:val="388C79FD"/>
    <w:rsid w:val="38986678"/>
    <w:rsid w:val="38C21500"/>
    <w:rsid w:val="38DC2C3E"/>
    <w:rsid w:val="395F760A"/>
    <w:rsid w:val="39951F1C"/>
    <w:rsid w:val="3A4D48EE"/>
    <w:rsid w:val="3A545385"/>
    <w:rsid w:val="3A8A39A7"/>
    <w:rsid w:val="3A991B94"/>
    <w:rsid w:val="3AAE7559"/>
    <w:rsid w:val="3AC00E38"/>
    <w:rsid w:val="3ADF2C9D"/>
    <w:rsid w:val="3AEC060A"/>
    <w:rsid w:val="3B36794F"/>
    <w:rsid w:val="3B525E07"/>
    <w:rsid w:val="3B652B87"/>
    <w:rsid w:val="3B9A2E05"/>
    <w:rsid w:val="3BDD466D"/>
    <w:rsid w:val="3C134B60"/>
    <w:rsid w:val="3C134F1E"/>
    <w:rsid w:val="3C294576"/>
    <w:rsid w:val="3C4645BC"/>
    <w:rsid w:val="3C555E0B"/>
    <w:rsid w:val="3C8D56E1"/>
    <w:rsid w:val="3CCA35C1"/>
    <w:rsid w:val="3CDB6D32"/>
    <w:rsid w:val="3CE97620"/>
    <w:rsid w:val="3CF33C54"/>
    <w:rsid w:val="3D0A154A"/>
    <w:rsid w:val="3D1C2D66"/>
    <w:rsid w:val="3D265EFE"/>
    <w:rsid w:val="3D2F42F1"/>
    <w:rsid w:val="3D4B18ED"/>
    <w:rsid w:val="3D9373B8"/>
    <w:rsid w:val="3DAA265A"/>
    <w:rsid w:val="3DE57CE6"/>
    <w:rsid w:val="3E012496"/>
    <w:rsid w:val="3E3F6C02"/>
    <w:rsid w:val="3EA71411"/>
    <w:rsid w:val="3EC4204E"/>
    <w:rsid w:val="3F011D35"/>
    <w:rsid w:val="3F163D1F"/>
    <w:rsid w:val="3F4F4B6D"/>
    <w:rsid w:val="3F5F7C3E"/>
    <w:rsid w:val="3F8E1B07"/>
    <w:rsid w:val="3FBE68C2"/>
    <w:rsid w:val="3FC33BBA"/>
    <w:rsid w:val="3FD51761"/>
    <w:rsid w:val="403F0D82"/>
    <w:rsid w:val="4046433E"/>
    <w:rsid w:val="40713DEB"/>
    <w:rsid w:val="40D04AA5"/>
    <w:rsid w:val="40D77C64"/>
    <w:rsid w:val="41011DA2"/>
    <w:rsid w:val="41217CE7"/>
    <w:rsid w:val="41226729"/>
    <w:rsid w:val="412C34AC"/>
    <w:rsid w:val="41450B97"/>
    <w:rsid w:val="41D261BD"/>
    <w:rsid w:val="41E4635C"/>
    <w:rsid w:val="41EA3241"/>
    <w:rsid w:val="42322FEA"/>
    <w:rsid w:val="42513ADC"/>
    <w:rsid w:val="425C32D7"/>
    <w:rsid w:val="42EF676D"/>
    <w:rsid w:val="437D54BF"/>
    <w:rsid w:val="43964D8C"/>
    <w:rsid w:val="43D86657"/>
    <w:rsid w:val="44401770"/>
    <w:rsid w:val="445434AA"/>
    <w:rsid w:val="445A33BB"/>
    <w:rsid w:val="445F7A0E"/>
    <w:rsid w:val="446577F3"/>
    <w:rsid w:val="446B5324"/>
    <w:rsid w:val="44A040E0"/>
    <w:rsid w:val="4501542E"/>
    <w:rsid w:val="45595823"/>
    <w:rsid w:val="456C72C4"/>
    <w:rsid w:val="45754AC0"/>
    <w:rsid w:val="45772950"/>
    <w:rsid w:val="461B4E98"/>
    <w:rsid w:val="465320A4"/>
    <w:rsid w:val="46A975A2"/>
    <w:rsid w:val="470516FF"/>
    <w:rsid w:val="4715322F"/>
    <w:rsid w:val="4755413D"/>
    <w:rsid w:val="475C79A5"/>
    <w:rsid w:val="475E12E3"/>
    <w:rsid w:val="47750253"/>
    <w:rsid w:val="47CF4855"/>
    <w:rsid w:val="47E4066D"/>
    <w:rsid w:val="482F5F07"/>
    <w:rsid w:val="48751A7C"/>
    <w:rsid w:val="489730AF"/>
    <w:rsid w:val="48A23CF5"/>
    <w:rsid w:val="48B32CBF"/>
    <w:rsid w:val="48C314AF"/>
    <w:rsid w:val="48C32A69"/>
    <w:rsid w:val="490B64B2"/>
    <w:rsid w:val="4917647F"/>
    <w:rsid w:val="491F58D5"/>
    <w:rsid w:val="49301916"/>
    <w:rsid w:val="493307E9"/>
    <w:rsid w:val="49510B55"/>
    <w:rsid w:val="497F1F6E"/>
    <w:rsid w:val="498F4DFA"/>
    <w:rsid w:val="49932771"/>
    <w:rsid w:val="49BF3449"/>
    <w:rsid w:val="4A1B465B"/>
    <w:rsid w:val="4A4A4EB9"/>
    <w:rsid w:val="4A6B4A5D"/>
    <w:rsid w:val="4A8F01D7"/>
    <w:rsid w:val="4AD47382"/>
    <w:rsid w:val="4B025BE2"/>
    <w:rsid w:val="4B0E7E31"/>
    <w:rsid w:val="4B293685"/>
    <w:rsid w:val="4B95421D"/>
    <w:rsid w:val="4BB072A9"/>
    <w:rsid w:val="4BC8004E"/>
    <w:rsid w:val="4C033D8E"/>
    <w:rsid w:val="4C0C21F1"/>
    <w:rsid w:val="4C2627E3"/>
    <w:rsid w:val="4C536E11"/>
    <w:rsid w:val="4C681932"/>
    <w:rsid w:val="4C80647D"/>
    <w:rsid w:val="4CBE6E13"/>
    <w:rsid w:val="4CD42AFF"/>
    <w:rsid w:val="4CE87887"/>
    <w:rsid w:val="4CF65096"/>
    <w:rsid w:val="4D090A1F"/>
    <w:rsid w:val="4D170DF1"/>
    <w:rsid w:val="4D3B5A16"/>
    <w:rsid w:val="4D422183"/>
    <w:rsid w:val="4D5D3A7C"/>
    <w:rsid w:val="4DB32484"/>
    <w:rsid w:val="4DB41641"/>
    <w:rsid w:val="4DE427CE"/>
    <w:rsid w:val="4E2C4381"/>
    <w:rsid w:val="4ED86237"/>
    <w:rsid w:val="4EFB341C"/>
    <w:rsid w:val="4F0912FD"/>
    <w:rsid w:val="4F2317A2"/>
    <w:rsid w:val="4F313B62"/>
    <w:rsid w:val="4F611FBD"/>
    <w:rsid w:val="4FB202B0"/>
    <w:rsid w:val="4FF57980"/>
    <w:rsid w:val="50173831"/>
    <w:rsid w:val="50305968"/>
    <w:rsid w:val="50330C31"/>
    <w:rsid w:val="5045354E"/>
    <w:rsid w:val="506D39BB"/>
    <w:rsid w:val="50BD3189"/>
    <w:rsid w:val="51020CD9"/>
    <w:rsid w:val="51024E3F"/>
    <w:rsid w:val="510F4A72"/>
    <w:rsid w:val="516B7DA7"/>
    <w:rsid w:val="51BB0237"/>
    <w:rsid w:val="51D149DF"/>
    <w:rsid w:val="51DC63CF"/>
    <w:rsid w:val="520B5239"/>
    <w:rsid w:val="5232301A"/>
    <w:rsid w:val="529A1BA1"/>
    <w:rsid w:val="52EA2008"/>
    <w:rsid w:val="52FF0159"/>
    <w:rsid w:val="531B33EC"/>
    <w:rsid w:val="538569D5"/>
    <w:rsid w:val="53EB7D21"/>
    <w:rsid w:val="544A014E"/>
    <w:rsid w:val="544D3BC6"/>
    <w:rsid w:val="545D78A2"/>
    <w:rsid w:val="54BA7899"/>
    <w:rsid w:val="54CF1D21"/>
    <w:rsid w:val="54F156CE"/>
    <w:rsid w:val="54F46459"/>
    <w:rsid w:val="55403410"/>
    <w:rsid w:val="55884D97"/>
    <w:rsid w:val="55F554C4"/>
    <w:rsid w:val="55F57C62"/>
    <w:rsid w:val="560E5919"/>
    <w:rsid w:val="562803B5"/>
    <w:rsid w:val="56312D95"/>
    <w:rsid w:val="565656DA"/>
    <w:rsid w:val="565F53E5"/>
    <w:rsid w:val="566F5F54"/>
    <w:rsid w:val="567A481E"/>
    <w:rsid w:val="568D0CD3"/>
    <w:rsid w:val="56965B66"/>
    <w:rsid w:val="56B81969"/>
    <w:rsid w:val="56C635D8"/>
    <w:rsid w:val="56CD28A4"/>
    <w:rsid w:val="570E486B"/>
    <w:rsid w:val="57C553A7"/>
    <w:rsid w:val="57E77193"/>
    <w:rsid w:val="57F60F39"/>
    <w:rsid w:val="581439CC"/>
    <w:rsid w:val="58251441"/>
    <w:rsid w:val="58256929"/>
    <w:rsid w:val="586E441C"/>
    <w:rsid w:val="5878483B"/>
    <w:rsid w:val="598D7941"/>
    <w:rsid w:val="5A155191"/>
    <w:rsid w:val="5A1D4508"/>
    <w:rsid w:val="5A8E07B6"/>
    <w:rsid w:val="5A995D90"/>
    <w:rsid w:val="5AC446AC"/>
    <w:rsid w:val="5ACD31E3"/>
    <w:rsid w:val="5B0C1A61"/>
    <w:rsid w:val="5B6E5E11"/>
    <w:rsid w:val="5B861D7A"/>
    <w:rsid w:val="5C163F37"/>
    <w:rsid w:val="5C536F33"/>
    <w:rsid w:val="5CA85C63"/>
    <w:rsid w:val="5CCD61CB"/>
    <w:rsid w:val="5CFF01A0"/>
    <w:rsid w:val="5D274BDD"/>
    <w:rsid w:val="5D667E46"/>
    <w:rsid w:val="5D686290"/>
    <w:rsid w:val="5DD35EAD"/>
    <w:rsid w:val="5E004C42"/>
    <w:rsid w:val="5E1919E5"/>
    <w:rsid w:val="5E390324"/>
    <w:rsid w:val="5E402339"/>
    <w:rsid w:val="5E6402B4"/>
    <w:rsid w:val="5E8F1717"/>
    <w:rsid w:val="5EB131C9"/>
    <w:rsid w:val="5EB55739"/>
    <w:rsid w:val="5EFE04B4"/>
    <w:rsid w:val="5F1E5BA1"/>
    <w:rsid w:val="5F626435"/>
    <w:rsid w:val="5F754C61"/>
    <w:rsid w:val="5F764B50"/>
    <w:rsid w:val="5F9674E0"/>
    <w:rsid w:val="5FC51615"/>
    <w:rsid w:val="5FCD02E6"/>
    <w:rsid w:val="5FEA2932"/>
    <w:rsid w:val="603107D4"/>
    <w:rsid w:val="60786118"/>
    <w:rsid w:val="60A54AAB"/>
    <w:rsid w:val="60AD6544"/>
    <w:rsid w:val="60F40B7E"/>
    <w:rsid w:val="60FE47D0"/>
    <w:rsid w:val="61142591"/>
    <w:rsid w:val="612569BF"/>
    <w:rsid w:val="61357940"/>
    <w:rsid w:val="616B35FF"/>
    <w:rsid w:val="616E5027"/>
    <w:rsid w:val="61C534F2"/>
    <w:rsid w:val="61E55ABD"/>
    <w:rsid w:val="622B2AAF"/>
    <w:rsid w:val="623C14BD"/>
    <w:rsid w:val="625E2FCE"/>
    <w:rsid w:val="62652744"/>
    <w:rsid w:val="62A570AD"/>
    <w:rsid w:val="62D911D8"/>
    <w:rsid w:val="631321A0"/>
    <w:rsid w:val="632733AE"/>
    <w:rsid w:val="63430A42"/>
    <w:rsid w:val="63853506"/>
    <w:rsid w:val="63F54D8E"/>
    <w:rsid w:val="646F486F"/>
    <w:rsid w:val="64A50C03"/>
    <w:rsid w:val="64B81251"/>
    <w:rsid w:val="64D771FD"/>
    <w:rsid w:val="64DA739D"/>
    <w:rsid w:val="64DD7278"/>
    <w:rsid w:val="64E42120"/>
    <w:rsid w:val="64F6723F"/>
    <w:rsid w:val="65194E6B"/>
    <w:rsid w:val="6537509A"/>
    <w:rsid w:val="65802725"/>
    <w:rsid w:val="65A63793"/>
    <w:rsid w:val="65B27608"/>
    <w:rsid w:val="65B94AB5"/>
    <w:rsid w:val="65FB5026"/>
    <w:rsid w:val="65FD0C68"/>
    <w:rsid w:val="663D6D19"/>
    <w:rsid w:val="66551508"/>
    <w:rsid w:val="666B0BCA"/>
    <w:rsid w:val="66A85C53"/>
    <w:rsid w:val="66B20DC9"/>
    <w:rsid w:val="66B22C12"/>
    <w:rsid w:val="670D6F7F"/>
    <w:rsid w:val="67161922"/>
    <w:rsid w:val="673219EE"/>
    <w:rsid w:val="6738631D"/>
    <w:rsid w:val="675C3653"/>
    <w:rsid w:val="678D79C8"/>
    <w:rsid w:val="67984FCF"/>
    <w:rsid w:val="679D7872"/>
    <w:rsid w:val="679F04A6"/>
    <w:rsid w:val="67AC6406"/>
    <w:rsid w:val="680E5E47"/>
    <w:rsid w:val="68906C17"/>
    <w:rsid w:val="68E02BA7"/>
    <w:rsid w:val="692A1E7E"/>
    <w:rsid w:val="695A2928"/>
    <w:rsid w:val="69807CA0"/>
    <w:rsid w:val="69CB108B"/>
    <w:rsid w:val="6A1679FB"/>
    <w:rsid w:val="6AA17F0F"/>
    <w:rsid w:val="6B033094"/>
    <w:rsid w:val="6B775384"/>
    <w:rsid w:val="6BB40FD9"/>
    <w:rsid w:val="6BE44C79"/>
    <w:rsid w:val="6C0509ED"/>
    <w:rsid w:val="6C0C3AF3"/>
    <w:rsid w:val="6C445178"/>
    <w:rsid w:val="6C891DD9"/>
    <w:rsid w:val="6C94246C"/>
    <w:rsid w:val="6CBA1280"/>
    <w:rsid w:val="6CD827C3"/>
    <w:rsid w:val="6CF40DC4"/>
    <w:rsid w:val="6D2E2793"/>
    <w:rsid w:val="6D59317F"/>
    <w:rsid w:val="6D5D224A"/>
    <w:rsid w:val="6D7F248D"/>
    <w:rsid w:val="6DAA1953"/>
    <w:rsid w:val="6DEA1D4F"/>
    <w:rsid w:val="6E04287C"/>
    <w:rsid w:val="6E1D3012"/>
    <w:rsid w:val="6E5626A6"/>
    <w:rsid w:val="6E816AB0"/>
    <w:rsid w:val="6E8417E9"/>
    <w:rsid w:val="6EB60311"/>
    <w:rsid w:val="6EE175F6"/>
    <w:rsid w:val="6F0B78B5"/>
    <w:rsid w:val="6F6556AA"/>
    <w:rsid w:val="6FC70478"/>
    <w:rsid w:val="6FCB3590"/>
    <w:rsid w:val="701F0149"/>
    <w:rsid w:val="70336936"/>
    <w:rsid w:val="70495061"/>
    <w:rsid w:val="70617E8F"/>
    <w:rsid w:val="709D4683"/>
    <w:rsid w:val="70B34FC2"/>
    <w:rsid w:val="70B9021C"/>
    <w:rsid w:val="70CA7B53"/>
    <w:rsid w:val="70F6092D"/>
    <w:rsid w:val="70FE623D"/>
    <w:rsid w:val="713734DC"/>
    <w:rsid w:val="713C1362"/>
    <w:rsid w:val="71631B12"/>
    <w:rsid w:val="71754026"/>
    <w:rsid w:val="71836742"/>
    <w:rsid w:val="72661F6C"/>
    <w:rsid w:val="72BF1A37"/>
    <w:rsid w:val="734A6472"/>
    <w:rsid w:val="736E2089"/>
    <w:rsid w:val="73D63684"/>
    <w:rsid w:val="73EC1AA2"/>
    <w:rsid w:val="73FB43CB"/>
    <w:rsid w:val="741003DB"/>
    <w:rsid w:val="74184529"/>
    <w:rsid w:val="741A372C"/>
    <w:rsid w:val="743A7E13"/>
    <w:rsid w:val="7461451D"/>
    <w:rsid w:val="7597761B"/>
    <w:rsid w:val="759B4BD7"/>
    <w:rsid w:val="75A153E9"/>
    <w:rsid w:val="75AE7CF8"/>
    <w:rsid w:val="75C83138"/>
    <w:rsid w:val="7672497B"/>
    <w:rsid w:val="769219A9"/>
    <w:rsid w:val="76946CFC"/>
    <w:rsid w:val="76B64C06"/>
    <w:rsid w:val="76C415FC"/>
    <w:rsid w:val="76CB3D68"/>
    <w:rsid w:val="77013E84"/>
    <w:rsid w:val="77456021"/>
    <w:rsid w:val="775104C6"/>
    <w:rsid w:val="77AB6BDC"/>
    <w:rsid w:val="77C57380"/>
    <w:rsid w:val="77CE5B33"/>
    <w:rsid w:val="780802FA"/>
    <w:rsid w:val="781A711B"/>
    <w:rsid w:val="784E0F09"/>
    <w:rsid w:val="78821547"/>
    <w:rsid w:val="788F635A"/>
    <w:rsid w:val="78D442EC"/>
    <w:rsid w:val="78ED41E4"/>
    <w:rsid w:val="78F8200B"/>
    <w:rsid w:val="79037F8B"/>
    <w:rsid w:val="79150F71"/>
    <w:rsid w:val="79290FE5"/>
    <w:rsid w:val="796F06F0"/>
    <w:rsid w:val="79714428"/>
    <w:rsid w:val="79A67BF2"/>
    <w:rsid w:val="79CD6C68"/>
    <w:rsid w:val="7A4C0BEC"/>
    <w:rsid w:val="7A9218D2"/>
    <w:rsid w:val="7ABB303D"/>
    <w:rsid w:val="7B2A40D3"/>
    <w:rsid w:val="7B566455"/>
    <w:rsid w:val="7B7A7420"/>
    <w:rsid w:val="7BBB0F2F"/>
    <w:rsid w:val="7BD90913"/>
    <w:rsid w:val="7BEB3E19"/>
    <w:rsid w:val="7BF3260B"/>
    <w:rsid w:val="7BF4462D"/>
    <w:rsid w:val="7BFD66C6"/>
    <w:rsid w:val="7C1C4835"/>
    <w:rsid w:val="7C386CEB"/>
    <w:rsid w:val="7C574A54"/>
    <w:rsid w:val="7C6A3E92"/>
    <w:rsid w:val="7CE91C36"/>
    <w:rsid w:val="7D0A7977"/>
    <w:rsid w:val="7D1F19C1"/>
    <w:rsid w:val="7D474D33"/>
    <w:rsid w:val="7D496A92"/>
    <w:rsid w:val="7D4D4B10"/>
    <w:rsid w:val="7D7B2DF9"/>
    <w:rsid w:val="7D876949"/>
    <w:rsid w:val="7DE22A43"/>
    <w:rsid w:val="7DEC627B"/>
    <w:rsid w:val="7E90249F"/>
    <w:rsid w:val="7E986BDC"/>
    <w:rsid w:val="7FD83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3"/>
    <w:qFormat/>
    <w:uiPriority w:val="0"/>
    <w:pPr>
      <w:keepNext/>
      <w:spacing w:line="360" w:lineRule="auto"/>
      <w:jc w:val="center"/>
      <w:outlineLvl w:val="0"/>
    </w:pPr>
    <w:rPr>
      <w:b/>
      <w:sz w:val="30"/>
    </w:rPr>
  </w:style>
  <w:style w:type="paragraph" w:styleId="4">
    <w:name w:val="heading 2"/>
    <w:basedOn w:val="1"/>
    <w:next w:val="1"/>
    <w:link w:val="34"/>
    <w:qFormat/>
    <w:uiPriority w:val="0"/>
    <w:pPr>
      <w:keepNext/>
      <w:keepLines/>
      <w:spacing w:line="360" w:lineRule="auto"/>
      <w:jc w:val="center"/>
      <w:outlineLvl w:val="1"/>
    </w:pPr>
    <w:rPr>
      <w:rFonts w:ascii="Arial" w:hAnsi="Arial"/>
      <w:b/>
      <w:bCs/>
      <w:sz w:val="36"/>
      <w:szCs w:val="32"/>
    </w:rPr>
  </w:style>
  <w:style w:type="paragraph" w:styleId="5">
    <w:name w:val="heading 3"/>
    <w:basedOn w:val="1"/>
    <w:next w:val="1"/>
    <w:link w:val="35"/>
    <w:qFormat/>
    <w:uiPriority w:val="0"/>
    <w:pPr>
      <w:keepNext/>
      <w:keepLines/>
      <w:numPr>
        <w:ilvl w:val="2"/>
        <w:numId w:val="1"/>
      </w:numPr>
      <w:spacing w:line="360" w:lineRule="auto"/>
      <w:outlineLvl w:val="2"/>
    </w:pPr>
    <w:rPr>
      <w:rFonts w:ascii="宋体" w:hAnsi="宋体"/>
      <w:b/>
      <w:bCs/>
      <w:color w:val="000000"/>
      <w:kern w:val="0"/>
      <w:sz w:val="28"/>
      <w:szCs w:val="28"/>
    </w:rPr>
  </w:style>
  <w:style w:type="paragraph" w:styleId="6">
    <w:name w:val="heading 4"/>
    <w:basedOn w:val="1"/>
    <w:next w:val="1"/>
    <w:link w:val="36"/>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unhideWhenUsed/>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9"/>
    <w:pPr>
      <w:keepNext/>
      <w:keepLines/>
      <w:spacing w:line="317" w:lineRule="auto"/>
      <w:outlineLvl w:val="5"/>
    </w:pPr>
    <w:rPr>
      <w:rFonts w:ascii="Arial" w:hAnsi="Arial" w:eastAsia="黑体"/>
      <w:b/>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3"/>
    <w:unhideWhenUsed/>
    <w:qFormat/>
    <w:uiPriority w:val="99"/>
    <w:pPr>
      <w:spacing w:after="120"/>
    </w:pPr>
    <w:rPr>
      <w:rFonts w:eastAsia="Times New Roman"/>
    </w:rPr>
  </w:style>
  <w:style w:type="paragraph" w:styleId="9">
    <w:name w:val="Normal Indent"/>
    <w:basedOn w:val="1"/>
    <w:qFormat/>
    <w:uiPriority w:val="0"/>
    <w:pPr>
      <w:ind w:firstLine="420"/>
    </w:pPr>
  </w:style>
  <w:style w:type="paragraph" w:styleId="10">
    <w:name w:val="annotation text"/>
    <w:basedOn w:val="1"/>
    <w:link w:val="41"/>
    <w:unhideWhenUsed/>
    <w:qFormat/>
    <w:uiPriority w:val="99"/>
    <w:pPr>
      <w:jc w:val="left"/>
    </w:pPr>
  </w:style>
  <w:style w:type="paragraph" w:styleId="11">
    <w:name w:val="Body Text Indent"/>
    <w:basedOn w:val="1"/>
    <w:link w:val="40"/>
    <w:qFormat/>
    <w:uiPriority w:val="0"/>
    <w:pPr>
      <w:ind w:firstLine="552"/>
    </w:pPr>
    <w:rPr>
      <w:rFonts w:ascii="宋体"/>
      <w:sz w:val="28"/>
    </w:rPr>
  </w:style>
  <w:style w:type="paragraph" w:styleId="12">
    <w:name w:val="Plain Text"/>
    <w:basedOn w:val="1"/>
    <w:link w:val="39"/>
    <w:qFormat/>
    <w:uiPriority w:val="0"/>
    <w:rPr>
      <w:rFonts w:ascii="宋体" w:hAnsi="Courier New"/>
    </w:rPr>
  </w:style>
  <w:style w:type="paragraph" w:styleId="13">
    <w:name w:val="Date"/>
    <w:basedOn w:val="1"/>
    <w:next w:val="1"/>
    <w:link w:val="42"/>
    <w:qFormat/>
    <w:uiPriority w:val="0"/>
    <w:rPr>
      <w:rFonts w:ascii="宋体"/>
      <w:sz w:val="24"/>
    </w:rPr>
  </w:style>
  <w:style w:type="paragraph" w:styleId="14">
    <w:name w:val="Balloon Text"/>
    <w:basedOn w:val="1"/>
    <w:link w:val="60"/>
    <w:semiHidden/>
    <w:unhideWhenUsed/>
    <w:qFormat/>
    <w:uiPriority w:val="99"/>
    <w:rPr>
      <w:sz w:val="18"/>
      <w:szCs w:val="18"/>
    </w:rPr>
  </w:style>
  <w:style w:type="paragraph" w:styleId="15">
    <w:name w:val="footer"/>
    <w:basedOn w:val="1"/>
    <w:next w:val="1"/>
    <w:link w:val="38"/>
    <w:qFormat/>
    <w:uiPriority w:val="0"/>
    <w:pPr>
      <w:tabs>
        <w:tab w:val="center" w:pos="4153"/>
        <w:tab w:val="right" w:pos="8306"/>
      </w:tabs>
      <w:adjustRightInd w:val="0"/>
      <w:spacing w:line="240" w:lineRule="atLeast"/>
      <w:jc w:val="left"/>
      <w:textAlignment w:val="baseline"/>
    </w:pPr>
    <w:rPr>
      <w:kern w:val="0"/>
      <w:sz w:val="18"/>
    </w:rPr>
  </w:style>
  <w:style w:type="paragraph" w:styleId="16">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jc w:val="left"/>
    </w:pPr>
    <w:rPr>
      <w:b/>
      <w:bCs/>
      <w:caps/>
      <w:sz w:val="20"/>
    </w:rPr>
  </w:style>
  <w:style w:type="paragraph" w:styleId="18">
    <w:name w:val="toc 2"/>
    <w:basedOn w:val="1"/>
    <w:next w:val="1"/>
    <w:qFormat/>
    <w:uiPriority w:val="39"/>
    <w:pPr>
      <w:ind w:left="420" w:leftChars="200"/>
    </w:pPr>
  </w:style>
  <w:style w:type="paragraph" w:styleId="19">
    <w:name w:val="Body Text 2"/>
    <w:basedOn w:val="1"/>
    <w:qFormat/>
    <w:uiPriority w:val="0"/>
    <w:pPr>
      <w:jc w:val="left"/>
    </w:pPr>
    <w:rPr>
      <w:rFonts w:ascii="仿宋_GB2312" w:hAnsi="宋体" w:eastAsia="仿宋_GB2312" w:cs="Times New Roman"/>
    </w:rPr>
  </w:style>
  <w:style w:type="paragraph" w:styleId="20">
    <w:name w:val="HTML Preformatted"/>
    <w:basedOn w:val="1"/>
    <w:link w:val="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annotation subject"/>
    <w:basedOn w:val="10"/>
    <w:next w:val="10"/>
    <w:link w:val="59"/>
    <w:semiHidden/>
    <w:unhideWhenUsed/>
    <w:qFormat/>
    <w:uiPriority w:val="99"/>
    <w:rPr>
      <w:b/>
      <w:bCs/>
    </w:rPr>
  </w:style>
  <w:style w:type="paragraph" w:styleId="23">
    <w:name w:val="Body Text First Indent"/>
    <w:basedOn w:val="2"/>
    <w:next w:val="1"/>
    <w:qFormat/>
    <w:uiPriority w:val="0"/>
    <w:pPr>
      <w:ind w:firstLine="100" w:firstLineChars="100"/>
    </w:pPr>
    <w:rPr>
      <w:rFonts w:eastAsia="黑体"/>
      <w:szCs w:val="24"/>
    </w:rPr>
  </w:style>
  <w:style w:type="table" w:styleId="25">
    <w:name w:val="Table Grid"/>
    <w:basedOn w:val="2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basedOn w:val="26"/>
    <w:qFormat/>
    <w:uiPriority w:val="0"/>
  </w:style>
  <w:style w:type="character" w:styleId="29">
    <w:name w:val="FollowedHyperlink"/>
    <w:basedOn w:val="26"/>
    <w:semiHidden/>
    <w:unhideWhenUsed/>
    <w:qFormat/>
    <w:uiPriority w:val="99"/>
    <w:rPr>
      <w:color w:val="800080"/>
      <w:u w:val="none"/>
    </w:rPr>
  </w:style>
  <w:style w:type="character" w:styleId="30">
    <w:name w:val="Emphasis"/>
    <w:basedOn w:val="26"/>
    <w:qFormat/>
    <w:uiPriority w:val="20"/>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character" w:customStyle="1" w:styleId="33">
    <w:name w:val="标题 1 字符"/>
    <w:basedOn w:val="26"/>
    <w:link w:val="3"/>
    <w:qFormat/>
    <w:uiPriority w:val="0"/>
    <w:rPr>
      <w:rFonts w:ascii="Times New Roman" w:hAnsi="Times New Roman" w:eastAsia="宋体" w:cs="Times New Roman"/>
      <w:b/>
      <w:sz w:val="30"/>
      <w:szCs w:val="20"/>
    </w:rPr>
  </w:style>
  <w:style w:type="character" w:customStyle="1" w:styleId="34">
    <w:name w:val="标题 2 字符"/>
    <w:basedOn w:val="26"/>
    <w:link w:val="4"/>
    <w:qFormat/>
    <w:uiPriority w:val="0"/>
    <w:rPr>
      <w:rFonts w:ascii="Arial" w:hAnsi="Arial" w:eastAsia="宋体" w:cs="Times New Roman"/>
      <w:b/>
      <w:bCs/>
      <w:sz w:val="36"/>
      <w:szCs w:val="32"/>
    </w:rPr>
  </w:style>
  <w:style w:type="character" w:customStyle="1" w:styleId="35">
    <w:name w:val="标题 3 字符"/>
    <w:basedOn w:val="26"/>
    <w:link w:val="5"/>
    <w:qFormat/>
    <w:uiPriority w:val="0"/>
    <w:rPr>
      <w:rFonts w:ascii="宋体" w:hAnsi="宋体" w:eastAsia="宋体" w:cs="Times New Roman"/>
      <w:b/>
      <w:bCs/>
      <w:color w:val="000000"/>
      <w:sz w:val="28"/>
      <w:szCs w:val="28"/>
    </w:rPr>
  </w:style>
  <w:style w:type="character" w:customStyle="1" w:styleId="36">
    <w:name w:val="标题 4 字符"/>
    <w:basedOn w:val="26"/>
    <w:link w:val="6"/>
    <w:qFormat/>
    <w:uiPriority w:val="0"/>
    <w:rPr>
      <w:rFonts w:ascii="Arial" w:hAnsi="Arial" w:eastAsia="黑体" w:cs="Times New Roman"/>
      <w:b/>
      <w:sz w:val="28"/>
      <w:szCs w:val="20"/>
    </w:rPr>
  </w:style>
  <w:style w:type="character" w:customStyle="1" w:styleId="37">
    <w:name w:val="fontstyle01"/>
    <w:qFormat/>
    <w:uiPriority w:val="0"/>
    <w:rPr>
      <w:rFonts w:hint="eastAsia" w:ascii="宋体" w:hAnsi="宋体" w:eastAsia="宋体" w:cs="Times New Roman"/>
      <w:color w:val="000000"/>
      <w:sz w:val="44"/>
      <w:szCs w:val="44"/>
    </w:rPr>
  </w:style>
  <w:style w:type="character" w:customStyle="1" w:styleId="38">
    <w:name w:val="页脚 字符"/>
    <w:basedOn w:val="26"/>
    <w:link w:val="15"/>
    <w:qFormat/>
    <w:uiPriority w:val="0"/>
    <w:rPr>
      <w:rFonts w:ascii="Times New Roman" w:hAnsi="Times New Roman" w:eastAsia="宋体" w:cs="Times New Roman"/>
      <w:kern w:val="0"/>
      <w:sz w:val="18"/>
      <w:szCs w:val="20"/>
    </w:rPr>
  </w:style>
  <w:style w:type="character" w:customStyle="1" w:styleId="39">
    <w:name w:val="纯文本 字符"/>
    <w:basedOn w:val="26"/>
    <w:link w:val="12"/>
    <w:qFormat/>
    <w:uiPriority w:val="0"/>
    <w:rPr>
      <w:rFonts w:ascii="宋体" w:hAnsi="Courier New" w:eastAsia="宋体" w:cs="Times New Roman"/>
      <w:szCs w:val="20"/>
    </w:rPr>
  </w:style>
  <w:style w:type="character" w:customStyle="1" w:styleId="40">
    <w:name w:val="正文文本缩进 字符"/>
    <w:basedOn w:val="26"/>
    <w:link w:val="11"/>
    <w:qFormat/>
    <w:uiPriority w:val="0"/>
    <w:rPr>
      <w:rFonts w:ascii="宋体" w:hAnsi="Times New Roman" w:eastAsia="宋体" w:cs="Times New Roman"/>
      <w:sz w:val="28"/>
      <w:szCs w:val="20"/>
    </w:rPr>
  </w:style>
  <w:style w:type="character" w:customStyle="1" w:styleId="41">
    <w:name w:val="批注文字 字符"/>
    <w:basedOn w:val="26"/>
    <w:link w:val="10"/>
    <w:qFormat/>
    <w:uiPriority w:val="99"/>
    <w:rPr>
      <w:rFonts w:ascii="Times New Roman" w:hAnsi="Times New Roman" w:eastAsia="宋体" w:cs="Times New Roman"/>
      <w:szCs w:val="20"/>
    </w:rPr>
  </w:style>
  <w:style w:type="character" w:customStyle="1" w:styleId="42">
    <w:name w:val="日期 字符"/>
    <w:basedOn w:val="26"/>
    <w:link w:val="13"/>
    <w:qFormat/>
    <w:uiPriority w:val="0"/>
    <w:rPr>
      <w:rFonts w:ascii="宋体" w:hAnsi="Times New Roman" w:eastAsia="宋体" w:cs="Times New Roman"/>
      <w:sz w:val="24"/>
      <w:szCs w:val="20"/>
    </w:rPr>
  </w:style>
  <w:style w:type="character" w:customStyle="1" w:styleId="43">
    <w:name w:val="正文文本 字符"/>
    <w:basedOn w:val="26"/>
    <w:link w:val="2"/>
    <w:qFormat/>
    <w:uiPriority w:val="99"/>
    <w:rPr>
      <w:rFonts w:ascii="Times New Roman" w:hAnsi="Times New Roman" w:eastAsia="Times New Roman" w:cs="Times New Roman"/>
      <w:szCs w:val="20"/>
    </w:rPr>
  </w:style>
  <w:style w:type="character" w:customStyle="1" w:styleId="44">
    <w:name w:val="页眉 字符"/>
    <w:basedOn w:val="26"/>
    <w:link w:val="16"/>
    <w:qFormat/>
    <w:uiPriority w:val="0"/>
    <w:rPr>
      <w:rFonts w:ascii="Times New Roman" w:hAnsi="Times New Roman" w:eastAsia="宋体" w:cs="Times New Roman"/>
      <w:sz w:val="18"/>
      <w:szCs w:val="18"/>
    </w:rPr>
  </w:style>
  <w:style w:type="character" w:customStyle="1" w:styleId="45">
    <w:name w:val="HTML 预设格式 字符"/>
    <w:basedOn w:val="26"/>
    <w:link w:val="20"/>
    <w:qFormat/>
    <w:uiPriority w:val="0"/>
    <w:rPr>
      <w:rFonts w:ascii="黑体" w:hAnsi="Courier New" w:eastAsia="黑体" w:cs="Courier New"/>
      <w:kern w:val="0"/>
      <w:sz w:val="20"/>
      <w:szCs w:val="20"/>
    </w:rPr>
  </w:style>
  <w:style w:type="paragraph" w:customStyle="1" w:styleId="46">
    <w:name w:val="Table Paragraph"/>
    <w:basedOn w:val="1"/>
    <w:qFormat/>
    <w:uiPriority w:val="1"/>
    <w:pPr>
      <w:autoSpaceDE w:val="0"/>
      <w:autoSpaceDN w:val="0"/>
      <w:spacing w:before="99"/>
      <w:jc w:val="left"/>
    </w:pPr>
    <w:rPr>
      <w:rFonts w:ascii="宋体" w:hAnsi="宋体"/>
      <w:kern w:val="0"/>
      <w:sz w:val="22"/>
      <w:szCs w:val="22"/>
      <w:lang w:val="zh-CN" w:bidi="zh-CN"/>
    </w:rPr>
  </w:style>
  <w:style w:type="paragraph" w:customStyle="1" w:styleId="47">
    <w:name w:val="文章正文"/>
    <w:basedOn w:val="1"/>
    <w:qFormat/>
    <w:uiPriority w:val="0"/>
    <w:pPr>
      <w:spacing w:line="360" w:lineRule="auto"/>
      <w:ind w:firstLine="420"/>
    </w:pPr>
    <w:rPr>
      <w:sz w:val="24"/>
      <w:szCs w:val="24"/>
    </w:rPr>
  </w:style>
  <w:style w:type="paragraph" w:customStyle="1" w:styleId="48">
    <w:name w:val="Char"/>
    <w:basedOn w:val="1"/>
    <w:qFormat/>
    <w:uiPriority w:val="0"/>
    <w:pPr>
      <w:spacing w:line="360" w:lineRule="auto"/>
    </w:pPr>
  </w:style>
  <w:style w:type="paragraph" w:customStyle="1" w:styleId="49">
    <w:name w:val="CD正文"/>
    <w:basedOn w:val="47"/>
    <w:qFormat/>
    <w:uiPriority w:val="0"/>
  </w:style>
  <w:style w:type="paragraph" w:customStyle="1" w:styleId="50">
    <w:name w:val="WPSOffice手动目录 1"/>
    <w:qFormat/>
    <w:uiPriority w:val="0"/>
    <w:rPr>
      <w:rFonts w:ascii="Times New Roman" w:hAnsi="Times New Roman" w:eastAsia="宋体" w:cs="Times New Roman"/>
      <w:lang w:val="en-US" w:eastAsia="zh-CN" w:bidi="ar-SA"/>
    </w:rPr>
  </w:style>
  <w:style w:type="paragraph" w:customStyle="1" w:styleId="51">
    <w:name w:val="样式 标题 1 + 三号"/>
    <w:basedOn w:val="3"/>
    <w:qFormat/>
    <w:uiPriority w:val="0"/>
    <w:rPr>
      <w:bCs/>
      <w:sz w:val="32"/>
    </w:rPr>
  </w:style>
  <w:style w:type="paragraph" w:customStyle="1" w:styleId="52">
    <w:name w:val="Char2"/>
    <w:basedOn w:val="1"/>
    <w:qFormat/>
    <w:uiPriority w:val="0"/>
    <w:rPr>
      <w:rFonts w:ascii="Tahoma" w:hAnsi="Tahoma"/>
      <w:sz w:val="24"/>
    </w:rPr>
  </w:style>
  <w:style w:type="paragraph" w:customStyle="1" w:styleId="53">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styleId="54">
    <w:name w:val="List Paragraph"/>
    <w:basedOn w:val="1"/>
    <w:qFormat/>
    <w:uiPriority w:val="34"/>
    <w:pPr>
      <w:ind w:firstLine="420" w:firstLineChars="200"/>
    </w:pPr>
    <w:rPr>
      <w:rFonts w:ascii="Calibri" w:hAnsi="Calibri"/>
      <w:szCs w:val="22"/>
    </w:rPr>
  </w:style>
  <w:style w:type="paragraph" w:customStyle="1" w:styleId="5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6">
    <w:name w:val="样式 标题 1 + 二号"/>
    <w:basedOn w:val="3"/>
    <w:qFormat/>
    <w:uiPriority w:val="0"/>
    <w:rPr>
      <w:bCs/>
      <w:sz w:val="32"/>
    </w:rPr>
  </w:style>
  <w:style w:type="paragraph" w:customStyle="1" w:styleId="57">
    <w:name w:val="样式 标题 1 + 宋体"/>
    <w:basedOn w:val="3"/>
    <w:qFormat/>
    <w:uiPriority w:val="0"/>
    <w:rPr>
      <w:rFonts w:ascii="宋体" w:hAnsi="宋体"/>
      <w:bCs/>
      <w:sz w:val="32"/>
    </w:rPr>
  </w:style>
  <w:style w:type="character" w:customStyle="1" w:styleId="58">
    <w:name w:val="font81"/>
    <w:qFormat/>
    <w:uiPriority w:val="0"/>
    <w:rPr>
      <w:rFonts w:hint="eastAsia" w:ascii="仿宋_GB2312" w:eastAsia="仿宋_GB2312" w:cs="仿宋_GB2312"/>
      <w:color w:val="00B0F0"/>
      <w:sz w:val="20"/>
      <w:szCs w:val="20"/>
      <w:u w:val="none"/>
    </w:rPr>
  </w:style>
  <w:style w:type="character" w:customStyle="1" w:styleId="59">
    <w:name w:val="批注主题 字符"/>
    <w:basedOn w:val="41"/>
    <w:link w:val="22"/>
    <w:semiHidden/>
    <w:qFormat/>
    <w:uiPriority w:val="99"/>
    <w:rPr>
      <w:rFonts w:ascii="Times New Roman" w:hAnsi="Times New Roman" w:eastAsia="宋体" w:cs="Times New Roman"/>
      <w:b/>
      <w:bCs/>
      <w:kern w:val="2"/>
      <w:sz w:val="21"/>
      <w:szCs w:val="20"/>
    </w:rPr>
  </w:style>
  <w:style w:type="character" w:customStyle="1" w:styleId="60">
    <w:name w:val="批注框文本 字符"/>
    <w:basedOn w:val="26"/>
    <w:link w:val="14"/>
    <w:semiHidden/>
    <w:qFormat/>
    <w:uiPriority w:val="99"/>
    <w:rPr>
      <w:rFonts w:ascii="Times New Roman" w:hAnsi="Times New Roman" w:eastAsia="宋体" w:cs="Times New Roman"/>
      <w:kern w:val="2"/>
      <w:sz w:val="18"/>
      <w:szCs w:val="18"/>
    </w:rPr>
  </w:style>
  <w:style w:type="paragraph" w:customStyle="1" w:styleId="61">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62">
    <w:name w:val="页眉 Char2"/>
    <w:basedOn w:val="26"/>
    <w:qFormat/>
    <w:uiPriority w:val="0"/>
    <w:rPr>
      <w:sz w:val="18"/>
      <w:szCs w:val="18"/>
    </w:rPr>
  </w:style>
  <w:style w:type="paragraph" w:customStyle="1" w:styleId="63">
    <w:name w:val="4"/>
    <w:basedOn w:val="1"/>
    <w:next w:val="54"/>
    <w:qFormat/>
    <w:uiPriority w:val="34"/>
    <w:pPr>
      <w:widowControl/>
      <w:ind w:firstLine="420" w:firstLineChars="200"/>
      <w:jc w:val="left"/>
    </w:pPr>
    <w:rPr>
      <w:rFonts w:ascii="宋体" w:hAnsi="宋体" w:cs="宋体"/>
      <w:kern w:val="0"/>
      <w:sz w:val="24"/>
      <w:szCs w:val="24"/>
    </w:rPr>
  </w:style>
  <w:style w:type="character" w:customStyle="1" w:styleId="64">
    <w:name w:val="15"/>
    <w:qFormat/>
    <w:uiPriority w:val="0"/>
    <w:rPr>
      <w:rFonts w:hint="default" w:ascii="Times New Roman" w:hAnsi="Times New Roman" w:cs="Times New Roman"/>
    </w:rPr>
  </w:style>
  <w:style w:type="character" w:customStyle="1" w:styleId="65">
    <w:name w:val="font21"/>
    <w:basedOn w:val="26"/>
    <w:qFormat/>
    <w:uiPriority w:val="0"/>
    <w:rPr>
      <w:rFonts w:ascii="hakuyoxingshu7000" w:hAnsi="hakuyoxingshu7000" w:eastAsia="hakuyoxingshu7000" w:cs="hakuyoxingshu7000"/>
      <w:color w:val="000000"/>
      <w:sz w:val="20"/>
      <w:szCs w:val="20"/>
      <w:u w:val="none"/>
    </w:rPr>
  </w:style>
  <w:style w:type="character" w:customStyle="1" w:styleId="66">
    <w:name w:val="font31"/>
    <w:basedOn w:val="26"/>
    <w:qFormat/>
    <w:uiPriority w:val="0"/>
    <w:rPr>
      <w:rFonts w:hint="eastAsia" w:ascii="宋体" w:hAnsi="宋体" w:eastAsia="宋体" w:cs="宋体"/>
      <w:color w:val="000000"/>
      <w:sz w:val="20"/>
      <w:szCs w:val="20"/>
      <w:u w:val="none"/>
    </w:rPr>
  </w:style>
  <w:style w:type="character" w:customStyle="1" w:styleId="67">
    <w:name w:val="font11"/>
    <w:basedOn w:val="26"/>
    <w:qFormat/>
    <w:uiPriority w:val="0"/>
    <w:rPr>
      <w:rFonts w:hint="eastAsia" w:ascii="宋体" w:hAnsi="宋体" w:eastAsia="宋体" w:cs="宋体"/>
      <w:color w:val="FF0000"/>
      <w:sz w:val="20"/>
      <w:szCs w:val="20"/>
      <w:u w:val="none"/>
    </w:rPr>
  </w:style>
  <w:style w:type="character" w:customStyle="1" w:styleId="68">
    <w:name w:val="stclosebtn"/>
    <w:basedOn w:val="26"/>
    <w:qFormat/>
    <w:uiPriority w:val="0"/>
  </w:style>
  <w:style w:type="character" w:customStyle="1" w:styleId="69">
    <w:name w:val="proollist"/>
    <w:basedOn w:val="26"/>
    <w:qFormat/>
    <w:uiPriority w:val="0"/>
  </w:style>
  <w:style w:type="character" w:customStyle="1" w:styleId="70">
    <w:name w:val="phone"/>
    <w:basedOn w:val="26"/>
    <w:qFormat/>
    <w:uiPriority w:val="0"/>
    <w:rPr>
      <w:color w:val="FF8833"/>
      <w:sz w:val="12"/>
      <w:szCs w:val="12"/>
    </w:rPr>
  </w:style>
  <w:style w:type="character" w:customStyle="1" w:styleId="71">
    <w:name w:val="number"/>
    <w:basedOn w:val="26"/>
    <w:qFormat/>
    <w:uiPriority w:val="0"/>
    <w:rPr>
      <w:color w:val="FF8833"/>
      <w:sz w:val="12"/>
      <w:szCs w:val="12"/>
    </w:rPr>
  </w:style>
  <w:style w:type="character" w:customStyle="1" w:styleId="72">
    <w:name w:val="beforeinfotext"/>
    <w:basedOn w:val="26"/>
    <w:qFormat/>
    <w:uiPriority w:val="0"/>
    <w:rPr>
      <w:color w:val="666666"/>
    </w:rPr>
  </w:style>
  <w:style w:type="character" w:customStyle="1" w:styleId="73">
    <w:name w:val="NormalCharacter"/>
    <w:semiHidden/>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8AE9D7-64DD-4A49-AF57-A1A753037D4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62</Pages>
  <Words>28513</Words>
  <Characters>30538</Characters>
  <Lines>242</Lines>
  <Paragraphs>68</Paragraphs>
  <TotalTime>466</TotalTime>
  <ScaleCrop>false</ScaleCrop>
  <LinksUpToDate>false</LinksUpToDate>
  <CharactersWithSpaces>33613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2020-12-15T10:26:00Z</dcterms:created>
  <dc:creator>王阿婷</dc:creator>
  <cp:lastModifiedBy>贾楠希</cp:lastModifiedBy>
  <cp:lastPrinted>2021-09-22T06:28:00Z</cp:lastPrinted>
  <dcterms:modified xsi:type="dcterms:W3CDTF">2022-08-12T06:28:21Z</dcterms:modified>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52C59DF105944680AFCF54C3C55E5F2C</vt:lpwstr>
  </property>
</Properties>
</file>