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81" w:firstLineChars="100"/>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SXWZ2023ZB-YXY-045</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48"/>
          <w:lang w:eastAsia="zh-CN"/>
        </w:rPr>
        <w:t>西安医学院零星维修服务外包项目</w:t>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64384" behindDoc="1" locked="0" layoutInCell="1" allowOverlap="1">
            <wp:simplePos x="0" y="0"/>
            <wp:positionH relativeFrom="column">
              <wp:posOffset>1664335</wp:posOffset>
            </wp:positionH>
            <wp:positionV relativeFrom="paragraph">
              <wp:posOffset>617220</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2" cstate="print"/>
                    <a:stretch>
                      <a:fillRect/>
                    </a:stretch>
                  </pic:blipFill>
                  <pic:spPr>
                    <a:xfrm>
                      <a:off x="0" y="0"/>
                      <a:ext cx="2312670" cy="14478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rPr>
      </w:pPr>
      <w:bookmarkStart w:id="241" w:name="_GoBack"/>
      <w:bookmarkEnd w:id="241"/>
    </w:p>
    <w:p/>
    <w:p>
      <w:pPr>
        <w:tabs>
          <w:tab w:val="left" w:pos="0"/>
        </w:tabs>
        <w:adjustRightInd w:val="0"/>
        <w:snapToGrid w:val="0"/>
        <w:spacing w:line="360" w:lineRule="auto"/>
        <w:jc w:val="center"/>
        <w:rPr>
          <w:rFonts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
    <w:p/>
    <w:p/>
    <w:p/>
    <w:p>
      <w:pPr>
        <w:adjustRightInd w:val="0"/>
        <w:snapToGrid w:val="0"/>
        <w:spacing w:line="360" w:lineRule="auto"/>
        <w:ind w:firstLine="2249" w:firstLineChars="800"/>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采</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购</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人：</w:t>
      </w:r>
      <w:r>
        <w:rPr>
          <w:rFonts w:hint="eastAsia" w:asciiTheme="minorEastAsia" w:hAnsiTheme="minorEastAsia" w:cstheme="minorEastAsia"/>
          <w:b/>
          <w:sz w:val="28"/>
          <w:szCs w:val="28"/>
          <w:lang w:eastAsia="zh-CN"/>
        </w:rPr>
        <w:t>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三</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eastAsia="zh-CN"/>
        </w:rPr>
        <w:t>四</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footerReference r:id="rId6"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19"/>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19"/>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_Toc13874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第一部分  公开招标公告</w:t>
      </w:r>
      <w:r>
        <w:tab/>
      </w:r>
      <w:r>
        <w:fldChar w:fldCharType="begin"/>
      </w:r>
      <w:r>
        <w:instrText xml:space="preserve"> PAGEREF _Toc13874 \h </w:instrText>
      </w:r>
      <w:r>
        <w:fldChar w:fldCharType="separate"/>
      </w:r>
      <w:r>
        <w:t>3</w:t>
      </w:r>
      <w:r>
        <w:fldChar w:fldCharType="end"/>
      </w:r>
      <w:r>
        <w:rPr>
          <w:rFonts w:asciiTheme="minorEastAsia" w:hAnsi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_Toc26289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第二部分  投标人须知前附表</w:t>
      </w:r>
      <w:r>
        <w:tab/>
      </w:r>
      <w:r>
        <w:fldChar w:fldCharType="begin"/>
      </w:r>
      <w:r>
        <w:instrText xml:space="preserve"> PAGEREF _Toc26289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_Toc2255 </w:instrText>
      </w:r>
      <w:r>
        <w:rPr>
          <w:rFonts w:asciiTheme="minorEastAsia" w:hAnsiTheme="minorEastAsia" w:eastAsiaTheme="minorEastAsia" w:cstheme="minorEastAsia"/>
          <w:szCs w:val="24"/>
        </w:rPr>
        <w:fldChar w:fldCharType="separate"/>
      </w:r>
      <w:r>
        <w:rPr>
          <w:rFonts w:hint="eastAsia"/>
        </w:rPr>
        <w:t>第三部分  投标人须知</w:t>
      </w:r>
      <w:r>
        <w:tab/>
      </w:r>
      <w:r>
        <w:fldChar w:fldCharType="begin"/>
      </w:r>
      <w:r>
        <w:instrText xml:space="preserve"> PAGEREF _Toc2255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_Toc19221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一、总 则</w:t>
      </w:r>
      <w:r>
        <w:tab/>
      </w:r>
      <w:r>
        <w:fldChar w:fldCharType="begin"/>
      </w:r>
      <w:r>
        <w:instrText xml:space="preserve"> PAGEREF _Toc19221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_Toc14 </w:instrText>
      </w:r>
      <w:r>
        <w:rPr>
          <w:rFonts w:asciiTheme="minorEastAsia" w:hAnsiTheme="minorEastAsia" w:eastAsiaTheme="minorEastAsia" w:cstheme="minorEastAsia"/>
          <w:szCs w:val="24"/>
        </w:rPr>
        <w:fldChar w:fldCharType="separate"/>
      </w:r>
      <w:r>
        <w:rPr>
          <w:rFonts w:hint="eastAsia"/>
        </w:rPr>
        <w:t>二、招标文件</w:t>
      </w:r>
      <w:r>
        <w:tab/>
      </w:r>
      <w:r>
        <w:fldChar w:fldCharType="begin"/>
      </w:r>
      <w:r>
        <w:instrText xml:space="preserve"> PAGEREF _Toc14 \h </w:instrText>
      </w:r>
      <w:r>
        <w:fldChar w:fldCharType="separate"/>
      </w:r>
      <w:r>
        <w:t>12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_Toc19635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三、投标文件</w:t>
      </w:r>
      <w:r>
        <w:tab/>
      </w:r>
      <w:r>
        <w:fldChar w:fldCharType="begin"/>
      </w:r>
      <w:r>
        <w:instrText xml:space="preserve"> PAGEREF _Toc19635 \h </w:instrText>
      </w:r>
      <w:r>
        <w:fldChar w:fldCharType="separate"/>
      </w:r>
      <w:r>
        <w:t>13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_Toc18247 </w:instrText>
      </w:r>
      <w:r>
        <w:rPr>
          <w:rFonts w:asciiTheme="minorEastAsia" w:hAnsiTheme="minorEastAsia" w:eastAsiaTheme="minorEastAsia" w:cstheme="minorEastAsia"/>
          <w:szCs w:val="24"/>
        </w:rPr>
        <w:fldChar w:fldCharType="separate"/>
      </w:r>
      <w:r>
        <w:rPr>
          <w:rFonts w:hint="eastAsia"/>
          <w:szCs w:val="28"/>
        </w:rPr>
        <w:t>四、投标文件的递交</w:t>
      </w:r>
      <w:r>
        <w:tab/>
      </w:r>
      <w:r>
        <w:fldChar w:fldCharType="begin"/>
      </w:r>
      <w:r>
        <w:instrText xml:space="preserve"> PAGEREF _Toc18247 \h </w:instrText>
      </w:r>
      <w:r>
        <w:fldChar w:fldCharType="separate"/>
      </w:r>
      <w:r>
        <w:t>16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_Toc3188 </w:instrText>
      </w:r>
      <w:r>
        <w:rPr>
          <w:rFonts w:asciiTheme="minorEastAsia" w:hAnsiTheme="minorEastAsia" w:eastAsiaTheme="minorEastAsia" w:cstheme="minorEastAsia"/>
          <w:szCs w:val="24"/>
        </w:rPr>
        <w:fldChar w:fldCharType="separate"/>
      </w:r>
      <w:r>
        <w:rPr>
          <w:rFonts w:hint="eastAsia"/>
        </w:rPr>
        <w:t>五、 开标、评审、定标</w:t>
      </w:r>
      <w:r>
        <w:tab/>
      </w:r>
      <w:r>
        <w:fldChar w:fldCharType="begin"/>
      </w:r>
      <w:r>
        <w:instrText xml:space="preserve"> PAGEREF _Toc3188 \h </w:instrText>
      </w:r>
      <w:r>
        <w:fldChar w:fldCharType="separate"/>
      </w:r>
      <w:r>
        <w:t>17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_Toc23270 </w:instrText>
      </w:r>
      <w:r>
        <w:rPr>
          <w:rFonts w:asciiTheme="minorEastAsia" w:hAnsiTheme="minorEastAsia" w:eastAsiaTheme="minorEastAsia" w:cstheme="minorEastAsia"/>
          <w:szCs w:val="24"/>
        </w:rPr>
        <w:fldChar w:fldCharType="separate"/>
      </w:r>
      <w:r>
        <w:rPr>
          <w:rFonts w:hint="eastAsia"/>
          <w:lang w:val="en-US" w:eastAsia="zh-CN"/>
        </w:rPr>
        <w:t>六、履约验收</w:t>
      </w:r>
      <w:r>
        <w:tab/>
      </w:r>
      <w:r>
        <w:fldChar w:fldCharType="begin"/>
      </w:r>
      <w:r>
        <w:instrText xml:space="preserve"> PAGEREF _Toc23270 \h </w:instrText>
      </w:r>
      <w:r>
        <w:fldChar w:fldCharType="separate"/>
      </w:r>
      <w:r>
        <w:t>22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_Toc8083 </w:instrText>
      </w:r>
      <w:r>
        <w:rPr>
          <w:rFonts w:asciiTheme="minorEastAsia" w:hAnsiTheme="minorEastAsia" w:eastAsiaTheme="minorEastAsia" w:cstheme="minorEastAsia"/>
          <w:szCs w:val="24"/>
        </w:rPr>
        <w:fldChar w:fldCharType="separate"/>
      </w:r>
      <w:r>
        <w:rPr>
          <w:rFonts w:hint="eastAsia"/>
          <w:lang w:eastAsia="zh-CN"/>
        </w:rPr>
        <w:t>七</w:t>
      </w:r>
      <w:r>
        <w:rPr>
          <w:rFonts w:hint="eastAsia"/>
        </w:rPr>
        <w:t>、签订合同</w:t>
      </w:r>
      <w:r>
        <w:tab/>
      </w:r>
      <w:r>
        <w:fldChar w:fldCharType="begin"/>
      </w:r>
      <w:r>
        <w:instrText xml:space="preserve"> PAGEREF _Toc8083 \h </w:instrText>
      </w:r>
      <w:r>
        <w:fldChar w:fldCharType="separate"/>
      </w:r>
      <w:r>
        <w:t>22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_Toc25522 </w:instrText>
      </w:r>
      <w:r>
        <w:rPr>
          <w:rFonts w:asciiTheme="minorEastAsia" w:hAnsiTheme="minorEastAsia" w:eastAsiaTheme="minorEastAsia" w:cstheme="minorEastAsia"/>
          <w:szCs w:val="24"/>
        </w:rPr>
        <w:fldChar w:fldCharType="separate"/>
      </w:r>
      <w:r>
        <w:rPr>
          <w:rFonts w:hint="eastAsia"/>
          <w:lang w:eastAsia="zh-CN"/>
        </w:rPr>
        <w:t>八</w:t>
      </w:r>
      <w:r>
        <w:rPr>
          <w:rFonts w:hint="eastAsia"/>
        </w:rPr>
        <w:t>、代理服务费</w:t>
      </w:r>
      <w:r>
        <w:tab/>
      </w:r>
      <w:r>
        <w:fldChar w:fldCharType="begin"/>
      </w:r>
      <w:r>
        <w:instrText xml:space="preserve"> PAGEREF _Toc25522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_Toc14928 </w:instrText>
      </w:r>
      <w:r>
        <w:rPr>
          <w:rFonts w:asciiTheme="minorEastAsia" w:hAnsiTheme="minorEastAsia" w:eastAsiaTheme="minorEastAsia" w:cstheme="minorEastAsia"/>
          <w:szCs w:val="24"/>
        </w:rPr>
        <w:fldChar w:fldCharType="separate"/>
      </w:r>
      <w:r>
        <w:rPr>
          <w:rFonts w:hint="eastAsia"/>
          <w:lang w:eastAsia="zh-CN"/>
        </w:rPr>
        <w:t>九</w:t>
      </w:r>
      <w:r>
        <w:rPr>
          <w:rFonts w:hint="eastAsia"/>
        </w:rPr>
        <w:t>、质疑和投诉</w:t>
      </w:r>
      <w:r>
        <w:tab/>
      </w:r>
      <w:r>
        <w:fldChar w:fldCharType="begin"/>
      </w:r>
      <w:r>
        <w:instrText xml:space="preserve"> PAGEREF _Toc14928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_Toc313 </w:instrText>
      </w:r>
      <w:r>
        <w:rPr>
          <w:rFonts w:asciiTheme="minorEastAsia" w:hAnsiTheme="minorEastAsia" w:eastAsiaTheme="minorEastAsia" w:cstheme="minorEastAsia"/>
          <w:szCs w:val="24"/>
        </w:rPr>
        <w:fldChar w:fldCharType="separate"/>
      </w:r>
      <w:r>
        <w:rPr>
          <w:rFonts w:hint="eastAsia"/>
        </w:rPr>
        <w:t>第四部分  评审办法</w:t>
      </w:r>
      <w:r>
        <w:tab/>
      </w:r>
      <w:r>
        <w:fldChar w:fldCharType="begin"/>
      </w:r>
      <w:r>
        <w:instrText xml:space="preserve"> PAGEREF _Toc313 \h </w:instrText>
      </w:r>
      <w:r>
        <w:fldChar w:fldCharType="separate"/>
      </w:r>
      <w:r>
        <w:t>25</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_Toc28961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第五部分  采购要求</w:t>
      </w:r>
      <w:r>
        <w:tab/>
      </w:r>
      <w:r>
        <w:fldChar w:fldCharType="begin"/>
      </w:r>
      <w:r>
        <w:instrText xml:space="preserve"> PAGEREF _Toc28961 \h </w:instrText>
      </w:r>
      <w:r>
        <w:fldChar w:fldCharType="separate"/>
      </w:r>
      <w:r>
        <w:t>28</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_Toc3210 </w:instrText>
      </w:r>
      <w:r>
        <w:rPr>
          <w:rFonts w:asciiTheme="minorEastAsia" w:hAnsiTheme="minorEastAsia" w:eastAsiaTheme="minorEastAsia" w:cstheme="minorEastAsia"/>
          <w:szCs w:val="24"/>
        </w:rPr>
        <w:fldChar w:fldCharType="separate"/>
      </w:r>
      <w:r>
        <w:rPr>
          <w:rFonts w:hint="eastAsia"/>
        </w:rPr>
        <w:t xml:space="preserve">第六部分 </w:t>
      </w:r>
      <w:r>
        <w:t>合同</w:t>
      </w:r>
      <w:r>
        <w:rPr>
          <w:rFonts w:hint="eastAsia"/>
        </w:rPr>
        <w:t>主要</w:t>
      </w:r>
      <w:r>
        <w:t>条款</w:t>
      </w:r>
      <w:r>
        <w:rPr>
          <w:rFonts w:hint="eastAsia"/>
          <w:lang w:eastAsia="zh-CN"/>
        </w:rPr>
        <w:t>（参考合同）</w:t>
      </w:r>
      <w:r>
        <w:tab/>
      </w:r>
      <w:r>
        <w:fldChar w:fldCharType="begin"/>
      </w:r>
      <w:r>
        <w:instrText xml:space="preserve"> PAGEREF _Toc3210 \h </w:instrText>
      </w:r>
      <w:r>
        <w:fldChar w:fldCharType="separate"/>
      </w:r>
      <w:r>
        <w:t>36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_Toc30941 </w:instrText>
      </w:r>
      <w:r>
        <w:rPr>
          <w:rFonts w:asciiTheme="minorEastAsia" w:hAnsiTheme="minorEastAsia" w:eastAsiaTheme="minorEastAsia" w:cstheme="minorEastAsia"/>
          <w:szCs w:val="24"/>
        </w:rPr>
        <w:fldChar w:fldCharType="separate"/>
      </w:r>
      <w:r>
        <w:rPr>
          <w:rFonts w:hint="eastAsia" w:ascii="宋体" w:hAnsi="宋体" w:cs="宋体"/>
          <w:szCs w:val="28"/>
        </w:rPr>
        <w:t>合同条款</w:t>
      </w:r>
      <w:r>
        <w:tab/>
      </w:r>
      <w:r>
        <w:fldChar w:fldCharType="begin"/>
      </w:r>
      <w:r>
        <w:instrText xml:space="preserve"> PAGEREF _Toc30941 \h </w:instrText>
      </w:r>
      <w:r>
        <w:fldChar w:fldCharType="separate"/>
      </w:r>
      <w:r>
        <w:t>37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_Toc25946 </w:instrText>
      </w:r>
      <w:r>
        <w:rPr>
          <w:rFonts w:asciiTheme="minorEastAsia" w:hAnsiTheme="minorEastAsia" w:eastAsiaTheme="minorEastAsia" w:cstheme="minorEastAsia"/>
          <w:szCs w:val="24"/>
        </w:rPr>
        <w:fldChar w:fldCharType="separate"/>
      </w:r>
      <w:r>
        <w:rPr>
          <w:rFonts w:hint="eastAsia" w:asciiTheme="majorEastAsia" w:hAnsiTheme="majorEastAsia" w:eastAsiaTheme="majorEastAsia" w:cstheme="majorEastAsia"/>
          <w:szCs w:val="24"/>
        </w:rPr>
        <w:t>合同格式</w:t>
      </w:r>
      <w:r>
        <w:tab/>
      </w:r>
      <w:r>
        <w:fldChar w:fldCharType="begin"/>
      </w:r>
      <w:r>
        <w:instrText xml:space="preserve"> PAGEREF _Toc25946 \h </w:instrText>
      </w:r>
      <w:r>
        <w:fldChar w:fldCharType="separate"/>
      </w:r>
      <w:r>
        <w:t>43</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_Toc17457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第七部分  投标文件格式</w:t>
      </w:r>
      <w:r>
        <w:tab/>
      </w:r>
      <w:r>
        <w:fldChar w:fldCharType="begin"/>
      </w:r>
      <w:r>
        <w:instrText xml:space="preserve"> PAGEREF _Toc17457 \h </w:instrText>
      </w:r>
      <w:r>
        <w:fldChar w:fldCharType="separate"/>
      </w:r>
      <w:r>
        <w:t>45</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_Toc20664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第一章  投标函</w:t>
      </w:r>
      <w:r>
        <w:tab/>
      </w:r>
      <w:r>
        <w:fldChar w:fldCharType="begin"/>
      </w:r>
      <w:r>
        <w:instrText xml:space="preserve"> PAGEREF _Toc20664 \h </w:instrText>
      </w:r>
      <w:r>
        <w:fldChar w:fldCharType="separate"/>
      </w:r>
      <w:r>
        <w:t>47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_Toc11829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第二章  开标一览表</w:t>
      </w:r>
      <w:r>
        <w:tab/>
      </w:r>
      <w:r>
        <w:fldChar w:fldCharType="begin"/>
      </w:r>
      <w:r>
        <w:instrText xml:space="preserve"> PAGEREF _Toc11829 \h </w:instrText>
      </w:r>
      <w:r>
        <w:fldChar w:fldCharType="separate"/>
      </w:r>
      <w:r>
        <w:t>48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_Toc20981 </w:instrText>
      </w:r>
      <w:r>
        <w:rPr>
          <w:rFonts w:asciiTheme="minorEastAsia" w:hAnsiTheme="minorEastAsia" w:eastAsiaTheme="minorEastAsia" w:cstheme="minorEastAsia"/>
          <w:szCs w:val="24"/>
        </w:rPr>
        <w:fldChar w:fldCharType="separate"/>
      </w:r>
      <w:r>
        <w:rPr>
          <w:rFonts w:hint="eastAsia"/>
          <w:szCs w:val="28"/>
        </w:rPr>
        <w:t>第三章</w:t>
      </w:r>
      <w:r>
        <w:rPr>
          <w:rFonts w:hint="eastAsia"/>
          <w:szCs w:val="28"/>
          <w:lang w:val="en-US" w:eastAsia="zh-CN"/>
        </w:rPr>
        <w:t xml:space="preserve">  </w:t>
      </w:r>
      <w:r>
        <w:rPr>
          <w:rFonts w:hint="eastAsia"/>
          <w:szCs w:val="28"/>
        </w:rPr>
        <w:t>分项报价表</w:t>
      </w:r>
      <w:r>
        <w:tab/>
      </w:r>
      <w:r>
        <w:fldChar w:fldCharType="begin"/>
      </w:r>
      <w:r>
        <w:instrText xml:space="preserve"> PAGEREF _Toc20981 \h </w:instrText>
      </w:r>
      <w:r>
        <w:fldChar w:fldCharType="separate"/>
      </w:r>
      <w:r>
        <w:t>49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_Toc8637 </w:instrText>
      </w:r>
      <w:r>
        <w:rPr>
          <w:rFonts w:asciiTheme="minorEastAsia" w:hAnsiTheme="minorEastAsia" w:eastAsiaTheme="minorEastAsia" w:cstheme="minorEastAsia"/>
          <w:szCs w:val="24"/>
        </w:rPr>
        <w:fldChar w:fldCharType="separate"/>
      </w:r>
      <w:r>
        <w:rPr>
          <w:rFonts w:hint="eastAsia"/>
          <w:szCs w:val="28"/>
          <w:lang w:val="en-US" w:eastAsia="zh-CN"/>
        </w:rPr>
        <w:t>第四章  投标保证金</w:t>
      </w:r>
      <w:r>
        <w:tab/>
      </w:r>
      <w:r>
        <w:fldChar w:fldCharType="begin"/>
      </w:r>
      <w:r>
        <w:instrText xml:space="preserve"> PAGEREF _Toc8637 \h </w:instrText>
      </w:r>
      <w:r>
        <w:fldChar w:fldCharType="separate"/>
      </w:r>
      <w:r>
        <w:t>58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_Toc29246 </w:instrText>
      </w:r>
      <w:r>
        <w:rPr>
          <w:rFonts w:asciiTheme="minorEastAsia" w:hAnsiTheme="minorEastAsia" w:eastAsiaTheme="minorEastAsia" w:cstheme="minorEastAsia"/>
          <w:szCs w:val="24"/>
        </w:rPr>
        <w:fldChar w:fldCharType="separate"/>
      </w:r>
      <w:r>
        <w:rPr>
          <w:rFonts w:hint="eastAsia"/>
          <w:szCs w:val="28"/>
        </w:rPr>
        <w:t>第</w:t>
      </w:r>
      <w:r>
        <w:rPr>
          <w:rFonts w:hint="eastAsia"/>
          <w:szCs w:val="28"/>
          <w:lang w:eastAsia="zh-CN"/>
        </w:rPr>
        <w:t>五</w:t>
      </w:r>
      <w:r>
        <w:rPr>
          <w:rFonts w:hint="eastAsia"/>
          <w:szCs w:val="28"/>
        </w:rPr>
        <w:t>章  投标人资质证明资料</w:t>
      </w:r>
      <w:r>
        <w:tab/>
      </w:r>
      <w:r>
        <w:fldChar w:fldCharType="begin"/>
      </w:r>
      <w:r>
        <w:instrText xml:space="preserve"> PAGEREF _Toc29246 \h </w:instrText>
      </w:r>
      <w:r>
        <w:fldChar w:fldCharType="separate"/>
      </w:r>
      <w:r>
        <w:t>59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_Toc11870 </w:instrText>
      </w:r>
      <w:r>
        <w:rPr>
          <w:rFonts w:asciiTheme="minorEastAsia" w:hAnsiTheme="minorEastAsia" w:eastAsiaTheme="minorEastAsia" w:cstheme="minorEastAsia"/>
          <w:szCs w:val="24"/>
        </w:rPr>
        <w:fldChar w:fldCharType="separate"/>
      </w:r>
      <w:r>
        <w:rPr>
          <w:rFonts w:hint="eastAsia"/>
        </w:rPr>
        <w:t>第</w:t>
      </w:r>
      <w:r>
        <w:rPr>
          <w:rFonts w:hint="eastAsia"/>
          <w:lang w:eastAsia="zh-CN"/>
        </w:rPr>
        <w:t>六</w:t>
      </w:r>
      <w:r>
        <w:rPr>
          <w:rFonts w:hint="eastAsia"/>
        </w:rPr>
        <w:t>章  商务和技术响应偏离表</w:t>
      </w:r>
      <w:r>
        <w:tab/>
      </w:r>
      <w:r>
        <w:fldChar w:fldCharType="begin"/>
      </w:r>
      <w:r>
        <w:instrText xml:space="preserve"> PAGEREF _Toc11870 \h </w:instrText>
      </w:r>
      <w:r>
        <w:fldChar w:fldCharType="separate"/>
      </w:r>
      <w:r>
        <w:t>66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_Toc27011 </w:instrText>
      </w:r>
      <w:r>
        <w:rPr>
          <w:rFonts w:asciiTheme="minorEastAsia" w:hAnsiTheme="minorEastAsia" w:eastAsiaTheme="minorEastAsia" w:cstheme="minorEastAsia"/>
          <w:szCs w:val="24"/>
        </w:rPr>
        <w:fldChar w:fldCharType="separate"/>
      </w:r>
      <w:r>
        <w:rPr>
          <w:rFonts w:hint="eastAsia"/>
          <w:szCs w:val="32"/>
        </w:rPr>
        <w:t>第</w:t>
      </w:r>
      <w:r>
        <w:rPr>
          <w:rFonts w:hint="eastAsia"/>
          <w:szCs w:val="32"/>
          <w:lang w:eastAsia="zh-CN"/>
        </w:rPr>
        <w:t>七</w:t>
      </w:r>
      <w:r>
        <w:rPr>
          <w:rFonts w:hint="eastAsia"/>
          <w:szCs w:val="32"/>
        </w:rPr>
        <w:t>章</w:t>
      </w:r>
      <w:r>
        <w:rPr>
          <w:rFonts w:hint="eastAsia"/>
          <w:szCs w:val="32"/>
          <w:lang w:val="en-US" w:eastAsia="zh-CN"/>
        </w:rPr>
        <w:t xml:space="preserve">   </w:t>
      </w:r>
      <w:r>
        <w:rPr>
          <w:rFonts w:hint="eastAsia"/>
          <w:szCs w:val="32"/>
        </w:rPr>
        <w:t>技术支持资料</w:t>
      </w:r>
      <w:r>
        <w:tab/>
      </w:r>
      <w:r>
        <w:fldChar w:fldCharType="begin"/>
      </w:r>
      <w:r>
        <w:instrText xml:space="preserve"> PAGEREF _Toc27011 \h </w:instrText>
      </w:r>
      <w:r>
        <w:fldChar w:fldCharType="separate"/>
      </w:r>
      <w:r>
        <w:t>68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_Toc16435 </w:instrText>
      </w:r>
      <w:r>
        <w:rPr>
          <w:rFonts w:asciiTheme="minorEastAsia" w:hAnsiTheme="minorEastAsia" w:eastAsiaTheme="minorEastAsia" w:cstheme="minorEastAsia"/>
          <w:szCs w:val="24"/>
        </w:rPr>
        <w:fldChar w:fldCharType="separate"/>
      </w:r>
      <w:r>
        <w:rPr>
          <w:rFonts w:hint="eastAsia"/>
        </w:rPr>
        <w:t>第</w:t>
      </w:r>
      <w:r>
        <w:rPr>
          <w:rFonts w:hint="eastAsia"/>
          <w:lang w:eastAsia="zh-CN"/>
        </w:rPr>
        <w:t>八</w:t>
      </w:r>
      <w:r>
        <w:rPr>
          <w:rFonts w:hint="eastAsia"/>
        </w:rPr>
        <w:t>章  投标人业绩一览表</w:t>
      </w:r>
      <w:r>
        <w:tab/>
      </w:r>
      <w:r>
        <w:fldChar w:fldCharType="begin"/>
      </w:r>
      <w:r>
        <w:instrText xml:space="preserve"> PAGEREF _Toc16435 \h </w:instrText>
      </w:r>
      <w:r>
        <w:fldChar w:fldCharType="separate"/>
      </w:r>
      <w:r>
        <w:t>69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_Toc24503 </w:instrText>
      </w:r>
      <w:r>
        <w:rPr>
          <w:rFonts w:asciiTheme="minorEastAsia" w:hAnsiTheme="minorEastAsia" w:eastAsiaTheme="minorEastAsia" w:cstheme="minorEastAsia"/>
          <w:szCs w:val="24"/>
        </w:rPr>
        <w:fldChar w:fldCharType="separate"/>
      </w:r>
      <w:r>
        <w:rPr>
          <w:rFonts w:hint="eastAsia"/>
          <w:szCs w:val="36"/>
        </w:rPr>
        <w:t>第</w:t>
      </w:r>
      <w:r>
        <w:rPr>
          <w:rFonts w:hint="eastAsia"/>
          <w:szCs w:val="36"/>
          <w:lang w:eastAsia="zh-CN"/>
        </w:rPr>
        <w:t>九</w:t>
      </w:r>
      <w:r>
        <w:rPr>
          <w:rFonts w:hint="eastAsia"/>
          <w:szCs w:val="36"/>
        </w:rPr>
        <w:t>章  投标人认为有必要说明的其他问题</w:t>
      </w:r>
      <w:r>
        <w:tab/>
      </w:r>
      <w:r>
        <w:fldChar w:fldCharType="begin"/>
      </w:r>
      <w:r>
        <w:instrText xml:space="preserve"> PAGEREF _Toc24503 \h </w:instrText>
      </w:r>
      <w:r>
        <w:fldChar w:fldCharType="separate"/>
      </w:r>
      <w:r>
        <w:t>70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_Toc8860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eastAsia="zh-CN"/>
        </w:rPr>
        <w:t>十</w:t>
      </w:r>
      <w:r>
        <w:rPr>
          <w:rFonts w:hint="eastAsia" w:asciiTheme="minorEastAsia" w:hAnsiTheme="minorEastAsia" w:eastAsiaTheme="minorEastAsia" w:cstheme="minorEastAsia"/>
          <w:szCs w:val="36"/>
        </w:rPr>
        <w:t>章  投标人承诺书</w:t>
      </w:r>
      <w:r>
        <w:tab/>
      </w:r>
      <w:r>
        <w:fldChar w:fldCharType="begin"/>
      </w:r>
      <w:r>
        <w:instrText xml:space="preserve"> PAGEREF _Toc8860 \h </w:instrText>
      </w:r>
      <w:r>
        <w:fldChar w:fldCharType="separate"/>
      </w:r>
      <w:r>
        <w:t>71</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_Toc4367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附件一：封袋正面标识式样</w:t>
      </w:r>
      <w:r>
        <w:tab/>
      </w:r>
      <w:r>
        <w:fldChar w:fldCharType="begin"/>
      </w:r>
      <w:r>
        <w:instrText xml:space="preserve"> PAGEREF _Toc4367 \h </w:instrText>
      </w:r>
      <w:r>
        <w:fldChar w:fldCharType="separate"/>
      </w:r>
      <w:r>
        <w:t>74</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_Toc3589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附件二、中小企业申明</w:t>
      </w:r>
      <w:r>
        <w:tab/>
      </w:r>
      <w:r>
        <w:fldChar w:fldCharType="begin"/>
      </w:r>
      <w:r>
        <w:instrText xml:space="preserve"> PAGEREF _Toc3589 \h </w:instrText>
      </w:r>
      <w:r>
        <w:fldChar w:fldCharType="separate"/>
      </w:r>
      <w:r>
        <w:t>76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_Toc13599 </w:instrText>
      </w:r>
      <w:r>
        <w:rPr>
          <w:rFonts w:asciiTheme="minorEastAsia" w:hAnsiTheme="minorEastAsia" w:eastAsiaTheme="minorEastAsia" w:cstheme="minorEastAsia"/>
          <w:szCs w:val="24"/>
        </w:rPr>
        <w:fldChar w:fldCharType="separate"/>
      </w:r>
      <w:r>
        <w:rPr>
          <w:rFonts w:hint="eastAsia"/>
        </w:rPr>
        <w:t>附件三、残疾人福利性单位声明</w:t>
      </w:r>
      <w:r>
        <w:tab/>
      </w:r>
      <w:r>
        <w:fldChar w:fldCharType="begin"/>
      </w:r>
      <w:r>
        <w:instrText xml:space="preserve"> PAGEREF _Toc13599 \h </w:instrText>
      </w:r>
      <w:r>
        <w:fldChar w:fldCharType="separate"/>
      </w:r>
      <w:r>
        <w:t>77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_Toc16651 </w:instrText>
      </w:r>
      <w:r>
        <w:rPr>
          <w:rFonts w:asciiTheme="minorEastAsia" w:hAnsiTheme="minorEastAsia" w:eastAsiaTheme="minorEastAsia" w:cstheme="minorEastAsia"/>
          <w:szCs w:val="24"/>
        </w:rPr>
        <w:fldChar w:fldCharType="separate"/>
      </w:r>
      <w:r>
        <w:rPr>
          <w:rFonts w:hint="eastAsia" w:ascii="宋体" w:hAnsi="宋体"/>
        </w:rPr>
        <w:t>附件四、监狱企业证明文件</w:t>
      </w:r>
      <w:r>
        <w:tab/>
      </w:r>
      <w:r>
        <w:fldChar w:fldCharType="begin"/>
      </w:r>
      <w:r>
        <w:instrText xml:space="preserve"> PAGEREF _Toc16651 \h </w:instrText>
      </w:r>
      <w:r>
        <w:fldChar w:fldCharType="separate"/>
      </w:r>
      <w:r>
        <w:t>78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_Toc18446 </w:instrText>
      </w:r>
      <w:r>
        <w:rPr>
          <w:rFonts w:asciiTheme="minorEastAsia" w:hAnsiTheme="minorEastAsia" w:eastAsiaTheme="minorEastAsia" w:cstheme="minorEastAsia"/>
          <w:szCs w:val="24"/>
        </w:rPr>
        <w:fldChar w:fldCharType="separate"/>
      </w:r>
      <w:r>
        <w:rPr>
          <w:rFonts w:hint="eastAsia" w:ascii="宋体" w:hAnsi="宋体"/>
        </w:rPr>
        <w:t>附件五、“节能产品”，“环境标志产品”证明材料</w:t>
      </w:r>
      <w:r>
        <w:tab/>
      </w:r>
      <w:r>
        <w:fldChar w:fldCharType="begin"/>
      </w:r>
      <w:r>
        <w:instrText xml:space="preserve"> PAGEREF _Toc18446 \h </w:instrText>
      </w:r>
      <w:r>
        <w:fldChar w:fldCharType="separate"/>
      </w:r>
      <w:r>
        <w:t>78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_Toc26467 </w:instrText>
      </w:r>
      <w:r>
        <w:rPr>
          <w:rFonts w:asciiTheme="minorEastAsia" w:hAnsiTheme="minorEastAsia" w:eastAsiaTheme="minorEastAsia" w:cstheme="minorEastAsia"/>
          <w:szCs w:val="24"/>
        </w:rPr>
        <w:fldChar w:fldCharType="separate"/>
      </w:r>
      <w:r>
        <w:rPr>
          <w:rFonts w:hint="eastAsia"/>
        </w:rPr>
        <w:t>附件六、质疑函范本</w:t>
      </w:r>
      <w:r>
        <w:tab/>
      </w:r>
      <w:r>
        <w:fldChar w:fldCharType="begin"/>
      </w:r>
      <w:r>
        <w:instrText xml:space="preserve"> PAGEREF _Toc26467 \h </w:instrText>
      </w:r>
      <w:r>
        <w:fldChar w:fldCharType="separate"/>
      </w:r>
      <w:r>
        <w:t>79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_Toc3638 </w:instrText>
      </w:r>
      <w:r>
        <w:rPr>
          <w:rFonts w:asciiTheme="minorEastAsia" w:hAnsiTheme="minorEastAsia" w:eastAsiaTheme="minorEastAsia" w:cstheme="minorEastAsia"/>
          <w:szCs w:val="24"/>
        </w:rPr>
        <w:fldChar w:fldCharType="separate"/>
      </w:r>
      <w:r>
        <w:rPr>
          <w:rFonts w:hint="eastAsia" w:ascii="宋体" w:hAnsi="宋体" w:eastAsia="宋体" w:cs="宋体"/>
        </w:rPr>
        <w:t>附件</w:t>
      </w:r>
      <w:r>
        <w:rPr>
          <w:rFonts w:hint="eastAsia" w:ascii="宋体" w:hAnsi="宋体" w:cs="宋体"/>
          <w:lang w:val="en-US" w:eastAsia="zh-CN"/>
        </w:rPr>
        <w:t>七</w:t>
      </w:r>
      <w:r>
        <w:rPr>
          <w:rFonts w:hint="eastAsia" w:ascii="宋体" w:hAnsi="宋体" w:eastAsia="宋体" w:cs="宋体"/>
        </w:rPr>
        <w:t>：保证金退还账户信息确认表</w:t>
      </w:r>
      <w:r>
        <w:tab/>
      </w:r>
      <w:r>
        <w:fldChar w:fldCharType="begin"/>
      </w:r>
      <w:r>
        <w:instrText xml:space="preserve"> PAGEREF _Toc3638 \h </w:instrText>
      </w:r>
      <w:r>
        <w:fldChar w:fldCharType="separate"/>
      </w:r>
      <w:r>
        <w:t>81</w:t>
      </w:r>
      <w:r>
        <w:fldChar w:fldCharType="end"/>
      </w:r>
      <w:r>
        <w:rPr>
          <w:rFonts w:asciiTheme="minorEastAsia" w:hAnsiTheme="minorEastAsia" w:eastAsiaTheme="minorEastAsia" w:cstheme="minorEastAsia"/>
          <w:szCs w:val="24"/>
        </w:rPr>
        <w:fldChar w:fldCharType="end"/>
      </w:r>
    </w:p>
    <w:p>
      <w:pPr>
        <w:pStyle w:val="3"/>
        <w:spacing w:line="240" w:lineRule="auto"/>
        <w:rPr>
          <w:rFonts w:asciiTheme="minorEastAsia" w:hAnsiTheme="minorEastAsia" w:eastAsiaTheme="minorEastAsia" w:cstheme="minorEastAsia"/>
          <w:b w:val="0"/>
          <w:sz w:val="24"/>
          <w:szCs w:val="24"/>
        </w:rPr>
        <w:sectPr>
          <w:footerReference r:id="rId7" w:type="default"/>
          <w:pgSz w:w="11906" w:h="16838"/>
          <w:pgMar w:top="1440" w:right="1304" w:bottom="1440" w:left="1304" w:header="851" w:footer="992" w:gutter="0"/>
          <w:cols w:space="0" w:num="1"/>
          <w:docGrid w:type="lines" w:linePitch="325" w:charSpace="0"/>
        </w:sectPr>
      </w:pPr>
      <w:r>
        <w:rPr>
          <w:rFonts w:asciiTheme="minorEastAsia" w:hAnsiTheme="minorEastAsia" w:eastAsiaTheme="minorEastAsia" w:cstheme="minorEastAsia"/>
          <w:szCs w:val="24"/>
        </w:rPr>
        <w:fldChar w:fldCharType="end"/>
      </w:r>
    </w:p>
    <w:p>
      <w:pPr>
        <w:pStyle w:val="3"/>
        <w:spacing w:beforeLines="100" w:afterLines="150" w:line="600" w:lineRule="exact"/>
        <w:rPr>
          <w:rFonts w:asciiTheme="minorEastAsia" w:hAnsiTheme="minorEastAsia" w:eastAsiaTheme="minorEastAsia" w:cstheme="minorEastAsia"/>
          <w:sz w:val="36"/>
          <w:szCs w:val="36"/>
        </w:rPr>
      </w:pPr>
      <w:bookmarkStart w:id="1" w:name="_Toc13874"/>
      <w:bookmarkStart w:id="2" w:name="_Toc23156"/>
      <w:bookmarkStart w:id="3" w:name="_Toc26575"/>
      <w:r>
        <w:rPr>
          <w:rFonts w:hint="eastAsia" w:asciiTheme="minorEastAsia" w:hAnsiTheme="minorEastAsia" w:eastAsiaTheme="minorEastAsia" w:cstheme="minorEastAsia"/>
          <w:sz w:val="36"/>
          <w:szCs w:val="36"/>
        </w:rPr>
        <w:t>第一部分  公开招标公告</w:t>
      </w:r>
      <w:bookmarkEnd w:id="1"/>
      <w:bookmarkEnd w:id="2"/>
      <w:bookmarkEnd w:id="3"/>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Theme="minorEastAsia" w:hAnsiTheme="minorEastAsia" w:cstheme="minorEastAsia"/>
          <w:kern w:val="0"/>
          <w:sz w:val="24"/>
          <w:szCs w:val="24"/>
          <w:lang w:eastAsia="zh-CN"/>
        </w:rPr>
        <w:t>西安医学院</w:t>
      </w:r>
      <w:r>
        <w:rPr>
          <w:rFonts w:hint="eastAsia" w:asciiTheme="minorEastAsia" w:hAnsiTheme="minorEastAsia" w:cstheme="minorEastAsia"/>
          <w:kern w:val="0"/>
          <w:sz w:val="24"/>
          <w:szCs w:val="24"/>
        </w:rPr>
        <w:t>的委托，经政府采购管理部门批准，就</w:t>
      </w:r>
      <w:r>
        <w:rPr>
          <w:rFonts w:hint="eastAsia" w:asciiTheme="minorEastAsia" w:hAnsiTheme="minorEastAsia" w:cstheme="minorEastAsia"/>
          <w:kern w:val="0"/>
          <w:sz w:val="24"/>
          <w:szCs w:val="24"/>
          <w:lang w:eastAsia="zh-CN"/>
        </w:rPr>
        <w:t>西安医学院零星维修服务外包项目</w:t>
      </w:r>
      <w:r>
        <w:rPr>
          <w:rFonts w:hint="eastAsia" w:asciiTheme="minorEastAsia" w:hAnsiTheme="minorEastAsia" w:cstheme="minorEastAsia"/>
          <w:kern w:val="0"/>
          <w:sz w:val="24"/>
          <w:szCs w:val="24"/>
        </w:rPr>
        <w:t>进行公开招标采购，欢迎符合资格条件的、有能力提供本次项目所需货物和服务的投标人参加投标。</w:t>
      </w:r>
    </w:p>
    <w:p>
      <w:pPr>
        <w:widowControl/>
        <w:numPr>
          <w:ilvl w:val="0"/>
          <w:numId w:val="2"/>
        </w:numPr>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西安医学院零星维修服务外包项目</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项目编号：</w:t>
      </w:r>
      <w:r>
        <w:rPr>
          <w:rFonts w:hint="eastAsia" w:asciiTheme="minorEastAsia" w:hAnsiTheme="minorEastAsia" w:cstheme="minorEastAsia"/>
          <w:kern w:val="0"/>
          <w:sz w:val="24"/>
          <w:szCs w:val="24"/>
          <w:lang w:eastAsia="zh-CN"/>
        </w:rPr>
        <w:t>SXWZ2023ZB-YXY-045</w:t>
      </w:r>
    </w:p>
    <w:p>
      <w:pPr>
        <w:widowControl/>
        <w:numPr>
          <w:ilvl w:val="0"/>
          <w:numId w:val="2"/>
        </w:numPr>
        <w:wordWrap w:val="0"/>
        <w:snapToGrid w:val="0"/>
        <w:spacing w:line="360" w:lineRule="auto"/>
        <w:ind w:firstLine="480" w:firstLineChars="200"/>
        <w:jc w:val="left"/>
        <w:rPr>
          <w:rFonts w:ascii="宋体" w:cs="宋体"/>
          <w:kern w:val="0"/>
          <w:sz w:val="24"/>
          <w:szCs w:val="24"/>
        </w:rPr>
      </w:pPr>
      <w:bookmarkStart w:id="4" w:name="_Toc20220_WPSOffice_Level2"/>
      <w:r>
        <w:rPr>
          <w:rFonts w:hint="eastAsia" w:ascii="宋体" w:hAnsi="宋体" w:cs="宋体"/>
          <w:kern w:val="0"/>
          <w:sz w:val="24"/>
          <w:szCs w:val="24"/>
        </w:rPr>
        <w:t>采购人名称：</w:t>
      </w:r>
      <w:bookmarkEnd w:id="4"/>
      <w:r>
        <w:rPr>
          <w:rFonts w:hint="eastAsia" w:asciiTheme="minorEastAsia" w:hAnsiTheme="minorEastAsia" w:cstheme="minorEastAsia"/>
          <w:kern w:val="0"/>
          <w:sz w:val="24"/>
          <w:szCs w:val="24"/>
          <w:lang w:eastAsia="zh-CN"/>
        </w:rPr>
        <w:t>西安医学院</w:t>
      </w:r>
    </w:p>
    <w:p>
      <w:pPr>
        <w:widowControl/>
        <w:tabs>
          <w:tab w:val="left" w:pos="0"/>
        </w:tabs>
        <w:wordWrap w:val="0"/>
        <w:spacing w:line="360" w:lineRule="auto"/>
        <w:ind w:firstLine="960" w:firstLineChars="4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地址：</w:t>
      </w:r>
      <w:r>
        <w:rPr>
          <w:rFonts w:hint="eastAsia" w:ascii="宋体" w:hAnsi="宋体" w:cs="宋体"/>
          <w:kern w:val="0"/>
          <w:sz w:val="24"/>
          <w:szCs w:val="24"/>
          <w:lang w:eastAsia="zh-CN"/>
        </w:rPr>
        <w:t>西安市未央区辛王路1号</w:t>
      </w:r>
    </w:p>
    <w:p>
      <w:pPr>
        <w:widowControl/>
        <w:tabs>
          <w:tab w:val="left" w:pos="0"/>
        </w:tabs>
        <w:wordWrap w:val="0"/>
        <w:spacing w:line="360" w:lineRule="auto"/>
        <w:ind w:firstLine="960" w:firstLineChars="400"/>
        <w:jc w:val="left"/>
        <w:rPr>
          <w:rFonts w:hint="eastAsia" w:ascii="宋体" w:hAnsi="宋体" w:cs="宋体" w:eastAsiaTheme="minorEastAsia"/>
          <w:kern w:val="0"/>
          <w:sz w:val="24"/>
          <w:szCs w:val="24"/>
          <w:lang w:eastAsia="zh-CN"/>
        </w:rPr>
      </w:pPr>
      <w:r>
        <w:rPr>
          <w:rFonts w:ascii="宋体" w:hAnsi="宋体" w:cs="宋体"/>
          <w:kern w:val="0"/>
          <w:sz w:val="24"/>
          <w:szCs w:val="24"/>
        </w:rPr>
        <w:t>联</w:t>
      </w:r>
      <w:r>
        <w:rPr>
          <w:rFonts w:hint="eastAsia" w:ascii="宋体" w:hAnsi="宋体" w:cs="宋体"/>
          <w:kern w:val="0"/>
          <w:sz w:val="24"/>
          <w:szCs w:val="24"/>
        </w:rPr>
        <w:t>系方式：</w:t>
      </w:r>
      <w:r>
        <w:rPr>
          <w:rFonts w:hint="eastAsia" w:ascii="宋体" w:hAnsi="宋体" w:cs="宋体"/>
          <w:kern w:val="0"/>
          <w:sz w:val="24"/>
          <w:szCs w:val="24"/>
          <w:lang w:eastAsia="zh-CN"/>
        </w:rPr>
        <w:t>029-86177468</w:t>
      </w:r>
    </w:p>
    <w:p>
      <w:pPr>
        <w:widowControl/>
        <w:numPr>
          <w:ilvl w:val="0"/>
          <w:numId w:val="2"/>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采购内容和要求：</w:t>
      </w:r>
    </w:p>
    <w:p>
      <w:pPr>
        <w:pStyle w:val="2"/>
        <w:spacing w:line="360" w:lineRule="auto"/>
        <w:ind w:left="2158" w:leftChars="456" w:hanging="1200" w:hangingChars="500"/>
        <w:rPr>
          <w:rFonts w:hint="default" w:ascii="宋体" w:hAnsi="宋体" w:cs="宋体" w:eastAsiaTheme="minorEastAsia"/>
          <w:kern w:val="0"/>
          <w:sz w:val="24"/>
          <w:szCs w:val="24"/>
          <w:highlight w:val="yellow"/>
          <w:lang w:val="en-US"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零星维修服务外包</w:t>
      </w:r>
    </w:p>
    <w:p>
      <w:pPr>
        <w:pStyle w:val="2"/>
        <w:spacing w:line="360" w:lineRule="auto"/>
        <w:ind w:firstLine="960" w:firstLineChars="400"/>
        <w:rPr>
          <w:rFonts w:ascii="宋体" w:hAnsi="宋体" w:cs="宋体"/>
          <w:sz w:val="24"/>
          <w:szCs w:val="24"/>
        </w:rPr>
      </w:pPr>
      <w:r>
        <w:rPr>
          <w:rFonts w:hint="eastAsia" w:ascii="宋体" w:hAnsi="宋体" w:cs="宋体"/>
          <w:kern w:val="0"/>
          <w:sz w:val="24"/>
          <w:szCs w:val="24"/>
        </w:rPr>
        <w:t>采购预算：</w:t>
      </w:r>
      <w:r>
        <w:rPr>
          <w:rFonts w:hint="eastAsia" w:ascii="宋体" w:hAnsi="宋体" w:cs="宋体"/>
          <w:sz w:val="24"/>
          <w:szCs w:val="24"/>
          <w:lang w:val="en-US" w:eastAsia="zh-CN"/>
        </w:rPr>
        <w:t>1800000</w:t>
      </w:r>
      <w:r>
        <w:rPr>
          <w:rFonts w:hint="eastAsia" w:ascii="宋体" w:hAnsi="宋体" w:cs="宋体"/>
          <w:sz w:val="24"/>
          <w:szCs w:val="24"/>
        </w:rPr>
        <w:t>元</w:t>
      </w:r>
    </w:p>
    <w:p>
      <w:pPr>
        <w:pStyle w:val="2"/>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2"/>
        <w:spacing w:line="360" w:lineRule="auto"/>
        <w:ind w:firstLine="960" w:firstLineChars="400"/>
        <w:rPr>
          <w:rFonts w:hint="default" w:eastAsia="宋体"/>
          <w:lang w:val="en-US" w:eastAsia="zh-CN"/>
        </w:rPr>
      </w:pPr>
      <w:r>
        <w:rPr>
          <w:rFonts w:hint="eastAsia" w:ascii="宋体" w:hAnsi="宋体" w:cs="宋体"/>
          <w:sz w:val="24"/>
          <w:szCs w:val="24"/>
        </w:rPr>
        <w:t>项目性质：</w:t>
      </w:r>
      <w:r>
        <w:rPr>
          <w:rFonts w:hint="eastAsia" w:ascii="宋体" w:hAnsi="宋体" w:cs="宋体"/>
          <w:sz w:val="24"/>
          <w:szCs w:val="24"/>
          <w:highlight w:val="none"/>
        </w:rPr>
        <w:t>财政资金</w:t>
      </w:r>
      <w:r>
        <w:rPr>
          <w:rFonts w:hint="eastAsia" w:ascii="宋体" w:hAnsi="宋体" w:cs="宋体"/>
          <w:sz w:val="24"/>
          <w:szCs w:val="24"/>
        </w:rPr>
        <w:t xml:space="preserve"> </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3"/>
        </w:numPr>
        <w:snapToGrid w:val="0"/>
        <w:spacing w:line="360" w:lineRule="auto"/>
        <w:ind w:left="63"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3"/>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w:t>
      </w:r>
      <w:r>
        <w:rPr>
          <w:rFonts w:hint="eastAsia" w:ascii="宋体" w:hAnsi="宋体" w:cs="宋体"/>
          <w:bCs/>
          <w:kern w:val="0"/>
          <w:sz w:val="24"/>
          <w:szCs w:val="24"/>
          <w:lang w:val="en-US" w:eastAsia="zh-CN"/>
        </w:rPr>
        <w:t>22</w:t>
      </w:r>
      <w:r>
        <w:rPr>
          <w:rFonts w:hint="eastAsia" w:ascii="宋体" w:hAnsi="宋体" w:cs="宋体"/>
          <w:bCs/>
          <w:kern w:val="0"/>
          <w:sz w:val="24"/>
          <w:szCs w:val="24"/>
        </w:rPr>
        <w:t>年1月至今已缴存的至少</w:t>
      </w:r>
      <w:r>
        <w:rPr>
          <w:rFonts w:hint="eastAsia" w:ascii="宋体" w:hAnsi="宋体" w:cs="宋体"/>
          <w:bCs/>
          <w:kern w:val="0"/>
          <w:sz w:val="24"/>
          <w:szCs w:val="24"/>
          <w:lang w:eastAsia="zh-CN"/>
        </w:rPr>
        <w:t>一</w:t>
      </w:r>
      <w:r>
        <w:rPr>
          <w:rFonts w:hint="eastAsia" w:ascii="宋体" w:hAnsi="宋体" w:cs="宋体"/>
          <w:bCs/>
          <w:kern w:val="0"/>
          <w:sz w:val="24"/>
          <w:szCs w:val="24"/>
        </w:rPr>
        <w:t>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3"/>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w:t>
      </w:r>
      <w:r>
        <w:rPr>
          <w:rFonts w:hint="eastAsia" w:ascii="宋体" w:hAnsi="宋体" w:cs="宋体"/>
          <w:bCs/>
          <w:kern w:val="0"/>
          <w:sz w:val="24"/>
          <w:szCs w:val="24"/>
          <w:lang w:val="en-US" w:eastAsia="zh-CN"/>
        </w:rPr>
        <w:t>22</w:t>
      </w:r>
      <w:r>
        <w:rPr>
          <w:rFonts w:hint="eastAsia" w:ascii="宋体" w:hAnsi="宋体" w:cs="宋体"/>
          <w:bCs/>
          <w:kern w:val="0"/>
          <w:sz w:val="24"/>
          <w:szCs w:val="24"/>
        </w:rPr>
        <w:t>年1月至今已缴纳的至少</w:t>
      </w:r>
      <w:r>
        <w:rPr>
          <w:rFonts w:hint="eastAsia" w:ascii="宋体" w:hAnsi="宋体" w:cs="宋体"/>
          <w:bCs/>
          <w:kern w:val="0"/>
          <w:sz w:val="24"/>
          <w:szCs w:val="24"/>
          <w:lang w:eastAsia="zh-CN"/>
        </w:rPr>
        <w:t>一</w:t>
      </w:r>
      <w:r>
        <w:rPr>
          <w:rFonts w:hint="eastAsia" w:ascii="宋体" w:hAnsi="宋体" w:cs="宋体"/>
          <w:bCs/>
          <w:kern w:val="0"/>
          <w:sz w:val="24"/>
          <w:szCs w:val="24"/>
        </w:rPr>
        <w:t>个月的纳税证明或完税证明；依法免税的单位应提供相关证明材料；</w:t>
      </w:r>
    </w:p>
    <w:p>
      <w:pPr>
        <w:numPr>
          <w:ilvl w:val="0"/>
          <w:numId w:val="3"/>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21</w:t>
      </w:r>
      <w:r>
        <w:rPr>
          <w:rFonts w:hint="eastAsia" w:ascii="宋体" w:hAnsi="宋体" w:cs="宋体"/>
          <w:bCs/>
          <w:kern w:val="0"/>
          <w:sz w:val="24"/>
          <w:szCs w:val="24"/>
        </w:rPr>
        <w:t>年或20</w:t>
      </w:r>
      <w:r>
        <w:rPr>
          <w:rFonts w:hint="eastAsia" w:ascii="宋体" w:hAnsi="宋体" w:cs="宋体"/>
          <w:bCs/>
          <w:kern w:val="0"/>
          <w:sz w:val="24"/>
          <w:szCs w:val="24"/>
          <w:lang w:val="en-US" w:eastAsia="zh-CN"/>
        </w:rPr>
        <w:t>22</w:t>
      </w:r>
      <w:r>
        <w:rPr>
          <w:rFonts w:hint="eastAsia" w:ascii="宋体" w:hAnsi="宋体" w:cs="宋体"/>
          <w:bCs/>
          <w:kern w:val="0"/>
          <w:sz w:val="24"/>
          <w:szCs w:val="24"/>
        </w:rPr>
        <w:t>年财务审计报告，或在开标日期前六个月内其基本开户银行出具的资信证明；</w:t>
      </w:r>
    </w:p>
    <w:p>
      <w:pPr>
        <w:numPr>
          <w:ilvl w:val="0"/>
          <w:numId w:val="3"/>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w:t>
      </w:r>
      <w:r>
        <w:rPr>
          <w:rFonts w:hint="eastAsia" w:ascii="宋体" w:hAnsi="宋体" w:cs="宋体"/>
          <w:kern w:val="0"/>
          <w:sz w:val="24"/>
          <w:lang w:val="en-US" w:eastAsia="zh-CN"/>
        </w:rPr>
        <w:t>或中国执行信息公开网（http://zxgk.court.gov.cn/shixin）</w:t>
      </w:r>
      <w:r>
        <w:rPr>
          <w:rFonts w:hint="eastAsia" w:ascii="宋体" w:hAnsi="宋体" w:cs="宋体"/>
          <w:kern w:val="0"/>
          <w:sz w:val="24"/>
        </w:rPr>
        <w:t>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w:t>
      </w:r>
    </w:p>
    <w:p>
      <w:pPr>
        <w:numPr>
          <w:ilvl w:val="0"/>
          <w:numId w:val="3"/>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snapToGrid w:val="0"/>
        <w:spacing w:line="360" w:lineRule="auto"/>
        <w:ind w:firstLine="720" w:firstLineChars="300"/>
        <w:jc w:val="left"/>
        <w:rPr>
          <w:rFonts w:hint="eastAsia" w:ascii="宋体" w:hAnsi="宋体" w:cs="宋体"/>
          <w:bCs/>
          <w:kern w:val="0"/>
          <w:sz w:val="24"/>
          <w:szCs w:val="24"/>
        </w:rPr>
      </w:pPr>
      <w:r>
        <w:rPr>
          <w:rFonts w:hint="eastAsia" w:ascii="宋体" w:hAnsi="宋体" w:cs="宋体"/>
          <w:bCs/>
          <w:kern w:val="0"/>
          <w:sz w:val="24"/>
          <w:szCs w:val="24"/>
          <w:lang w:val="en-US" w:eastAsia="zh-CN"/>
        </w:rPr>
        <w:t>7</w:t>
      </w:r>
      <w:r>
        <w:rPr>
          <w:rFonts w:hint="eastAsia" w:ascii="宋体" w:hAnsi="宋体" w:cs="宋体"/>
          <w:bCs/>
          <w:kern w:val="0"/>
          <w:sz w:val="24"/>
          <w:szCs w:val="24"/>
        </w:rPr>
        <w:t>、本项目专门面向中小企业采购，</w:t>
      </w:r>
      <w:r>
        <w:rPr>
          <w:rFonts w:hint="eastAsia" w:ascii="宋体" w:hAnsi="宋体" w:cs="宋体"/>
          <w:bCs/>
          <w:kern w:val="0"/>
          <w:sz w:val="24"/>
          <w:szCs w:val="24"/>
          <w:lang w:val="en-US" w:eastAsia="zh-CN"/>
        </w:rPr>
        <w:t>供应商</w:t>
      </w:r>
      <w:r>
        <w:rPr>
          <w:rFonts w:hint="eastAsia" w:ascii="宋体" w:hAnsi="宋体" w:cs="宋体"/>
          <w:bCs/>
          <w:kern w:val="0"/>
          <w:sz w:val="24"/>
          <w:szCs w:val="24"/>
        </w:rPr>
        <w:t>应提供中小企业声明函；</w:t>
      </w:r>
    </w:p>
    <w:p>
      <w:pPr>
        <w:snapToGrid w:val="0"/>
        <w:spacing w:line="360" w:lineRule="auto"/>
        <w:ind w:firstLine="720" w:firstLineChars="30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本项目不接受联合体</w:t>
      </w:r>
      <w:r>
        <w:rPr>
          <w:rFonts w:hint="eastAsia" w:ascii="宋体" w:hAnsi="宋体" w:cs="宋体"/>
          <w:bCs/>
          <w:kern w:val="0"/>
          <w:sz w:val="24"/>
          <w:szCs w:val="24"/>
          <w:lang w:eastAsia="zh-CN"/>
        </w:rPr>
        <w:t>投标</w:t>
      </w:r>
      <w:r>
        <w:rPr>
          <w:rFonts w:hint="eastAsia" w:ascii="宋体" w:hAnsi="宋体" w:cs="宋体"/>
          <w:bCs/>
          <w:kern w:val="0"/>
          <w:sz w:val="24"/>
          <w:szCs w:val="24"/>
        </w:rPr>
        <w:t>。</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采购项目需要落实的政府采购政策： </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依据《中华人民共和国政府采购法》和《中华人民共和国政府采购实施条例》的有关规定，落实政府采购“优先购买节能环保产品、扶持小微企业、监狱企业、福利企业” 等相关政策。</w:t>
      </w:r>
    </w:p>
    <w:p>
      <w:pPr>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1</w:t>
      </w:r>
      <w:r>
        <w:rPr>
          <w:rFonts w:hint="eastAsia" w:asciiTheme="minorEastAsia" w:hAnsiTheme="minorEastAsia" w:cstheme="minorEastAsia"/>
          <w:color w:val="000000"/>
          <w:sz w:val="24"/>
          <w:szCs w:val="24"/>
        </w:rPr>
        <w:t>、《政府采购促进中小企业发展暂行办法》（财库〔</w:t>
      </w:r>
      <w:r>
        <w:rPr>
          <w:rFonts w:asciiTheme="minorEastAsia" w:hAnsiTheme="minorEastAsia" w:cstheme="minorEastAsia"/>
          <w:color w:val="000000"/>
          <w:sz w:val="24"/>
          <w:szCs w:val="24"/>
        </w:rPr>
        <w:t>20</w:t>
      </w:r>
      <w:r>
        <w:rPr>
          <w:rFonts w:hint="eastAsia" w:asciiTheme="minorEastAsia" w:hAnsiTheme="minorEastAsia" w:cstheme="minorEastAsia"/>
          <w:color w:val="000000"/>
          <w:sz w:val="24"/>
          <w:szCs w:val="24"/>
        </w:rPr>
        <w:t>20〕46号）；</w:t>
      </w:r>
    </w:p>
    <w:p>
      <w:pPr>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2</w:t>
      </w:r>
      <w:r>
        <w:rPr>
          <w:rFonts w:hint="eastAsia" w:asciiTheme="minorEastAsia" w:hAnsiTheme="minorEastAsia" w:cstheme="minorEastAsia"/>
          <w:color w:val="000000"/>
          <w:sz w:val="24"/>
          <w:szCs w:val="24"/>
        </w:rPr>
        <w:t>、《财政部司法部关于政府采购支持监狱企业发展有关问题的通知》（财库〔</w:t>
      </w:r>
      <w:r>
        <w:rPr>
          <w:rFonts w:asciiTheme="minorEastAsia" w:hAnsiTheme="minorEastAsia" w:cstheme="minorEastAsia"/>
          <w:color w:val="000000"/>
          <w:sz w:val="24"/>
          <w:szCs w:val="24"/>
        </w:rPr>
        <w:t>2014</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68</w:t>
      </w:r>
      <w:r>
        <w:rPr>
          <w:rFonts w:hint="eastAsia" w:asciiTheme="minorEastAsia" w:hAnsiTheme="minorEastAsia" w:cstheme="minorEastAsia"/>
          <w:color w:val="000000"/>
          <w:sz w:val="24"/>
          <w:szCs w:val="24"/>
        </w:rPr>
        <w:t>号）；</w:t>
      </w:r>
    </w:p>
    <w:p>
      <w:pPr>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3</w:t>
      </w:r>
      <w:r>
        <w:rPr>
          <w:rFonts w:hint="eastAsia" w:asciiTheme="minorEastAsia" w:hAnsiTheme="minorEastAsia" w:cstheme="minorEastAsia"/>
          <w:color w:val="000000"/>
          <w:sz w:val="24"/>
          <w:szCs w:val="24"/>
        </w:rPr>
        <w:t>、《国务院办公厅关于建立政府强制采购节能产品制度的通知》（国办发〔</w:t>
      </w:r>
      <w:r>
        <w:rPr>
          <w:rFonts w:asciiTheme="minorEastAsia" w:hAnsiTheme="minorEastAsia" w:cstheme="minorEastAsia"/>
          <w:color w:val="000000"/>
          <w:sz w:val="24"/>
          <w:szCs w:val="24"/>
        </w:rPr>
        <w:t>2007</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51</w:t>
      </w:r>
      <w:r>
        <w:rPr>
          <w:rFonts w:hint="eastAsia" w:asciiTheme="minorEastAsia" w:hAnsiTheme="minorEastAsia" w:cstheme="minorEastAsia"/>
          <w:color w:val="000000"/>
          <w:sz w:val="24"/>
          <w:szCs w:val="24"/>
        </w:rPr>
        <w:t>号）；</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4、《节能产品政府采购实施意见》（财库[2004]185号）；</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5、《环境标志产品政府采购实施的意见》（财库[2006]90号）；</w:t>
      </w:r>
    </w:p>
    <w:p>
      <w:pPr>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 《三部门联合发布关于促进残疾人就业政府采购政策的通知》（财库〔2017〕141号）。</w:t>
      </w:r>
    </w:p>
    <w:p>
      <w:pPr>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7、</w:t>
      </w:r>
      <w:r>
        <w:rPr>
          <w:rFonts w:hint="eastAsia" w:ascii="宋体" w:hAnsi="宋体" w:cs="宋体"/>
          <w:sz w:val="24"/>
          <w:szCs w:val="24"/>
        </w:rPr>
        <w:t>《财政部关于进一步加大政府采购支持中小企业力度的通知》</w:t>
      </w:r>
      <w:r>
        <w:rPr>
          <w:rFonts w:hint="eastAsia" w:ascii="宋体" w:hAnsi="宋体" w:cs="宋体"/>
          <w:sz w:val="24"/>
          <w:szCs w:val="24"/>
          <w:lang w:eastAsia="zh-CN"/>
        </w:rPr>
        <w:t>（</w:t>
      </w:r>
      <w:r>
        <w:rPr>
          <w:rFonts w:hint="eastAsia" w:ascii="宋体" w:hAnsi="宋体" w:cs="宋体"/>
          <w:sz w:val="24"/>
          <w:szCs w:val="24"/>
        </w:rPr>
        <w:t>财库〔2022〕19号</w:t>
      </w:r>
      <w:r>
        <w:rPr>
          <w:rFonts w:hint="eastAsia" w:ascii="宋体" w:hAnsi="宋体" w:cs="宋体"/>
          <w:sz w:val="24"/>
          <w:szCs w:val="24"/>
          <w:lang w:eastAsia="zh-CN"/>
        </w:rPr>
        <w:t>）</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kern w:val="0"/>
          <w:sz w:val="24"/>
          <w:szCs w:val="24"/>
          <w:highlight w:val="none"/>
        </w:rPr>
        <w:t>1、发售时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color w:val="000000"/>
          <w:sz w:val="24"/>
          <w:szCs w:val="24"/>
          <w:highlight w:val="none"/>
        </w:rPr>
        <w:t>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04</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14</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04</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21</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highlight w:val="none"/>
        </w:rPr>
        <w:t>3、</w:t>
      </w:r>
      <w:r>
        <w:rPr>
          <w:rFonts w:hint="eastAsia" w:asciiTheme="minorEastAsia" w:hAnsiTheme="minorEastAsia" w:cstheme="minorEastAsia"/>
          <w:kern w:val="0"/>
          <w:sz w:val="24"/>
          <w:szCs w:val="24"/>
        </w:rPr>
        <w:t>文件售价：</w:t>
      </w:r>
      <w:r>
        <w:rPr>
          <w:rFonts w:hint="eastAsia" w:asciiTheme="minorEastAsia" w:hAnsiTheme="minorEastAsia" w:cstheme="minorEastAsia"/>
          <w:kern w:val="0"/>
          <w:sz w:val="24"/>
          <w:szCs w:val="24"/>
          <w:highlight w:val="none"/>
          <w:shd w:val="clear" w:color="auto" w:fill="auto"/>
        </w:rPr>
        <w:t>¥</w:t>
      </w:r>
      <w:r>
        <w:rPr>
          <w:rFonts w:hint="eastAsia" w:asciiTheme="minorEastAsia" w:hAnsiTheme="minorEastAsia" w:cstheme="minorEastAsia"/>
          <w:kern w:val="0"/>
          <w:sz w:val="24"/>
          <w:szCs w:val="24"/>
          <w:highlight w:val="none"/>
          <w:shd w:val="clear" w:color="auto" w:fill="auto"/>
          <w:lang w:val="en-US" w:eastAsia="zh-CN"/>
        </w:rPr>
        <w:t>5</w:t>
      </w:r>
      <w:r>
        <w:rPr>
          <w:rFonts w:hint="eastAsia" w:asciiTheme="minorEastAsia" w:hAnsiTheme="minorEastAsia" w:cstheme="minorEastAsia"/>
          <w:kern w:val="0"/>
          <w:sz w:val="24"/>
          <w:szCs w:val="24"/>
          <w:highlight w:val="none"/>
          <w:shd w:val="clear" w:color="auto" w:fill="auto"/>
        </w:rPr>
        <w:t>00元/</w:t>
      </w:r>
      <w:r>
        <w:rPr>
          <w:rFonts w:hint="eastAsia" w:asciiTheme="minorEastAsia" w:hAnsiTheme="minorEastAsia" w:cstheme="minorEastAsia"/>
          <w:kern w:val="0"/>
          <w:sz w:val="24"/>
          <w:szCs w:val="24"/>
          <w:highlight w:val="none"/>
          <w:shd w:val="clear" w:color="auto" w:fill="auto"/>
          <w:lang w:eastAsia="zh-CN"/>
        </w:rPr>
        <w:t>套</w:t>
      </w:r>
      <w:r>
        <w:rPr>
          <w:rFonts w:hint="eastAsia" w:asciiTheme="minorEastAsia" w:hAnsiTheme="minorEastAsia" w:cstheme="minorEastAsia"/>
          <w:kern w:val="0"/>
          <w:sz w:val="24"/>
          <w:szCs w:val="24"/>
          <w:highlight w:val="none"/>
          <w:shd w:val="clear" w:color="auto" w:fill="auto"/>
        </w:rPr>
        <w:t>。售后不退，谢绝邮寄。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1、投标文件递交截止时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14</w:t>
      </w:r>
      <w:r>
        <w:rPr>
          <w:rFonts w:hint="eastAsia" w:asciiTheme="minorEastAsia" w:hAnsiTheme="minorEastAsia" w:cstheme="minorEastAsia"/>
          <w:b/>
          <w:bCs/>
          <w:kern w:val="0"/>
          <w:sz w:val="24"/>
          <w:szCs w:val="24"/>
          <w:highlight w:val="none"/>
        </w:rPr>
        <w:t>:</w:t>
      </w:r>
      <w:r>
        <w:rPr>
          <w:rFonts w:hint="eastAsia" w:asciiTheme="minorEastAsia" w:hAnsiTheme="minorEastAsia" w:cstheme="minorEastAsia"/>
          <w:b/>
          <w:bCs/>
          <w:kern w:val="0"/>
          <w:sz w:val="24"/>
          <w:szCs w:val="24"/>
          <w:highlight w:val="none"/>
          <w:lang w:val="en-US" w:eastAsia="zh-CN"/>
        </w:rPr>
        <w:t>30</w:t>
      </w:r>
      <w:r>
        <w:rPr>
          <w:rFonts w:hint="eastAsia" w:asciiTheme="minorEastAsia" w:hAnsiTheme="minorEastAsia" w:cstheme="minorEastAsia"/>
          <w:b/>
          <w:bCs/>
          <w:kern w:val="0"/>
          <w:sz w:val="24"/>
          <w:szCs w:val="24"/>
          <w:highlight w:val="none"/>
        </w:rPr>
        <w:t>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14</w:t>
      </w:r>
      <w:r>
        <w:rPr>
          <w:rFonts w:hint="eastAsia" w:asciiTheme="minorEastAsia" w:hAnsiTheme="minorEastAsia" w:cstheme="minorEastAsia"/>
          <w:b/>
          <w:bCs/>
          <w:kern w:val="0"/>
          <w:sz w:val="24"/>
          <w:szCs w:val="24"/>
          <w:highlight w:val="none"/>
        </w:rPr>
        <w:t>:</w:t>
      </w:r>
      <w:r>
        <w:rPr>
          <w:rFonts w:hint="eastAsia" w:asciiTheme="minorEastAsia" w:hAnsiTheme="minorEastAsia" w:cstheme="minorEastAsia"/>
          <w:b/>
          <w:bCs/>
          <w:kern w:val="0"/>
          <w:sz w:val="24"/>
          <w:szCs w:val="24"/>
          <w:highlight w:val="none"/>
          <w:lang w:val="en-US" w:eastAsia="zh-CN"/>
        </w:rPr>
        <w:t>30</w:t>
      </w:r>
      <w:r>
        <w:rPr>
          <w:rFonts w:hint="eastAsia" w:asciiTheme="minorEastAsia" w:hAnsiTheme="minorEastAsia" w:cstheme="minorEastAsia"/>
          <w:b/>
          <w:bCs/>
          <w:kern w:val="0"/>
          <w:sz w:val="24"/>
          <w:szCs w:val="24"/>
          <w:highlight w:val="none"/>
        </w:rPr>
        <w:t>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3、开标地点：西安市莲湖区西关正街英达大厦1503会议室</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1、采购项目联系人：崔方明</w:t>
      </w:r>
      <w:r>
        <w:rPr>
          <w:rFonts w:hint="eastAsia" w:asciiTheme="minorEastAsia" w:hAnsiTheme="minorEastAsia" w:cstheme="minorEastAsia"/>
          <w:kern w:val="0"/>
          <w:sz w:val="24"/>
          <w:szCs w:val="24"/>
          <w:highlight w:val="none"/>
          <w:lang w:val="en-US" w:eastAsia="zh-CN"/>
        </w:rPr>
        <w:t xml:space="preserve"> </w:t>
      </w:r>
      <w:r>
        <w:rPr>
          <w:rFonts w:hint="eastAsia" w:asciiTheme="minorEastAsia" w:hAnsiTheme="minorEastAsia" w:cstheme="minorEastAsia"/>
          <w:kern w:val="0"/>
          <w:sz w:val="24"/>
          <w:szCs w:val="24"/>
          <w:highlight w:val="none"/>
          <w:lang w:eastAsia="zh-CN"/>
        </w:rPr>
        <w:t>赵志文</w:t>
      </w:r>
      <w:r>
        <w:rPr>
          <w:rFonts w:hint="eastAsia" w:asciiTheme="minorEastAsia" w:hAnsiTheme="minorEastAsia" w:cstheme="minorEastAsia"/>
          <w:kern w:val="0"/>
          <w:sz w:val="24"/>
          <w:szCs w:val="24"/>
          <w:highlight w:val="none"/>
          <w:lang w:val="en-US" w:eastAsia="zh-CN"/>
        </w:rPr>
        <w:t xml:space="preserve"> 刘嘉辉 </w:t>
      </w:r>
      <w:r>
        <w:rPr>
          <w:rFonts w:hint="eastAsia" w:asciiTheme="minorEastAsia" w:hAnsiTheme="minorEastAsia" w:cstheme="minorEastAsia"/>
          <w:kern w:val="0"/>
          <w:sz w:val="24"/>
          <w:szCs w:val="24"/>
          <w:highlight w:val="none"/>
        </w:rPr>
        <w:t>许芳芳</w:t>
      </w:r>
    </w:p>
    <w:p>
      <w:pPr>
        <w:widowControl/>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陕西万泽招标有限公司</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202</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04</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14</w:t>
      </w:r>
      <w:r>
        <w:rPr>
          <w:rFonts w:hint="eastAsia" w:asciiTheme="minorEastAsia" w:hAnsiTheme="minorEastAsia" w:cstheme="minorEastAsia"/>
          <w:kern w:val="0"/>
          <w:sz w:val="24"/>
          <w:szCs w:val="24"/>
          <w:highlight w:val="none"/>
        </w:rPr>
        <w:t>日</w:t>
      </w:r>
    </w:p>
    <w:p>
      <w:pPr>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br w:type="page"/>
      </w:r>
    </w:p>
    <w:p>
      <w:pPr>
        <w:pStyle w:val="3"/>
        <w:spacing w:beforeLines="100" w:afterLines="50" w:line="600" w:lineRule="exact"/>
        <w:rPr>
          <w:rFonts w:asciiTheme="minorEastAsia" w:hAnsiTheme="minorEastAsia" w:eastAsiaTheme="minorEastAsia" w:cstheme="minorEastAsia"/>
          <w:sz w:val="36"/>
          <w:szCs w:val="36"/>
        </w:rPr>
      </w:pPr>
      <w:bookmarkStart w:id="5" w:name="_Toc30089"/>
      <w:bookmarkStart w:id="6" w:name="_Toc8689"/>
      <w:bookmarkStart w:id="7" w:name="_Toc26289"/>
      <w:bookmarkStart w:id="8" w:name="_Toc438048787"/>
      <w:bookmarkStart w:id="9" w:name="_Toc19272"/>
      <w:bookmarkStart w:id="10" w:name="_Toc338"/>
      <w:bookmarkStart w:id="11" w:name="_Toc262"/>
      <w:r>
        <w:rPr>
          <w:rFonts w:hint="eastAsia" w:asciiTheme="minorEastAsia" w:hAnsiTheme="minorEastAsia" w:eastAsiaTheme="minorEastAsia" w:cstheme="minorEastAsia"/>
          <w:sz w:val="36"/>
          <w:szCs w:val="36"/>
        </w:rPr>
        <w:t>第二部分  投标人须知前附表</w:t>
      </w:r>
      <w:bookmarkEnd w:id="5"/>
      <w:bookmarkEnd w:id="6"/>
      <w:bookmarkEnd w:id="7"/>
      <w:bookmarkEnd w:id="8"/>
    </w:p>
    <w:tbl>
      <w:tblPr>
        <w:tblStyle w:val="25"/>
        <w:tblpPr w:leftFromText="180" w:rightFromText="180" w:vertAnchor="text" w:horzAnchor="page" w:tblpX="1130" w:tblpY="309"/>
        <w:tblOverlap w:val="never"/>
        <w:tblW w:w="96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1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193"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Merge w:val="restart"/>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lang w:eastAsia="zh-CN"/>
              </w:rPr>
              <w:t>西安医学院零星维修服务外包项目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Merge w:val="continue"/>
            <w:vAlign w:val="center"/>
          </w:tcPr>
          <w:p>
            <w:pPr>
              <w:spacing w:beforeLines="50" w:line="360" w:lineRule="auto"/>
              <w:jc w:val="center"/>
              <w:rPr>
                <w:rFonts w:asciiTheme="minorEastAsia" w:hAnsiTheme="minorEastAsia" w:cstheme="minorEastAsia"/>
                <w:bCs/>
                <w:szCs w:val="21"/>
              </w:rPr>
            </w:pPr>
          </w:p>
        </w:tc>
        <w:tc>
          <w:tcPr>
            <w:tcW w:w="966" w:type="dxa"/>
            <w:vAlign w:val="center"/>
          </w:tcPr>
          <w:p>
            <w:pPr>
              <w:pStyle w:val="13"/>
              <w:jc w:val="left"/>
              <w:rPr>
                <w:rFonts w:asciiTheme="minorEastAsia" w:hAnsiTheme="minorEastAsia" w:cstheme="minorEastAsia"/>
              </w:rPr>
            </w:pPr>
            <w:r>
              <w:rPr>
                <w:rFonts w:hint="eastAsia" w:hAnsi="宋体" w:cs="宋体"/>
              </w:rPr>
              <w:t>采购预算</w:t>
            </w:r>
          </w:p>
        </w:tc>
        <w:tc>
          <w:tcPr>
            <w:tcW w:w="8193" w:type="dxa"/>
            <w:vAlign w:val="center"/>
          </w:tcPr>
          <w:p>
            <w:pPr>
              <w:pStyle w:val="13"/>
              <w:jc w:val="left"/>
              <w:rPr>
                <w:rFonts w:asciiTheme="minorEastAsia" w:hAnsiTheme="minorEastAsia" w:cstheme="minorEastAsia"/>
              </w:rPr>
            </w:pPr>
            <w:r>
              <w:rPr>
                <w:rFonts w:hint="eastAsia" w:hAnsi="宋体" w:cs="宋体"/>
                <w:lang w:val="en-US" w:eastAsia="zh-CN"/>
              </w:rPr>
              <w:t>180</w:t>
            </w:r>
            <w:r>
              <w:rPr>
                <w:rFonts w:hint="eastAsia" w:hAnsi="宋体" w:cs="宋体"/>
              </w:rPr>
              <w:t>0000.00元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Merge w:val="continue"/>
            <w:vAlign w:val="center"/>
          </w:tcPr>
          <w:p>
            <w:pPr>
              <w:spacing w:beforeLines="50" w:line="360" w:lineRule="auto"/>
              <w:jc w:val="center"/>
              <w:rPr>
                <w:rFonts w:asciiTheme="minorEastAsia" w:hAnsiTheme="minorEastAsia" w:cstheme="minorEastAsia"/>
                <w:bCs/>
                <w:szCs w:val="21"/>
              </w:rPr>
            </w:pPr>
          </w:p>
        </w:tc>
        <w:tc>
          <w:tcPr>
            <w:tcW w:w="966" w:type="dxa"/>
            <w:vAlign w:val="center"/>
          </w:tcPr>
          <w:p>
            <w:pPr>
              <w:pStyle w:val="13"/>
              <w:jc w:val="left"/>
              <w:rPr>
                <w:rFonts w:asciiTheme="minorEastAsia" w:hAnsiTheme="minorEastAsia" w:cstheme="minorEastAsia"/>
              </w:rPr>
            </w:pPr>
            <w:r>
              <w:rPr>
                <w:rFonts w:hint="eastAsia" w:hAnsi="宋体" w:cs="宋体"/>
              </w:rPr>
              <w:t>项目性质</w:t>
            </w:r>
          </w:p>
        </w:tc>
        <w:tc>
          <w:tcPr>
            <w:tcW w:w="8193" w:type="dxa"/>
            <w:vAlign w:val="center"/>
          </w:tcPr>
          <w:p>
            <w:pPr>
              <w:pStyle w:val="13"/>
              <w:jc w:val="left"/>
              <w:rPr>
                <w:rFonts w:asciiTheme="minorEastAsia" w:hAnsiTheme="minorEastAsia" w:cstheme="minorEastAsia"/>
              </w:rPr>
            </w:pPr>
            <w:r>
              <w:rPr>
                <w:rFonts w:hint="eastAsia" w:hAnsi="宋体" w:cs="宋体"/>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Merge w:val="continue"/>
            <w:vAlign w:val="center"/>
          </w:tcPr>
          <w:p>
            <w:pPr>
              <w:spacing w:beforeLines="50" w:line="360" w:lineRule="auto"/>
              <w:jc w:val="center"/>
              <w:rPr>
                <w:rFonts w:asciiTheme="minorEastAsia" w:hAnsiTheme="minorEastAsia" w:cstheme="minorEastAsia"/>
                <w:bCs/>
                <w:szCs w:val="21"/>
              </w:rPr>
            </w:pPr>
          </w:p>
        </w:tc>
        <w:tc>
          <w:tcPr>
            <w:tcW w:w="966" w:type="dxa"/>
            <w:vAlign w:val="center"/>
          </w:tcPr>
          <w:p>
            <w:pPr>
              <w:spacing w:line="360" w:lineRule="auto"/>
              <w:rPr>
                <w:rFonts w:asciiTheme="minorEastAsia" w:hAnsiTheme="minorEastAsia" w:cstheme="minorEastAsia"/>
                <w:szCs w:val="21"/>
              </w:rPr>
            </w:pPr>
            <w:r>
              <w:rPr>
                <w:rFonts w:hint="eastAsia" w:ascii="宋体" w:hAnsi="宋体" w:cs="宋体"/>
                <w:szCs w:val="21"/>
              </w:rPr>
              <w:t>公告媒体</w:t>
            </w:r>
          </w:p>
        </w:tc>
        <w:tc>
          <w:tcPr>
            <w:tcW w:w="8193" w:type="dxa"/>
            <w:vAlign w:val="center"/>
          </w:tcPr>
          <w:p>
            <w:pPr>
              <w:spacing w:line="360" w:lineRule="auto"/>
              <w:rPr>
                <w:rFonts w:asciiTheme="minorEastAsia" w:hAnsiTheme="minorEastAsia" w:cstheme="minorEastAsia"/>
                <w:szCs w:val="21"/>
              </w:rPr>
            </w:pPr>
            <w:r>
              <w:rPr>
                <w:rFonts w:hint="eastAsia" w:ascii="宋体" w:hAnsi="宋体" w:cs="宋体"/>
                <w:szCs w:val="21"/>
              </w:rPr>
              <w:t>陕西省政府采购网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193" w:type="dxa"/>
            <w:vAlign w:val="center"/>
          </w:tcPr>
          <w:p>
            <w:pPr>
              <w:widowControl/>
              <w:wordWrap w:val="0"/>
              <w:spacing w:line="360" w:lineRule="auto"/>
              <w:rPr>
                <w:rFonts w:hint="eastAsia" w:eastAsiaTheme="minorEastAsia"/>
                <w:lang w:eastAsia="zh-CN"/>
              </w:rPr>
            </w:pPr>
            <w:r>
              <w:rPr>
                <w:rFonts w:hint="eastAsia"/>
              </w:rPr>
              <w:t>采购人名称：</w:t>
            </w:r>
            <w:r>
              <w:rPr>
                <w:rFonts w:hint="eastAsia"/>
                <w:lang w:eastAsia="zh-CN"/>
              </w:rPr>
              <w:t>西安医学院</w:t>
            </w:r>
          </w:p>
          <w:p>
            <w:pPr>
              <w:widowControl/>
              <w:wordWrap w:val="0"/>
              <w:spacing w:line="360" w:lineRule="auto"/>
              <w:rPr>
                <w:rFonts w:hint="eastAsia" w:eastAsiaTheme="minorEastAsia"/>
                <w:lang w:eastAsia="zh-CN"/>
              </w:rPr>
            </w:pPr>
            <w:r>
              <w:rPr>
                <w:rFonts w:hint="eastAsia"/>
              </w:rPr>
              <w:t>地    址：</w:t>
            </w:r>
            <w:r>
              <w:rPr>
                <w:rFonts w:hint="eastAsia"/>
                <w:lang w:eastAsia="zh-CN"/>
              </w:rPr>
              <w:t>西安市未央区辛王路1号</w:t>
            </w:r>
          </w:p>
          <w:p>
            <w:pPr>
              <w:widowControl/>
              <w:wordWrap w:val="0"/>
              <w:spacing w:line="360" w:lineRule="auto"/>
            </w:pPr>
            <w:r>
              <w:rPr>
                <w:rFonts w:hint="eastAsia"/>
              </w:rPr>
              <w:t>联 系 人：</w:t>
            </w:r>
            <w:r>
              <w:rPr>
                <w:rFonts w:hint="eastAsia"/>
                <w:lang w:eastAsia="zh-CN"/>
              </w:rPr>
              <w:t>苏</w:t>
            </w:r>
            <w:r>
              <w:rPr>
                <w:rFonts w:hint="eastAsia"/>
              </w:rPr>
              <w:t>老师</w:t>
            </w:r>
          </w:p>
          <w:p>
            <w:pPr>
              <w:pStyle w:val="10"/>
              <w:rPr>
                <w:rFonts w:hint="eastAsia" w:eastAsiaTheme="minorEastAsia"/>
                <w:lang w:eastAsia="zh-CN"/>
              </w:rPr>
            </w:pPr>
            <w:r>
              <w:rPr>
                <w:rFonts w:hint="eastAsia"/>
              </w:rPr>
              <w:t>联系方式</w:t>
            </w:r>
            <w:r>
              <w:rPr>
                <w:rFonts w:hint="eastAsia" w:ascii="宋体" w:hAnsi="宋体" w:eastAsia="宋体" w:cs="宋体"/>
              </w:rPr>
              <w:t>：</w:t>
            </w:r>
            <w:r>
              <w:rPr>
                <w:rFonts w:hint="eastAsia" w:ascii="宋体" w:hAnsi="宋体" w:eastAsia="宋体" w:cs="宋体"/>
                <w:lang w:eastAsia="zh-CN"/>
              </w:rPr>
              <w:t>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193"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联   系   人：崔方明   </w:t>
            </w:r>
            <w:r>
              <w:rPr>
                <w:rFonts w:hint="eastAsia" w:asciiTheme="minorEastAsia" w:hAnsiTheme="minorEastAsia" w:cstheme="minorEastAsia"/>
                <w:szCs w:val="21"/>
                <w:lang w:eastAsia="zh-CN"/>
              </w:rPr>
              <w:t>赵志文</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lang w:eastAsia="zh-CN"/>
              </w:rPr>
              <w:t>刘嘉辉</w:t>
            </w:r>
            <w:r>
              <w:rPr>
                <w:rFonts w:hint="eastAsia" w:asciiTheme="minorEastAsia" w:hAnsiTheme="minorEastAsia" w:cstheme="minorEastAsia"/>
                <w:szCs w:val="21"/>
              </w:rPr>
              <w:t xml:space="preserve">  许芳芳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193"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本次采购不分包，投标人可根据自身的资质情况和经营范围对本项目进行投标，不得自行分解或只对本次项目中的品目进行不完全投标，任何不完全的投标将按无效投标处理</w:t>
            </w:r>
            <w:r>
              <w:rPr>
                <w:rFonts w:hint="eastAsia" w:asciiTheme="minorEastAsia" w:hAnsiTheme="minorEastAsia" w:cstheme="minorEastAsia"/>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193" w:type="dxa"/>
            <w:vAlign w:val="center"/>
          </w:tcPr>
          <w:p>
            <w:pPr>
              <w:spacing w:line="360" w:lineRule="auto"/>
              <w:rPr>
                <w:rFonts w:asciiTheme="minorEastAsia" w:hAnsiTheme="minorEastAsia" w:cstheme="minorEastAsia"/>
                <w:szCs w:val="21"/>
              </w:rPr>
            </w:pPr>
            <w:r>
              <w:rPr>
                <w:rFonts w:hint="eastAsia" w:ascii="宋体" w:hAnsi="宋体" w:cs="宋体"/>
                <w:szCs w:val="21"/>
              </w:rPr>
              <w:t>自</w:t>
            </w:r>
            <w:r>
              <w:rPr>
                <w:rFonts w:hint="eastAsia" w:ascii="宋体" w:hAnsi="宋体" w:cs="宋体"/>
                <w:szCs w:val="21"/>
                <w:lang w:val="en-US" w:eastAsia="zh-CN"/>
              </w:rPr>
              <w:t>投标</w:t>
            </w:r>
            <w:r>
              <w:rPr>
                <w:rFonts w:hint="eastAsia" w:ascii="宋体" w:hAnsi="宋体" w:cs="宋体"/>
                <w:szCs w:val="21"/>
              </w:rPr>
              <w:t>文件递交截止之日起90 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2"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pPr>
              <w:adjustRightInd w:val="0"/>
              <w:snapToGrid w:val="0"/>
              <w:spacing w:line="360" w:lineRule="auto"/>
              <w:ind w:firstLine="480" w:firstLineChars="200"/>
              <w:rPr>
                <w:szCs w:val="20"/>
              </w:rPr>
            </w:pPr>
            <w:r>
              <w:rPr>
                <w:rFonts w:hint="eastAsia" w:ascii="宋体" w:hAnsi="宋体"/>
                <w:sz w:val="24"/>
                <w:szCs w:val="24"/>
              </w:rPr>
              <w:t>1、</w:t>
            </w:r>
            <w:r>
              <w:rPr>
                <w:rFonts w:hint="eastAsia"/>
                <w:szCs w:val="20"/>
              </w:rPr>
              <w:t>投标人应是合法注册的法人或其他组织，并出具合法有效的营业执照、组织机构代码证、税务登记证或三证合一的营业执照</w:t>
            </w:r>
            <w:r>
              <w:rPr>
                <w:rFonts w:hint="eastAsia" w:ascii="宋体" w:hAnsi="宋体"/>
                <w:sz w:val="24"/>
                <w:szCs w:val="24"/>
              </w:rPr>
              <w:t>；</w:t>
            </w:r>
            <w:r>
              <w:rPr>
                <w:rFonts w:hint="eastAsia"/>
                <w:b/>
                <w:bCs/>
                <w:szCs w:val="20"/>
              </w:rPr>
              <w:t>提供复印件加盖投标人鲜章。</w:t>
            </w:r>
          </w:p>
          <w:p>
            <w:pPr>
              <w:adjustRightInd w:val="0"/>
              <w:snapToGrid w:val="0"/>
              <w:spacing w:line="360" w:lineRule="auto"/>
              <w:ind w:firstLine="420" w:firstLineChars="200"/>
              <w:rPr>
                <w:szCs w:val="20"/>
              </w:rPr>
            </w:pPr>
            <w:r>
              <w:rPr>
                <w:rFonts w:hint="eastAsia"/>
                <w:szCs w:val="20"/>
              </w:rPr>
              <w:t>2、社会保障资金缴纳证明：提供20</w:t>
            </w:r>
            <w:r>
              <w:rPr>
                <w:rFonts w:hint="eastAsia"/>
                <w:szCs w:val="20"/>
                <w:lang w:val="en-US" w:eastAsia="zh-CN"/>
              </w:rPr>
              <w:t>22</w:t>
            </w:r>
            <w:r>
              <w:rPr>
                <w:rFonts w:hint="eastAsia"/>
                <w:szCs w:val="20"/>
              </w:rPr>
              <w:t>年1月至今已缴存的至少</w:t>
            </w:r>
            <w:r>
              <w:rPr>
                <w:rFonts w:hint="eastAsia"/>
                <w:szCs w:val="20"/>
                <w:lang w:eastAsia="zh-CN"/>
              </w:rPr>
              <w:t>一</w:t>
            </w:r>
            <w:r>
              <w:rPr>
                <w:rFonts w:hint="eastAsia"/>
                <w:szCs w:val="20"/>
              </w:rPr>
              <w:t>个月的社会保障资金缴存单据或社保机构开具的社会保险参保缴费情况证明，单据或证明上应有社保机构或代收机构的公章；依法不需要缴纳社会保障资金的投标人应提供相关文件证明；</w:t>
            </w:r>
            <w:r>
              <w:rPr>
                <w:rFonts w:hint="eastAsia"/>
                <w:b/>
                <w:bCs/>
                <w:szCs w:val="20"/>
              </w:rPr>
              <w:t>提供复印件加盖投标人鲜章。</w:t>
            </w:r>
          </w:p>
          <w:p>
            <w:pPr>
              <w:adjustRightInd w:val="0"/>
              <w:snapToGrid w:val="0"/>
              <w:spacing w:line="360" w:lineRule="auto"/>
              <w:ind w:firstLine="420" w:firstLineChars="200"/>
              <w:rPr>
                <w:szCs w:val="20"/>
              </w:rPr>
            </w:pPr>
            <w:r>
              <w:rPr>
                <w:rFonts w:hint="eastAsia"/>
                <w:szCs w:val="20"/>
              </w:rPr>
              <w:t>3、税收缴纳证明：提供20</w:t>
            </w:r>
            <w:r>
              <w:rPr>
                <w:rFonts w:hint="eastAsia"/>
                <w:szCs w:val="20"/>
                <w:lang w:val="en-US" w:eastAsia="zh-CN"/>
              </w:rPr>
              <w:t>22</w:t>
            </w:r>
            <w:r>
              <w:rPr>
                <w:rFonts w:hint="eastAsia"/>
                <w:szCs w:val="20"/>
              </w:rPr>
              <w:t>年1月至今已缴纳的至少</w:t>
            </w:r>
            <w:r>
              <w:rPr>
                <w:rFonts w:hint="eastAsia"/>
                <w:szCs w:val="20"/>
                <w:lang w:eastAsia="zh-CN"/>
              </w:rPr>
              <w:t>一</w:t>
            </w:r>
            <w:r>
              <w:rPr>
                <w:rFonts w:hint="eastAsia"/>
                <w:szCs w:val="20"/>
              </w:rPr>
              <w:t>个月的纳税证明或完税证明；依法免税的单位应提供相关证明材料；</w:t>
            </w:r>
            <w:r>
              <w:rPr>
                <w:rFonts w:hint="eastAsia"/>
                <w:b/>
                <w:bCs/>
                <w:szCs w:val="20"/>
              </w:rPr>
              <w:t>提供复印件加盖投标人鲜章。</w:t>
            </w:r>
          </w:p>
          <w:p>
            <w:pPr>
              <w:adjustRightInd w:val="0"/>
              <w:snapToGrid w:val="0"/>
              <w:spacing w:line="360" w:lineRule="auto"/>
              <w:ind w:firstLine="420" w:firstLineChars="200"/>
              <w:rPr>
                <w:szCs w:val="20"/>
              </w:rPr>
            </w:pPr>
            <w:r>
              <w:rPr>
                <w:rFonts w:hint="eastAsia"/>
                <w:szCs w:val="20"/>
              </w:rPr>
              <w:t>4、财务状况证明：提供经会计师事务所审计的20</w:t>
            </w:r>
            <w:r>
              <w:rPr>
                <w:rFonts w:hint="eastAsia"/>
                <w:szCs w:val="20"/>
                <w:lang w:val="en-US" w:eastAsia="zh-CN"/>
              </w:rPr>
              <w:t>21</w:t>
            </w:r>
            <w:r>
              <w:rPr>
                <w:rFonts w:hint="eastAsia"/>
                <w:szCs w:val="20"/>
              </w:rPr>
              <w:t>年或20</w:t>
            </w:r>
            <w:r>
              <w:rPr>
                <w:rFonts w:hint="eastAsia"/>
                <w:szCs w:val="20"/>
                <w:lang w:val="en-US" w:eastAsia="zh-CN"/>
              </w:rPr>
              <w:t>22</w:t>
            </w:r>
            <w:r>
              <w:rPr>
                <w:rFonts w:hint="eastAsia"/>
                <w:szCs w:val="20"/>
              </w:rPr>
              <w:t>年财务审计报告，或在开标日期前六个月内其基本开户银行出具的资信证明；</w:t>
            </w:r>
            <w:r>
              <w:rPr>
                <w:rFonts w:hint="eastAsia"/>
                <w:b/>
                <w:bCs/>
                <w:szCs w:val="20"/>
              </w:rPr>
              <w:t>提供复印件加盖投标人鲜章。</w:t>
            </w:r>
          </w:p>
          <w:p>
            <w:pPr>
              <w:adjustRightInd w:val="0"/>
              <w:snapToGrid w:val="0"/>
              <w:spacing w:line="360" w:lineRule="auto"/>
              <w:ind w:firstLine="420" w:firstLineChars="200"/>
              <w:rPr>
                <w:szCs w:val="20"/>
              </w:rPr>
            </w:pPr>
            <w:r>
              <w:rPr>
                <w:rFonts w:hint="eastAsia"/>
                <w:szCs w:val="20"/>
              </w:rPr>
              <w:t>5、投标人信誉证明：提供在参加政府采购活动前3年内在经营活动中没有重大违法记录，未被信用中国网（www.creditchina.gov.cn）或中国执行信息公开网（http://zxgk.court.gov.cn/shixin）列入失信被执行人、重大税收违法案件当事人名单，未被中国政府采购网（www.ccgp.gov.cn）列入政府采购严重违法失信行为记录名单的书面声明；</w:t>
            </w:r>
            <w:r>
              <w:rPr>
                <w:rFonts w:hint="eastAsia"/>
                <w:b/>
                <w:bCs/>
                <w:szCs w:val="20"/>
              </w:rPr>
              <w:t>提供声明原件，格式可参考招标文件第七部分。</w:t>
            </w:r>
          </w:p>
          <w:p>
            <w:pPr>
              <w:adjustRightInd w:val="0"/>
              <w:snapToGrid w:val="0"/>
              <w:spacing w:line="360" w:lineRule="auto"/>
              <w:ind w:firstLine="420" w:firstLineChars="200"/>
              <w:rPr>
                <w:szCs w:val="20"/>
              </w:rPr>
            </w:pPr>
            <w:r>
              <w:rPr>
                <w:rFonts w:hint="eastAsia"/>
                <w:szCs w:val="20"/>
              </w:rPr>
              <w:t>6、</w:t>
            </w:r>
            <w:r>
              <w:rPr>
                <w:rFonts w:hint="eastAsia"/>
                <w:b/>
                <w:bCs/>
                <w:szCs w:val="20"/>
              </w:rPr>
              <w:t>非法定代表人参加投标的，须提供法定代表人授权委托书原件及被授权人身份证原件；法定代表人参加投标时,只须提供法定代表人身份证原件；</w:t>
            </w:r>
          </w:p>
          <w:p>
            <w:pPr>
              <w:pStyle w:val="2"/>
              <w:spacing w:line="360" w:lineRule="auto"/>
              <w:ind w:firstLine="422" w:firstLineChars="200"/>
              <w:rPr>
                <w:rFonts w:hint="eastAsia"/>
                <w:b/>
                <w:bCs/>
              </w:rPr>
            </w:pPr>
            <w:r>
              <w:rPr>
                <w:rFonts w:hint="eastAsia"/>
                <w:b/>
                <w:bCs/>
                <w:lang w:val="en-US" w:eastAsia="zh-CN"/>
              </w:rPr>
              <w:t>7</w:t>
            </w:r>
            <w:r>
              <w:rPr>
                <w:rFonts w:hint="eastAsia"/>
                <w:b/>
                <w:bCs/>
              </w:rPr>
              <w:t>、本项目专门面向中小企业采购，</w:t>
            </w:r>
            <w:r>
              <w:rPr>
                <w:rFonts w:hint="eastAsia"/>
                <w:b/>
                <w:bCs/>
                <w:lang w:val="en-US" w:eastAsia="zh-CN"/>
              </w:rPr>
              <w:t>供应商</w:t>
            </w:r>
            <w:r>
              <w:rPr>
                <w:rFonts w:hint="eastAsia"/>
                <w:b/>
                <w:bCs/>
              </w:rPr>
              <w:t>应提供中小企业声明函</w:t>
            </w:r>
            <w:r>
              <w:rPr>
                <w:rFonts w:hint="eastAsia"/>
                <w:b/>
                <w:bCs/>
                <w:lang w:eastAsia="zh-CN"/>
              </w:rPr>
              <w:t>（</w:t>
            </w:r>
            <w:r>
              <w:rPr>
                <w:rFonts w:hint="eastAsia"/>
                <w:b/>
                <w:bCs/>
                <w:lang w:val="en-US" w:eastAsia="zh-CN"/>
              </w:rPr>
              <w:t>格式详见附件二</w:t>
            </w:r>
            <w:r>
              <w:rPr>
                <w:rFonts w:hint="eastAsia"/>
                <w:b/>
                <w:bCs/>
                <w:lang w:eastAsia="zh-CN"/>
              </w:rPr>
              <w:t>）</w:t>
            </w:r>
            <w:r>
              <w:rPr>
                <w:rFonts w:hint="eastAsia"/>
                <w:b/>
                <w:bCs/>
              </w:rPr>
              <w:t>；</w:t>
            </w:r>
          </w:p>
          <w:p>
            <w:pPr>
              <w:pStyle w:val="2"/>
              <w:spacing w:line="360" w:lineRule="auto"/>
              <w:ind w:firstLine="422" w:firstLineChars="200"/>
              <w:rPr>
                <w:b/>
                <w:bCs/>
              </w:rPr>
            </w:pPr>
            <w:r>
              <w:rPr>
                <w:rFonts w:hint="eastAsia"/>
                <w:b/>
                <w:bCs/>
                <w:lang w:val="en-US" w:eastAsia="zh-CN"/>
              </w:rPr>
              <w:t>8、</w:t>
            </w:r>
            <w:r>
              <w:rPr>
                <w:rFonts w:hint="eastAsia"/>
                <w:b/>
                <w:bCs/>
              </w:rPr>
              <w:t>本项目不接受联合体投标。</w:t>
            </w:r>
          </w:p>
          <w:p>
            <w:pPr>
              <w:pStyle w:val="2"/>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2"/>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投标人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53"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Theme="minorEastAsia" w:hAnsiTheme="minorEastAsia" w:cstheme="minorEastAsia"/>
                <w:szCs w:val="21"/>
              </w:rPr>
            </w:pPr>
            <w:r>
              <w:rPr>
                <w:rFonts w:hint="eastAsia" w:ascii="宋体" w:hAnsi="宋体" w:cs="宋体"/>
                <w:color w:val="000000"/>
                <w:szCs w:val="21"/>
              </w:rPr>
              <w:t>保证金要求</w:t>
            </w:r>
          </w:p>
        </w:tc>
        <w:tc>
          <w:tcPr>
            <w:tcW w:w="8193" w:type="dxa"/>
          </w:tcPr>
          <w:p>
            <w:pPr>
              <w:spacing w:line="360" w:lineRule="auto"/>
              <w:jc w:val="left"/>
              <w:rPr>
                <w:rFonts w:hint="eastAsia"/>
                <w:b/>
                <w:bCs/>
              </w:rPr>
            </w:pPr>
            <w:r>
              <w:rPr>
                <w:rFonts w:hint="eastAsia"/>
                <w:b/>
                <w:bCs/>
              </w:rPr>
              <w:t>投标保证金为:人民币</w:t>
            </w:r>
            <w:r>
              <w:rPr>
                <w:rFonts w:hint="eastAsia"/>
                <w:b/>
                <w:bCs/>
                <w:lang w:eastAsia="zh-CN"/>
              </w:rPr>
              <w:t>叁万伍仟</w:t>
            </w:r>
            <w:r>
              <w:rPr>
                <w:rFonts w:hint="eastAsia"/>
                <w:b/>
                <w:bCs/>
              </w:rPr>
              <w:t>元整（¥</w:t>
            </w:r>
            <w:r>
              <w:rPr>
                <w:rFonts w:hint="eastAsia"/>
                <w:b/>
                <w:bCs/>
                <w:lang w:val="en-US" w:eastAsia="zh-CN"/>
              </w:rPr>
              <w:t>35000</w:t>
            </w:r>
            <w:r>
              <w:rPr>
                <w:rFonts w:hint="eastAsia"/>
                <w:b/>
                <w:bCs/>
              </w:rPr>
              <w:t>元）</w:t>
            </w:r>
          </w:p>
          <w:p>
            <w:pPr>
              <w:spacing w:line="360" w:lineRule="auto"/>
              <w:ind w:firstLine="422" w:firstLineChars="200"/>
              <w:jc w:val="left"/>
              <w:rPr>
                <w:b/>
                <w:bCs/>
              </w:rPr>
            </w:pPr>
            <w:r>
              <w:rPr>
                <w:rFonts w:hint="eastAsia"/>
                <w:b/>
                <w:bCs/>
              </w:rPr>
              <w:t>投标保证金应当以对公转账、支票、汇票、本票或者金额机构、担保机构出具的保函等非现金形式提交，</w:t>
            </w:r>
            <w:r>
              <w:rPr>
                <w:rFonts w:hint="eastAsia"/>
              </w:rPr>
              <w:t>投标保证金交纳截止时间为投标文件递交截止时间（以到账时间为准），</w:t>
            </w:r>
            <w:r>
              <w:rPr>
                <w:rFonts w:hint="eastAsia"/>
                <w:b/>
                <w:bCs/>
              </w:rPr>
              <w:t xml:space="preserve">且应在开标前致电代理机构财务部门确认保证金到账情况，须在投标文件中附保证金缴纳凭证（复印件加盖公章）（注：投标保证金以投标人名称缴纳，不允许以个人名义交纳）。 </w:t>
            </w:r>
          </w:p>
          <w:p>
            <w:pPr>
              <w:spacing w:line="360" w:lineRule="auto"/>
              <w:rPr>
                <w:b/>
                <w:bCs/>
              </w:rPr>
            </w:pPr>
            <w:r>
              <w:rPr>
                <w:rFonts w:hint="eastAsia"/>
                <w:b/>
                <w:bCs/>
              </w:rPr>
              <w:t>户      名：陕西万泽招标有限公司</w:t>
            </w:r>
          </w:p>
          <w:p>
            <w:pPr>
              <w:spacing w:line="360" w:lineRule="auto"/>
              <w:rPr>
                <w:b/>
                <w:bCs/>
              </w:rPr>
            </w:pPr>
            <w:r>
              <w:rPr>
                <w:rFonts w:hint="eastAsia"/>
                <w:b/>
                <w:bCs/>
              </w:rPr>
              <w:t>开户行名称：西安银行朝阳门支行</w:t>
            </w:r>
          </w:p>
          <w:p>
            <w:pPr>
              <w:spacing w:line="360" w:lineRule="auto"/>
              <w:rPr>
                <w:b/>
                <w:bCs/>
              </w:rPr>
            </w:pPr>
            <w:r>
              <w:rPr>
                <w:rFonts w:hint="eastAsia"/>
                <w:b/>
                <w:bCs/>
              </w:rPr>
              <w:t>账      号：211011580000015489</w:t>
            </w:r>
          </w:p>
          <w:p>
            <w:pPr>
              <w:spacing w:line="360" w:lineRule="auto"/>
              <w:rPr>
                <w:rFonts w:hint="eastAsia"/>
                <w:b/>
                <w:bCs/>
              </w:rPr>
            </w:pPr>
            <w:r>
              <w:rPr>
                <w:rFonts w:hint="eastAsia"/>
                <w:b/>
                <w:bCs/>
              </w:rPr>
              <w:t>咨询电话：苏老师 029-88319689-808</w:t>
            </w:r>
          </w:p>
          <w:p>
            <w:pPr>
              <w:pStyle w:val="6"/>
            </w:pPr>
            <w:r>
              <w:rPr>
                <w:rFonts w:hint="eastAsia" w:ascii="宋体" w:hAnsi="宋体" w:eastAsia="宋体" w:cs="宋体"/>
                <w:b/>
                <w:bCs/>
                <w:sz w:val="21"/>
                <w:szCs w:val="21"/>
              </w:rPr>
              <w:t>转账事由：西安医学院-</w:t>
            </w:r>
            <w:r>
              <w:rPr>
                <w:rFonts w:hint="eastAsia" w:ascii="宋体" w:hAnsi="宋体" w:cs="宋体"/>
                <w:b/>
                <w:bCs/>
                <w:sz w:val="21"/>
                <w:szCs w:val="21"/>
                <w:lang w:val="en-US" w:eastAsia="zh-CN"/>
              </w:rPr>
              <w:t>045</w:t>
            </w:r>
            <w:r>
              <w:rPr>
                <w:rFonts w:hint="eastAsia" w:ascii="宋体" w:hAnsi="宋体" w:eastAsia="宋体" w:cs="宋体"/>
                <w:b/>
                <w:bCs/>
                <w:sz w:val="21"/>
                <w:szCs w:val="21"/>
              </w:rPr>
              <w:t xml:space="preserve">项目投标保证金（转账时请按要求标明）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193"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193"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193"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966"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Theme="minorEastAsia" w:hAnsiTheme="minorEastAsia" w:cstheme="minorEastAsia"/>
                <w:color w:val="000000"/>
                <w:szCs w:val="21"/>
              </w:rPr>
            </w:pPr>
            <w:r>
              <w:rPr>
                <w:rFonts w:hint="eastAsia" w:ascii="宋体" w:hAnsi="宋体" w:cs="宋体"/>
                <w:kern w:val="0"/>
                <w:szCs w:val="21"/>
              </w:rPr>
              <w:t>证金</w:t>
            </w:r>
          </w:p>
        </w:tc>
        <w:tc>
          <w:tcPr>
            <w:tcW w:w="8193" w:type="dxa"/>
            <w:vAlign w:val="center"/>
          </w:tcPr>
          <w:p>
            <w:pPr>
              <w:spacing w:line="360" w:lineRule="auto"/>
              <w:ind w:firstLine="420" w:firstLineChars="200"/>
              <w:jc w:val="left"/>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966" w:type="dxa"/>
            <w:vAlign w:val="center"/>
          </w:tcPr>
          <w:p>
            <w:pPr>
              <w:spacing w:line="360" w:lineRule="auto"/>
              <w:jc w:val="center"/>
              <w:rPr>
                <w:rFonts w:asciiTheme="minorEastAsia" w:hAnsiTheme="minorEastAsia" w:cstheme="minorEastAsia"/>
                <w:color w:val="000000"/>
                <w:szCs w:val="21"/>
              </w:rPr>
            </w:pPr>
            <w:r>
              <w:rPr>
                <w:rFonts w:hint="eastAsia" w:ascii="宋体" w:hAnsi="宋体" w:cs="宋体"/>
                <w:szCs w:val="21"/>
              </w:rPr>
              <w:t>履约验收</w:t>
            </w:r>
          </w:p>
        </w:tc>
        <w:tc>
          <w:tcPr>
            <w:tcW w:w="8193"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66" w:type="dxa"/>
            <w:vAlign w:val="center"/>
          </w:tcPr>
          <w:p>
            <w:pPr>
              <w:pStyle w:val="13"/>
              <w:spacing w:line="336" w:lineRule="auto"/>
              <w:jc w:val="left"/>
              <w:rPr>
                <w:rFonts w:ascii="仿宋" w:hAnsi="仿宋"/>
              </w:rPr>
            </w:pPr>
            <w:r>
              <w:rPr>
                <w:rFonts w:hint="eastAsia" w:ascii="仿宋" w:hAnsi="仿宋"/>
              </w:rPr>
              <w:t>投标人信用查询</w:t>
            </w:r>
          </w:p>
        </w:tc>
        <w:tc>
          <w:tcPr>
            <w:tcW w:w="8193" w:type="dxa"/>
            <w:vAlign w:val="center"/>
          </w:tcPr>
          <w:p>
            <w:pPr>
              <w:pStyle w:val="13"/>
              <w:jc w:val="left"/>
              <w:rPr>
                <w:rFonts w:ascii="仿宋" w:hAnsi="仿宋"/>
              </w:rPr>
            </w:pPr>
            <w:r>
              <w:rPr>
                <w:rFonts w:ascii="仿宋" w:hAnsi="仿宋"/>
              </w:rPr>
              <w:t>1</w:t>
            </w:r>
            <w:r>
              <w:rPr>
                <w:rFonts w:hint="eastAsia" w:ascii="仿宋" w:hAnsi="仿宋"/>
              </w:rPr>
              <w:t>、“信用中国”（www.creditchina.gov.cn）和“中国政府采购”（ccgp.gov.cn）为投标人信用信息查询渠道。</w:t>
            </w:r>
          </w:p>
          <w:p>
            <w:pPr>
              <w:pStyle w:val="13"/>
              <w:jc w:val="left"/>
              <w:rPr>
                <w:rFonts w:ascii="仿宋" w:hAnsi="仿宋"/>
              </w:rPr>
            </w:pPr>
            <w:r>
              <w:rPr>
                <w:rFonts w:hint="eastAsia" w:ascii="仿宋" w:hAnsi="仿宋"/>
              </w:rPr>
              <w:t>2、投标人自行查询上述记录；</w:t>
            </w:r>
          </w:p>
          <w:p>
            <w:pPr>
              <w:pStyle w:val="13"/>
              <w:spacing w:line="336" w:lineRule="auto"/>
              <w:jc w:val="left"/>
              <w:rPr>
                <w:rFonts w:ascii="仿宋" w:hAnsi="仿宋"/>
              </w:rPr>
            </w:pPr>
            <w:r>
              <w:rPr>
                <w:rFonts w:ascii="仿宋" w:hAnsi="仿宋"/>
              </w:rPr>
              <w:t>3</w:t>
            </w:r>
            <w:r>
              <w:rPr>
                <w:rFonts w:hint="eastAsia" w:ascii="仿宋" w:hAnsi="仿宋"/>
              </w:rPr>
              <w:t>、如果投标人在开标截止时间前已列入失信被执行人、重大税收违法案件当事人名单、政府采购严重违法失信行为记录名单，其响应无效。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966" w:type="dxa"/>
            <w:vAlign w:val="center"/>
          </w:tcPr>
          <w:p>
            <w:pPr>
              <w:pStyle w:val="13"/>
              <w:spacing w:line="336" w:lineRule="auto"/>
              <w:jc w:val="left"/>
              <w:rPr>
                <w:rFonts w:hint="eastAsia" w:ascii="仿宋" w:hAnsi="仿宋" w:eastAsiaTheme="minorEastAsia"/>
                <w:lang w:eastAsia="zh-CN"/>
              </w:rPr>
            </w:pPr>
            <w:r>
              <w:rPr>
                <w:rFonts w:hint="eastAsia" w:ascii="仿宋" w:hAnsi="仿宋"/>
                <w:lang w:eastAsia="zh-CN"/>
              </w:rPr>
              <w:t>现场勘查</w:t>
            </w:r>
          </w:p>
        </w:tc>
        <w:tc>
          <w:tcPr>
            <w:tcW w:w="8193" w:type="dxa"/>
            <w:vAlign w:val="center"/>
          </w:tcPr>
          <w:p>
            <w:pPr>
              <w:pStyle w:val="13"/>
              <w:spacing w:line="336" w:lineRule="auto"/>
              <w:jc w:val="left"/>
              <w:rPr>
                <w:rFonts w:hint="default" w:ascii="仿宋" w:hAnsi="仿宋" w:eastAsiaTheme="minorEastAsia"/>
                <w:lang w:val="en-US" w:eastAsia="zh-CN"/>
              </w:rPr>
            </w:pPr>
            <w:r>
              <w:rPr>
                <w:rFonts w:hint="eastAsia" w:ascii="仿宋" w:hAnsi="仿宋"/>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96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eastAsiaTheme="minorEastAsia"/>
                <w:color w:val="000000"/>
                <w:kern w:val="2"/>
                <w:sz w:val="21"/>
                <w:szCs w:val="21"/>
                <w:lang w:val="en-US" w:eastAsia="zh-CN" w:bidi="ar-SA"/>
              </w:rPr>
            </w:pPr>
            <w:r>
              <w:rPr>
                <w:rFonts w:hint="eastAsia" w:ascii="宋体" w:hAnsi="宋体" w:cs="宋体"/>
                <w:color w:val="auto"/>
                <w:sz w:val="21"/>
                <w:szCs w:val="21"/>
                <w:highlight w:val="none"/>
                <w:lang w:val="en-US" w:eastAsia="zh-CN"/>
              </w:rPr>
              <w:t>政府采购融资政策</w:t>
            </w:r>
          </w:p>
        </w:tc>
        <w:tc>
          <w:tcPr>
            <w:tcW w:w="8193"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eastAsiaTheme="minorEastAsia"/>
                <w:kern w:val="2"/>
                <w:sz w:val="21"/>
                <w:szCs w:val="21"/>
                <w:lang w:val="en-US" w:eastAsia="zh-CN" w:bidi="ar-SA"/>
              </w:rPr>
            </w:pPr>
            <w:r>
              <w:rPr>
                <w:rFonts w:hint="eastAsia" w:hAnsi="宋体" w:eastAsia="宋体" w:cs="宋体"/>
                <w:color w:val="auto"/>
                <w:sz w:val="21"/>
                <w:szCs w:val="21"/>
                <w:highlight w:val="none"/>
                <w:u w:val="none"/>
                <w:lang w:val="en-US" w:eastAsia="zh-CN"/>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eastAsia="宋体" w:cs="宋体"/>
                <w:color w:val="auto"/>
                <w:sz w:val="21"/>
                <w:szCs w:val="21"/>
                <w:highlight w:val="none"/>
                <w:u w:val="none"/>
                <w:lang w:val="en-US" w:eastAsia="zh-CN"/>
              </w:rPr>
              <w:drawing>
                <wp:inline distT="0" distB="0" distL="114300" distR="114300">
                  <wp:extent cx="190500" cy="142875"/>
                  <wp:effectExtent l="0" t="0" r="0" b="952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23"/>
                          <a:stretch>
                            <a:fillRect/>
                          </a:stretch>
                        </pic:blipFill>
                        <pic:spPr>
                          <a:xfrm>
                            <a:off x="0" y="0"/>
                            <a:ext cx="190500" cy="142875"/>
                          </a:xfrm>
                          <a:prstGeom prst="rect">
                            <a:avLst/>
                          </a:prstGeom>
                          <a:noFill/>
                          <a:ln w="9525">
                            <a:noFill/>
                          </a:ln>
                        </pic:spPr>
                      </pic:pic>
                    </a:graphicData>
                  </a:graphic>
                </wp:inline>
              </w:drawing>
            </w:r>
            <w:r>
              <w:rPr>
                <w:rFonts w:hint="eastAsia" w:hAnsi="宋体" w:eastAsia="宋体" w:cs="宋体"/>
                <w:color w:val="auto"/>
                <w:sz w:val="21"/>
                <w:szCs w:val="21"/>
                <w:highlight w:val="none"/>
                <w:u w:val="none"/>
                <w:lang w:val="en-US" w:eastAsia="zh-CN"/>
              </w:rPr>
              <w:t>www.ccgp-shaanxi.gov.cn/)重要通知专栏中查询了解。</w:t>
            </w:r>
          </w:p>
        </w:tc>
      </w:tr>
    </w:tbl>
    <w:p>
      <w:r>
        <w:rPr>
          <w:rFonts w:hint="eastAsia"/>
        </w:rPr>
        <w:br w:type="page"/>
      </w:r>
    </w:p>
    <w:p>
      <w:pPr>
        <w:pStyle w:val="3"/>
      </w:pPr>
      <w:bookmarkStart w:id="12" w:name="_Toc2255"/>
      <w:r>
        <w:rPr>
          <w:rFonts w:hint="eastAsia"/>
        </w:rPr>
        <w:t>第三部分  投标人须知</w:t>
      </w:r>
      <w:bookmarkEnd w:id="9"/>
      <w:bookmarkEnd w:id="10"/>
      <w:bookmarkEnd w:id="12"/>
    </w:p>
    <w:p>
      <w:pPr>
        <w:pStyle w:val="4"/>
        <w:rPr>
          <w:rFonts w:asciiTheme="minorEastAsia" w:hAnsiTheme="minorEastAsia" w:eastAsiaTheme="minorEastAsia" w:cstheme="minorEastAsia"/>
        </w:rPr>
      </w:pPr>
      <w:bookmarkStart w:id="13" w:name="_Toc26739"/>
      <w:bookmarkStart w:id="14" w:name="_Toc15316"/>
      <w:bookmarkStart w:id="15" w:name="_Toc19221"/>
      <w:r>
        <w:rPr>
          <w:rFonts w:hint="eastAsia" w:asciiTheme="minorEastAsia" w:hAnsiTheme="minorEastAsia" w:eastAsiaTheme="minorEastAsia" w:cstheme="minorEastAsia"/>
        </w:rPr>
        <w:t>一、总 则</w:t>
      </w:r>
      <w:bookmarkEnd w:id="13"/>
      <w:bookmarkEnd w:id="14"/>
      <w:bookmarkEnd w:id="15"/>
    </w:p>
    <w:p>
      <w:pPr>
        <w:pStyle w:val="5"/>
        <w:numPr>
          <w:ilvl w:val="0"/>
          <w:numId w:val="4"/>
        </w:numPr>
      </w:pPr>
      <w:bookmarkStart w:id="16" w:name="_Toc358364319"/>
      <w:bookmarkStart w:id="17" w:name="_Toc9257"/>
      <w:bookmarkStart w:id="18" w:name="_Toc380336725"/>
      <w:bookmarkStart w:id="19" w:name="_Toc6742"/>
      <w:r>
        <w:rPr>
          <w:rFonts w:hint="eastAsia"/>
        </w:rPr>
        <w:t>适用范围</w:t>
      </w:r>
      <w:bookmarkEnd w:id="16"/>
      <w:bookmarkEnd w:id="17"/>
      <w:bookmarkEnd w:id="18"/>
      <w:bookmarkEnd w:id="19"/>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4"/>
        </w:numPr>
      </w:pPr>
      <w:bookmarkStart w:id="20" w:name="_Toc380336726"/>
      <w:bookmarkStart w:id="21" w:name="_Toc7922"/>
      <w:bookmarkStart w:id="22" w:name="_Toc11287"/>
      <w:bookmarkStart w:id="23" w:name="_Toc358364320"/>
      <w:r>
        <w:rPr>
          <w:rFonts w:hint="eastAsia"/>
        </w:rPr>
        <w:t>定义</w:t>
      </w:r>
      <w:bookmarkEnd w:id="20"/>
      <w:bookmarkEnd w:id="21"/>
      <w:bookmarkEnd w:id="22"/>
      <w:bookmarkEnd w:id="23"/>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4"/>
        </w:numPr>
      </w:pPr>
      <w:bookmarkStart w:id="24" w:name="_Toc380336727"/>
      <w:bookmarkStart w:id="25" w:name="_Toc358364321"/>
      <w:bookmarkStart w:id="26" w:name="_Toc17676"/>
      <w:bookmarkStart w:id="27" w:name="_Toc23781"/>
      <w:r>
        <w:rPr>
          <w:rFonts w:hint="eastAsia"/>
        </w:rPr>
        <w:t>合格的</w:t>
      </w:r>
      <w:bookmarkEnd w:id="24"/>
      <w:bookmarkEnd w:id="25"/>
      <w:bookmarkEnd w:id="26"/>
      <w:bookmarkEnd w:id="27"/>
      <w:r>
        <w:rPr>
          <w:rFonts w:hint="eastAsia"/>
        </w:rPr>
        <w:t>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r>
        <w:rPr>
          <w:rFonts w:hint="eastAsia" w:asciiTheme="minorEastAsia" w:hAnsiTheme="minorEastAsia" w:cstheme="minorEastAsia"/>
          <w:kern w:val="0"/>
          <w:sz w:val="24"/>
          <w:szCs w:val="24"/>
          <w:lang w:eastAsia="zh-CN"/>
        </w:rPr>
        <w:t>，</w:t>
      </w:r>
      <w:r>
        <w:rPr>
          <w:rFonts w:hint="eastAsia" w:ascii="宋体" w:hAnsi="宋体" w:cs="宋体"/>
          <w:kern w:val="0"/>
          <w:sz w:val="24"/>
          <w:szCs w:val="24"/>
          <w:lang w:val="en-US" w:eastAsia="zh-CN"/>
        </w:rPr>
        <w:t>否则按废标处理</w:t>
      </w:r>
      <w:r>
        <w:rPr>
          <w:rFonts w:hint="eastAsia" w:asciiTheme="minorEastAsia" w:hAnsiTheme="minorEastAsia" w:cstheme="minorEastAsia"/>
          <w:kern w:val="0"/>
          <w:sz w:val="24"/>
          <w:szCs w:val="24"/>
        </w:rPr>
        <w:t>：</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3"/>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7"/>
                    <pic:cNvPicPr>
                      <a:picLocks noChangeAspect="1"/>
                    </pic:cNvPicPr>
                  </pic:nvPicPr>
                  <pic:blipFill>
                    <a:blip r:embed="rId23"/>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w:t>
      </w:r>
      <w:r>
        <w:rPr>
          <w:rFonts w:hint="eastAsia" w:ascii="宋体" w:hAnsi="宋体" w:cs="宋体"/>
          <w:b/>
          <w:bCs/>
          <w:kern w:val="0"/>
          <w:sz w:val="24"/>
          <w:szCs w:val="24"/>
          <w:lang w:eastAsia="zh-CN"/>
        </w:rPr>
        <w:t>投标人</w:t>
      </w:r>
      <w:r>
        <w:rPr>
          <w:rFonts w:hint="eastAsia" w:ascii="宋体" w:hAnsi="宋体" w:cs="宋体"/>
          <w:b/>
          <w:bCs/>
          <w:kern w:val="0"/>
          <w:sz w:val="24"/>
          <w:szCs w:val="24"/>
        </w:rPr>
        <w:t>需提供相关证明资料）。</w:t>
      </w:r>
    </w:p>
    <w:p>
      <w:pPr>
        <w:pStyle w:val="5"/>
        <w:numPr>
          <w:ilvl w:val="0"/>
          <w:numId w:val="4"/>
        </w:numPr>
      </w:pPr>
      <w:bookmarkStart w:id="28" w:name="_Toc22444"/>
      <w:bookmarkStart w:id="29" w:name="_Toc540"/>
      <w:bookmarkStart w:id="30" w:name="_Toc358364322"/>
      <w:bookmarkStart w:id="31" w:name="_Toc380336728"/>
      <w:r>
        <w:rPr>
          <w:rFonts w:hint="eastAsia"/>
        </w:rPr>
        <w:t>费用</w:t>
      </w:r>
      <w:bookmarkEnd w:id="28"/>
      <w:bookmarkEnd w:id="29"/>
      <w:bookmarkEnd w:id="30"/>
      <w:bookmarkEnd w:id="31"/>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4"/>
        </w:numPr>
      </w:pPr>
      <w:r>
        <w:rPr>
          <w:rFonts w:hint="eastAsia"/>
        </w:rPr>
        <w:t>采购进口产品</w:t>
      </w:r>
    </w:p>
    <w:p>
      <w:pPr>
        <w:widowControl/>
        <w:wordWrap w:val="0"/>
        <w:snapToGrid w:val="0"/>
        <w:spacing w:line="360" w:lineRule="auto"/>
        <w:ind w:right="-92" w:rightChars="-44"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5.1 除</w:t>
      </w:r>
      <w:r>
        <w:rPr>
          <w:rFonts w:hint="eastAsia" w:asciiTheme="minorEastAsia" w:hAnsiTheme="minorEastAsia" w:cstheme="minorEastAsia"/>
          <w:kern w:val="0"/>
          <w:sz w:val="24"/>
          <w:szCs w:val="24"/>
          <w:lang w:eastAsia="zh-CN"/>
        </w:rPr>
        <w:t>公告及</w:t>
      </w:r>
      <w:r>
        <w:rPr>
          <w:rFonts w:hint="eastAsia" w:asciiTheme="minorEastAsia" w:hAnsiTheme="minorEastAsia" w:cstheme="minorEastAsia"/>
          <w:kern w:val="0"/>
          <w:sz w:val="24"/>
          <w:szCs w:val="24"/>
        </w:rPr>
        <w:t>投标人须知前附表另有规定外，本项目拒绝进口产品参加采购活动</w:t>
      </w:r>
      <w:r>
        <w:rPr>
          <w:rFonts w:hint="eastAsia" w:asciiTheme="minorEastAsia" w:hAnsiTheme="minorEastAsia" w:cstheme="minorEastAsia"/>
          <w:kern w:val="0"/>
          <w:sz w:val="24"/>
          <w:szCs w:val="24"/>
          <w:lang w:eastAsia="zh-CN"/>
        </w:rPr>
        <w:t>，供应商以进口产品进行投标时，将在符合性审查时按照无效投标进行处理</w:t>
      </w:r>
      <w:r>
        <w:rPr>
          <w:rFonts w:hint="eastAsia" w:asciiTheme="minorEastAsia" w:hAnsiTheme="minorEastAsia" w:cstheme="minorEastAsia"/>
          <w:kern w:val="0"/>
          <w:sz w:val="24"/>
          <w:szCs w:val="24"/>
        </w:rPr>
        <w:t>。</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本项目第五部分采购要求</w:t>
      </w:r>
      <w:r>
        <w:rPr>
          <w:rFonts w:hint="eastAsia" w:asciiTheme="minorEastAsia" w:hAnsiTheme="minorEastAsia" w:cstheme="minorEastAsia"/>
          <w:kern w:val="0"/>
          <w:sz w:val="24"/>
          <w:szCs w:val="24"/>
          <w:lang w:eastAsia="zh-CN"/>
        </w:rPr>
        <w:t>中标明</w:t>
      </w:r>
      <w:r>
        <w:rPr>
          <w:rFonts w:hint="eastAsia" w:asciiTheme="minorEastAsia" w:hAnsiTheme="minorEastAsia" w:cstheme="minorEastAsia"/>
          <w:kern w:val="0"/>
          <w:sz w:val="24"/>
          <w:szCs w:val="24"/>
        </w:rPr>
        <w:t>“可接受进口产品”的，采购活动不限制满足招标文件要求的国产产品参与本次采购。</w:t>
      </w:r>
    </w:p>
    <w:p>
      <w:pPr>
        <w:pStyle w:val="5"/>
        <w:numPr>
          <w:ilvl w:val="0"/>
          <w:numId w:val="4"/>
        </w:numPr>
        <w:spacing w:after="312"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6.3产品同时属于“非强制采购节能产品”、环境标志产品的，评审时只有其中一项能享受优先待遇（投标人自行选择，并在报价文件中填写相关信息及数据）。   </w:t>
      </w:r>
    </w:p>
    <w:p>
      <w:pPr>
        <w:pStyle w:val="4"/>
        <w:jc w:val="left"/>
      </w:pPr>
      <w:bookmarkStart w:id="32" w:name="_Toc7144"/>
      <w:bookmarkStart w:id="33" w:name="_Toc14"/>
      <w:bookmarkStart w:id="34" w:name="_Toc21454"/>
      <w:r>
        <w:rPr>
          <w:rFonts w:hint="eastAsia"/>
        </w:rPr>
        <w:t>二、招标文件</w:t>
      </w:r>
      <w:bookmarkEnd w:id="32"/>
      <w:bookmarkEnd w:id="33"/>
      <w:bookmarkEnd w:id="34"/>
    </w:p>
    <w:p>
      <w:pPr>
        <w:pStyle w:val="5"/>
        <w:numPr>
          <w:ilvl w:val="0"/>
          <w:numId w:val="7"/>
        </w:numPr>
      </w:pPr>
      <w:bookmarkStart w:id="35" w:name="_Toc17817"/>
      <w:bookmarkStart w:id="36" w:name="_Toc5801"/>
      <w:r>
        <w:rPr>
          <w:rFonts w:hint="eastAsia"/>
        </w:rPr>
        <w:t>招标文件</w:t>
      </w:r>
      <w:bookmarkEnd w:id="35"/>
      <w:r>
        <w:rPr>
          <w:rFonts w:hint="eastAsia"/>
        </w:rPr>
        <w:t>的构成</w:t>
      </w:r>
      <w:bookmarkEnd w:id="36"/>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7" w:name="_Toc19797"/>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7"/>
        </w:numPr>
      </w:pPr>
      <w:r>
        <w:rPr>
          <w:rFonts w:hint="eastAsia"/>
        </w:rPr>
        <w:t>招标文件的澄清</w:t>
      </w:r>
      <w:bookmarkEnd w:id="37"/>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bookmarkStart w:id="38" w:name="_Toc6390"/>
      <w:r>
        <w:rPr>
          <w:rFonts w:hint="eastAsia" w:asciiTheme="minorEastAsia" w:hAnsiTheme="minorEastAsia" w:cstheme="minorEastAsia"/>
          <w:szCs w:val="28"/>
        </w:rPr>
        <w:t>招标文件的修改</w:t>
      </w:r>
      <w:bookmarkEnd w:id="38"/>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9" w:name="_Toc31188"/>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招标文件的获取</w:t>
      </w:r>
      <w:bookmarkEnd w:id="39"/>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投标人必须从代理机构领取招标文件，投标人自行转让或复制招标文件视为无效。招标文件一经发出，一律不退，仅作为本次公开招标使用。</w:t>
      </w:r>
    </w:p>
    <w:p>
      <w:pPr>
        <w:pStyle w:val="5"/>
        <w:numPr>
          <w:ilvl w:val="0"/>
          <w:numId w:val="7"/>
        </w:numPr>
        <w:spacing w:line="500" w:lineRule="exact"/>
        <w:ind w:firstLine="562" w:firstLineChars="200"/>
        <w:rPr>
          <w:rFonts w:asciiTheme="minorEastAsia" w:hAnsiTheme="minorEastAsia" w:cstheme="minorEastAsia"/>
          <w:szCs w:val="28"/>
        </w:rPr>
      </w:pPr>
      <w:bookmarkStart w:id="40" w:name="_Toc5095"/>
      <w:r>
        <w:rPr>
          <w:rFonts w:hint="eastAsia" w:asciiTheme="minorEastAsia" w:hAnsiTheme="minorEastAsia" w:cstheme="minorEastAsia"/>
          <w:szCs w:val="28"/>
        </w:rPr>
        <w:t>招标文件的解释权归代理机构</w:t>
      </w:r>
      <w:bookmarkEnd w:id="40"/>
    </w:p>
    <w:p>
      <w:pPr>
        <w:pStyle w:val="4"/>
        <w:rPr>
          <w:rFonts w:asciiTheme="minorEastAsia" w:hAnsiTheme="minorEastAsia" w:eastAsiaTheme="minorEastAsia" w:cstheme="minorEastAsia"/>
          <w:sz w:val="28"/>
          <w:szCs w:val="28"/>
        </w:rPr>
      </w:pPr>
      <w:bookmarkStart w:id="41" w:name="_Toc30368"/>
      <w:bookmarkStart w:id="42" w:name="_Toc19635"/>
      <w:bookmarkStart w:id="43" w:name="_Toc15601"/>
      <w:r>
        <w:rPr>
          <w:rFonts w:hint="eastAsia" w:asciiTheme="minorEastAsia" w:hAnsiTheme="minorEastAsia" w:eastAsiaTheme="minorEastAsia" w:cstheme="minorEastAsia"/>
          <w:sz w:val="28"/>
          <w:szCs w:val="28"/>
        </w:rPr>
        <w:t>三、投标文件</w:t>
      </w:r>
      <w:bookmarkEnd w:id="41"/>
      <w:bookmarkEnd w:id="42"/>
      <w:bookmarkEnd w:id="43"/>
    </w:p>
    <w:p>
      <w:pPr>
        <w:pStyle w:val="5"/>
        <w:numPr>
          <w:ilvl w:val="0"/>
          <w:numId w:val="9"/>
        </w:numPr>
        <w:spacing w:line="500" w:lineRule="exact"/>
        <w:ind w:firstLine="562" w:firstLineChars="200"/>
        <w:rPr>
          <w:rFonts w:asciiTheme="minorEastAsia" w:hAnsiTheme="minorEastAsia" w:cstheme="minorEastAsia"/>
          <w:szCs w:val="28"/>
        </w:rPr>
      </w:pPr>
      <w:bookmarkStart w:id="44" w:name="_Toc17549"/>
      <w:r>
        <w:rPr>
          <w:rFonts w:hint="eastAsia" w:asciiTheme="minorEastAsia" w:hAnsiTheme="minorEastAsia" w:cstheme="minorEastAsia"/>
          <w:szCs w:val="28"/>
        </w:rPr>
        <w:t>投标文件的编制</w:t>
      </w:r>
      <w:bookmarkEnd w:id="44"/>
    </w:p>
    <w:p>
      <w:pPr>
        <w:spacing w:line="500" w:lineRule="exact"/>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rPr>
        <w:t>投标函；</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rPr>
        <w:t>开标一览表</w:t>
      </w:r>
      <w:r>
        <w:rPr>
          <w:rFonts w:hint="eastAsia" w:ascii="宋体" w:hAnsi="宋体" w:cs="宋体"/>
          <w:color w:val="auto"/>
          <w:sz w:val="24"/>
          <w:szCs w:val="24"/>
          <w:lang w:eastAsia="zh-CN"/>
        </w:rPr>
        <w:t>；</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rPr>
        <w:t>分项报价表</w:t>
      </w:r>
      <w:r>
        <w:rPr>
          <w:rFonts w:hint="eastAsia" w:ascii="宋体" w:hAnsi="宋体" w:cs="宋体"/>
          <w:color w:val="auto"/>
          <w:sz w:val="24"/>
          <w:szCs w:val="24"/>
          <w:lang w:eastAsia="zh-CN"/>
        </w:rPr>
        <w:t>；</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cs="宋体"/>
          <w:color w:val="auto"/>
          <w:sz w:val="24"/>
          <w:szCs w:val="24"/>
          <w:lang w:eastAsia="zh-CN"/>
        </w:rPr>
        <w:t>投标保证金</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rPr>
        <w:t>投标人资质</w:t>
      </w:r>
      <w:r>
        <w:rPr>
          <w:rFonts w:hint="eastAsia" w:ascii="宋体" w:hAnsi="宋体" w:cs="宋体"/>
          <w:color w:val="auto"/>
          <w:sz w:val="24"/>
          <w:szCs w:val="24"/>
          <w:lang w:eastAsia="zh-CN"/>
        </w:rPr>
        <w:t>证明资料</w:t>
      </w:r>
      <w:r>
        <w:rPr>
          <w:rFonts w:hint="eastAsia" w:ascii="宋体" w:hAnsi="宋体" w:cs="宋体"/>
          <w:color w:val="auto"/>
          <w:sz w:val="24"/>
          <w:szCs w:val="24"/>
        </w:rPr>
        <w:t>；</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lang w:eastAsia="zh-CN"/>
        </w:rPr>
        <w:t>商务和技术响应偏离表；</w:t>
      </w:r>
      <w:r>
        <w:rPr>
          <w:rFonts w:hint="eastAsia" w:ascii="宋体" w:hAnsi="宋体" w:cs="宋体"/>
          <w:color w:val="auto"/>
          <w:sz w:val="24"/>
          <w:szCs w:val="24"/>
          <w:lang w:val="en-US" w:eastAsia="zh-CN"/>
        </w:rPr>
        <w:t xml:space="preserve">  </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rPr>
        <w:t>技术</w:t>
      </w:r>
      <w:r>
        <w:rPr>
          <w:rFonts w:hint="eastAsia" w:ascii="宋体" w:hAnsi="宋体" w:cs="宋体"/>
          <w:color w:val="auto"/>
          <w:sz w:val="24"/>
          <w:szCs w:val="24"/>
          <w:lang w:eastAsia="zh-CN"/>
        </w:rPr>
        <w:t>支持资料</w:t>
      </w:r>
      <w:r>
        <w:rPr>
          <w:rFonts w:hint="eastAsia" w:ascii="宋体" w:hAnsi="宋体" w:cs="宋体"/>
          <w:color w:val="auto"/>
          <w:sz w:val="24"/>
          <w:szCs w:val="24"/>
        </w:rPr>
        <w:t>；</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cs="宋体"/>
          <w:color w:val="auto"/>
          <w:sz w:val="24"/>
          <w:szCs w:val="24"/>
          <w:lang w:eastAsia="zh-CN"/>
        </w:rPr>
        <w:t>投标人业绩一览表；</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rPr>
        <w:t>投标人认为有必要说明的其他问题；</w:t>
      </w:r>
    </w:p>
    <w:p>
      <w:pPr>
        <w:numPr>
          <w:ilvl w:val="0"/>
          <w:numId w:val="10"/>
        </w:numPr>
        <w:tabs>
          <w:tab w:val="left" w:pos="0"/>
        </w:tabs>
        <w:adjustRightInd w:val="0"/>
        <w:snapToGrid w:val="0"/>
        <w:spacing w:line="440" w:lineRule="exact"/>
        <w:jc w:val="left"/>
        <w:rPr>
          <w:rFonts w:ascii="宋体" w:cs="宋体"/>
          <w:color w:val="auto"/>
          <w:sz w:val="24"/>
          <w:szCs w:val="24"/>
        </w:rPr>
      </w:pPr>
      <w:r>
        <w:rPr>
          <w:rFonts w:hint="eastAsia" w:ascii="宋体" w:hAnsi="宋体" w:cs="宋体"/>
          <w:color w:val="auto"/>
          <w:sz w:val="24"/>
          <w:szCs w:val="24"/>
        </w:rPr>
        <w:t>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w:t>
      </w:r>
    </w:p>
    <w:p>
      <w:pPr>
        <w:pStyle w:val="5"/>
        <w:numPr>
          <w:ilvl w:val="0"/>
          <w:numId w:val="9"/>
        </w:numPr>
      </w:pPr>
      <w:bookmarkStart w:id="45" w:name="_Toc27646"/>
      <w:r>
        <w:rPr>
          <w:rFonts w:hint="eastAsia"/>
        </w:rPr>
        <w:t>投标报价</w:t>
      </w:r>
      <w:bookmarkEnd w:id="45"/>
    </w:p>
    <w:p>
      <w:pPr>
        <w:tabs>
          <w:tab w:val="left" w:pos="0"/>
        </w:tabs>
        <w:spacing w:line="500" w:lineRule="exact"/>
        <w:ind w:firstLine="480" w:firstLineChars="200"/>
        <w:rPr>
          <w:rFonts w:asciiTheme="minorEastAsia" w:hAnsiTheme="minorEastAsia" w:cstheme="minorEastAsia"/>
          <w:sz w:val="24"/>
          <w:szCs w:val="24"/>
        </w:rPr>
      </w:pPr>
      <w:bookmarkStart w:id="46" w:name="_Toc29200"/>
      <w:r>
        <w:rPr>
          <w:rFonts w:hint="eastAsia" w:asciiTheme="minorEastAsia" w:hAnsiTheme="minorEastAsia" w:cstheme="minorEastAsia"/>
          <w:sz w:val="24"/>
          <w:szCs w:val="24"/>
        </w:rPr>
        <w:t>2.1 投标人应在投标报价表中标明完成本次招标所要求的货物、服务且验收合格的所有费用，包括</w:t>
      </w:r>
      <w:r>
        <w:rPr>
          <w:rFonts w:hint="eastAsia" w:ascii="宋体" w:hAnsi="宋体" w:cs="宋体"/>
          <w:sz w:val="24"/>
          <w:szCs w:val="24"/>
        </w:rPr>
        <w:t>服务报价、技术培训费、检测费、人工费、税金及进口产品（如果有）国家按现行税收政策征收的一切税费等</w:t>
      </w:r>
      <w:r>
        <w:rPr>
          <w:rFonts w:hint="eastAsia" w:asciiTheme="minorEastAsia" w:hAnsiTheme="minorEastAsia" w:cstheme="minorEastAsia"/>
          <w:sz w:val="24"/>
          <w:szCs w:val="24"/>
        </w:rPr>
        <w:t>。投标报价表中标明本次货物、服务的所有单项价格和总价，任何有选择的报价将不予接受，否则按无效投标处理。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投标人应在投标文件中的开标一览表上，标明所提供服务的总报价</w:t>
      </w:r>
      <w:r>
        <w:rPr>
          <w:rFonts w:hint="eastAsia" w:asciiTheme="minorEastAsia" w:hAnsiTheme="minorEastAsia" w:cstheme="minorEastAsia"/>
          <w:sz w:val="24"/>
          <w:szCs w:val="24"/>
          <w:lang w:eastAsia="zh-CN"/>
        </w:rPr>
        <w:t>（单价合计）</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服务期</w:t>
      </w:r>
      <w:r>
        <w:rPr>
          <w:rFonts w:hint="eastAsia" w:asciiTheme="minorEastAsia" w:hAnsiTheme="minorEastAsia" w:cstheme="minorEastAsia"/>
          <w:sz w:val="24"/>
          <w:szCs w:val="24"/>
        </w:rPr>
        <w:t>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pPr>
        <w:pStyle w:val="5"/>
        <w:numPr>
          <w:ilvl w:val="0"/>
          <w:numId w:val="9"/>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投标货币</w:t>
      </w:r>
      <w:bookmarkEnd w:id="46"/>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9"/>
        </w:numPr>
        <w:spacing w:line="500" w:lineRule="exact"/>
        <w:ind w:firstLine="562" w:firstLineChars="200"/>
        <w:rPr>
          <w:rFonts w:asciiTheme="minorEastAsia" w:hAnsiTheme="minorEastAsia" w:cstheme="minorEastAsia"/>
          <w:szCs w:val="28"/>
        </w:rPr>
      </w:pPr>
      <w:bookmarkStart w:id="47" w:name="_Toc1311"/>
      <w:bookmarkStart w:id="48" w:name="_Toc1700"/>
      <w:bookmarkStart w:id="49" w:name="_Toc3565"/>
      <w:bookmarkStart w:id="50" w:name="_Toc3736"/>
      <w:r>
        <w:rPr>
          <w:rFonts w:hint="eastAsia" w:asciiTheme="minorEastAsia" w:hAnsiTheme="minorEastAsia" w:cstheme="minorEastAsia"/>
          <w:szCs w:val="28"/>
        </w:rPr>
        <w:t>投标保证金</w:t>
      </w:r>
      <w:bookmarkEnd w:id="47"/>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4.4 发生下列情形之一的，代理机构将不予退还投标人缴纳的投标保证金：</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投标有效期内投标人撤销其所投投标文件的；</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在采购人确定中标人以前放弃中标候选资格的；</w:t>
      </w:r>
    </w:p>
    <w:p>
      <w:pPr>
        <w:numPr>
          <w:ilvl w:val="0"/>
          <w:numId w:val="11"/>
        </w:numPr>
        <w:tabs>
          <w:tab w:val="left" w:pos="0"/>
        </w:tabs>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投标人企图影响开标、评标的任何活动，将导致投标被拒绝，并由其承担相应的法律责任；</w:t>
      </w:r>
    </w:p>
    <w:p>
      <w:pPr>
        <w:numPr>
          <w:ilvl w:val="0"/>
          <w:numId w:val="11"/>
        </w:numPr>
        <w:adjustRightInd w:val="0"/>
        <w:snapToGrid w:val="0"/>
        <w:spacing w:line="500" w:lineRule="exact"/>
        <w:rPr>
          <w:rFonts w:asci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不与采购人签订合同的；</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由于中标人原因未能按照招标文件的规定交纳履约保证金；</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投标有效期内，投标人在政府采购活动中有违法、违规、违纪行为；</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中标人与采购人订立背离合同实质性内容的其它协议；</w:t>
      </w:r>
      <w:r>
        <w:rPr>
          <w:rFonts w:ascii="宋体" w:hAnsi="宋体" w:cs="宋体"/>
          <w:sz w:val="24"/>
          <w:szCs w:val="24"/>
        </w:rPr>
        <w:t xml:space="preserve"> </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4.5 未中标的投标人在退取投标保证金时，须携带以下资料到代理机构的财务部门办理：</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bCs/>
          <w:kern w:val="0"/>
          <w:sz w:val="24"/>
          <w:szCs w:val="24"/>
        </w:rPr>
        <w:t>投标人须提供</w:t>
      </w:r>
      <w:r>
        <w:rPr>
          <w:rFonts w:hint="eastAsia" w:asciiTheme="minorEastAsia" w:hAnsiTheme="minorEastAsia" w:cstheme="minorEastAsia"/>
          <w:bCs/>
          <w:kern w:val="0"/>
          <w:sz w:val="24"/>
          <w:szCs w:val="24"/>
          <w:lang w:eastAsia="zh-CN"/>
        </w:rPr>
        <w:t>投标保证金缴纳凭证（复印件加盖公章）</w:t>
      </w:r>
      <w:r>
        <w:rPr>
          <w:rFonts w:hint="eastAsia" w:asciiTheme="minorEastAsia" w:hAnsiTheme="minorEastAsia" w:cstheme="minorEastAsia"/>
          <w:sz w:val="24"/>
          <w:szCs w:val="24"/>
        </w:rPr>
        <w:t>；</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投标人对公银行账户信息（加盖公章）见</w:t>
      </w:r>
      <w:r>
        <w:rPr>
          <w:rFonts w:hint="eastAsia" w:asciiTheme="minorEastAsia" w:hAnsiTheme="minorEastAsia" w:cstheme="minorEastAsia"/>
          <w:b/>
          <w:bCs/>
          <w:sz w:val="24"/>
          <w:szCs w:val="24"/>
        </w:rPr>
        <w:t>附件</w:t>
      </w:r>
      <w:r>
        <w:rPr>
          <w:rFonts w:hint="eastAsia" w:asciiTheme="minorEastAsia" w:hAnsiTheme="minorEastAsia" w:cstheme="minorEastAsia"/>
          <w:b/>
          <w:bCs/>
          <w:sz w:val="24"/>
          <w:szCs w:val="24"/>
          <w:lang w:eastAsia="zh-CN"/>
        </w:rPr>
        <w:t>七</w:t>
      </w:r>
      <w:r>
        <w:rPr>
          <w:rFonts w:hint="eastAsia" w:asciiTheme="minorEastAsia" w:hAnsiTheme="minorEastAsia" w:cstheme="minorEastAsia"/>
          <w:sz w:val="24"/>
          <w:szCs w:val="24"/>
        </w:rPr>
        <w:t>。</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4.6 中标人在退取投标保证金时，除携带上述资料外还需携带与采购人签订的采购合同（原件）。</w:t>
      </w:r>
    </w:p>
    <w:p>
      <w:pPr>
        <w:numPr>
          <w:ilvl w:val="0"/>
          <w:numId w:val="13"/>
        </w:numPr>
        <w:adjustRightInd w:val="0"/>
        <w:snapToGrid w:val="0"/>
        <w:spacing w:line="360" w:lineRule="auto"/>
        <w:ind w:left="0" w:firstLine="0"/>
        <w:rPr>
          <w:rFonts w:asciiTheme="minorEastAsia" w:hAnsiTheme="minorEastAsia" w:cstheme="minorEastAsia"/>
          <w:b/>
          <w:bCs/>
          <w:sz w:val="24"/>
          <w:szCs w:val="24"/>
        </w:rPr>
      </w:pPr>
      <w:r>
        <w:rPr>
          <w:rFonts w:hint="eastAsia" w:ascii="宋体" w:hAnsi="宋体" w:eastAsia="宋体" w:cs="宋体"/>
          <w:b/>
          <w:bCs/>
          <w:sz w:val="24"/>
          <w:szCs w:val="24"/>
          <w:lang w:eastAsia="zh-CN"/>
        </w:rPr>
        <w:t>投标人</w:t>
      </w:r>
      <w:r>
        <w:rPr>
          <w:rFonts w:hint="eastAsia" w:ascii="宋体" w:hAnsi="宋体" w:eastAsia="宋体" w:cs="宋体"/>
          <w:b/>
          <w:bCs/>
          <w:sz w:val="24"/>
          <w:szCs w:val="24"/>
        </w:rPr>
        <w:t>可在开标当天将保证金退还账户信息确认表与</w:t>
      </w:r>
      <w:r>
        <w:rPr>
          <w:rFonts w:hint="eastAsia" w:ascii="宋体" w:hAnsi="宋体" w:eastAsia="宋体" w:cs="宋体"/>
          <w:b/>
          <w:bCs/>
          <w:sz w:val="24"/>
          <w:szCs w:val="24"/>
          <w:lang w:eastAsia="zh-CN"/>
        </w:rPr>
        <w:t>投标保证金缴纳凭证（复印件加盖公章）一</w:t>
      </w:r>
      <w:r>
        <w:rPr>
          <w:rFonts w:hint="eastAsia" w:ascii="宋体" w:hAnsi="宋体" w:eastAsia="宋体" w:cs="宋体"/>
          <w:b/>
          <w:bCs/>
          <w:sz w:val="24"/>
          <w:szCs w:val="24"/>
        </w:rPr>
        <w:t>并交给工作人员，当天未提交保证金退还账户信息确认表与</w:t>
      </w:r>
      <w:r>
        <w:rPr>
          <w:rFonts w:hint="eastAsia" w:ascii="宋体" w:hAnsi="宋体" w:eastAsia="宋体" w:cs="宋体"/>
          <w:b/>
          <w:bCs/>
          <w:sz w:val="24"/>
          <w:szCs w:val="24"/>
          <w:lang w:eastAsia="zh-CN"/>
        </w:rPr>
        <w:t>投标保证金缴纳凭证（复印件加盖公章）</w:t>
      </w:r>
      <w:r>
        <w:rPr>
          <w:rFonts w:hint="eastAsia" w:ascii="宋体" w:hAnsi="宋体" w:eastAsia="宋体" w:cs="宋体"/>
          <w:b/>
          <w:bCs/>
          <w:sz w:val="24"/>
          <w:szCs w:val="24"/>
        </w:rPr>
        <w:t>的</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，在开标后自行找财务办理保证</w:t>
      </w:r>
      <w:r>
        <w:rPr>
          <w:rFonts w:hint="eastAsia" w:ascii="宋体" w:hAnsi="宋体" w:eastAsia="宋体" w:cs="宋体"/>
          <w:b/>
          <w:bCs/>
          <w:sz w:val="24"/>
          <w:szCs w:val="24"/>
          <w:lang w:eastAsia="zh-CN"/>
        </w:rPr>
        <w:t>金</w:t>
      </w:r>
      <w:r>
        <w:rPr>
          <w:rFonts w:hint="eastAsia" w:ascii="宋体" w:hAnsi="宋体" w:eastAsia="宋体" w:cs="宋体"/>
          <w:b/>
          <w:bCs/>
          <w:sz w:val="24"/>
          <w:szCs w:val="24"/>
        </w:rPr>
        <w:t>退还手续。</w:t>
      </w:r>
      <w:r>
        <w:rPr>
          <w:rFonts w:hint="eastAsia" w:ascii="宋体" w:hAnsi="宋体" w:eastAsia="宋体" w:cs="宋体"/>
          <w:b/>
          <w:bCs/>
          <w:sz w:val="24"/>
          <w:szCs w:val="24"/>
          <w:lang w:val="en-US" w:eastAsia="zh-CN"/>
        </w:rPr>
        <w:t xml:space="preserve"> </w:t>
      </w:r>
    </w:p>
    <w:p>
      <w:pPr>
        <w:pStyle w:val="5"/>
        <w:numPr>
          <w:ilvl w:val="0"/>
          <w:numId w:val="9"/>
        </w:numPr>
        <w:spacing w:line="500" w:lineRule="exact"/>
        <w:ind w:firstLine="562" w:firstLineChars="200"/>
        <w:rPr>
          <w:rFonts w:asciiTheme="minorEastAsia" w:hAnsiTheme="minorEastAsia" w:cstheme="minorEastAsia"/>
          <w:szCs w:val="28"/>
        </w:rPr>
      </w:pPr>
      <w:bookmarkStart w:id="51" w:name="_Toc19668"/>
      <w:r>
        <w:rPr>
          <w:rFonts w:hint="eastAsia" w:asciiTheme="minorEastAsia" w:hAnsiTheme="minorEastAsia" w:cstheme="minorEastAsia"/>
          <w:szCs w:val="28"/>
        </w:rPr>
        <w:t>投标有效期</w:t>
      </w:r>
      <w:bookmarkEnd w:id="51"/>
    </w:p>
    <w:p>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9"/>
        </w:numPr>
        <w:spacing w:line="500" w:lineRule="exact"/>
        <w:ind w:firstLine="562" w:firstLineChars="200"/>
        <w:rPr>
          <w:rFonts w:asciiTheme="minorEastAsia" w:hAnsiTheme="minorEastAsia" w:cstheme="minorEastAsia"/>
          <w:szCs w:val="28"/>
        </w:rPr>
      </w:pPr>
      <w:bookmarkStart w:id="52" w:name="_Toc24827"/>
      <w:r>
        <w:rPr>
          <w:rFonts w:hint="eastAsia" w:asciiTheme="minorEastAsia" w:hAnsiTheme="minorEastAsia" w:cstheme="minorEastAsia"/>
          <w:szCs w:val="28"/>
        </w:rPr>
        <w:t>投标文件的装订、密封和签署</w:t>
      </w:r>
      <w:bookmarkEnd w:id="52"/>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53" w:name="OLE_LINK13"/>
      <w:r>
        <w:rPr>
          <w:rFonts w:hint="eastAsia" w:asciiTheme="minorEastAsia" w:hAnsiTheme="minorEastAsia" w:cstheme="minorEastAsia"/>
          <w:sz w:val="24"/>
          <w:szCs w:val="24"/>
        </w:rPr>
        <w:t>电子版</w:t>
      </w:r>
      <w:bookmarkEnd w:id="53"/>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6.2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6.2.1投标人在投标文件中指定的页面的落款处，按招标文件要求由投标人的法定代表人或其授权代表在规定的签章处签字</w:t>
      </w:r>
      <w:r>
        <w:rPr>
          <w:rFonts w:hint="eastAsia" w:asciiTheme="minorEastAsia" w:hAnsiTheme="minorEastAsia" w:cstheme="minorEastAsia"/>
          <w:sz w:val="24"/>
          <w:szCs w:val="24"/>
          <w:lang w:eastAsia="zh-CN"/>
        </w:rPr>
        <w:t>或</w:t>
      </w:r>
      <w:r>
        <w:rPr>
          <w:rFonts w:hint="eastAsia" w:asciiTheme="minorEastAsia" w:hAnsiTheme="minorEastAsia" w:cstheme="minorEastAsia"/>
          <w:sz w:val="24"/>
          <w:szCs w:val="24"/>
        </w:rPr>
        <w:t>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6.3 投标文件的密封</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left="0" w:leftChars="0" w:firstLine="420" w:firstLineChars="175"/>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rPr>
        <w:t>否则，由此引发的一切责任由投标人自负</w:t>
      </w:r>
      <w:r>
        <w:rPr>
          <w:rFonts w:hint="eastAsia" w:asciiTheme="minorEastAsia" w:hAnsiTheme="minorEastAsia" w:cstheme="minorEastAsia"/>
          <w:sz w:val="24"/>
          <w:szCs w:val="24"/>
          <w:lang w:eastAsia="zh-CN"/>
        </w:rPr>
        <w:t>。</w:t>
      </w:r>
    </w:p>
    <w:p>
      <w:pPr>
        <w:widowControl/>
        <w:spacing w:line="500" w:lineRule="exact"/>
        <w:ind w:left="42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9"/>
        </w:numPr>
        <w:spacing w:line="500" w:lineRule="exact"/>
        <w:ind w:firstLine="562" w:firstLineChars="200"/>
        <w:rPr>
          <w:rFonts w:asciiTheme="minorEastAsia" w:hAnsiTheme="minorEastAsia" w:cstheme="minorEastAsia"/>
          <w:szCs w:val="28"/>
        </w:rPr>
      </w:pPr>
      <w:bookmarkStart w:id="54" w:name="_Toc22752"/>
      <w:r>
        <w:rPr>
          <w:rFonts w:hint="eastAsia" w:asciiTheme="minorEastAsia" w:hAnsiTheme="minorEastAsia" w:cstheme="minorEastAsia"/>
          <w:szCs w:val="28"/>
        </w:rPr>
        <w:t>知识产权</w:t>
      </w:r>
      <w:bookmarkEnd w:id="54"/>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7.4 如投标人所不拥有的知识产权，则在投标报价中必须包括合法获取该知识产权的相关费用。</w:t>
      </w:r>
    </w:p>
    <w:p>
      <w:pPr>
        <w:bidi w:val="0"/>
      </w:pPr>
    </w:p>
    <w:p>
      <w:pPr>
        <w:pStyle w:val="4"/>
        <w:rPr>
          <w:sz w:val="28"/>
          <w:szCs w:val="28"/>
        </w:rPr>
      </w:pPr>
      <w:bookmarkStart w:id="55" w:name="_Toc18247"/>
      <w:r>
        <w:rPr>
          <w:rFonts w:hint="eastAsia"/>
          <w:sz w:val="28"/>
          <w:szCs w:val="28"/>
        </w:rPr>
        <w:t>四、投标文件的递交</w:t>
      </w:r>
      <w:bookmarkEnd w:id="48"/>
      <w:bookmarkEnd w:id="49"/>
      <w:bookmarkEnd w:id="55"/>
    </w:p>
    <w:bookmarkEnd w:id="50"/>
    <w:p>
      <w:pPr>
        <w:pStyle w:val="5"/>
        <w:numPr>
          <w:ilvl w:val="0"/>
          <w:numId w:val="15"/>
        </w:numPr>
      </w:pPr>
      <w:bookmarkStart w:id="56" w:name="_Toc3685"/>
      <w:r>
        <w:rPr>
          <w:rFonts w:hint="eastAsia"/>
        </w:rPr>
        <w:t>投标文件递交</w:t>
      </w:r>
      <w:bookmarkEnd w:id="56"/>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5"/>
        </w:numPr>
      </w:pPr>
      <w:bookmarkStart w:id="57" w:name="_Toc12741"/>
      <w:r>
        <w:rPr>
          <w:rFonts w:hint="eastAsia"/>
        </w:rPr>
        <w:t>投标文件的修改和撤回</w:t>
      </w:r>
      <w:bookmarkEnd w:id="57"/>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pPr>
      <w:bookmarkStart w:id="58" w:name="_Toc27066"/>
      <w:bookmarkStart w:id="59" w:name="_Toc14415"/>
      <w:bookmarkStart w:id="60" w:name="_Toc3188"/>
      <w:bookmarkStart w:id="61" w:name="_Toc10182"/>
      <w:r>
        <w:rPr>
          <w:rFonts w:hint="eastAsia"/>
        </w:rPr>
        <w:t>五、 开标、评审、定标</w:t>
      </w:r>
      <w:bookmarkEnd w:id="58"/>
      <w:bookmarkEnd w:id="59"/>
      <w:bookmarkEnd w:id="60"/>
      <w:bookmarkEnd w:id="61"/>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62" w:name="_Toc27216"/>
      <w:r>
        <w:rPr>
          <w:rFonts w:hint="eastAsia" w:asciiTheme="minorEastAsia" w:hAnsiTheme="minorEastAsia" w:cstheme="minorEastAsia"/>
          <w:szCs w:val="28"/>
        </w:rPr>
        <w:t>开标</w:t>
      </w:r>
      <w:bookmarkEnd w:id="62"/>
    </w:p>
    <w:p>
      <w:pPr>
        <w:widowControl/>
        <w:numPr>
          <w:ilvl w:val="1"/>
          <w:numId w:val="17"/>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63" w:name="_Toc801"/>
      <w:bookmarkStart w:id="64" w:name="_Toc20569"/>
      <w:bookmarkStart w:id="65" w:name="_Toc358364344"/>
      <w:bookmarkStart w:id="66" w:name="_Toc380336750"/>
      <w:r>
        <w:rPr>
          <w:rFonts w:hint="eastAsia" w:asciiTheme="minorEastAsia" w:hAnsiTheme="minorEastAsia" w:cstheme="minorEastAsia"/>
          <w:szCs w:val="28"/>
        </w:rPr>
        <w:t>评标委员会</w:t>
      </w:r>
      <w:bookmarkEnd w:id="63"/>
      <w:bookmarkEnd w:id="64"/>
      <w:bookmarkEnd w:id="65"/>
      <w:bookmarkEnd w:id="66"/>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6"/>
        </w:numPr>
        <w:spacing w:line="500" w:lineRule="exact"/>
        <w:ind w:firstLine="562" w:firstLineChars="200"/>
        <w:rPr>
          <w:rFonts w:asciiTheme="minorEastAsia" w:hAnsiTheme="minorEastAsia" w:cstheme="minorEastAsia"/>
          <w:szCs w:val="28"/>
        </w:rPr>
      </w:pPr>
      <w:bookmarkStart w:id="67" w:name="_Toc385958808"/>
      <w:bookmarkStart w:id="68" w:name="_Toc28085"/>
      <w:bookmarkStart w:id="69" w:name="_Toc386129876"/>
      <w:bookmarkStart w:id="70" w:name="_Toc27940"/>
      <w:r>
        <w:rPr>
          <w:rFonts w:hint="eastAsia" w:asciiTheme="minorEastAsia" w:hAnsiTheme="minorEastAsia" w:cstheme="minorEastAsia"/>
          <w:szCs w:val="28"/>
        </w:rPr>
        <w:t>投标文件初审</w:t>
      </w:r>
      <w:bookmarkEnd w:id="67"/>
      <w:bookmarkEnd w:id="68"/>
      <w:bookmarkEnd w:id="69"/>
      <w:bookmarkEnd w:id="70"/>
    </w:p>
    <w:p>
      <w:pPr>
        <w:overflowPunct w:val="0"/>
        <w:adjustRightInd w:val="0"/>
        <w:snapToGrid w:val="0"/>
        <w:spacing w:line="500" w:lineRule="exact"/>
        <w:ind w:left="420"/>
        <w:rPr>
          <w:rFonts w:asciiTheme="minorEastAsia" w:hAnsiTheme="minorEastAsia" w:cstheme="minorEastAsia"/>
          <w:kern w:val="0"/>
          <w:sz w:val="24"/>
          <w:szCs w:val="24"/>
        </w:rPr>
      </w:pPr>
      <w:bookmarkStart w:id="71" w:name="_Toc17705"/>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13"/>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restart"/>
            <w:vAlign w:val="center"/>
          </w:tcPr>
          <w:p>
            <w:pPr>
              <w:overflowPunct w:val="0"/>
              <w:adjustRightInd w:val="0"/>
              <w:snapToGrid w:val="0"/>
              <w:spacing w:line="500" w:lineRule="exact"/>
              <w:jc w:val="both"/>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符合性审查</w:t>
            </w:r>
          </w:p>
        </w:tc>
        <w:tc>
          <w:tcPr>
            <w:tcW w:w="413" w:type="dxa"/>
          </w:tcPr>
          <w:p>
            <w:pPr>
              <w:overflowPunct w:val="0"/>
              <w:adjustRightInd w:val="0"/>
              <w:snapToGrid w:val="0"/>
              <w:spacing w:line="500" w:lineRule="exact"/>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1</w:t>
            </w:r>
          </w:p>
        </w:tc>
        <w:tc>
          <w:tcPr>
            <w:tcW w:w="7841" w:type="dxa"/>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p>
        </w:tc>
        <w:tc>
          <w:tcPr>
            <w:tcW w:w="413" w:type="dxa"/>
          </w:tcPr>
          <w:p>
            <w:pPr>
              <w:overflowPunct w:val="0"/>
              <w:adjustRightInd w:val="0"/>
              <w:snapToGrid w:val="0"/>
              <w:spacing w:line="500" w:lineRule="exact"/>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2</w:t>
            </w:r>
          </w:p>
        </w:tc>
        <w:tc>
          <w:tcPr>
            <w:tcW w:w="7841" w:type="dxa"/>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p>
        </w:tc>
        <w:tc>
          <w:tcPr>
            <w:tcW w:w="413" w:type="dxa"/>
          </w:tcPr>
          <w:p>
            <w:pPr>
              <w:overflowPunct w:val="0"/>
              <w:adjustRightInd w:val="0"/>
              <w:snapToGrid w:val="0"/>
              <w:spacing w:line="500" w:lineRule="exact"/>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3</w:t>
            </w:r>
          </w:p>
        </w:tc>
        <w:tc>
          <w:tcPr>
            <w:tcW w:w="7841" w:type="dxa"/>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投标文件签字、盖章是否满足招标文件要求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p>
        </w:tc>
        <w:tc>
          <w:tcPr>
            <w:tcW w:w="413" w:type="dxa"/>
          </w:tcPr>
          <w:p>
            <w:pPr>
              <w:overflowPunct w:val="0"/>
              <w:adjustRightInd w:val="0"/>
              <w:snapToGrid w:val="0"/>
              <w:spacing w:line="500" w:lineRule="exact"/>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4</w:t>
            </w:r>
          </w:p>
        </w:tc>
        <w:tc>
          <w:tcPr>
            <w:tcW w:w="7841" w:type="dxa"/>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p>
        </w:tc>
        <w:tc>
          <w:tcPr>
            <w:tcW w:w="413" w:type="dxa"/>
          </w:tcPr>
          <w:p>
            <w:pPr>
              <w:overflowPunct w:val="0"/>
              <w:adjustRightInd w:val="0"/>
              <w:snapToGrid w:val="0"/>
              <w:spacing w:line="500" w:lineRule="exact"/>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5</w:t>
            </w:r>
          </w:p>
        </w:tc>
        <w:tc>
          <w:tcPr>
            <w:tcW w:w="7841" w:type="dxa"/>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p>
        </w:tc>
        <w:tc>
          <w:tcPr>
            <w:tcW w:w="413" w:type="dxa"/>
          </w:tcPr>
          <w:p>
            <w:pPr>
              <w:overflowPunct w:val="0"/>
              <w:adjustRightInd w:val="0"/>
              <w:snapToGrid w:val="0"/>
              <w:spacing w:line="500" w:lineRule="exact"/>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6</w:t>
            </w:r>
          </w:p>
        </w:tc>
        <w:tc>
          <w:tcPr>
            <w:tcW w:w="7841" w:type="dxa"/>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投标文件是否有采购人不能接受的附加条件的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6" w:type="dxa"/>
            <w:vMerge w:val="continue"/>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p>
        </w:tc>
        <w:tc>
          <w:tcPr>
            <w:tcW w:w="413" w:type="dxa"/>
          </w:tcPr>
          <w:p>
            <w:pPr>
              <w:overflowPunct w:val="0"/>
              <w:adjustRightInd w:val="0"/>
              <w:snapToGrid w:val="0"/>
              <w:spacing w:line="500" w:lineRule="exact"/>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7</w:t>
            </w:r>
          </w:p>
        </w:tc>
        <w:tc>
          <w:tcPr>
            <w:tcW w:w="7841" w:type="dxa"/>
          </w:tcPr>
          <w:p>
            <w:pPr>
              <w:overflowPunct w:val="0"/>
              <w:adjustRightInd w:val="0"/>
              <w:snapToGrid w:val="0"/>
              <w:spacing w:line="500" w:lineRule="exact"/>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3.3 经过对投标人及投标文件审查，出现下列情况者（但不限于），视为未响应招标文件实质性条款，其投标文件按无效投标处理：</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w:t>
      </w:r>
      <w:r>
        <w:rPr>
          <w:rFonts w:hint="eastAsia" w:asciiTheme="minorEastAsia" w:hAnsiTheme="minorEastAsia" w:cstheme="minorEastAsia"/>
          <w:sz w:val="24"/>
          <w:szCs w:val="24"/>
          <w:lang w:eastAsia="zh-CN"/>
        </w:rPr>
        <w:t>缴纳</w:t>
      </w:r>
      <w:r>
        <w:rPr>
          <w:rFonts w:hint="eastAsia" w:asciiTheme="minorEastAsia" w:hAnsiTheme="minorEastAsia" w:cstheme="minorEastAsia"/>
          <w:sz w:val="24"/>
          <w:szCs w:val="24"/>
        </w:rPr>
        <w:t>或投标保证金的交付单位和投标人的名称不一致，视为无效投标；</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投标文件与招标文件在商务要求条款不一致或附加了采购人不能接受的附加条件或条款的；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如澄清、说明的内容与投标文件内容有重大相悖或矛盾，将被认定为无效投标；</w:t>
      </w:r>
    </w:p>
    <w:p>
      <w:pPr>
        <w:numPr>
          <w:ilvl w:val="0"/>
          <w:numId w:val="19"/>
        </w:numPr>
        <w:bidi w:val="0"/>
        <w:spacing w:line="360" w:lineRule="auto"/>
        <w:rPr>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3.4投标人有下列情形之一的，视为投标人串通投标，其投标无效：</w:t>
      </w:r>
    </w:p>
    <w:p>
      <w:pPr>
        <w:numPr>
          <w:ilvl w:val="0"/>
          <w:numId w:val="0"/>
        </w:numPr>
        <w:tabs>
          <w:tab w:val="left" w:pos="0"/>
        </w:tabs>
        <w:spacing w:line="500" w:lineRule="exact"/>
        <w:ind w:firstLine="480" w:firstLineChars="200"/>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（2）不同投标人委托同一单位或者个人办理投标事宜；</w:t>
      </w:r>
    </w:p>
    <w:p>
      <w:pPr>
        <w:numPr>
          <w:ilvl w:val="0"/>
          <w:numId w:val="0"/>
        </w:numPr>
        <w:tabs>
          <w:tab w:val="left" w:pos="0"/>
        </w:tabs>
        <w:spacing w:line="500" w:lineRule="exact"/>
        <w:ind w:firstLine="480" w:firstLineChars="200"/>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（3）不同投标人的投标文件载明的项目管理成员或者联系人员为同一人；</w:t>
      </w:r>
    </w:p>
    <w:p>
      <w:pPr>
        <w:numPr>
          <w:ilvl w:val="0"/>
          <w:numId w:val="0"/>
        </w:numPr>
        <w:tabs>
          <w:tab w:val="left" w:pos="0"/>
        </w:tabs>
        <w:spacing w:line="500" w:lineRule="exact"/>
        <w:ind w:firstLine="480" w:firstLineChars="200"/>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（4）不同投标人的投标文件异常一致或者投标报价呈规律性差异；</w:t>
      </w:r>
    </w:p>
    <w:p>
      <w:pPr>
        <w:numPr>
          <w:ilvl w:val="0"/>
          <w:numId w:val="0"/>
        </w:numPr>
        <w:tabs>
          <w:tab w:val="left" w:pos="0"/>
        </w:tabs>
        <w:spacing w:line="500" w:lineRule="exact"/>
        <w:ind w:firstLine="480" w:firstLineChars="200"/>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（5）不同投标人的投标文件相互混装；</w:t>
      </w:r>
    </w:p>
    <w:p>
      <w:pPr>
        <w:numPr>
          <w:ilvl w:val="0"/>
          <w:numId w:val="0"/>
        </w:numPr>
        <w:spacing w:line="500" w:lineRule="exact"/>
        <w:ind w:left="0" w:leftChars="0" w:firstLine="420" w:firstLineChars="175"/>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（6）不同投标人的投标保证金从同一单位或者个人的账户转出。</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1"/>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6"/>
        </w:numPr>
      </w:pPr>
      <w:bookmarkStart w:id="72" w:name="_Toc8353"/>
      <w:r>
        <w:rPr>
          <w:rFonts w:hint="eastAsia"/>
        </w:rPr>
        <w:t>评标</w:t>
      </w:r>
      <w:bookmarkEnd w:id="72"/>
    </w:p>
    <w:p>
      <w:pPr>
        <w:spacing w:line="500" w:lineRule="exact"/>
        <w:ind w:firstLine="480" w:firstLineChars="200"/>
        <w:jc w:val="left"/>
        <w:rPr>
          <w:rFonts w:asciiTheme="minorEastAsia" w:hAnsiTheme="minorEastAsia" w:cstheme="minorEastAsia"/>
          <w:sz w:val="24"/>
          <w:szCs w:val="24"/>
        </w:rPr>
      </w:pPr>
      <w:bookmarkStart w:id="73" w:name="_Toc12947"/>
      <w:r>
        <w:rPr>
          <w:rFonts w:hint="eastAsia" w:asciiTheme="minorEastAsia" w:hAnsiTheme="minorEastAsia" w:cstheme="minorEastAsia"/>
          <w:sz w:val="24"/>
          <w:szCs w:val="24"/>
        </w:rPr>
        <w:t>4.1评标委员会有权对在开标、评标过程中出现的一切问题，根据《中华人民共和国政府采购法》和《政府采购货物和服务招标投标管理办法》的条款，本着公开、公平、公正的原则进行处理。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w:t>
      </w:r>
      <w:r>
        <w:rPr>
          <w:rFonts w:hint="eastAsia" w:ascii="宋体" w:hAnsi="宋体" w:cs="宋体"/>
          <w:sz w:val="24"/>
        </w:rPr>
        <w:t>推荐1～3名</w:t>
      </w:r>
      <w:r>
        <w:rPr>
          <w:rFonts w:hint="eastAsia" w:asciiTheme="minorEastAsia" w:hAnsiTheme="minorEastAsia" w:cstheme="minorEastAsia"/>
          <w:sz w:val="24"/>
          <w:szCs w:val="24"/>
        </w:rPr>
        <w:t>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4.5 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6"/>
        </w:numPr>
      </w:pPr>
      <w:r>
        <w:rPr>
          <w:rFonts w:hint="eastAsia"/>
        </w:rPr>
        <w:t>定标</w:t>
      </w:r>
      <w:bookmarkEnd w:id="73"/>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5.1代理机构在评标结束后</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个工作日内将评标报告送达采购单位，采购单位在收到评标报告后</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5.2代理机构收到采购单位“定标复函”后</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个工作日内，在财政部门指定的政府采购信息媒体上发布中标公告，并向中标人发出“中标通知书”。</w:t>
      </w:r>
    </w:p>
    <w:p>
      <w:pPr>
        <w:pStyle w:val="4"/>
        <w:bidi w:val="0"/>
        <w:rPr>
          <w:rFonts w:hint="eastAsia"/>
          <w:lang w:val="en-US" w:eastAsia="zh-CN"/>
        </w:rPr>
      </w:pPr>
      <w:bookmarkStart w:id="74" w:name="_Toc23270"/>
      <w:bookmarkStart w:id="75" w:name="_Toc19972"/>
      <w:bookmarkStart w:id="76" w:name="_Toc26772"/>
      <w:bookmarkStart w:id="77" w:name="_Toc25308"/>
      <w:bookmarkStart w:id="78" w:name="_Toc3364"/>
      <w:bookmarkStart w:id="79" w:name="_Toc3298"/>
      <w:bookmarkStart w:id="80" w:name="_Toc12904"/>
      <w:r>
        <w:rPr>
          <w:rFonts w:hint="eastAsia"/>
          <w:lang w:val="en-US" w:eastAsia="zh-CN"/>
        </w:rPr>
        <w:t>六、履约验收</w:t>
      </w:r>
      <w:bookmarkEnd w:id="74"/>
    </w:p>
    <w:p>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政府采购合同的履行、违约责任和解决争议的方法等适用《中华人民共和国</w:t>
      </w:r>
      <w:r>
        <w:rPr>
          <w:rFonts w:hint="eastAsia" w:asciiTheme="minorEastAsia" w:hAnsiTheme="minorEastAsia" w:cstheme="minorEastAsia"/>
          <w:sz w:val="24"/>
          <w:szCs w:val="24"/>
          <w:lang w:eastAsia="zh-CN"/>
        </w:rPr>
        <w:t>民法典</w:t>
      </w:r>
      <w:r>
        <w:rPr>
          <w:rFonts w:hint="eastAsia" w:asciiTheme="minorEastAsia" w:hAnsiTheme="minorEastAsia" w:cstheme="minorEastAsia"/>
          <w:sz w:val="24"/>
          <w:szCs w:val="24"/>
        </w:rPr>
        <w:t>》。采购人按照政府采购合同规定的技术、服务、安全标准组织对供应商履约情况进行验收，并出具验收书。</w:t>
      </w:r>
    </w:p>
    <w:p>
      <w:pPr>
        <w:spacing w:line="360" w:lineRule="auto"/>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2、履约验收的费用及要求详见“投标人须知前附表”。</w:t>
      </w:r>
    </w:p>
    <w:p>
      <w:pPr>
        <w:pStyle w:val="4"/>
      </w:pPr>
      <w:bookmarkStart w:id="81" w:name="_Toc8083"/>
      <w:r>
        <w:rPr>
          <w:rFonts w:hint="eastAsia"/>
          <w:lang w:eastAsia="zh-CN"/>
        </w:rPr>
        <w:t>七</w:t>
      </w:r>
      <w:r>
        <w:rPr>
          <w:rFonts w:hint="eastAsia"/>
        </w:rPr>
        <w:t>、签订合同</w:t>
      </w:r>
      <w:bookmarkEnd w:id="75"/>
      <w:bookmarkEnd w:id="76"/>
      <w:bookmarkEnd w:id="77"/>
      <w:bookmarkEnd w:id="78"/>
      <w:bookmarkEnd w:id="81"/>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w:t>
      </w:r>
      <w:r>
        <w:rPr>
          <w:rFonts w:hint="eastAsia" w:asciiTheme="minorEastAsia" w:hAnsiTheme="minorEastAsia" w:cstheme="minorEastAsia"/>
          <w:sz w:val="24"/>
          <w:szCs w:val="24"/>
          <w:lang w:eastAsia="zh-CN"/>
        </w:rPr>
        <w:t>人</w:t>
      </w:r>
      <w:r>
        <w:rPr>
          <w:rFonts w:hint="eastAsia" w:asciiTheme="minorEastAsia" w:hAnsiTheme="minorEastAsia" w:cstheme="minorEastAsia"/>
          <w:sz w:val="24"/>
          <w:szCs w:val="24"/>
        </w:rPr>
        <w:t>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w:t>
      </w:r>
      <w:r>
        <w:rPr>
          <w:rFonts w:hint="eastAsia" w:asciiTheme="minorEastAsia" w:hAnsiTheme="minorEastAsia" w:cstheme="minorEastAsia"/>
          <w:sz w:val="24"/>
          <w:szCs w:val="24"/>
          <w:lang w:eastAsia="zh-CN"/>
        </w:rPr>
        <w:t>人</w:t>
      </w:r>
      <w:r>
        <w:rPr>
          <w:rFonts w:hint="eastAsia" w:asciiTheme="minorEastAsia" w:hAnsiTheme="minorEastAsia" w:cstheme="minorEastAsia"/>
          <w:sz w:val="24"/>
          <w:szCs w:val="24"/>
        </w:rPr>
        <w:t>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w:t>
      </w:r>
      <w:r>
        <w:rPr>
          <w:rFonts w:hint="eastAsia" w:asciiTheme="minorEastAsia" w:hAnsiTheme="minorEastAsia" w:cstheme="minorEastAsia"/>
          <w:sz w:val="24"/>
          <w:szCs w:val="24"/>
          <w:lang w:eastAsia="zh-CN"/>
        </w:rPr>
        <w:t>陕西省财政厅政府采购管理处</w:t>
      </w:r>
      <w:r>
        <w:rPr>
          <w:rFonts w:hint="eastAsia" w:asciiTheme="minorEastAsia" w:hAnsiTheme="minorEastAsia" w:cstheme="minorEastAsia"/>
          <w:sz w:val="24"/>
          <w:szCs w:val="24"/>
        </w:rPr>
        <w:t>在合同履行期间以及履行期后，可以随时检查项目的执行情况，对采购标准、采购内容进行调查核实，并对发现的问题进行处理。</w:t>
      </w:r>
    </w:p>
    <w:p>
      <w:pPr>
        <w:pStyle w:val="4"/>
      </w:pPr>
      <w:bookmarkStart w:id="82" w:name="_Toc25522"/>
      <w:bookmarkStart w:id="83" w:name="_Toc14532"/>
      <w:bookmarkStart w:id="84" w:name="_Toc28110"/>
      <w:bookmarkStart w:id="85" w:name="_Toc26132"/>
      <w:bookmarkStart w:id="86" w:name="_Toc2796"/>
      <w:r>
        <w:rPr>
          <w:rFonts w:hint="eastAsia"/>
          <w:lang w:eastAsia="zh-CN"/>
        </w:rPr>
        <w:t>八</w:t>
      </w:r>
      <w:r>
        <w:rPr>
          <w:rFonts w:hint="eastAsia"/>
        </w:rPr>
        <w:t>、代理服务费</w:t>
      </w:r>
      <w:bookmarkEnd w:id="82"/>
      <w:bookmarkEnd w:id="83"/>
      <w:bookmarkEnd w:id="84"/>
      <w:bookmarkEnd w:id="85"/>
      <w:bookmarkEnd w:id="86"/>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参照（计价格[2002]1980号）文件规定收费标准收取，由中标人在领取中标通知书时向代理机构缴纳代理服务费。 </w:t>
      </w:r>
    </w:p>
    <w:p>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pPr>
        <w:pStyle w:val="4"/>
      </w:pPr>
      <w:bookmarkStart w:id="87" w:name="_Toc22120"/>
      <w:bookmarkStart w:id="88" w:name="_Toc12124"/>
      <w:bookmarkStart w:id="89" w:name="_Toc14928"/>
      <w:r>
        <w:rPr>
          <w:rFonts w:hint="eastAsia"/>
          <w:lang w:eastAsia="zh-CN"/>
        </w:rPr>
        <w:t>九</w:t>
      </w:r>
      <w:r>
        <w:rPr>
          <w:rFonts w:hint="eastAsia"/>
        </w:rPr>
        <w:t>、质疑和投诉</w:t>
      </w:r>
      <w:bookmarkEnd w:id="87"/>
      <w:bookmarkEnd w:id="88"/>
      <w:bookmarkEnd w:id="89"/>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hint="eastAsia" w:eastAsia="宋体" w:asciiTheme="minorEastAsia" w:hAnsiTheme="minorEastAsia" w:cstheme="minorEastAsia"/>
          <w:sz w:val="24"/>
          <w:szCs w:val="24"/>
          <w:lang w:eastAsia="zh-CN"/>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i w:val="0"/>
          <w:caps w:val="0"/>
          <w:color w:val="333333"/>
          <w:spacing w:val="0"/>
          <w:sz w:val="24"/>
          <w:szCs w:val="24"/>
          <w:shd w:val="clear" w:fill="FFFFFF"/>
        </w:rPr>
        <w:t>供应商</w:t>
      </w:r>
      <w:r>
        <w:rPr>
          <w:rFonts w:hint="eastAsia" w:ascii="宋体" w:hAnsi="宋体" w:eastAsia="宋体" w:cs="宋体"/>
          <w:i w:val="0"/>
          <w:caps w:val="0"/>
          <w:color w:val="333333"/>
          <w:spacing w:val="0"/>
          <w:sz w:val="24"/>
          <w:szCs w:val="24"/>
          <w:shd w:val="clear" w:fill="FFFFFF"/>
          <w:lang w:eastAsia="zh-CN"/>
        </w:rPr>
        <w:t>应该</w:t>
      </w:r>
      <w:r>
        <w:rPr>
          <w:rFonts w:hint="eastAsia" w:ascii="宋体" w:hAnsi="宋体" w:eastAsia="宋体" w:cs="宋体"/>
          <w:i w:val="0"/>
          <w:caps w:val="0"/>
          <w:color w:val="333333"/>
          <w:spacing w:val="0"/>
          <w:sz w:val="24"/>
          <w:szCs w:val="24"/>
          <w:shd w:val="clear" w:fill="FFFFFF"/>
        </w:rPr>
        <w:t>在法定质疑期内一次性提出针对同一采购程序环节的质疑</w:t>
      </w:r>
      <w:r>
        <w:rPr>
          <w:rFonts w:hint="eastAsia" w:ascii="宋体" w:hAnsi="宋体" w:cs="宋体"/>
          <w:i w:val="0"/>
          <w:caps w:val="0"/>
          <w:color w:val="333333"/>
          <w:spacing w:val="0"/>
          <w:sz w:val="24"/>
          <w:szCs w:val="24"/>
          <w:shd w:val="clear" w:fill="FFFFFF"/>
          <w:lang w:eastAsia="zh-CN"/>
        </w:rPr>
        <w:t>，</w:t>
      </w:r>
      <w:r>
        <w:rPr>
          <w:rFonts w:hint="eastAsia" w:asciiTheme="minorEastAsia" w:hAnsiTheme="minorEastAsia" w:cstheme="minorEastAsia"/>
          <w:sz w:val="24"/>
          <w:szCs w:val="24"/>
        </w:rPr>
        <w:t>逾期质疑无效</w:t>
      </w:r>
      <w:r>
        <w:rPr>
          <w:rFonts w:hint="eastAsia" w:asciiTheme="minorEastAsia" w:hAnsiTheme="minorEastAsia" w:cstheme="minorEastAsia"/>
          <w:sz w:val="24"/>
          <w:szCs w:val="24"/>
          <w:lang w:eastAsia="zh-CN"/>
        </w:rPr>
        <w:t>。</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600" w:firstLineChars="2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hint="eastAsia" w:asciiTheme="minorEastAsia" w:hAnsiTheme="minorEastAsia" w:cstheme="minorEastAsia"/>
          <w:sz w:val="24"/>
          <w:szCs w:val="24"/>
        </w:rPr>
      </w:pPr>
      <w:r>
        <w:rPr>
          <w:rFonts w:hint="eastAsia" w:asciiTheme="minorEastAsia" w:hAnsi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hint="eastAsia"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本次采购活动中，采购代理机构对质疑回复等文件的送达方式为现场取件。</w:t>
      </w:r>
    </w:p>
    <w:p>
      <w:pPr>
        <w:spacing w:line="360" w:lineRule="auto"/>
        <w:ind w:firstLine="480" w:firstLineChars="200"/>
        <w:rPr>
          <w:rFonts w:hint="eastAsia" w:eastAsiaTheme="minorEastAsia"/>
          <w:lang w:eastAsia="zh-CN"/>
        </w:rPr>
        <w:sectPr>
          <w:headerReference r:id="rId8" w:type="default"/>
          <w:footerReference r:id="rId9" w:type="default"/>
          <w:pgSz w:w="11906" w:h="16838"/>
          <w:pgMar w:top="1440" w:right="1304" w:bottom="1440" w:left="1304" w:header="851" w:footer="992" w:gutter="0"/>
          <w:pgNumType w:fmt="decimal"/>
          <w:cols w:space="0" w:num="1"/>
          <w:rtlGutter w:val="0"/>
          <w:docGrid w:type="lines" w:linePitch="325" w:charSpace="0"/>
        </w:sectPr>
      </w:pPr>
      <w:r>
        <w:rPr>
          <w:rFonts w:hint="eastAsia" w:asciiTheme="minorEastAsia" w:hAnsiTheme="minorEastAsia" w:cstheme="minorEastAsia"/>
          <w:color w:val="000000" w:themeColor="text1"/>
          <w:sz w:val="24"/>
          <w:szCs w:val="24"/>
          <w14:textFill>
            <w14:solidFill>
              <w14:schemeClr w14:val="tx1"/>
            </w14:solidFill>
          </w14:textFill>
        </w:rPr>
        <w:t>10</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质疑函应当使用中文。质疑函范本详见财政部制定的范本即</w:t>
      </w:r>
      <w:r>
        <w:rPr>
          <w:rFonts w:hint="eastAsia" w:asciiTheme="minorEastAsia" w:hAnsiTheme="minorEastAsia" w:cstheme="minorEastAsia"/>
          <w:color w:val="000000" w:themeColor="text1"/>
          <w:sz w:val="24"/>
          <w:szCs w:val="24"/>
          <w:lang w:eastAsia="zh-CN"/>
          <w14:textFill>
            <w14:solidFill>
              <w14:schemeClr w14:val="tx1"/>
            </w14:solidFill>
          </w14:textFill>
        </w:rPr>
        <w:t>招标</w:t>
      </w:r>
      <w:r>
        <w:rPr>
          <w:rFonts w:hint="eastAsia" w:asciiTheme="minorEastAsia" w:hAnsiTheme="minorEastAsia" w:cstheme="minorEastAsia"/>
          <w:color w:val="000000" w:themeColor="text1"/>
          <w:sz w:val="24"/>
          <w:szCs w:val="24"/>
          <w14:textFill>
            <w14:solidFill>
              <w14:schemeClr w14:val="tx1"/>
            </w14:solidFill>
          </w14:textFill>
        </w:rPr>
        <w:t>文件附件六</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pStyle w:val="3"/>
        <w:bidi w:val="0"/>
      </w:pPr>
      <w:bookmarkStart w:id="90" w:name="_Toc313"/>
      <w:r>
        <w:rPr>
          <w:rFonts w:hint="eastAsia"/>
        </w:rPr>
        <w:t xml:space="preserve">第四部分  </w:t>
      </w:r>
      <w:bookmarkEnd w:id="79"/>
      <w:r>
        <w:rPr>
          <w:rFonts w:hint="eastAsia"/>
        </w:rPr>
        <w:t>评审办法</w:t>
      </w:r>
      <w:bookmarkEnd w:id="80"/>
      <w:bookmarkEnd w:id="90"/>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本次评标采用综合评分法，综合评分因素的主要因素为价格、技术、业绩、服务等以及对招标文件的响应程度。每一投标人的最终得分为所有评委评分的算数平均值。</w:t>
      </w:r>
    </w:p>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50"/>
        <w:gridCol w:w="770"/>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080" w:type="dxa"/>
            <w:noWrap w:val="0"/>
            <w:vAlign w:val="center"/>
          </w:tcPr>
          <w:p>
            <w:pPr>
              <w:pStyle w:val="77"/>
              <w:rPr>
                <w:rFonts w:ascii="宋体" w:hAnsi="宋体" w:cs="宋体"/>
                <w:b/>
                <w:bCs/>
                <w:sz w:val="21"/>
                <w:szCs w:val="21"/>
              </w:rPr>
            </w:pPr>
            <w:r>
              <w:rPr>
                <w:rFonts w:hint="eastAsia" w:ascii="宋体" w:hAnsi="宋体" w:cs="宋体"/>
                <w:b/>
                <w:bCs/>
                <w:sz w:val="21"/>
                <w:szCs w:val="21"/>
              </w:rPr>
              <w:t>评审项及最高得分</w:t>
            </w:r>
          </w:p>
        </w:tc>
        <w:tc>
          <w:tcPr>
            <w:tcW w:w="950" w:type="dxa"/>
            <w:noWrap w:val="0"/>
            <w:vAlign w:val="center"/>
          </w:tcPr>
          <w:p>
            <w:pPr>
              <w:jc w:val="center"/>
              <w:rPr>
                <w:rFonts w:ascii="宋体" w:hAnsi="宋体" w:cs="宋体"/>
                <w:b/>
                <w:bCs/>
                <w:szCs w:val="21"/>
              </w:rPr>
            </w:pPr>
            <w:r>
              <w:rPr>
                <w:rFonts w:hint="eastAsia" w:ascii="宋体" w:hAnsi="宋体" w:cs="宋体"/>
                <w:b/>
                <w:bCs/>
                <w:szCs w:val="21"/>
              </w:rPr>
              <w:t>评审</w:t>
            </w:r>
          </w:p>
          <w:p>
            <w:pPr>
              <w:jc w:val="center"/>
              <w:rPr>
                <w:rFonts w:ascii="宋体" w:hAnsi="宋体" w:cs="宋体"/>
                <w:b/>
                <w:bCs/>
                <w:szCs w:val="21"/>
              </w:rPr>
            </w:pPr>
            <w:r>
              <w:rPr>
                <w:rFonts w:hint="eastAsia" w:ascii="宋体" w:hAnsi="宋体" w:cs="宋体"/>
                <w:b/>
                <w:bCs/>
                <w:szCs w:val="21"/>
              </w:rPr>
              <w:t>内容</w:t>
            </w:r>
          </w:p>
        </w:tc>
        <w:tc>
          <w:tcPr>
            <w:tcW w:w="770" w:type="dxa"/>
            <w:noWrap w:val="0"/>
            <w:vAlign w:val="center"/>
          </w:tcPr>
          <w:p>
            <w:pPr>
              <w:jc w:val="center"/>
              <w:rPr>
                <w:rFonts w:ascii="宋体" w:hAnsi="宋体" w:cs="宋体"/>
                <w:b/>
                <w:bCs/>
                <w:szCs w:val="21"/>
              </w:rPr>
            </w:pPr>
            <w:r>
              <w:rPr>
                <w:rFonts w:hint="eastAsia" w:ascii="宋体" w:hAnsi="宋体" w:cs="宋体"/>
                <w:b/>
                <w:bCs/>
                <w:szCs w:val="21"/>
              </w:rPr>
              <w:t>分项</w:t>
            </w:r>
          </w:p>
          <w:p>
            <w:pPr>
              <w:jc w:val="center"/>
              <w:rPr>
                <w:rFonts w:ascii="宋体" w:hAnsi="宋体" w:cs="宋体"/>
                <w:b/>
                <w:bCs/>
                <w:szCs w:val="21"/>
              </w:rPr>
            </w:pPr>
            <w:r>
              <w:rPr>
                <w:rFonts w:hint="eastAsia" w:ascii="宋体" w:hAnsi="宋体" w:cs="宋体"/>
                <w:b/>
                <w:bCs/>
                <w:szCs w:val="21"/>
              </w:rPr>
              <w:t>得分</w:t>
            </w:r>
          </w:p>
        </w:tc>
        <w:tc>
          <w:tcPr>
            <w:tcW w:w="6800" w:type="dxa"/>
            <w:noWrap w:val="0"/>
            <w:vAlign w:val="center"/>
          </w:tcPr>
          <w:p>
            <w:pPr>
              <w:jc w:val="center"/>
              <w:rPr>
                <w:rFonts w:ascii="宋体" w:hAnsi="宋体" w:cs="宋体"/>
                <w:b/>
                <w:bCs/>
                <w:szCs w:val="21"/>
              </w:rPr>
            </w:pPr>
            <w:r>
              <w:rPr>
                <w:rFonts w:hint="eastAsia" w:ascii="宋体" w:hAnsi="宋体" w:cs="宋体"/>
                <w:b/>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1080" w:type="dxa"/>
            <w:noWrap w:val="0"/>
            <w:vAlign w:val="center"/>
          </w:tcPr>
          <w:p>
            <w:pPr>
              <w:jc w:val="center"/>
              <w:rPr>
                <w:rFonts w:ascii="宋体" w:hAnsi="宋体" w:cs="宋体"/>
                <w:b/>
                <w:bCs/>
                <w:szCs w:val="21"/>
              </w:rPr>
            </w:pPr>
            <w:r>
              <w:rPr>
                <w:rFonts w:hint="eastAsia" w:ascii="宋体" w:hAnsi="宋体" w:cs="宋体"/>
                <w:szCs w:val="21"/>
              </w:rPr>
              <w:t>价格部分（</w:t>
            </w:r>
            <w:r>
              <w:rPr>
                <w:rFonts w:hint="eastAsia" w:ascii="宋体" w:hAnsi="宋体" w:cs="宋体"/>
                <w:szCs w:val="21"/>
                <w:lang w:val="en-US" w:eastAsia="zh-CN"/>
              </w:rPr>
              <w:t>20</w:t>
            </w:r>
            <w:r>
              <w:rPr>
                <w:rFonts w:hint="eastAsia" w:ascii="宋体" w:hAnsi="宋体" w:cs="宋体"/>
                <w:szCs w:val="21"/>
              </w:rPr>
              <w:t>分）</w:t>
            </w:r>
          </w:p>
        </w:tc>
        <w:tc>
          <w:tcPr>
            <w:tcW w:w="950" w:type="dxa"/>
            <w:noWrap w:val="0"/>
            <w:vAlign w:val="center"/>
          </w:tcPr>
          <w:p>
            <w:pPr>
              <w:rPr>
                <w:rFonts w:ascii="宋体" w:hAnsi="宋体" w:cs="宋体"/>
                <w:b/>
                <w:bCs/>
                <w:szCs w:val="21"/>
              </w:rPr>
            </w:pPr>
            <w:r>
              <w:rPr>
                <w:rFonts w:hint="eastAsia" w:ascii="宋体" w:hAnsi="宋体" w:cs="宋体"/>
                <w:szCs w:val="21"/>
              </w:rPr>
              <w:t>报价得分</w:t>
            </w:r>
          </w:p>
        </w:tc>
        <w:tc>
          <w:tcPr>
            <w:tcW w:w="770" w:type="dxa"/>
            <w:noWrap w:val="0"/>
            <w:vAlign w:val="center"/>
          </w:tcPr>
          <w:p>
            <w:pPr>
              <w:rPr>
                <w:rFonts w:ascii="宋体" w:hAnsi="宋体" w:cs="宋体"/>
                <w:b/>
                <w:bCs/>
                <w:szCs w:val="21"/>
              </w:rPr>
            </w:pPr>
            <w:r>
              <w:rPr>
                <w:rFonts w:hint="eastAsia" w:ascii="宋体" w:hAnsi="宋体" w:cs="宋体"/>
                <w:szCs w:val="21"/>
                <w:lang w:val="en-US" w:eastAsia="zh-CN"/>
              </w:rPr>
              <w:t>20</w:t>
            </w:r>
            <w:r>
              <w:rPr>
                <w:rFonts w:hint="eastAsia" w:ascii="宋体" w:hAnsi="宋体" w:cs="宋体"/>
                <w:szCs w:val="21"/>
              </w:rPr>
              <w:t>分</w:t>
            </w:r>
          </w:p>
        </w:tc>
        <w:tc>
          <w:tcPr>
            <w:tcW w:w="6800" w:type="dxa"/>
            <w:noWrap w:val="0"/>
            <w:vAlign w:val="center"/>
          </w:tcPr>
          <w:p>
            <w:pPr>
              <w:numPr>
                <w:ilvl w:val="0"/>
                <w:numId w:val="20"/>
              </w:numPr>
              <w:rPr>
                <w:rFonts w:ascii="宋体" w:hAnsi="宋体" w:cs="宋体"/>
                <w:szCs w:val="21"/>
              </w:rPr>
            </w:pPr>
            <w:r>
              <w:rPr>
                <w:rFonts w:hint="eastAsia" w:ascii="宋体" w:hAnsi="宋体" w:cs="宋体"/>
                <w:szCs w:val="21"/>
              </w:rPr>
              <w:t>经初审合格的</w:t>
            </w:r>
            <w:r>
              <w:rPr>
                <w:rFonts w:hint="eastAsia" w:ascii="宋体" w:hAnsi="宋体" w:cs="宋体"/>
                <w:szCs w:val="21"/>
                <w:lang w:val="en-US" w:eastAsia="zh-CN"/>
              </w:rPr>
              <w:t>投标</w:t>
            </w:r>
            <w:r>
              <w:rPr>
                <w:rFonts w:hint="eastAsia" w:ascii="宋体" w:hAnsi="宋体" w:cs="宋体"/>
                <w:szCs w:val="21"/>
              </w:rPr>
              <w:t>文件，其响应报价为有效报价；</w:t>
            </w:r>
          </w:p>
          <w:p>
            <w:pPr>
              <w:numPr>
                <w:ilvl w:val="0"/>
                <w:numId w:val="20"/>
              </w:numPr>
              <w:rPr>
                <w:rFonts w:ascii="宋体" w:hAnsi="宋体" w:cs="宋体"/>
                <w:szCs w:val="21"/>
              </w:rPr>
            </w:pPr>
            <w:r>
              <w:rPr>
                <w:rFonts w:hint="eastAsia" w:ascii="宋体" w:hAnsi="宋体" w:cs="宋体"/>
                <w:szCs w:val="21"/>
              </w:rPr>
              <w:t>有效</w:t>
            </w:r>
            <w:r>
              <w:rPr>
                <w:rFonts w:hint="eastAsia" w:ascii="宋体" w:hAnsi="宋体" w:cs="宋体"/>
                <w:szCs w:val="21"/>
                <w:lang w:val="en-US" w:eastAsia="zh-CN"/>
              </w:rPr>
              <w:t>投标</w:t>
            </w:r>
            <w:r>
              <w:rPr>
                <w:rFonts w:hint="eastAsia" w:ascii="宋体" w:hAnsi="宋体" w:cs="宋体"/>
                <w:szCs w:val="21"/>
              </w:rPr>
              <w:t>文件中响应报价最低的报价为评标基准价。</w:t>
            </w:r>
          </w:p>
          <w:p>
            <w:pPr>
              <w:numPr>
                <w:ilvl w:val="0"/>
                <w:numId w:val="20"/>
              </w:numPr>
              <w:rPr>
                <w:rFonts w:ascii="宋体" w:hAnsi="宋体" w:cs="宋体"/>
                <w:szCs w:val="21"/>
              </w:rPr>
            </w:pPr>
            <w:r>
              <w:rPr>
                <w:rFonts w:hint="eastAsia" w:ascii="宋体" w:hAnsi="宋体" w:cs="宋体"/>
                <w:szCs w:val="21"/>
              </w:rPr>
              <w:t>报价得分=(评标基准价／响应报价)×</w:t>
            </w:r>
            <w:r>
              <w:rPr>
                <w:rFonts w:hint="eastAsia" w:ascii="宋体" w:hAnsi="宋体" w:cs="宋体"/>
                <w:szCs w:val="21"/>
                <w:lang w:val="en-US" w:eastAsia="zh-CN"/>
              </w:rPr>
              <w:t>2</w:t>
            </w:r>
            <w:r>
              <w:rPr>
                <w:rFonts w:hint="eastAsia" w:ascii="宋体" w:hAnsi="宋体" w:cs="宋体"/>
                <w:szCs w:val="21"/>
              </w:rPr>
              <w:t>0% ×100</w:t>
            </w:r>
          </w:p>
          <w:p>
            <w:pPr>
              <w:pStyle w:val="67"/>
              <w:ind w:firstLine="0" w:firstLineChars="0"/>
              <w:rPr>
                <w:rFonts w:ascii="宋体" w:hAnsi="宋体" w:cs="宋体"/>
                <w:b/>
                <w:bCs/>
                <w:szCs w:val="21"/>
              </w:rPr>
            </w:pPr>
            <w:r>
              <w:rPr>
                <w:rFonts w:hint="eastAsia" w:ascii="宋体" w:hAnsi="宋体" w:cs="宋体"/>
                <w:szCs w:val="21"/>
              </w:rPr>
              <w:t>4、响应报价不完整的，本项得0分。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1080" w:type="dxa"/>
            <w:vMerge w:val="restart"/>
            <w:noWrap w:val="0"/>
            <w:vAlign w:val="center"/>
          </w:tcPr>
          <w:p>
            <w:pPr>
              <w:jc w:val="center"/>
              <w:rPr>
                <w:rFonts w:hint="eastAsia" w:ascii="宋体" w:hAnsi="宋体" w:cs="宋体" w:eastAsiaTheme="minorEastAsia"/>
                <w:szCs w:val="21"/>
                <w:lang w:eastAsia="zh-CN"/>
              </w:rPr>
            </w:pPr>
            <w:r>
              <w:rPr>
                <w:rFonts w:hint="eastAsia" w:ascii="宋体" w:hAnsi="宋体" w:cs="宋体"/>
                <w:szCs w:val="21"/>
                <w:lang w:eastAsia="zh-CN"/>
              </w:rPr>
              <w:t>技术部分（</w:t>
            </w:r>
            <w:r>
              <w:rPr>
                <w:rFonts w:hint="eastAsia" w:ascii="宋体" w:hAnsi="宋体" w:cs="宋体"/>
                <w:szCs w:val="21"/>
                <w:lang w:val="en-US" w:eastAsia="zh-CN"/>
              </w:rPr>
              <w:t>50分</w:t>
            </w:r>
            <w:r>
              <w:rPr>
                <w:rFonts w:hint="eastAsia" w:ascii="宋体" w:hAnsi="宋体" w:cs="宋体"/>
                <w:szCs w:val="21"/>
                <w:lang w:eastAsia="zh-CN"/>
              </w:rPr>
              <w:t>）</w:t>
            </w:r>
          </w:p>
        </w:tc>
        <w:tc>
          <w:tcPr>
            <w:tcW w:w="950" w:type="dxa"/>
            <w:noWrap w:val="0"/>
            <w:vAlign w:val="center"/>
          </w:tcPr>
          <w:p>
            <w:pPr>
              <w:rPr>
                <w:rFonts w:ascii="宋体" w:hAnsi="宋体" w:cs="宋体"/>
                <w:bCs/>
                <w:szCs w:val="21"/>
              </w:rPr>
            </w:pPr>
            <w:r>
              <w:rPr>
                <w:rFonts w:hint="eastAsia" w:ascii="宋体" w:hAnsi="宋体" w:cs="宋体"/>
                <w:bCs/>
                <w:szCs w:val="21"/>
                <w:lang w:eastAsia="zh-CN"/>
              </w:rPr>
              <w:t>服务</w:t>
            </w:r>
            <w:r>
              <w:rPr>
                <w:rFonts w:hint="eastAsia" w:ascii="宋体" w:hAnsi="宋体" w:cs="宋体"/>
                <w:bCs/>
                <w:szCs w:val="21"/>
              </w:rPr>
              <w:t>方案</w:t>
            </w:r>
          </w:p>
        </w:tc>
        <w:tc>
          <w:tcPr>
            <w:tcW w:w="770" w:type="dxa"/>
            <w:noWrap w:val="0"/>
            <w:vAlign w:val="center"/>
          </w:tcPr>
          <w:p>
            <w:pPr>
              <w:rPr>
                <w:rFonts w:ascii="宋体" w:hAnsi="宋体" w:cs="宋体"/>
                <w:szCs w:val="21"/>
              </w:rPr>
            </w:pPr>
            <w:r>
              <w:rPr>
                <w:rFonts w:hint="eastAsia" w:ascii="宋体" w:hAnsi="宋体" w:cs="宋体"/>
                <w:szCs w:val="21"/>
                <w:lang w:val="en-US" w:eastAsia="zh-CN"/>
              </w:rPr>
              <w:t>30</w:t>
            </w:r>
            <w:r>
              <w:rPr>
                <w:rFonts w:hint="eastAsia" w:ascii="宋体" w:hAnsi="宋体" w:cs="宋体"/>
                <w:szCs w:val="21"/>
              </w:rPr>
              <w:t>分</w:t>
            </w:r>
          </w:p>
        </w:tc>
        <w:tc>
          <w:tcPr>
            <w:tcW w:w="6800" w:type="dxa"/>
            <w:noWrap w:val="0"/>
            <w:vAlign w:val="center"/>
          </w:tcPr>
          <w:p>
            <w:pPr>
              <w:rPr>
                <w:rFonts w:ascii="宋体" w:hAnsi="宋体" w:cs="宋体"/>
                <w:szCs w:val="21"/>
              </w:rPr>
            </w:pPr>
            <w:r>
              <w:rPr>
                <w:rFonts w:hint="eastAsia" w:ascii="宋体" w:hAnsi="宋体" w:cs="宋体"/>
                <w:szCs w:val="21"/>
                <w:lang w:val="en-US" w:eastAsia="zh-CN"/>
              </w:rPr>
              <w:t>投标人根据本项目</w:t>
            </w:r>
            <w:r>
              <w:rPr>
                <w:rFonts w:hint="eastAsia" w:ascii="宋体" w:hAnsi="宋体"/>
                <w:szCs w:val="21"/>
              </w:rPr>
              <w:t>内容及要求做出具体响应内容、列出</w:t>
            </w:r>
            <w:r>
              <w:rPr>
                <w:rFonts w:hint="eastAsia" w:ascii="宋体" w:hAnsi="宋体"/>
              </w:rPr>
              <w:t>具体服务方案</w:t>
            </w:r>
            <w:r>
              <w:rPr>
                <w:rFonts w:hint="eastAsia" w:ascii="宋体" w:hAnsi="宋体"/>
                <w:lang w:eastAsia="zh-CN"/>
              </w:rPr>
              <w:t>，评标委员会</w:t>
            </w:r>
            <w:r>
              <w:rPr>
                <w:rFonts w:hint="eastAsia" w:ascii="宋体" w:hAnsi="宋体" w:cs="宋体"/>
                <w:szCs w:val="21"/>
              </w:rPr>
              <w:t>进行综合评定：</w:t>
            </w:r>
          </w:p>
          <w:p>
            <w:pPr>
              <w:rPr>
                <w:rFonts w:ascii="宋体" w:hAnsi="宋体" w:cs="宋体"/>
                <w:szCs w:val="21"/>
              </w:rPr>
            </w:pPr>
            <w:r>
              <w:rPr>
                <w:rFonts w:hint="eastAsia" w:ascii="宋体" w:hAnsi="宋体" w:cs="宋体"/>
                <w:szCs w:val="21"/>
              </w:rPr>
              <w:t>1.方案细致完整、描述条理清晰，内容齐全，有较高的针对性，视其响应程度得</w:t>
            </w:r>
            <w:r>
              <w:rPr>
                <w:rFonts w:hint="eastAsia" w:ascii="宋体" w:hAnsi="宋体" w:cs="宋体"/>
                <w:szCs w:val="21"/>
                <w:lang w:val="en-US" w:eastAsia="zh-CN"/>
              </w:rPr>
              <w:t>20.1</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分；</w:t>
            </w:r>
          </w:p>
          <w:p>
            <w:pPr>
              <w:rPr>
                <w:rFonts w:ascii="宋体" w:hAnsi="宋体" w:cs="宋体"/>
                <w:szCs w:val="21"/>
              </w:rPr>
            </w:pPr>
            <w:r>
              <w:rPr>
                <w:rFonts w:hint="eastAsia" w:ascii="宋体" w:hAnsi="宋体" w:cs="宋体"/>
                <w:szCs w:val="21"/>
              </w:rPr>
              <w:t>2.方案较完整，可基本实现及满足采购要求，视其响应程度得</w:t>
            </w:r>
            <w:r>
              <w:rPr>
                <w:rFonts w:hint="eastAsia" w:ascii="宋体" w:hAnsi="宋体" w:cs="宋体"/>
                <w:szCs w:val="21"/>
                <w:lang w:val="en-US" w:eastAsia="zh-CN"/>
              </w:rPr>
              <w:t>10.1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p>
            <w:pPr>
              <w:rPr>
                <w:rFonts w:hint="eastAsia" w:ascii="宋体" w:hAnsi="宋体" w:cs="宋体"/>
                <w:szCs w:val="21"/>
                <w:lang w:val="en-US" w:eastAsia="zh-CN"/>
              </w:rPr>
            </w:pPr>
            <w:r>
              <w:rPr>
                <w:rFonts w:hint="eastAsia" w:ascii="宋体" w:hAnsi="宋体" w:cs="宋体"/>
                <w:szCs w:val="21"/>
              </w:rPr>
              <w:t>3.</w:t>
            </w:r>
            <w:r>
              <w:rPr>
                <w:rFonts w:hint="eastAsia" w:ascii="宋体" w:hAnsi="宋体" w:cs="宋体"/>
                <w:szCs w:val="21"/>
                <w:lang w:val="en-US" w:eastAsia="zh-CN"/>
              </w:rPr>
              <w:t>方案较完善，可行性差，针对性一般得1.0-10分；</w:t>
            </w:r>
          </w:p>
          <w:p>
            <w:r>
              <w:rPr>
                <w:rFonts w:hint="eastAsia" w:ascii="宋体" w:hAnsi="宋体" w:cs="宋体"/>
                <w:szCs w:val="21"/>
                <w:lang w:val="en-US" w:eastAsia="zh-CN"/>
              </w:rPr>
              <w:t>4.</w:t>
            </w:r>
            <w:r>
              <w:rPr>
                <w:rFonts w:hint="eastAsia" w:ascii="宋体" w:hAnsi="宋体" w:cs="宋体"/>
                <w:szCs w:val="21"/>
              </w:rPr>
              <w:t>方案有明显缺陷</w:t>
            </w:r>
            <w:r>
              <w:rPr>
                <w:rFonts w:hint="eastAsia" w:ascii="宋体" w:hAnsi="宋体" w:cs="宋体"/>
                <w:szCs w:val="21"/>
                <w:lang w:val="en-US" w:eastAsia="zh-CN"/>
              </w:rPr>
              <w:t>或未提供</w:t>
            </w:r>
            <w:r>
              <w:rPr>
                <w:rFonts w:hint="eastAsia" w:ascii="宋体" w:hAnsi="宋体" w:cs="宋体"/>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1080" w:type="dxa"/>
            <w:vMerge w:val="continue"/>
            <w:noWrap w:val="0"/>
            <w:vAlign w:val="center"/>
          </w:tcPr>
          <w:p>
            <w:pPr>
              <w:jc w:val="center"/>
              <w:rPr>
                <w:rFonts w:ascii="宋体" w:hAnsi="宋体" w:cs="宋体"/>
                <w:szCs w:val="21"/>
              </w:rPr>
            </w:pPr>
          </w:p>
        </w:tc>
        <w:tc>
          <w:tcPr>
            <w:tcW w:w="950" w:type="dxa"/>
            <w:noWrap w:val="0"/>
            <w:vAlign w:val="center"/>
          </w:tcPr>
          <w:p>
            <w:pPr>
              <w:rPr>
                <w:rFonts w:hint="eastAsia" w:ascii="宋体" w:hAnsi="宋体" w:cs="宋体"/>
                <w:bCs/>
                <w:szCs w:val="21"/>
                <w:lang w:eastAsia="zh-CN"/>
              </w:rPr>
            </w:pPr>
            <w:r>
              <w:rPr>
                <w:rFonts w:hint="eastAsia" w:ascii="宋体" w:hAnsi="宋体" w:cs="宋体"/>
                <w:bCs/>
                <w:szCs w:val="21"/>
                <w:lang w:eastAsia="zh-CN"/>
              </w:rPr>
              <w:t>应急预案</w:t>
            </w:r>
          </w:p>
        </w:tc>
        <w:tc>
          <w:tcPr>
            <w:tcW w:w="770" w:type="dxa"/>
            <w:noWrap w:val="0"/>
            <w:vAlign w:val="center"/>
          </w:tcPr>
          <w:p>
            <w:pPr>
              <w:rPr>
                <w:rFonts w:hint="default" w:ascii="宋体" w:hAnsi="宋体" w:cs="宋体" w:eastAsiaTheme="minorEastAsia"/>
                <w:szCs w:val="21"/>
                <w:lang w:val="en-US" w:eastAsia="zh-CN"/>
              </w:rPr>
            </w:pPr>
            <w:r>
              <w:rPr>
                <w:rFonts w:hint="eastAsia" w:ascii="宋体" w:hAnsi="宋体" w:cs="宋体"/>
                <w:szCs w:val="21"/>
                <w:lang w:val="en-US" w:eastAsia="zh-CN"/>
              </w:rPr>
              <w:t>10分</w:t>
            </w:r>
          </w:p>
        </w:tc>
        <w:tc>
          <w:tcPr>
            <w:tcW w:w="6800" w:type="dxa"/>
            <w:noWrap w:val="0"/>
            <w:vAlign w:val="center"/>
          </w:tcPr>
          <w:p>
            <w:pPr>
              <w:numPr>
                <w:ilvl w:val="0"/>
                <w:numId w:val="21"/>
              </w:numPr>
              <w:rPr>
                <w:rFonts w:hint="eastAsia" w:ascii="宋体" w:hAnsi="宋体"/>
                <w:szCs w:val="21"/>
              </w:rPr>
            </w:pPr>
            <w:r>
              <w:rPr>
                <w:rFonts w:hint="eastAsia" w:ascii="宋体" w:hAnsi="宋体"/>
                <w:szCs w:val="21"/>
              </w:rPr>
              <w:t>具有可行完善的突发事件处理预案措施，措施细致可操作性强得</w:t>
            </w:r>
            <w:r>
              <w:rPr>
                <w:rFonts w:hint="eastAsia" w:ascii="宋体" w:hAnsi="宋体"/>
                <w:szCs w:val="21"/>
                <w:lang w:val="en-US" w:eastAsia="zh-CN"/>
              </w:rPr>
              <w:t>5.1-10</w:t>
            </w:r>
            <w:r>
              <w:rPr>
                <w:rFonts w:hint="eastAsia" w:ascii="宋体" w:hAnsi="宋体"/>
                <w:szCs w:val="21"/>
              </w:rPr>
              <w:t>分</w:t>
            </w:r>
            <w:r>
              <w:rPr>
                <w:rFonts w:hint="eastAsia" w:ascii="宋体" w:hAnsi="宋体"/>
                <w:szCs w:val="21"/>
                <w:lang w:eastAsia="zh-CN"/>
              </w:rPr>
              <w:t>；</w:t>
            </w:r>
          </w:p>
          <w:p>
            <w:pPr>
              <w:numPr>
                <w:ilvl w:val="0"/>
                <w:numId w:val="21"/>
              </w:numPr>
              <w:rPr>
                <w:rFonts w:hint="eastAsia" w:ascii="宋体" w:hAnsi="宋体" w:cs="宋体"/>
                <w:szCs w:val="21"/>
                <w:lang w:val="en-US" w:eastAsia="zh-CN"/>
              </w:rPr>
            </w:pPr>
            <w:r>
              <w:rPr>
                <w:rFonts w:hint="eastAsia" w:ascii="宋体" w:hAnsi="宋体"/>
                <w:szCs w:val="21"/>
              </w:rPr>
              <w:t>提供突发事件处理预案措施，措施宽泛未贴合实际可操作性不强得</w:t>
            </w:r>
            <w:r>
              <w:rPr>
                <w:rFonts w:hint="eastAsia" w:ascii="宋体" w:hAnsi="宋体"/>
                <w:szCs w:val="21"/>
                <w:lang w:val="en-US" w:eastAsia="zh-CN"/>
              </w:rPr>
              <w:t>1.0-5</w:t>
            </w:r>
            <w:r>
              <w:rPr>
                <w:rFonts w:hint="eastAsia" w:ascii="宋体" w:hAnsi="宋体"/>
                <w:szCs w:val="21"/>
              </w:rPr>
              <w:t>分。</w:t>
            </w:r>
          </w:p>
          <w:p>
            <w:pPr>
              <w:numPr>
                <w:ilvl w:val="0"/>
                <w:numId w:val="0"/>
              </w:numPr>
              <w:rPr>
                <w:rFonts w:hint="eastAsia" w:ascii="宋体" w:hAnsi="宋体" w:cs="宋体"/>
                <w:szCs w:val="21"/>
                <w:lang w:val="en-US" w:eastAsia="zh-CN"/>
              </w:rPr>
            </w:pPr>
            <w:r>
              <w:rPr>
                <w:rFonts w:hint="eastAsia" w:ascii="宋体" w:hAnsi="宋体" w:cs="宋体"/>
                <w:szCs w:val="21"/>
              </w:rPr>
              <w:t>方案有明显缺陷</w:t>
            </w:r>
            <w:r>
              <w:rPr>
                <w:rFonts w:hint="eastAsia" w:ascii="宋体" w:hAnsi="宋体" w:cs="宋体"/>
                <w:szCs w:val="21"/>
                <w:lang w:eastAsia="zh-CN"/>
              </w:rPr>
              <w:t>或</w:t>
            </w:r>
            <w:r>
              <w:rPr>
                <w:rFonts w:hint="eastAsia" w:ascii="宋体" w:hAnsi="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080" w:type="dxa"/>
            <w:vMerge w:val="continue"/>
            <w:noWrap w:val="0"/>
            <w:vAlign w:val="center"/>
          </w:tcPr>
          <w:p>
            <w:pPr>
              <w:jc w:val="center"/>
              <w:rPr>
                <w:rFonts w:ascii="宋体" w:hAnsi="宋体" w:cs="宋体"/>
                <w:szCs w:val="21"/>
              </w:rPr>
            </w:pPr>
          </w:p>
        </w:tc>
        <w:tc>
          <w:tcPr>
            <w:tcW w:w="950" w:type="dxa"/>
            <w:noWrap w:val="0"/>
            <w:vAlign w:val="center"/>
          </w:tcPr>
          <w:p>
            <w:pPr>
              <w:rPr>
                <w:rFonts w:ascii="宋体" w:hAnsi="宋体" w:cs="宋体"/>
                <w:szCs w:val="21"/>
              </w:rPr>
            </w:pPr>
            <w:r>
              <w:rPr>
                <w:rFonts w:hint="eastAsia" w:ascii="宋体" w:hAnsi="宋体" w:cs="宋体"/>
                <w:szCs w:val="21"/>
              </w:rPr>
              <w:t>拟投入人员配置</w:t>
            </w:r>
          </w:p>
        </w:tc>
        <w:tc>
          <w:tcPr>
            <w:tcW w:w="770" w:type="dxa"/>
            <w:noWrap w:val="0"/>
            <w:vAlign w:val="center"/>
          </w:tcPr>
          <w:p>
            <w:pP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 xml:space="preserve">分 </w:t>
            </w:r>
          </w:p>
        </w:tc>
        <w:tc>
          <w:tcPr>
            <w:tcW w:w="6800" w:type="dxa"/>
            <w:noWrap w:val="0"/>
            <w:vAlign w:val="center"/>
          </w:tcPr>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提供拟投入人员清单、组织架构、综合比较。</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能够提供专业的服务人员配置计划（包括人数及类似经验等相关内容），内容全面具体，</w:t>
            </w:r>
            <w:r>
              <w:rPr>
                <w:rFonts w:hint="eastAsia" w:asciiTheme="minorEastAsia" w:hAnsiTheme="minorEastAsia" w:eastAsiaTheme="minorEastAsia" w:cstheme="minorEastAsia"/>
                <w:lang w:eastAsia="zh-CN"/>
              </w:rPr>
              <w:t>计</w:t>
            </w:r>
            <w:r>
              <w:rPr>
                <w:rFonts w:hint="eastAsia" w:asciiTheme="minorEastAsia" w:hAnsiTheme="minorEastAsia" w:eastAsiaTheme="minorEastAsia" w:cstheme="minorEastAsia"/>
                <w:lang w:val="en-US" w:eastAsia="zh-CN"/>
              </w:rPr>
              <w:t>7</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分；</w:t>
            </w:r>
          </w:p>
          <w:p>
            <w:pPr>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能够提供专业的服务人员配置计划（包括人数及类似经验等相关内容），内容较具体全面，</w:t>
            </w:r>
            <w:r>
              <w:rPr>
                <w:rFonts w:hint="eastAsia" w:asciiTheme="minorEastAsia" w:hAnsiTheme="minorEastAsia" w:eastAsiaTheme="minorEastAsia" w:cstheme="minorEastAsia"/>
                <w:lang w:eastAsia="zh-CN"/>
              </w:rPr>
              <w:t>计</w:t>
            </w:r>
            <w:r>
              <w:rPr>
                <w:rFonts w:hint="eastAsia" w:asciiTheme="minorEastAsia" w:hAnsiTheme="minorEastAsia" w:eastAsiaTheme="minorEastAsia" w:cstheme="minorEastAsia"/>
                <w:lang w:val="en-US" w:eastAsia="zh-CN"/>
              </w:rPr>
              <w:t>3</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w:t>
            </w:r>
          </w:p>
          <w:p>
            <w:pPr>
              <w:bidi w:val="0"/>
              <w:spacing w:line="24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能够提供专业的服务人员配置计划（包括人数及类似经验等相关内容），内容缺乏合理性，</w:t>
            </w:r>
            <w:r>
              <w:rPr>
                <w:rFonts w:hint="eastAsia" w:asciiTheme="minorEastAsia" w:hAnsiTheme="minorEastAsia" w:eastAsiaTheme="minorEastAsia" w:cstheme="minorEastAsia"/>
                <w:lang w:eastAsia="zh-CN"/>
              </w:rPr>
              <w:t>计</w:t>
            </w: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w:t>
            </w:r>
          </w:p>
          <w:p>
            <w:pPr>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附：人员简介、从业经验等；</w:t>
            </w:r>
          </w:p>
          <w:p>
            <w:pPr>
              <w:spacing w:line="240" w:lineRule="auto"/>
              <w:ind w:firstLine="210" w:firstLineChars="100"/>
              <w:rPr>
                <w:rFonts w:ascii="宋体" w:hAnsi="宋体" w:cs="宋体"/>
                <w:szCs w:val="21"/>
              </w:rPr>
            </w:pPr>
            <w:r>
              <w:rPr>
                <w:rFonts w:hint="eastAsia" w:asciiTheme="minorEastAsia" w:hAnsiTheme="minorEastAsia" w:eastAsiaTheme="minorEastAsia" w:cstheme="minorEastAsia"/>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80" w:type="dxa"/>
            <w:vMerge w:val="restart"/>
            <w:noWrap w:val="0"/>
            <w:vAlign w:val="center"/>
          </w:tcPr>
          <w:p>
            <w:pPr>
              <w:jc w:val="center"/>
              <w:rPr>
                <w:rFonts w:hAnsi="宋体" w:eastAsia="宋体"/>
                <w:szCs w:val="21"/>
              </w:rPr>
            </w:pPr>
            <w:r>
              <w:rPr>
                <w:rFonts w:hint="eastAsia" w:ascii="宋体" w:hAnsi="宋体" w:cs="宋体"/>
                <w:szCs w:val="21"/>
              </w:rPr>
              <w:t>商务部分（</w:t>
            </w:r>
            <w:r>
              <w:rPr>
                <w:rFonts w:hint="eastAsia" w:ascii="宋体" w:hAnsi="宋体" w:cs="宋体"/>
                <w:szCs w:val="21"/>
                <w:lang w:val="en-US" w:eastAsia="zh-CN"/>
              </w:rPr>
              <w:t>30</w:t>
            </w:r>
            <w:r>
              <w:rPr>
                <w:rFonts w:hint="eastAsia" w:ascii="宋体" w:hAnsi="宋体" w:cs="宋体"/>
                <w:szCs w:val="21"/>
              </w:rPr>
              <w:t>分）</w:t>
            </w:r>
          </w:p>
        </w:tc>
        <w:tc>
          <w:tcPr>
            <w:tcW w:w="950" w:type="dxa"/>
            <w:noWrap w:val="0"/>
            <w:vAlign w:val="center"/>
          </w:tcPr>
          <w:p>
            <w:pPr>
              <w:rPr>
                <w:rFonts w:hint="eastAsia" w:hAnsi="宋体" w:eastAsiaTheme="minorEastAsia"/>
                <w:color w:val="000000"/>
                <w:szCs w:val="21"/>
                <w:lang w:eastAsia="zh-CN"/>
              </w:rPr>
            </w:pPr>
            <w:r>
              <w:rPr>
                <w:rFonts w:hint="eastAsia"/>
                <w:lang w:val="en-US" w:eastAsia="zh-CN"/>
              </w:rPr>
              <w:t>服务质量保证与售后服务</w:t>
            </w:r>
          </w:p>
        </w:tc>
        <w:tc>
          <w:tcPr>
            <w:tcW w:w="770" w:type="dxa"/>
            <w:noWrap w:val="0"/>
            <w:vAlign w:val="center"/>
          </w:tcPr>
          <w:p>
            <w:pPr>
              <w:rPr>
                <w:rFonts w:hAnsi="宋体"/>
                <w:color w:val="000000"/>
                <w:szCs w:val="21"/>
              </w:rPr>
            </w:pPr>
            <w:r>
              <w:rPr>
                <w:rFonts w:hint="eastAsia" w:ascii="宋体" w:hAnsi="宋体" w:cs="宋体"/>
                <w:color w:val="000000"/>
                <w:szCs w:val="21"/>
                <w:lang w:val="en-US" w:eastAsia="zh-CN"/>
              </w:rPr>
              <w:t>20</w:t>
            </w:r>
            <w:r>
              <w:rPr>
                <w:rFonts w:hint="eastAsia" w:ascii="宋体" w:hAnsi="宋体" w:cs="宋体"/>
                <w:color w:val="000000"/>
                <w:szCs w:val="21"/>
              </w:rPr>
              <w:t>分</w:t>
            </w:r>
          </w:p>
        </w:tc>
        <w:tc>
          <w:tcPr>
            <w:tcW w:w="6800" w:type="dxa"/>
            <w:noWrap w:val="0"/>
            <w:vAlign w:val="center"/>
          </w:tcPr>
          <w:p>
            <w:pPr>
              <w:rPr>
                <w:rFonts w:hint="eastAsia"/>
                <w:lang w:eastAsia="zh-CN"/>
              </w:rPr>
            </w:pPr>
            <w:r>
              <w:rPr>
                <w:rFonts w:hint="eastAsia"/>
                <w:lang w:eastAsia="zh-CN"/>
              </w:rPr>
              <w:t>投标人</w:t>
            </w:r>
            <w:r>
              <w:rPr>
                <w:rFonts w:hint="eastAsia"/>
              </w:rPr>
              <w:t>针对本项目有相应的</w:t>
            </w:r>
            <w:r>
              <w:rPr>
                <w:rFonts w:hint="eastAsia"/>
                <w:lang w:eastAsia="zh-CN"/>
              </w:rPr>
              <w:t>服务</w:t>
            </w:r>
            <w:r>
              <w:rPr>
                <w:rFonts w:hint="eastAsia"/>
              </w:rPr>
              <w:t>质量保证方案和售后服务方案，确保项在规定的时间内保质保量的顺利完成。根据</w:t>
            </w:r>
            <w:r>
              <w:rPr>
                <w:rFonts w:hint="eastAsia"/>
                <w:lang w:eastAsia="zh-CN"/>
              </w:rPr>
              <w:t>投标</w:t>
            </w:r>
            <w:r>
              <w:rPr>
                <w:rFonts w:hint="eastAsia"/>
              </w:rPr>
              <w:t>文件情况综合评审横向比较</w:t>
            </w:r>
            <w:r>
              <w:rPr>
                <w:rFonts w:hint="eastAsia"/>
                <w:lang w:eastAsia="zh-CN"/>
              </w:rPr>
              <w:t>：</w:t>
            </w:r>
          </w:p>
          <w:p>
            <w:pPr>
              <w:numPr>
                <w:ilvl w:val="0"/>
                <w:numId w:val="22"/>
              </w:numPr>
              <w:rPr>
                <w:rFonts w:hint="eastAsia"/>
                <w:lang w:val="en-US" w:eastAsia="zh-CN"/>
              </w:rPr>
            </w:pPr>
            <w:r>
              <w:rPr>
                <w:rFonts w:hint="eastAsia"/>
                <w:lang w:val="en-US" w:eastAsia="zh-CN"/>
              </w:rPr>
              <w:t>具有完善的相关措施，完全能够保证项目的顺利实施</w:t>
            </w:r>
            <w:r>
              <w:rPr>
                <w:rFonts w:hint="eastAsia"/>
              </w:rPr>
              <w:t>15</w:t>
            </w:r>
            <w:r>
              <w:rPr>
                <w:rFonts w:hint="eastAsia"/>
                <w:lang w:val="en-US" w:eastAsia="zh-CN"/>
              </w:rPr>
              <w:t>.1</w:t>
            </w:r>
            <w:r>
              <w:rPr>
                <w:rFonts w:hint="eastAsia"/>
              </w:rPr>
              <w:t>-20分</w:t>
            </w:r>
            <w:r>
              <w:rPr>
                <w:rFonts w:hint="eastAsia"/>
                <w:lang w:val="en-US" w:eastAsia="zh-CN"/>
              </w:rPr>
              <w:t>；</w:t>
            </w:r>
          </w:p>
          <w:p>
            <w:pPr>
              <w:numPr>
                <w:ilvl w:val="0"/>
                <w:numId w:val="0"/>
              </w:numPr>
              <w:rPr>
                <w:rFonts w:hint="eastAsia"/>
                <w:lang w:val="en-US" w:eastAsia="zh-CN"/>
              </w:rPr>
            </w:pPr>
            <w:r>
              <w:rPr>
                <w:rFonts w:hint="eastAsia"/>
                <w:lang w:val="en-US" w:eastAsia="zh-CN"/>
              </w:rPr>
              <w:t>2、具有较为完善相关措施，能够保证项目的实施</w:t>
            </w:r>
            <w:r>
              <w:rPr>
                <w:rFonts w:hint="eastAsia"/>
              </w:rPr>
              <w:t>1</w:t>
            </w:r>
            <w:r>
              <w:rPr>
                <w:rFonts w:hint="eastAsia"/>
                <w:lang w:val="en-US" w:eastAsia="zh-CN"/>
              </w:rPr>
              <w:t>0.1</w:t>
            </w:r>
            <w:r>
              <w:rPr>
                <w:rFonts w:hint="eastAsia"/>
              </w:rPr>
              <w:t>-1</w:t>
            </w:r>
            <w:r>
              <w:rPr>
                <w:rFonts w:hint="eastAsia"/>
                <w:lang w:val="en-US" w:eastAsia="zh-CN"/>
              </w:rPr>
              <w:t>5</w:t>
            </w:r>
            <w:r>
              <w:rPr>
                <w:rFonts w:hint="eastAsia"/>
              </w:rPr>
              <w:t>分</w:t>
            </w:r>
            <w:r>
              <w:rPr>
                <w:rFonts w:hint="eastAsia"/>
                <w:lang w:val="en-US" w:eastAsia="zh-CN"/>
              </w:rPr>
              <w:t>；</w:t>
            </w:r>
          </w:p>
          <w:p>
            <w:pPr>
              <w:rPr>
                <w:rFonts w:hint="eastAsia"/>
                <w:lang w:val="en-US" w:eastAsia="zh-CN"/>
              </w:rPr>
            </w:pPr>
            <w:r>
              <w:rPr>
                <w:rFonts w:hint="eastAsia"/>
                <w:lang w:val="en-US" w:eastAsia="zh-CN"/>
              </w:rPr>
              <w:t>3、措施不完善不能保证项目实施1.0</w:t>
            </w:r>
            <w:r>
              <w:rPr>
                <w:rFonts w:hint="eastAsia"/>
              </w:rPr>
              <w:t>-10分</w:t>
            </w:r>
            <w:r>
              <w:rPr>
                <w:rFonts w:hint="eastAsia"/>
                <w:lang w:val="en-US" w:eastAsia="zh-CN"/>
              </w:rPr>
              <w:t>；</w:t>
            </w:r>
          </w:p>
          <w:p>
            <w:r>
              <w:rPr>
                <w:rFonts w:hint="eastAsia"/>
                <w:lang w:val="en-US" w:eastAsia="zh-CN"/>
              </w:rPr>
              <w:t>4、</w:t>
            </w:r>
            <w:r>
              <w:rPr>
                <w:rFonts w:hint="eastAsia" w:ascii="宋体" w:hAnsi="宋体" w:cs="宋体"/>
                <w:szCs w:val="21"/>
              </w:rPr>
              <w:t>方案有明显缺陷</w:t>
            </w:r>
            <w:r>
              <w:rPr>
                <w:rFonts w:hint="eastAsia" w:ascii="宋体" w:hAnsi="宋体" w:cs="宋体"/>
                <w:szCs w:val="21"/>
                <w:lang w:val="en-US" w:eastAsia="zh-CN"/>
              </w:rPr>
              <w:t>或</w:t>
            </w:r>
            <w:r>
              <w:rPr>
                <w:rFonts w:hint="eastAsia" w:asciiTheme="minorHAnsi" w:hAnsiTheme="minorHAnsi" w:eastAsiaTheme="minorEastAsia" w:cstheme="minorBidi"/>
                <w:b w:val="0"/>
                <w:kern w:val="2"/>
                <w:sz w:val="21"/>
                <w:szCs w:val="22"/>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1080" w:type="dxa"/>
            <w:vMerge w:val="continue"/>
            <w:noWrap w:val="0"/>
            <w:vAlign w:val="center"/>
          </w:tcPr>
          <w:p>
            <w:pPr>
              <w:jc w:val="center"/>
              <w:rPr>
                <w:rFonts w:hAnsi="宋体"/>
                <w:szCs w:val="21"/>
              </w:rPr>
            </w:pPr>
          </w:p>
        </w:tc>
        <w:tc>
          <w:tcPr>
            <w:tcW w:w="950" w:type="dxa"/>
            <w:noWrap w:val="0"/>
            <w:vAlign w:val="center"/>
          </w:tcPr>
          <w:p>
            <w:pPr>
              <w:jc w:val="center"/>
              <w:rPr>
                <w:rFonts w:hAnsi="宋体"/>
                <w:szCs w:val="21"/>
              </w:rPr>
            </w:pPr>
            <w:r>
              <w:rPr>
                <w:rFonts w:hint="eastAsia" w:hAnsi="宋体"/>
                <w:szCs w:val="21"/>
              </w:rPr>
              <w:t>业绩</w:t>
            </w:r>
          </w:p>
        </w:tc>
        <w:tc>
          <w:tcPr>
            <w:tcW w:w="770" w:type="dxa"/>
            <w:noWrap w:val="0"/>
            <w:vAlign w:val="center"/>
          </w:tcPr>
          <w:p>
            <w:pPr>
              <w:jc w:val="center"/>
              <w:rPr>
                <w:rFonts w:hAnsi="宋体"/>
                <w:szCs w:val="21"/>
              </w:rPr>
            </w:pPr>
            <w:r>
              <w:rPr>
                <w:rFonts w:hint="eastAsia" w:hAnsi="宋体"/>
                <w:szCs w:val="21"/>
                <w:lang w:val="en-US" w:eastAsia="zh-CN"/>
              </w:rPr>
              <w:t>10</w:t>
            </w:r>
            <w:r>
              <w:rPr>
                <w:rFonts w:hint="eastAsia" w:hAnsi="宋体"/>
                <w:szCs w:val="21"/>
              </w:rPr>
              <w:t>分</w:t>
            </w:r>
          </w:p>
        </w:tc>
        <w:tc>
          <w:tcPr>
            <w:tcW w:w="6800" w:type="dxa"/>
            <w:noWrap w:val="0"/>
            <w:vAlign w:val="center"/>
          </w:tcPr>
          <w:p>
            <w:r>
              <w:rPr>
                <w:rFonts w:hint="eastAsia"/>
                <w:lang w:val="en-US" w:eastAsia="zh-CN"/>
              </w:rPr>
              <w:t>投标人</w:t>
            </w:r>
            <w:r>
              <w:rPr>
                <w:rFonts w:hint="eastAsia"/>
              </w:rPr>
              <w:t>须提供20</w:t>
            </w:r>
            <w:r>
              <w:rPr>
                <w:rFonts w:hint="eastAsia"/>
                <w:lang w:val="en-US" w:eastAsia="zh-CN"/>
              </w:rPr>
              <w:t>20</w:t>
            </w:r>
            <w:r>
              <w:rPr>
                <w:rFonts w:hint="eastAsia"/>
              </w:rPr>
              <w:t>年1月至今</w:t>
            </w:r>
            <w:r>
              <w:rPr>
                <w:rFonts w:hint="eastAsia"/>
                <w:lang w:val="en-US" w:eastAsia="zh-CN"/>
              </w:rPr>
              <w:t>类似</w:t>
            </w:r>
            <w:r>
              <w:rPr>
                <w:rFonts w:hint="eastAsia"/>
              </w:rPr>
              <w:t>项目业绩，具有一个业绩得</w:t>
            </w:r>
            <w:r>
              <w:rPr>
                <w:rFonts w:hint="eastAsia"/>
                <w:lang w:val="en-US" w:eastAsia="zh-CN"/>
              </w:rPr>
              <w:t>2</w:t>
            </w:r>
            <w:r>
              <w:rPr>
                <w:rFonts w:hint="eastAsia"/>
              </w:rPr>
              <w:t>分，最高得</w:t>
            </w:r>
            <w:r>
              <w:rPr>
                <w:rFonts w:hint="eastAsia"/>
                <w:lang w:val="en-US" w:eastAsia="zh-CN"/>
              </w:rPr>
              <w:t>10</w:t>
            </w:r>
            <w:r>
              <w:rPr>
                <w:rFonts w:hint="eastAsia"/>
              </w:rPr>
              <w:t>分；</w:t>
            </w:r>
          </w:p>
          <w:p>
            <w:r>
              <w:rPr>
                <w:rFonts w:hint="eastAsia" w:hAnsi="宋体" w:cs="宋体"/>
                <w:b/>
                <w:bCs/>
                <w:szCs w:val="21"/>
              </w:rPr>
              <w:t>评审依据：</w:t>
            </w:r>
            <w:r>
              <w:rPr>
                <w:rFonts w:hint="eastAsia"/>
              </w:rPr>
              <w:t>评审依据：须提供业绩合同证明材料复印件加盖公章，如合同关键页（即合同首页、合同标的物、合同金额页及双方签字盖章页）以合同签订时间为准。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080" w:type="dxa"/>
            <w:noWrap w:val="0"/>
            <w:vAlign w:val="center"/>
          </w:tcPr>
          <w:p>
            <w:pPr>
              <w:rPr>
                <w:rFonts w:hAnsi="宋体"/>
                <w:szCs w:val="21"/>
              </w:rPr>
            </w:pPr>
            <w:r>
              <w:rPr>
                <w:rFonts w:hint="eastAsia" w:ascii="宋体" w:hAnsi="宋体" w:eastAsia="宋体" w:cs="宋体"/>
                <w:color w:val="000000"/>
                <w:szCs w:val="21"/>
              </w:rPr>
              <w:t>备注</w:t>
            </w:r>
          </w:p>
        </w:tc>
        <w:tc>
          <w:tcPr>
            <w:tcW w:w="8520" w:type="dxa"/>
            <w:gridSpan w:val="3"/>
            <w:noWrap w:val="0"/>
            <w:vAlign w:val="top"/>
          </w:tcPr>
          <w:p>
            <w:pPr>
              <w:rPr>
                <w:rFonts w:ascii="宋体" w:hAnsi="宋体" w:eastAsia="宋体" w:cs="宋体"/>
                <w:color w:val="000000"/>
                <w:szCs w:val="21"/>
              </w:rPr>
            </w:pPr>
            <w:r>
              <w:rPr>
                <w:rFonts w:hint="eastAsia" w:ascii="宋体" w:hAnsi="宋体" w:eastAsia="宋体" w:cs="宋体"/>
                <w:color w:val="000000"/>
                <w:szCs w:val="21"/>
              </w:rPr>
              <w:t>1）各评委独立打分，每项评审指标最低得分为零分。</w:t>
            </w:r>
          </w:p>
          <w:p>
            <w:pPr>
              <w:rPr>
                <w:rFonts w:ascii="宋体" w:hAnsi="宋体" w:eastAsia="宋体" w:cs="宋体"/>
                <w:color w:val="000000"/>
                <w:szCs w:val="21"/>
              </w:rPr>
            </w:pPr>
            <w:r>
              <w:rPr>
                <w:rFonts w:hint="eastAsia" w:ascii="宋体" w:hAnsi="宋体" w:eastAsia="宋体" w:cs="宋体"/>
                <w:color w:val="000000"/>
                <w:szCs w:val="21"/>
              </w:rPr>
              <w:t>2）评委打分超过得分界限或未按本表规定赋分时，该评委的打分无效，不计入汇总分。</w:t>
            </w:r>
          </w:p>
          <w:p>
            <w:pPr>
              <w:rPr>
                <w:rFonts w:ascii="宋体" w:hAnsi="宋体" w:eastAsia="宋体" w:cs="宋体"/>
                <w:color w:val="000000"/>
                <w:szCs w:val="21"/>
              </w:rPr>
            </w:pPr>
            <w:r>
              <w:rPr>
                <w:rFonts w:hint="eastAsia" w:ascii="宋体" w:hAnsi="宋体" w:eastAsia="宋体" w:cs="宋体"/>
                <w:color w:val="000000"/>
                <w:szCs w:val="21"/>
              </w:rPr>
              <w:t>3）若出现综合得分相同的，按投标报价由低到高顺序排列名次；得分且投标报价相同的，按技术指标得分顺序排列名次。</w:t>
            </w:r>
          </w:p>
          <w:p>
            <w:pPr>
              <w:rPr>
                <w:rFonts w:ascii="华文仿宋" w:hAnsi="华文仿宋"/>
                <w:kern w:val="0"/>
                <w:szCs w:val="21"/>
              </w:rPr>
            </w:pPr>
            <w:r>
              <w:rPr>
                <w:rFonts w:hint="eastAsia" w:ascii="宋体" w:hAnsi="宋体" w:eastAsia="宋体" w:cs="宋体"/>
                <w:color w:val="000000"/>
                <w:szCs w:val="21"/>
              </w:rPr>
              <w:t>4）最终结果数字保留二位小数，不进行四舍五入。</w:t>
            </w:r>
          </w:p>
        </w:tc>
      </w:tr>
    </w:tbl>
    <w:p/>
    <w:p>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napToGrid w:val="0"/>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根据《政府采购促进中小企业发展暂行办法》（财库</w:t>
      </w:r>
      <w:r>
        <w:rPr>
          <w:rFonts w:ascii="宋体" w:hAnsi="宋体" w:cs="宋体"/>
          <w:sz w:val="24"/>
          <w:szCs w:val="24"/>
        </w:rPr>
        <w:t>[20</w:t>
      </w:r>
      <w:r>
        <w:rPr>
          <w:rFonts w:hint="eastAsia" w:ascii="宋体" w:hAnsi="宋体" w:cs="宋体"/>
          <w:sz w:val="24"/>
          <w:szCs w:val="24"/>
        </w:rPr>
        <w:t>20</w:t>
      </w:r>
      <w:r>
        <w:rPr>
          <w:rFonts w:ascii="宋体" w:hAnsi="宋体" w:cs="宋体"/>
          <w:sz w:val="24"/>
          <w:szCs w:val="24"/>
        </w:rPr>
        <w:t>]</w:t>
      </w:r>
      <w:r>
        <w:rPr>
          <w:rFonts w:hint="eastAsia" w:ascii="宋体" w:hAnsi="宋体" w:cs="宋体"/>
          <w:sz w:val="24"/>
          <w:szCs w:val="24"/>
        </w:rPr>
        <w:t>46号）的规定，《财政部关于进一步加大政府采购支持中小企业力度的通知》</w:t>
      </w:r>
      <w:r>
        <w:rPr>
          <w:rFonts w:hint="eastAsia" w:ascii="宋体" w:hAnsi="宋体" w:cs="宋体"/>
          <w:sz w:val="24"/>
          <w:szCs w:val="24"/>
          <w:lang w:eastAsia="zh-CN"/>
        </w:rPr>
        <w:t>（</w:t>
      </w:r>
      <w:r>
        <w:rPr>
          <w:rFonts w:hint="eastAsia" w:ascii="宋体" w:hAnsi="宋体" w:cs="宋体"/>
          <w:sz w:val="24"/>
          <w:szCs w:val="24"/>
        </w:rPr>
        <w:t>财库〔2022〕19号</w:t>
      </w:r>
      <w:r>
        <w:rPr>
          <w:rFonts w:hint="eastAsia" w:ascii="宋体" w:hAnsi="宋体" w:cs="宋体"/>
          <w:sz w:val="24"/>
          <w:szCs w:val="24"/>
          <w:lang w:eastAsia="zh-CN"/>
        </w:rPr>
        <w:t>）</w:t>
      </w:r>
      <w:r>
        <w:rPr>
          <w:rFonts w:hint="eastAsia" w:ascii="宋体" w:hAnsi="宋体" w:cs="宋体"/>
          <w:sz w:val="24"/>
          <w:szCs w:val="24"/>
        </w:rPr>
        <w:t>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的扣除，用扣除后的价格参与评审；投标人可在投标文件中提供小型和微型企业声明，具体格式详见附件。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6%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投标人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投标人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3、产品同时属于“非强制采购节能产品”、环境标志产品的，评审时只有其中一项能享受优先待遇（投标人自行选择，并在报价文件中填写相关信息及数据）。</w:t>
      </w:r>
    </w:p>
    <w:p>
      <w:pPr>
        <w:rPr>
          <w:sz w:val="24"/>
          <w:szCs w:val="24"/>
        </w:rPr>
        <w:sectPr>
          <w:headerReference r:id="rId10" w:type="default"/>
          <w:footerReference r:id="rId11" w:type="default"/>
          <w:pgSz w:w="11900" w:h="16840"/>
          <w:pgMar w:top="1440" w:right="1800" w:bottom="1440" w:left="1800" w:header="851" w:footer="992" w:gutter="0"/>
          <w:cols w:space="425" w:num="1"/>
          <w:docGrid w:type="lines" w:linePitch="312" w:charSpace="0"/>
        </w:sectPr>
      </w:pPr>
    </w:p>
    <w:p>
      <w:pPr>
        <w:pStyle w:val="3"/>
        <w:pageBreakBefore/>
        <w:spacing w:beforeLines="100" w:afterLines="100" w:line="500" w:lineRule="exact"/>
        <w:rPr>
          <w:rFonts w:asciiTheme="minorEastAsia" w:hAnsiTheme="minorEastAsia" w:cstheme="minorEastAsia"/>
          <w:szCs w:val="32"/>
        </w:rPr>
      </w:pPr>
      <w:bookmarkStart w:id="91" w:name="_Toc28961"/>
      <w:bookmarkStart w:id="92" w:name="_Toc15136"/>
      <w:bookmarkStart w:id="93" w:name="_Toc19586"/>
      <w:bookmarkStart w:id="94" w:name="_Toc473"/>
      <w:r>
        <w:rPr>
          <w:rFonts w:hint="eastAsia" w:asciiTheme="minorEastAsia" w:hAnsiTheme="minorEastAsia" w:eastAsiaTheme="minorEastAsia" w:cstheme="minorEastAsia"/>
          <w:sz w:val="36"/>
          <w:szCs w:val="36"/>
        </w:rPr>
        <w:t>第五部分  采购要求</w:t>
      </w:r>
      <w:bookmarkEnd w:id="91"/>
      <w:bookmarkEnd w:id="92"/>
    </w:p>
    <w:p>
      <w:pPr>
        <w:spacing w:line="360" w:lineRule="auto"/>
        <w:rPr>
          <w:rFonts w:ascii="宋体" w:hAnsi="宋体" w:cs="宋体"/>
          <w:b/>
          <w:sz w:val="24"/>
          <w:szCs w:val="24"/>
        </w:rPr>
      </w:pPr>
      <w:r>
        <w:rPr>
          <w:rFonts w:hint="eastAsia" w:asciiTheme="minorEastAsia" w:hAnsiTheme="minorEastAsia" w:cstheme="minorEastAsia"/>
          <w:b/>
          <w:sz w:val="24"/>
          <w:szCs w:val="24"/>
        </w:rPr>
        <w:t>一、</w:t>
      </w:r>
      <w:r>
        <w:rPr>
          <w:rFonts w:hint="eastAsia" w:ascii="宋体" w:hAnsi="宋体" w:cs="宋体"/>
          <w:b/>
          <w:sz w:val="24"/>
          <w:szCs w:val="24"/>
        </w:rPr>
        <w:t>商务要求</w:t>
      </w:r>
    </w:p>
    <w:p>
      <w:pPr>
        <w:spacing w:line="360" w:lineRule="auto"/>
        <w:ind w:right="57" w:rightChars="27" w:firstLine="480" w:firstLineChars="200"/>
        <w:rPr>
          <w:rFonts w:hint="eastAsia" w:ascii="宋体" w:hAnsi="宋体" w:cs="宋体" w:eastAsiaTheme="minorEastAsia"/>
          <w:bCs/>
          <w:sz w:val="24"/>
          <w:szCs w:val="24"/>
          <w:lang w:eastAsia="zh-CN"/>
        </w:rPr>
      </w:pPr>
      <w:r>
        <w:rPr>
          <w:rFonts w:hint="eastAsia" w:ascii="宋体" w:hAnsi="宋体" w:cs="宋体"/>
          <w:bCs/>
          <w:sz w:val="24"/>
          <w:szCs w:val="24"/>
        </w:rPr>
        <w:t>1、项目名称：</w:t>
      </w:r>
      <w:r>
        <w:rPr>
          <w:rFonts w:hint="eastAsia" w:asciiTheme="minorEastAsia" w:hAnsiTheme="minorEastAsia" w:cstheme="minorEastAsia"/>
          <w:kern w:val="0"/>
          <w:sz w:val="24"/>
          <w:szCs w:val="24"/>
          <w:lang w:eastAsia="zh-CN"/>
        </w:rPr>
        <w:t>西安医学院零星维修服务外包项目</w:t>
      </w:r>
    </w:p>
    <w:p>
      <w:pPr>
        <w:widowControl/>
        <w:spacing w:line="360" w:lineRule="auto"/>
        <w:ind w:right="57" w:rightChars="27" w:firstLine="480" w:firstLineChars="200"/>
        <w:jc w:val="left"/>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服务期</w:t>
      </w:r>
      <w:r>
        <w:rPr>
          <w:rFonts w:hint="eastAsia" w:ascii="宋体" w:hAnsi="宋体" w:cs="宋体"/>
          <w:bCs/>
          <w:sz w:val="24"/>
          <w:szCs w:val="24"/>
        </w:rPr>
        <w:t>：</w:t>
      </w:r>
      <w:r>
        <w:rPr>
          <w:rFonts w:hint="eastAsia" w:asciiTheme="minorEastAsia" w:hAnsiTheme="minorEastAsia"/>
          <w:sz w:val="24"/>
          <w:szCs w:val="24"/>
          <w:lang w:val="en-US" w:eastAsia="zh-CN"/>
        </w:rPr>
        <w:t>1年</w:t>
      </w:r>
      <w:r>
        <w:rPr>
          <w:rFonts w:hint="eastAsia" w:asciiTheme="minorEastAsia" w:hAnsiTheme="minorEastAsia"/>
          <w:sz w:val="24"/>
          <w:szCs w:val="24"/>
        </w:rPr>
        <w:t>；</w:t>
      </w:r>
    </w:p>
    <w:p>
      <w:pPr>
        <w:widowControl/>
        <w:spacing w:line="360" w:lineRule="auto"/>
        <w:ind w:right="57" w:rightChars="27" w:firstLine="480" w:firstLineChars="200"/>
        <w:jc w:val="left"/>
        <w:rPr>
          <w:rFonts w:eastAsia="宋体"/>
        </w:rPr>
      </w:pPr>
      <w:r>
        <w:rPr>
          <w:rFonts w:hint="eastAsia" w:ascii="宋体" w:hAnsi="宋体" w:cs="宋体"/>
          <w:bCs/>
          <w:sz w:val="24"/>
          <w:szCs w:val="24"/>
        </w:rPr>
        <w:t>3、服务地点：</w:t>
      </w:r>
      <w:r>
        <w:rPr>
          <w:rFonts w:hint="eastAsia" w:ascii="宋体" w:hAnsi="宋体" w:eastAsia="宋体" w:cs="宋体"/>
          <w:bCs/>
          <w:color w:val="000000" w:themeColor="text1"/>
          <w:kern w:val="0"/>
          <w:sz w:val="24"/>
          <w:szCs w:val="24"/>
          <w:lang w:eastAsia="zh-CN"/>
          <w14:textFill>
            <w14:solidFill>
              <w14:schemeClr w14:val="tx1"/>
            </w14:solidFill>
          </w14:textFill>
        </w:rPr>
        <w:t>西安医学院</w:t>
      </w:r>
      <w:r>
        <w:rPr>
          <w:rFonts w:hint="eastAsia" w:ascii="宋体" w:hAnsi="宋体" w:eastAsia="宋体" w:cs="宋体"/>
          <w:bCs/>
          <w:color w:val="000000" w:themeColor="text1"/>
          <w:kern w:val="0"/>
          <w:sz w:val="24"/>
          <w:szCs w:val="24"/>
          <w14:textFill>
            <w14:solidFill>
              <w14:schemeClr w14:val="tx1"/>
            </w14:solidFill>
          </w14:textFill>
        </w:rPr>
        <w:t>指定地点</w:t>
      </w:r>
      <w:r>
        <w:rPr>
          <w:rFonts w:hint="eastAsia" w:ascii="宋体" w:hAnsi="宋体" w:cs="宋体"/>
          <w:bCs/>
          <w:sz w:val="24"/>
          <w:szCs w:val="24"/>
        </w:rPr>
        <w:t>；</w:t>
      </w:r>
    </w:p>
    <w:p>
      <w:pPr>
        <w:tabs>
          <w:tab w:val="left" w:pos="420"/>
        </w:tabs>
        <w:spacing w:line="360" w:lineRule="auto"/>
        <w:ind w:firstLine="480" w:firstLineChars="200"/>
      </w:pPr>
      <w:r>
        <w:rPr>
          <w:rFonts w:hint="eastAsia" w:ascii="宋体" w:hAnsi="宋体" w:cs="宋体"/>
          <w:sz w:val="24"/>
          <w:szCs w:val="24"/>
          <w:lang w:val="en-US" w:eastAsia="zh-CN"/>
        </w:rPr>
        <w:t>4</w:t>
      </w:r>
      <w:r>
        <w:rPr>
          <w:rFonts w:hint="eastAsia" w:ascii="宋体" w:hAnsi="宋体" w:cs="宋体"/>
          <w:sz w:val="24"/>
          <w:szCs w:val="24"/>
        </w:rPr>
        <w:t>、其他商务要求：详见第六部分合同条款</w:t>
      </w:r>
    </w:p>
    <w:p>
      <w:pPr>
        <w:spacing w:line="360" w:lineRule="auto"/>
        <w:ind w:right="57" w:rightChars="27"/>
        <w:rPr>
          <w:rFonts w:ascii="宋体" w:hAnsi="宋体" w:cs="宋体"/>
          <w:b/>
          <w:bCs/>
          <w:sz w:val="24"/>
          <w:szCs w:val="24"/>
        </w:rPr>
      </w:pPr>
      <w:r>
        <w:rPr>
          <w:rFonts w:hint="eastAsia" w:asciiTheme="minorEastAsia" w:hAnsiTheme="minorEastAsia" w:cstheme="minorEastAsia"/>
          <w:b/>
          <w:sz w:val="24"/>
          <w:szCs w:val="24"/>
        </w:rPr>
        <w:t>二、</w:t>
      </w:r>
      <w:r>
        <w:rPr>
          <w:rFonts w:hint="eastAsia" w:ascii="宋体" w:hAnsi="宋体" w:eastAsia="宋体" w:cs="宋体"/>
          <w:b/>
          <w:bCs/>
          <w:sz w:val="24"/>
          <w:szCs w:val="24"/>
        </w:rPr>
        <w:t>服务内容及要求</w:t>
      </w:r>
    </w:p>
    <w:bookmarkEnd w:id="93"/>
    <w:tbl>
      <w:tblPr>
        <w:tblStyle w:val="2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6"/>
        <w:gridCol w:w="1529"/>
        <w:gridCol w:w="2052"/>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616" w:type="dxa"/>
            <w:noWrap w:val="0"/>
            <w:vAlign w:val="top"/>
          </w:tcPr>
          <w:p>
            <w:pPr>
              <w:pStyle w:val="4"/>
              <w:rPr>
                <w:rFonts w:hint="eastAsia" w:ascii="宋体" w:hAnsi="宋体" w:eastAsia="宋体" w:cs="宋体"/>
                <w:b w:val="0"/>
                <w:bCs/>
                <w:sz w:val="21"/>
                <w:szCs w:val="21"/>
              </w:rPr>
            </w:pPr>
            <w:bookmarkStart w:id="95" w:name="_Toc1655"/>
            <w:bookmarkStart w:id="96" w:name="_Toc18912"/>
            <w:bookmarkStart w:id="97" w:name="_Toc9393"/>
            <w:bookmarkStart w:id="98" w:name="_Toc30333"/>
            <w:bookmarkStart w:id="99" w:name="_Toc31052"/>
            <w:bookmarkStart w:id="100" w:name="_Toc31963"/>
            <w:r>
              <w:rPr>
                <w:rFonts w:hint="eastAsia" w:ascii="宋体" w:hAnsi="宋体" w:eastAsia="宋体" w:cs="宋体"/>
                <w:b w:val="0"/>
                <w:bCs/>
                <w:sz w:val="21"/>
                <w:szCs w:val="21"/>
              </w:rPr>
              <w:t>采购内容</w:t>
            </w:r>
            <w:bookmarkEnd w:id="95"/>
            <w:bookmarkEnd w:id="96"/>
            <w:bookmarkEnd w:id="97"/>
            <w:bookmarkEnd w:id="98"/>
          </w:p>
        </w:tc>
        <w:tc>
          <w:tcPr>
            <w:tcW w:w="1529" w:type="dxa"/>
            <w:noWrap w:val="0"/>
            <w:vAlign w:val="top"/>
          </w:tcPr>
          <w:p>
            <w:pPr>
              <w:pStyle w:val="4"/>
              <w:rPr>
                <w:rFonts w:hint="eastAsia" w:ascii="宋体" w:hAnsi="宋体" w:eastAsia="宋体" w:cs="宋体"/>
                <w:b w:val="0"/>
                <w:bCs/>
                <w:sz w:val="21"/>
                <w:szCs w:val="21"/>
              </w:rPr>
            </w:pPr>
            <w:bookmarkStart w:id="101" w:name="_Toc19784"/>
            <w:bookmarkStart w:id="102" w:name="_Toc19608"/>
            <w:bookmarkStart w:id="103" w:name="_Toc29755"/>
            <w:bookmarkStart w:id="104" w:name="_Toc27684"/>
            <w:r>
              <w:rPr>
                <w:rFonts w:hint="eastAsia" w:ascii="宋体" w:hAnsi="宋体" w:eastAsia="宋体" w:cs="宋体"/>
                <w:b w:val="0"/>
                <w:bCs/>
                <w:sz w:val="21"/>
                <w:szCs w:val="21"/>
              </w:rPr>
              <w:t>数量（</w:t>
            </w:r>
            <w:r>
              <w:rPr>
                <w:rFonts w:hint="eastAsia" w:ascii="宋体" w:hAnsi="宋体" w:eastAsia="宋体" w:cs="宋体"/>
                <w:b w:val="0"/>
                <w:bCs/>
                <w:sz w:val="21"/>
                <w:szCs w:val="21"/>
                <w:lang w:val="en-US" w:eastAsia="zh-CN"/>
              </w:rPr>
              <w:t>项</w:t>
            </w:r>
            <w:r>
              <w:rPr>
                <w:rFonts w:hint="eastAsia" w:ascii="宋体" w:hAnsi="宋体" w:eastAsia="宋体" w:cs="宋体"/>
                <w:b w:val="0"/>
                <w:bCs/>
                <w:sz w:val="21"/>
                <w:szCs w:val="21"/>
              </w:rPr>
              <w:t>）</w:t>
            </w:r>
            <w:bookmarkEnd w:id="101"/>
            <w:bookmarkEnd w:id="102"/>
            <w:bookmarkEnd w:id="103"/>
            <w:bookmarkEnd w:id="104"/>
          </w:p>
        </w:tc>
        <w:tc>
          <w:tcPr>
            <w:tcW w:w="2052" w:type="dxa"/>
            <w:noWrap w:val="0"/>
            <w:vAlign w:val="top"/>
          </w:tcPr>
          <w:p>
            <w:pPr>
              <w:pStyle w:val="4"/>
              <w:rPr>
                <w:rFonts w:hint="eastAsia" w:ascii="宋体" w:hAnsi="宋体" w:eastAsia="宋体" w:cs="宋体"/>
                <w:b w:val="0"/>
                <w:bCs/>
                <w:sz w:val="21"/>
                <w:szCs w:val="21"/>
              </w:rPr>
            </w:pPr>
            <w:bookmarkStart w:id="105" w:name="_Toc14036"/>
            <w:bookmarkStart w:id="106" w:name="_Toc4269"/>
            <w:bookmarkStart w:id="107" w:name="_Toc26574"/>
            <w:bookmarkStart w:id="108" w:name="_Toc28160"/>
            <w:r>
              <w:rPr>
                <w:rFonts w:hint="eastAsia" w:ascii="宋体" w:hAnsi="宋体" w:eastAsia="宋体" w:cs="宋体"/>
                <w:b w:val="0"/>
                <w:bCs/>
                <w:sz w:val="21"/>
                <w:szCs w:val="21"/>
              </w:rPr>
              <w:t>预算金额（元）</w:t>
            </w:r>
            <w:bookmarkEnd w:id="105"/>
            <w:bookmarkEnd w:id="106"/>
            <w:bookmarkEnd w:id="107"/>
            <w:bookmarkEnd w:id="108"/>
          </w:p>
        </w:tc>
        <w:tc>
          <w:tcPr>
            <w:tcW w:w="1941" w:type="dxa"/>
            <w:noWrap w:val="0"/>
            <w:vAlign w:val="top"/>
          </w:tcPr>
          <w:p>
            <w:pPr>
              <w:pStyle w:val="4"/>
              <w:rPr>
                <w:rFonts w:hint="eastAsia" w:ascii="宋体" w:hAnsi="宋体" w:eastAsia="宋体" w:cs="宋体"/>
                <w:b w:val="0"/>
                <w:bCs/>
                <w:sz w:val="21"/>
                <w:szCs w:val="21"/>
              </w:rPr>
            </w:pPr>
            <w:bookmarkStart w:id="109" w:name="_Toc31187"/>
            <w:bookmarkStart w:id="110" w:name="_Toc3417"/>
            <w:bookmarkStart w:id="111" w:name="_Toc1944"/>
            <w:bookmarkStart w:id="112" w:name="_Toc18151"/>
            <w:r>
              <w:rPr>
                <w:rFonts w:hint="eastAsia" w:ascii="宋体" w:hAnsi="宋体" w:eastAsia="宋体" w:cs="宋体"/>
                <w:b w:val="0"/>
                <w:bCs/>
                <w:sz w:val="21"/>
                <w:szCs w:val="21"/>
              </w:rPr>
              <w:t>备注</w:t>
            </w:r>
            <w:bookmarkEnd w:id="109"/>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616" w:type="dxa"/>
            <w:noWrap w:val="0"/>
            <w:vAlign w:val="top"/>
          </w:tcPr>
          <w:p>
            <w:pPr>
              <w:pStyle w:val="4"/>
              <w:rPr>
                <w:rFonts w:hint="eastAsia" w:ascii="宋体" w:hAnsi="宋体" w:eastAsia="宋体" w:cs="宋体"/>
                <w:b w:val="0"/>
                <w:bCs/>
                <w:sz w:val="21"/>
                <w:szCs w:val="21"/>
              </w:rPr>
            </w:pPr>
            <w:r>
              <w:rPr>
                <w:rFonts w:hint="eastAsia" w:ascii="宋体" w:hAnsi="宋体" w:eastAsia="宋体" w:cs="宋体"/>
                <w:b w:val="0"/>
                <w:bCs/>
                <w:sz w:val="21"/>
                <w:szCs w:val="21"/>
                <w:lang w:eastAsia="zh-CN"/>
              </w:rPr>
              <w:t>西安医学院零星维修服务外包项目</w:t>
            </w:r>
          </w:p>
        </w:tc>
        <w:tc>
          <w:tcPr>
            <w:tcW w:w="1529" w:type="dxa"/>
            <w:noWrap w:val="0"/>
            <w:vAlign w:val="top"/>
          </w:tcPr>
          <w:p>
            <w:pPr>
              <w:pStyle w:val="4"/>
              <w:rPr>
                <w:rFonts w:hint="eastAsia" w:ascii="宋体" w:hAnsi="宋体" w:eastAsia="宋体" w:cs="宋体"/>
                <w:b w:val="0"/>
                <w:bCs/>
                <w:sz w:val="21"/>
                <w:szCs w:val="21"/>
              </w:rPr>
            </w:pPr>
            <w:bookmarkStart w:id="113" w:name="_Toc9720"/>
            <w:bookmarkStart w:id="114" w:name="_Toc30879"/>
            <w:bookmarkStart w:id="115" w:name="_Toc17872"/>
            <w:bookmarkStart w:id="116" w:name="_Toc10449"/>
            <w:r>
              <w:rPr>
                <w:rFonts w:hint="eastAsia" w:ascii="宋体" w:hAnsi="宋体" w:eastAsia="宋体" w:cs="宋体"/>
                <w:b w:val="0"/>
                <w:bCs/>
                <w:sz w:val="21"/>
                <w:szCs w:val="21"/>
              </w:rPr>
              <w:t>1</w:t>
            </w:r>
            <w:bookmarkEnd w:id="113"/>
            <w:bookmarkEnd w:id="114"/>
            <w:bookmarkEnd w:id="115"/>
            <w:bookmarkEnd w:id="116"/>
          </w:p>
        </w:tc>
        <w:tc>
          <w:tcPr>
            <w:tcW w:w="2052" w:type="dxa"/>
            <w:noWrap w:val="0"/>
            <w:vAlign w:val="top"/>
          </w:tcPr>
          <w:p>
            <w:pPr>
              <w:pStyle w:val="4"/>
              <w:rPr>
                <w:rFonts w:hint="eastAsia" w:ascii="宋体" w:hAnsi="宋体" w:eastAsia="宋体" w:cs="宋体"/>
                <w:b w:val="0"/>
                <w:bCs/>
                <w:sz w:val="21"/>
                <w:szCs w:val="21"/>
              </w:rPr>
            </w:pPr>
            <w:bookmarkStart w:id="117" w:name="_Toc10151"/>
            <w:bookmarkStart w:id="118" w:name="_Toc17326"/>
            <w:bookmarkStart w:id="119" w:name="_Toc21043"/>
            <w:r>
              <w:rPr>
                <w:rFonts w:hint="eastAsia" w:ascii="宋体" w:hAnsi="宋体" w:eastAsia="宋体" w:cs="宋体"/>
                <w:b w:val="0"/>
                <w:bCs/>
                <w:sz w:val="21"/>
                <w:szCs w:val="21"/>
              </w:rPr>
              <w:t>1</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00000</w:t>
            </w:r>
            <w:bookmarkEnd w:id="117"/>
            <w:bookmarkEnd w:id="118"/>
            <w:bookmarkEnd w:id="119"/>
          </w:p>
        </w:tc>
        <w:tc>
          <w:tcPr>
            <w:tcW w:w="1941" w:type="dxa"/>
            <w:noWrap w:val="0"/>
            <w:vAlign w:val="top"/>
          </w:tcPr>
          <w:p>
            <w:pPr>
              <w:pStyle w:val="4"/>
              <w:rPr>
                <w:rFonts w:hint="eastAsia" w:ascii="宋体" w:hAnsi="宋体" w:eastAsia="宋体" w:cs="宋体"/>
                <w:b w:val="0"/>
                <w:bCs/>
                <w:sz w:val="21"/>
                <w:szCs w:val="21"/>
              </w:rPr>
            </w:pPr>
          </w:p>
        </w:tc>
      </w:tr>
    </w:tbl>
    <w:p>
      <w:pPr>
        <w:numPr>
          <w:ilvl w:val="0"/>
          <w:numId w:val="23"/>
        </w:numPr>
        <w:spacing w:line="360" w:lineRule="auto"/>
        <w:rPr>
          <w:rFonts w:hint="eastAsia" w:asciiTheme="minorEastAsia" w:hAnsiTheme="minorEastAsia"/>
          <w:b/>
          <w:bCs/>
          <w:sz w:val="24"/>
          <w:szCs w:val="24"/>
          <w:lang w:eastAsia="zh-CN"/>
        </w:rPr>
      </w:pPr>
      <w:r>
        <w:rPr>
          <w:rFonts w:hint="eastAsia" w:asciiTheme="minorEastAsia" w:hAnsiTheme="minorEastAsia"/>
          <w:b/>
          <w:bCs/>
          <w:sz w:val="24"/>
          <w:szCs w:val="24"/>
          <w:lang w:eastAsia="zh-CN"/>
        </w:rPr>
        <w:t>技术要求</w:t>
      </w:r>
    </w:p>
    <w:tbl>
      <w:tblPr>
        <w:tblStyle w:val="25"/>
        <w:tblW w:w="92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6"/>
        <w:gridCol w:w="1963"/>
        <w:gridCol w:w="2104"/>
        <w:gridCol w:w="317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施工项目</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更换地板砖</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800*800mm</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1.原砖面层.基层拆除；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2.重新用水泥砂浆铺贴；</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更换内墙砖</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300*600mm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400*800mm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300*450mm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更换外墙砖</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45*145mm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140*280mm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更换行道砖</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更换木地板</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厚度12mm以内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强化复合木地板</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1.原地板拆除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2.铺设木地板包含扣条</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厚度18mm以内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强化复合木地板</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厚度12mm以内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实木多层木地板</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厚度18mm以内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实木多层木地板</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更换防静电地板</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1.原地板拆除；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2.铺设纯钢龙骨防静电地板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1.原踢脚线拆除（如有）；                                          2.安装踢脚线；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木塑</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内墙面粉刷</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纯色</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1.原墙面铲除；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内墙面粉刷</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拼色（图案或渐变色）</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1.原墙面铲除；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外墙面粉刷</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纯色</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1.原墙面铲除；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外墙面粉刷</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拼色（图案或渐变色）</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1.原墙面铲除；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墙裙</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1.原墙面铲除；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2.新刷腻子2道；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3.墙裙刷油漆2-3道；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木质构件</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1.表面打磨.修补；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2.粉刷木质专用保养木油；</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铁件</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1.铁件除锈.刷防锈漆；              2.刷漆2-3道；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彩钢屋面</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1.铁件除锈.刷防锈漆；              2.刷漆2-3道；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浮雕刷漆</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2.浮雕粉刷3遍</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墙面开孔</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砖墙开孔</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砖墙开孔</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砖墙开孔</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混凝土墙开孔</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混凝土墙开孔</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混凝土墙开孔</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墙面抹灰</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水泥砂浆比为1:2.5</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水泥砂浆墙面；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墙面喷涂真石漆</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分隔面积100*200mm以内</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1.墙面基层处理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2.墙面分隔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3.喷涂真石漆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分隔面积100*200mm以外</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5"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铝塑板墙面</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1.原墙面拆除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2.安装木龙骨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3.铺设阻燃板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4.铺贴铝塑板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w:t>
            </w:r>
          </w:p>
        </w:tc>
        <w:tc>
          <w:tcPr>
            <w:tcW w:w="2104" w:type="dxa"/>
            <w:vMerge w:val="restart"/>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1.原吊顶拆除；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2.铝扣板吊顶；</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1.原吊顶拆除；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2.纸面石膏板吊顶；</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1.原吊顶拆除；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2.硅酸钙板吊顶；</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5"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轻质隔墙</w:t>
            </w:r>
          </w:p>
        </w:tc>
        <w:tc>
          <w:tcPr>
            <w:tcW w:w="2104" w:type="dxa"/>
            <w:shd w:val="clear" w:color="auto" w:fill="auto"/>
            <w:vAlign w:val="center"/>
          </w:tcPr>
          <w:p>
            <w:pP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1.纸面石膏板隔墙；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2.轻钢龙骨横竖间距均不大于600mm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3.内填充岩棉等隔音材料；</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混凝土加气块隔墙</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净化板隔墙</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玻璃隔墙</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12mm钢化玻璃</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包含不锈钢包边</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更换暖气罩</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木质或铝合金暖气罩</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包立管</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制作木质龙骨，铺贴木工板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制作木质试验台</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试验台宽度1米以内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1.生态木制作安装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2.采用实芯理化板台面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制作木柜</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厚度70cm以内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1.生态木制作安装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水泥砂浆自流平地面</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2.铺设水泥砂浆自流平地面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塑胶地面</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2.铺设塑胶地面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环氧树脂地坪漆</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2.铺设环氧树脂地坪漆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水磨石地面</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含铜条</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1.原地面拆除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2.铺贴水磨石地面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鹅暖石地面</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2.铺设鹅暖石地面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地面石材</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尺寸不限，芝麻白或芝麻灰</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1.原石材面层.基层拆除；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2.重新用水泥砂浆铺贴；</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干挂石材</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尺寸不限，芝麻白或芝麻灰</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1.原石材面层.基层拆除；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2.重新用水泥砂浆铺贴；</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石材开槽、磨边</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更换路沿石</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混凝土500*800mm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1.原路沿石拆除；                       2.重新用水泥砂浆铺贴；</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石材500*800mm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1.原路沿石拆除；                       2.重新用水泥砂浆铺贴；</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墙体拆除</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墙体拆除；</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墙体开门洞</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墙体拆除及收口；</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砌内砖墙</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1.原墙拆除（如有）；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2.砌筑砖墙</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5"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砌围墙</w:t>
            </w:r>
          </w:p>
        </w:tc>
        <w:tc>
          <w:tcPr>
            <w:tcW w:w="2104" w:type="dxa"/>
            <w:shd w:val="clear" w:color="auto" w:fill="auto"/>
            <w:vAlign w:val="center"/>
          </w:tcPr>
          <w:p>
            <w:pP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1.原墙拆除（如有）；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2.基础夯实.素土回填；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3.C15混凝土垫层.大放脚；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4.砌筑砖墙；</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混凝土拆除</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钢筋制作</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混凝土预制现浇构件</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制作及安装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混凝土路面开挖</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人行道砖地开挖</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土方开挖</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素土回填</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2.素土回填.压实；</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灰土回填</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2:8灰土</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2.灰土回填.压实；</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3:7灰土</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2.浇筑混凝土C15，10cm厚</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混凝土路面</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10cm</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2.浇筑C20混凝土路面；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18cm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10cm以内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                2.沥青混凝土路面；</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甲级</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1.旧门拆除；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2.新装防盗门；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3.门洞修补</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实木多层</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1.旧门拆除；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2.新装木门；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3.门洞修补</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木门门套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1.旧门套拆除；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2.安装新门套；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3.周围墙面修补；</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1.原铁门拆除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2.安装铁门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3.门洞修补</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不锈钢门</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主材3*3不锈钢方管</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含旧门拆除</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地弹门</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12mm钢化玻璃</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安装无框玻璃地弹门</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维修地弹门</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维修地弹门的地弹簧</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卷闸门</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加厚卷闸门</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1.安装位置清理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2.安装门头及轨道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3.安装卷闸门</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木门开观察窗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1.木门开孔；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3.安装阳角扣条；</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防盗门开观察窗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1.防盗门开孔；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3.安装阳角扣条；</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净化门开观察窗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1.净化门开孔；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3.安装阳角扣条；</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门吸</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w:t>
            </w: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闭门器</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w:t>
            </w: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更换不锈钢栏杆</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高度1.4米以内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1.原栏杆拆除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2.安装不锈钢栏杆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铁艺栏杆</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1.原铁艺栏杆拆除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2.安装铁艺栏杆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木质栏杆</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插入式栏杆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膨胀螺丝安装 栏杆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3mm</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更换普通玻璃</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钢化玻璃</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更换中空钢化玻璃</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镜子</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5mm厚镜面</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含旧镜子拆除</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纱窗</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普通窗纱</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不含窗框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普通窗纱</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含窗框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金刚纱</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含窗框</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限位器</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平开窗限位器</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限位器</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推拉窗限位器</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玻璃纸</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磨砂玻璃纸</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窗帘盒</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尺寸不限</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制作木质龙骨，铺贴木工板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半遮光布帘</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1.安装导轨；                     2.新作窗帘；</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卷帘</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安装百叶卷帘；</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窗台板</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水磨石窗台板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石材窗台板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瓷砖窗台板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不锈钢阳光板车棚</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高度2.5m以内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不含设备基础</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遮光棚电机</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品牌电机</w:t>
            </w: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遮阳棚</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伸缩式遮阳棚</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采用铝合金支架，可伸缩，篷布抗老化</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帐篷</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移动式帐篷，包含支架及篷布，并负责安装</w:t>
            </w:r>
          </w:p>
        </w:tc>
        <w:tc>
          <w:tcPr>
            <w:tcW w:w="124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1.拆除原灯具；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2.安装LED灯；</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300*1200mm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灯带</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安装LED灯带</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筒灯</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安装筒灯</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高压钠灯</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更换高压钠灯</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灭蚊灯</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灭蚊灯</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移动式灭菌灯</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移动式紫外线杀菌灯</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洗墙灯</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LED洗墙灯</w:t>
            </w: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单开或双开</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USB五孔插座</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线路改造</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2.5mm2</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铺设线路（单芯）</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4mm2</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6mm2</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网线、电话线</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明线</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安装穿线管或线槽</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暗线</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1.墙面刻槽及恢复；                   2.安装穿线管</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给水管</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Ф15</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1.原管道拆除（如有）；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2.安装PPR管道；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Ф20</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Ф25</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Ф32</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排水管</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Ф50</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1.原管道拆除（如有）；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2.安装PVC管道；</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Ф80</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Ф110</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Ф150</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Ф200</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水池</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安装不锈钢水池</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安装陶瓷水池</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90cm以内</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安装医用脚踩式不锈钢水池</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拖把池</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更换角阀</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更换角阀</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更换水龙头</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单开水龙头</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高杆水龙头（带抽拉）</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双开水龙头</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洗手池感应水龙头</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感应式水龙头</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含2.5米以内水管改造</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小便池感应冲水阀</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感应式冲水阀</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含2.5米以内水管改造</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大便池感应冲水阀</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感应式冲水阀</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含2.5米以内水管改造</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更换下水井井盖</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φ700mm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1.原井盖拆除；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2.井盖周边混凝土维修；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3.更换PVC井盖</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5"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φ700mm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1.原井盖拆除；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2.井盖周边混凝土维修；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3.更换铸铁井盖（承重20吨以上）</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雨水篦子</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1.原篦子拆除；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2.换铸铁篦子（承重20吨以上）；</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1.原篦子拆除；                     2.更换混凝土雨水篦子（承重20吨以上）；</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疏通下水管道</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直径100mm以内</w:t>
            </w:r>
          </w:p>
        </w:tc>
        <w:tc>
          <w:tcPr>
            <w:tcW w:w="3178" w:type="dxa"/>
            <w:vMerge w:val="restart"/>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疏通下水管道</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直径300mm以内</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疏通下水管道</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直径400mm以内</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屋面防水</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1.基层清理及修补；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2.喷刷两遍冷底油；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3.铺设防水卷材；</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4mm自粘卷材</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高压注浆</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混凝土墙面或顶棚</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采用专用注浆液进行维修，维修区域不漏水即满足要求</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更换锁具</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木门锁具</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防盗门锁具</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文件柜锁具</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电子密码锁</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排气扇</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40cm以内</w:t>
            </w:r>
          </w:p>
        </w:tc>
        <w:tc>
          <w:tcPr>
            <w:tcW w:w="3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安装排气扇</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80cm以内</w:t>
            </w:r>
          </w:p>
        </w:tc>
        <w:tc>
          <w:tcPr>
            <w:tcW w:w="317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维修座椅</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维修教室座椅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维修礼堂座椅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更换座椅</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更换教室座椅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更换礼堂座椅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挡车石</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80cm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挡车石</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石柱</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35cm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石柱</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更换门牌</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不锈钢挡鼠板</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高度50cm</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安装不锈钢挡鼠板</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不锈钢晾衣架</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不锈钢管、钢丝绳</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不含设备基础</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拆移空调</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壁挂式空调</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包含旧空调拆除及新空调安装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拆移空调</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落地式空调</w:t>
            </w: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包含旧空调拆除及新空调安装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外墙石材清洗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沙发套清洗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1.沙发套拆卸；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2.沙发套清洗；                      3.安装清洗后的沙发套；</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窗帘清洗</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1.窗帘拆卸；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2.窗帘清洗；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吊车租赁</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16吨吊车</w:t>
            </w: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吊车租赁</w:t>
            </w:r>
          </w:p>
        </w:tc>
        <w:tc>
          <w:tcPr>
            <w:tcW w:w="2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25吨吊车</w:t>
            </w:r>
          </w:p>
        </w:tc>
        <w:tc>
          <w:tcPr>
            <w:tcW w:w="3178"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零星用工</w:t>
            </w:r>
          </w:p>
        </w:tc>
        <w:tc>
          <w:tcPr>
            <w:tcW w:w="2104" w:type="dxa"/>
            <w:shd w:val="clear" w:color="auto" w:fill="auto"/>
            <w:vAlign w:val="center"/>
          </w:tcPr>
          <w:p>
            <w:pPr>
              <w:jc w:val="center"/>
              <w:rPr>
                <w:rFonts w:hint="eastAsia" w:ascii="宋体" w:hAnsi="宋体" w:eastAsia="宋体" w:cs="宋体"/>
                <w:i w:val="0"/>
                <w:iCs w:val="0"/>
                <w:color w:val="000000"/>
                <w:sz w:val="21"/>
                <w:szCs w:val="21"/>
                <w:u w:val="none"/>
              </w:rPr>
            </w:pPr>
          </w:p>
        </w:tc>
        <w:tc>
          <w:tcPr>
            <w:tcW w:w="3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搬运</w:t>
            </w:r>
          </w:p>
        </w:tc>
        <w:tc>
          <w:tcPr>
            <w:tcW w:w="12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r>
    </w:tbl>
    <w:p>
      <w:pPr>
        <w:bidi w:val="0"/>
        <w:rPr>
          <w:rFonts w:hint="eastAsia"/>
          <w:lang w:eastAsia="zh-CN"/>
        </w:rPr>
      </w:pPr>
    </w:p>
    <w:bookmarkEnd w:id="99"/>
    <w:p>
      <w:pPr>
        <w:spacing w:line="360" w:lineRule="auto"/>
        <w:rPr>
          <w:sz w:val="24"/>
          <w:szCs w:val="24"/>
        </w:rPr>
      </w:pPr>
      <w:r>
        <w:rPr>
          <w:rFonts w:hint="eastAsia" w:ascii="宋体" w:hAnsi="宋体" w:eastAsia="宋体" w:cs="宋体"/>
          <w:i w:val="0"/>
          <w:iCs w:val="0"/>
          <w:color w:val="000000"/>
          <w:kern w:val="0"/>
          <w:sz w:val="24"/>
          <w:szCs w:val="24"/>
          <w:u w:val="none"/>
          <w:lang w:val="en-US" w:eastAsia="zh-CN" w:bidi="ar"/>
        </w:rPr>
        <w:t>备注：1.所有施工中产生的垃圾外运、倒运等费用由乙方负责；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2.综合单价为包工包料最终开票价。</w:t>
      </w:r>
      <w:r>
        <w:rPr>
          <w:rFonts w:hint="eastAsia"/>
          <w:sz w:val="24"/>
          <w:szCs w:val="24"/>
        </w:rPr>
        <w:br w:type="page"/>
      </w:r>
    </w:p>
    <w:p>
      <w:pPr>
        <w:pStyle w:val="3"/>
        <w:rPr>
          <w:rStyle w:val="72"/>
          <w:rFonts w:hint="eastAsia" w:eastAsia="宋体"/>
          <w:b/>
          <w:lang w:val="en-US" w:eastAsia="zh-CN"/>
        </w:rPr>
      </w:pPr>
      <w:bookmarkStart w:id="120" w:name="_Toc3210"/>
      <w:r>
        <w:rPr>
          <w:rFonts w:hint="eastAsia"/>
        </w:rPr>
        <w:t xml:space="preserve">第六部分 </w:t>
      </w:r>
      <w:r>
        <w:t>合同</w:t>
      </w:r>
      <w:r>
        <w:rPr>
          <w:rFonts w:hint="eastAsia"/>
        </w:rPr>
        <w:t>主要</w:t>
      </w:r>
      <w:r>
        <w:t>条款</w:t>
      </w:r>
      <w:bookmarkEnd w:id="100"/>
      <w:r>
        <w:rPr>
          <w:rFonts w:hint="eastAsia"/>
          <w:lang w:eastAsia="zh-CN"/>
        </w:rPr>
        <w:t>（参考合同）</w:t>
      </w:r>
      <w:bookmarkEnd w:id="120"/>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____________</w:t>
      </w:r>
      <w:r>
        <w:rPr>
          <w:rFonts w:hint="eastAsia" w:ascii="宋体"/>
          <w:color w:val="000000" w:themeColor="text1"/>
          <w:sz w:val="24"/>
          <w:szCs w:val="24"/>
          <w14:textFill>
            <w14:solidFill>
              <w14:schemeClr w14:val="tx1"/>
            </w14:solidFill>
          </w14:textFill>
        </w:rPr>
        <w:t>项目</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b/>
          <w:bCs/>
          <w:color w:val="000000" w:themeColor="text1"/>
          <w:sz w:val="24"/>
          <w:szCs w:val="24"/>
          <w14:textFill>
            <w14:solidFill>
              <w14:schemeClr w14:val="tx1"/>
            </w14:solidFill>
          </w14:textFill>
        </w:rPr>
      </w:pPr>
      <w:bookmarkStart w:id="121" w:name="_Toc9712_WPSOffice_Level2"/>
      <w:r>
        <w:rPr>
          <w:rFonts w:hint="eastAsia" w:ascii="宋体"/>
          <w:b/>
          <w:bCs/>
          <w:color w:val="000000" w:themeColor="text1"/>
          <w:sz w:val="24"/>
          <w:szCs w:val="24"/>
          <w14:textFill>
            <w14:solidFill>
              <w14:schemeClr w14:val="tx1"/>
            </w14:solidFill>
          </w14:textFill>
        </w:rPr>
        <w:t>合　　同</w:t>
      </w:r>
      <w:bookmarkEnd w:id="121"/>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合同编号：</w:t>
      </w:r>
      <w:r>
        <w:rPr>
          <w:rFonts w:ascii="宋体"/>
          <w:color w:val="000000" w:themeColor="text1"/>
          <w:sz w:val="24"/>
          <w:szCs w:val="24"/>
          <w14:textFill>
            <w14:solidFill>
              <w14:schemeClr w14:val="tx1"/>
            </w14:solidFill>
          </w14:textFill>
        </w:rPr>
        <w:t>____________________</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22" w:name="_Toc11122_WPSOffice_Level2"/>
      <w:r>
        <w:rPr>
          <w:rFonts w:hint="eastAsia" w:ascii="宋体"/>
          <w:color w:val="000000" w:themeColor="text1"/>
          <w:sz w:val="24"/>
          <w:szCs w:val="24"/>
          <w14:textFill>
            <w14:solidFill>
              <w14:schemeClr w14:val="tx1"/>
            </w14:solidFill>
          </w14:textFill>
        </w:rPr>
        <w:t>甲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采购人名称</w:t>
      </w:r>
      <w:r>
        <w:rPr>
          <w:rFonts w:ascii="宋体"/>
          <w:color w:val="000000" w:themeColor="text1"/>
          <w:sz w:val="24"/>
          <w:szCs w:val="24"/>
          <w14:textFill>
            <w14:solidFill>
              <w14:schemeClr w14:val="tx1"/>
            </w14:solidFill>
          </w14:textFill>
        </w:rPr>
        <w:t>)</w:t>
      </w:r>
      <w:bookmarkEnd w:id="122"/>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23" w:name="_Toc8919_WPSOffice_Level2"/>
      <w:r>
        <w:rPr>
          <w:rFonts w:hint="eastAsia" w:ascii="宋体"/>
          <w:color w:val="000000" w:themeColor="text1"/>
          <w:sz w:val="24"/>
          <w:szCs w:val="24"/>
          <w14:textFill>
            <w14:solidFill>
              <w14:schemeClr w14:val="tx1"/>
            </w14:solidFill>
          </w14:textFill>
        </w:rPr>
        <w:t>乙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投标人名称</w:t>
      </w:r>
      <w:r>
        <w:rPr>
          <w:rFonts w:ascii="宋体"/>
          <w:color w:val="000000" w:themeColor="text1"/>
          <w:sz w:val="24"/>
          <w:szCs w:val="24"/>
          <w14:textFill>
            <w14:solidFill>
              <w14:schemeClr w14:val="tx1"/>
            </w14:solidFill>
          </w14:textFill>
        </w:rPr>
        <w:t>)</w:t>
      </w:r>
      <w:bookmarkEnd w:id="123"/>
    </w:p>
    <w:p>
      <w:pPr>
        <w:pStyle w:val="4"/>
        <w:adjustRightInd w:val="0"/>
        <w:snapToGrid w:val="0"/>
        <w:spacing w:line="240" w:lineRule="auto"/>
        <w:jc w:val="left"/>
        <w:rPr>
          <w:rFonts w:ascii="仿宋_GB2312" w:hAnsi="仿宋_GB2312" w:eastAsia="仿宋_GB2312" w:cs="仿宋_GB2312"/>
          <w:szCs w:val="28"/>
        </w:rPr>
      </w:pPr>
      <w:r>
        <w:rPr>
          <w:rFonts w:ascii="宋体"/>
          <w:color w:val="000000" w:themeColor="text1"/>
          <w:szCs w:val="24"/>
          <w14:textFill>
            <w14:solidFill>
              <w14:schemeClr w14:val="tx1"/>
            </w14:solidFill>
          </w14:textFill>
        </w:rPr>
        <w:br w:type="page"/>
      </w:r>
      <w:bookmarkStart w:id="124" w:name="_Toc23704_WPSOffice_Level1"/>
      <w:bookmarkStart w:id="125" w:name="_Toc7078"/>
      <w:bookmarkStart w:id="126" w:name="_Toc30941"/>
      <w:bookmarkStart w:id="127" w:name="_Toc30465"/>
      <w:r>
        <w:rPr>
          <w:rFonts w:hint="eastAsia" w:ascii="宋体" w:hAnsi="宋体" w:cs="宋体"/>
          <w:szCs w:val="28"/>
        </w:rPr>
        <w:t>合同条款</w:t>
      </w:r>
      <w:bookmarkEnd w:id="124"/>
      <w:bookmarkEnd w:id="125"/>
      <w:bookmarkEnd w:id="126"/>
      <w:bookmarkEnd w:id="127"/>
    </w:p>
    <w:p>
      <w:pPr>
        <w:spacing w:beforeLines="100" w:afterLines="100" w:line="480" w:lineRule="exact"/>
        <w:jc w:val="center"/>
        <w:rPr>
          <w:rFonts w:ascii="仿宋_GB2312" w:hAnsi="仿宋_GB2312" w:eastAsia="仿宋_GB2312" w:cs="仿宋_GB2312"/>
          <w:b/>
          <w:sz w:val="44"/>
          <w:szCs w:val="44"/>
        </w:rPr>
      </w:pPr>
      <w:bookmarkStart w:id="128" w:name="_Toc30224_WPSOffice_Level1"/>
      <w:r>
        <w:rPr>
          <w:rFonts w:hint="eastAsia" w:ascii="仿宋_GB2312" w:hAnsi="仿宋_GB2312" w:eastAsia="仿宋_GB2312" w:cs="仿宋_GB2312"/>
          <w:b/>
          <w:sz w:val="44"/>
          <w:szCs w:val="44"/>
        </w:rPr>
        <w:t>政府采购合同条款</w:t>
      </w:r>
      <w:bookmarkEnd w:id="128"/>
    </w:p>
    <w:p>
      <w:pPr>
        <w:rPr>
          <w:rFonts w:asciiTheme="majorEastAsia" w:hAnsiTheme="majorEastAsia" w:eastAsiaTheme="majorEastAsia" w:cstheme="majorEastAsia"/>
          <w:sz w:val="24"/>
          <w:szCs w:val="24"/>
        </w:rPr>
      </w:pPr>
    </w:p>
    <w:p>
      <w:pPr>
        <w:numPr>
          <w:ilvl w:val="0"/>
          <w:numId w:val="24"/>
        </w:numPr>
        <w:adjustRightInd w:val="0"/>
        <w:snapToGrid w:val="0"/>
        <w:spacing w:line="360" w:lineRule="auto"/>
        <w:rPr>
          <w:rFonts w:asciiTheme="majorEastAsia" w:hAnsiTheme="majorEastAsia" w:eastAsiaTheme="majorEastAsia" w:cstheme="majorEastAsia"/>
          <w:b/>
          <w:sz w:val="24"/>
          <w:szCs w:val="24"/>
        </w:rPr>
      </w:pPr>
      <w:bookmarkStart w:id="129" w:name="_Toc10297_WPSOffice_Level2"/>
      <w:r>
        <w:rPr>
          <w:rFonts w:hint="eastAsia" w:asciiTheme="majorEastAsia" w:hAnsiTheme="majorEastAsia" w:eastAsiaTheme="majorEastAsia" w:cstheme="majorEastAsia"/>
          <w:b/>
          <w:sz w:val="24"/>
          <w:szCs w:val="24"/>
        </w:rPr>
        <w:t>术语定义</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本政府采购合同下列术语应解释为：</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2 “政府采购合同价”指根据合同约定供方在正确地完全履行政府采购合同义务后需方应支付给供方的价格。</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3 “服务”指政府采购合同服务清单（同投标文件中开标一览表及其附表，下同）所约定的服务内容。</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5 “需方”指项目基本内容及要求中所述取得产品和服务的采购单位。</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6 “供方”指项目基本内容及要求中所述提供产品和服务的中标投标人。</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7 “检验”指需方按照政府采购合同约定的标准对供方所提供服务进行的检测和查验。</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8 “验收书”指采购单位或采购代理机构根据合同履约验收意见书形成反映采购单位和组织验收机构意见的文件。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1.9“天”指日历天数（如无特别说明）。</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10“第三人”是指本政府采购合同双方以外的任何中国境内外的自然人、法人或其它经济组织。</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11“法律、法规”是指由中国各级政府及有关部门制定的法律、行政法规、地方性法规、规章及其它规范性文件的有关规定。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12“招标文件”指采购人或采购代理机构发布的招标文件。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13“投标文件”指供方按照采购代理机构招标文件的要求编制和递交，并最终被评标委员会接受的投标文件。</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2.技术规范与服务内容</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2.1投标服务的技术规范应与招标文件规定的技术规范（如果有的话）相一致。若无相应说明，则以国家有关部门最新颁布的相应标识及规范为准。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 投标服务的服务内容应与招标文件规定服务内容及投标文件中的项目要求及投标响应表一致。</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3.知识产权</w:t>
      </w:r>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3.2供方应保证所供服务符合国家的有关规定。</w:t>
      </w:r>
    </w:p>
    <w:p>
      <w:pPr>
        <w:tabs>
          <w:tab w:val="left" w:pos="360"/>
        </w:tabs>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4.完成方式</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供方按照合同约定的时间、地点完成服务。</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5.付款</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5.1政府采购合同以人民币付款。</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5.2在供方按照政府采购合同的规定履行服务后，需方按照合同约定的方式和条件付款。</w:t>
      </w:r>
    </w:p>
    <w:p>
      <w:pPr>
        <w:adjustRightInd w:val="0"/>
        <w:snapToGrid w:val="0"/>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6.服务质量</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6.2供方提供的服务质量应满足行业一般标准，符合合同约定。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7.技术服务和保修责任</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7.1本条适用于委托开发等最终以产品形式交付需方使用的服务。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7.2供方对交付的产品的保修期，以招标文件中的规定为准，如果投标文件中的承诺优于招标文件规定，则以投标文件为准。</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7.3投标人应按如下内容提供售后服务承诺书：</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7.2.4保修期内，供方提供电话、电子邮件、Web、现场服务等方式的技术支持，对用户的现场服务要求，供方必须按投标文件做出的承诺进行响应。</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7.2.5保修期内，供方应对出现故障无法修复的产品或无法正常运行的系统，提供替代产品以保证系统的正常工作。</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7.2.6保修期内，供方应投标时的承诺提供相关服务。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8.检验和验收</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8.2对于委托开发等最终以产品形式交付需方使用的服务，保修期自验收书签署之日起计算。</w:t>
      </w:r>
    </w:p>
    <w:p>
      <w:pPr>
        <w:tabs>
          <w:tab w:val="left" w:pos="360"/>
        </w:tabs>
        <w:adjustRightInd w:val="0"/>
        <w:snapToGrid w:val="0"/>
        <w:spacing w:line="360" w:lineRule="auto"/>
        <w:ind w:firstLine="525" w:firstLineChars="218"/>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9.违约责任</w:t>
      </w:r>
    </w:p>
    <w:p>
      <w:pPr>
        <w:adjustRightInd w:val="0"/>
        <w:snapToGrid w:val="0"/>
        <w:spacing w:line="360" w:lineRule="auto"/>
        <w:ind w:firstLine="523" w:firstLineChars="21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9.1.1在需方同意延长的期限内提供服务并承担由此给需方造成的一切损失；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9.1.3需方有权部分或全部解除政府采购合同并要求供方赔偿由此造成的损失。此时需方可采取必要的补救措施，相关费用由供方承担。</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9.3延期服务的违约责任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9.4以上各项交付的违约金并不影响违约方履行政府采购合同的各项义务。</w:t>
      </w:r>
    </w:p>
    <w:p>
      <w:pPr>
        <w:adjustRightInd w:val="0"/>
        <w:snapToGrid w:val="0"/>
        <w:spacing w:line="360" w:lineRule="auto"/>
        <w:ind w:left="42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10.不可抗力</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11.争端的解决</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11.1需方和供方应通过友好协商，解决在执行本政府采购合同过程中所发生的或与本政府采购合同有关的一切争端。</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11.2如果协商不成，双方中的任何一方可向需方所在地的人民法院提起诉讼。</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11.3因政府采购合同部分履行引发诉讼的，在诉讼期间，除正在进行诉讼的部分外，本政府采购合同的其它部分应继续执行。</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12.违约终止政府采购合同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12.1.1如果供方未能在政府采购合同规定的限期或需方同意延长的限期内提供部分或全部服务；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12.1.2如果供方未能履行政府采购合同规定的其它任何义务。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12.1.3未经需方事先书面同意，供方部分转让和分包或全部转让和分包其应履行的政府采购合同义务。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13.政府采购法对政府采购合同变更终止的规定</w:t>
      </w:r>
    </w:p>
    <w:p>
      <w:pPr>
        <w:adjustRightInd w:val="0"/>
        <w:snapToGrid w:val="0"/>
        <w:spacing w:line="360" w:lineRule="auto"/>
        <w:ind w:firstLine="470"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14.政府采购合同转让和分包</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2"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15.适用法律：</w:t>
      </w:r>
      <w:r>
        <w:rPr>
          <w:rFonts w:hint="eastAsia" w:asciiTheme="majorEastAsia" w:hAnsiTheme="majorEastAsia" w:eastAsiaTheme="majorEastAsia" w:cstheme="majorEastAsia"/>
          <w:sz w:val="24"/>
          <w:szCs w:val="24"/>
        </w:rPr>
        <w:t>本政府采购合同按照中华人民共和国的现行法律进行解释。</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16.政府采购合同生效</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16.1本政府采购合同在工序双方法定代表人或其授权代理人签字和加盖公章后生效。</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16.2本政府采购合同一式五份，需方执二份，供方、采购代理机构、财政部门各执一份。 </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17.政府采购合同附件</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下列文件构成本政府采购合同不可分割的组成部分，与本政府采购合同具有同等法律效力：</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17.1招标文件；</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17.2招标文件的更正公告、变更公告；</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17.3中标投标人提交的投标文件；        </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17.4政府采购合同条款；</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17.5中标通知书；</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17.6政府采购合同的其它附件。</w:t>
      </w:r>
      <w:bookmarkEnd w:id="129"/>
    </w:p>
    <w:p>
      <w:pPr>
        <w:ind w:firstLine="470" w:firstLineChars="196"/>
        <w:rPr>
          <w:rFonts w:asciiTheme="majorEastAsia" w:hAnsiTheme="majorEastAsia" w:eastAsiaTheme="majorEastAsia" w:cstheme="majorEastAsia"/>
          <w:sz w:val="24"/>
          <w:szCs w:val="24"/>
        </w:rPr>
      </w:pPr>
    </w:p>
    <w:p>
      <w:pPr>
        <w:ind w:firstLine="470" w:firstLineChars="196"/>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4"/>
        <w:adjustRightInd w:val="0"/>
        <w:snapToGrid w:val="0"/>
        <w:spacing w:line="240" w:lineRule="auto"/>
        <w:jc w:val="left"/>
        <w:rPr>
          <w:rFonts w:asciiTheme="majorEastAsia" w:hAnsiTheme="majorEastAsia" w:eastAsiaTheme="majorEastAsia" w:cstheme="majorEastAsia"/>
          <w:szCs w:val="24"/>
        </w:rPr>
      </w:pPr>
      <w:bookmarkStart w:id="130" w:name="_Toc3235"/>
      <w:bookmarkStart w:id="131" w:name="_Toc3044_WPSOffice_Level1"/>
      <w:bookmarkStart w:id="132" w:name="_Toc372_WPSOffice_Level1"/>
      <w:bookmarkStart w:id="133" w:name="_Toc7342_WPSOffice_Level1"/>
      <w:bookmarkStart w:id="134" w:name="_Toc11217"/>
      <w:bookmarkStart w:id="135" w:name="_Toc25946"/>
      <w:r>
        <w:rPr>
          <w:rFonts w:hint="eastAsia" w:asciiTheme="majorEastAsia" w:hAnsiTheme="majorEastAsia" w:eastAsiaTheme="majorEastAsia" w:cstheme="majorEastAsia"/>
          <w:szCs w:val="24"/>
        </w:rPr>
        <w:t>合同格式</w:t>
      </w:r>
      <w:bookmarkEnd w:id="130"/>
      <w:bookmarkEnd w:id="131"/>
      <w:bookmarkEnd w:id="132"/>
      <w:bookmarkEnd w:id="133"/>
      <w:bookmarkEnd w:id="134"/>
      <w:bookmarkEnd w:id="135"/>
    </w:p>
    <w:p>
      <w:pPr>
        <w:adjustRightInd w:val="0"/>
        <w:snapToGrid w:val="0"/>
        <w:spacing w:line="360" w:lineRule="auto"/>
        <w:jc w:val="center"/>
        <w:rPr>
          <w:rFonts w:asciiTheme="majorEastAsia" w:hAnsiTheme="majorEastAsia" w:eastAsiaTheme="majorEastAsia" w:cstheme="majorEastAsia"/>
          <w:b/>
          <w:bCs/>
          <w:sz w:val="24"/>
          <w:szCs w:val="24"/>
        </w:rPr>
      </w:pPr>
      <w:bookmarkStart w:id="136" w:name="_Toc7832_WPSOffice_Level1"/>
      <w:bookmarkStart w:id="137" w:name="_Toc11644_WPSOffice_Level1"/>
      <w:r>
        <w:rPr>
          <w:rFonts w:hint="eastAsia" w:asciiTheme="majorEastAsia" w:hAnsiTheme="majorEastAsia" w:eastAsiaTheme="majorEastAsia" w:cstheme="majorEastAsia"/>
          <w:b/>
          <w:bCs/>
          <w:sz w:val="24"/>
          <w:szCs w:val="24"/>
        </w:rPr>
        <w:t>政府采购合同格式</w:t>
      </w:r>
      <w:bookmarkEnd w:id="136"/>
      <w:bookmarkEnd w:id="137"/>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政府采购合同编号：</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签订地点：</w:t>
      </w:r>
    </w:p>
    <w:p>
      <w:pPr>
        <w:adjustRightInd w:val="0"/>
        <w:snapToGrid w:val="0"/>
        <w:spacing w:line="360" w:lineRule="auto"/>
        <w:ind w:firstLine="64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(需方名称</w:t>
      </w:r>
      <w:r>
        <w:rPr>
          <w:rFonts w:hint="eastAsia" w:asciiTheme="majorEastAsia" w:hAnsiTheme="majorEastAsia" w:eastAsiaTheme="majorEastAsia" w:cstheme="majorEastAsia"/>
          <w:sz w:val="24"/>
          <w:szCs w:val="24"/>
        </w:rPr>
        <w:t>) （以下简称需方）和</w:t>
      </w:r>
      <w:r>
        <w:rPr>
          <w:rFonts w:hint="eastAsia" w:asciiTheme="majorEastAsia" w:hAnsiTheme="majorEastAsia" w:eastAsiaTheme="majorEastAsia" w:cstheme="majorEastAsia"/>
          <w:sz w:val="24"/>
          <w:szCs w:val="24"/>
          <w:u w:val="single"/>
        </w:rPr>
        <w:t xml:space="preserve">   (供方名称)    </w:t>
      </w:r>
      <w:r>
        <w:rPr>
          <w:rFonts w:hint="eastAsia" w:asciiTheme="majorEastAsia" w:hAnsiTheme="majorEastAsia" w:eastAsiaTheme="majorEastAsia" w:cstheme="majorEastAsia"/>
          <w:sz w:val="24"/>
          <w:szCs w:val="24"/>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一、政府采购合同文件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本政府采购合同所附下列文件是构成本政府采购合同不可分割的部分：</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1.招标文件（招标文件编号</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2.招标文件的更正公告、变更公告；</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3.中标投标人提交的投标文件；</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4.政府采购合同条款；</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5.中标通知书；</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6.政府采购合同的其它附件。</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二、政府采购合同范围和条件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本政府采购合同的范围和条件与上述政府采购合同文件的规定相一致。</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三、政府采购合同标的</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本政府采购合同的标的为政府采购合同服务清单(同投标文件中投标服务价格明细表)中所列相关服务。</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四、政府采购合同金额</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根据上述政府采购合同文件要求，政府采购合同的总金额为人民币</w:t>
      </w:r>
      <w:r>
        <w:rPr>
          <w:rFonts w:hint="eastAsia" w:asciiTheme="majorEastAsia" w:hAnsiTheme="majorEastAsia" w:eastAsiaTheme="majorEastAsia" w:cstheme="majorEastAsia"/>
          <w:sz w:val="24"/>
          <w:szCs w:val="24"/>
          <w:u w:val="single"/>
        </w:rPr>
        <w:t xml:space="preserve">  （大写）                </w:t>
      </w:r>
      <w:r>
        <w:rPr>
          <w:rFonts w:hint="eastAsia" w:asciiTheme="majorEastAsia" w:hAnsiTheme="majorEastAsia" w:eastAsiaTheme="majorEastAsia" w:cstheme="majorEastAsia"/>
          <w:sz w:val="24"/>
          <w:szCs w:val="24"/>
        </w:rPr>
        <w:t xml:space="preserve"> 元。</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五、付款方式及条件</w:t>
      </w:r>
    </w:p>
    <w:p>
      <w:pPr>
        <w:adjustRightInd w:val="0"/>
        <w:snapToGrid w:val="0"/>
        <w:spacing w:line="360" w:lineRule="auto"/>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    1.付款时间：</w:t>
      </w:r>
    </w:p>
    <w:p>
      <w:pPr>
        <w:adjustRightInd w:val="0"/>
        <w:snapToGrid w:val="0"/>
        <w:spacing w:line="360" w:lineRule="auto"/>
        <w:ind w:firstLine="480"/>
        <w:jc w:val="left"/>
        <w:rPr>
          <w:rFonts w:hint="eastAsia" w:eastAsia="宋体" w:asciiTheme="majorEastAsia" w:hAnsiTheme="majorEastAsia" w:cstheme="majorEastAsia"/>
          <w:sz w:val="24"/>
          <w:szCs w:val="24"/>
          <w:u w:val="none"/>
          <w:lang w:eastAsia="zh-CN"/>
        </w:rPr>
      </w:pPr>
      <w:r>
        <w:rPr>
          <w:rFonts w:hint="eastAsia" w:asciiTheme="majorEastAsia" w:hAnsiTheme="majorEastAsia" w:eastAsiaTheme="majorEastAsia" w:cstheme="majorEastAsia"/>
          <w:sz w:val="24"/>
          <w:szCs w:val="24"/>
          <w:u w:val="none"/>
        </w:rPr>
        <w:t>2.付款方式：</w:t>
      </w:r>
      <w:r>
        <w:rPr>
          <w:rFonts w:hint="eastAsia" w:ascii="宋体" w:hAnsi="宋体" w:eastAsia="宋体" w:cs="宋体"/>
          <w:color w:val="000000" w:themeColor="text1"/>
          <w:sz w:val="24"/>
          <w:szCs w:val="24"/>
          <w:highlight w:val="none"/>
          <w:u w:val="single"/>
          <w14:textFill>
            <w14:solidFill>
              <w14:schemeClr w14:val="tx1"/>
            </w14:solidFill>
          </w14:textFill>
        </w:rPr>
        <w:t>按月支付，甲方在次月的10日前审核上月由乙方提供的维修服务项目，经审核完成后，乙方按照审定金额出具发票，并交纳审定金额的5%作为质保金到甲方财务，甲方通过转账方式支付乙方的维修款。合同期满一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及质保期满</w:t>
      </w:r>
      <w:r>
        <w:rPr>
          <w:rFonts w:hint="eastAsia" w:ascii="宋体" w:hAnsi="宋体" w:eastAsia="宋体" w:cs="宋体"/>
          <w:color w:val="000000" w:themeColor="text1"/>
          <w:sz w:val="24"/>
          <w:szCs w:val="24"/>
          <w:highlight w:val="none"/>
          <w:u w:val="single"/>
          <w14:textFill>
            <w14:solidFill>
              <w14:schemeClr w14:val="tx1"/>
            </w14:solidFill>
          </w14:textFill>
        </w:rPr>
        <w:t>后，甲方无息退还乙方交纳的全部质保金</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。（具体以实际发生量结算）。</w:t>
      </w:r>
    </w:p>
    <w:p>
      <w:pPr>
        <w:adjustRightInd w:val="0"/>
        <w:snapToGrid w:val="0"/>
        <w:spacing w:line="360" w:lineRule="auto"/>
        <w:ind w:firstLine="480"/>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3.付款条件：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　　六、服务时间和服务地点</w:t>
      </w:r>
    </w:p>
    <w:p>
      <w:pPr>
        <w:adjustRightInd w:val="0"/>
        <w:snapToGrid w:val="0"/>
        <w:spacing w:line="360" w:lineRule="auto"/>
        <w:jc w:val="lef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rPr>
        <w:t xml:space="preserve">    1.服务时间：</w:t>
      </w:r>
      <w:r>
        <w:rPr>
          <w:rFonts w:hint="eastAsia" w:asciiTheme="majorEastAsia" w:hAnsiTheme="majorEastAsia" w:eastAsiaTheme="majorEastAsia" w:cstheme="majorEastAsia"/>
          <w:sz w:val="24"/>
          <w:szCs w:val="24"/>
          <w:lang w:val="en-US" w:eastAsia="zh-CN"/>
        </w:rPr>
        <w:t>1年</w:t>
      </w:r>
    </w:p>
    <w:p>
      <w:pPr>
        <w:adjustRightInd w:val="0"/>
        <w:snapToGrid w:val="0"/>
        <w:spacing w:line="360" w:lineRule="auto"/>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    2.服务地点：</w:t>
      </w:r>
      <w:r>
        <w:rPr>
          <w:rFonts w:hint="eastAsia" w:asciiTheme="majorEastAsia" w:hAnsiTheme="majorEastAsia" w:eastAsiaTheme="majorEastAsia" w:cstheme="majorEastAsia"/>
          <w:sz w:val="24"/>
          <w:szCs w:val="24"/>
          <w:lang w:eastAsia="zh-CN"/>
        </w:rPr>
        <w:t>西安医学院</w:t>
      </w:r>
      <w:r>
        <w:rPr>
          <w:rFonts w:hint="eastAsia" w:asciiTheme="majorEastAsia" w:hAnsiTheme="majorEastAsia" w:eastAsiaTheme="majorEastAsia" w:cstheme="majorEastAsia"/>
          <w:sz w:val="24"/>
          <w:szCs w:val="24"/>
        </w:rPr>
        <w:t>指定地点</w:t>
      </w:r>
    </w:p>
    <w:p>
      <w:pPr>
        <w:adjustRightInd w:val="0"/>
        <w:snapToGrid w:val="0"/>
        <w:spacing w:line="360" w:lineRule="auto"/>
        <w:jc w:val="left"/>
        <w:rPr>
          <w:rFonts w:ascii="宋体" w:hAnsi="宋体" w:eastAsia="宋体" w:cs="宋体"/>
          <w:b/>
          <w:sz w:val="24"/>
          <w:szCs w:val="24"/>
        </w:rPr>
      </w:pPr>
      <w:r>
        <w:rPr>
          <w:rFonts w:hint="eastAsia" w:asciiTheme="majorEastAsia" w:hAnsiTheme="majorEastAsia" w:eastAsiaTheme="majorEastAsia" w:cstheme="majorEastAsia"/>
          <w:b/>
          <w:sz w:val="24"/>
          <w:szCs w:val="24"/>
        </w:rPr>
        <w:t>　　</w:t>
      </w:r>
      <w:r>
        <w:rPr>
          <w:rFonts w:hint="eastAsia" w:ascii="宋体" w:hAnsi="宋体" w:eastAsia="宋体" w:cs="宋体"/>
          <w:b/>
          <w:sz w:val="24"/>
          <w:szCs w:val="24"/>
        </w:rPr>
        <w:t>七、验收要求</w:t>
      </w:r>
    </w:p>
    <w:p>
      <w:pPr>
        <w:adjustRightInd w:val="0"/>
        <w:snapToGrid w:val="0"/>
        <w:spacing w:line="360" w:lineRule="auto"/>
        <w:jc w:val="left"/>
        <w:rPr>
          <w:rFonts w:ascii="宋体" w:hAnsi="宋体" w:eastAsia="宋体" w:cs="宋体"/>
          <w:sz w:val="24"/>
          <w:szCs w:val="24"/>
          <w:u w:val="single"/>
        </w:rPr>
      </w:pPr>
      <w:r>
        <w:rPr>
          <w:rFonts w:hint="eastAsia" w:ascii="宋体" w:hAnsi="宋体" w:eastAsia="宋体" w:cs="宋体"/>
          <w:sz w:val="24"/>
          <w:szCs w:val="24"/>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八、违约责任</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1.供方逾期提供服务的，每逾期一天向需方支付合同金额%的违约金，逾期日的，需方有权单方面解除本协议。</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3.需方逾期付款的，每逾期一天向供方支付逾期金额%的违约金，逾期日的，供方有权单方面解除本协议。</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九、争议解决</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十、合同生效</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本政府采购合同经双方授权代表签字盖章后生效。</w:t>
      </w:r>
    </w:p>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需方（公章）:                       供方(公章):</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法定代表人或授权代表人(签字):       法定代表人或授权代表人(签字):</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地址：      地址：</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      联系人：</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电话：      电话：</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传真：      传真：</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邮编：      邮编：</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日期：</w:t>
      </w:r>
      <w:r>
        <w:rPr>
          <w:rFonts w:hint="eastAsia" w:asciiTheme="majorEastAsia" w:hAnsiTheme="majorEastAsia" w:eastAsiaTheme="majorEastAsia" w:cstheme="majorEastAsia"/>
          <w:sz w:val="24"/>
          <w:szCs w:val="24"/>
          <w:u w:val="single"/>
        </w:rPr>
        <w:t xml:space="preserve">      年      月      日</w:t>
      </w:r>
      <w:r>
        <w:rPr>
          <w:rFonts w:hint="eastAsia" w:asciiTheme="majorEastAsia" w:hAnsiTheme="majorEastAsia" w:eastAsiaTheme="majorEastAsia" w:cstheme="majorEastAsia"/>
          <w:sz w:val="24"/>
          <w:szCs w:val="24"/>
        </w:rPr>
        <w:t xml:space="preserve">      日期：</w:t>
      </w:r>
      <w:r>
        <w:rPr>
          <w:rFonts w:hint="eastAsia" w:asciiTheme="majorEastAsia" w:hAnsiTheme="majorEastAsia" w:eastAsiaTheme="majorEastAsia" w:cstheme="majorEastAsia"/>
          <w:sz w:val="24"/>
          <w:szCs w:val="24"/>
          <w:u w:val="single"/>
        </w:rPr>
        <w:t xml:space="preserve">       年      月     日</w:t>
      </w:r>
    </w:p>
    <w:p>
      <w:pPr>
        <w:spacing w:line="460" w:lineRule="exact"/>
        <w:ind w:firstLine="480" w:firstLineChars="200"/>
        <w:rPr>
          <w:rFonts w:ascii="宋体" w:hAnsi="宋体" w:cs="宋体"/>
          <w:sz w:val="24"/>
          <w:szCs w:val="24"/>
        </w:rPr>
      </w:pPr>
    </w:p>
    <w:p>
      <w:pPr>
        <w:tabs>
          <w:tab w:val="left" w:pos="480"/>
        </w:tabs>
        <w:spacing w:line="360" w:lineRule="auto"/>
        <w:rPr>
          <w:rFonts w:ascii="宋体" w:hAnsi="宋体" w:cs="宋体"/>
          <w:sz w:val="28"/>
          <w:szCs w:val="28"/>
        </w:rPr>
      </w:pPr>
    </w:p>
    <w:p>
      <w:pPr>
        <w:pStyle w:val="3"/>
        <w:keepNext w:val="0"/>
        <w:pageBreakBefore/>
        <w:spacing w:beforeLines="100" w:afterLines="150" w:line="500" w:lineRule="exact"/>
        <w:rPr>
          <w:rFonts w:asciiTheme="minorEastAsia" w:hAnsiTheme="minorEastAsia" w:eastAsiaTheme="minorEastAsia" w:cstheme="minorEastAsia"/>
        </w:rPr>
      </w:pPr>
      <w:bookmarkStart w:id="138" w:name="_Toc30713"/>
      <w:bookmarkStart w:id="139" w:name="_Toc17457"/>
      <w:r>
        <w:rPr>
          <w:rFonts w:hint="eastAsia" w:asciiTheme="minorEastAsia" w:hAnsiTheme="minorEastAsia" w:eastAsiaTheme="minorEastAsia" w:cstheme="minorEastAsia"/>
          <w:sz w:val="36"/>
          <w:szCs w:val="36"/>
        </w:rPr>
        <w:t>第七部分  投标文件格式</w:t>
      </w:r>
      <w:bookmarkEnd w:id="138"/>
      <w:bookmarkEnd w:id="139"/>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w:t>
      </w:r>
      <w:r>
        <w:rPr>
          <w:rFonts w:hint="eastAsia" w:asciiTheme="minorEastAsia" w:hAnsiTheme="minorEastAsia" w:cstheme="minorEastAsia"/>
          <w:b/>
          <w:w w:val="120"/>
          <w:sz w:val="28"/>
          <w:szCs w:val="28"/>
          <w:lang w:eastAsia="zh-CN"/>
        </w:rPr>
        <w:t>SXWZ2023ZB-YXY-045</w:t>
      </w:r>
      <w:r>
        <w:rPr>
          <w:rFonts w:hint="eastAsia" w:asciiTheme="minorEastAsia" w:hAnsiTheme="minorEastAsia" w:cstheme="minorEastAsia"/>
          <w:b/>
          <w:w w:val="120"/>
          <w:sz w:val="28"/>
          <w:szCs w:val="28"/>
        </w:rPr>
        <w:t xml:space="preserve">        （正本或副本）</w:t>
      </w:r>
    </w:p>
    <w:p>
      <w:pPr>
        <w:snapToGrid w:val="0"/>
        <w:spacing w:line="360" w:lineRule="auto"/>
        <w:ind w:right="-99" w:rightChars="-47"/>
        <w:rPr>
          <w:rFonts w:asciiTheme="minorEastAsia" w:hAnsiTheme="minorEastAsia" w:cstheme="minorEastAsia"/>
          <w:b/>
          <w:bCs/>
          <w:sz w:val="72"/>
          <w:szCs w:val="72"/>
        </w:rPr>
      </w:pPr>
    </w:p>
    <w:p>
      <w:pPr>
        <w:snapToGrid w:val="0"/>
        <w:spacing w:line="480" w:lineRule="auto"/>
        <w:jc w:val="center"/>
        <w:rPr>
          <w:rFonts w:hint="default" w:asciiTheme="minorEastAsia" w:hAnsiTheme="minorEastAsia" w:cstheme="minorEastAsia"/>
          <w:b/>
          <w:bCs/>
          <w:sz w:val="72"/>
          <w:szCs w:val="72"/>
          <w:lang w:val="en-US"/>
        </w:rPr>
      </w:pPr>
      <w:r>
        <w:rPr>
          <w:rFonts w:hint="eastAsia" w:asciiTheme="minorEastAsia" w:hAnsiTheme="minorEastAsia" w:cstheme="minorEastAsia"/>
          <w:b/>
          <w:bCs/>
          <w:sz w:val="52"/>
          <w:szCs w:val="52"/>
          <w:lang w:eastAsia="zh-CN"/>
        </w:rPr>
        <w:t>西安医学院零星维修服务外包项目</w:t>
      </w: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snapToGrid w:val="0"/>
        <w:spacing w:line="480" w:lineRule="auto"/>
        <w:ind w:firstLine="1600" w:firstLineChars="500"/>
        <w:jc w:val="left"/>
        <w:rPr>
          <w:rFonts w:asciiTheme="minorEastAsia" w:hAnsiTheme="minorEastAsia" w:cstheme="minorEastAsia"/>
          <w:sz w:val="32"/>
          <w:szCs w:val="32"/>
          <w:lang w:val="zh-CN"/>
        </w:rPr>
      </w:pPr>
    </w:p>
    <w:p>
      <w:pPr>
        <w:bidi w:val="0"/>
        <w:rPr>
          <w:lang w:val="zh-CN"/>
        </w:rPr>
      </w:pPr>
    </w:p>
    <w:p>
      <w:pPr>
        <w:rPr>
          <w:rFonts w:asciiTheme="minorEastAsia" w:hAnsiTheme="minorEastAsia" w:cstheme="minorEastAsia"/>
          <w:sz w:val="32"/>
          <w:szCs w:val="32"/>
          <w:lang w:val="zh-CN"/>
        </w:rPr>
      </w:pPr>
    </w:p>
    <w:p>
      <w:pPr>
        <w:bidi w:val="0"/>
        <w:rPr>
          <w:lang w:val="zh-CN"/>
        </w:rPr>
      </w:pPr>
    </w:p>
    <w:p>
      <w:pPr>
        <w:bidi w:val="0"/>
        <w:rPr>
          <w:lang w:val="zh-CN"/>
        </w:rPr>
      </w:pP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p>
    <w:p>
      <w:pPr>
        <w:pageBreakBefore/>
        <w:spacing w:beforeLines="100"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3"/>
        <w:snapToGrid w:val="0"/>
        <w:spacing w:line="480" w:lineRule="auto"/>
        <w:ind w:firstLine="562" w:firstLineChars="200"/>
        <w:jc w:val="left"/>
        <w:rPr>
          <w:rFonts w:asciiTheme="minorEastAsia" w:hAnsiTheme="minorEastAsia" w:cstheme="minorEastAsia"/>
          <w:b/>
          <w:bCs/>
          <w:sz w:val="28"/>
          <w:szCs w:val="28"/>
        </w:rPr>
      </w:pPr>
      <w:bookmarkStart w:id="140" w:name="_Toc21472"/>
      <w:r>
        <w:rPr>
          <w:rFonts w:hint="eastAsia" w:asciiTheme="minorEastAsia" w:hAnsiTheme="minorEastAsia" w:cstheme="minorEastAsia"/>
          <w:b/>
          <w:bCs/>
          <w:sz w:val="28"/>
          <w:szCs w:val="28"/>
        </w:rPr>
        <w:t>第一</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bCs/>
          <w:sz w:val="28"/>
          <w:szCs w:val="28"/>
        </w:rPr>
        <w:t xml:space="preserve">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sz w:val="28"/>
          <w:szCs w:val="28"/>
        </w:rPr>
        <w:t xml:space="preserve">   开标一览表 </w:t>
      </w:r>
    </w:p>
    <w:p>
      <w:pPr>
        <w:pStyle w:val="13"/>
        <w:snapToGrid w:val="0"/>
        <w:spacing w:line="480" w:lineRule="auto"/>
        <w:ind w:firstLine="562" w:firstLineChars="200"/>
        <w:jc w:val="left"/>
        <w:rPr>
          <w:rFonts w:hint="eastAsia" w:asciiTheme="minorEastAsia" w:hAnsiTheme="minorEastAsia" w:cstheme="minorEastAsia"/>
          <w:b/>
          <w:sz w:val="28"/>
          <w:szCs w:val="28"/>
        </w:rPr>
      </w:pPr>
      <w:r>
        <w:rPr>
          <w:rFonts w:hint="eastAsia" w:asciiTheme="minorEastAsia" w:hAnsiTheme="minorEastAsia" w:cstheme="minorEastAsia"/>
          <w:b/>
          <w:bCs/>
          <w:sz w:val="28"/>
          <w:szCs w:val="28"/>
        </w:rPr>
        <w:t>第三</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sz w:val="28"/>
          <w:szCs w:val="28"/>
        </w:rPr>
        <w:t>分项报价表</w:t>
      </w:r>
    </w:p>
    <w:p>
      <w:pPr>
        <w:pStyle w:val="13"/>
        <w:snapToGrid w:val="0"/>
        <w:spacing w:line="480" w:lineRule="auto"/>
        <w:ind w:firstLine="562" w:firstLineChars="200"/>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四章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bCs/>
          <w:sz w:val="28"/>
          <w:szCs w:val="28"/>
        </w:rPr>
        <w:t xml:space="preserve">  投标保证金</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lang w:eastAsia="zh-CN"/>
        </w:rPr>
        <w:t>第五</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sz w:val="28"/>
          <w:szCs w:val="28"/>
          <w:lang w:val="en-US" w:eastAsia="zh-CN"/>
        </w:rPr>
        <w:t xml:space="preserve">   投标人资质证明资料</w:t>
      </w:r>
    </w:p>
    <w:p>
      <w:pPr>
        <w:pStyle w:val="13"/>
        <w:snapToGrid w:val="0"/>
        <w:spacing w:line="480" w:lineRule="auto"/>
        <w:ind w:firstLine="562" w:firstLineChars="200"/>
        <w:jc w:val="left"/>
        <w:rPr>
          <w:rFonts w:hint="eastAsia" w:asciiTheme="minorEastAsia" w:hAnsiTheme="minorEastAsia" w:cstheme="minorEastAsia"/>
          <w:b/>
          <w:sz w:val="28"/>
          <w:szCs w:val="28"/>
          <w:lang w:val="en-US" w:eastAsia="zh-CN"/>
        </w:rPr>
      </w:pPr>
      <w:r>
        <w:rPr>
          <w:rFonts w:hint="eastAsia" w:asciiTheme="minorEastAsia" w:hAnsiTheme="minorEastAsia" w:cstheme="minorEastAsia"/>
          <w:b/>
          <w:sz w:val="28"/>
          <w:szCs w:val="28"/>
          <w:lang w:eastAsia="zh-CN"/>
        </w:rPr>
        <w:t>第六</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商务</w:t>
      </w:r>
      <w:r>
        <w:rPr>
          <w:rFonts w:hint="eastAsia" w:asciiTheme="minorEastAsia" w:hAnsiTheme="minorEastAsia" w:cstheme="minorEastAsia"/>
          <w:b/>
          <w:sz w:val="28"/>
          <w:szCs w:val="28"/>
          <w:lang w:eastAsia="zh-CN"/>
        </w:rPr>
        <w:t>和技术</w:t>
      </w:r>
      <w:r>
        <w:rPr>
          <w:rFonts w:hint="eastAsia" w:asciiTheme="minorEastAsia" w:hAnsiTheme="minorEastAsia" w:cstheme="minorEastAsia"/>
          <w:b/>
          <w:sz w:val="28"/>
          <w:szCs w:val="28"/>
        </w:rPr>
        <w:t>响应偏离表</w:t>
      </w:r>
    </w:p>
    <w:p>
      <w:pPr>
        <w:pStyle w:val="13"/>
        <w:snapToGrid w:val="0"/>
        <w:spacing w:line="480" w:lineRule="auto"/>
        <w:ind w:firstLine="562" w:firstLineChars="200"/>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eastAsia="zh-CN"/>
        </w:rPr>
        <w:t>七</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eastAsia="zh-CN"/>
        </w:rPr>
        <w:t>技术支持资料</w:t>
      </w:r>
    </w:p>
    <w:p>
      <w:pPr>
        <w:pStyle w:val="13"/>
        <w:snapToGrid w:val="0"/>
        <w:spacing w:line="480" w:lineRule="auto"/>
        <w:ind w:firstLine="562" w:firstLineChars="200"/>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eastAsia="zh-CN"/>
        </w:rPr>
        <w:t>八</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eastAsia="zh-CN"/>
        </w:rPr>
        <w:t>投标人业绩一览表</w:t>
      </w:r>
    </w:p>
    <w:p>
      <w:pPr>
        <w:pStyle w:val="13"/>
        <w:snapToGrid w:val="0"/>
        <w:spacing w:line="480" w:lineRule="auto"/>
        <w:ind w:firstLine="562" w:firstLineChars="200"/>
        <w:jc w:val="left"/>
        <w:rPr>
          <w:rFonts w:hint="eastAsia"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eastAsia="zh-CN"/>
        </w:rPr>
        <w:t>九</w:t>
      </w:r>
      <w:r>
        <w:rPr>
          <w:rFonts w:hint="eastAsia" w:asciiTheme="minorEastAsia" w:hAnsiTheme="minorEastAsia" w:cstheme="minorEastAsia"/>
          <w:b/>
          <w:bCs/>
          <w:sz w:val="28"/>
          <w:szCs w:val="28"/>
          <w:lang w:eastAsia="zh-CN"/>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十章</w:t>
      </w:r>
      <w:r>
        <w:rPr>
          <w:rFonts w:hint="eastAsia" w:asciiTheme="minorEastAsia" w:hAnsiTheme="minorEastAsia" w:cstheme="minorEastAsia"/>
          <w:b/>
          <w:bCs/>
          <w:sz w:val="28"/>
          <w:szCs w:val="28"/>
        </w:rPr>
        <w:t xml:space="preserve">   投标人承诺书</w:t>
      </w:r>
    </w:p>
    <w:p>
      <w:pPr>
        <w:pStyle w:val="4"/>
        <w:pageBreakBefore/>
        <w:spacing w:beforeLines="100" w:afterLines="150" w:line="500" w:lineRule="exact"/>
        <w:rPr>
          <w:rFonts w:asciiTheme="minorEastAsia" w:hAnsiTheme="minorEastAsia" w:eastAsiaTheme="minorEastAsia" w:cstheme="minorEastAsia"/>
          <w:sz w:val="36"/>
          <w:szCs w:val="36"/>
        </w:rPr>
      </w:pPr>
      <w:bookmarkStart w:id="141" w:name="_Toc20664"/>
      <w:r>
        <w:rPr>
          <w:rFonts w:hint="eastAsia" w:asciiTheme="minorEastAsia" w:hAnsiTheme="minorEastAsia" w:eastAsiaTheme="minorEastAsia" w:cstheme="minorEastAsia"/>
          <w:sz w:val="36"/>
          <w:szCs w:val="36"/>
        </w:rPr>
        <w:t>第一章  投标函</w:t>
      </w:r>
      <w:bookmarkEnd w:id="140"/>
      <w:bookmarkEnd w:id="141"/>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w:t>
      </w:r>
      <w:r>
        <w:rPr>
          <w:rFonts w:hint="eastAsia" w:asciiTheme="minorEastAsia" w:hAnsiTheme="minorEastAsia" w:cstheme="minorEastAsia"/>
          <w:sz w:val="24"/>
          <w:szCs w:val="24"/>
          <w:lang w:eastAsia="zh-CN"/>
        </w:rPr>
        <w:t>单价合计</w:t>
      </w:r>
      <w:r>
        <w:rPr>
          <w:rFonts w:hint="eastAsia" w:asciiTheme="minorEastAsia" w:hAnsiTheme="minorEastAsia" w:cstheme="minorEastAsia"/>
          <w:sz w:val="24"/>
          <w:szCs w:val="24"/>
        </w:rPr>
        <w:t>为：</w:t>
      </w:r>
    </w:p>
    <w:p>
      <w:pPr>
        <w:adjustRightInd w:val="0"/>
        <w:snapToGrid w:val="0"/>
        <w:spacing w:line="360" w:lineRule="auto"/>
        <w:ind w:left="210" w:leftChars="100"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7、我方承诺投标有效期为开标后</w:t>
      </w:r>
      <w:r>
        <w:rPr>
          <w:rFonts w:hint="eastAsia" w:asciiTheme="minorEastAsia" w:hAnsiTheme="minorEastAsia" w:cstheme="minorEastAsia"/>
          <w:sz w:val="24"/>
          <w:szCs w:val="24"/>
          <w:u w:val="single"/>
        </w:rPr>
        <w:t>90</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    期：年</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日</w:t>
      </w:r>
    </w:p>
    <w:p>
      <w:pPr>
        <w:widowControl/>
        <w:spacing w:line="460" w:lineRule="exact"/>
        <w:ind w:firstLine="480" w:firstLineChars="200"/>
        <w:jc w:val="left"/>
        <w:rPr>
          <w:rFonts w:asciiTheme="minorEastAsia" w:hAnsiTheme="minorEastAsia" w:cstheme="minorEastAsia"/>
          <w:sz w:val="24"/>
          <w:szCs w:val="24"/>
          <w:u w:val="single"/>
        </w:rPr>
      </w:pPr>
    </w:p>
    <w:p>
      <w:pPr>
        <w:pStyle w:val="13"/>
        <w:spacing w:line="480" w:lineRule="auto"/>
        <w:ind w:firstLine="643" w:firstLineChars="200"/>
        <w:jc w:val="center"/>
        <w:rPr>
          <w:rFonts w:asciiTheme="minorEastAsia" w:hAnsiTheme="minorEastAsia" w:cstheme="minorEastAsia"/>
          <w:b/>
          <w:sz w:val="32"/>
        </w:rPr>
      </w:pPr>
    </w:p>
    <w:p>
      <w:bookmarkStart w:id="142" w:name="_Toc15401"/>
    </w:p>
    <w:p>
      <w:pPr>
        <w:pStyle w:val="4"/>
        <w:spacing w:beforeLines="100" w:afterLines="150" w:line="500" w:lineRule="exact"/>
        <w:rPr>
          <w:rFonts w:asciiTheme="minorEastAsia" w:hAnsiTheme="minorEastAsia" w:eastAsiaTheme="minorEastAsia" w:cstheme="minorEastAsia"/>
          <w:sz w:val="36"/>
          <w:szCs w:val="36"/>
        </w:rPr>
      </w:pPr>
      <w:bookmarkStart w:id="143" w:name="_Toc11829"/>
      <w:r>
        <w:rPr>
          <w:rFonts w:hint="eastAsia" w:asciiTheme="minorEastAsia" w:hAnsiTheme="minorEastAsia" w:eastAsiaTheme="minorEastAsia" w:cstheme="minorEastAsia"/>
          <w:sz w:val="36"/>
          <w:szCs w:val="36"/>
        </w:rPr>
        <w:t>第二章  开标一览表</w:t>
      </w:r>
      <w:bookmarkEnd w:id="142"/>
      <w:bookmarkEnd w:id="143"/>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p>
    <w:p>
      <w:pPr>
        <w:kinsoku w:val="0"/>
        <w:spacing w:line="360" w:lineRule="auto"/>
        <w:jc w:val="left"/>
      </w:pPr>
      <w:r>
        <w:rPr>
          <w:rFonts w:hint="eastAsia" w:asciiTheme="minorEastAsia" w:hAnsiTheme="minorEastAsia" w:cstheme="minorEastAsia"/>
          <w:sz w:val="28"/>
          <w:szCs w:val="28"/>
        </w:rPr>
        <w:t>项目编号：</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3401"/>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002" w:type="dxa"/>
            <w:tcBorders>
              <w:tl2br w:val="single" w:color="auto" w:sz="4" w:space="0"/>
            </w:tcBorders>
          </w:tcPr>
          <w:p>
            <w:pPr>
              <w:kinsoku w:val="0"/>
              <w:spacing w:line="480" w:lineRule="auto"/>
              <w:ind w:firstLine="2730" w:firstLineChars="13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3401" w:type="dxa"/>
            <w:vAlign w:val="center"/>
          </w:tcPr>
          <w:p>
            <w:pPr>
              <w:kinsoku w:val="0"/>
              <w:spacing w:line="480" w:lineRule="auto"/>
              <w:jc w:val="center"/>
              <w:rPr>
                <w:rFonts w:ascii="宋体" w:hAnsi="宋体" w:cs="宋体"/>
                <w:szCs w:val="21"/>
              </w:rPr>
            </w:pPr>
            <w:r>
              <w:rPr>
                <w:rFonts w:hint="eastAsia" w:ascii="宋体" w:hAnsi="宋体" w:cs="宋体"/>
                <w:szCs w:val="21"/>
                <w:lang w:eastAsia="zh-CN"/>
              </w:rPr>
              <w:t>单价合计</w:t>
            </w:r>
            <w:r>
              <w:rPr>
                <w:rFonts w:hint="eastAsia" w:ascii="宋体" w:hAnsi="宋体" w:cs="宋体"/>
                <w:szCs w:val="21"/>
              </w:rPr>
              <w:t>（元）</w:t>
            </w:r>
          </w:p>
        </w:tc>
        <w:tc>
          <w:tcPr>
            <w:tcW w:w="2153" w:type="dxa"/>
            <w:vAlign w:val="center"/>
          </w:tcPr>
          <w:p>
            <w:pPr>
              <w:kinsoku w:val="0"/>
              <w:spacing w:line="480" w:lineRule="auto"/>
              <w:jc w:val="center"/>
              <w:rPr>
                <w:rFonts w:hint="eastAsia" w:ascii="宋体" w:hAnsi="宋体" w:cs="宋体" w:eastAsiaTheme="minorEastAsia"/>
                <w:szCs w:val="21"/>
                <w:lang w:eastAsia="zh-CN"/>
              </w:rPr>
            </w:pPr>
            <w:r>
              <w:rPr>
                <w:rFonts w:hint="eastAsia" w:ascii="宋体" w:hAnsi="宋体" w:cs="宋体"/>
                <w:szCs w:val="21"/>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002" w:type="dxa"/>
            <w:vAlign w:val="center"/>
          </w:tcPr>
          <w:p>
            <w:pPr>
              <w:kinsoku w:val="0"/>
              <w:spacing w:line="480" w:lineRule="auto"/>
              <w:jc w:val="left"/>
              <w:rPr>
                <w:rFonts w:ascii="宋体" w:hAnsi="宋体" w:cs="宋体"/>
                <w:szCs w:val="21"/>
              </w:rPr>
            </w:pPr>
            <w:r>
              <w:rPr>
                <w:rFonts w:hint="eastAsia" w:ascii="宋体" w:hAnsi="宋体" w:cs="宋体"/>
                <w:szCs w:val="21"/>
                <w:lang w:eastAsia="zh-CN"/>
              </w:rPr>
              <w:t>西安医学院零星维修服务外包项目</w:t>
            </w:r>
          </w:p>
        </w:tc>
        <w:tc>
          <w:tcPr>
            <w:tcW w:w="3401" w:type="dxa"/>
            <w:vAlign w:val="center"/>
          </w:tcPr>
          <w:p>
            <w:pPr>
              <w:pStyle w:val="10"/>
            </w:pPr>
          </w:p>
        </w:tc>
        <w:tc>
          <w:tcPr>
            <w:tcW w:w="2153" w:type="dxa"/>
            <w:vAlign w:val="center"/>
          </w:tcPr>
          <w:p>
            <w:pPr>
              <w:kinsoku w:val="0"/>
              <w:spacing w:line="480" w:lineRule="auto"/>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9556" w:type="dxa"/>
            <w:gridSpan w:val="3"/>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lang w:eastAsia="zh-CN"/>
              </w:rPr>
              <w:t>单价</w:t>
            </w:r>
            <w:r>
              <w:rPr>
                <w:rFonts w:hint="eastAsia" w:ascii="宋体" w:hAnsi="宋体" w:cs="宋体"/>
                <w:szCs w:val="21"/>
              </w:rPr>
              <w:t>合计：人民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lang w:val="en-US" w:eastAsia="zh-CN"/>
              </w:rPr>
              <w:t xml:space="preserve">)      </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56" w:type="dxa"/>
            <w:gridSpan w:val="3"/>
            <w:vAlign w:val="center"/>
          </w:tcPr>
          <w:p>
            <w:pPr>
              <w:pStyle w:val="10"/>
              <w:ind w:firstLine="420" w:firstLineChars="200"/>
            </w:pPr>
            <w:r>
              <w:t>备</w:t>
            </w:r>
            <w:r>
              <w:rPr>
                <w:rFonts w:hint="eastAsia"/>
              </w:rPr>
              <w:t>注：1、表内报价内容以元为单位，</w:t>
            </w:r>
            <w:r>
              <w:rPr>
                <w:rFonts w:hint="eastAsia"/>
                <w:lang w:val="en-US" w:eastAsia="zh-CN"/>
              </w:rPr>
              <w:t>报出单价合计，</w:t>
            </w:r>
            <w:r>
              <w:rPr>
                <w:rFonts w:hint="eastAsia"/>
              </w:rPr>
              <w:t xml:space="preserve">精确到小数点后两位。 </w:t>
            </w:r>
          </w:p>
          <w:p>
            <w:pPr>
              <w:pStyle w:val="10"/>
            </w:pPr>
            <w:r>
              <w:rPr>
                <w:rFonts w:hint="eastAsia"/>
              </w:rPr>
              <w:t xml:space="preserve">          2、</w:t>
            </w:r>
            <w:r>
              <w:rPr>
                <w:rFonts w:hint="eastAsia"/>
                <w:lang w:eastAsia="zh-CN"/>
              </w:rPr>
              <w:t>服务期</w:t>
            </w:r>
            <w:r>
              <w:rPr>
                <w:rFonts w:hint="eastAsia"/>
              </w:rPr>
              <w:t>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期：年</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日</w:t>
      </w:r>
    </w:p>
    <w:p>
      <w:pPr>
        <w:jc w:val="left"/>
        <w:rPr>
          <w:rFonts w:asciiTheme="minorEastAsia" w:hAnsiTheme="minorEastAsia" w:cstheme="minorEastAsia"/>
          <w:b/>
          <w:sz w:val="32"/>
        </w:rPr>
        <w:sectPr>
          <w:headerReference r:id="rId12" w:type="default"/>
          <w:footerReference r:id="rId13"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32"/>
        </w:rPr>
        <w:br w:type="page"/>
      </w:r>
    </w:p>
    <w:p>
      <w:pPr>
        <w:ind w:firstLine="1060"/>
        <w:rPr>
          <w:rFonts w:asciiTheme="minorEastAsia" w:hAnsiTheme="minorEastAsia" w:cstheme="minorEastAsia"/>
        </w:rPr>
      </w:pPr>
    </w:p>
    <w:p>
      <w:pPr>
        <w:pStyle w:val="4"/>
        <w:rPr>
          <w:sz w:val="28"/>
          <w:szCs w:val="28"/>
        </w:rPr>
      </w:pPr>
      <w:bookmarkStart w:id="144" w:name="_Toc20981"/>
      <w:r>
        <w:rPr>
          <w:rFonts w:hint="eastAsia"/>
          <w:sz w:val="28"/>
          <w:szCs w:val="28"/>
        </w:rPr>
        <w:t>第三章</w:t>
      </w:r>
      <w:r>
        <w:rPr>
          <w:rFonts w:hint="eastAsia"/>
          <w:sz w:val="28"/>
          <w:szCs w:val="28"/>
          <w:lang w:val="en-US" w:eastAsia="zh-CN"/>
        </w:rPr>
        <w:t xml:space="preserve">  </w:t>
      </w:r>
      <w:r>
        <w:rPr>
          <w:rFonts w:hint="eastAsia"/>
          <w:sz w:val="28"/>
          <w:szCs w:val="28"/>
        </w:rPr>
        <w:t>分项报价表</w:t>
      </w:r>
      <w:bookmarkEnd w:id="144"/>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p>
    <w:p>
      <w:pPr>
        <w:kinsoku w:val="0"/>
        <w:spacing w:line="360" w:lineRule="auto"/>
        <w:jc w:val="left"/>
      </w:pPr>
      <w:r>
        <w:rPr>
          <w:rFonts w:hint="eastAsia" w:asciiTheme="minorEastAsia" w:hAnsiTheme="minorEastAsia" w:cstheme="minorEastAsia"/>
          <w:sz w:val="28"/>
          <w:szCs w:val="28"/>
        </w:rPr>
        <w:t>项目编号：</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页</w:t>
      </w:r>
    </w:p>
    <w:tbl>
      <w:tblPr>
        <w:tblStyle w:val="25"/>
        <w:tblW w:w="9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1486"/>
        <w:gridCol w:w="1593"/>
        <w:gridCol w:w="2158"/>
        <w:gridCol w:w="1192"/>
        <w:gridCol w:w="1237"/>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施工项目</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更换地板砖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800*800mm</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1.原砖面层.基层拆除；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2.重新用水泥砂浆铺贴；</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更换内墙砖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300*600mm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400*800mm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300*450mm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更换外墙砖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45*145mm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140*280mm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更换行道砖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更换木地板</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厚度12mm以内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强化复合木地板</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1.原地板拆除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2.铺设木地板包含扣条</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厚度18mm以内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强化复合木地板</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厚度12mm以内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实木多层木地板</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厚度18mm以内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实木多层木地板</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更换防静电地板</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1.原地板拆除；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2.铺设纯钢龙骨防静电地板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1.原踢脚线拆除（如有）；                                          2.安装踢脚线；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木塑</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内墙面粉刷</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纯色</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1.原墙面铲除；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内墙面粉刷</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拼色（图案或渐变色）</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1.原墙面铲除；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外墙面粉刷</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纯色</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1.原墙面铲除；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外墙面粉刷</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拼色（图案或渐变色）</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1.原墙面铲除；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2.新作腻子2道，乳胶漆3道；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墙裙</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1.原墙面铲除；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2.新刷腻子2道；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3.墙裙刷油漆2-3道；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木质构件</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1.表面打磨.修补；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2.粉刷木质专用保养木油；</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铁件</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1.铁件除锈.刷防锈漆；              2.刷漆2-3道；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彩钢屋面</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1.铁件除锈.刷防锈漆；              2.刷漆2-3道；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浮雕刷漆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2.浮雕粉刷3遍</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墙面开孔</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砖墙开孔</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砖墙开孔</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砖墙开孔</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混凝土墙开孔</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混凝土墙开孔</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混凝土墙开孔</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墙面抹灰</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水泥砂浆比为1:2.5</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水泥砂浆墙面；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墙面喷涂真石漆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分隔面积100*200mm以内</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1.墙面基层处理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2.墙面分隔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3.喷涂真石漆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分隔面积100*200mm以外</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铝塑板墙面</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1.原墙面拆除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2.安装木龙骨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3.铺设阻燃板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4.铺贴铝塑板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w:t>
            </w:r>
          </w:p>
        </w:tc>
        <w:tc>
          <w:tcPr>
            <w:tcW w:w="1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1.原吊顶拆除；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2.铝扣板吊顶；</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1.原吊顶拆除；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2.纸面石膏板吊顶；</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1.原吊顶拆除；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2.硅酸钙板吊顶；</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轻质隔墙</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1.纸面石膏板隔墙；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2.轻钢龙骨横竖间距均不大于600mm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3.内填充岩棉等隔音材料；</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混凝土加气块隔墙</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净化板隔墙</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玻璃隔墙</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12mm钢化玻璃</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包含不锈钢包边</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更换暖气罩</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木质或铝合金暖气罩</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包立管</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制作木质龙骨，铺贴木工板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制作木质试验台</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试验台宽度1米以内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1.生态木制作安装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2.采用实芯理化板台面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制作木柜</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厚度70cm以内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1.生态木制作安装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水泥砂浆自流平地面</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2.铺设水泥砂浆自流平地面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塑胶地面</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2.铺设塑胶地面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环氧树脂地坪漆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2.铺设环氧树脂地坪漆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水磨石地面</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含铜条</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1.原地面拆除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2.铺贴水磨石地面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鹅暖石地面</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1.地面基层清理.修补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2.铺设鹅暖石地面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地面石材</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尺寸不限，芝麻白或芝麻灰</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1.原石材面层.基层拆除；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2.重新用水泥砂浆铺贴；</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干挂石材</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尺寸不限，芝麻白或芝麻灰</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1.原石材面层.基层拆除；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2.重新用水泥砂浆铺贴；</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石材开槽、磨边</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更换路沿石</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混凝土500*800mm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1.原路沿石拆除；                       2.重新用水泥砂浆铺贴；</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石材500*800mm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1.原路沿石拆除；                       2.重新用水泥砂浆铺贴；</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墙体拆除</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墙体拆除；</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墙体开门洞</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墙体拆除及收口；</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砌内砖墙</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1.原墙拆除（如有）；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2.砌筑砖墙</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砌围墙</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1.原墙拆除（如有）；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2.基础夯实.素土回填；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3.C15混凝土垫层.大放脚；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4.砌筑砖墙；</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混凝土拆除</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钢筋制作</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混凝土预制现浇构件</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制作及安装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混凝土路面开挖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人行道砖地开挖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土方开挖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素土回填</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2.素土回填.压实；</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灰土回填</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2:8灰土</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2.灰土回填.压实；</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3:7灰土</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2.浇筑混凝土C15，10cm厚</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混凝土路面</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10cm</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2.浇筑C20混凝土路面；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18cm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10cm以内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1.基层夯实.处理；                2.沥青混凝土路面；</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甲级</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1.旧门拆除；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2.新装防盗门；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3.门洞修补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实木多层</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1.旧门拆除；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2.新装木门；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3.门洞修补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木门门套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1.旧门套拆除；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2.安装新门套；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3.周围墙面修补；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1.原铁门拆除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2.安装铁门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3.门洞修补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主材3*3不锈钢方管</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含旧门拆除</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地弹门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12mm钢化玻璃</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安装无框玻璃地弹门</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维修地弹门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维修地弹门的地弹簧</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卷闸门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加厚卷闸门</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1.安装位置清理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2.安装门头及轨道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3.安装卷闸门</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木门开观察窗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1.木门开孔；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3.安装阳角扣条；</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防盗门开观察窗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1.防盗门开孔；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3.安装阳角扣条；</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净化门开观察窗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1.净化门开孔；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3.安装阳角扣条；</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门吸</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闭门器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更换不锈钢栏杆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高度1.4米以内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1.原栏杆拆除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2.安装不锈钢栏杆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铁艺栏杆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1.原铁艺栏杆拆除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2.安装铁艺栏杆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木质栏杆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插入式栏杆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膨胀螺丝安装 栏杆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3mm</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更换普通玻璃</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钢化玻璃</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更换中空钢化玻璃</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镜子</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5mm厚镜面</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含旧镜子拆除</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普通窗纱</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不含窗框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普通窗纱</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含窗框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金刚纱</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含窗框</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限位器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平开窗限位器</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限位器</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推拉窗限位器</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玻璃纸</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磨砂玻璃纸</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窗帘盒</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尺寸不限</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制作木质龙骨，铺贴木工板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半遮光布帘</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1.安装导轨；                     2.新作窗帘；</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卷帘</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安装百叶卷帘；</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窗台板</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水磨石窗台板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石材窗台板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瓷砖窗台板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不锈钢阳光板车棚</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高度2.5m以内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不含设备基础</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遮光棚电机</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品牌电机</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遮阳棚</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伸缩式遮阳棚</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采用铝合金支架，可伸缩，篷布抗老化</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帐篷</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移动式帐篷，包含支架及篷布，并负责安装</w:t>
            </w: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1.拆除原灯具；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2.安装LED灯；</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300*1200mm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灯带</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安装LED灯带</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筒灯</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安装筒灯</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高压钠灯</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更换高压钠灯</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灭蚊灯</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灭蚊灯</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移动式灭菌灯</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移动式紫外线杀菌灯</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洗墙灯</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LED洗墙灯</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单开或双开</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USB五孔插座</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线路改造</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2.5mm2</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铺设线路（单芯）</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4mm2</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6mm2</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网线、电话线</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明线</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安装穿线管或线槽</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暗线</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1.墙面刻槽及恢复；                   2.安装穿线管</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给水管</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Ф15</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1.原管道拆除（如有）；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2.安装PPR管道；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Ф20</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Ф25</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Ф32</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排水管</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Ф50</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1.原管道拆除（如有）；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2.安装PVC管道；</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Ф80</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Ф110</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Ф150</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Ф200</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水池</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安装不锈钢水池</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安装陶瓷水池</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90cm以内</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安装医用脚踩式不锈钢水池</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拖把池</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更换角阀</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更换角阀</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更换水龙头</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单开水龙头</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高杆水龙头（带抽拉）</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双开水龙头</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洗手池感应水龙头</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感应式水龙头</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含2.5米以内水管改造</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小便池感应冲水阀</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感应式冲水阀</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含2.5米以内水管改造</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大便池感应冲水阀</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感应式冲水阀</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含2.5米以内水管改造</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更换下水井井盖</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φ700mm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1.原井盖拆除；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2.井盖周边混凝土维修；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3.更换PVC井盖</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φ700mm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1.原井盖拆除；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2.井盖周边混凝土维修；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3.更换铸铁井盖（承重20吨以上）</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雨水篦子</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1.原篦子拆除；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2.换铸铁篦子（承重20吨以上）；</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1.原篦子拆除；                     2.更换混凝土雨水篦子（承重20吨以上）；</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疏通下水管道</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直径100mm以内</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疏通下水管道</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直径300mm以内</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疏通下水管道</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直径400mm以内</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屋面防水</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1.基层清理及修补；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2.喷刷两遍冷底油；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3.铺设防水卷材；</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4mm自粘卷材</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高压注浆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混凝土墙面或顶棚</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采用专用注浆液进行维修，维修区域不漏水即满足要求</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更换锁具</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木门锁具</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防盗门锁具</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文件柜锁具</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电子密码锁</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排气扇</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40cm以内</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安装排气扇</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80cm以内</w:t>
            </w:r>
          </w:p>
        </w:tc>
        <w:tc>
          <w:tcPr>
            <w:tcW w:w="2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维修座椅</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维修教室座椅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维修礼堂座椅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更换座椅</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更换教室座椅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更换礼堂座椅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挡车石</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80cm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挡车石</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石柱</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35cm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石柱</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更换门牌</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不锈钢挡鼠板</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高度50cm</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安装不锈钢挡鼠板</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不锈钢晾衣架</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不锈钢管、钢丝绳</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不含设备基础</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拆移空调</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壁挂式空调</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包含旧空调拆除及新空调安装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拆移空调</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落地式空调</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包含旧空调拆除及新空调安装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外墙石材清洗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沙发套清洗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1.沙发套拆卸；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2.沙发套清洗；                      3.安装清洗后的沙发套；</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窗帘清洗</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1.窗帘拆卸；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2.窗帘清洗；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吊车租赁</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16吨吊车</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吊车租赁</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25吨吊车</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零星用工</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搬运</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917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总计：大写</w:t>
            </w:r>
            <w:r>
              <w:rPr>
                <w:rFonts w:hint="eastAsia" w:ascii="宋体" w:hAnsi="宋体" w:eastAsia="宋体" w:cs="宋体"/>
                <w:b/>
                <w:bCs/>
                <w:i w:val="0"/>
                <w:iCs w:val="0"/>
                <w:color w:val="000000"/>
                <w:kern w:val="0"/>
                <w:sz w:val="21"/>
                <w:szCs w:val="21"/>
                <w:u w:val="singl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元（人民币），小写</w:t>
            </w:r>
            <w:r>
              <w:rPr>
                <w:rFonts w:hint="eastAsia" w:ascii="宋体" w:hAnsi="宋体" w:eastAsia="宋体" w:cs="宋体"/>
                <w:b/>
                <w:bCs/>
                <w:i w:val="0"/>
                <w:iCs w:val="0"/>
                <w:color w:val="000000"/>
                <w:kern w:val="0"/>
                <w:sz w:val="21"/>
                <w:szCs w:val="21"/>
                <w:u w:val="singl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77"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备注：1.所有施工中产生的垃圾外运、倒运等费用由乙方负责；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2.综合单价为包工包料最终开票价。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77" w:type="dxa"/>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77" w:type="dxa"/>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p>
    <w:p>
      <w:pPr>
        <w:adjustRightInd w:val="0"/>
        <w:snapToGrid w:val="0"/>
        <w:spacing w:line="480" w:lineRule="auto"/>
      </w:pPr>
      <w:r>
        <w:rPr>
          <w:rFonts w:hint="eastAsia" w:asciiTheme="minorEastAsia" w:hAnsiTheme="minorEastAsia" w:cstheme="minorEastAsia"/>
          <w:sz w:val="28"/>
          <w:szCs w:val="28"/>
        </w:rPr>
        <w:t>日    期：年</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日</w:t>
      </w:r>
      <w:bookmarkStart w:id="145" w:name="_Toc15967"/>
    </w:p>
    <w:bookmarkEnd w:id="145"/>
    <w:p>
      <w:pPr>
        <w:jc w:val="center"/>
        <w:outlineLvl w:val="1"/>
        <w:rPr>
          <w:rStyle w:val="72"/>
          <w:rFonts w:hint="eastAsia"/>
          <w:lang w:val="en-US" w:eastAsia="zh-CN"/>
        </w:rPr>
      </w:pPr>
      <w:bookmarkStart w:id="146" w:name="_Toc30178"/>
      <w:bookmarkStart w:id="147" w:name="_Toc25889"/>
      <w:bookmarkStart w:id="148" w:name="_Toc3301"/>
      <w:bookmarkStart w:id="149" w:name="_Toc28294"/>
      <w:bookmarkStart w:id="150" w:name="_Toc8188"/>
      <w:bookmarkStart w:id="151" w:name="_Toc1408"/>
      <w:bookmarkStart w:id="152" w:name="_Toc18357"/>
      <w:r>
        <w:rPr>
          <w:rFonts w:hint="eastAsia"/>
        </w:rPr>
        <w:br w:type="page"/>
      </w:r>
      <w:bookmarkStart w:id="153" w:name="_Toc8637"/>
      <w:bookmarkStart w:id="154" w:name="_Toc27096"/>
      <w:r>
        <w:rPr>
          <w:rStyle w:val="35"/>
          <w:rFonts w:hint="eastAsia"/>
          <w:sz w:val="28"/>
          <w:szCs w:val="28"/>
          <w:lang w:val="en-US" w:eastAsia="zh-CN"/>
        </w:rPr>
        <w:t>第四章  投标保证金</w:t>
      </w:r>
      <w:bookmarkEnd w:id="153"/>
      <w:bookmarkEnd w:id="154"/>
    </w:p>
    <w:p>
      <w:pPr>
        <w:pStyle w:val="2"/>
        <w:rPr>
          <w:rFonts w:hint="eastAsia"/>
          <w:sz w:val="28"/>
          <w:szCs w:val="24"/>
          <w:lang w:val="en-US" w:eastAsia="zh-CN"/>
        </w:rPr>
      </w:pPr>
      <w:r>
        <w:rPr>
          <w:rFonts w:hint="eastAsia"/>
          <w:sz w:val="28"/>
          <w:szCs w:val="24"/>
          <w:lang w:val="en-US" w:eastAsia="zh-CN"/>
        </w:rPr>
        <w:t>投标人在此处提供保证金缴纳凭证扫描件加盖公章，或者财政部门指定的担保机构出具的保函；</w:t>
      </w:r>
    </w:p>
    <w:p>
      <w:pPr>
        <w:pStyle w:val="2"/>
        <w:rPr>
          <w:rFonts w:hint="eastAsia"/>
          <w:sz w:val="28"/>
          <w:szCs w:val="24"/>
          <w:vertAlign w:val="baseline"/>
          <w:lang w:val="en-US" w:eastAsia="zh-CN"/>
        </w:rPr>
      </w:pP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2"/>
              <w:rPr>
                <w:rFonts w:hint="eastAsia"/>
                <w:sz w:val="28"/>
                <w:szCs w:val="24"/>
                <w:vertAlign w:val="baseline"/>
                <w:lang w:val="en-US" w:eastAsia="zh-CN"/>
              </w:rPr>
            </w:pPr>
          </w:p>
        </w:tc>
      </w:tr>
    </w:tbl>
    <w:p>
      <w:pPr>
        <w:rPr>
          <w:rFonts w:hint="eastAsia"/>
        </w:rPr>
      </w:pPr>
    </w:p>
    <w:p>
      <w:pPr>
        <w:rPr>
          <w:rFonts w:hint="eastAsia"/>
        </w:rPr>
      </w:pPr>
      <w:r>
        <w:rPr>
          <w:rFonts w:hint="eastAsia"/>
        </w:rPr>
        <w:br w:type="page"/>
      </w:r>
    </w:p>
    <w:p>
      <w:pPr>
        <w:pStyle w:val="4"/>
        <w:rPr>
          <w:sz w:val="28"/>
          <w:szCs w:val="28"/>
        </w:rPr>
      </w:pPr>
      <w:bookmarkStart w:id="155" w:name="_Toc29246"/>
      <w:r>
        <w:rPr>
          <w:rFonts w:hint="eastAsia"/>
          <w:sz w:val="28"/>
          <w:szCs w:val="28"/>
        </w:rPr>
        <w:t>第</w:t>
      </w:r>
      <w:r>
        <w:rPr>
          <w:rFonts w:hint="eastAsia"/>
          <w:sz w:val="28"/>
          <w:szCs w:val="28"/>
          <w:lang w:eastAsia="zh-CN"/>
        </w:rPr>
        <w:t>五</w:t>
      </w:r>
      <w:r>
        <w:rPr>
          <w:rFonts w:hint="eastAsia"/>
          <w:sz w:val="28"/>
          <w:szCs w:val="28"/>
        </w:rPr>
        <w:t>章  投标人资质证明资料</w:t>
      </w:r>
      <w:bookmarkEnd w:id="146"/>
      <w:bookmarkEnd w:id="147"/>
      <w:bookmarkEnd w:id="148"/>
      <w:bookmarkEnd w:id="155"/>
    </w:p>
    <w:p>
      <w:pPr>
        <w:pStyle w:val="2"/>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投标人需在此页附招标文件中要求的资质证明文件，投标文件附资质复印件或扫描件加盖投标人公章。格式参考见下页。</w:t>
      </w:r>
    </w:p>
    <w:p>
      <w:pPr>
        <w:rPr>
          <w:color w:val="000000" w:themeColor="text1"/>
          <w14:textFill>
            <w14:solidFill>
              <w14:schemeClr w14:val="tx1"/>
            </w14:solidFill>
          </w14:textFill>
        </w:rPr>
      </w:pPr>
    </w:p>
    <w:p>
      <w:pPr>
        <w:pStyle w:val="2"/>
        <w:rPr>
          <w:color w:val="000000" w:themeColor="text1"/>
          <w:sz w:val="24"/>
          <w:szCs w:val="24"/>
          <w14:textFill>
            <w14:solidFill>
              <w14:schemeClr w14:val="tx1"/>
            </w14:solidFill>
          </w14:textFill>
        </w:rPr>
      </w:pPr>
    </w:p>
    <w:p>
      <w:pPr>
        <w:pStyle w:val="2"/>
        <w:ind w:firstLine="0"/>
        <w:rPr>
          <w:b/>
          <w:bCs/>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Style w:val="2"/>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1、投标人符合《政府采购法》第二十二条规定条件的承诺函</w:t>
      </w:r>
    </w:p>
    <w:p>
      <w:pPr>
        <w:pStyle w:val="11"/>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我公司满足政府采购法第二十二条关于投标人的资格要求：</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同时也满足本项目法律法规规章规定关于投标人的其他资格性条件，未参与本采购项目前期咨询论证，不属于禁止参加投标的投标人。</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11"/>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2"/>
        <w:ind w:firstLine="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2、投标人基本情况一览表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2-1投标人基本情况一览表</w:t>
      </w:r>
    </w:p>
    <w:tbl>
      <w:tblPr>
        <w:tblStyle w:val="25"/>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组织结构</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w:t>
            </w:r>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注册资金</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技工</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2-2投标人营业执照等资质证明材料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6"/>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3"/>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3"/>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（投标人地址）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（投标人名称）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投标人（单位名称及公章）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5"/>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1．本授权书有效期自开标会议之日计算不得少于90日历日。</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公开招标，我单位郑重声明：我方参加本项目公开招标工作前三年内在经营活动中无重大违法活动记录，</w:t>
      </w:r>
      <w:r>
        <w:rPr>
          <w:rFonts w:hint="eastAsia" w:ascii="宋体" w:hAnsi="宋体" w:cs="宋体"/>
          <w:kern w:val="0"/>
          <w:sz w:val="24"/>
        </w:rPr>
        <w:t>未被信用中国网（www.creditchina.gov.cn）</w:t>
      </w:r>
      <w:r>
        <w:rPr>
          <w:rFonts w:hint="eastAsia" w:ascii="宋体" w:hAnsi="宋体" w:cs="宋体"/>
          <w:kern w:val="0"/>
          <w:sz w:val="24"/>
          <w:lang w:val="en-US" w:eastAsia="zh-CN"/>
        </w:rPr>
        <w:t>或中国执行信息公开网（http://zxgk.court.gov.cn/shixin）</w:t>
      </w:r>
      <w:r>
        <w:rPr>
          <w:rFonts w:hint="eastAsia" w:ascii="宋体" w:hAnsi="宋体" w:cs="宋体"/>
          <w:kern w:val="0"/>
          <w:sz w:val="24"/>
        </w:rPr>
        <w:t>列入失信被执行人、重大税收违法案件当事人名单，未被中国政府采购网（www.ccgp.gov.cn）列入政府采购严重违法失信行为记录名单</w:t>
      </w:r>
      <w:r>
        <w:rPr>
          <w:rFonts w:hint="eastAsia" w:ascii="宋体" w:hAnsi="宋体" w:cs="宋体"/>
          <w:color w:val="000000" w:themeColor="text1"/>
          <w:kern w:val="0"/>
          <w:sz w:val="24"/>
          <w14:textFill>
            <w14:solidFill>
              <w14:schemeClr w14:val="tx1"/>
            </w14:solidFill>
          </w14:textFill>
        </w:rPr>
        <w:t>，符合《中华人民共和国政府采购法》规定的投标人资格条件，我方对此声明负全部法律责任。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br w:type="textWrapping"/>
      </w:r>
      <w:r>
        <w:rPr>
          <w:rFonts w:hint="eastAsia" w:hAnsi="宋体" w:cs="宋体"/>
          <w:color w:val="000000" w:themeColor="text1"/>
          <w:kern w:val="0"/>
          <w:sz w:val="24"/>
          <w14:textFill>
            <w14:solidFill>
              <w14:schemeClr w14:val="tx1"/>
            </w14:solidFill>
          </w14:textFill>
        </w:rPr>
        <w:t>投标人（单位名称及公章）：</w:t>
      </w: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Ansi="宋体" w:cs="宋体"/>
          <w:color w:val="000000" w:themeColor="text1"/>
          <w:kern w:val="0"/>
          <w:sz w:val="24"/>
          <w:u w:val="single"/>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u w:val="single"/>
          <w14:textFill>
            <w14:solidFill>
              <w14:schemeClr w14:val="tx1"/>
            </w14:solidFill>
          </w14:textFill>
        </w:rPr>
        <w:br w:type="textWrapping"/>
      </w:r>
    </w:p>
    <w:p>
      <w:pPr>
        <w:spacing w:line="480" w:lineRule="auto"/>
        <w:rPr>
          <w:rFonts w:hint="eastAsia" w:eastAsiaTheme="minorEastAsia"/>
          <w:sz w:val="24"/>
          <w:szCs w:val="28"/>
          <w:lang w:eastAsia="zh-CN"/>
        </w:rPr>
      </w:pPr>
      <w:r>
        <w:rPr>
          <w:rFonts w:hint="eastAsia"/>
          <w:sz w:val="24"/>
          <w:szCs w:val="28"/>
        </w:rPr>
        <w:t>5、社保资金缴纳证明材料</w:t>
      </w:r>
      <w:r>
        <w:rPr>
          <w:rFonts w:hint="eastAsia"/>
          <w:sz w:val="24"/>
          <w:szCs w:val="28"/>
          <w:lang w:eastAsia="zh-CN"/>
        </w:rPr>
        <w:t>；</w:t>
      </w:r>
    </w:p>
    <w:p>
      <w:pPr>
        <w:spacing w:line="480" w:lineRule="auto"/>
        <w:rPr>
          <w:sz w:val="24"/>
          <w:szCs w:val="28"/>
        </w:rPr>
      </w:pPr>
      <w:r>
        <w:rPr>
          <w:rFonts w:hint="eastAsia"/>
          <w:sz w:val="24"/>
          <w:szCs w:val="28"/>
        </w:rPr>
        <w:t>6、税收缴纳证明材料</w:t>
      </w:r>
      <w:r>
        <w:rPr>
          <w:rFonts w:hint="eastAsia"/>
          <w:sz w:val="24"/>
          <w:szCs w:val="28"/>
          <w:lang w:eastAsia="zh-CN"/>
        </w:rPr>
        <w:t>；</w:t>
      </w:r>
      <w:r>
        <w:rPr>
          <w:rFonts w:hint="eastAsia"/>
          <w:sz w:val="24"/>
          <w:szCs w:val="28"/>
        </w:rPr>
        <w:t xml:space="preserve"> </w:t>
      </w:r>
    </w:p>
    <w:p>
      <w:pPr>
        <w:spacing w:line="480" w:lineRule="auto"/>
        <w:rPr>
          <w:rFonts w:hint="eastAsia"/>
          <w:sz w:val="24"/>
          <w:szCs w:val="28"/>
        </w:rPr>
      </w:pPr>
      <w:r>
        <w:rPr>
          <w:rFonts w:hint="eastAsia"/>
          <w:sz w:val="24"/>
          <w:szCs w:val="28"/>
        </w:rPr>
        <w:t>7、财务状况证明材料</w:t>
      </w:r>
      <w:r>
        <w:rPr>
          <w:rFonts w:hint="eastAsia"/>
          <w:sz w:val="24"/>
          <w:szCs w:val="28"/>
          <w:lang w:eastAsia="zh-CN"/>
        </w:rPr>
        <w:t>；</w:t>
      </w:r>
      <w:r>
        <w:rPr>
          <w:rFonts w:hint="eastAsia"/>
          <w:sz w:val="24"/>
          <w:szCs w:val="28"/>
        </w:rPr>
        <w:t xml:space="preserve"> </w:t>
      </w:r>
    </w:p>
    <w:p>
      <w:pPr>
        <w:pStyle w:val="2"/>
        <w:numPr>
          <w:ilvl w:val="0"/>
          <w:numId w:val="0"/>
        </w:numPr>
        <w:spacing w:line="480" w:lineRule="auto"/>
        <w:ind w:leftChars="0"/>
        <w:jc w:val="left"/>
        <w:rPr>
          <w:rFonts w:hint="eastAsia" w:ascii="宋体" w:hAnsi="宋体" w:cs="宋体"/>
          <w:bCs/>
          <w:kern w:val="0"/>
          <w:sz w:val="24"/>
          <w:szCs w:val="24"/>
          <w:lang w:val="en-US" w:eastAsia="zh-CN" w:bidi="ar-SA"/>
        </w:rPr>
      </w:pPr>
      <w:r>
        <w:rPr>
          <w:rFonts w:hint="eastAsia" w:ascii="宋体" w:hAnsi="宋体" w:cs="宋体"/>
          <w:bCs/>
          <w:kern w:val="0"/>
          <w:sz w:val="24"/>
          <w:szCs w:val="24"/>
          <w:lang w:val="en-US" w:eastAsia="zh-CN" w:bidi="ar-SA"/>
        </w:rPr>
        <w:t>8、</w:t>
      </w:r>
      <w:r>
        <w:rPr>
          <w:rFonts w:hint="eastAsia" w:ascii="宋体" w:hAnsi="宋体" w:cs="宋体"/>
          <w:bCs/>
          <w:kern w:val="0"/>
          <w:sz w:val="24"/>
          <w:szCs w:val="24"/>
        </w:rPr>
        <w:t>本项目专门面向中小企业采购，</w:t>
      </w:r>
      <w:r>
        <w:rPr>
          <w:rFonts w:hint="eastAsia" w:ascii="宋体" w:hAnsi="宋体" w:cs="宋体"/>
          <w:bCs/>
          <w:kern w:val="0"/>
          <w:sz w:val="24"/>
          <w:szCs w:val="24"/>
          <w:lang w:val="en-US" w:eastAsia="zh-CN"/>
        </w:rPr>
        <w:t>供应商</w:t>
      </w:r>
      <w:r>
        <w:rPr>
          <w:rFonts w:hint="eastAsia" w:ascii="宋体" w:hAnsi="宋体" w:cs="宋体"/>
          <w:bCs/>
          <w:kern w:val="0"/>
          <w:sz w:val="24"/>
          <w:szCs w:val="24"/>
        </w:rPr>
        <w:t>应提供中小企业声明函；</w:t>
      </w:r>
    </w:p>
    <w:p>
      <w:pPr>
        <w:pStyle w:val="2"/>
        <w:numPr>
          <w:ilvl w:val="0"/>
          <w:numId w:val="0"/>
        </w:numPr>
        <w:spacing w:line="480" w:lineRule="auto"/>
        <w:ind w:leftChars="0"/>
        <w:jc w:val="left"/>
        <w:rPr>
          <w:rFonts w:hint="eastAsia" w:ascii="宋体" w:hAnsi="宋体" w:cs="宋体"/>
          <w:bCs/>
          <w:kern w:val="0"/>
          <w:sz w:val="24"/>
          <w:szCs w:val="24"/>
          <w:lang w:val="en-US" w:eastAsia="zh-CN" w:bidi="ar-SA"/>
        </w:rPr>
      </w:pPr>
      <w:r>
        <w:rPr>
          <w:rFonts w:hint="eastAsia" w:ascii="宋体" w:hAnsi="宋体" w:cs="宋体"/>
          <w:bCs/>
          <w:kern w:val="0"/>
          <w:sz w:val="24"/>
          <w:szCs w:val="24"/>
          <w:lang w:val="en-US" w:eastAsia="zh-CN" w:bidi="ar-SA"/>
        </w:rPr>
        <w:t>9、投标人非联合体投标的承诺书（格式自拟）；</w:t>
      </w:r>
    </w:p>
    <w:p>
      <w:pPr>
        <w:pStyle w:val="2"/>
        <w:numPr>
          <w:ilvl w:val="0"/>
          <w:numId w:val="0"/>
        </w:numPr>
        <w:spacing w:line="480" w:lineRule="auto"/>
        <w:ind w:leftChars="0"/>
        <w:jc w:val="left"/>
        <w:rPr>
          <w:rFonts w:hint="eastAsia" w:ascii="宋体" w:hAnsi="宋体" w:cs="宋体"/>
          <w:bCs/>
          <w:kern w:val="0"/>
          <w:sz w:val="24"/>
          <w:szCs w:val="24"/>
          <w:lang w:val="en-US" w:eastAsia="zh-CN" w:bidi="ar-SA"/>
        </w:rPr>
      </w:pPr>
      <w:r>
        <w:rPr>
          <w:rFonts w:hint="eastAsia" w:ascii="宋体" w:hAnsi="宋体" w:cs="宋体"/>
          <w:bCs/>
          <w:kern w:val="0"/>
          <w:sz w:val="24"/>
          <w:szCs w:val="24"/>
          <w:lang w:val="en-US" w:eastAsia="zh-CN" w:bidi="ar-SA"/>
        </w:rPr>
        <w:t>10、投标人认为应该提交的其他证明材料；</w:t>
      </w:r>
    </w:p>
    <w:p>
      <w:pPr>
        <w:rPr>
          <w:rFonts w:hint="eastAsia"/>
        </w:rPr>
      </w:pPr>
      <w:r>
        <w:rPr>
          <w:rFonts w:hint="eastAsia"/>
        </w:rPr>
        <w:br w:type="page"/>
      </w:r>
    </w:p>
    <w:p>
      <w:pPr>
        <w:pStyle w:val="4"/>
      </w:pPr>
      <w:bookmarkStart w:id="156" w:name="_Toc11870"/>
      <w:r>
        <w:rPr>
          <w:rFonts w:hint="eastAsia"/>
        </w:rPr>
        <w:t>第</w:t>
      </w:r>
      <w:r>
        <w:rPr>
          <w:rFonts w:hint="eastAsia"/>
          <w:lang w:eastAsia="zh-CN"/>
        </w:rPr>
        <w:t>六</w:t>
      </w:r>
      <w:r>
        <w:rPr>
          <w:rFonts w:hint="eastAsia"/>
        </w:rPr>
        <w:t>章  商务和技术响应偏离表</w:t>
      </w:r>
      <w:bookmarkEnd w:id="149"/>
      <w:bookmarkEnd w:id="150"/>
      <w:bookmarkEnd w:id="156"/>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3"/>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8"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042"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bl>
    <w:p>
      <w:pPr>
        <w:pStyle w:val="2"/>
        <w:ind w:firstLine="0"/>
        <w:rPr>
          <w:rFonts w:ascii="宋体" w:hAnsi="宋体"/>
          <w:b/>
          <w:bCs/>
          <w:sz w:val="28"/>
          <w:szCs w:val="28"/>
        </w:rPr>
      </w:pPr>
      <w:r>
        <w:rPr>
          <w:rFonts w:hint="eastAsia" w:ascii="宋体" w:hAnsi="宋体"/>
          <w:b/>
          <w:bCs/>
          <w:sz w:val="28"/>
          <w:szCs w:val="28"/>
        </w:rPr>
        <w:t>填写说明：投标人对本项目付款、</w:t>
      </w:r>
      <w:r>
        <w:rPr>
          <w:rFonts w:hint="eastAsia" w:ascii="宋体" w:hAnsi="宋体"/>
          <w:b/>
          <w:bCs/>
          <w:sz w:val="28"/>
          <w:szCs w:val="28"/>
          <w:lang w:eastAsia="zh-CN"/>
        </w:rPr>
        <w:t>服务期</w:t>
      </w:r>
      <w:r>
        <w:rPr>
          <w:rFonts w:hint="eastAsia" w:ascii="宋体" w:hAnsi="宋体"/>
          <w:b/>
          <w:bCs/>
          <w:sz w:val="28"/>
          <w:szCs w:val="28"/>
        </w:rPr>
        <w:t>、履约验收等商务方面进行响应说明，并保证响应的真实性。</w:t>
      </w:r>
    </w:p>
    <w:p>
      <w:pPr>
        <w:pStyle w:val="2"/>
        <w:ind w:firstLine="0"/>
        <w:rPr>
          <w:rFonts w:ascii="宋体" w:hAnsi="宋体"/>
          <w:b/>
          <w:bCs/>
          <w:sz w:val="28"/>
          <w:szCs w:val="28"/>
        </w:rPr>
      </w:pPr>
      <w:r>
        <w:rPr>
          <w:rFonts w:hint="eastAsia" w:ascii="宋体" w:hAnsi="宋体"/>
          <w:b/>
          <w:bCs/>
          <w:sz w:val="28"/>
          <w:szCs w:val="28"/>
        </w:rPr>
        <w:t>偏差说明填写：正偏离（标明正偏离内容）、符合。</w:t>
      </w:r>
    </w:p>
    <w:p>
      <w:pPr>
        <w:pStyle w:val="2"/>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headerReference r:id="rId14" w:type="default"/>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24"/>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kinsoku w:val="0"/>
        <w:spacing w:line="480" w:lineRule="auto"/>
        <w:ind w:left="1232" w:hanging="1232" w:hangingChars="440"/>
        <w:jc w:val="left"/>
        <w:rPr>
          <w:rFonts w:asciiTheme="minorEastAsia" w:hAnsiTheme="minorEastAsia" w:cstheme="minorEastAsia"/>
          <w:sz w:val="28"/>
          <w:szCs w:val="28"/>
        </w:rPr>
      </w:pPr>
    </w:p>
    <w:tbl>
      <w:tblPr>
        <w:tblStyle w:val="2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招标文件要求</w:t>
            </w:r>
          </w:p>
          <w:p>
            <w:pPr>
              <w:pStyle w:val="13"/>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eastAsia="zh-CN"/>
              </w:rPr>
              <w:t>服务</w:t>
            </w:r>
            <w:r>
              <w:rPr>
                <w:rFonts w:hint="eastAsia" w:asciiTheme="minorEastAsia" w:hAnsiTheme="minorEastAsia" w:cstheme="minorEastAsia"/>
                <w:sz w:val="24"/>
                <w:szCs w:val="24"/>
              </w:rPr>
              <w:t>要求</w:t>
            </w:r>
          </w:p>
        </w:tc>
        <w:tc>
          <w:tcPr>
            <w:tcW w:w="2443" w:type="dxa"/>
            <w:vAlign w:val="center"/>
          </w:tcPr>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服务</w:t>
            </w:r>
            <w:r>
              <w:rPr>
                <w:rFonts w:hint="eastAsia" w:asciiTheme="minorEastAsia" w:hAnsiTheme="minorEastAsia" w:cstheme="minorEastAsia"/>
                <w:sz w:val="24"/>
                <w:szCs w:val="24"/>
              </w:rPr>
              <w:t>内容</w:t>
            </w:r>
          </w:p>
        </w:tc>
        <w:tc>
          <w:tcPr>
            <w:tcW w:w="1621"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3"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21"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bl>
    <w:p>
      <w:pPr>
        <w:pStyle w:val="13"/>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请按招标文件要求的实际</w:t>
      </w:r>
      <w:r>
        <w:rPr>
          <w:rFonts w:hint="eastAsia" w:asciiTheme="minorEastAsia" w:hAnsiTheme="minorEastAsia" w:cstheme="minorEastAsia"/>
          <w:sz w:val="28"/>
          <w:szCs w:val="28"/>
          <w:lang w:eastAsia="zh-CN"/>
        </w:rPr>
        <w:t>服务</w:t>
      </w:r>
      <w:r>
        <w:rPr>
          <w:rFonts w:hint="eastAsia" w:asciiTheme="minorEastAsia" w:hAnsiTheme="minorEastAsia" w:cstheme="minorEastAsia"/>
          <w:sz w:val="28"/>
          <w:szCs w:val="28"/>
        </w:rPr>
        <w:t>要求，逐条对应投标文件的“采购要求”中的服务要求认真填写本表。偏差说明填写：正偏离（标明正偏离内容及正偏离的证明材料的页码）、符合（标明主要技术参数证明材料页码）或负偏离。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p>
    <w:p>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期：年</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日</w:t>
      </w:r>
    </w:p>
    <w:bookmarkEnd w:id="151"/>
    <w:p>
      <w:pPr>
        <w:pStyle w:val="4"/>
        <w:rPr>
          <w:sz w:val="32"/>
          <w:szCs w:val="32"/>
        </w:rPr>
      </w:pPr>
      <w:bookmarkStart w:id="157" w:name="_Toc27011"/>
      <w:r>
        <w:rPr>
          <w:rFonts w:hint="eastAsia"/>
          <w:sz w:val="32"/>
          <w:szCs w:val="32"/>
        </w:rPr>
        <w:t>第</w:t>
      </w:r>
      <w:r>
        <w:rPr>
          <w:rFonts w:hint="eastAsia"/>
          <w:sz w:val="32"/>
          <w:szCs w:val="32"/>
          <w:lang w:eastAsia="zh-CN"/>
        </w:rPr>
        <w:t>七</w:t>
      </w:r>
      <w:r>
        <w:rPr>
          <w:rFonts w:hint="eastAsia"/>
          <w:sz w:val="32"/>
          <w:szCs w:val="32"/>
        </w:rPr>
        <w:t>章</w:t>
      </w:r>
      <w:bookmarkEnd w:id="152"/>
      <w:r>
        <w:rPr>
          <w:rFonts w:hint="eastAsia"/>
          <w:sz w:val="32"/>
          <w:szCs w:val="32"/>
          <w:lang w:val="en-US" w:eastAsia="zh-CN"/>
        </w:rPr>
        <w:t xml:space="preserve">   </w:t>
      </w:r>
      <w:r>
        <w:rPr>
          <w:rFonts w:hint="eastAsia"/>
          <w:sz w:val="32"/>
          <w:szCs w:val="32"/>
        </w:rPr>
        <w:t>技术支持资料</w:t>
      </w:r>
      <w:bookmarkEnd w:id="157"/>
    </w:p>
    <w:p>
      <w:pPr>
        <w:spacing w:line="480" w:lineRule="auto"/>
        <w:rPr>
          <w:b/>
          <w:bCs/>
          <w:color w:val="FF0000"/>
          <w:sz w:val="36"/>
          <w:szCs w:val="36"/>
        </w:rPr>
      </w:pPr>
      <w:r>
        <w:rPr>
          <w:rFonts w:hint="eastAsia"/>
          <w:b/>
          <w:bCs/>
          <w:color w:val="FF0000"/>
          <w:sz w:val="36"/>
          <w:szCs w:val="36"/>
        </w:rPr>
        <w:t>投标人可根据评审办法自行编写，格式不限：</w:t>
      </w:r>
    </w:p>
    <w:p/>
    <w:p>
      <w:r>
        <w:rPr>
          <w:rFonts w:hint="eastAsia"/>
        </w:rPr>
        <w:br w:type="page"/>
      </w:r>
    </w:p>
    <w:p/>
    <w:p>
      <w:pPr>
        <w:pStyle w:val="4"/>
      </w:pPr>
      <w:bookmarkStart w:id="158" w:name="_Toc16435"/>
      <w:bookmarkStart w:id="159" w:name="_Toc11540"/>
      <w:bookmarkStart w:id="160" w:name="_Toc29853"/>
      <w:r>
        <w:rPr>
          <w:rFonts w:hint="eastAsia"/>
        </w:rPr>
        <w:t>第</w:t>
      </w:r>
      <w:r>
        <w:rPr>
          <w:rFonts w:hint="eastAsia"/>
          <w:lang w:eastAsia="zh-CN"/>
        </w:rPr>
        <w:t>八</w:t>
      </w:r>
      <w:r>
        <w:rPr>
          <w:rFonts w:hint="eastAsia"/>
        </w:rPr>
        <w:t>章  投标人业绩一览表</w:t>
      </w:r>
      <w:bookmarkEnd w:id="158"/>
      <w:bookmarkEnd w:id="159"/>
      <w:bookmarkEnd w:id="160"/>
    </w:p>
    <w:p>
      <w:pPr>
        <w:rPr>
          <w:rFonts w:asciiTheme="minorEastAsia" w:hAnsiTheme="minorEastAsia" w:cstheme="minorEastAsia"/>
        </w:rPr>
      </w:pPr>
    </w:p>
    <w:tbl>
      <w:tblPr>
        <w:tblStyle w:val="25"/>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w:t>
      </w:r>
      <w:r>
        <w:rPr>
          <w:rFonts w:hint="eastAsia" w:ascii="宋体" w:hAnsi="宋体" w:cs="宋体"/>
          <w:color w:val="000000"/>
          <w:sz w:val="24"/>
          <w:szCs w:val="24"/>
        </w:rPr>
        <w:t>投标人（仅限于投标人自己实施的）以上业绩需提供采购合同复印件加盖公章</w:t>
      </w:r>
      <w:r>
        <w:rPr>
          <w:rFonts w:hint="eastAsia" w:asciiTheme="minorEastAsia" w:hAnsiTheme="minorEastAsia" w:cstheme="minorEastAsia"/>
          <w:sz w:val="24"/>
          <w:szCs w:val="24"/>
        </w:rPr>
        <w:t>。</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4"/>
        <w:rPr>
          <w:sz w:val="36"/>
          <w:szCs w:val="36"/>
        </w:rPr>
      </w:pPr>
      <w:bookmarkStart w:id="161" w:name="_Toc25377"/>
      <w:bookmarkStart w:id="162" w:name="_Toc18894"/>
      <w:bookmarkStart w:id="163" w:name="_Toc29034"/>
      <w:bookmarkStart w:id="164" w:name="_Toc24503"/>
      <w:r>
        <w:rPr>
          <w:rFonts w:hint="eastAsia"/>
          <w:sz w:val="36"/>
          <w:szCs w:val="36"/>
        </w:rPr>
        <w:t>第</w:t>
      </w:r>
      <w:r>
        <w:rPr>
          <w:rFonts w:hint="eastAsia"/>
          <w:sz w:val="36"/>
          <w:szCs w:val="36"/>
          <w:lang w:eastAsia="zh-CN"/>
        </w:rPr>
        <w:t>九</w:t>
      </w:r>
      <w:r>
        <w:rPr>
          <w:rFonts w:hint="eastAsia"/>
          <w:sz w:val="36"/>
          <w:szCs w:val="36"/>
        </w:rPr>
        <w:t>章  投标人认为有必要说明的其他问题</w:t>
      </w:r>
      <w:bookmarkEnd w:id="161"/>
      <w:bookmarkEnd w:id="162"/>
      <w:bookmarkEnd w:id="163"/>
      <w:bookmarkEnd w:id="164"/>
    </w:p>
    <w:p>
      <w:pPr>
        <w:rPr>
          <w:rFonts w:asciiTheme="minorEastAsia" w:hAnsiTheme="minorEastAsia" w:cstheme="minorEastAsia"/>
          <w:sz w:val="24"/>
        </w:rPr>
      </w:pPr>
      <w:r>
        <w:rPr>
          <w:rFonts w:hint="eastAsia" w:asciiTheme="minorEastAsia" w:hAnsiTheme="minorEastAsia" w:cstheme="minorEastAsia"/>
          <w:sz w:val="24"/>
        </w:rPr>
        <w:t xml:space="preserve"> 投标人认为有必要提供的其他证明文件</w:t>
      </w:r>
    </w:p>
    <w:p>
      <w:pPr>
        <w:pStyle w:val="2"/>
      </w:pPr>
    </w:p>
    <w:p>
      <w:pPr>
        <w:rPr>
          <w:b/>
          <w:bCs/>
          <w:sz w:val="44"/>
          <w:szCs w:val="48"/>
        </w:rPr>
      </w:pPr>
      <w:r>
        <w:rPr>
          <w:rFonts w:hint="eastAsia"/>
          <w:b/>
          <w:bCs/>
          <w:sz w:val="44"/>
          <w:szCs w:val="48"/>
        </w:rPr>
        <w:t>投标人可在此处附附件二至附件五的证明材料，如没有提供，视为无。</w:t>
      </w:r>
    </w:p>
    <w:p>
      <w:pPr>
        <w:pStyle w:val="4"/>
        <w:rPr>
          <w:rFonts w:asciiTheme="minorEastAsia" w:hAnsiTheme="minorEastAsia" w:eastAsiaTheme="minorEastAsia" w:cstheme="minorEastAsia"/>
          <w:sz w:val="36"/>
          <w:szCs w:val="36"/>
        </w:rPr>
      </w:pPr>
      <w:r>
        <w:rPr>
          <w:rFonts w:hint="eastAsia" w:asciiTheme="minorEastAsia" w:hAnsiTheme="minorEastAsia" w:eastAsiaTheme="minorEastAsia" w:cstheme="minorEastAsia"/>
        </w:rPr>
        <w:br w:type="page"/>
      </w:r>
      <w:bookmarkStart w:id="165" w:name="_Toc21392"/>
      <w:bookmarkStart w:id="166" w:name="_Toc8860"/>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eastAsia="zh-CN"/>
        </w:rPr>
        <w:t>十</w:t>
      </w:r>
      <w:r>
        <w:rPr>
          <w:rFonts w:hint="eastAsia" w:asciiTheme="minorEastAsia" w:hAnsiTheme="minorEastAsia" w:eastAsiaTheme="minorEastAsia" w:cstheme="minorEastAsia"/>
          <w:sz w:val="36"/>
          <w:szCs w:val="36"/>
        </w:rPr>
        <w:t>章  投标人承诺书</w:t>
      </w:r>
      <w:bookmarkEnd w:id="165"/>
      <w:bookmarkEnd w:id="166"/>
    </w:p>
    <w:p>
      <w:pPr>
        <w:pStyle w:val="13"/>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为响应党中央、国务院关于治理政府采购领域商业贿赂行为的号召，我公司在此庄严承诺：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1、在参与政府采购活动中遵纪守法、诚信经营、公平竞标。</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2、不向政府采购人、代理机构和政府采购评审专家进行任何形式的商业贿赂以谋取交易机会。</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3、不向政府代理机构和采购人提供虚假资质文件或采用虚假应标方式参与政府采购市场竞争并谋取成交、成交。</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4、不采取“围标、陪标”等商业欺诈手段获得政府采购订单。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5、不采取不正当手段诋毁、排挤其它供货商。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6、不在提供商品和服务时“偷梁换柱、以次充好”损害采购人的合法权益。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7、不与采购人、代理机构政府采购评审专家或其它供货商恶意串通，进行质疑和投诉，维护政府采购市场秩序。</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8、尊重和接受政府采购监督管理部门的监督和政府代理机构招标采购要求，承担因违约行为给采购人造成的损失。</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9、不发生其它有悖于政府采购公开、公平、公正和诚信原则的行为。</w:t>
      </w:r>
    </w:p>
    <w:p>
      <w:pPr>
        <w:adjustRightInd w:val="0"/>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p>
    <w:p>
      <w:pPr>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法定代表人/被授权人（签字或盖章）：</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邮  编：</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电  话： </w:t>
      </w:r>
    </w:p>
    <w:p>
      <w:pPr>
        <w:snapToGrid w:val="0"/>
        <w:spacing w:line="500" w:lineRule="exact"/>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时  间：年月日</w:t>
      </w:r>
    </w:p>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headerReference r:id="rId15" w:type="default"/>
          <w:footerReference r:id="rId16" w:type="default"/>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167" w:name="_Toc11130"/>
      <w:bookmarkStart w:id="168" w:name="_Toc4367"/>
      <w:r>
        <w:rPr>
          <w:rFonts w:hint="eastAsia" w:asciiTheme="minorEastAsia" w:hAnsiTheme="minorEastAsia" w:eastAsiaTheme="minorEastAsia" w:cstheme="minorEastAsia"/>
        </w:rPr>
        <w:t>附件一：封袋正面标识式样</w:t>
      </w:r>
      <w:bookmarkEnd w:id="167"/>
      <w:bookmarkEnd w:id="168"/>
    </w:p>
    <w:p>
      <w:pPr>
        <w:spacing w:line="460" w:lineRule="exact"/>
        <w:ind w:firstLine="562" w:firstLineChars="200"/>
        <w:jc w:val="left"/>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-274320</wp:posOffset>
                </wp:positionH>
                <wp:positionV relativeFrom="paragraph">
                  <wp:posOffset>193675</wp:posOffset>
                </wp:positionV>
                <wp:extent cx="6255385" cy="3514725"/>
                <wp:effectExtent l="4445" t="4445" r="7620" b="5080"/>
                <wp:wrapNone/>
                <wp:docPr id="1" name="Text Box 3"/>
                <wp:cNvGraphicFramePr/>
                <a:graphic xmlns:a="http://schemas.openxmlformats.org/drawingml/2006/main">
                  <a:graphicData uri="http://schemas.microsoft.com/office/word/2010/wordprocessingShape">
                    <wps:wsp>
                      <wps:cNvSpPr txBox="1"/>
                      <wps:spPr>
                        <a:xfrm>
                          <a:off x="0" y="0"/>
                          <a:ext cx="6255385" cy="3514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76.75pt;width:492.55pt;z-index:251667456;mso-width-relative:page;mso-height-relative:page;" fillcolor="#FFFFFF" filled="t" stroked="t" coordsize="21600,21600" o:gfxdata="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vxvP2gAAAAoBAAAPAAAAAAAAAAEAIAAAACIAAABkcnMv&#10;ZG93bnJldi54bWxQSwECFAAUAAAACACHTuJAHtJo1AECAABEBAAADgAAAAAAAAABACAAAAApAQAA&#10;ZHJzL2Uyb0RvYy54bWxQSwUGAAAAAAYABgBZAQAAnAUAAAAA&#10;">
                <v:fill on="t" focussize="0,0"/>
                <v:stroke color="#000000" joinstyle="miter"/>
                <v:imagedata o:title=""/>
                <o:lock v:ext="edit" aspectratio="f"/>
                <v:textbo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8480" behindDoc="0" locked="0" layoutInCell="1" allowOverlap="1">
                <wp:simplePos x="0" y="0"/>
                <wp:positionH relativeFrom="column">
                  <wp:posOffset>-300990</wp:posOffset>
                </wp:positionH>
                <wp:positionV relativeFrom="paragraph">
                  <wp:posOffset>38100</wp:posOffset>
                </wp:positionV>
                <wp:extent cx="6288405" cy="3509010"/>
                <wp:effectExtent l="4445" t="4445" r="12700" b="10795"/>
                <wp:wrapNone/>
                <wp:docPr id="2" name="Text Box 4"/>
                <wp:cNvGraphicFramePr/>
                <a:graphic xmlns:a="http://schemas.openxmlformats.org/drawingml/2006/main">
                  <a:graphicData uri="http://schemas.microsoft.com/office/word/2010/wordprocessingShape">
                    <wps:wsp>
                      <wps:cNvSpPr txBox="1"/>
                      <wps:spPr>
                        <a:xfrm>
                          <a:off x="0" y="0"/>
                          <a:ext cx="6288405" cy="3509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6.3pt;width:495.15pt;z-index:251668480;mso-width-relative:page;mso-height-relative:page;" fillcolor="#FFFFFF" filled="t" stroked="t" coordsize="21600,21600" o:gfxdata="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zd/f9kAAAAJAQAADwAAAAAAAAABACAAAAAiAAAAZHJzL2Rv&#10;d25yZXYueG1sUEsBAhQAFAAAAAgAh07iQCPEHHUAAgAARAQAAA4AAAAAAAAAAQAgAAAAKAEAAGRy&#10;cy9lMm9Eb2MueG1sUEsFBgAAAAAGAAYAWQEAAJoFAAAAAA==&#10;">
                <v:fill on="t" focussize="0,0"/>
                <v:stroke color="#000000" joinstyle="miter"/>
                <v:imagedata o:title=""/>
                <o:lock v:ext="edit" aspectratio="f"/>
                <v:textbo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9504" behindDoc="0" locked="0" layoutInCell="1" allowOverlap="1">
                <wp:simplePos x="0" y="0"/>
                <wp:positionH relativeFrom="column">
                  <wp:posOffset>-275590</wp:posOffset>
                </wp:positionH>
                <wp:positionV relativeFrom="paragraph">
                  <wp:posOffset>227965</wp:posOffset>
                </wp:positionV>
                <wp:extent cx="6189345" cy="3365500"/>
                <wp:effectExtent l="5080" t="4445" r="15875" b="2095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7pt;margin-top:17.95pt;height:265pt;width:487.35pt;z-index:251669504;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oTQfZAAAACgEAAA8AAAAAAAAAAQAgAAAAIgAAAGRy&#10;cy9kb3ducmV2LnhtbFBLAQIUABQAAAAIAIdO4kCwGmSVBAIAAEQEAAAOAAAAAAAAAAEAIAAAACgB&#10;AABkcnMvZTJvRG9jLnhtbFBLBQYAAAAABgAGAFkBAACeBQAAAAA=&#10;">
                <v:fill on="t" focussize="0,0"/>
                <v:stroke color="#000000" joinstyle="miter"/>
                <v:imagedata o:title=""/>
                <o:lock v:ext="edit" aspectratio="f"/>
                <v:textbo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70528" behindDoc="0" locked="0" layoutInCell="1" allowOverlap="1">
                <wp:simplePos x="0" y="0"/>
                <wp:positionH relativeFrom="column">
                  <wp:posOffset>-360045</wp:posOffset>
                </wp:positionH>
                <wp:positionV relativeFrom="paragraph">
                  <wp:posOffset>150495</wp:posOffset>
                </wp:positionV>
                <wp:extent cx="6455410" cy="3574415"/>
                <wp:effectExtent l="4445" t="4445" r="17145" b="2159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70528;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pJhfzAECAABEBAAADgAAAAAAAAABACAAAAApAQAA&#10;ZHJzL2Uyb0RvYy54bWxQSwUGAAAAAAYABgBZAQAAnAUAAAAA&#10;">
                <v:fill on="t" focussize="0,0"/>
                <v:stroke color="#000000" joinstyle="miter"/>
                <v:imagedata o:title=""/>
                <o:lock v:ext="edit" aspectratio="f"/>
                <v:textbox>
                  <w:txbxContent>
                    <w:p>
                      <w:pPr>
                        <w:jc w:val="center"/>
                        <w:rPr>
                          <w:rFonts w:hint="eastAsia" w:eastAsiaTheme="minorEastAsia"/>
                          <w:sz w:val="28"/>
                          <w:szCs w:val="28"/>
                          <w:lang w:eastAsia="zh-CN"/>
                        </w:rPr>
                      </w:pPr>
                      <w:r>
                        <w:rPr>
                          <w:rFonts w:hint="eastAsia"/>
                          <w:sz w:val="28"/>
                          <w:szCs w:val="28"/>
                        </w:rPr>
                        <w:t>致：陕西万泽招标有限公司               项目编号：</w:t>
                      </w:r>
                      <w:r>
                        <w:rPr>
                          <w:rFonts w:hint="eastAsia"/>
                          <w:sz w:val="28"/>
                          <w:szCs w:val="28"/>
                          <w:lang w:eastAsia="zh-CN"/>
                        </w:rPr>
                        <w:t>SXWZ2023ZB-YXY-045</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西安医学院零星维修服务外包项目</w:t>
                      </w:r>
                    </w:p>
                    <w:p>
                      <w:pPr>
                        <w:jc w:val="center"/>
                        <w:rPr>
                          <w:b/>
                          <w:sz w:val="44"/>
                          <w:szCs w:val="44"/>
                        </w:rPr>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169" w:name="_Toc3589"/>
      <w:bookmarkStart w:id="170" w:name="_Toc2914"/>
      <w:r>
        <w:rPr>
          <w:rFonts w:hint="eastAsia" w:asciiTheme="minorEastAsia" w:hAnsiTheme="minorEastAsia" w:eastAsiaTheme="minorEastAsia" w:cstheme="minorEastAsia"/>
        </w:rPr>
        <w:t>附件二、中小企业申明</w:t>
      </w:r>
      <w:bookmarkEnd w:id="169"/>
      <w:bookmarkEnd w:id="170"/>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根据《政府采购促进中小企业发展暂行办法》（财库[2020]46号）的规定，由投标人自行声明并对真实性负责。如有虚假，将依法承担相应责任。</w:t>
      </w:r>
    </w:p>
    <w:p>
      <w:pPr>
        <w:jc w:val="center"/>
        <w:rPr>
          <w:sz w:val="36"/>
          <w:szCs w:val="40"/>
        </w:rPr>
      </w:pPr>
      <w:bookmarkStart w:id="171" w:name="_Toc3042"/>
      <w:bookmarkStart w:id="172" w:name="_Toc28796"/>
      <w:bookmarkStart w:id="173" w:name="_Toc8550"/>
      <w:bookmarkStart w:id="174" w:name="_Toc29465"/>
      <w:bookmarkStart w:id="175" w:name="_Toc32759"/>
      <w:bookmarkStart w:id="176" w:name="_Toc19600"/>
      <w:bookmarkStart w:id="177" w:name="_Toc23340"/>
      <w:bookmarkStart w:id="178" w:name="_Toc5968"/>
      <w:bookmarkStart w:id="179" w:name="_Toc14498"/>
      <w:bookmarkStart w:id="180" w:name="_Toc8096"/>
      <w:bookmarkStart w:id="181" w:name="_Toc21389"/>
      <w:bookmarkStart w:id="182" w:name="_Toc10779"/>
      <w:bookmarkStart w:id="183" w:name="_Toc17921"/>
      <w:r>
        <w:rPr>
          <w:rFonts w:hint="eastAsia"/>
          <w:sz w:val="36"/>
          <w:szCs w:val="40"/>
        </w:rPr>
        <w:t>中小企业声明函</w:t>
      </w:r>
    </w:p>
    <w:p>
      <w:pPr>
        <w:pStyle w:val="10"/>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采购活动，服务全部由符合政策要求的中小企业承接）。相关企业（含联合体中的中小企业、签订分包意向协议的中小企业）的具体情况如下：</w:t>
      </w:r>
    </w:p>
    <w:p>
      <w:pPr>
        <w:pStyle w:val="67"/>
        <w:numPr>
          <w:ilvl w:val="0"/>
          <w:numId w:val="25"/>
        </w:numPr>
        <w:tabs>
          <w:tab w:val="left" w:pos="1183"/>
          <w:tab w:val="left" w:pos="1484"/>
          <w:tab w:val="left" w:pos="4662"/>
          <w:tab w:val="left" w:pos="6903"/>
        </w:tabs>
        <w:spacing w:line="360" w:lineRule="auto"/>
        <w:ind w:right="169" w:firstLine="504"/>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67"/>
        <w:numPr>
          <w:ilvl w:val="0"/>
          <w:numId w:val="25"/>
        </w:numPr>
        <w:tabs>
          <w:tab w:val="left" w:pos="1183"/>
          <w:tab w:val="left" w:pos="1484"/>
          <w:tab w:val="left" w:pos="4662"/>
          <w:tab w:val="left" w:pos="6903"/>
        </w:tabs>
        <w:spacing w:line="360" w:lineRule="auto"/>
        <w:ind w:right="169" w:firstLine="504"/>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10"/>
        <w:spacing w:line="360" w:lineRule="auto"/>
        <w:ind w:left="860"/>
        <w:rPr>
          <w:rFonts w:ascii="宋体" w:hAnsi="宋体"/>
          <w:spacing w:val="6"/>
          <w:sz w:val="24"/>
        </w:rPr>
      </w:pPr>
      <w:r>
        <w:rPr>
          <w:rFonts w:hint="eastAsia" w:ascii="宋体" w:hAnsi="宋体"/>
          <w:spacing w:val="6"/>
          <w:sz w:val="24"/>
        </w:rPr>
        <w:t>……</w:t>
      </w:r>
    </w:p>
    <w:p>
      <w:pPr>
        <w:pStyle w:val="10"/>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10"/>
        <w:spacing w:line="360" w:lineRule="auto"/>
        <w:ind w:right="372" w:firstLine="645"/>
        <w:rPr>
          <w:rFonts w:ascii="宋体" w:hAnsi="宋体"/>
          <w:spacing w:val="6"/>
          <w:sz w:val="24"/>
        </w:rPr>
      </w:pPr>
      <w:r>
        <w:rPr>
          <w:rFonts w:hint="eastAsia" w:ascii="宋体" w:hAnsi="宋体"/>
          <w:spacing w:val="6"/>
          <w:sz w:val="24"/>
        </w:rPr>
        <w:t>本企业对上述声明内容的真实性负责。如有虚假，将依法承担相应责任。</w:t>
      </w:r>
    </w:p>
    <w:p>
      <w:pPr>
        <w:pStyle w:val="10"/>
        <w:spacing w:line="304" w:lineRule="auto"/>
        <w:ind w:right="375" w:firstLine="640"/>
      </w:pPr>
    </w:p>
    <w:p>
      <w:pPr>
        <w:spacing w:line="360" w:lineRule="auto"/>
        <w:jc w:val="left"/>
        <w:rPr>
          <w:rFonts w:ascii="宋体" w:hAnsi="宋体"/>
          <w:spacing w:val="6"/>
          <w:sz w:val="24"/>
        </w:rPr>
      </w:pPr>
      <w:r>
        <w:rPr>
          <w:rFonts w:hint="eastAsia" w:ascii="宋体" w:hAnsi="宋体"/>
          <w:spacing w:val="6"/>
          <w:sz w:val="24"/>
        </w:rPr>
        <w:t>企业名称（盖章）：</w:t>
      </w:r>
    </w:p>
    <w:p>
      <w:pPr>
        <w:spacing w:line="360" w:lineRule="auto"/>
        <w:jc w:val="left"/>
        <w:rPr>
          <w:rFonts w:ascii="宋体" w:hAnsi="宋体"/>
          <w:spacing w:val="6"/>
          <w:sz w:val="24"/>
          <w:szCs w:val="24"/>
        </w:rPr>
      </w:pPr>
      <w:r>
        <w:rPr>
          <w:rFonts w:hint="eastAsia" w:ascii="宋体" w:hAnsi="宋体"/>
          <w:spacing w:val="6"/>
          <w:sz w:val="24"/>
        </w:rPr>
        <w:t>日期：</w:t>
      </w:r>
    </w:p>
    <w:p>
      <w:r>
        <w:rPr>
          <w:rFonts w:hint="eastAsia"/>
        </w:rPr>
        <w:br w:type="page"/>
      </w:r>
    </w:p>
    <w:p>
      <w:pPr>
        <w:pStyle w:val="4"/>
      </w:pPr>
      <w:bookmarkStart w:id="184" w:name="_Toc13599"/>
      <w:r>
        <w:rPr>
          <w:rFonts w:hint="eastAsia"/>
        </w:rPr>
        <w:t>附件三、残疾人福利性单位声明</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根据《三部门联合发布关于促进残疾人就业政府采购政策的通知》（财库〔2017〕141号）的规定，由投标人自行申明，并对申明真实性负责。如有虚假，将依法承担相应责任。</w:t>
      </w:r>
    </w:p>
    <w:p/>
    <w:p>
      <w:pPr>
        <w:spacing w:line="588" w:lineRule="exact"/>
        <w:jc w:val="center"/>
        <w:rPr>
          <w:rFonts w:ascii="宋体" w:hAnsi="宋体"/>
          <w:b/>
          <w:spacing w:val="6"/>
          <w:sz w:val="24"/>
          <w:szCs w:val="24"/>
        </w:rPr>
      </w:pPr>
      <w:bookmarkStart w:id="185" w:name="OLE_LINK14"/>
      <w:r>
        <w:rPr>
          <w:rFonts w:hint="eastAsia" w:ascii="宋体" w:hAnsi="宋体"/>
          <w:b/>
          <w:spacing w:val="6"/>
          <w:sz w:val="24"/>
          <w:szCs w:val="24"/>
        </w:rPr>
        <w:t>残疾人福利性单位声明函</w:t>
      </w:r>
      <w:bookmarkEnd w:id="185"/>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单位名称（盖章）：</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日  期：</w:t>
      </w:r>
    </w:p>
    <w:p>
      <w:pPr>
        <w:pStyle w:val="4"/>
        <w:adjustRightInd w:val="0"/>
        <w:spacing w:line="416" w:lineRule="atLeast"/>
        <w:textAlignment w:val="baseline"/>
        <w:rPr>
          <w:rFonts w:ascii="宋体" w:hAnsi="宋体"/>
        </w:rPr>
      </w:pPr>
      <w:bookmarkStart w:id="186" w:name="_Toc27669"/>
      <w:bookmarkStart w:id="187" w:name="_Toc9973"/>
      <w:bookmarkStart w:id="188" w:name="_Toc16651"/>
      <w:bookmarkStart w:id="189" w:name="_Toc441"/>
      <w:bookmarkStart w:id="190" w:name="_Toc15247"/>
      <w:bookmarkStart w:id="191" w:name="_Toc22143"/>
      <w:bookmarkStart w:id="192" w:name="_Toc6674"/>
      <w:bookmarkStart w:id="193" w:name="_Toc27652"/>
      <w:bookmarkStart w:id="194" w:name="_Toc9670"/>
      <w:bookmarkStart w:id="195" w:name="_Toc21493"/>
      <w:bookmarkStart w:id="196" w:name="_Toc2565"/>
      <w:bookmarkStart w:id="197" w:name="_Toc6406"/>
      <w:bookmarkStart w:id="198" w:name="_Toc10115"/>
      <w:bookmarkStart w:id="199" w:name="_Toc21483"/>
      <w:bookmarkStart w:id="200" w:name="_Toc26998"/>
      <w:bookmarkStart w:id="201" w:name="_Toc15184"/>
      <w:bookmarkStart w:id="202" w:name="_Toc15467"/>
      <w:bookmarkStart w:id="203" w:name="_Toc14747"/>
      <w:r>
        <w:rPr>
          <w:rFonts w:hint="eastAsia" w:ascii="宋体" w:hAnsi="宋体"/>
        </w:rPr>
        <w:t>附件四、监狱企业证明文件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rPr>
          <w:rFonts w:ascii="宋体" w:hAnsi="宋体"/>
        </w:rPr>
      </w:pPr>
    </w:p>
    <w:p>
      <w:pPr>
        <w:snapToGrid w:val="0"/>
        <w:spacing w:line="360" w:lineRule="auto"/>
        <w:ind w:firstLine="504"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rPr>
      </w:pPr>
      <w:bookmarkStart w:id="204" w:name="_Toc31338"/>
      <w:bookmarkStart w:id="205" w:name="_Toc29358"/>
      <w:bookmarkStart w:id="206" w:name="_Toc27326"/>
      <w:bookmarkStart w:id="207" w:name="_Toc18446"/>
      <w:bookmarkStart w:id="208" w:name="_Toc5020"/>
      <w:bookmarkStart w:id="209" w:name="_Toc22336"/>
      <w:bookmarkStart w:id="210" w:name="_Toc14693"/>
      <w:bookmarkStart w:id="211" w:name="_Toc19378"/>
      <w:bookmarkStart w:id="212" w:name="_Toc14629"/>
      <w:bookmarkStart w:id="213" w:name="_Toc21834"/>
      <w:bookmarkStart w:id="214" w:name="_Toc12828"/>
      <w:bookmarkStart w:id="215" w:name="_Toc22428"/>
      <w:bookmarkStart w:id="216" w:name="_Toc24315"/>
      <w:bookmarkStart w:id="217" w:name="_Toc810"/>
      <w:bookmarkStart w:id="218" w:name="_Toc24197"/>
      <w:bookmarkStart w:id="219" w:name="_Toc4076"/>
      <w:bookmarkStart w:id="220" w:name="_Toc13303"/>
      <w:bookmarkStart w:id="221" w:name="_Toc23254"/>
      <w:r>
        <w:rPr>
          <w:rFonts w:hint="eastAsia" w:ascii="宋体" w:hAnsi="宋体"/>
        </w:rPr>
        <w:t>附件五、“节能产品”，“环境标志产品”证明材料</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widowControl/>
        <w:spacing w:line="360" w:lineRule="auto"/>
        <w:ind w:firstLine="504" w:firstLineChars="200"/>
        <w:rPr>
          <w:rFonts w:ascii="宋体" w:hAnsi="宋体"/>
          <w:spacing w:val="6"/>
          <w:sz w:val="24"/>
        </w:rPr>
      </w:pPr>
      <w:r>
        <w:rPr>
          <w:rFonts w:hint="eastAsia" w:ascii="宋体" w:hAnsi="宋体"/>
          <w:spacing w:val="6"/>
          <w:sz w:val="24"/>
        </w:rPr>
        <w:t xml:space="preserve"> 说明：</w:t>
      </w:r>
    </w:p>
    <w:p>
      <w:pPr>
        <w:widowControl/>
        <w:spacing w:line="360" w:lineRule="auto"/>
        <w:ind w:firstLine="504" w:firstLineChars="200"/>
        <w:rPr>
          <w:rFonts w:ascii="宋体" w:hAnsi="宋体"/>
          <w:spacing w:val="6"/>
          <w:sz w:val="24"/>
        </w:rPr>
      </w:pPr>
      <w:r>
        <w:rPr>
          <w:rFonts w:hint="eastAsia" w:ascii="宋体" w:hAnsi="宋体"/>
          <w:spacing w:val="6"/>
          <w:sz w:val="24"/>
        </w:rPr>
        <w:t>1、投标人提供的产品属于下列情形，应按照招标文件第三部分投标人须知总则第七款规定提供产品列入“节能产品”，“环境标志产品”所在页的复印件（该夜包含制造商或企业名称或申请单位名称、规格型号、有效期截止日期等内容），并加盖投标人单位章。</w:t>
      </w:r>
    </w:p>
    <w:p>
      <w:pPr>
        <w:widowControl/>
        <w:numPr>
          <w:ilvl w:val="0"/>
          <w:numId w:val="26"/>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财政部、环境保护部发布的《节能产品政府采购清单》中标记的“强制采购节能产品”。</w:t>
      </w:r>
    </w:p>
    <w:p>
      <w:pPr>
        <w:widowControl/>
        <w:numPr>
          <w:ilvl w:val="0"/>
          <w:numId w:val="26"/>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财政部、环境保护部发布的《环境标志产品政府采购清单》中标记的的“环境标志产品”。</w:t>
      </w:r>
    </w:p>
    <w:p>
      <w:pPr>
        <w:widowControl/>
        <w:spacing w:line="360" w:lineRule="auto"/>
        <w:ind w:left="420" w:leftChars="200"/>
        <w:rPr>
          <w:rFonts w:ascii="宋体" w:hAnsi="宋体"/>
          <w:sz w:val="24"/>
          <w:szCs w:val="24"/>
        </w:rPr>
      </w:pPr>
      <w:r>
        <w:rPr>
          <w:rFonts w:hint="eastAsia" w:ascii="宋体" w:hAnsi="宋体"/>
          <w:sz w:val="24"/>
          <w:szCs w:val="24"/>
        </w:rPr>
        <w:t xml:space="preserve">2、未按照上述要求提供的，评审时不予以考虑。 </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宋体" w:hAnsi="宋体"/>
        </w:rPr>
        <w:sectPr>
          <w:footerReference r:id="rId17" w:type="default"/>
          <w:pgSz w:w="11906" w:h="16838"/>
          <w:pgMar w:top="1440" w:right="1803" w:bottom="1440" w:left="1803" w:header="851" w:footer="992" w:gutter="0"/>
          <w:cols w:space="720" w:num="1"/>
          <w:docGrid w:type="lines" w:linePitch="319" w:charSpace="0"/>
        </w:sectPr>
      </w:pPr>
    </w:p>
    <w:p>
      <w:pPr>
        <w:pStyle w:val="4"/>
        <w:rPr>
          <w:rStyle w:val="35"/>
          <w:b/>
        </w:rPr>
      </w:pPr>
      <w:bookmarkStart w:id="222" w:name="_Toc26467"/>
      <w:bookmarkStart w:id="223" w:name="_Toc25020"/>
      <w:bookmarkStart w:id="224" w:name="_Toc14581"/>
      <w:bookmarkStart w:id="225" w:name="_Toc11742"/>
      <w:bookmarkStart w:id="226" w:name="_Toc15916"/>
      <w:bookmarkStart w:id="227" w:name="_Toc3990"/>
      <w:bookmarkStart w:id="228" w:name="_Toc6687"/>
      <w:bookmarkStart w:id="229" w:name="_Toc23948"/>
      <w:bookmarkStart w:id="230" w:name="_Toc25778"/>
      <w:bookmarkStart w:id="231" w:name="_Toc26104"/>
      <w:bookmarkStart w:id="232" w:name="_Toc30719"/>
      <w:bookmarkStart w:id="233" w:name="_Toc32"/>
      <w:bookmarkStart w:id="234" w:name="_Toc7368"/>
      <w:bookmarkStart w:id="235" w:name="_Toc28968"/>
      <w:bookmarkStart w:id="236" w:name="_Toc19371"/>
      <w:r>
        <w:rPr>
          <w:rStyle w:val="35"/>
          <w:rFonts w:hint="eastAsia"/>
          <w:b/>
        </w:rPr>
        <w:t>附件六、质疑函范本</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widowControl/>
        <w:spacing w:line="360" w:lineRule="auto"/>
        <w:jc w:val="left"/>
        <w:rPr>
          <w:rFonts w:ascii="宋体" w:hAnsi="宋体"/>
          <w:spacing w:val="6"/>
          <w:sz w:val="24"/>
        </w:rPr>
      </w:pPr>
      <w:r>
        <w:rPr>
          <w:rFonts w:hint="eastAsia" w:ascii="宋体" w:hAnsi="宋体"/>
          <w:spacing w:val="6"/>
          <w:sz w:val="24"/>
        </w:rPr>
        <w:t>质疑投标人基本信息</w:t>
      </w:r>
    </w:p>
    <w:p>
      <w:pPr>
        <w:widowControl/>
        <w:spacing w:line="360" w:lineRule="auto"/>
        <w:jc w:val="left"/>
      </w:pPr>
      <w:r>
        <w:rPr>
          <w:rFonts w:hint="eastAsia" w:ascii="宋体" w:hAnsi="宋体"/>
          <w:spacing w:val="6"/>
          <w:sz w:val="24"/>
        </w:rPr>
        <w:t>质疑投标人：           </w:t>
      </w:r>
      <w:r>
        <w:rPr>
          <w:rFonts w:hint="eastAsia" w:ascii="宋体" w:hAnsi="宋体"/>
          <w:spacing w:val="6"/>
          <w:sz w:val="24"/>
        </w:rPr>
        <w:br w:type="textWrapping"/>
      </w:r>
      <w:r>
        <w:rPr>
          <w:rFonts w:hint="eastAsia" w:ascii="宋体" w:hAnsi="宋体"/>
          <w:spacing w:val="6"/>
          <w:sz w:val="24"/>
        </w:rPr>
        <w:t xml:space="preserve">地   址：  </w:t>
      </w:r>
    </w:p>
    <w:p>
      <w:pPr>
        <w:widowControl/>
        <w:spacing w:line="360" w:lineRule="auto"/>
        <w:jc w:val="left"/>
        <w:rPr>
          <w:rFonts w:ascii="宋体" w:hAnsi="宋体"/>
          <w:spacing w:val="6"/>
          <w:sz w:val="24"/>
        </w:rPr>
      </w:pPr>
      <w:r>
        <w:rPr>
          <w:rFonts w:hint="eastAsia" w:ascii="宋体" w:hAnsi="宋体"/>
          <w:spacing w:val="6"/>
          <w:sz w:val="24"/>
        </w:rPr>
        <w:t>邮编：          </w:t>
      </w:r>
      <w:r>
        <w:rPr>
          <w:rFonts w:hint="eastAsia" w:ascii="宋体" w:hAnsi="宋体"/>
          <w:spacing w:val="6"/>
          <w:sz w:val="24"/>
        </w:rPr>
        <w:br w:type="textWrapping"/>
      </w:r>
      <w:r>
        <w:rPr>
          <w:rFonts w:hint="eastAsia" w:ascii="宋体" w:hAnsi="宋体"/>
          <w:spacing w:val="6"/>
          <w:sz w:val="24"/>
        </w:rPr>
        <w:t>联系人：     </w:t>
      </w:r>
    </w:p>
    <w:p>
      <w:pPr>
        <w:widowControl/>
        <w:spacing w:line="360" w:lineRule="auto"/>
        <w:jc w:val="left"/>
        <w:rPr>
          <w:rFonts w:ascii="宋体" w:hAnsi="宋体"/>
          <w:spacing w:val="6"/>
          <w:sz w:val="24"/>
        </w:rPr>
      </w:pPr>
      <w:r>
        <w:rPr>
          <w:rFonts w:hint="eastAsia" w:ascii="宋体" w:hAnsi="宋体"/>
          <w:spacing w:val="6"/>
          <w:sz w:val="24"/>
        </w:rPr>
        <w:t>联系电话：           </w:t>
      </w:r>
      <w:r>
        <w:rPr>
          <w:rFonts w:hint="eastAsia" w:ascii="宋体" w:hAnsi="宋体"/>
          <w:spacing w:val="6"/>
          <w:sz w:val="24"/>
        </w:rPr>
        <w:br w:type="textWrapping"/>
      </w:r>
      <w:r>
        <w:rPr>
          <w:rFonts w:hint="eastAsia" w:ascii="宋体" w:hAnsi="宋体"/>
          <w:spacing w:val="6"/>
          <w:sz w:val="24"/>
        </w:rPr>
        <w:t>授权代表：                   </w:t>
      </w:r>
      <w:r>
        <w:rPr>
          <w:rFonts w:hint="eastAsia" w:ascii="宋体" w:hAnsi="宋体"/>
          <w:spacing w:val="6"/>
          <w:sz w:val="24"/>
        </w:rPr>
        <w:br w:type="textWrapping"/>
      </w:r>
      <w:r>
        <w:rPr>
          <w:rFonts w:hint="eastAsia" w:ascii="宋体" w:hAnsi="宋体"/>
          <w:spacing w:val="6"/>
          <w:sz w:val="24"/>
        </w:rPr>
        <w:t>联系电话：                   </w:t>
      </w:r>
      <w:r>
        <w:rPr>
          <w:rFonts w:hint="eastAsia" w:ascii="宋体" w:hAnsi="宋体"/>
          <w:spacing w:val="6"/>
          <w:sz w:val="24"/>
        </w:rPr>
        <w:br w:type="textWrapping"/>
      </w:r>
      <w:r>
        <w:rPr>
          <w:rFonts w:hint="eastAsia" w:ascii="宋体" w:hAnsi="宋体"/>
          <w:spacing w:val="6"/>
          <w:sz w:val="24"/>
        </w:rPr>
        <w:t>地址：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numPr>
          <w:ilvl w:val="0"/>
          <w:numId w:val="27"/>
        </w:numPr>
        <w:spacing w:line="360" w:lineRule="auto"/>
        <w:jc w:val="left"/>
        <w:rPr>
          <w:rFonts w:ascii="宋体" w:hAnsi="宋体"/>
          <w:spacing w:val="6"/>
          <w:sz w:val="24"/>
        </w:rPr>
      </w:pPr>
      <w:r>
        <w:rPr>
          <w:rFonts w:hint="eastAsia" w:ascii="宋体" w:hAnsi="宋体"/>
          <w:spacing w:val="6"/>
          <w:sz w:val="24"/>
        </w:rPr>
        <w:t>质疑项目基本情况</w:t>
      </w:r>
      <w:r>
        <w:rPr>
          <w:rFonts w:hint="eastAsia" w:ascii="宋体" w:hAnsi="宋体"/>
          <w:spacing w:val="6"/>
          <w:sz w:val="24"/>
        </w:rPr>
        <w:br w:type="textWrapping"/>
      </w:r>
      <w:r>
        <w:rPr>
          <w:rFonts w:hint="eastAsia" w:ascii="宋体" w:hAnsi="宋体"/>
          <w:spacing w:val="6"/>
          <w:sz w:val="24"/>
        </w:rPr>
        <w:t>质疑项目的名称：               </w:t>
      </w:r>
      <w:r>
        <w:rPr>
          <w:rFonts w:hint="eastAsia" w:ascii="宋体" w:hAnsi="宋体"/>
          <w:spacing w:val="6"/>
          <w:sz w:val="24"/>
        </w:rPr>
        <w:br w:type="textWrapping"/>
      </w:r>
      <w:r>
        <w:rPr>
          <w:rFonts w:hint="eastAsia" w:ascii="宋体" w:hAnsi="宋体"/>
          <w:spacing w:val="6"/>
          <w:sz w:val="24"/>
        </w:rPr>
        <w:t>质疑项目的编号：                  </w:t>
      </w:r>
    </w:p>
    <w:p>
      <w:pPr>
        <w:widowControl/>
        <w:spacing w:line="360" w:lineRule="auto"/>
        <w:jc w:val="left"/>
        <w:rPr>
          <w:rFonts w:ascii="宋体" w:hAnsi="宋体"/>
          <w:spacing w:val="6"/>
          <w:sz w:val="24"/>
        </w:rPr>
      </w:pPr>
      <w:r>
        <w:rPr>
          <w:rFonts w:hint="eastAsia" w:ascii="宋体" w:hAnsi="宋体"/>
          <w:spacing w:val="6"/>
          <w:sz w:val="24"/>
        </w:rPr>
        <w:t>采购人名称：                    </w:t>
      </w:r>
      <w:r>
        <w:rPr>
          <w:rFonts w:hint="eastAsia" w:ascii="宋体" w:hAnsi="宋体"/>
          <w:spacing w:val="6"/>
          <w:sz w:val="24"/>
        </w:rPr>
        <w:br w:type="textWrapping"/>
      </w:r>
      <w:r>
        <w:rPr>
          <w:rFonts w:hint="eastAsia" w:ascii="宋体" w:hAnsi="宋体"/>
          <w:spacing w:val="6"/>
          <w:sz w:val="24"/>
        </w:rPr>
        <w:t>采购文件获取日期：                   </w:t>
      </w:r>
      <w:r>
        <w:rPr>
          <w:rFonts w:hint="eastAsia" w:ascii="宋体" w:hAnsi="宋体"/>
          <w:spacing w:val="6"/>
          <w:sz w:val="24"/>
        </w:rPr>
        <w:br w:type="textWrapping"/>
      </w:r>
      <w:r>
        <w:rPr>
          <w:rFonts w:hint="eastAsia" w:ascii="宋体" w:hAnsi="宋体"/>
          <w:spacing w:val="6"/>
          <w:sz w:val="24"/>
        </w:rPr>
        <w:t>三、质疑事项具体内容</w:t>
      </w:r>
      <w:r>
        <w:rPr>
          <w:rFonts w:hint="eastAsia" w:ascii="宋体" w:hAnsi="宋体"/>
          <w:spacing w:val="6"/>
          <w:sz w:val="24"/>
        </w:rPr>
        <w:br w:type="textWrapping"/>
      </w:r>
      <w:r>
        <w:rPr>
          <w:rFonts w:hint="eastAsia" w:ascii="宋体" w:hAnsi="宋体"/>
          <w:spacing w:val="6"/>
          <w:sz w:val="24"/>
        </w:rPr>
        <w:t>质疑事项1：              </w:t>
      </w:r>
      <w:r>
        <w:rPr>
          <w:rFonts w:hint="eastAsia" w:ascii="宋体" w:hAnsi="宋体"/>
          <w:spacing w:val="6"/>
          <w:sz w:val="24"/>
        </w:rPr>
        <w:br w:type="textWrapping"/>
      </w:r>
      <w:r>
        <w:rPr>
          <w:rFonts w:hint="eastAsia" w:ascii="宋体" w:hAnsi="宋体"/>
          <w:spacing w:val="6"/>
          <w:sz w:val="24"/>
        </w:rPr>
        <w:t>事实依据：               </w:t>
      </w:r>
      <w:r>
        <w:rPr>
          <w:rFonts w:hint="eastAsia" w:ascii="宋体" w:hAnsi="宋体"/>
          <w:spacing w:val="6"/>
          <w:sz w:val="24"/>
        </w:rPr>
        <w:br w:type="textWrapping"/>
      </w:r>
      <w:r>
        <w:rPr>
          <w:rFonts w:hint="eastAsia" w:ascii="宋体" w:hAnsi="宋体"/>
          <w:spacing w:val="6"/>
          <w:sz w:val="24"/>
        </w:rPr>
        <w:t>法律依据：          </w:t>
      </w:r>
      <w:r>
        <w:rPr>
          <w:rFonts w:hint="eastAsia" w:ascii="宋体" w:hAnsi="宋体"/>
          <w:spacing w:val="6"/>
          <w:sz w:val="24"/>
        </w:rPr>
        <w:br w:type="textWrapping"/>
      </w:r>
      <w:r>
        <w:rPr>
          <w:rFonts w:hint="eastAsia" w:ascii="宋体" w:hAnsi="宋体"/>
          <w:spacing w:val="6"/>
          <w:sz w:val="24"/>
        </w:rPr>
        <w:t>质疑事项2</w:t>
      </w:r>
      <w:r>
        <w:rPr>
          <w:rFonts w:hint="eastAsia" w:ascii="宋体" w:hAnsi="宋体"/>
          <w:spacing w:val="6"/>
          <w:sz w:val="24"/>
        </w:rPr>
        <w:br w:type="textWrapping"/>
      </w:r>
      <w:r>
        <w:rPr>
          <w:rFonts w:hint="eastAsia" w:ascii="宋体" w:hAnsi="宋体"/>
          <w:spacing w:val="6"/>
          <w:sz w:val="24"/>
        </w:rPr>
        <w:t>……</w:t>
      </w:r>
      <w:r>
        <w:rPr>
          <w:rFonts w:hint="eastAsia" w:ascii="宋体" w:hAnsi="宋体"/>
          <w:spacing w:val="6"/>
          <w:sz w:val="24"/>
        </w:rPr>
        <w:br w:type="textWrapping"/>
      </w:r>
      <w:r>
        <w:rPr>
          <w:rFonts w:hint="eastAsia" w:ascii="宋体" w:hAnsi="宋体"/>
          <w:spacing w:val="6"/>
          <w:sz w:val="24"/>
        </w:rPr>
        <w:t>四、与质疑事项相关的质疑请求</w:t>
      </w:r>
      <w:r>
        <w:rPr>
          <w:rFonts w:hint="eastAsia" w:ascii="宋体" w:hAnsi="宋体"/>
          <w:spacing w:val="6"/>
          <w:sz w:val="24"/>
        </w:rPr>
        <w:br w:type="textWrapping"/>
      </w:r>
      <w:r>
        <w:rPr>
          <w:rFonts w:hint="eastAsia" w:ascii="宋体" w:hAnsi="宋体"/>
          <w:spacing w:val="6"/>
          <w:sz w:val="24"/>
        </w:rPr>
        <w:t>请求：                </w:t>
      </w:r>
      <w:r>
        <w:rPr>
          <w:rFonts w:hint="eastAsia" w:ascii="宋体" w:hAnsi="宋体"/>
          <w:spacing w:val="6"/>
          <w:sz w:val="24"/>
        </w:rPr>
        <w:br w:type="textWrapping"/>
      </w:r>
      <w:r>
        <w:rPr>
          <w:rFonts w:hint="eastAsia" w:ascii="宋体" w:hAnsi="宋体"/>
          <w:spacing w:val="6"/>
          <w:sz w:val="24"/>
        </w:rPr>
        <w:t>签字(签章)：                   </w:t>
      </w:r>
    </w:p>
    <w:p>
      <w:pPr>
        <w:widowControl/>
        <w:spacing w:line="360" w:lineRule="auto"/>
        <w:jc w:val="left"/>
        <w:rPr>
          <w:rFonts w:ascii="宋体" w:hAnsi="宋体"/>
          <w:spacing w:val="6"/>
          <w:sz w:val="24"/>
        </w:rPr>
        <w:sectPr>
          <w:footerReference r:id="rId18" w:type="default"/>
          <w:pgSz w:w="11906" w:h="16838"/>
          <w:pgMar w:top="1440" w:right="1304" w:bottom="1440" w:left="1304" w:header="851" w:footer="992" w:gutter="0"/>
          <w:cols w:space="0" w:num="1"/>
          <w:docGrid w:type="lines" w:linePitch="325" w:charSpace="0"/>
        </w:sectPr>
      </w:pPr>
      <w:r>
        <w:rPr>
          <w:rFonts w:hint="eastAsia" w:ascii="宋体" w:hAnsi="宋体"/>
          <w:spacing w:val="6"/>
          <w:sz w:val="24"/>
        </w:rPr>
        <w:t>公章：日期：  </w:t>
      </w:r>
      <w:r>
        <w:rPr>
          <w:rFonts w:hint="eastAsia" w:ascii="宋体" w:hAnsi="宋体"/>
          <w:spacing w:val="6"/>
          <w:sz w:val="24"/>
        </w:rPr>
        <w:br w:type="textWrapping"/>
      </w:r>
      <w:r>
        <w:rPr>
          <w:rFonts w:hint="eastAsia" w:ascii="宋体" w:hAnsi="宋体"/>
          <w:spacing w:val="6"/>
          <w:sz w:val="24"/>
        </w:rPr>
        <w:br w:type="textWrapping"/>
      </w:r>
    </w:p>
    <w:p>
      <w:pPr>
        <w:widowControl/>
        <w:spacing w:line="360" w:lineRule="auto"/>
        <w:jc w:val="left"/>
        <w:rPr>
          <w:rFonts w:hint="eastAsia" w:ascii="宋体" w:hAnsi="宋体"/>
          <w:spacing w:val="6"/>
          <w:sz w:val="24"/>
        </w:rPr>
      </w:pPr>
      <w:r>
        <w:rPr>
          <w:rFonts w:hint="eastAsia" w:ascii="宋体" w:hAnsi="宋体"/>
          <w:spacing w:val="6"/>
          <w:sz w:val="24"/>
        </w:rPr>
        <w:t>质疑函制作说明：</w:t>
      </w:r>
      <w:r>
        <w:rPr>
          <w:rFonts w:hint="eastAsia" w:ascii="宋体" w:hAnsi="宋体"/>
          <w:spacing w:val="6"/>
          <w:sz w:val="24"/>
        </w:rPr>
        <w:br w:type="textWrapping"/>
      </w:r>
      <w:r>
        <w:rPr>
          <w:rFonts w:hint="eastAsia" w:ascii="宋体" w:hAnsi="宋体"/>
          <w:spacing w:val="6"/>
          <w:sz w:val="24"/>
        </w:rPr>
        <w:t>1.投标人提出质疑时，应提交质疑函和必要的证明材料。</w:t>
      </w:r>
      <w:r>
        <w:rPr>
          <w:rFonts w:hint="eastAsia" w:ascii="宋体" w:hAnsi="宋体"/>
          <w:spacing w:val="6"/>
          <w:sz w:val="24"/>
        </w:rPr>
        <w:br w:type="textWrapping"/>
      </w:r>
      <w:r>
        <w:rPr>
          <w:rFonts w:hint="eastAsia" w:ascii="宋体" w:hAnsi="宋体"/>
          <w:spacing w:val="6"/>
          <w:sz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r>
        <w:rPr>
          <w:rFonts w:hint="eastAsia" w:ascii="宋体" w:hAnsi="宋体"/>
          <w:spacing w:val="6"/>
          <w:sz w:val="24"/>
        </w:rPr>
        <w:br w:type="textWrapping"/>
      </w:r>
      <w:r>
        <w:rPr>
          <w:rFonts w:hint="eastAsia" w:ascii="宋体" w:hAnsi="宋体"/>
          <w:spacing w:val="6"/>
          <w:sz w:val="24"/>
        </w:rPr>
        <w:t>3.质疑投标人若对项目的进行质疑，质疑函中应列明具体项目编号。</w:t>
      </w:r>
      <w:r>
        <w:rPr>
          <w:rFonts w:hint="eastAsia" w:ascii="宋体" w:hAnsi="宋体"/>
          <w:spacing w:val="6"/>
          <w:sz w:val="24"/>
        </w:rPr>
        <w:br w:type="textWrapping"/>
      </w:r>
      <w:r>
        <w:rPr>
          <w:rFonts w:hint="eastAsia" w:ascii="宋体" w:hAnsi="宋体"/>
          <w:spacing w:val="6"/>
          <w:sz w:val="24"/>
        </w:rPr>
        <w:t>4.质疑函的质疑事项应具体、明确，并有必要的事实依据和法律依据。</w:t>
      </w:r>
      <w:r>
        <w:rPr>
          <w:rFonts w:hint="eastAsia" w:ascii="宋体" w:hAnsi="宋体"/>
          <w:spacing w:val="6"/>
          <w:sz w:val="24"/>
        </w:rPr>
        <w:br w:type="textWrapping"/>
      </w:r>
      <w:r>
        <w:rPr>
          <w:rFonts w:hint="eastAsia" w:ascii="宋体" w:hAnsi="宋体"/>
          <w:spacing w:val="6"/>
          <w:sz w:val="24"/>
        </w:rPr>
        <w:t>5.质疑函的质疑请求应与质疑事项相关。</w:t>
      </w:r>
      <w:r>
        <w:rPr>
          <w:rFonts w:hint="eastAsia" w:ascii="宋体" w:hAnsi="宋体"/>
          <w:spacing w:val="6"/>
          <w:sz w:val="24"/>
        </w:rPr>
        <w:br w:type="textWrapping"/>
      </w:r>
      <w:r>
        <w:rPr>
          <w:rFonts w:hint="eastAsia" w:ascii="宋体" w:hAnsi="宋体"/>
          <w:spacing w:val="6"/>
          <w:sz w:val="24"/>
        </w:rPr>
        <w:t>6.质疑投标人为自然人的，质疑函应由本人签字；质疑投标人为法人或者其他组织的，质疑函应由法定代表人、主要负责人，或者其授权代表签字或者盖章，并加盖公章。</w:t>
      </w:r>
    </w:p>
    <w:p>
      <w:pPr>
        <w:rPr>
          <w:rFonts w:hint="eastAsia" w:ascii="宋体" w:hAnsi="宋体"/>
          <w:spacing w:val="6"/>
          <w:sz w:val="24"/>
        </w:rPr>
      </w:pPr>
      <w:r>
        <w:rPr>
          <w:rFonts w:hint="eastAsia" w:ascii="宋体" w:hAnsi="宋体"/>
          <w:spacing w:val="6"/>
          <w:sz w:val="24"/>
        </w:rPr>
        <w:br w:type="page"/>
      </w:r>
    </w:p>
    <w:p>
      <w:pPr>
        <w:pStyle w:val="4"/>
        <w:adjustRightInd w:val="0"/>
        <w:spacing w:line="416" w:lineRule="atLeast"/>
        <w:textAlignment w:val="baseline"/>
        <w:rPr>
          <w:rFonts w:hint="eastAsia" w:ascii="宋体" w:hAnsi="宋体" w:eastAsia="宋体" w:cs="宋体"/>
        </w:rPr>
      </w:pPr>
      <w:bookmarkStart w:id="237" w:name="_Toc3638"/>
      <w:bookmarkStart w:id="238" w:name="_Toc23304"/>
      <w:bookmarkStart w:id="239" w:name="_Toc7478"/>
      <w:bookmarkStart w:id="240" w:name="_Toc229"/>
      <w:r>
        <w:rPr>
          <w:rFonts w:hint="eastAsia" w:ascii="宋体" w:hAnsi="宋体" w:eastAsia="宋体" w:cs="宋体"/>
        </w:rPr>
        <w:t>附件</w:t>
      </w:r>
      <w:r>
        <w:rPr>
          <w:rFonts w:hint="eastAsia" w:ascii="宋体" w:hAnsi="宋体" w:cs="宋体"/>
          <w:lang w:val="en-US" w:eastAsia="zh-CN"/>
        </w:rPr>
        <w:t>七</w:t>
      </w:r>
      <w:r>
        <w:rPr>
          <w:rFonts w:hint="eastAsia" w:ascii="宋体" w:hAnsi="宋体" w:eastAsia="宋体" w:cs="宋体"/>
        </w:rPr>
        <w:t>：保证金退还账户信息确认表</w:t>
      </w:r>
      <w:bookmarkEnd w:id="237"/>
      <w:bookmarkEnd w:id="238"/>
      <w:bookmarkEnd w:id="239"/>
      <w:bookmarkEnd w:id="240"/>
    </w:p>
    <w:p/>
    <w:p>
      <w:pPr>
        <w:rPr>
          <w:sz w:val="28"/>
          <w:szCs w:val="28"/>
        </w:rPr>
      </w:pPr>
      <w:r>
        <w:rPr>
          <w:rFonts w:hint="eastAsia"/>
          <w:sz w:val="28"/>
          <w:szCs w:val="28"/>
        </w:rPr>
        <w:t>项目名称：</w:t>
      </w:r>
    </w:p>
    <w:p>
      <w:pPr>
        <w:rPr>
          <w:rFonts w:hint="eastAsia"/>
          <w:sz w:val="28"/>
          <w:szCs w:val="28"/>
        </w:rPr>
      </w:pPr>
      <w:r>
        <w:rPr>
          <w:rFonts w:hint="eastAsia"/>
          <w:sz w:val="28"/>
          <w:szCs w:val="28"/>
        </w:rPr>
        <w:t>项目编号：</w:t>
      </w:r>
    </w:p>
    <w:p/>
    <w:tbl>
      <w:tblPr>
        <w:tblStyle w:val="25"/>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hint="eastAsia"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hint="eastAsia"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hint="eastAsia"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numPr>
          <w:ilvl w:val="0"/>
          <w:numId w:val="0"/>
        </w:numPr>
        <w:adjustRightInd w:val="0"/>
        <w:snapToGrid w:val="0"/>
        <w:spacing w:line="360" w:lineRule="auto"/>
        <w:ind w:leftChars="0"/>
        <w:rPr>
          <w:rFonts w:ascii="宋体" w:hAnsi="宋体" w:cs="宋体"/>
          <w:b/>
          <w:bCs/>
          <w:sz w:val="24"/>
          <w:szCs w:val="24"/>
        </w:rPr>
      </w:pPr>
      <w:r>
        <w:rPr>
          <w:rFonts w:hint="eastAsia" w:ascii="宋体" w:hAnsi="宋体" w:cs="宋体"/>
          <w:b/>
          <w:bCs/>
          <w:sz w:val="24"/>
          <w:szCs w:val="24"/>
        </w:rPr>
        <w:t>供应商可在</w:t>
      </w:r>
      <w:r>
        <w:rPr>
          <w:rFonts w:hint="eastAsia" w:ascii="宋体" w:hAnsi="宋体" w:cs="宋体"/>
          <w:b/>
          <w:bCs/>
          <w:sz w:val="24"/>
          <w:szCs w:val="24"/>
          <w:lang w:eastAsia="zh-CN"/>
        </w:rPr>
        <w:t>开标</w:t>
      </w:r>
      <w:r>
        <w:rPr>
          <w:rFonts w:hint="eastAsia" w:ascii="宋体" w:hAnsi="宋体" w:cs="宋体"/>
          <w:b/>
          <w:bCs/>
          <w:sz w:val="24"/>
          <w:szCs w:val="24"/>
        </w:rPr>
        <w:t>当天将保证金退还账户信息确认表与</w:t>
      </w:r>
      <w:r>
        <w:rPr>
          <w:rFonts w:hint="eastAsia" w:ascii="宋体" w:hAnsi="宋体" w:cs="宋体"/>
          <w:b/>
          <w:bCs/>
          <w:sz w:val="24"/>
          <w:szCs w:val="24"/>
          <w:lang w:eastAsia="zh-CN"/>
        </w:rPr>
        <w:t>投标</w:t>
      </w:r>
      <w:r>
        <w:rPr>
          <w:rFonts w:hint="eastAsia" w:ascii="宋体" w:hAnsi="宋体" w:cs="宋体"/>
          <w:b/>
          <w:bCs/>
          <w:sz w:val="24"/>
          <w:szCs w:val="24"/>
        </w:rPr>
        <w:t>保证金汇款凭证复印件加盖公章一并交给工作人员，当天未提交保证金退还账户信息确认表与</w:t>
      </w:r>
      <w:r>
        <w:rPr>
          <w:rFonts w:hint="eastAsia" w:ascii="宋体" w:hAnsi="宋体" w:cs="宋体"/>
          <w:b/>
          <w:bCs/>
          <w:sz w:val="24"/>
          <w:szCs w:val="24"/>
          <w:lang w:eastAsia="zh-CN"/>
        </w:rPr>
        <w:t>投标</w:t>
      </w:r>
      <w:r>
        <w:rPr>
          <w:rFonts w:hint="eastAsia" w:ascii="宋体" w:hAnsi="宋体" w:cs="宋体"/>
          <w:b/>
          <w:bCs/>
          <w:sz w:val="24"/>
          <w:szCs w:val="24"/>
        </w:rPr>
        <w:t>保证金汇款凭证复印件加盖公章的供应商，在</w:t>
      </w:r>
      <w:r>
        <w:rPr>
          <w:rFonts w:hint="eastAsia" w:ascii="宋体" w:hAnsi="宋体" w:cs="宋体"/>
          <w:b/>
          <w:bCs/>
          <w:sz w:val="24"/>
          <w:szCs w:val="24"/>
          <w:lang w:eastAsia="zh-CN"/>
        </w:rPr>
        <w:t>开标结束</w:t>
      </w:r>
      <w:r>
        <w:rPr>
          <w:rFonts w:hint="eastAsia" w:ascii="宋体" w:hAnsi="宋体" w:cs="宋体"/>
          <w:b/>
          <w:bCs/>
          <w:sz w:val="24"/>
          <w:szCs w:val="24"/>
        </w:rPr>
        <w:t>后自行找财务办理保证金退还手续。</w:t>
      </w:r>
    </w:p>
    <w:p>
      <w:pPr>
        <w:bidi w:val="0"/>
        <w:rPr>
          <w:b/>
          <w:bCs/>
          <w:sz w:val="24"/>
          <w:szCs w:val="28"/>
        </w:rPr>
      </w:pPr>
      <w:r>
        <w:rPr>
          <w:rFonts w:hint="eastAsia"/>
          <w:b/>
          <w:bCs/>
          <w:sz w:val="24"/>
          <w:szCs w:val="28"/>
          <w:lang w:eastAsia="zh-CN"/>
        </w:rPr>
        <w:t>此表无需做在投标文件中。</w:t>
      </w: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jc w:val="right"/>
        <w:rPr>
          <w:rFonts w:ascii="华文隶书" w:hAnsi="华文隶书" w:eastAsia="华文隶书" w:cs="华文隶书"/>
          <w:b/>
          <w:spacing w:val="48"/>
          <w:sz w:val="72"/>
          <w:szCs w:val="72"/>
        </w:rPr>
      </w:pPr>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1"/>
      <w:bookmarkEnd w:id="94"/>
    </w:p>
    <w:sectPr>
      <w:headerReference r:id="rId19" w:type="default"/>
      <w:footerReference r:id="rId20"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72</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72</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50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426"/>
      </w:tabs>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rPr>
        <w:kern w:val="0"/>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73</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73</w:t>
                    </w:r>
                    <w:r>
                      <w:rPr>
                        <w:kern w:val="0"/>
                        <w:szCs w:val="21"/>
                      </w:rPr>
                      <w:fldChar w:fldCharType="end"/>
                    </w:r>
                    <w:r>
                      <w:rPr>
                        <w:rFonts w:hint="eastAsia"/>
                        <w:kern w:val="0"/>
                        <w:szCs w:val="21"/>
                      </w:rPr>
                      <w:t xml:space="preserve"> 页</w:t>
                    </w:r>
                  </w:p>
                </w:txbxContent>
              </v:textbox>
            </v:shape>
          </w:pict>
        </mc:Fallback>
      </mc:AlternateContent>
    </w:r>
  </w:p>
  <w:p>
    <w:pPr>
      <w:pStyle w:val="1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71</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71</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hint="eastAsia" w:ascii="宋体" w:hAnsi="宋体" w:eastAsia="宋体" w:cs="宋体"/>
        <w:sz w:val="18"/>
        <w:szCs w:val="18"/>
        <w:u w:val="single"/>
        <w:lang w:eastAsia="zh-CN"/>
      </w:rPr>
    </w:pPr>
    <w:r>
      <w:rPr>
        <w:rFonts w:hint="eastAsia" w:ascii="宋体" w:hAnsi="宋体" w:eastAsia="宋体" w:cs="宋体"/>
        <w:sz w:val="15"/>
        <w:szCs w:val="15"/>
        <w:u w:val="single"/>
        <w:lang w:val="en-US" w:eastAsia="zh-CN"/>
      </w:rPr>
      <w:t>西安医学院零星维修服务外包项目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right="-99" w:rightChars="-47"/>
      <w:jc w:val="left"/>
      <w:rPr>
        <w:rFonts w:hint="eastAsia" w:eastAsiaTheme="minorEastAsia"/>
        <w:lang w:eastAsia="zh-CN"/>
      </w:rPr>
    </w:pPr>
    <w:r>
      <w:rPr>
        <w:rFonts w:hint="eastAsia" w:ascii="宋体" w:hAnsi="宋体" w:eastAsia="宋体" w:cs="宋体"/>
        <w:sz w:val="15"/>
        <w:szCs w:val="15"/>
        <w:u w:val="single"/>
        <w:lang w:eastAsia="zh-CN"/>
      </w:rPr>
      <w:t>西安医学院零星维修服务外包项目</w:t>
    </w:r>
    <w:r>
      <w:rPr>
        <w:rFonts w:hint="eastAsia" w:ascii="宋体" w:hAnsi="宋体" w:cs="宋体"/>
        <w:sz w:val="13"/>
        <w:szCs w:val="13"/>
        <w:u w:val="single"/>
      </w:rPr>
      <w:t xml:space="preserve">                                                                           </w:t>
    </w:r>
    <w:r>
      <w:rPr>
        <w:rFonts w:hint="eastAsia" w:ascii="宋体" w:hAnsi="宋体" w:cs="宋体"/>
        <w:sz w:val="13"/>
        <w:szCs w:val="13"/>
        <w:u w:val="single"/>
        <w:lang w:eastAsia="zh-CN"/>
      </w:rPr>
      <w:t>SXWZ2023ZB-YXY-045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default" w:eastAsia="宋体"/>
        <w:lang w:val="en-US" w:eastAsia="zh-CN"/>
      </w:rPr>
    </w:pPr>
    <w:r>
      <w:rPr>
        <w:rFonts w:hint="eastAsia" w:ascii="宋体" w:hAnsi="宋体" w:eastAsia="宋体" w:cs="宋体"/>
        <w:sz w:val="15"/>
        <w:szCs w:val="15"/>
        <w:u w:val="single"/>
        <w:lang w:val="en-US" w:eastAsia="zh-CN"/>
      </w:rPr>
      <w:t>西安医学院零星维修服务外包项目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SXWZ2023ZB-YXY-045</w:t>
    </w:r>
    <w:r>
      <w:rPr>
        <w:rFonts w:hint="eastAsia" w:ascii="宋体" w:hAnsi="宋体" w:eastAsia="宋体" w:cs="宋体"/>
        <w:sz w:val="15"/>
        <w:szCs w:val="15"/>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hint="eastAsia" w:eastAsia="宋体"/>
        <w:lang w:eastAsia="zh-CN"/>
      </w:rPr>
    </w:pPr>
    <w:r>
      <w:rPr>
        <w:rFonts w:hint="eastAsia" w:ascii="宋体" w:hAnsi="宋体" w:eastAsia="宋体" w:cs="宋体"/>
        <w:sz w:val="15"/>
        <w:szCs w:val="15"/>
        <w:u w:val="single"/>
        <w:lang w:eastAsia="zh-CN"/>
      </w:rPr>
      <w:t>西安医学院零星维修服务外包项目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SXWZ2023ZB-YXY-045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hint="eastAsia" w:eastAsia="宋体"/>
        <w:lang w:eastAsia="zh-CN"/>
      </w:rPr>
    </w:pPr>
    <w:r>
      <w:rPr>
        <w:rFonts w:hint="eastAsia" w:ascii="宋体" w:hAnsi="宋体" w:eastAsia="宋体" w:cs="宋体"/>
        <w:sz w:val="15"/>
        <w:szCs w:val="15"/>
        <w:u w:val="single"/>
        <w:lang w:eastAsia="zh-CN"/>
      </w:rPr>
      <w:t>西安医学院零星维修服务外包项目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SXWZ2023ZB-YXY-045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right="-99" w:rightChars="-47"/>
      <w:jc w:val="left"/>
      <w:rPr>
        <w:rFonts w:hint="eastAsia" w:eastAsiaTheme="minorEastAsia"/>
        <w:sz w:val="18"/>
        <w:szCs w:val="18"/>
        <w:lang w:eastAsia="zh-CN"/>
      </w:rPr>
    </w:pPr>
    <w:r>
      <w:rPr>
        <w:rFonts w:hint="eastAsia" w:ascii="宋体" w:hAnsi="宋体" w:eastAsia="宋体" w:cs="宋体"/>
        <w:sz w:val="15"/>
        <w:szCs w:val="15"/>
        <w:u w:val="single"/>
        <w:lang w:eastAsia="zh-CN"/>
      </w:rPr>
      <w:t>西安医学院零星维修服务外包项目</w:t>
    </w:r>
    <w:r>
      <w:rPr>
        <w:rFonts w:hint="eastAsia" w:ascii="宋体" w:hAnsi="宋体" w:cs="宋体"/>
        <w:sz w:val="13"/>
        <w:szCs w:val="13"/>
        <w:u w:val="single"/>
      </w:rPr>
      <w:t xml:space="preserve">                                                         </w:t>
    </w:r>
    <w:r>
      <w:rPr>
        <w:rFonts w:hint="eastAsia" w:ascii="宋体" w:hAnsi="宋体" w:cs="宋体"/>
        <w:sz w:val="13"/>
        <w:szCs w:val="13"/>
        <w:u w:val="single"/>
        <w:lang w:eastAsia="zh-CN"/>
      </w:rPr>
      <w:t>SXWZ2023ZB-YXY-045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hint="eastAsia" w:ascii="宋体" w:hAnsi="宋体" w:eastAsia="宋体" w:cs="宋体"/>
        <w:sz w:val="18"/>
        <w:szCs w:val="18"/>
        <w:u w:val="single"/>
        <w:lang w:eastAsia="zh-CN"/>
      </w:rPr>
    </w:pPr>
    <w:r>
      <w:rPr>
        <w:rFonts w:hint="eastAsia" w:ascii="宋体" w:hAnsi="宋体" w:eastAsia="宋体" w:cs="宋体"/>
        <w:sz w:val="15"/>
        <w:szCs w:val="15"/>
        <w:u w:val="single"/>
        <w:lang w:eastAsia="zh-CN"/>
      </w:rPr>
      <w:t>西安医学院零星维修服务外包项目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SXWZ2023ZB-YXY-045</w:t>
    </w:r>
  </w:p>
  <w:p>
    <w:pPr>
      <w:adjustRightInd w:val="0"/>
      <w:snapToGrid w:val="0"/>
      <w:spacing w:line="360" w:lineRule="auto"/>
      <w:ind w:left="11130" w:hanging="11130" w:hangingChars="530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hint="eastAsia" w:eastAsia="宋体"/>
        <w:lang w:eastAsia="zh-CN"/>
      </w:rPr>
    </w:pPr>
    <w:r>
      <w:rPr>
        <w:rFonts w:hint="eastAsia" w:ascii="宋体" w:hAnsi="宋体" w:eastAsia="宋体" w:cs="宋体"/>
        <w:sz w:val="15"/>
        <w:szCs w:val="15"/>
        <w:u w:val="single"/>
        <w:lang w:eastAsia="zh-CN"/>
      </w:rPr>
      <w:t>西安医学院零星维修服务外包项目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13908"/>
    <w:multiLevelType w:val="singleLevel"/>
    <w:tmpl w:val="C3D13908"/>
    <w:lvl w:ilvl="0" w:tentative="0">
      <w:start w:val="3"/>
      <w:numFmt w:val="chineseCounting"/>
      <w:suff w:val="nothing"/>
      <w:lvlText w:val="%1、"/>
      <w:lvlJc w:val="left"/>
      <w:rPr>
        <w:rFonts w:hint="eastAsia"/>
      </w:rPr>
    </w:lvl>
  </w:abstractNum>
  <w:abstractNum w:abstractNumId="1">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00000015"/>
    <w:multiLevelType w:val="multilevel"/>
    <w:tmpl w:val="00000015"/>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6">
    <w:nsid w:val="1CC2C714"/>
    <w:multiLevelType w:val="singleLevel"/>
    <w:tmpl w:val="1CC2C714"/>
    <w:lvl w:ilvl="0" w:tentative="0">
      <w:start w:val="1"/>
      <w:numFmt w:val="decimal"/>
      <w:suff w:val="nothing"/>
      <w:lvlText w:val="%1、"/>
      <w:lvlJc w:val="left"/>
    </w:lvl>
  </w:abstractNum>
  <w:abstractNum w:abstractNumId="7">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5530B97F"/>
    <w:multiLevelType w:val="singleLevel"/>
    <w:tmpl w:val="5530B97F"/>
    <w:lvl w:ilvl="0" w:tentative="0">
      <w:start w:val="1"/>
      <w:numFmt w:val="chineseCounting"/>
      <w:suff w:val="nothing"/>
      <w:lvlText w:val="%1、"/>
      <w:lvlJc w:val="left"/>
    </w:lvl>
  </w:abstractNum>
  <w:abstractNum w:abstractNumId="9">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0">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1">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2">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3">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4">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5">
    <w:nsid w:val="58BFC3B3"/>
    <w:multiLevelType w:val="singleLevel"/>
    <w:tmpl w:val="58BFC3B3"/>
    <w:lvl w:ilvl="0" w:tentative="0">
      <w:start w:val="1"/>
      <w:numFmt w:val="decimal"/>
      <w:suff w:val="nothing"/>
      <w:lvlText w:val="（%1）"/>
      <w:lvlJc w:val="left"/>
      <w:pPr>
        <w:ind w:left="210" w:firstLine="420"/>
      </w:pPr>
      <w:rPr>
        <w:rFonts w:hint="default"/>
      </w:rPr>
    </w:lvl>
  </w:abstractNum>
  <w:abstractNum w:abstractNumId="16">
    <w:nsid w:val="58BFC878"/>
    <w:multiLevelType w:val="singleLevel"/>
    <w:tmpl w:val="58BFC878"/>
    <w:lvl w:ilvl="0" w:tentative="0">
      <w:start w:val="1"/>
      <w:numFmt w:val="decimal"/>
      <w:suff w:val="nothing"/>
      <w:lvlText w:val="%1、"/>
      <w:lvlJc w:val="left"/>
      <w:pPr>
        <w:ind w:left="63" w:firstLine="420"/>
      </w:pPr>
      <w:rPr>
        <w:rFonts w:hint="default"/>
      </w:rPr>
    </w:lvl>
  </w:abstractNum>
  <w:abstractNum w:abstractNumId="17">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8">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9">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20">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21">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22">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3">
    <w:nsid w:val="5902B6A7"/>
    <w:multiLevelType w:val="singleLevel"/>
    <w:tmpl w:val="5902B6A7"/>
    <w:lvl w:ilvl="0" w:tentative="0">
      <w:start w:val="1"/>
      <w:numFmt w:val="decimal"/>
      <w:pStyle w:val="7"/>
      <w:lvlText w:val="%1."/>
      <w:lvlJc w:val="left"/>
      <w:pPr>
        <w:tabs>
          <w:tab w:val="left" w:pos="360"/>
        </w:tabs>
        <w:ind w:left="360" w:hanging="360"/>
      </w:pPr>
    </w:lvl>
  </w:abstractNum>
  <w:abstractNum w:abstractNumId="24">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25">
    <w:nsid w:val="5A9C9D9A"/>
    <w:multiLevelType w:val="singleLevel"/>
    <w:tmpl w:val="5A9C9D9A"/>
    <w:lvl w:ilvl="0" w:tentative="0">
      <w:start w:val="2"/>
      <w:numFmt w:val="chineseCounting"/>
      <w:suff w:val="nothing"/>
      <w:lvlText w:val="%1、"/>
      <w:lvlJc w:val="left"/>
    </w:lvl>
  </w:abstractNum>
  <w:abstractNum w:abstractNumId="26">
    <w:nsid w:val="679C97E9"/>
    <w:multiLevelType w:val="singleLevel"/>
    <w:tmpl w:val="679C97E9"/>
    <w:lvl w:ilvl="0" w:tentative="0">
      <w:start w:val="1"/>
      <w:numFmt w:val="decimal"/>
      <w:suff w:val="nothing"/>
      <w:lvlText w:val="%1、"/>
      <w:lvlJc w:val="left"/>
    </w:lvl>
  </w:abstractNum>
  <w:num w:numId="1">
    <w:abstractNumId w:val="23"/>
  </w:num>
  <w:num w:numId="2">
    <w:abstractNumId w:val="8"/>
  </w:num>
  <w:num w:numId="3">
    <w:abstractNumId w:val="16"/>
  </w:num>
  <w:num w:numId="4">
    <w:abstractNumId w:val="10"/>
  </w:num>
  <w:num w:numId="5">
    <w:abstractNumId w:val="2"/>
  </w:num>
  <w:num w:numId="6">
    <w:abstractNumId w:val="9"/>
  </w:num>
  <w:num w:numId="7">
    <w:abstractNumId w:val="14"/>
  </w:num>
  <w:num w:numId="8">
    <w:abstractNumId w:val="17"/>
  </w:num>
  <w:num w:numId="9">
    <w:abstractNumId w:val="11"/>
  </w:num>
  <w:num w:numId="10">
    <w:abstractNumId w:val="15"/>
  </w:num>
  <w:num w:numId="11">
    <w:abstractNumId w:val="18"/>
  </w:num>
  <w:num w:numId="12">
    <w:abstractNumId w:val="20"/>
  </w:num>
  <w:num w:numId="13">
    <w:abstractNumId w:val="24"/>
  </w:num>
  <w:num w:numId="14">
    <w:abstractNumId w:val="19"/>
  </w:num>
  <w:num w:numId="15">
    <w:abstractNumId w:val="12"/>
  </w:num>
  <w:num w:numId="16">
    <w:abstractNumId w:val="13"/>
  </w:num>
  <w:num w:numId="17">
    <w:abstractNumId w:val="1"/>
  </w:num>
  <w:num w:numId="18">
    <w:abstractNumId w:val="21"/>
  </w:num>
  <w:num w:numId="19">
    <w:abstractNumId w:val="22"/>
  </w:num>
  <w:num w:numId="20">
    <w:abstractNumId w:val="4"/>
  </w:num>
  <w:num w:numId="21">
    <w:abstractNumId w:val="26"/>
  </w:num>
  <w:num w:numId="22">
    <w:abstractNumId w:val="6"/>
  </w:num>
  <w:num w:numId="23">
    <w:abstractNumId w:val="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GIyYjNiMDQ1ZTY4NDBhMjlkNzc1NjJkZmUyNzYifQ=="/>
  </w:docVars>
  <w:rsids>
    <w:rsidRoot w:val="2627224F"/>
    <w:rsid w:val="00057223"/>
    <w:rsid w:val="000A2452"/>
    <w:rsid w:val="000B07DE"/>
    <w:rsid w:val="000B3DD4"/>
    <w:rsid w:val="000C0895"/>
    <w:rsid w:val="000C673D"/>
    <w:rsid w:val="000F628F"/>
    <w:rsid w:val="000F7A72"/>
    <w:rsid w:val="0011607E"/>
    <w:rsid w:val="001563E1"/>
    <w:rsid w:val="00167A28"/>
    <w:rsid w:val="00171FE9"/>
    <w:rsid w:val="001A439C"/>
    <w:rsid w:val="001D76B9"/>
    <w:rsid w:val="001E7E49"/>
    <w:rsid w:val="00205EEF"/>
    <w:rsid w:val="0025657F"/>
    <w:rsid w:val="002647A7"/>
    <w:rsid w:val="00295F6C"/>
    <w:rsid w:val="002B1E22"/>
    <w:rsid w:val="002C54CF"/>
    <w:rsid w:val="002D5DC2"/>
    <w:rsid w:val="002D7A6D"/>
    <w:rsid w:val="002E07BF"/>
    <w:rsid w:val="002F6F54"/>
    <w:rsid w:val="002F6FCA"/>
    <w:rsid w:val="00337601"/>
    <w:rsid w:val="00360C09"/>
    <w:rsid w:val="003A3201"/>
    <w:rsid w:val="003C2DEE"/>
    <w:rsid w:val="003C67F2"/>
    <w:rsid w:val="003D37C1"/>
    <w:rsid w:val="003E1DDF"/>
    <w:rsid w:val="003E65D8"/>
    <w:rsid w:val="003E7B81"/>
    <w:rsid w:val="003F04B9"/>
    <w:rsid w:val="003F3D18"/>
    <w:rsid w:val="003F5518"/>
    <w:rsid w:val="003F64A7"/>
    <w:rsid w:val="004057C8"/>
    <w:rsid w:val="004456E2"/>
    <w:rsid w:val="00453BA6"/>
    <w:rsid w:val="004666C6"/>
    <w:rsid w:val="00482B14"/>
    <w:rsid w:val="004C2AF8"/>
    <w:rsid w:val="004D70C5"/>
    <w:rsid w:val="004E4CF5"/>
    <w:rsid w:val="0050491F"/>
    <w:rsid w:val="00520C66"/>
    <w:rsid w:val="005217F8"/>
    <w:rsid w:val="00522064"/>
    <w:rsid w:val="00530399"/>
    <w:rsid w:val="00536870"/>
    <w:rsid w:val="005439A7"/>
    <w:rsid w:val="00544E99"/>
    <w:rsid w:val="00571D17"/>
    <w:rsid w:val="00576A5F"/>
    <w:rsid w:val="00581423"/>
    <w:rsid w:val="005B3960"/>
    <w:rsid w:val="005D7A12"/>
    <w:rsid w:val="00613B65"/>
    <w:rsid w:val="006657C9"/>
    <w:rsid w:val="0069223C"/>
    <w:rsid w:val="00696FBA"/>
    <w:rsid w:val="006E169C"/>
    <w:rsid w:val="006E46DF"/>
    <w:rsid w:val="006F1FD6"/>
    <w:rsid w:val="00736BCC"/>
    <w:rsid w:val="0074281E"/>
    <w:rsid w:val="007447C1"/>
    <w:rsid w:val="00760102"/>
    <w:rsid w:val="00770871"/>
    <w:rsid w:val="0077254B"/>
    <w:rsid w:val="00792269"/>
    <w:rsid w:val="00792491"/>
    <w:rsid w:val="007A4E4B"/>
    <w:rsid w:val="007A6C1E"/>
    <w:rsid w:val="007C4A71"/>
    <w:rsid w:val="007D1286"/>
    <w:rsid w:val="007D15F9"/>
    <w:rsid w:val="00811783"/>
    <w:rsid w:val="008234E9"/>
    <w:rsid w:val="008259FA"/>
    <w:rsid w:val="00875FAC"/>
    <w:rsid w:val="008866C0"/>
    <w:rsid w:val="00895737"/>
    <w:rsid w:val="008962A7"/>
    <w:rsid w:val="008A112A"/>
    <w:rsid w:val="008A367A"/>
    <w:rsid w:val="008D7D4E"/>
    <w:rsid w:val="008E7C81"/>
    <w:rsid w:val="008F6EFE"/>
    <w:rsid w:val="009435BE"/>
    <w:rsid w:val="00954CF1"/>
    <w:rsid w:val="009C478A"/>
    <w:rsid w:val="009E3BD2"/>
    <w:rsid w:val="009E7878"/>
    <w:rsid w:val="009F29DA"/>
    <w:rsid w:val="00A00C3E"/>
    <w:rsid w:val="00A02D64"/>
    <w:rsid w:val="00A248F4"/>
    <w:rsid w:val="00A50E8F"/>
    <w:rsid w:val="00A51FDF"/>
    <w:rsid w:val="00A55ABC"/>
    <w:rsid w:val="00A62024"/>
    <w:rsid w:val="00A63494"/>
    <w:rsid w:val="00A8343C"/>
    <w:rsid w:val="00A921BA"/>
    <w:rsid w:val="00AB0730"/>
    <w:rsid w:val="00AB0C4F"/>
    <w:rsid w:val="00AC7625"/>
    <w:rsid w:val="00AD5CD5"/>
    <w:rsid w:val="00AF40F8"/>
    <w:rsid w:val="00B03686"/>
    <w:rsid w:val="00B32079"/>
    <w:rsid w:val="00B73E01"/>
    <w:rsid w:val="00B76303"/>
    <w:rsid w:val="00B76DB3"/>
    <w:rsid w:val="00BC1AB3"/>
    <w:rsid w:val="00BC1B63"/>
    <w:rsid w:val="00BD2757"/>
    <w:rsid w:val="00BD2877"/>
    <w:rsid w:val="00BD4D2B"/>
    <w:rsid w:val="00C127A3"/>
    <w:rsid w:val="00C12CCF"/>
    <w:rsid w:val="00C144EE"/>
    <w:rsid w:val="00C41E46"/>
    <w:rsid w:val="00CB13A4"/>
    <w:rsid w:val="00CE65B1"/>
    <w:rsid w:val="00D01247"/>
    <w:rsid w:val="00D070EB"/>
    <w:rsid w:val="00D574E4"/>
    <w:rsid w:val="00D576EF"/>
    <w:rsid w:val="00DA4229"/>
    <w:rsid w:val="00DC1986"/>
    <w:rsid w:val="00DC7FB0"/>
    <w:rsid w:val="00E04145"/>
    <w:rsid w:val="00E13657"/>
    <w:rsid w:val="00E20E24"/>
    <w:rsid w:val="00E2372B"/>
    <w:rsid w:val="00E24AFE"/>
    <w:rsid w:val="00E65904"/>
    <w:rsid w:val="00E9724B"/>
    <w:rsid w:val="00EA1ECE"/>
    <w:rsid w:val="00EC6E7A"/>
    <w:rsid w:val="00EE3BBD"/>
    <w:rsid w:val="00F15049"/>
    <w:rsid w:val="00F20B01"/>
    <w:rsid w:val="00F234ED"/>
    <w:rsid w:val="00F36E95"/>
    <w:rsid w:val="00F75245"/>
    <w:rsid w:val="00F94DCB"/>
    <w:rsid w:val="00FD4469"/>
    <w:rsid w:val="00FE167F"/>
    <w:rsid w:val="010846EF"/>
    <w:rsid w:val="010C1913"/>
    <w:rsid w:val="012B7E09"/>
    <w:rsid w:val="013A223F"/>
    <w:rsid w:val="013D05F9"/>
    <w:rsid w:val="0144505B"/>
    <w:rsid w:val="015B6AE9"/>
    <w:rsid w:val="01711768"/>
    <w:rsid w:val="01746552"/>
    <w:rsid w:val="01766266"/>
    <w:rsid w:val="01920D21"/>
    <w:rsid w:val="019D4E57"/>
    <w:rsid w:val="01B56402"/>
    <w:rsid w:val="01D424A6"/>
    <w:rsid w:val="01F57ACD"/>
    <w:rsid w:val="01F90F7C"/>
    <w:rsid w:val="02064B47"/>
    <w:rsid w:val="02132B87"/>
    <w:rsid w:val="021D448D"/>
    <w:rsid w:val="022812AF"/>
    <w:rsid w:val="02412849"/>
    <w:rsid w:val="024B32D4"/>
    <w:rsid w:val="02572E23"/>
    <w:rsid w:val="025D32D6"/>
    <w:rsid w:val="026B0E1D"/>
    <w:rsid w:val="02701597"/>
    <w:rsid w:val="0277484A"/>
    <w:rsid w:val="02832C13"/>
    <w:rsid w:val="02854F8C"/>
    <w:rsid w:val="02874CA0"/>
    <w:rsid w:val="02904E25"/>
    <w:rsid w:val="02A7270F"/>
    <w:rsid w:val="02C33472"/>
    <w:rsid w:val="02D26084"/>
    <w:rsid w:val="02DB4DF7"/>
    <w:rsid w:val="02E4240E"/>
    <w:rsid w:val="02E713EA"/>
    <w:rsid w:val="02F65097"/>
    <w:rsid w:val="02F8646C"/>
    <w:rsid w:val="030A0C9E"/>
    <w:rsid w:val="030A706D"/>
    <w:rsid w:val="031F3A1E"/>
    <w:rsid w:val="03205381"/>
    <w:rsid w:val="0327406C"/>
    <w:rsid w:val="033B4F54"/>
    <w:rsid w:val="035D1454"/>
    <w:rsid w:val="036F1D46"/>
    <w:rsid w:val="038037F7"/>
    <w:rsid w:val="03AB66F3"/>
    <w:rsid w:val="03C25B44"/>
    <w:rsid w:val="03E137C1"/>
    <w:rsid w:val="03F27BE8"/>
    <w:rsid w:val="04061F89"/>
    <w:rsid w:val="041378F5"/>
    <w:rsid w:val="041E690A"/>
    <w:rsid w:val="046267BD"/>
    <w:rsid w:val="04887663"/>
    <w:rsid w:val="04964F06"/>
    <w:rsid w:val="04CB09D5"/>
    <w:rsid w:val="050D54D0"/>
    <w:rsid w:val="053A1110"/>
    <w:rsid w:val="05402991"/>
    <w:rsid w:val="05426E55"/>
    <w:rsid w:val="054575F8"/>
    <w:rsid w:val="054A0F95"/>
    <w:rsid w:val="054E1CE0"/>
    <w:rsid w:val="055F00B7"/>
    <w:rsid w:val="05725950"/>
    <w:rsid w:val="057A7F6E"/>
    <w:rsid w:val="05876B35"/>
    <w:rsid w:val="05AD42ED"/>
    <w:rsid w:val="05BA2969"/>
    <w:rsid w:val="05BE2F0D"/>
    <w:rsid w:val="05C515A4"/>
    <w:rsid w:val="05D62AE5"/>
    <w:rsid w:val="05FC494C"/>
    <w:rsid w:val="060454DB"/>
    <w:rsid w:val="066D1D57"/>
    <w:rsid w:val="06887F48"/>
    <w:rsid w:val="06BE30D0"/>
    <w:rsid w:val="06EF35C6"/>
    <w:rsid w:val="0770705C"/>
    <w:rsid w:val="079428F4"/>
    <w:rsid w:val="079C7ECA"/>
    <w:rsid w:val="079D0BE2"/>
    <w:rsid w:val="07C7559B"/>
    <w:rsid w:val="07F02678"/>
    <w:rsid w:val="08176DD1"/>
    <w:rsid w:val="08186ED9"/>
    <w:rsid w:val="08290F6A"/>
    <w:rsid w:val="082A28AB"/>
    <w:rsid w:val="084407B0"/>
    <w:rsid w:val="08554235"/>
    <w:rsid w:val="085B6064"/>
    <w:rsid w:val="085C2CE8"/>
    <w:rsid w:val="08667849"/>
    <w:rsid w:val="088B2EE5"/>
    <w:rsid w:val="08AA46C1"/>
    <w:rsid w:val="08B432AC"/>
    <w:rsid w:val="08B475B8"/>
    <w:rsid w:val="090A42F6"/>
    <w:rsid w:val="091E7FD5"/>
    <w:rsid w:val="091F7003"/>
    <w:rsid w:val="092A447A"/>
    <w:rsid w:val="092C43E3"/>
    <w:rsid w:val="0950470A"/>
    <w:rsid w:val="09762AEE"/>
    <w:rsid w:val="097B02EA"/>
    <w:rsid w:val="09D50B2E"/>
    <w:rsid w:val="09E35A8F"/>
    <w:rsid w:val="09EA213D"/>
    <w:rsid w:val="09EC3D33"/>
    <w:rsid w:val="09ED73EB"/>
    <w:rsid w:val="09EF50C8"/>
    <w:rsid w:val="0A08744C"/>
    <w:rsid w:val="0A0976BB"/>
    <w:rsid w:val="0A14214F"/>
    <w:rsid w:val="0A1845A6"/>
    <w:rsid w:val="0A186344"/>
    <w:rsid w:val="0A3E3F88"/>
    <w:rsid w:val="0A6022E1"/>
    <w:rsid w:val="0A672A35"/>
    <w:rsid w:val="0A880837"/>
    <w:rsid w:val="0A8A1552"/>
    <w:rsid w:val="0A991287"/>
    <w:rsid w:val="0AAC4A55"/>
    <w:rsid w:val="0AB16CAD"/>
    <w:rsid w:val="0AC83335"/>
    <w:rsid w:val="0AE70327"/>
    <w:rsid w:val="0AF7097C"/>
    <w:rsid w:val="0B0267FA"/>
    <w:rsid w:val="0B166CF5"/>
    <w:rsid w:val="0B167DBC"/>
    <w:rsid w:val="0B1F3949"/>
    <w:rsid w:val="0B25432A"/>
    <w:rsid w:val="0B401ADA"/>
    <w:rsid w:val="0B5963CA"/>
    <w:rsid w:val="0B5D1A85"/>
    <w:rsid w:val="0B666DB6"/>
    <w:rsid w:val="0B6B7EE6"/>
    <w:rsid w:val="0B986F9F"/>
    <w:rsid w:val="0BBC4457"/>
    <w:rsid w:val="0BC9793D"/>
    <w:rsid w:val="0BE92434"/>
    <w:rsid w:val="0C010536"/>
    <w:rsid w:val="0C0142A8"/>
    <w:rsid w:val="0C3A09E2"/>
    <w:rsid w:val="0C484020"/>
    <w:rsid w:val="0C4B1E57"/>
    <w:rsid w:val="0C581602"/>
    <w:rsid w:val="0C7F3BFC"/>
    <w:rsid w:val="0C876847"/>
    <w:rsid w:val="0C8F6E94"/>
    <w:rsid w:val="0CB6728F"/>
    <w:rsid w:val="0CBD0506"/>
    <w:rsid w:val="0CDD014F"/>
    <w:rsid w:val="0CDF45C6"/>
    <w:rsid w:val="0CE42FE0"/>
    <w:rsid w:val="0CF14B0E"/>
    <w:rsid w:val="0CF713B5"/>
    <w:rsid w:val="0CFD25BD"/>
    <w:rsid w:val="0D166EA2"/>
    <w:rsid w:val="0D3A39B1"/>
    <w:rsid w:val="0D4A02A6"/>
    <w:rsid w:val="0D6D4DC3"/>
    <w:rsid w:val="0D734079"/>
    <w:rsid w:val="0D824FF5"/>
    <w:rsid w:val="0D8D32AC"/>
    <w:rsid w:val="0D933F5C"/>
    <w:rsid w:val="0DA00640"/>
    <w:rsid w:val="0DAB1B73"/>
    <w:rsid w:val="0E024AB5"/>
    <w:rsid w:val="0E063787"/>
    <w:rsid w:val="0E0C42FA"/>
    <w:rsid w:val="0E826EB4"/>
    <w:rsid w:val="0E8B4F0A"/>
    <w:rsid w:val="0EA74B5C"/>
    <w:rsid w:val="0ED6034A"/>
    <w:rsid w:val="0EF47877"/>
    <w:rsid w:val="0F053B69"/>
    <w:rsid w:val="0F134293"/>
    <w:rsid w:val="0F2C766A"/>
    <w:rsid w:val="0F38239C"/>
    <w:rsid w:val="0F5F0920"/>
    <w:rsid w:val="0F65017C"/>
    <w:rsid w:val="0F862A78"/>
    <w:rsid w:val="0F8B4403"/>
    <w:rsid w:val="0F9846A6"/>
    <w:rsid w:val="0FC00610"/>
    <w:rsid w:val="0FC0631E"/>
    <w:rsid w:val="0FCD563C"/>
    <w:rsid w:val="0FD71798"/>
    <w:rsid w:val="0FED4157"/>
    <w:rsid w:val="10216824"/>
    <w:rsid w:val="10276BB8"/>
    <w:rsid w:val="104B4EC7"/>
    <w:rsid w:val="106E4FA7"/>
    <w:rsid w:val="10702699"/>
    <w:rsid w:val="107C3DF4"/>
    <w:rsid w:val="108E6DDE"/>
    <w:rsid w:val="109A1221"/>
    <w:rsid w:val="10A25F5C"/>
    <w:rsid w:val="10B85B7F"/>
    <w:rsid w:val="10D20FA3"/>
    <w:rsid w:val="10D44F6A"/>
    <w:rsid w:val="10FF0F20"/>
    <w:rsid w:val="11061223"/>
    <w:rsid w:val="11065D81"/>
    <w:rsid w:val="110A191D"/>
    <w:rsid w:val="112F26C0"/>
    <w:rsid w:val="114215F5"/>
    <w:rsid w:val="114542EA"/>
    <w:rsid w:val="1149117E"/>
    <w:rsid w:val="11541D52"/>
    <w:rsid w:val="11741C87"/>
    <w:rsid w:val="11A25028"/>
    <w:rsid w:val="11A966FC"/>
    <w:rsid w:val="11AF70DB"/>
    <w:rsid w:val="11AF7799"/>
    <w:rsid w:val="11B361D3"/>
    <w:rsid w:val="11B37C5F"/>
    <w:rsid w:val="11E70273"/>
    <w:rsid w:val="11F676B7"/>
    <w:rsid w:val="11FD41F5"/>
    <w:rsid w:val="12036E9B"/>
    <w:rsid w:val="12122C9D"/>
    <w:rsid w:val="121A5D1F"/>
    <w:rsid w:val="122C01F1"/>
    <w:rsid w:val="123567B5"/>
    <w:rsid w:val="12415950"/>
    <w:rsid w:val="124240A1"/>
    <w:rsid w:val="124E2945"/>
    <w:rsid w:val="126260E1"/>
    <w:rsid w:val="126E66D8"/>
    <w:rsid w:val="12766F68"/>
    <w:rsid w:val="12784E55"/>
    <w:rsid w:val="128327DE"/>
    <w:rsid w:val="128A78E8"/>
    <w:rsid w:val="128C33F4"/>
    <w:rsid w:val="12971C87"/>
    <w:rsid w:val="12AF56C2"/>
    <w:rsid w:val="12C90F11"/>
    <w:rsid w:val="12D72F5E"/>
    <w:rsid w:val="12DD74FC"/>
    <w:rsid w:val="12F1559D"/>
    <w:rsid w:val="12F8273A"/>
    <w:rsid w:val="12FB01C6"/>
    <w:rsid w:val="1314791D"/>
    <w:rsid w:val="133205F3"/>
    <w:rsid w:val="133501B8"/>
    <w:rsid w:val="13487675"/>
    <w:rsid w:val="134C03DB"/>
    <w:rsid w:val="13595D06"/>
    <w:rsid w:val="135B7ABC"/>
    <w:rsid w:val="136E014D"/>
    <w:rsid w:val="138D11BC"/>
    <w:rsid w:val="139D2FCC"/>
    <w:rsid w:val="13AB6434"/>
    <w:rsid w:val="13D02FAD"/>
    <w:rsid w:val="13D73EA8"/>
    <w:rsid w:val="13D84C83"/>
    <w:rsid w:val="13DB04B7"/>
    <w:rsid w:val="13E408D2"/>
    <w:rsid w:val="14277C69"/>
    <w:rsid w:val="1441058C"/>
    <w:rsid w:val="14426A88"/>
    <w:rsid w:val="146441B0"/>
    <w:rsid w:val="14B0712C"/>
    <w:rsid w:val="14D63AF8"/>
    <w:rsid w:val="14F0226B"/>
    <w:rsid w:val="15285578"/>
    <w:rsid w:val="15490388"/>
    <w:rsid w:val="15550B09"/>
    <w:rsid w:val="155550C1"/>
    <w:rsid w:val="156E26BA"/>
    <w:rsid w:val="156F3DFF"/>
    <w:rsid w:val="15881888"/>
    <w:rsid w:val="15954683"/>
    <w:rsid w:val="15C56451"/>
    <w:rsid w:val="15C8772A"/>
    <w:rsid w:val="15D34B9C"/>
    <w:rsid w:val="15D675AD"/>
    <w:rsid w:val="15D750FC"/>
    <w:rsid w:val="15DE594F"/>
    <w:rsid w:val="15E7494C"/>
    <w:rsid w:val="16162C58"/>
    <w:rsid w:val="1630298D"/>
    <w:rsid w:val="163E79E9"/>
    <w:rsid w:val="165170DE"/>
    <w:rsid w:val="16577237"/>
    <w:rsid w:val="166B3507"/>
    <w:rsid w:val="169B5F81"/>
    <w:rsid w:val="16AE7F98"/>
    <w:rsid w:val="16B30189"/>
    <w:rsid w:val="16B55928"/>
    <w:rsid w:val="16BF6BE7"/>
    <w:rsid w:val="16C327C8"/>
    <w:rsid w:val="171D0172"/>
    <w:rsid w:val="172072CE"/>
    <w:rsid w:val="174A6993"/>
    <w:rsid w:val="17573EE9"/>
    <w:rsid w:val="175A481E"/>
    <w:rsid w:val="177112A7"/>
    <w:rsid w:val="17750095"/>
    <w:rsid w:val="17821F33"/>
    <w:rsid w:val="17901C3F"/>
    <w:rsid w:val="17907B2D"/>
    <w:rsid w:val="17C4420E"/>
    <w:rsid w:val="17EF2982"/>
    <w:rsid w:val="1804579C"/>
    <w:rsid w:val="180B424D"/>
    <w:rsid w:val="181D727D"/>
    <w:rsid w:val="18217691"/>
    <w:rsid w:val="182537A3"/>
    <w:rsid w:val="18416030"/>
    <w:rsid w:val="1854683E"/>
    <w:rsid w:val="18625EBF"/>
    <w:rsid w:val="18656CB7"/>
    <w:rsid w:val="186F0D28"/>
    <w:rsid w:val="18756999"/>
    <w:rsid w:val="188012FF"/>
    <w:rsid w:val="188B1530"/>
    <w:rsid w:val="18921717"/>
    <w:rsid w:val="18936EC0"/>
    <w:rsid w:val="18997F37"/>
    <w:rsid w:val="18D25C2F"/>
    <w:rsid w:val="18E02502"/>
    <w:rsid w:val="18E51BE1"/>
    <w:rsid w:val="18F64206"/>
    <w:rsid w:val="18FA490E"/>
    <w:rsid w:val="19191C44"/>
    <w:rsid w:val="191A313B"/>
    <w:rsid w:val="192C7E04"/>
    <w:rsid w:val="192F739D"/>
    <w:rsid w:val="194B4581"/>
    <w:rsid w:val="19773655"/>
    <w:rsid w:val="19805D37"/>
    <w:rsid w:val="19901BD6"/>
    <w:rsid w:val="19A3760C"/>
    <w:rsid w:val="19A97DC4"/>
    <w:rsid w:val="19B15D84"/>
    <w:rsid w:val="19B162D6"/>
    <w:rsid w:val="19C0272D"/>
    <w:rsid w:val="19C82216"/>
    <w:rsid w:val="1A1306D6"/>
    <w:rsid w:val="1A324F2D"/>
    <w:rsid w:val="1A462475"/>
    <w:rsid w:val="1A606171"/>
    <w:rsid w:val="1A746A64"/>
    <w:rsid w:val="1A787B40"/>
    <w:rsid w:val="1A874A9F"/>
    <w:rsid w:val="1A887EA1"/>
    <w:rsid w:val="1A8D1A02"/>
    <w:rsid w:val="1A903574"/>
    <w:rsid w:val="1A997EE2"/>
    <w:rsid w:val="1AAE25CF"/>
    <w:rsid w:val="1B115D3C"/>
    <w:rsid w:val="1B1E0896"/>
    <w:rsid w:val="1B6A11E1"/>
    <w:rsid w:val="1B807337"/>
    <w:rsid w:val="1B8E1EF4"/>
    <w:rsid w:val="1B8E66DD"/>
    <w:rsid w:val="1B99695D"/>
    <w:rsid w:val="1BA47C58"/>
    <w:rsid w:val="1BA55045"/>
    <w:rsid w:val="1BB80F43"/>
    <w:rsid w:val="1BC170B5"/>
    <w:rsid w:val="1BC85289"/>
    <w:rsid w:val="1BCB5F23"/>
    <w:rsid w:val="1BE64759"/>
    <w:rsid w:val="1BF0529D"/>
    <w:rsid w:val="1C056994"/>
    <w:rsid w:val="1C293336"/>
    <w:rsid w:val="1C3A3664"/>
    <w:rsid w:val="1C550846"/>
    <w:rsid w:val="1C63127F"/>
    <w:rsid w:val="1C6C08F4"/>
    <w:rsid w:val="1C6D7A62"/>
    <w:rsid w:val="1C861950"/>
    <w:rsid w:val="1C8B6F5F"/>
    <w:rsid w:val="1C996C5A"/>
    <w:rsid w:val="1C9B7F2C"/>
    <w:rsid w:val="1CEB2835"/>
    <w:rsid w:val="1CEF4C58"/>
    <w:rsid w:val="1CF923C8"/>
    <w:rsid w:val="1D155103"/>
    <w:rsid w:val="1D35483F"/>
    <w:rsid w:val="1D385997"/>
    <w:rsid w:val="1D4C378E"/>
    <w:rsid w:val="1D542943"/>
    <w:rsid w:val="1D6867AA"/>
    <w:rsid w:val="1D6B0D1C"/>
    <w:rsid w:val="1D6B553A"/>
    <w:rsid w:val="1D9A028D"/>
    <w:rsid w:val="1DB74394"/>
    <w:rsid w:val="1DC204E2"/>
    <w:rsid w:val="1DEF3BFA"/>
    <w:rsid w:val="1DF73FC6"/>
    <w:rsid w:val="1DF97E9A"/>
    <w:rsid w:val="1E28165B"/>
    <w:rsid w:val="1E3F13E8"/>
    <w:rsid w:val="1E591E92"/>
    <w:rsid w:val="1E5A177B"/>
    <w:rsid w:val="1E6D42C6"/>
    <w:rsid w:val="1E8407C2"/>
    <w:rsid w:val="1E99527E"/>
    <w:rsid w:val="1EA31FFF"/>
    <w:rsid w:val="1EF51209"/>
    <w:rsid w:val="1EFC66B5"/>
    <w:rsid w:val="1F0001D5"/>
    <w:rsid w:val="1F1055CD"/>
    <w:rsid w:val="1F122256"/>
    <w:rsid w:val="1F2A6718"/>
    <w:rsid w:val="1F622F94"/>
    <w:rsid w:val="1F766018"/>
    <w:rsid w:val="1F81741B"/>
    <w:rsid w:val="1F932092"/>
    <w:rsid w:val="1FB25319"/>
    <w:rsid w:val="1FC4124F"/>
    <w:rsid w:val="1FDF119E"/>
    <w:rsid w:val="1FEC172E"/>
    <w:rsid w:val="201F03F2"/>
    <w:rsid w:val="202177E7"/>
    <w:rsid w:val="2040436F"/>
    <w:rsid w:val="209A4D1A"/>
    <w:rsid w:val="20B1245C"/>
    <w:rsid w:val="20C02311"/>
    <w:rsid w:val="20CC4AE9"/>
    <w:rsid w:val="211D3F48"/>
    <w:rsid w:val="21306063"/>
    <w:rsid w:val="214D7F75"/>
    <w:rsid w:val="215545B8"/>
    <w:rsid w:val="216370D8"/>
    <w:rsid w:val="21692402"/>
    <w:rsid w:val="21782D76"/>
    <w:rsid w:val="217B5F4F"/>
    <w:rsid w:val="219A6E87"/>
    <w:rsid w:val="21AC1370"/>
    <w:rsid w:val="21AC6C50"/>
    <w:rsid w:val="21B21144"/>
    <w:rsid w:val="21B53414"/>
    <w:rsid w:val="21CD7397"/>
    <w:rsid w:val="21D42B22"/>
    <w:rsid w:val="21FE0428"/>
    <w:rsid w:val="22292C54"/>
    <w:rsid w:val="223D493B"/>
    <w:rsid w:val="223E6B17"/>
    <w:rsid w:val="22866B81"/>
    <w:rsid w:val="22B14F20"/>
    <w:rsid w:val="22DC023E"/>
    <w:rsid w:val="23103DC5"/>
    <w:rsid w:val="23400FE6"/>
    <w:rsid w:val="23565547"/>
    <w:rsid w:val="2385142A"/>
    <w:rsid w:val="23965D35"/>
    <w:rsid w:val="23C748F0"/>
    <w:rsid w:val="23D116CA"/>
    <w:rsid w:val="23E303FA"/>
    <w:rsid w:val="23ED635D"/>
    <w:rsid w:val="2407133A"/>
    <w:rsid w:val="24292561"/>
    <w:rsid w:val="242A22F9"/>
    <w:rsid w:val="24405900"/>
    <w:rsid w:val="24575A93"/>
    <w:rsid w:val="24651576"/>
    <w:rsid w:val="246931A3"/>
    <w:rsid w:val="249F2143"/>
    <w:rsid w:val="24BC4775"/>
    <w:rsid w:val="24BE2F37"/>
    <w:rsid w:val="24BE477F"/>
    <w:rsid w:val="24C904D9"/>
    <w:rsid w:val="24D779BE"/>
    <w:rsid w:val="24EE7382"/>
    <w:rsid w:val="24F14E09"/>
    <w:rsid w:val="250F1637"/>
    <w:rsid w:val="25186BD9"/>
    <w:rsid w:val="252E1698"/>
    <w:rsid w:val="25326A1A"/>
    <w:rsid w:val="255F7AD2"/>
    <w:rsid w:val="256D4FBD"/>
    <w:rsid w:val="257706D1"/>
    <w:rsid w:val="25800D6B"/>
    <w:rsid w:val="25842F03"/>
    <w:rsid w:val="258D7072"/>
    <w:rsid w:val="259D3142"/>
    <w:rsid w:val="25A22420"/>
    <w:rsid w:val="25C10A2A"/>
    <w:rsid w:val="25C24E88"/>
    <w:rsid w:val="25E30DED"/>
    <w:rsid w:val="25F66BC9"/>
    <w:rsid w:val="2627224F"/>
    <w:rsid w:val="262A3428"/>
    <w:rsid w:val="26507C71"/>
    <w:rsid w:val="26580A35"/>
    <w:rsid w:val="268F0627"/>
    <w:rsid w:val="269879AC"/>
    <w:rsid w:val="26AA088B"/>
    <w:rsid w:val="26B8793C"/>
    <w:rsid w:val="270C7E7B"/>
    <w:rsid w:val="27180E6A"/>
    <w:rsid w:val="271E393C"/>
    <w:rsid w:val="27210BF0"/>
    <w:rsid w:val="274E3F04"/>
    <w:rsid w:val="27581696"/>
    <w:rsid w:val="278F4995"/>
    <w:rsid w:val="27AA4610"/>
    <w:rsid w:val="27AC54F6"/>
    <w:rsid w:val="27BC2085"/>
    <w:rsid w:val="27C41456"/>
    <w:rsid w:val="27C57281"/>
    <w:rsid w:val="27C72359"/>
    <w:rsid w:val="27D736F7"/>
    <w:rsid w:val="28055B11"/>
    <w:rsid w:val="282E3D83"/>
    <w:rsid w:val="28330349"/>
    <w:rsid w:val="284B7D71"/>
    <w:rsid w:val="285309E1"/>
    <w:rsid w:val="286216CD"/>
    <w:rsid w:val="2873035F"/>
    <w:rsid w:val="28A84CF5"/>
    <w:rsid w:val="28B34564"/>
    <w:rsid w:val="28B43D14"/>
    <w:rsid w:val="28D814E6"/>
    <w:rsid w:val="29304A14"/>
    <w:rsid w:val="294409BC"/>
    <w:rsid w:val="29652790"/>
    <w:rsid w:val="29690D96"/>
    <w:rsid w:val="297306E7"/>
    <w:rsid w:val="29731C48"/>
    <w:rsid w:val="299F433F"/>
    <w:rsid w:val="29A143AE"/>
    <w:rsid w:val="29A82408"/>
    <w:rsid w:val="29B46D85"/>
    <w:rsid w:val="29DB5624"/>
    <w:rsid w:val="29EC16EE"/>
    <w:rsid w:val="29F551F9"/>
    <w:rsid w:val="29FA2986"/>
    <w:rsid w:val="29FC5621"/>
    <w:rsid w:val="2A2A5B1D"/>
    <w:rsid w:val="2A4A0382"/>
    <w:rsid w:val="2A581BB7"/>
    <w:rsid w:val="2A604683"/>
    <w:rsid w:val="2A641987"/>
    <w:rsid w:val="2A805470"/>
    <w:rsid w:val="2A8810EB"/>
    <w:rsid w:val="2A9E1584"/>
    <w:rsid w:val="2AA02867"/>
    <w:rsid w:val="2AB2663D"/>
    <w:rsid w:val="2AB357E7"/>
    <w:rsid w:val="2ABB6960"/>
    <w:rsid w:val="2AC85D31"/>
    <w:rsid w:val="2ACE110D"/>
    <w:rsid w:val="2AF33F87"/>
    <w:rsid w:val="2AF76423"/>
    <w:rsid w:val="2B127165"/>
    <w:rsid w:val="2B395A62"/>
    <w:rsid w:val="2B4167F4"/>
    <w:rsid w:val="2B467033"/>
    <w:rsid w:val="2B63494F"/>
    <w:rsid w:val="2B850876"/>
    <w:rsid w:val="2B946A71"/>
    <w:rsid w:val="2B9672D3"/>
    <w:rsid w:val="2BB23B01"/>
    <w:rsid w:val="2BC22732"/>
    <w:rsid w:val="2BE33ED3"/>
    <w:rsid w:val="2BE43FF8"/>
    <w:rsid w:val="2BFD4759"/>
    <w:rsid w:val="2C023E6C"/>
    <w:rsid w:val="2C05511C"/>
    <w:rsid w:val="2C3A7B0C"/>
    <w:rsid w:val="2C662F70"/>
    <w:rsid w:val="2C665384"/>
    <w:rsid w:val="2C702887"/>
    <w:rsid w:val="2C871D46"/>
    <w:rsid w:val="2C8F2FAE"/>
    <w:rsid w:val="2CAC46BC"/>
    <w:rsid w:val="2CBE2841"/>
    <w:rsid w:val="2CC9536F"/>
    <w:rsid w:val="2CF617E0"/>
    <w:rsid w:val="2CF918A8"/>
    <w:rsid w:val="2D163A5B"/>
    <w:rsid w:val="2D164FB2"/>
    <w:rsid w:val="2D9F53DD"/>
    <w:rsid w:val="2DAA58FD"/>
    <w:rsid w:val="2DBB723B"/>
    <w:rsid w:val="2DC37DF1"/>
    <w:rsid w:val="2DDD4AFC"/>
    <w:rsid w:val="2DFE3B11"/>
    <w:rsid w:val="2E0D173F"/>
    <w:rsid w:val="2E107BBE"/>
    <w:rsid w:val="2E650202"/>
    <w:rsid w:val="2E825B76"/>
    <w:rsid w:val="2EBA7E09"/>
    <w:rsid w:val="2ED8069F"/>
    <w:rsid w:val="2EF67F2A"/>
    <w:rsid w:val="2F054C2F"/>
    <w:rsid w:val="2F0B25ED"/>
    <w:rsid w:val="2F42550A"/>
    <w:rsid w:val="2F427F66"/>
    <w:rsid w:val="2F4A1FBC"/>
    <w:rsid w:val="2F4E6783"/>
    <w:rsid w:val="2F54225E"/>
    <w:rsid w:val="2F554D7F"/>
    <w:rsid w:val="2F596E5D"/>
    <w:rsid w:val="2F5D192E"/>
    <w:rsid w:val="2F611ABC"/>
    <w:rsid w:val="2F690BCB"/>
    <w:rsid w:val="2F6E001C"/>
    <w:rsid w:val="2F950E76"/>
    <w:rsid w:val="2F984ABB"/>
    <w:rsid w:val="2FB72194"/>
    <w:rsid w:val="2FC84604"/>
    <w:rsid w:val="2FD03E7A"/>
    <w:rsid w:val="2FDF7A0E"/>
    <w:rsid w:val="2FE32412"/>
    <w:rsid w:val="30112E06"/>
    <w:rsid w:val="30124FBE"/>
    <w:rsid w:val="30346EAA"/>
    <w:rsid w:val="30347F65"/>
    <w:rsid w:val="304004EE"/>
    <w:rsid w:val="3050298E"/>
    <w:rsid w:val="30561692"/>
    <w:rsid w:val="305F1FC5"/>
    <w:rsid w:val="309144F6"/>
    <w:rsid w:val="3093532E"/>
    <w:rsid w:val="30AA13BF"/>
    <w:rsid w:val="30AC409C"/>
    <w:rsid w:val="30D73366"/>
    <w:rsid w:val="30E06330"/>
    <w:rsid w:val="310B386C"/>
    <w:rsid w:val="310C4A4C"/>
    <w:rsid w:val="31195802"/>
    <w:rsid w:val="31203B61"/>
    <w:rsid w:val="31233074"/>
    <w:rsid w:val="314642C9"/>
    <w:rsid w:val="31571385"/>
    <w:rsid w:val="316C2C18"/>
    <w:rsid w:val="31756A45"/>
    <w:rsid w:val="31926D16"/>
    <w:rsid w:val="31947670"/>
    <w:rsid w:val="31A1306B"/>
    <w:rsid w:val="31C65F4F"/>
    <w:rsid w:val="31D4278E"/>
    <w:rsid w:val="31E45157"/>
    <w:rsid w:val="31FE6D95"/>
    <w:rsid w:val="323A719D"/>
    <w:rsid w:val="324D035F"/>
    <w:rsid w:val="324E226E"/>
    <w:rsid w:val="32832F69"/>
    <w:rsid w:val="32B15F25"/>
    <w:rsid w:val="32CE1BE7"/>
    <w:rsid w:val="32D4454C"/>
    <w:rsid w:val="32DB2198"/>
    <w:rsid w:val="32F341BB"/>
    <w:rsid w:val="32FF588D"/>
    <w:rsid w:val="33023583"/>
    <w:rsid w:val="33244CBF"/>
    <w:rsid w:val="3341058C"/>
    <w:rsid w:val="33434A04"/>
    <w:rsid w:val="335C0F0C"/>
    <w:rsid w:val="336819F9"/>
    <w:rsid w:val="33710420"/>
    <w:rsid w:val="338167C8"/>
    <w:rsid w:val="33897CA5"/>
    <w:rsid w:val="338F4BBD"/>
    <w:rsid w:val="33D36D85"/>
    <w:rsid w:val="33D4590D"/>
    <w:rsid w:val="33DC601A"/>
    <w:rsid w:val="33F43289"/>
    <w:rsid w:val="344A3B15"/>
    <w:rsid w:val="344A5CAF"/>
    <w:rsid w:val="34627E84"/>
    <w:rsid w:val="346678FC"/>
    <w:rsid w:val="34751FF9"/>
    <w:rsid w:val="34761B3D"/>
    <w:rsid w:val="349E727F"/>
    <w:rsid w:val="34C10A99"/>
    <w:rsid w:val="34E837D0"/>
    <w:rsid w:val="34ED2EF3"/>
    <w:rsid w:val="34F26246"/>
    <w:rsid w:val="34FB6280"/>
    <w:rsid w:val="35191C89"/>
    <w:rsid w:val="352B7FCC"/>
    <w:rsid w:val="353E1DF5"/>
    <w:rsid w:val="35530B97"/>
    <w:rsid w:val="35534D2B"/>
    <w:rsid w:val="35884C5D"/>
    <w:rsid w:val="359663C1"/>
    <w:rsid w:val="359E60A8"/>
    <w:rsid w:val="35CB32CD"/>
    <w:rsid w:val="35DD3A09"/>
    <w:rsid w:val="35F82C40"/>
    <w:rsid w:val="35FE3168"/>
    <w:rsid w:val="35FF2AA4"/>
    <w:rsid w:val="360E3D96"/>
    <w:rsid w:val="361851AE"/>
    <w:rsid w:val="36504388"/>
    <w:rsid w:val="36860188"/>
    <w:rsid w:val="3688296F"/>
    <w:rsid w:val="369F5F8F"/>
    <w:rsid w:val="36D01BBB"/>
    <w:rsid w:val="36D72354"/>
    <w:rsid w:val="36D954F0"/>
    <w:rsid w:val="36DF0DCA"/>
    <w:rsid w:val="370666E5"/>
    <w:rsid w:val="37342434"/>
    <w:rsid w:val="37374EDB"/>
    <w:rsid w:val="374250EA"/>
    <w:rsid w:val="374E155E"/>
    <w:rsid w:val="375068F8"/>
    <w:rsid w:val="376B6B46"/>
    <w:rsid w:val="37763244"/>
    <w:rsid w:val="37812ADE"/>
    <w:rsid w:val="3782361C"/>
    <w:rsid w:val="379314F1"/>
    <w:rsid w:val="37B46BAB"/>
    <w:rsid w:val="37E05E03"/>
    <w:rsid w:val="37E92EA6"/>
    <w:rsid w:val="382660E9"/>
    <w:rsid w:val="3838588B"/>
    <w:rsid w:val="383A131B"/>
    <w:rsid w:val="38584D39"/>
    <w:rsid w:val="385F1A9D"/>
    <w:rsid w:val="3884005D"/>
    <w:rsid w:val="38887E1E"/>
    <w:rsid w:val="388A03D1"/>
    <w:rsid w:val="389712F2"/>
    <w:rsid w:val="389A5091"/>
    <w:rsid w:val="38BC5D6B"/>
    <w:rsid w:val="39010974"/>
    <w:rsid w:val="391E088C"/>
    <w:rsid w:val="39346060"/>
    <w:rsid w:val="3935437F"/>
    <w:rsid w:val="394153A0"/>
    <w:rsid w:val="39496D47"/>
    <w:rsid w:val="39544ECF"/>
    <w:rsid w:val="395C5C3C"/>
    <w:rsid w:val="39624BFA"/>
    <w:rsid w:val="398630C2"/>
    <w:rsid w:val="39917E8F"/>
    <w:rsid w:val="39A03524"/>
    <w:rsid w:val="39B431AE"/>
    <w:rsid w:val="39DA3426"/>
    <w:rsid w:val="39E901AB"/>
    <w:rsid w:val="39E91C6F"/>
    <w:rsid w:val="39F63F04"/>
    <w:rsid w:val="3A0B39E8"/>
    <w:rsid w:val="3A1060D4"/>
    <w:rsid w:val="3A3E0552"/>
    <w:rsid w:val="3A541E9A"/>
    <w:rsid w:val="3A5B4623"/>
    <w:rsid w:val="3A626207"/>
    <w:rsid w:val="3A7B2173"/>
    <w:rsid w:val="3A8D3267"/>
    <w:rsid w:val="3AC2445B"/>
    <w:rsid w:val="3AC24B1F"/>
    <w:rsid w:val="3AD30754"/>
    <w:rsid w:val="3AED53F2"/>
    <w:rsid w:val="3B1E7517"/>
    <w:rsid w:val="3B434A56"/>
    <w:rsid w:val="3B4F12B2"/>
    <w:rsid w:val="3B522C74"/>
    <w:rsid w:val="3B5A1037"/>
    <w:rsid w:val="3B730A2C"/>
    <w:rsid w:val="3B8666FD"/>
    <w:rsid w:val="3B8730B0"/>
    <w:rsid w:val="3B8A248D"/>
    <w:rsid w:val="3B8D15A9"/>
    <w:rsid w:val="3B902CE5"/>
    <w:rsid w:val="3B9F138E"/>
    <w:rsid w:val="3BE572AB"/>
    <w:rsid w:val="3BF24A4D"/>
    <w:rsid w:val="3BF972A2"/>
    <w:rsid w:val="3BFB4679"/>
    <w:rsid w:val="3C0173CA"/>
    <w:rsid w:val="3C0A04BB"/>
    <w:rsid w:val="3C6875A8"/>
    <w:rsid w:val="3C7057AE"/>
    <w:rsid w:val="3C925D30"/>
    <w:rsid w:val="3CA8627B"/>
    <w:rsid w:val="3CA97F92"/>
    <w:rsid w:val="3CAC135C"/>
    <w:rsid w:val="3CB04AB6"/>
    <w:rsid w:val="3CCE0013"/>
    <w:rsid w:val="3CD25D00"/>
    <w:rsid w:val="3CDD669E"/>
    <w:rsid w:val="3D1A5A18"/>
    <w:rsid w:val="3D3712B0"/>
    <w:rsid w:val="3D4B442E"/>
    <w:rsid w:val="3D641AB8"/>
    <w:rsid w:val="3D6F0419"/>
    <w:rsid w:val="3D7D48B2"/>
    <w:rsid w:val="3D81386F"/>
    <w:rsid w:val="3D853AE2"/>
    <w:rsid w:val="3DA9019F"/>
    <w:rsid w:val="3DB724DE"/>
    <w:rsid w:val="3DC70F93"/>
    <w:rsid w:val="3DEC7EC6"/>
    <w:rsid w:val="3E1407D9"/>
    <w:rsid w:val="3E206C43"/>
    <w:rsid w:val="3E2E431B"/>
    <w:rsid w:val="3E523A8B"/>
    <w:rsid w:val="3E74486F"/>
    <w:rsid w:val="3E7C3693"/>
    <w:rsid w:val="3E996386"/>
    <w:rsid w:val="3EC21433"/>
    <w:rsid w:val="3EC7628C"/>
    <w:rsid w:val="3EDC2981"/>
    <w:rsid w:val="3EDD4E4A"/>
    <w:rsid w:val="3F0C2C0C"/>
    <w:rsid w:val="3F237670"/>
    <w:rsid w:val="3F276C40"/>
    <w:rsid w:val="3F564F3B"/>
    <w:rsid w:val="3F5A50A4"/>
    <w:rsid w:val="3F6D39A8"/>
    <w:rsid w:val="3FA46EF8"/>
    <w:rsid w:val="3FAA0D21"/>
    <w:rsid w:val="3FC035F5"/>
    <w:rsid w:val="3FC40C19"/>
    <w:rsid w:val="3FD802C3"/>
    <w:rsid w:val="3FD92EBA"/>
    <w:rsid w:val="3FDA0AC6"/>
    <w:rsid w:val="3FDE248C"/>
    <w:rsid w:val="3FF53461"/>
    <w:rsid w:val="40136E31"/>
    <w:rsid w:val="401B6C5D"/>
    <w:rsid w:val="40596BBF"/>
    <w:rsid w:val="40787368"/>
    <w:rsid w:val="409E0693"/>
    <w:rsid w:val="40DA4C13"/>
    <w:rsid w:val="40DB5BA5"/>
    <w:rsid w:val="40E43CD6"/>
    <w:rsid w:val="40E82081"/>
    <w:rsid w:val="40FA66A1"/>
    <w:rsid w:val="41181D29"/>
    <w:rsid w:val="412579B8"/>
    <w:rsid w:val="41303C39"/>
    <w:rsid w:val="414B2E3E"/>
    <w:rsid w:val="414C69F9"/>
    <w:rsid w:val="414F74CB"/>
    <w:rsid w:val="415B6654"/>
    <w:rsid w:val="416C51AE"/>
    <w:rsid w:val="417C22B1"/>
    <w:rsid w:val="417C2EE6"/>
    <w:rsid w:val="417F656D"/>
    <w:rsid w:val="41A0365E"/>
    <w:rsid w:val="41B423A3"/>
    <w:rsid w:val="41C92B51"/>
    <w:rsid w:val="41D301C3"/>
    <w:rsid w:val="41D623AF"/>
    <w:rsid w:val="41E270E0"/>
    <w:rsid w:val="41E618AB"/>
    <w:rsid w:val="41EE3316"/>
    <w:rsid w:val="41F94D31"/>
    <w:rsid w:val="420058C3"/>
    <w:rsid w:val="4205106A"/>
    <w:rsid w:val="42071D2B"/>
    <w:rsid w:val="422573CE"/>
    <w:rsid w:val="422F49B3"/>
    <w:rsid w:val="423F7F55"/>
    <w:rsid w:val="425E7507"/>
    <w:rsid w:val="42651F6F"/>
    <w:rsid w:val="42782BB3"/>
    <w:rsid w:val="427B5179"/>
    <w:rsid w:val="42802614"/>
    <w:rsid w:val="42817BCD"/>
    <w:rsid w:val="4288071B"/>
    <w:rsid w:val="42962F2E"/>
    <w:rsid w:val="42B01704"/>
    <w:rsid w:val="42CA32DA"/>
    <w:rsid w:val="42CC4106"/>
    <w:rsid w:val="42E068CB"/>
    <w:rsid w:val="42E179A0"/>
    <w:rsid w:val="42F1123A"/>
    <w:rsid w:val="43062143"/>
    <w:rsid w:val="43176B99"/>
    <w:rsid w:val="433858A5"/>
    <w:rsid w:val="433E126A"/>
    <w:rsid w:val="43463BB3"/>
    <w:rsid w:val="437D4098"/>
    <w:rsid w:val="43853792"/>
    <w:rsid w:val="43920E07"/>
    <w:rsid w:val="43951B04"/>
    <w:rsid w:val="43BD670A"/>
    <w:rsid w:val="43D021A6"/>
    <w:rsid w:val="44092E83"/>
    <w:rsid w:val="441D7748"/>
    <w:rsid w:val="442F3C65"/>
    <w:rsid w:val="445A5FC5"/>
    <w:rsid w:val="44775EB5"/>
    <w:rsid w:val="44817707"/>
    <w:rsid w:val="44984355"/>
    <w:rsid w:val="44A31A4E"/>
    <w:rsid w:val="44A8226D"/>
    <w:rsid w:val="44CC24AA"/>
    <w:rsid w:val="44CC2C4F"/>
    <w:rsid w:val="44E128CB"/>
    <w:rsid w:val="4524498B"/>
    <w:rsid w:val="45381DC6"/>
    <w:rsid w:val="455238D0"/>
    <w:rsid w:val="455932E3"/>
    <w:rsid w:val="457A3530"/>
    <w:rsid w:val="457C55D9"/>
    <w:rsid w:val="45BB5B0E"/>
    <w:rsid w:val="45DA6220"/>
    <w:rsid w:val="45FB5A7C"/>
    <w:rsid w:val="4601483F"/>
    <w:rsid w:val="46167051"/>
    <w:rsid w:val="462970E0"/>
    <w:rsid w:val="463E188C"/>
    <w:rsid w:val="464E3334"/>
    <w:rsid w:val="4655341B"/>
    <w:rsid w:val="465A276D"/>
    <w:rsid w:val="465C410E"/>
    <w:rsid w:val="466F2CE5"/>
    <w:rsid w:val="46760020"/>
    <w:rsid w:val="46A26AC9"/>
    <w:rsid w:val="46A7659A"/>
    <w:rsid w:val="46B12139"/>
    <w:rsid w:val="46C853F2"/>
    <w:rsid w:val="46F722E3"/>
    <w:rsid w:val="47041F62"/>
    <w:rsid w:val="47061262"/>
    <w:rsid w:val="471D4913"/>
    <w:rsid w:val="472F06CD"/>
    <w:rsid w:val="4734684B"/>
    <w:rsid w:val="476A5FE9"/>
    <w:rsid w:val="47770F26"/>
    <w:rsid w:val="4780564D"/>
    <w:rsid w:val="478C1FDC"/>
    <w:rsid w:val="47B61331"/>
    <w:rsid w:val="47CC1367"/>
    <w:rsid w:val="47D06BF0"/>
    <w:rsid w:val="47DB5304"/>
    <w:rsid w:val="47E06F83"/>
    <w:rsid w:val="4822572A"/>
    <w:rsid w:val="482570D8"/>
    <w:rsid w:val="48416E7A"/>
    <w:rsid w:val="48441F17"/>
    <w:rsid w:val="4852797B"/>
    <w:rsid w:val="485B2019"/>
    <w:rsid w:val="485D5571"/>
    <w:rsid w:val="48C7247F"/>
    <w:rsid w:val="48C73A77"/>
    <w:rsid w:val="48DB7360"/>
    <w:rsid w:val="48FB57F1"/>
    <w:rsid w:val="48FF5525"/>
    <w:rsid w:val="49001E86"/>
    <w:rsid w:val="490834A4"/>
    <w:rsid w:val="490B4C39"/>
    <w:rsid w:val="49105464"/>
    <w:rsid w:val="4920485E"/>
    <w:rsid w:val="497C5BD0"/>
    <w:rsid w:val="499C52DA"/>
    <w:rsid w:val="499E5E25"/>
    <w:rsid w:val="49A07E2B"/>
    <w:rsid w:val="49BF27C0"/>
    <w:rsid w:val="49F64E88"/>
    <w:rsid w:val="4A2279F2"/>
    <w:rsid w:val="4A234FEC"/>
    <w:rsid w:val="4A8C5C10"/>
    <w:rsid w:val="4A966A5A"/>
    <w:rsid w:val="4AA33EEE"/>
    <w:rsid w:val="4AB30EDE"/>
    <w:rsid w:val="4ADB63A1"/>
    <w:rsid w:val="4ADE1E17"/>
    <w:rsid w:val="4AF34F66"/>
    <w:rsid w:val="4B037F2C"/>
    <w:rsid w:val="4B2C5AC5"/>
    <w:rsid w:val="4B307434"/>
    <w:rsid w:val="4B341F77"/>
    <w:rsid w:val="4B38027D"/>
    <w:rsid w:val="4B403894"/>
    <w:rsid w:val="4B537A20"/>
    <w:rsid w:val="4B570C94"/>
    <w:rsid w:val="4B5951FB"/>
    <w:rsid w:val="4B643D38"/>
    <w:rsid w:val="4B6442B0"/>
    <w:rsid w:val="4B667CEE"/>
    <w:rsid w:val="4B6A4AAC"/>
    <w:rsid w:val="4B7D207A"/>
    <w:rsid w:val="4B875EB6"/>
    <w:rsid w:val="4BA44224"/>
    <w:rsid w:val="4BAD1EF1"/>
    <w:rsid w:val="4BB2318A"/>
    <w:rsid w:val="4BBA6469"/>
    <w:rsid w:val="4BD65F0F"/>
    <w:rsid w:val="4BD73847"/>
    <w:rsid w:val="4BE449C3"/>
    <w:rsid w:val="4BE94D93"/>
    <w:rsid w:val="4BF74DDD"/>
    <w:rsid w:val="4BFE381D"/>
    <w:rsid w:val="4C051DC3"/>
    <w:rsid w:val="4C374D55"/>
    <w:rsid w:val="4C3A10FB"/>
    <w:rsid w:val="4C5A45DA"/>
    <w:rsid w:val="4C6514B0"/>
    <w:rsid w:val="4C6C0D90"/>
    <w:rsid w:val="4C7A7C48"/>
    <w:rsid w:val="4C7D1FFD"/>
    <w:rsid w:val="4CA606B1"/>
    <w:rsid w:val="4CC23A9A"/>
    <w:rsid w:val="4CD57FCC"/>
    <w:rsid w:val="4CDF633C"/>
    <w:rsid w:val="4CE646B0"/>
    <w:rsid w:val="4CF5763E"/>
    <w:rsid w:val="4D3F0EA5"/>
    <w:rsid w:val="4D3F7CBF"/>
    <w:rsid w:val="4D4C3A0B"/>
    <w:rsid w:val="4D580DEF"/>
    <w:rsid w:val="4D62389D"/>
    <w:rsid w:val="4D934A58"/>
    <w:rsid w:val="4D955AB0"/>
    <w:rsid w:val="4DAE78DE"/>
    <w:rsid w:val="4DC46301"/>
    <w:rsid w:val="4DDC11A7"/>
    <w:rsid w:val="4DE43405"/>
    <w:rsid w:val="4DED256A"/>
    <w:rsid w:val="4DF60896"/>
    <w:rsid w:val="4DFE3CC8"/>
    <w:rsid w:val="4E0B0F23"/>
    <w:rsid w:val="4E1F5E5B"/>
    <w:rsid w:val="4E291506"/>
    <w:rsid w:val="4E4E418E"/>
    <w:rsid w:val="4E4F1FAF"/>
    <w:rsid w:val="4E544DBE"/>
    <w:rsid w:val="4E6065EA"/>
    <w:rsid w:val="4E763E41"/>
    <w:rsid w:val="4E7B1501"/>
    <w:rsid w:val="4EAC4392"/>
    <w:rsid w:val="4EB9175E"/>
    <w:rsid w:val="4ED718CA"/>
    <w:rsid w:val="4EE90884"/>
    <w:rsid w:val="4F025B95"/>
    <w:rsid w:val="4F0A7123"/>
    <w:rsid w:val="4F1C1A77"/>
    <w:rsid w:val="4F2A3762"/>
    <w:rsid w:val="4F2E0DB1"/>
    <w:rsid w:val="4F7A5394"/>
    <w:rsid w:val="4F864837"/>
    <w:rsid w:val="4F9B67B6"/>
    <w:rsid w:val="4FB55561"/>
    <w:rsid w:val="4FD41C1D"/>
    <w:rsid w:val="4FD54DAA"/>
    <w:rsid w:val="4FD7316C"/>
    <w:rsid w:val="4FED2322"/>
    <w:rsid w:val="4FF33150"/>
    <w:rsid w:val="4FF74011"/>
    <w:rsid w:val="4FFD53C6"/>
    <w:rsid w:val="503D1B16"/>
    <w:rsid w:val="5074268E"/>
    <w:rsid w:val="508E47DC"/>
    <w:rsid w:val="50A15458"/>
    <w:rsid w:val="50A940E7"/>
    <w:rsid w:val="50AE3F83"/>
    <w:rsid w:val="50C30E52"/>
    <w:rsid w:val="50CF7A4B"/>
    <w:rsid w:val="50DE238B"/>
    <w:rsid w:val="51022777"/>
    <w:rsid w:val="510C0013"/>
    <w:rsid w:val="512B3DE9"/>
    <w:rsid w:val="5137564E"/>
    <w:rsid w:val="514C5DF3"/>
    <w:rsid w:val="515B0FAE"/>
    <w:rsid w:val="515C0CB9"/>
    <w:rsid w:val="516C1A4D"/>
    <w:rsid w:val="517355FD"/>
    <w:rsid w:val="517D08DC"/>
    <w:rsid w:val="518E76DE"/>
    <w:rsid w:val="51A846EE"/>
    <w:rsid w:val="51B53B84"/>
    <w:rsid w:val="51BA4D6F"/>
    <w:rsid w:val="51BE6E5B"/>
    <w:rsid w:val="51BF3D2D"/>
    <w:rsid w:val="51D46C15"/>
    <w:rsid w:val="51DD4E62"/>
    <w:rsid w:val="51ED1DBF"/>
    <w:rsid w:val="51F10280"/>
    <w:rsid w:val="51F2620F"/>
    <w:rsid w:val="5203018B"/>
    <w:rsid w:val="520923F4"/>
    <w:rsid w:val="5211020B"/>
    <w:rsid w:val="52281530"/>
    <w:rsid w:val="523971C0"/>
    <w:rsid w:val="523D7810"/>
    <w:rsid w:val="5244201F"/>
    <w:rsid w:val="524467AD"/>
    <w:rsid w:val="524B51AA"/>
    <w:rsid w:val="52644F06"/>
    <w:rsid w:val="529B360B"/>
    <w:rsid w:val="529E7DC9"/>
    <w:rsid w:val="52A1157D"/>
    <w:rsid w:val="52C276E1"/>
    <w:rsid w:val="52CF0022"/>
    <w:rsid w:val="52D80AEE"/>
    <w:rsid w:val="52D868E5"/>
    <w:rsid w:val="52D92843"/>
    <w:rsid w:val="52ED5D2F"/>
    <w:rsid w:val="52ED7778"/>
    <w:rsid w:val="52EF68D8"/>
    <w:rsid w:val="52F30525"/>
    <w:rsid w:val="52FB7BEA"/>
    <w:rsid w:val="5300571E"/>
    <w:rsid w:val="53204CE7"/>
    <w:rsid w:val="532452B2"/>
    <w:rsid w:val="532C3BB5"/>
    <w:rsid w:val="533D3764"/>
    <w:rsid w:val="5344556C"/>
    <w:rsid w:val="53586CF1"/>
    <w:rsid w:val="535B4CF0"/>
    <w:rsid w:val="53762374"/>
    <w:rsid w:val="53922335"/>
    <w:rsid w:val="53AF1055"/>
    <w:rsid w:val="53D35F33"/>
    <w:rsid w:val="53D91DAE"/>
    <w:rsid w:val="53F01C28"/>
    <w:rsid w:val="5400093A"/>
    <w:rsid w:val="540B49DE"/>
    <w:rsid w:val="54260E0C"/>
    <w:rsid w:val="543E150A"/>
    <w:rsid w:val="54466D9E"/>
    <w:rsid w:val="5455131C"/>
    <w:rsid w:val="547B40E9"/>
    <w:rsid w:val="54B1139D"/>
    <w:rsid w:val="54C90375"/>
    <w:rsid w:val="54EE0270"/>
    <w:rsid w:val="54FE5CA1"/>
    <w:rsid w:val="54FF289C"/>
    <w:rsid w:val="550942FD"/>
    <w:rsid w:val="550A3B55"/>
    <w:rsid w:val="551C10A5"/>
    <w:rsid w:val="55411377"/>
    <w:rsid w:val="55503493"/>
    <w:rsid w:val="55647559"/>
    <w:rsid w:val="5569348D"/>
    <w:rsid w:val="557A7CA1"/>
    <w:rsid w:val="55992746"/>
    <w:rsid w:val="55A62215"/>
    <w:rsid w:val="55F96F40"/>
    <w:rsid w:val="5654299C"/>
    <w:rsid w:val="56682BF6"/>
    <w:rsid w:val="566C6AAD"/>
    <w:rsid w:val="568A2261"/>
    <w:rsid w:val="56946323"/>
    <w:rsid w:val="569549B7"/>
    <w:rsid w:val="569B59A6"/>
    <w:rsid w:val="56A006CA"/>
    <w:rsid w:val="56C23B83"/>
    <w:rsid w:val="56D91CB0"/>
    <w:rsid w:val="56DA438A"/>
    <w:rsid w:val="56E16CE0"/>
    <w:rsid w:val="56F00AC2"/>
    <w:rsid w:val="56F25633"/>
    <w:rsid w:val="57132F95"/>
    <w:rsid w:val="572B3577"/>
    <w:rsid w:val="572D56F6"/>
    <w:rsid w:val="573E19A6"/>
    <w:rsid w:val="5746016C"/>
    <w:rsid w:val="57474393"/>
    <w:rsid w:val="5752162C"/>
    <w:rsid w:val="5764383E"/>
    <w:rsid w:val="57817915"/>
    <w:rsid w:val="578E7BDD"/>
    <w:rsid w:val="5816186C"/>
    <w:rsid w:val="5827740E"/>
    <w:rsid w:val="582C5888"/>
    <w:rsid w:val="58430210"/>
    <w:rsid w:val="5863214C"/>
    <w:rsid w:val="58717162"/>
    <w:rsid w:val="58956B8C"/>
    <w:rsid w:val="589A70FA"/>
    <w:rsid w:val="58B8618D"/>
    <w:rsid w:val="58DB4515"/>
    <w:rsid w:val="58E94B0D"/>
    <w:rsid w:val="58F36659"/>
    <w:rsid w:val="59052460"/>
    <w:rsid w:val="590715A1"/>
    <w:rsid w:val="59252076"/>
    <w:rsid w:val="592C6A59"/>
    <w:rsid w:val="593C3C38"/>
    <w:rsid w:val="594C3BD5"/>
    <w:rsid w:val="594D3CCF"/>
    <w:rsid w:val="595204AD"/>
    <w:rsid w:val="595D33AD"/>
    <w:rsid w:val="596766CE"/>
    <w:rsid w:val="59815DB7"/>
    <w:rsid w:val="598C33BF"/>
    <w:rsid w:val="59902BA1"/>
    <w:rsid w:val="5A001A12"/>
    <w:rsid w:val="5A05110B"/>
    <w:rsid w:val="5A167370"/>
    <w:rsid w:val="5A307419"/>
    <w:rsid w:val="5A3571BF"/>
    <w:rsid w:val="5A400973"/>
    <w:rsid w:val="5A44572C"/>
    <w:rsid w:val="5A547CFD"/>
    <w:rsid w:val="5A56479B"/>
    <w:rsid w:val="5A6B69C4"/>
    <w:rsid w:val="5A76796C"/>
    <w:rsid w:val="5A8A6ADB"/>
    <w:rsid w:val="5A8C7937"/>
    <w:rsid w:val="5A9623B5"/>
    <w:rsid w:val="5AA549B2"/>
    <w:rsid w:val="5AA97D30"/>
    <w:rsid w:val="5AB96D60"/>
    <w:rsid w:val="5AF1755F"/>
    <w:rsid w:val="5AF73BD7"/>
    <w:rsid w:val="5B4218B9"/>
    <w:rsid w:val="5B5104F9"/>
    <w:rsid w:val="5B581BEC"/>
    <w:rsid w:val="5B5A69C9"/>
    <w:rsid w:val="5B6A7A00"/>
    <w:rsid w:val="5B7342C6"/>
    <w:rsid w:val="5B7D5D38"/>
    <w:rsid w:val="5BA44662"/>
    <w:rsid w:val="5BAC4E3A"/>
    <w:rsid w:val="5BBC39C1"/>
    <w:rsid w:val="5BBE1F38"/>
    <w:rsid w:val="5BE0723B"/>
    <w:rsid w:val="5BEA4763"/>
    <w:rsid w:val="5BED5EDC"/>
    <w:rsid w:val="5BF32F12"/>
    <w:rsid w:val="5C1879AB"/>
    <w:rsid w:val="5C2A0DB7"/>
    <w:rsid w:val="5C362AF4"/>
    <w:rsid w:val="5C3A3FEF"/>
    <w:rsid w:val="5C3E4720"/>
    <w:rsid w:val="5C4864EE"/>
    <w:rsid w:val="5C526BB4"/>
    <w:rsid w:val="5C623451"/>
    <w:rsid w:val="5C7E7028"/>
    <w:rsid w:val="5C802FB3"/>
    <w:rsid w:val="5C887779"/>
    <w:rsid w:val="5CA9700D"/>
    <w:rsid w:val="5CB900A5"/>
    <w:rsid w:val="5CC34110"/>
    <w:rsid w:val="5CD00967"/>
    <w:rsid w:val="5CF915BE"/>
    <w:rsid w:val="5D02143B"/>
    <w:rsid w:val="5D1C0A4E"/>
    <w:rsid w:val="5DA57059"/>
    <w:rsid w:val="5DB22A59"/>
    <w:rsid w:val="5DBA3A03"/>
    <w:rsid w:val="5DBF1CEA"/>
    <w:rsid w:val="5DC07960"/>
    <w:rsid w:val="5DC46672"/>
    <w:rsid w:val="5DD07349"/>
    <w:rsid w:val="5DDE05F2"/>
    <w:rsid w:val="5DE01957"/>
    <w:rsid w:val="5DF559F9"/>
    <w:rsid w:val="5E074110"/>
    <w:rsid w:val="5E0B6C65"/>
    <w:rsid w:val="5E166031"/>
    <w:rsid w:val="5E18294B"/>
    <w:rsid w:val="5E33730F"/>
    <w:rsid w:val="5E401FD5"/>
    <w:rsid w:val="5E501575"/>
    <w:rsid w:val="5E535C74"/>
    <w:rsid w:val="5E58634F"/>
    <w:rsid w:val="5E5F7D32"/>
    <w:rsid w:val="5E604528"/>
    <w:rsid w:val="5E8D58D4"/>
    <w:rsid w:val="5E8F7E92"/>
    <w:rsid w:val="5EC52109"/>
    <w:rsid w:val="5ECA4073"/>
    <w:rsid w:val="5ECC6D77"/>
    <w:rsid w:val="5ED85736"/>
    <w:rsid w:val="5EDC6635"/>
    <w:rsid w:val="5EDF242A"/>
    <w:rsid w:val="5EEC4CC9"/>
    <w:rsid w:val="5EFB3374"/>
    <w:rsid w:val="5F070C87"/>
    <w:rsid w:val="5F1B6323"/>
    <w:rsid w:val="5F3119D5"/>
    <w:rsid w:val="5F387DD8"/>
    <w:rsid w:val="5F4F5E04"/>
    <w:rsid w:val="5F610F9A"/>
    <w:rsid w:val="5F613DD7"/>
    <w:rsid w:val="5F686010"/>
    <w:rsid w:val="5F84786A"/>
    <w:rsid w:val="5F9C30A3"/>
    <w:rsid w:val="5F9C78C7"/>
    <w:rsid w:val="5FA221C5"/>
    <w:rsid w:val="5FA5129E"/>
    <w:rsid w:val="5FC6053D"/>
    <w:rsid w:val="5FE77368"/>
    <w:rsid w:val="60052A33"/>
    <w:rsid w:val="600F713A"/>
    <w:rsid w:val="602B5CAC"/>
    <w:rsid w:val="603102E5"/>
    <w:rsid w:val="60442474"/>
    <w:rsid w:val="604C589F"/>
    <w:rsid w:val="605006B0"/>
    <w:rsid w:val="607A2E69"/>
    <w:rsid w:val="60947B96"/>
    <w:rsid w:val="60E70721"/>
    <w:rsid w:val="60EA5183"/>
    <w:rsid w:val="611A0431"/>
    <w:rsid w:val="61323CB0"/>
    <w:rsid w:val="613924F9"/>
    <w:rsid w:val="613E3123"/>
    <w:rsid w:val="61485CA3"/>
    <w:rsid w:val="615A7B52"/>
    <w:rsid w:val="615F29A1"/>
    <w:rsid w:val="61696ED4"/>
    <w:rsid w:val="61730566"/>
    <w:rsid w:val="61B42655"/>
    <w:rsid w:val="61B64AE6"/>
    <w:rsid w:val="61E36648"/>
    <w:rsid w:val="61EB04E9"/>
    <w:rsid w:val="622F4266"/>
    <w:rsid w:val="62462A72"/>
    <w:rsid w:val="626B0025"/>
    <w:rsid w:val="6286387B"/>
    <w:rsid w:val="62995307"/>
    <w:rsid w:val="62AD360F"/>
    <w:rsid w:val="62D85D1E"/>
    <w:rsid w:val="62E67BA5"/>
    <w:rsid w:val="63030F14"/>
    <w:rsid w:val="631261A4"/>
    <w:rsid w:val="6318590B"/>
    <w:rsid w:val="631D6E49"/>
    <w:rsid w:val="634E5358"/>
    <w:rsid w:val="63554A2F"/>
    <w:rsid w:val="6359259A"/>
    <w:rsid w:val="636173F7"/>
    <w:rsid w:val="63624D8C"/>
    <w:rsid w:val="638920C9"/>
    <w:rsid w:val="639076DF"/>
    <w:rsid w:val="63D2090D"/>
    <w:rsid w:val="64037323"/>
    <w:rsid w:val="640C3504"/>
    <w:rsid w:val="64104975"/>
    <w:rsid w:val="643338C2"/>
    <w:rsid w:val="64586DE3"/>
    <w:rsid w:val="645B5B40"/>
    <w:rsid w:val="645C5805"/>
    <w:rsid w:val="647B5C70"/>
    <w:rsid w:val="647D47CA"/>
    <w:rsid w:val="647F4D58"/>
    <w:rsid w:val="64A036C7"/>
    <w:rsid w:val="64AF4262"/>
    <w:rsid w:val="64B9531D"/>
    <w:rsid w:val="64E67DB8"/>
    <w:rsid w:val="64EC5F80"/>
    <w:rsid w:val="651014B1"/>
    <w:rsid w:val="651557DB"/>
    <w:rsid w:val="6521049E"/>
    <w:rsid w:val="654235AD"/>
    <w:rsid w:val="65675E82"/>
    <w:rsid w:val="656B6764"/>
    <w:rsid w:val="657E7BD0"/>
    <w:rsid w:val="6591342F"/>
    <w:rsid w:val="65A12770"/>
    <w:rsid w:val="65B01E66"/>
    <w:rsid w:val="65C34C7B"/>
    <w:rsid w:val="65D748AC"/>
    <w:rsid w:val="65DA619B"/>
    <w:rsid w:val="65F61548"/>
    <w:rsid w:val="660D064B"/>
    <w:rsid w:val="661462F7"/>
    <w:rsid w:val="66201BF5"/>
    <w:rsid w:val="6624447E"/>
    <w:rsid w:val="663B4F9B"/>
    <w:rsid w:val="665020A1"/>
    <w:rsid w:val="66705FC2"/>
    <w:rsid w:val="66A85798"/>
    <w:rsid w:val="66BD752E"/>
    <w:rsid w:val="66D02FC8"/>
    <w:rsid w:val="66E30E48"/>
    <w:rsid w:val="67010AE3"/>
    <w:rsid w:val="671E42D9"/>
    <w:rsid w:val="672112E1"/>
    <w:rsid w:val="67282409"/>
    <w:rsid w:val="67420EC9"/>
    <w:rsid w:val="6743642C"/>
    <w:rsid w:val="674F4DB3"/>
    <w:rsid w:val="675C27B4"/>
    <w:rsid w:val="67657CC6"/>
    <w:rsid w:val="67685576"/>
    <w:rsid w:val="67740C3E"/>
    <w:rsid w:val="679F31CB"/>
    <w:rsid w:val="67C119C7"/>
    <w:rsid w:val="67C147CF"/>
    <w:rsid w:val="67C373D8"/>
    <w:rsid w:val="67DE1402"/>
    <w:rsid w:val="67E53966"/>
    <w:rsid w:val="680017AE"/>
    <w:rsid w:val="68002120"/>
    <w:rsid w:val="680C463A"/>
    <w:rsid w:val="680D1350"/>
    <w:rsid w:val="681174D1"/>
    <w:rsid w:val="6837640A"/>
    <w:rsid w:val="686302AA"/>
    <w:rsid w:val="687E3964"/>
    <w:rsid w:val="689210E2"/>
    <w:rsid w:val="68A42834"/>
    <w:rsid w:val="68A4768F"/>
    <w:rsid w:val="68B755B1"/>
    <w:rsid w:val="68D2468D"/>
    <w:rsid w:val="68D2751A"/>
    <w:rsid w:val="68D6228F"/>
    <w:rsid w:val="68E814B4"/>
    <w:rsid w:val="68F42B4F"/>
    <w:rsid w:val="68F91EAB"/>
    <w:rsid w:val="690E0C84"/>
    <w:rsid w:val="69142EFB"/>
    <w:rsid w:val="69154D60"/>
    <w:rsid w:val="692A4E9F"/>
    <w:rsid w:val="6936224C"/>
    <w:rsid w:val="694A6DBA"/>
    <w:rsid w:val="695225F5"/>
    <w:rsid w:val="69951D6A"/>
    <w:rsid w:val="699C0468"/>
    <w:rsid w:val="69B66BA4"/>
    <w:rsid w:val="69CD7FDE"/>
    <w:rsid w:val="69F670F9"/>
    <w:rsid w:val="6A154664"/>
    <w:rsid w:val="6A1C5AB1"/>
    <w:rsid w:val="6A35599F"/>
    <w:rsid w:val="6A3828E1"/>
    <w:rsid w:val="6A3E49CA"/>
    <w:rsid w:val="6A6613C5"/>
    <w:rsid w:val="6A6E6B07"/>
    <w:rsid w:val="6A814DED"/>
    <w:rsid w:val="6A935278"/>
    <w:rsid w:val="6AA61212"/>
    <w:rsid w:val="6ABC05B5"/>
    <w:rsid w:val="6AC9111D"/>
    <w:rsid w:val="6ADC3F1A"/>
    <w:rsid w:val="6ADC761D"/>
    <w:rsid w:val="6AE2354A"/>
    <w:rsid w:val="6AEE685F"/>
    <w:rsid w:val="6B0F3217"/>
    <w:rsid w:val="6B1D2613"/>
    <w:rsid w:val="6B22477C"/>
    <w:rsid w:val="6B28641C"/>
    <w:rsid w:val="6B306B37"/>
    <w:rsid w:val="6B320A31"/>
    <w:rsid w:val="6B48730C"/>
    <w:rsid w:val="6B491DA4"/>
    <w:rsid w:val="6B4C6095"/>
    <w:rsid w:val="6B5634B2"/>
    <w:rsid w:val="6B5D28FD"/>
    <w:rsid w:val="6B5E4D2E"/>
    <w:rsid w:val="6B6E65C5"/>
    <w:rsid w:val="6BA17447"/>
    <w:rsid w:val="6BBC3F98"/>
    <w:rsid w:val="6BE116D3"/>
    <w:rsid w:val="6BEA5301"/>
    <w:rsid w:val="6BF579C9"/>
    <w:rsid w:val="6C001136"/>
    <w:rsid w:val="6C095B4E"/>
    <w:rsid w:val="6C234347"/>
    <w:rsid w:val="6C240D6B"/>
    <w:rsid w:val="6C2A7865"/>
    <w:rsid w:val="6C2D715B"/>
    <w:rsid w:val="6C5207BE"/>
    <w:rsid w:val="6C6A54FD"/>
    <w:rsid w:val="6C7368BD"/>
    <w:rsid w:val="6C82426E"/>
    <w:rsid w:val="6C8E0A44"/>
    <w:rsid w:val="6C9866B3"/>
    <w:rsid w:val="6CE567FC"/>
    <w:rsid w:val="6D257859"/>
    <w:rsid w:val="6D3254A9"/>
    <w:rsid w:val="6D4754E7"/>
    <w:rsid w:val="6D572015"/>
    <w:rsid w:val="6DA40A20"/>
    <w:rsid w:val="6DB166DC"/>
    <w:rsid w:val="6DB44057"/>
    <w:rsid w:val="6DB70CB4"/>
    <w:rsid w:val="6DB734BF"/>
    <w:rsid w:val="6DD27D5A"/>
    <w:rsid w:val="6DFA1228"/>
    <w:rsid w:val="6DFB75E4"/>
    <w:rsid w:val="6E083793"/>
    <w:rsid w:val="6E094352"/>
    <w:rsid w:val="6E3132BB"/>
    <w:rsid w:val="6E331BC4"/>
    <w:rsid w:val="6E337525"/>
    <w:rsid w:val="6E424BD5"/>
    <w:rsid w:val="6E4C3940"/>
    <w:rsid w:val="6E522CE7"/>
    <w:rsid w:val="6E576C34"/>
    <w:rsid w:val="6E7F6911"/>
    <w:rsid w:val="6E9A5727"/>
    <w:rsid w:val="6EA167A7"/>
    <w:rsid w:val="6EA353FC"/>
    <w:rsid w:val="6EAD520C"/>
    <w:rsid w:val="6EBA61CC"/>
    <w:rsid w:val="6EC933B2"/>
    <w:rsid w:val="6EF37C4F"/>
    <w:rsid w:val="6F1C574B"/>
    <w:rsid w:val="6F38773A"/>
    <w:rsid w:val="6F6B5F2F"/>
    <w:rsid w:val="6F815117"/>
    <w:rsid w:val="6F8204C1"/>
    <w:rsid w:val="6F8A5608"/>
    <w:rsid w:val="6F8B55A6"/>
    <w:rsid w:val="6FB65B98"/>
    <w:rsid w:val="6FC56A54"/>
    <w:rsid w:val="6FCA41B7"/>
    <w:rsid w:val="6FE701A5"/>
    <w:rsid w:val="6FEE1DC0"/>
    <w:rsid w:val="702312AC"/>
    <w:rsid w:val="702A2DF0"/>
    <w:rsid w:val="7064713D"/>
    <w:rsid w:val="706749C0"/>
    <w:rsid w:val="7071229B"/>
    <w:rsid w:val="70836E20"/>
    <w:rsid w:val="708F3F4F"/>
    <w:rsid w:val="709A4F8D"/>
    <w:rsid w:val="70DF2055"/>
    <w:rsid w:val="70EC1752"/>
    <w:rsid w:val="70F243AF"/>
    <w:rsid w:val="71011C11"/>
    <w:rsid w:val="710F59DC"/>
    <w:rsid w:val="7137018B"/>
    <w:rsid w:val="714C08A6"/>
    <w:rsid w:val="715E3EF7"/>
    <w:rsid w:val="717E6DD7"/>
    <w:rsid w:val="718827C6"/>
    <w:rsid w:val="718D186A"/>
    <w:rsid w:val="718E5DE7"/>
    <w:rsid w:val="719E503F"/>
    <w:rsid w:val="71A81926"/>
    <w:rsid w:val="71AC3D91"/>
    <w:rsid w:val="71FF0740"/>
    <w:rsid w:val="71FF0BB1"/>
    <w:rsid w:val="7205522D"/>
    <w:rsid w:val="723B4C6C"/>
    <w:rsid w:val="72597F12"/>
    <w:rsid w:val="727D7F17"/>
    <w:rsid w:val="728733AE"/>
    <w:rsid w:val="72885057"/>
    <w:rsid w:val="728A466C"/>
    <w:rsid w:val="729231C5"/>
    <w:rsid w:val="72A739E6"/>
    <w:rsid w:val="72B42082"/>
    <w:rsid w:val="72BF73FF"/>
    <w:rsid w:val="72D3059A"/>
    <w:rsid w:val="72D64092"/>
    <w:rsid w:val="73013FCC"/>
    <w:rsid w:val="730B40D5"/>
    <w:rsid w:val="73306085"/>
    <w:rsid w:val="73444D77"/>
    <w:rsid w:val="73500708"/>
    <w:rsid w:val="73547991"/>
    <w:rsid w:val="736938A6"/>
    <w:rsid w:val="736B7CB7"/>
    <w:rsid w:val="739169F9"/>
    <w:rsid w:val="73B03DD9"/>
    <w:rsid w:val="73D0686A"/>
    <w:rsid w:val="73E4649C"/>
    <w:rsid w:val="73E51D11"/>
    <w:rsid w:val="73F328B4"/>
    <w:rsid w:val="73FC2213"/>
    <w:rsid w:val="740E561C"/>
    <w:rsid w:val="74170F18"/>
    <w:rsid w:val="745B0499"/>
    <w:rsid w:val="749D0891"/>
    <w:rsid w:val="749E119A"/>
    <w:rsid w:val="74B86ED3"/>
    <w:rsid w:val="74C36F32"/>
    <w:rsid w:val="74C75E1F"/>
    <w:rsid w:val="74D07A67"/>
    <w:rsid w:val="74D33EF6"/>
    <w:rsid w:val="74D4044B"/>
    <w:rsid w:val="74EE24F7"/>
    <w:rsid w:val="74FD1691"/>
    <w:rsid w:val="75775B9F"/>
    <w:rsid w:val="75992D53"/>
    <w:rsid w:val="75C36B04"/>
    <w:rsid w:val="75C4705E"/>
    <w:rsid w:val="75CB5E81"/>
    <w:rsid w:val="75D94171"/>
    <w:rsid w:val="75E50542"/>
    <w:rsid w:val="75F209E9"/>
    <w:rsid w:val="75F82A6B"/>
    <w:rsid w:val="75FB22F9"/>
    <w:rsid w:val="761733FE"/>
    <w:rsid w:val="76174F9E"/>
    <w:rsid w:val="761A6A1B"/>
    <w:rsid w:val="764207BC"/>
    <w:rsid w:val="76591028"/>
    <w:rsid w:val="767A50C2"/>
    <w:rsid w:val="767E5321"/>
    <w:rsid w:val="76866093"/>
    <w:rsid w:val="7698243C"/>
    <w:rsid w:val="769A2CF5"/>
    <w:rsid w:val="769D4442"/>
    <w:rsid w:val="76AF515A"/>
    <w:rsid w:val="76C87A04"/>
    <w:rsid w:val="76E63B9C"/>
    <w:rsid w:val="76F83719"/>
    <w:rsid w:val="773D64AD"/>
    <w:rsid w:val="77424C09"/>
    <w:rsid w:val="77471B59"/>
    <w:rsid w:val="777703EE"/>
    <w:rsid w:val="778165CD"/>
    <w:rsid w:val="778E0DE7"/>
    <w:rsid w:val="7798025B"/>
    <w:rsid w:val="779F16F9"/>
    <w:rsid w:val="77CA5641"/>
    <w:rsid w:val="77CA5FE6"/>
    <w:rsid w:val="780D4DDE"/>
    <w:rsid w:val="78203AD8"/>
    <w:rsid w:val="78262B6C"/>
    <w:rsid w:val="78307537"/>
    <w:rsid w:val="783339F8"/>
    <w:rsid w:val="78764B0C"/>
    <w:rsid w:val="78780CEE"/>
    <w:rsid w:val="788A489C"/>
    <w:rsid w:val="78C83AD2"/>
    <w:rsid w:val="78E94158"/>
    <w:rsid w:val="7902426D"/>
    <w:rsid w:val="7929100A"/>
    <w:rsid w:val="79651345"/>
    <w:rsid w:val="797474B7"/>
    <w:rsid w:val="798A5C60"/>
    <w:rsid w:val="79A07515"/>
    <w:rsid w:val="79C7513B"/>
    <w:rsid w:val="79CA0038"/>
    <w:rsid w:val="79CB47A6"/>
    <w:rsid w:val="79DF4183"/>
    <w:rsid w:val="79F14389"/>
    <w:rsid w:val="79FB6DF5"/>
    <w:rsid w:val="7A00729F"/>
    <w:rsid w:val="7A166755"/>
    <w:rsid w:val="7A1F3357"/>
    <w:rsid w:val="7A2A5B8E"/>
    <w:rsid w:val="7A2E15EF"/>
    <w:rsid w:val="7A3078DD"/>
    <w:rsid w:val="7A314342"/>
    <w:rsid w:val="7A392CE7"/>
    <w:rsid w:val="7A8A406E"/>
    <w:rsid w:val="7A9252EE"/>
    <w:rsid w:val="7A9861CB"/>
    <w:rsid w:val="7AA70705"/>
    <w:rsid w:val="7AAB5483"/>
    <w:rsid w:val="7ACA5466"/>
    <w:rsid w:val="7AD069C7"/>
    <w:rsid w:val="7AD45C10"/>
    <w:rsid w:val="7AE3328E"/>
    <w:rsid w:val="7AF104A4"/>
    <w:rsid w:val="7AFF176C"/>
    <w:rsid w:val="7B024A73"/>
    <w:rsid w:val="7B0A6A9B"/>
    <w:rsid w:val="7B0D2818"/>
    <w:rsid w:val="7B165471"/>
    <w:rsid w:val="7B202C09"/>
    <w:rsid w:val="7B2047C6"/>
    <w:rsid w:val="7B661851"/>
    <w:rsid w:val="7B6B6D62"/>
    <w:rsid w:val="7B973EE9"/>
    <w:rsid w:val="7B994E29"/>
    <w:rsid w:val="7BA80A22"/>
    <w:rsid w:val="7BA838BD"/>
    <w:rsid w:val="7BB66E7F"/>
    <w:rsid w:val="7BCA5353"/>
    <w:rsid w:val="7BD41347"/>
    <w:rsid w:val="7C1B58F6"/>
    <w:rsid w:val="7C1F5A64"/>
    <w:rsid w:val="7C2B048D"/>
    <w:rsid w:val="7C6065A8"/>
    <w:rsid w:val="7C746681"/>
    <w:rsid w:val="7C996138"/>
    <w:rsid w:val="7C9B6D68"/>
    <w:rsid w:val="7C9D5B5E"/>
    <w:rsid w:val="7CA20C72"/>
    <w:rsid w:val="7CB82DCD"/>
    <w:rsid w:val="7CEE3FA6"/>
    <w:rsid w:val="7CF50C89"/>
    <w:rsid w:val="7D2647F8"/>
    <w:rsid w:val="7D2D1D1E"/>
    <w:rsid w:val="7D5B3BA0"/>
    <w:rsid w:val="7D6D0647"/>
    <w:rsid w:val="7DA9460F"/>
    <w:rsid w:val="7DAE06B7"/>
    <w:rsid w:val="7DC254FE"/>
    <w:rsid w:val="7DDF08AD"/>
    <w:rsid w:val="7DE31066"/>
    <w:rsid w:val="7DE332EA"/>
    <w:rsid w:val="7DE65FBE"/>
    <w:rsid w:val="7DE87CD0"/>
    <w:rsid w:val="7DF14938"/>
    <w:rsid w:val="7DF537E7"/>
    <w:rsid w:val="7DFF6F70"/>
    <w:rsid w:val="7E0D2AF2"/>
    <w:rsid w:val="7E150264"/>
    <w:rsid w:val="7E1640FB"/>
    <w:rsid w:val="7E176086"/>
    <w:rsid w:val="7E3B2283"/>
    <w:rsid w:val="7E4E4A04"/>
    <w:rsid w:val="7E507159"/>
    <w:rsid w:val="7E6C44F5"/>
    <w:rsid w:val="7E722A72"/>
    <w:rsid w:val="7E7B3986"/>
    <w:rsid w:val="7E826950"/>
    <w:rsid w:val="7E887A60"/>
    <w:rsid w:val="7E90208C"/>
    <w:rsid w:val="7E9064E4"/>
    <w:rsid w:val="7E9E2C4F"/>
    <w:rsid w:val="7E9F4D2C"/>
    <w:rsid w:val="7EA30CDC"/>
    <w:rsid w:val="7EA51035"/>
    <w:rsid w:val="7EB01442"/>
    <w:rsid w:val="7ECD25DF"/>
    <w:rsid w:val="7ED240BD"/>
    <w:rsid w:val="7EDC38BD"/>
    <w:rsid w:val="7EE0058D"/>
    <w:rsid w:val="7EF82D86"/>
    <w:rsid w:val="7F023349"/>
    <w:rsid w:val="7F076AF0"/>
    <w:rsid w:val="7F0F55A8"/>
    <w:rsid w:val="7F4E32BF"/>
    <w:rsid w:val="7F7405C7"/>
    <w:rsid w:val="7F8A7F3B"/>
    <w:rsid w:val="7FA27F7B"/>
    <w:rsid w:val="7FA55FC4"/>
    <w:rsid w:val="7FFC4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2"/>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35"/>
    <w:unhideWhenUsed/>
    <w:qFormat/>
    <w:uiPriority w:val="0"/>
    <w:pPr>
      <w:keepNext/>
      <w:keepLines/>
      <w:spacing w:line="413" w:lineRule="auto"/>
      <w:jc w:val="center"/>
      <w:outlineLvl w:val="1"/>
    </w:pPr>
    <w:rPr>
      <w:rFonts w:ascii="Arial" w:hAnsi="Arial" w:eastAsia="宋体"/>
      <w:b/>
      <w:sz w:val="24"/>
    </w:rPr>
  </w:style>
  <w:style w:type="paragraph" w:styleId="5">
    <w:name w:val="heading 3"/>
    <w:basedOn w:val="1"/>
    <w:next w:val="1"/>
    <w:link w:val="74"/>
    <w:unhideWhenUsed/>
    <w:qFormat/>
    <w:uiPriority w:val="0"/>
    <w:pPr>
      <w:keepNext/>
      <w:keepLines/>
      <w:spacing w:line="413" w:lineRule="auto"/>
      <w:outlineLvl w:val="2"/>
    </w:pPr>
    <w:rPr>
      <w:b/>
      <w:sz w:val="28"/>
    </w:rPr>
  </w:style>
  <w:style w:type="paragraph" w:styleId="6">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List Number"/>
    <w:basedOn w:val="1"/>
    <w:qFormat/>
    <w:uiPriority w:val="0"/>
    <w:pPr>
      <w:numPr>
        <w:ilvl w:val="0"/>
        <w:numId w:val="1"/>
      </w:numPr>
    </w:pPr>
  </w:style>
  <w:style w:type="paragraph" w:styleId="8">
    <w:name w:val="Document Map"/>
    <w:basedOn w:val="1"/>
    <w:link w:val="51"/>
    <w:qFormat/>
    <w:uiPriority w:val="0"/>
    <w:rPr>
      <w:rFonts w:ascii="宋体" w:eastAsia="宋体"/>
      <w:sz w:val="18"/>
      <w:szCs w:val="18"/>
    </w:rPr>
  </w:style>
  <w:style w:type="paragraph" w:styleId="9">
    <w:name w:val="annotation text"/>
    <w:basedOn w:val="1"/>
    <w:link w:val="49"/>
    <w:qFormat/>
    <w:uiPriority w:val="99"/>
    <w:pPr>
      <w:jc w:val="left"/>
    </w:pPr>
    <w:rPr>
      <w:rFonts w:ascii="宋体"/>
      <w:kern w:val="0"/>
      <w:sz w:val="34"/>
    </w:rPr>
  </w:style>
  <w:style w:type="paragraph" w:styleId="10">
    <w:name w:val="Body Text"/>
    <w:basedOn w:val="1"/>
    <w:next w:val="1"/>
    <w:qFormat/>
    <w:uiPriority w:val="0"/>
  </w:style>
  <w:style w:type="paragraph" w:styleId="11">
    <w:name w:val="Body Text Indent"/>
    <w:basedOn w:val="1"/>
    <w:qFormat/>
    <w:uiPriority w:val="0"/>
    <w:pPr>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spacing w:line="324" w:lineRule="auto"/>
    </w:pPr>
    <w:rPr>
      <w:rFonts w:ascii="宋体" w:hAnsi="Courier New" w:cs="Courier New"/>
      <w:szCs w:val="21"/>
    </w:rPr>
  </w:style>
  <w:style w:type="paragraph" w:styleId="14">
    <w:name w:val="Date"/>
    <w:basedOn w:val="1"/>
    <w:next w:val="1"/>
    <w:qFormat/>
    <w:uiPriority w:val="0"/>
    <w:rPr>
      <w:rFonts w:ascii="Copperplate Gothic Bold" w:hAnsi="Copperplate Gothic Bold"/>
      <w:sz w:val="32"/>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b/>
      <w:spacing w:val="-20"/>
      <w:w w:val="130"/>
      <w:sz w:val="48"/>
      <w:szCs w:val="20"/>
    </w:rPr>
  </w:style>
  <w:style w:type="paragraph" w:styleId="2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9"/>
    <w:next w:val="9"/>
    <w:link w:val="59"/>
    <w:qFormat/>
    <w:uiPriority w:val="0"/>
    <w:rPr>
      <w:rFonts w:asciiTheme="minorHAnsi"/>
      <w:b/>
      <w:bCs/>
      <w:kern w:val="2"/>
      <w:sz w:val="21"/>
    </w:rPr>
  </w:style>
  <w:style w:type="paragraph" w:styleId="24">
    <w:name w:val="Body Text First Indent"/>
    <w:basedOn w:val="10"/>
    <w:unhideWhenUsed/>
    <w:qFormat/>
    <w:uiPriority w:val="99"/>
    <w:pPr>
      <w:ind w:firstLine="420" w:firstLineChars="100"/>
    </w:pPr>
    <w:rPr>
      <w:rFonts w:ascii="Times New Roman" w:hAnsi="Times New Roman"/>
      <w:sz w:val="18"/>
      <w:szCs w:val="18"/>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sz w:val="24"/>
      <w:szCs w:val="24"/>
    </w:rPr>
  </w:style>
  <w:style w:type="character" w:styleId="29">
    <w:name w:val="page number"/>
    <w:basedOn w:val="27"/>
    <w:qFormat/>
    <w:uiPriority w:val="0"/>
  </w:style>
  <w:style w:type="character" w:styleId="30">
    <w:name w:val="FollowedHyperlink"/>
    <w:basedOn w:val="27"/>
    <w:qFormat/>
    <w:uiPriority w:val="0"/>
    <w:rPr>
      <w:rFonts w:hint="eastAsia" w:ascii="宋体" w:hAnsi="宋体" w:eastAsia="宋体" w:cs="宋体"/>
      <w:color w:val="000000"/>
      <w:sz w:val="18"/>
      <w:szCs w:val="18"/>
      <w:u w:val="none"/>
    </w:rPr>
  </w:style>
  <w:style w:type="character" w:styleId="31">
    <w:name w:val="Emphasis"/>
    <w:basedOn w:val="27"/>
    <w:qFormat/>
    <w:uiPriority w:val="0"/>
    <w:rPr>
      <w:i/>
      <w:iCs/>
    </w:rPr>
  </w:style>
  <w:style w:type="character" w:styleId="32">
    <w:name w:val="Hyperlink"/>
    <w:basedOn w:val="27"/>
    <w:qFormat/>
    <w:uiPriority w:val="0"/>
    <w:rPr>
      <w:color w:val="0000FF"/>
      <w:u w:val="single"/>
    </w:rPr>
  </w:style>
  <w:style w:type="character" w:styleId="33">
    <w:name w:val="annotation reference"/>
    <w:qFormat/>
    <w:uiPriority w:val="99"/>
    <w:rPr>
      <w:sz w:val="21"/>
      <w:szCs w:val="21"/>
    </w:rPr>
  </w:style>
  <w:style w:type="character" w:styleId="34">
    <w:name w:val="HTML Cite"/>
    <w:basedOn w:val="27"/>
    <w:qFormat/>
    <w:uiPriority w:val="0"/>
    <w:rPr>
      <w:sz w:val="24"/>
      <w:szCs w:val="24"/>
    </w:rPr>
  </w:style>
  <w:style w:type="character" w:customStyle="1" w:styleId="35">
    <w:name w:val="标题 2 Char"/>
    <w:basedOn w:val="27"/>
    <w:link w:val="4"/>
    <w:semiHidden/>
    <w:qFormat/>
    <w:locked/>
    <w:uiPriority w:val="99"/>
    <w:rPr>
      <w:rFonts w:ascii="Arial" w:hAnsi="Arial" w:eastAsia="宋体"/>
      <w:b/>
      <w:sz w:val="24"/>
    </w:rPr>
  </w:style>
  <w:style w:type="paragraph" w:customStyle="1" w:styleId="36">
    <w:name w:val="无间隔1"/>
    <w:basedOn w:val="1"/>
    <w:qFormat/>
    <w:uiPriority w:val="1"/>
    <w:pPr>
      <w:spacing w:line="400" w:lineRule="exact"/>
    </w:pPr>
    <w:rPr>
      <w:sz w:val="24"/>
    </w:rPr>
  </w:style>
  <w:style w:type="paragraph" w:customStyle="1" w:styleId="37">
    <w:name w:val="正文缩进1"/>
    <w:basedOn w:val="1"/>
    <w:qFormat/>
    <w:uiPriority w:val="0"/>
    <w:pPr>
      <w:ind w:firstLine="420" w:firstLineChars="200"/>
    </w:pPr>
  </w:style>
  <w:style w:type="paragraph" w:customStyle="1" w:styleId="38">
    <w:name w:val="Char2 Char Char Char"/>
    <w:basedOn w:val="1"/>
    <w:qFormat/>
    <w:uiPriority w:val="0"/>
    <w:rPr>
      <w:rFonts w:ascii="Tahoma" w:hAnsi="Tahoma"/>
      <w:sz w:val="24"/>
      <w:szCs w:val="20"/>
    </w:rPr>
  </w:style>
  <w:style w:type="paragraph" w:customStyle="1" w:styleId="39">
    <w:name w:val="列出段落1"/>
    <w:basedOn w:val="1"/>
    <w:unhideWhenUsed/>
    <w:qFormat/>
    <w:uiPriority w:val="99"/>
    <w:pPr>
      <w:ind w:firstLine="420" w:firstLineChars="200"/>
    </w:pPr>
  </w:style>
  <w:style w:type="character" w:customStyle="1" w:styleId="40">
    <w:name w:val="10"/>
    <w:basedOn w:val="27"/>
    <w:qFormat/>
    <w:uiPriority w:val="0"/>
    <w:rPr>
      <w:rFonts w:hint="default" w:ascii="Calibri" w:hAnsi="Calibri"/>
    </w:rPr>
  </w:style>
  <w:style w:type="character" w:customStyle="1" w:styleId="41">
    <w:name w:val="15"/>
    <w:basedOn w:val="27"/>
    <w:qFormat/>
    <w:uiPriority w:val="0"/>
    <w:rPr>
      <w:rFonts w:hint="default" w:ascii="Calibri" w:hAnsi="Calibri"/>
      <w:i/>
      <w:iCs/>
    </w:rPr>
  </w:style>
  <w:style w:type="paragraph" w:customStyle="1" w:styleId="42">
    <w:name w:val="_Style 2"/>
    <w:basedOn w:val="1"/>
    <w:qFormat/>
    <w:uiPriority w:val="34"/>
    <w:pPr>
      <w:ind w:firstLine="420" w:firstLineChars="200"/>
    </w:pPr>
  </w:style>
  <w:style w:type="character" w:customStyle="1" w:styleId="43">
    <w:name w:val="apple-style-span"/>
    <w:qFormat/>
    <w:uiPriority w:val="0"/>
  </w:style>
  <w:style w:type="character" w:customStyle="1" w:styleId="44">
    <w:name w:val="del"/>
    <w:basedOn w:val="27"/>
    <w:qFormat/>
    <w:uiPriority w:val="0"/>
  </w:style>
  <w:style w:type="character" w:customStyle="1" w:styleId="45">
    <w:name w:val="del1"/>
    <w:basedOn w:val="27"/>
    <w:qFormat/>
    <w:uiPriority w:val="0"/>
    <w:rPr>
      <w:vanish/>
      <w:color w:val="666666"/>
      <w:sz w:val="18"/>
      <w:szCs w:val="18"/>
      <w:u w:val="single"/>
    </w:rPr>
  </w:style>
  <w:style w:type="character" w:customStyle="1" w:styleId="46">
    <w:name w:val="del2"/>
    <w:basedOn w:val="27"/>
    <w:qFormat/>
    <w:uiPriority w:val="0"/>
    <w:rPr>
      <w:vanish/>
    </w:rPr>
  </w:style>
  <w:style w:type="character" w:customStyle="1" w:styleId="47">
    <w:name w:val="del3"/>
    <w:basedOn w:val="27"/>
    <w:qFormat/>
    <w:uiPriority w:val="0"/>
    <w:rPr>
      <w:vanish/>
    </w:rPr>
  </w:style>
  <w:style w:type="character" w:customStyle="1" w:styleId="48">
    <w:name w:val="批注框文本 Char"/>
    <w:basedOn w:val="27"/>
    <w:link w:val="16"/>
    <w:qFormat/>
    <w:uiPriority w:val="0"/>
    <w:rPr>
      <w:rFonts w:asciiTheme="minorHAnsi" w:hAnsiTheme="minorHAnsi" w:eastAsiaTheme="minorEastAsia" w:cstheme="minorBidi"/>
      <w:kern w:val="2"/>
      <w:sz w:val="18"/>
      <w:szCs w:val="18"/>
    </w:rPr>
  </w:style>
  <w:style w:type="character" w:customStyle="1" w:styleId="49">
    <w:name w:val="批注文字 Char"/>
    <w:basedOn w:val="27"/>
    <w:link w:val="9"/>
    <w:qFormat/>
    <w:uiPriority w:val="99"/>
    <w:rPr>
      <w:rFonts w:ascii="宋体" w:hAnsiTheme="minorHAnsi" w:eastAsiaTheme="minorEastAsia" w:cstheme="minorBidi"/>
      <w:sz w:val="34"/>
      <w:szCs w:val="22"/>
    </w:rPr>
  </w:style>
  <w:style w:type="paragraph" w:customStyle="1" w:styleId="50">
    <w:name w:val="列出段落2"/>
    <w:basedOn w:val="1"/>
    <w:qFormat/>
    <w:uiPriority w:val="0"/>
    <w:pPr>
      <w:ind w:firstLine="420" w:firstLineChars="200"/>
    </w:pPr>
    <w:rPr>
      <w:rFonts w:ascii="宋体"/>
      <w:sz w:val="28"/>
    </w:rPr>
  </w:style>
  <w:style w:type="character" w:customStyle="1" w:styleId="51">
    <w:name w:val="文档结构图 Char"/>
    <w:basedOn w:val="27"/>
    <w:link w:val="8"/>
    <w:qFormat/>
    <w:uiPriority w:val="0"/>
    <w:rPr>
      <w:rFonts w:ascii="宋体" w:hAnsiTheme="minorHAnsi" w:cstheme="minorBidi"/>
      <w:kern w:val="2"/>
      <w:sz w:val="18"/>
      <w:szCs w:val="18"/>
    </w:rPr>
  </w:style>
  <w:style w:type="paragraph" w:customStyle="1" w:styleId="52">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3">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4">
    <w:name w:val="列出段落3"/>
    <w:basedOn w:val="1"/>
    <w:qFormat/>
    <w:uiPriority w:val="0"/>
    <w:pPr>
      <w:ind w:firstLine="420" w:firstLineChars="200"/>
    </w:pPr>
    <w:rPr>
      <w:rFonts w:ascii="宋体"/>
      <w:sz w:val="28"/>
    </w:rPr>
  </w:style>
  <w:style w:type="paragraph" w:customStyle="1" w:styleId="55">
    <w:name w:val="list number ＋left spaceing"/>
    <w:basedOn w:val="7"/>
    <w:qFormat/>
    <w:uiPriority w:val="0"/>
    <w:pPr>
      <w:widowControl/>
      <w:tabs>
        <w:tab w:val="left" w:pos="839"/>
      </w:tabs>
      <w:ind w:left="0" w:firstLine="0"/>
      <w:jc w:val="left"/>
    </w:pPr>
    <w:rPr>
      <w:kern w:val="0"/>
    </w:rPr>
  </w:style>
  <w:style w:type="paragraph" w:customStyle="1" w:styleId="56">
    <w:name w:val="正文框"/>
    <w:basedOn w:val="1"/>
    <w:qFormat/>
    <w:uiPriority w:val="0"/>
    <w:pPr>
      <w:widowControl/>
      <w:adjustRightInd w:val="0"/>
      <w:spacing w:line="312" w:lineRule="atLeast"/>
      <w:jc w:val="left"/>
      <w:textAlignment w:val="baseline"/>
    </w:pPr>
    <w:rPr>
      <w:sz w:val="24"/>
    </w:rPr>
  </w:style>
  <w:style w:type="paragraph" w:customStyle="1" w:styleId="57">
    <w:name w:val="Char"/>
    <w:basedOn w:val="1"/>
    <w:qFormat/>
    <w:uiPriority w:val="0"/>
    <w:pPr>
      <w:jc w:val="left"/>
    </w:pPr>
    <w:rPr>
      <w:rFonts w:ascii="Tahoma" w:hAnsi="Tahoma"/>
      <w:sz w:val="24"/>
      <w:szCs w:val="20"/>
    </w:rPr>
  </w:style>
  <w:style w:type="character" w:customStyle="1" w:styleId="58">
    <w:name w:val="标题 1 Char"/>
    <w:link w:val="3"/>
    <w:qFormat/>
    <w:uiPriority w:val="0"/>
    <w:rPr>
      <w:rFonts w:ascii="Times New Roman" w:hAnsi="Times New Roman" w:eastAsia="宋体"/>
      <w:b/>
      <w:kern w:val="44"/>
      <w:sz w:val="32"/>
    </w:rPr>
  </w:style>
  <w:style w:type="character" w:customStyle="1" w:styleId="59">
    <w:name w:val="批注主题 Char"/>
    <w:basedOn w:val="49"/>
    <w:link w:val="23"/>
    <w:qFormat/>
    <w:uiPriority w:val="0"/>
    <w:rPr>
      <w:rFonts w:asciiTheme="minorHAnsi" w:hAnsiTheme="minorHAnsi" w:eastAsiaTheme="minorEastAsia" w:cstheme="minorBidi"/>
      <w:b/>
      <w:bCs/>
      <w:kern w:val="2"/>
      <w:sz w:val="21"/>
      <w:szCs w:val="22"/>
    </w:rPr>
  </w:style>
  <w:style w:type="character" w:customStyle="1" w:styleId="60">
    <w:name w:val="font11"/>
    <w:basedOn w:val="27"/>
    <w:qFormat/>
    <w:uiPriority w:val="0"/>
    <w:rPr>
      <w:rFonts w:hint="eastAsia" w:ascii="宋体" w:hAnsi="宋体" w:eastAsia="宋体" w:cs="宋体"/>
      <w:color w:val="000000"/>
      <w:sz w:val="22"/>
      <w:szCs w:val="22"/>
      <w:u w:val="none"/>
    </w:rPr>
  </w:style>
  <w:style w:type="character" w:customStyle="1" w:styleId="61">
    <w:name w:val="font61"/>
    <w:basedOn w:val="27"/>
    <w:qFormat/>
    <w:uiPriority w:val="0"/>
    <w:rPr>
      <w:rFonts w:hint="default" w:ascii="Tahoma" w:hAnsi="Tahoma" w:eastAsia="Tahoma" w:cs="Tahoma"/>
      <w:color w:val="000000"/>
      <w:sz w:val="22"/>
      <w:szCs w:val="22"/>
      <w:u w:val="none"/>
    </w:rPr>
  </w:style>
  <w:style w:type="character" w:customStyle="1" w:styleId="62">
    <w:name w:val="font01"/>
    <w:basedOn w:val="27"/>
    <w:qFormat/>
    <w:uiPriority w:val="0"/>
    <w:rPr>
      <w:rFonts w:hint="eastAsia" w:ascii="宋体" w:hAnsi="宋体" w:eastAsia="宋体" w:cs="宋体"/>
      <w:b/>
      <w:color w:val="000000"/>
      <w:sz w:val="24"/>
      <w:szCs w:val="24"/>
      <w:u w:val="none"/>
    </w:rPr>
  </w:style>
  <w:style w:type="paragraph" w:customStyle="1" w:styleId="63">
    <w:name w:val="列出段落4"/>
    <w:basedOn w:val="1"/>
    <w:qFormat/>
    <w:uiPriority w:val="34"/>
    <w:pPr>
      <w:ind w:firstLine="420" w:firstLineChars="200"/>
    </w:pPr>
  </w:style>
  <w:style w:type="paragraph" w:customStyle="1" w:styleId="64">
    <w:name w:val="列出段落5"/>
    <w:basedOn w:val="1"/>
    <w:unhideWhenUsed/>
    <w:qFormat/>
    <w:uiPriority w:val="99"/>
    <w:pPr>
      <w:ind w:firstLine="420" w:firstLineChars="200"/>
    </w:pPr>
  </w:style>
  <w:style w:type="paragraph" w:customStyle="1" w:styleId="65">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6">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styleId="67">
    <w:name w:val="List Paragraph"/>
    <w:basedOn w:val="1"/>
    <w:qFormat/>
    <w:uiPriority w:val="99"/>
    <w:pPr>
      <w:ind w:firstLine="420" w:firstLineChars="200"/>
    </w:pPr>
  </w:style>
  <w:style w:type="character" w:customStyle="1" w:styleId="68">
    <w:name w:val="Heading 1 Char"/>
    <w:basedOn w:val="27"/>
    <w:link w:val="3"/>
    <w:qFormat/>
    <w:locked/>
    <w:uiPriority w:val="99"/>
    <w:rPr>
      <w:rFonts w:ascii="Times New Roman" w:hAnsi="Times New Roman" w:eastAsia="宋体" w:cs="Times New Roman"/>
      <w:b/>
      <w:kern w:val="44"/>
      <w:sz w:val="32"/>
    </w:rPr>
  </w:style>
  <w:style w:type="paragraph" w:customStyle="1" w:styleId="69">
    <w:name w:val="列出段落6"/>
    <w:basedOn w:val="1"/>
    <w:unhideWhenUsed/>
    <w:qFormat/>
    <w:uiPriority w:val="99"/>
    <w:pPr>
      <w:ind w:firstLine="420" w:firstLineChars="200"/>
    </w:pPr>
  </w:style>
  <w:style w:type="paragraph" w:customStyle="1" w:styleId="70">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71">
    <w:name w:val="Default"/>
    <w:qFormat/>
    <w:uiPriority w:val="0"/>
    <w:pPr>
      <w:autoSpaceDE w:val="0"/>
      <w:autoSpaceDN w:val="0"/>
      <w:adjustRightInd w:val="0"/>
    </w:pPr>
    <w:rPr>
      <w:rFonts w:ascii="Arial" w:hAnsi="Arial" w:eastAsia="宋体" w:cs="Arial"/>
      <w:color w:val="000000"/>
      <w:sz w:val="24"/>
      <w:szCs w:val="24"/>
      <w:lang w:val="da-DK" w:eastAsia="zh-CN" w:bidi="ar-SA"/>
    </w:rPr>
  </w:style>
  <w:style w:type="character" w:customStyle="1" w:styleId="72">
    <w:name w:val="标题 1 Char1"/>
    <w:basedOn w:val="27"/>
    <w:link w:val="3"/>
    <w:qFormat/>
    <w:locked/>
    <w:uiPriority w:val="99"/>
    <w:rPr>
      <w:rFonts w:ascii="Times New Roman" w:hAnsi="Times New Roman" w:eastAsia="宋体" w:cs="Times New Roman"/>
      <w:b/>
      <w:kern w:val="44"/>
      <w:sz w:val="32"/>
    </w:rPr>
  </w:style>
  <w:style w:type="paragraph" w:customStyle="1" w:styleId="73">
    <w:name w:val="正文（缩进 2 字符）"/>
    <w:basedOn w:val="1"/>
    <w:qFormat/>
    <w:uiPriority w:val="0"/>
    <w:pPr>
      <w:widowControl/>
      <w:spacing w:line="400" w:lineRule="exact"/>
      <w:ind w:firstLine="200" w:firstLineChars="200"/>
      <w:jc w:val="left"/>
    </w:pPr>
    <w:rPr>
      <w:rFonts w:ascii="Calibri Light" w:hAnsi="Calibri Light" w:eastAsia="华文仿宋"/>
      <w:sz w:val="28"/>
      <w:szCs w:val="28"/>
    </w:rPr>
  </w:style>
  <w:style w:type="character" w:customStyle="1" w:styleId="74">
    <w:name w:val="标题 3 Char"/>
    <w:link w:val="5"/>
    <w:qFormat/>
    <w:uiPriority w:val="0"/>
    <w:rPr>
      <w:rFonts w:asciiTheme="minorHAnsi" w:hAnsiTheme="minorHAnsi"/>
      <w:b/>
      <w:sz w:val="28"/>
    </w:rPr>
  </w:style>
  <w:style w:type="character" w:customStyle="1" w:styleId="75">
    <w:name w:val="font41"/>
    <w:basedOn w:val="27"/>
    <w:qFormat/>
    <w:uiPriority w:val="0"/>
    <w:rPr>
      <w:rFonts w:hint="eastAsia" w:ascii="仿宋" w:hAnsi="仿宋" w:eastAsia="仿宋" w:cs="仿宋"/>
      <w:color w:val="000000"/>
      <w:sz w:val="16"/>
      <w:szCs w:val="16"/>
      <w:u w:val="none"/>
    </w:rPr>
  </w:style>
  <w:style w:type="character" w:customStyle="1" w:styleId="76">
    <w:name w:val="font31"/>
    <w:basedOn w:val="27"/>
    <w:qFormat/>
    <w:uiPriority w:val="0"/>
    <w:rPr>
      <w:rFonts w:ascii="Arial" w:hAnsi="Arial" w:cs="Arial"/>
      <w:color w:val="000000"/>
      <w:sz w:val="16"/>
      <w:szCs w:val="16"/>
      <w:u w:val="none"/>
    </w:rPr>
  </w:style>
  <w:style w:type="paragraph" w:customStyle="1" w:styleId="77">
    <w:name w:val="Date"/>
    <w:basedOn w:val="1"/>
    <w:next w:val="1"/>
    <w:qFormat/>
    <w:uiPriority w:val="0"/>
    <w:rPr>
      <w:rFonts w:ascii="Copperplate Gothic Bold" w:hAnsi="Copperplate Gothic Bold"/>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271CC-45C4-4207-B71B-56AB641DB6A1}">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82</Pages>
  <Words>33508</Words>
  <Characters>36580</Characters>
  <Lines>262</Lines>
  <Paragraphs>73</Paragraphs>
  <TotalTime>143</TotalTime>
  <ScaleCrop>false</ScaleCrop>
  <LinksUpToDate>false</LinksUpToDate>
  <CharactersWithSpaces>38696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2018-06-28T14:25:00Z</dcterms:created>
  <dc:creator>Administrator</dc:creator>
  <cp:lastModifiedBy>十五</cp:lastModifiedBy>
  <cp:lastPrinted>2023-05-04T07:30:35Z</cp:lastPrinted>
  <dcterms:modified xsi:type="dcterms:W3CDTF">2023-05-04T07:36:47Z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130A6D3F08BE40CBBE5E217FBEBDC1A4_13</vt:lpwstr>
  </property>
</Properties>
</file>