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cs="Times New Roman"/>
          <w:color w:val="auto"/>
          <w:sz w:val="52"/>
          <w:szCs w:val="52"/>
          <w:highlight w:val="none"/>
        </w:rPr>
      </w:pPr>
    </w:p>
    <w:p>
      <w:pPr>
        <w:spacing w:line="240" w:lineRule="auto"/>
        <w:jc w:val="center"/>
        <w:rPr>
          <w:rFonts w:cs="Times New Roman"/>
          <w:color w:val="auto"/>
          <w:sz w:val="52"/>
          <w:szCs w:val="52"/>
          <w:highlight w:val="none"/>
        </w:rPr>
      </w:pPr>
    </w:p>
    <w:p>
      <w:pPr>
        <w:spacing w:line="240" w:lineRule="auto"/>
        <w:jc w:val="center"/>
        <w:rPr>
          <w:rFonts w:eastAsia="华文中宋" w:cs="Times New Roman"/>
          <w:color w:val="auto"/>
          <w:kern w:val="0"/>
          <w:sz w:val="96"/>
          <w:szCs w:val="96"/>
          <w:highlight w:val="none"/>
        </w:rPr>
      </w:pPr>
      <w:r>
        <w:rPr>
          <w:rFonts w:hint="eastAsia" w:cs="华文仿宋"/>
          <w:color w:val="auto"/>
          <w:sz w:val="52"/>
          <w:szCs w:val="52"/>
          <w:highlight w:val="none"/>
        </w:rPr>
        <w:t>陕西省省级单位政府采购中心</w:t>
      </w:r>
    </w:p>
    <w:p>
      <w:pPr>
        <w:spacing w:line="240" w:lineRule="auto"/>
        <w:jc w:val="center"/>
        <w:rPr>
          <w:rFonts w:eastAsia="华文中宋" w:cs="Times New Roman"/>
          <w:color w:val="auto"/>
          <w:sz w:val="96"/>
          <w:szCs w:val="96"/>
          <w:highlight w:val="none"/>
        </w:rPr>
      </w:pPr>
      <w:r>
        <w:rPr>
          <w:rFonts w:hint="eastAsia" w:eastAsia="华文中宋" w:cs="华文中宋"/>
          <w:color w:val="auto"/>
          <w:kern w:val="0"/>
          <w:sz w:val="96"/>
          <w:szCs w:val="96"/>
          <w:highlight w:val="none"/>
        </w:rPr>
        <w:t>公开招标文件</w:t>
      </w:r>
    </w:p>
    <w:p>
      <w:pPr>
        <w:spacing w:line="240" w:lineRule="auto"/>
        <w:jc w:val="center"/>
        <w:rPr>
          <w:color w:val="auto"/>
          <w:sz w:val="36"/>
          <w:szCs w:val="36"/>
          <w:highlight w:val="none"/>
        </w:rPr>
      </w:pPr>
      <w:r>
        <w:rPr>
          <w:rFonts w:hint="eastAsia"/>
          <w:color w:val="auto"/>
          <w:sz w:val="36"/>
          <w:szCs w:val="36"/>
          <w:highlight w:val="none"/>
        </w:rPr>
        <w:t>（非专门面向中小企业项目）</w:t>
      </w:r>
    </w:p>
    <w:p>
      <w:pPr>
        <w:spacing w:line="900" w:lineRule="exact"/>
        <w:ind w:left="2805" w:leftChars="350" w:right="707" w:rightChars="250" w:hanging="1815" w:hangingChars="500"/>
        <w:rPr>
          <w:rFonts w:cs="Times New Roman"/>
          <w:color w:val="auto"/>
          <w:sz w:val="36"/>
          <w:szCs w:val="36"/>
          <w:highlight w:val="none"/>
        </w:rPr>
      </w:pPr>
    </w:p>
    <w:p>
      <w:pPr>
        <w:pStyle w:val="22"/>
        <w:spacing w:after="190"/>
        <w:ind w:firstLine="0" w:firstLineChars="0"/>
        <w:rPr>
          <w:color w:val="auto"/>
          <w:sz w:val="36"/>
          <w:szCs w:val="36"/>
          <w:highlight w:val="none"/>
        </w:rPr>
      </w:pPr>
    </w:p>
    <w:p>
      <w:pPr>
        <w:pStyle w:val="23"/>
        <w:ind w:left="567" w:firstLine="569"/>
        <w:rPr>
          <w:color w:val="auto"/>
          <w:highlight w:val="none"/>
        </w:rPr>
      </w:pPr>
    </w:p>
    <w:p>
      <w:pPr>
        <w:pStyle w:val="22"/>
        <w:spacing w:after="190"/>
        <w:ind w:firstLine="0" w:firstLineChars="0"/>
        <w:rPr>
          <w:color w:val="auto"/>
          <w:sz w:val="36"/>
          <w:szCs w:val="36"/>
          <w:highlight w:val="none"/>
        </w:rPr>
      </w:pPr>
    </w:p>
    <w:p>
      <w:pPr>
        <w:spacing w:line="240" w:lineRule="auto"/>
        <w:ind w:left="2539" w:leftChars="256" w:right="707" w:rightChars="250" w:hanging="1815" w:hangingChars="500"/>
        <w:jc w:val="left"/>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rPr>
        <w:t>项目名称：</w:t>
      </w:r>
      <w:r>
        <w:rPr>
          <w:rFonts w:hint="eastAsia" w:ascii="仿宋" w:hAnsi="仿宋" w:eastAsia="仿宋" w:cs="仿宋"/>
          <w:b/>
          <w:bCs/>
          <w:color w:val="auto"/>
          <w:sz w:val="36"/>
          <w:szCs w:val="36"/>
          <w:highlight w:val="none"/>
          <w:lang w:eastAsia="zh-CN"/>
        </w:rPr>
        <w:t>陕西铁路工程职业技术学院高新校区学生公寓空调采购项目</w:t>
      </w:r>
    </w:p>
    <w:p>
      <w:pPr>
        <w:spacing w:line="240" w:lineRule="auto"/>
        <w:ind w:left="2539" w:leftChars="256" w:right="707" w:rightChars="250" w:hanging="1815" w:hangingChars="500"/>
        <w:jc w:val="left"/>
        <w:rPr>
          <w:rFonts w:hint="eastAsia" w:ascii="仿宋" w:hAnsi="仿宋" w:eastAsia="仿宋" w:cs="仿宋"/>
          <w:b/>
          <w:bCs/>
          <w:color w:val="auto"/>
          <w:sz w:val="36"/>
          <w:szCs w:val="36"/>
          <w:highlight w:val="none"/>
          <w:lang w:val="en-US" w:eastAsia="zh-CN"/>
        </w:rPr>
      </w:pPr>
      <w:r>
        <w:rPr>
          <w:rFonts w:hint="eastAsia" w:ascii="华文仿宋" w:hAnsi="华文仿宋" w:cs="华文仿宋"/>
          <w:b/>
          <w:bCs/>
          <w:color w:val="auto"/>
          <w:sz w:val="36"/>
          <w:szCs w:val="36"/>
          <w:highlight w:val="none"/>
        </w:rPr>
        <w:t>项目编号：</w:t>
      </w:r>
      <w:r>
        <w:rPr>
          <w:rFonts w:hint="eastAsia" w:ascii="仿宋" w:hAnsi="仿宋" w:eastAsia="仿宋" w:cs="仿宋"/>
          <w:b/>
          <w:bCs/>
          <w:color w:val="auto"/>
          <w:sz w:val="36"/>
          <w:szCs w:val="36"/>
          <w:highlight w:val="none"/>
        </w:rPr>
        <w:t>SNCG-FM-202</w:t>
      </w:r>
      <w:r>
        <w:rPr>
          <w:rFonts w:hint="eastAsia" w:ascii="仿宋" w:hAnsi="仿宋" w:eastAsia="仿宋" w:cs="仿宋"/>
          <w:b/>
          <w:bCs/>
          <w:color w:val="auto"/>
          <w:sz w:val="36"/>
          <w:szCs w:val="36"/>
          <w:highlight w:val="none"/>
          <w:lang w:val="en-US" w:eastAsia="zh-CN"/>
        </w:rPr>
        <w:t>3040</w:t>
      </w:r>
    </w:p>
    <w:p>
      <w:pPr>
        <w:spacing w:line="240" w:lineRule="auto"/>
        <w:ind w:left="2539" w:leftChars="256" w:right="707" w:rightChars="250" w:hanging="1815" w:hangingChars="500"/>
        <w:jc w:val="left"/>
        <w:rPr>
          <w:rFonts w:hint="eastAsia" w:ascii="华文仿宋" w:hAnsi="华文仿宋" w:eastAsia="华文仿宋" w:cs="华文仿宋"/>
          <w:b/>
          <w:bCs/>
          <w:color w:val="auto"/>
          <w:sz w:val="36"/>
          <w:szCs w:val="36"/>
          <w:highlight w:val="none"/>
          <w:lang w:eastAsia="zh-CN"/>
        </w:rPr>
      </w:pPr>
      <w:r>
        <w:rPr>
          <w:rFonts w:hint="eastAsia" w:ascii="华文仿宋" w:hAnsi="华文仿宋" w:cs="华文仿宋"/>
          <w:b/>
          <w:bCs/>
          <w:color w:val="auto"/>
          <w:sz w:val="36"/>
          <w:szCs w:val="36"/>
          <w:highlight w:val="none"/>
        </w:rPr>
        <w:t>采 购 人：</w:t>
      </w:r>
      <w:r>
        <w:rPr>
          <w:rFonts w:hint="eastAsia" w:ascii="仿宋" w:hAnsi="仿宋" w:eastAsia="仿宋" w:cs="仿宋"/>
          <w:b/>
          <w:bCs/>
          <w:color w:val="auto"/>
          <w:sz w:val="36"/>
          <w:szCs w:val="36"/>
          <w:highlight w:val="none"/>
          <w:lang w:eastAsia="zh-CN"/>
        </w:rPr>
        <w:t>陕西铁路工程职业技术学院</w:t>
      </w:r>
    </w:p>
    <w:p>
      <w:pPr>
        <w:spacing w:line="240" w:lineRule="auto"/>
        <w:ind w:left="2539" w:leftChars="256" w:right="707" w:rightChars="250" w:hanging="1815" w:hangingChars="500"/>
        <w:jc w:val="left"/>
        <w:rPr>
          <w:rFonts w:ascii="华文仿宋" w:hAnsi="华文仿宋" w:cs="华文仿宋"/>
          <w:b/>
          <w:bCs/>
          <w:color w:val="auto"/>
          <w:sz w:val="36"/>
          <w:szCs w:val="36"/>
          <w:highlight w:val="none"/>
        </w:rPr>
      </w:pPr>
      <w:r>
        <w:rPr>
          <w:rFonts w:hint="eastAsia" w:ascii="华文仿宋" w:hAnsi="华文仿宋" w:cs="华文仿宋"/>
          <w:b/>
          <w:bCs/>
          <w:color w:val="auto"/>
          <w:sz w:val="36"/>
          <w:szCs w:val="36"/>
          <w:highlight w:val="none"/>
        </w:rPr>
        <w:t>代理机构：陕西省省级单位政府采购中心</w:t>
      </w:r>
    </w:p>
    <w:p>
      <w:pPr>
        <w:pStyle w:val="2"/>
        <w:spacing w:after="190"/>
        <w:rPr>
          <w:rFonts w:cs="Times New Roman"/>
          <w:color w:val="auto"/>
          <w:highlight w:val="none"/>
        </w:rPr>
      </w:pPr>
    </w:p>
    <w:p>
      <w:pPr>
        <w:rPr>
          <w:color w:val="auto"/>
          <w:highlight w:val="none"/>
        </w:rPr>
      </w:pPr>
    </w:p>
    <w:p>
      <w:pPr>
        <w:rPr>
          <w:rFonts w:cs="Times New Roman"/>
          <w:color w:val="auto"/>
          <w:highlight w:val="none"/>
        </w:rPr>
      </w:pPr>
    </w:p>
    <w:p>
      <w:pPr>
        <w:tabs>
          <w:tab w:val="right" w:leader="hyphen" w:pos="8504"/>
        </w:tabs>
        <w:spacing w:after="381" w:afterLines="100" w:line="440" w:lineRule="exact"/>
        <w:ind w:right="566" w:rightChars="200"/>
        <w:jc w:val="center"/>
        <w:rPr>
          <w:rFonts w:ascii="仿宋" w:hAnsi="仿宋" w:eastAsia="仿宋" w:cs="Times New Roman"/>
          <w:b/>
          <w:bCs/>
          <w:color w:val="auto"/>
          <w:sz w:val="36"/>
          <w:szCs w:val="36"/>
          <w:highlight w:val="none"/>
        </w:rPr>
        <w:sectPr>
          <w:headerReference r:id="rId7" w:type="first"/>
          <w:headerReference r:id="rId5" w:type="default"/>
          <w:footerReference r:id="rId8" w:type="default"/>
          <w:headerReference r:id="rId6" w:type="even"/>
          <w:pgSz w:w="11906" w:h="16838"/>
          <w:pgMar w:top="1417" w:right="1417" w:bottom="1417" w:left="1417" w:header="850" w:footer="992" w:gutter="0"/>
          <w:pgNumType w:start="1"/>
          <w:cols w:space="720" w:num="1"/>
          <w:docGrid w:type="linesAndChars" w:linePitch="381" w:charSpace="704"/>
        </w:sectPr>
      </w:pPr>
      <w:r>
        <w:rPr>
          <w:rFonts w:ascii="仿宋" w:hAnsi="仿宋" w:eastAsia="仿宋" w:cs="仿宋"/>
          <w:b/>
          <w:bCs/>
          <w:color w:val="auto"/>
          <w:sz w:val="36"/>
          <w:szCs w:val="36"/>
          <w:highlight w:val="none"/>
        </w:rPr>
        <w:t>202</w:t>
      </w:r>
      <w:r>
        <w:rPr>
          <w:rFonts w:hint="eastAsia" w:ascii="仿宋" w:hAnsi="仿宋" w:eastAsia="仿宋" w:cs="仿宋"/>
          <w:b/>
          <w:bCs/>
          <w:color w:val="auto"/>
          <w:sz w:val="36"/>
          <w:szCs w:val="36"/>
          <w:highlight w:val="none"/>
        </w:rPr>
        <w:t>3年</w:t>
      </w:r>
      <w:r>
        <w:rPr>
          <w:rFonts w:hint="eastAsia" w:ascii="仿宋" w:hAnsi="仿宋" w:eastAsia="仿宋" w:cs="仿宋"/>
          <w:b/>
          <w:bCs/>
          <w:color w:val="auto"/>
          <w:sz w:val="36"/>
          <w:szCs w:val="36"/>
          <w:highlight w:val="none"/>
          <w:lang w:val="en-US" w:eastAsia="zh-CN"/>
        </w:rPr>
        <w:t>5</w:t>
      </w:r>
      <w:r>
        <w:rPr>
          <w:rFonts w:hint="eastAsia" w:ascii="仿宋" w:hAnsi="仿宋" w:eastAsia="仿宋" w:cs="仿宋"/>
          <w:b/>
          <w:bCs/>
          <w:color w:val="auto"/>
          <w:sz w:val="36"/>
          <w:szCs w:val="36"/>
          <w:highlight w:val="none"/>
        </w:rPr>
        <w:t>月</w:t>
      </w:r>
      <w:bookmarkStart w:id="0" w:name="_Toc1"/>
      <w:bookmarkStart w:id="1" w:name="_Toc21160"/>
      <w:bookmarkStart w:id="2" w:name="_Toc7047"/>
      <w:bookmarkStart w:id="3" w:name="_Toc20135"/>
      <w:bookmarkStart w:id="4" w:name="_Toc852"/>
      <w:bookmarkStart w:id="5" w:name="_Toc6774"/>
      <w:bookmarkStart w:id="6" w:name="_Toc16154"/>
      <w:bookmarkStart w:id="7" w:name="_Toc10513"/>
      <w:r>
        <w:rPr>
          <w:rFonts w:hint="eastAsia" w:ascii="仿宋" w:hAnsi="仿宋" w:eastAsia="仿宋" w:cs="仿宋"/>
          <w:b/>
          <w:bCs/>
          <w:color w:val="auto"/>
          <w:sz w:val="36"/>
          <w:szCs w:val="36"/>
          <w:highlight w:val="none"/>
          <w:lang w:val="en-US" w:eastAsia="zh-CN"/>
        </w:rPr>
        <w:t>19</w:t>
      </w:r>
      <w:r>
        <w:rPr>
          <w:rFonts w:hint="eastAsia" w:ascii="仿宋" w:hAnsi="仿宋" w:eastAsia="仿宋" w:cs="仿宋"/>
          <w:b/>
          <w:bCs/>
          <w:color w:val="auto"/>
          <w:sz w:val="36"/>
          <w:szCs w:val="36"/>
          <w:highlight w:val="none"/>
        </w:rPr>
        <w:t>日</w:t>
      </w:r>
    </w:p>
    <w:p>
      <w:pPr>
        <w:tabs>
          <w:tab w:val="right" w:leader="hyphen" w:pos="8504"/>
        </w:tabs>
        <w:spacing w:after="381" w:afterLines="100" w:line="440" w:lineRule="exact"/>
        <w:ind w:left="567" w:right="566" w:rightChars="200"/>
        <w:jc w:val="center"/>
        <w:rPr>
          <w:rFonts w:hint="eastAsia" w:ascii="黑体" w:hAnsi="黑体" w:eastAsia="黑体" w:cs="黑体"/>
          <w:color w:val="auto"/>
          <w:kern w:val="2"/>
          <w:sz w:val="44"/>
          <w:szCs w:val="44"/>
          <w:highlight w:val="none"/>
          <w:lang w:val="en-US" w:eastAsia="zh-CN" w:bidi="ar-SA"/>
        </w:rPr>
      </w:pPr>
      <w:bookmarkStart w:id="8" w:name="_Toc447"/>
      <w:bookmarkStart w:id="9" w:name="_Toc29675"/>
      <w:bookmarkStart w:id="10" w:name="_Toc29970"/>
      <w:r>
        <w:rPr>
          <w:rFonts w:hint="eastAsia" w:ascii="黑体" w:hAnsi="黑体" w:eastAsia="黑体" w:cs="黑体"/>
          <w:color w:val="auto"/>
          <w:sz w:val="44"/>
          <w:szCs w:val="44"/>
          <w:highlight w:val="none"/>
        </w:rPr>
        <w:t>目  录</w:t>
      </w:r>
      <w:bookmarkEnd w:id="0"/>
      <w:bookmarkEnd w:id="1"/>
      <w:bookmarkEnd w:id="2"/>
      <w:bookmarkEnd w:id="3"/>
      <w:bookmarkEnd w:id="4"/>
      <w:bookmarkEnd w:id="5"/>
      <w:bookmarkEnd w:id="6"/>
      <w:bookmarkEnd w:id="7"/>
      <w:bookmarkEnd w:id="8"/>
      <w:bookmarkEnd w:id="9"/>
      <w:bookmarkEnd w:id="10"/>
      <w:bookmarkStart w:id="11" w:name="_Toc26289"/>
      <w:bookmarkStart w:id="12" w:name="_Toc495014647"/>
      <w:bookmarkStart w:id="13" w:name="_Toc495014609"/>
      <w:bookmarkStart w:id="14" w:name="_Toc495012819"/>
      <w:bookmarkStart w:id="15" w:name="_Toc495014583"/>
      <w:bookmarkStart w:id="16" w:name="_Toc495012769"/>
      <w:bookmarkStart w:id="17" w:name="_Toc495014918"/>
      <w:bookmarkStart w:id="18" w:name="_Toc445306491"/>
      <w:r>
        <w:rPr>
          <w:rFonts w:hint="eastAsia" w:ascii="黑体" w:hAnsi="黑体" w:eastAsia="黑体" w:cs="黑体"/>
          <w:color w:val="auto"/>
          <w:sz w:val="44"/>
          <w:szCs w:val="44"/>
          <w:highlight w:val="none"/>
        </w:rPr>
        <w:fldChar w:fldCharType="begin"/>
      </w:r>
      <w:r>
        <w:rPr>
          <w:rFonts w:hint="eastAsia" w:ascii="黑体" w:hAnsi="黑体" w:eastAsia="黑体" w:cs="黑体"/>
          <w:color w:val="auto"/>
          <w:sz w:val="44"/>
          <w:szCs w:val="44"/>
          <w:highlight w:val="none"/>
        </w:rPr>
        <w:instrText xml:space="preserve">TOC \o "1-3" \u </w:instrText>
      </w:r>
      <w:r>
        <w:rPr>
          <w:rFonts w:hint="eastAsia" w:ascii="黑体" w:hAnsi="黑体" w:eastAsia="黑体" w:cs="黑体"/>
          <w:color w:val="auto"/>
          <w:sz w:val="44"/>
          <w:szCs w:val="44"/>
          <w:highlight w:val="none"/>
        </w:rPr>
        <w:fldChar w:fldCharType="separate"/>
      </w:r>
    </w:p>
    <w:p>
      <w:pPr>
        <w:pStyle w:val="16"/>
        <w:tabs>
          <w:tab w:val="right" w:leader="dot" w:pos="9072"/>
        </w:tabs>
        <w:spacing w:line="500" w:lineRule="exact"/>
        <w:ind w:firstLine="566" w:firstLineChars="200"/>
        <w:rPr>
          <w:color w:val="auto"/>
          <w:highlight w:val="none"/>
        </w:rPr>
      </w:pPr>
      <w:r>
        <w:rPr>
          <w:rFonts w:hint="eastAsia" w:ascii="黑体" w:hAnsi="黑体" w:eastAsia="黑体" w:cs="黑体"/>
          <w:bCs w:val="0"/>
          <w:color w:val="auto"/>
          <w:szCs w:val="32"/>
          <w:highlight w:val="none"/>
        </w:rPr>
        <w:t>第一章  投标邀请函</w:t>
      </w:r>
      <w:r>
        <w:rPr>
          <w:color w:val="auto"/>
          <w:highlight w:val="none"/>
        </w:rPr>
        <w:tab/>
      </w:r>
      <w:r>
        <w:rPr>
          <w:color w:val="auto"/>
          <w:highlight w:val="none"/>
        </w:rPr>
        <w:fldChar w:fldCharType="begin"/>
      </w:r>
      <w:r>
        <w:rPr>
          <w:color w:val="auto"/>
          <w:highlight w:val="none"/>
        </w:rPr>
        <w:instrText xml:space="preserve"> PAGEREF _Toc13092 \h </w:instrText>
      </w:r>
      <w:r>
        <w:rPr>
          <w:color w:val="auto"/>
          <w:highlight w:val="none"/>
        </w:rPr>
        <w:fldChar w:fldCharType="separate"/>
      </w:r>
      <w:r>
        <w:rPr>
          <w:color w:val="auto"/>
          <w:highlight w:val="none"/>
        </w:rPr>
        <w:t>1</w:t>
      </w:r>
      <w:r>
        <w:rPr>
          <w:color w:val="auto"/>
          <w:highlight w:val="none"/>
        </w:rPr>
        <w:fldChar w:fldCharType="end"/>
      </w:r>
    </w:p>
    <w:p>
      <w:pPr>
        <w:pStyle w:val="16"/>
        <w:tabs>
          <w:tab w:val="right" w:leader="dot" w:pos="9072"/>
        </w:tabs>
        <w:spacing w:line="500" w:lineRule="exact"/>
        <w:ind w:firstLine="566" w:firstLineChars="200"/>
        <w:rPr>
          <w:color w:val="auto"/>
          <w:highlight w:val="none"/>
        </w:rPr>
      </w:pPr>
      <w:r>
        <w:rPr>
          <w:rFonts w:hint="eastAsia" w:ascii="黑体" w:hAnsi="黑体" w:eastAsia="黑体" w:cs="黑体"/>
          <w:bCs w:val="0"/>
          <w:color w:val="auto"/>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_Toc1044 \h </w:instrText>
      </w:r>
      <w:r>
        <w:rPr>
          <w:color w:val="auto"/>
          <w:highlight w:val="none"/>
        </w:rPr>
        <w:fldChar w:fldCharType="separate"/>
      </w:r>
      <w:r>
        <w:rPr>
          <w:color w:val="auto"/>
          <w:highlight w:val="none"/>
        </w:rPr>
        <w:t>7</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一、定义</w:t>
      </w:r>
      <w:r>
        <w:rPr>
          <w:color w:val="auto"/>
          <w:highlight w:val="none"/>
        </w:rPr>
        <w:tab/>
      </w:r>
      <w:r>
        <w:rPr>
          <w:color w:val="auto"/>
          <w:highlight w:val="none"/>
        </w:rPr>
        <w:fldChar w:fldCharType="begin"/>
      </w:r>
      <w:r>
        <w:rPr>
          <w:color w:val="auto"/>
          <w:highlight w:val="none"/>
        </w:rPr>
        <w:instrText xml:space="preserve"> PAGEREF _Toc2124 \h </w:instrText>
      </w:r>
      <w:r>
        <w:rPr>
          <w:color w:val="auto"/>
          <w:highlight w:val="none"/>
        </w:rPr>
        <w:fldChar w:fldCharType="separate"/>
      </w:r>
      <w:r>
        <w:rPr>
          <w:color w:val="auto"/>
          <w:highlight w:val="none"/>
        </w:rPr>
        <w:t>7</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二、投标人注意事项</w:t>
      </w:r>
      <w:r>
        <w:rPr>
          <w:color w:val="auto"/>
          <w:highlight w:val="none"/>
        </w:rPr>
        <w:tab/>
      </w:r>
      <w:r>
        <w:rPr>
          <w:color w:val="auto"/>
          <w:highlight w:val="none"/>
        </w:rPr>
        <w:fldChar w:fldCharType="begin"/>
      </w:r>
      <w:r>
        <w:rPr>
          <w:color w:val="auto"/>
          <w:highlight w:val="none"/>
        </w:rPr>
        <w:instrText xml:space="preserve"> PAGEREF _Toc18623 \h </w:instrText>
      </w:r>
      <w:r>
        <w:rPr>
          <w:color w:val="auto"/>
          <w:highlight w:val="none"/>
        </w:rPr>
        <w:fldChar w:fldCharType="separate"/>
      </w:r>
      <w:r>
        <w:rPr>
          <w:color w:val="auto"/>
          <w:highlight w:val="none"/>
        </w:rPr>
        <w:t>7</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三、招标文件</w:t>
      </w:r>
      <w:r>
        <w:rPr>
          <w:color w:val="auto"/>
          <w:highlight w:val="none"/>
        </w:rPr>
        <w:tab/>
      </w:r>
      <w:r>
        <w:rPr>
          <w:color w:val="auto"/>
          <w:highlight w:val="none"/>
        </w:rPr>
        <w:fldChar w:fldCharType="begin"/>
      </w:r>
      <w:r>
        <w:rPr>
          <w:color w:val="auto"/>
          <w:highlight w:val="none"/>
        </w:rPr>
        <w:instrText xml:space="preserve"> PAGEREF _Toc31083 \h </w:instrText>
      </w:r>
      <w:r>
        <w:rPr>
          <w:color w:val="auto"/>
          <w:highlight w:val="none"/>
        </w:rPr>
        <w:fldChar w:fldCharType="separate"/>
      </w:r>
      <w:r>
        <w:rPr>
          <w:color w:val="auto"/>
          <w:highlight w:val="none"/>
        </w:rPr>
        <w:t>16</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四、投标报价</w:t>
      </w:r>
      <w:r>
        <w:rPr>
          <w:color w:val="auto"/>
          <w:highlight w:val="none"/>
        </w:rPr>
        <w:tab/>
      </w:r>
      <w:r>
        <w:rPr>
          <w:color w:val="auto"/>
          <w:highlight w:val="none"/>
        </w:rPr>
        <w:fldChar w:fldCharType="begin"/>
      </w:r>
      <w:r>
        <w:rPr>
          <w:color w:val="auto"/>
          <w:highlight w:val="none"/>
        </w:rPr>
        <w:instrText xml:space="preserve"> PAGEREF _Toc15825 \h </w:instrText>
      </w:r>
      <w:r>
        <w:rPr>
          <w:color w:val="auto"/>
          <w:highlight w:val="none"/>
        </w:rPr>
        <w:fldChar w:fldCharType="separate"/>
      </w:r>
      <w:r>
        <w:rPr>
          <w:color w:val="auto"/>
          <w:highlight w:val="none"/>
        </w:rPr>
        <w:t>18</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五、投标文件</w:t>
      </w:r>
      <w:r>
        <w:rPr>
          <w:color w:val="auto"/>
          <w:highlight w:val="none"/>
        </w:rPr>
        <w:tab/>
      </w:r>
      <w:r>
        <w:rPr>
          <w:color w:val="auto"/>
          <w:highlight w:val="none"/>
        </w:rPr>
        <w:fldChar w:fldCharType="begin"/>
      </w:r>
      <w:r>
        <w:rPr>
          <w:color w:val="auto"/>
          <w:highlight w:val="none"/>
        </w:rPr>
        <w:instrText xml:space="preserve"> PAGEREF _Toc17633 \h </w:instrText>
      </w:r>
      <w:r>
        <w:rPr>
          <w:color w:val="auto"/>
          <w:highlight w:val="none"/>
        </w:rPr>
        <w:fldChar w:fldCharType="separate"/>
      </w:r>
      <w:r>
        <w:rPr>
          <w:color w:val="auto"/>
          <w:highlight w:val="none"/>
        </w:rPr>
        <w:t>18</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六、组织开标</w:t>
      </w:r>
      <w:r>
        <w:rPr>
          <w:color w:val="auto"/>
          <w:highlight w:val="none"/>
        </w:rPr>
        <w:tab/>
      </w:r>
      <w:r>
        <w:rPr>
          <w:color w:val="auto"/>
          <w:highlight w:val="none"/>
        </w:rPr>
        <w:fldChar w:fldCharType="begin"/>
      </w:r>
      <w:r>
        <w:rPr>
          <w:color w:val="auto"/>
          <w:highlight w:val="none"/>
        </w:rPr>
        <w:instrText xml:space="preserve"> PAGEREF _Toc20777 \h </w:instrText>
      </w:r>
      <w:r>
        <w:rPr>
          <w:color w:val="auto"/>
          <w:highlight w:val="none"/>
        </w:rPr>
        <w:fldChar w:fldCharType="separate"/>
      </w:r>
      <w:r>
        <w:rPr>
          <w:color w:val="auto"/>
          <w:highlight w:val="none"/>
        </w:rPr>
        <w:t>20</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七、资格审查</w:t>
      </w:r>
      <w:r>
        <w:rPr>
          <w:color w:val="auto"/>
          <w:highlight w:val="none"/>
        </w:rPr>
        <w:tab/>
      </w:r>
      <w:r>
        <w:rPr>
          <w:color w:val="auto"/>
          <w:highlight w:val="none"/>
        </w:rPr>
        <w:fldChar w:fldCharType="begin"/>
      </w:r>
      <w:r>
        <w:rPr>
          <w:color w:val="auto"/>
          <w:highlight w:val="none"/>
        </w:rPr>
        <w:instrText xml:space="preserve"> PAGEREF _Toc9634 \h </w:instrText>
      </w:r>
      <w:r>
        <w:rPr>
          <w:color w:val="auto"/>
          <w:highlight w:val="none"/>
        </w:rPr>
        <w:fldChar w:fldCharType="separate"/>
      </w:r>
      <w:r>
        <w:rPr>
          <w:color w:val="auto"/>
          <w:highlight w:val="none"/>
        </w:rPr>
        <w:t>21</w:t>
      </w:r>
      <w:r>
        <w:rPr>
          <w:color w:val="auto"/>
          <w:highlight w:val="none"/>
        </w:rPr>
        <w:fldChar w:fldCharType="end"/>
      </w:r>
    </w:p>
    <w:p>
      <w:pPr>
        <w:pStyle w:val="17"/>
        <w:tabs>
          <w:tab w:val="right" w:leader="dot" w:pos="9072"/>
        </w:tabs>
        <w:spacing w:line="500" w:lineRule="exact"/>
        <w:ind w:left="0" w:leftChars="0" w:firstLine="1132" w:firstLineChars="400"/>
        <w:rPr>
          <w:color w:val="auto"/>
          <w:highlight w:val="none"/>
        </w:rPr>
      </w:pPr>
      <w:r>
        <w:rPr>
          <w:rFonts w:hint="eastAsia" w:ascii="华文仿宋" w:hAnsi="华文仿宋" w:cs="华文仿宋"/>
          <w:color w:val="auto"/>
          <w:szCs w:val="28"/>
          <w:highlight w:val="none"/>
        </w:rPr>
        <w:t>八、组织评标</w:t>
      </w:r>
      <w:r>
        <w:rPr>
          <w:color w:val="auto"/>
          <w:highlight w:val="none"/>
        </w:rPr>
        <w:tab/>
      </w:r>
      <w:r>
        <w:rPr>
          <w:color w:val="auto"/>
          <w:highlight w:val="none"/>
        </w:rPr>
        <w:fldChar w:fldCharType="begin"/>
      </w:r>
      <w:r>
        <w:rPr>
          <w:color w:val="auto"/>
          <w:highlight w:val="none"/>
        </w:rPr>
        <w:instrText xml:space="preserve"> PAGEREF _Toc5711 \h </w:instrText>
      </w:r>
      <w:r>
        <w:rPr>
          <w:color w:val="auto"/>
          <w:highlight w:val="none"/>
        </w:rPr>
        <w:fldChar w:fldCharType="separate"/>
      </w:r>
      <w:r>
        <w:rPr>
          <w:color w:val="auto"/>
          <w:highlight w:val="none"/>
        </w:rPr>
        <w:t>22</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九、中标</w:t>
      </w:r>
      <w:r>
        <w:rPr>
          <w:color w:val="auto"/>
          <w:highlight w:val="none"/>
        </w:rPr>
        <w:tab/>
      </w:r>
      <w:r>
        <w:rPr>
          <w:color w:val="auto"/>
          <w:highlight w:val="none"/>
        </w:rPr>
        <w:fldChar w:fldCharType="begin"/>
      </w:r>
      <w:r>
        <w:rPr>
          <w:color w:val="auto"/>
          <w:highlight w:val="none"/>
        </w:rPr>
        <w:instrText xml:space="preserve"> PAGEREF _Toc7890 \h </w:instrText>
      </w:r>
      <w:r>
        <w:rPr>
          <w:color w:val="auto"/>
          <w:highlight w:val="none"/>
        </w:rPr>
        <w:fldChar w:fldCharType="separate"/>
      </w:r>
      <w:r>
        <w:rPr>
          <w:color w:val="auto"/>
          <w:highlight w:val="none"/>
        </w:rPr>
        <w:t>27</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十、签订政府采购合同</w:t>
      </w:r>
      <w:r>
        <w:rPr>
          <w:color w:val="auto"/>
          <w:highlight w:val="none"/>
        </w:rPr>
        <w:tab/>
      </w:r>
      <w:r>
        <w:rPr>
          <w:color w:val="auto"/>
          <w:highlight w:val="none"/>
        </w:rPr>
        <w:fldChar w:fldCharType="begin"/>
      </w:r>
      <w:r>
        <w:rPr>
          <w:color w:val="auto"/>
          <w:highlight w:val="none"/>
        </w:rPr>
        <w:instrText xml:space="preserve"> PAGEREF _Toc10156 \h </w:instrText>
      </w:r>
      <w:r>
        <w:rPr>
          <w:color w:val="auto"/>
          <w:highlight w:val="none"/>
        </w:rPr>
        <w:fldChar w:fldCharType="separate"/>
      </w:r>
      <w:r>
        <w:rPr>
          <w:color w:val="auto"/>
          <w:highlight w:val="none"/>
        </w:rPr>
        <w:t>28</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十一、其他</w:t>
      </w:r>
      <w:r>
        <w:rPr>
          <w:color w:val="auto"/>
          <w:highlight w:val="none"/>
        </w:rPr>
        <w:tab/>
      </w:r>
      <w:r>
        <w:rPr>
          <w:color w:val="auto"/>
          <w:highlight w:val="none"/>
        </w:rPr>
        <w:fldChar w:fldCharType="begin"/>
      </w:r>
      <w:r>
        <w:rPr>
          <w:color w:val="auto"/>
          <w:highlight w:val="none"/>
        </w:rPr>
        <w:instrText xml:space="preserve"> PAGEREF _Toc9680 \h </w:instrText>
      </w:r>
      <w:r>
        <w:rPr>
          <w:color w:val="auto"/>
          <w:highlight w:val="none"/>
        </w:rPr>
        <w:fldChar w:fldCharType="separate"/>
      </w:r>
      <w:r>
        <w:rPr>
          <w:color w:val="auto"/>
          <w:highlight w:val="none"/>
        </w:rPr>
        <w:t>29</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华文仿宋" w:hAnsi="华文仿宋" w:cs="华文仿宋"/>
          <w:color w:val="auto"/>
          <w:szCs w:val="28"/>
          <w:highlight w:val="none"/>
        </w:rPr>
        <w:t>十二、采购代理服务费</w:t>
      </w:r>
      <w:r>
        <w:rPr>
          <w:color w:val="auto"/>
          <w:highlight w:val="none"/>
        </w:rPr>
        <w:tab/>
      </w:r>
      <w:r>
        <w:rPr>
          <w:color w:val="auto"/>
          <w:highlight w:val="none"/>
        </w:rPr>
        <w:fldChar w:fldCharType="begin"/>
      </w:r>
      <w:r>
        <w:rPr>
          <w:color w:val="auto"/>
          <w:highlight w:val="none"/>
        </w:rPr>
        <w:instrText xml:space="preserve"> PAGEREF _Toc25279 \h </w:instrText>
      </w:r>
      <w:r>
        <w:rPr>
          <w:color w:val="auto"/>
          <w:highlight w:val="none"/>
        </w:rPr>
        <w:fldChar w:fldCharType="separate"/>
      </w:r>
      <w:r>
        <w:rPr>
          <w:color w:val="auto"/>
          <w:highlight w:val="none"/>
        </w:rPr>
        <w:t>30</w:t>
      </w:r>
      <w:r>
        <w:rPr>
          <w:color w:val="auto"/>
          <w:highlight w:val="none"/>
        </w:rPr>
        <w:fldChar w:fldCharType="end"/>
      </w:r>
    </w:p>
    <w:p>
      <w:pPr>
        <w:pStyle w:val="16"/>
        <w:tabs>
          <w:tab w:val="right" w:leader="dot" w:pos="9072"/>
        </w:tabs>
        <w:spacing w:line="500" w:lineRule="exact"/>
        <w:ind w:firstLine="566" w:firstLineChars="200"/>
        <w:rPr>
          <w:color w:val="auto"/>
          <w:highlight w:val="none"/>
        </w:rPr>
      </w:pPr>
      <w:r>
        <w:rPr>
          <w:rFonts w:hint="eastAsia" w:ascii="黑体" w:hAnsi="黑体" w:eastAsia="黑体" w:cs="黑体"/>
          <w:color w:val="auto"/>
          <w:szCs w:val="32"/>
          <w:highlight w:val="none"/>
        </w:rPr>
        <w:t>第三章  评审办法及标准</w:t>
      </w:r>
      <w:r>
        <w:rPr>
          <w:color w:val="auto"/>
          <w:highlight w:val="none"/>
        </w:rPr>
        <w:tab/>
      </w:r>
      <w:r>
        <w:rPr>
          <w:color w:val="auto"/>
          <w:highlight w:val="none"/>
        </w:rPr>
        <w:fldChar w:fldCharType="begin"/>
      </w:r>
      <w:r>
        <w:rPr>
          <w:color w:val="auto"/>
          <w:highlight w:val="none"/>
        </w:rPr>
        <w:instrText xml:space="preserve"> PAGEREF _Toc16783 \h </w:instrText>
      </w:r>
      <w:r>
        <w:rPr>
          <w:color w:val="auto"/>
          <w:highlight w:val="none"/>
        </w:rPr>
        <w:fldChar w:fldCharType="separate"/>
      </w:r>
      <w:r>
        <w:rPr>
          <w:color w:val="auto"/>
          <w:highlight w:val="none"/>
        </w:rPr>
        <w:t>31</w:t>
      </w:r>
      <w:r>
        <w:rPr>
          <w:color w:val="auto"/>
          <w:highlight w:val="none"/>
        </w:rPr>
        <w:fldChar w:fldCharType="end"/>
      </w:r>
    </w:p>
    <w:p>
      <w:pPr>
        <w:pStyle w:val="16"/>
        <w:tabs>
          <w:tab w:val="right" w:leader="dot" w:pos="9072"/>
        </w:tabs>
        <w:spacing w:line="500" w:lineRule="exact"/>
        <w:ind w:firstLine="566" w:firstLineChars="200"/>
        <w:rPr>
          <w:color w:val="auto"/>
          <w:highlight w:val="none"/>
        </w:rPr>
      </w:pPr>
      <w:r>
        <w:rPr>
          <w:rFonts w:hint="eastAsia" w:ascii="黑体" w:hAnsi="黑体" w:eastAsia="黑体" w:cs="黑体"/>
          <w:color w:val="auto"/>
          <w:szCs w:val="32"/>
          <w:highlight w:val="none"/>
        </w:rPr>
        <w:t>第四章  招标内容及采购要求</w:t>
      </w:r>
      <w:r>
        <w:rPr>
          <w:color w:val="auto"/>
          <w:highlight w:val="none"/>
        </w:rPr>
        <w:tab/>
      </w:r>
      <w:r>
        <w:rPr>
          <w:color w:val="auto"/>
          <w:highlight w:val="none"/>
        </w:rPr>
        <w:fldChar w:fldCharType="begin"/>
      </w:r>
      <w:r>
        <w:rPr>
          <w:color w:val="auto"/>
          <w:highlight w:val="none"/>
        </w:rPr>
        <w:instrText xml:space="preserve"> PAGEREF _Toc12809 \h </w:instrText>
      </w:r>
      <w:r>
        <w:rPr>
          <w:color w:val="auto"/>
          <w:highlight w:val="none"/>
        </w:rPr>
        <w:fldChar w:fldCharType="separate"/>
      </w:r>
      <w:r>
        <w:rPr>
          <w:color w:val="auto"/>
          <w:highlight w:val="none"/>
        </w:rPr>
        <w:t>38</w:t>
      </w:r>
      <w:r>
        <w:rPr>
          <w:color w:val="auto"/>
          <w:highlight w:val="none"/>
        </w:rPr>
        <w:fldChar w:fldCharType="end"/>
      </w:r>
    </w:p>
    <w:p>
      <w:pPr>
        <w:pStyle w:val="16"/>
        <w:tabs>
          <w:tab w:val="right" w:leader="dot" w:pos="9072"/>
        </w:tabs>
        <w:spacing w:line="500" w:lineRule="exact"/>
        <w:ind w:firstLine="566" w:firstLineChars="200"/>
        <w:rPr>
          <w:color w:val="auto"/>
          <w:highlight w:val="none"/>
        </w:rPr>
      </w:pPr>
      <w:r>
        <w:rPr>
          <w:rFonts w:hint="eastAsia" w:ascii="黑体" w:hAnsi="黑体" w:eastAsia="黑体" w:cs="黑体"/>
          <w:color w:val="auto"/>
          <w:kern w:val="44"/>
          <w:szCs w:val="32"/>
          <w:highlight w:val="none"/>
        </w:rPr>
        <w:t>第五章  合同基本条款</w:t>
      </w:r>
      <w:r>
        <w:rPr>
          <w:color w:val="auto"/>
          <w:highlight w:val="none"/>
        </w:rPr>
        <w:tab/>
      </w:r>
      <w:r>
        <w:rPr>
          <w:color w:val="auto"/>
          <w:highlight w:val="none"/>
        </w:rPr>
        <w:fldChar w:fldCharType="begin"/>
      </w:r>
      <w:r>
        <w:rPr>
          <w:color w:val="auto"/>
          <w:highlight w:val="none"/>
        </w:rPr>
        <w:instrText xml:space="preserve"> PAGEREF _Toc31055 \h </w:instrText>
      </w:r>
      <w:r>
        <w:rPr>
          <w:color w:val="auto"/>
          <w:highlight w:val="none"/>
        </w:rPr>
        <w:fldChar w:fldCharType="separate"/>
      </w:r>
      <w:r>
        <w:rPr>
          <w:color w:val="auto"/>
          <w:highlight w:val="none"/>
        </w:rPr>
        <w:t>41</w:t>
      </w:r>
      <w:r>
        <w:rPr>
          <w:color w:val="auto"/>
          <w:highlight w:val="none"/>
        </w:rPr>
        <w:fldChar w:fldCharType="end"/>
      </w:r>
    </w:p>
    <w:p>
      <w:pPr>
        <w:pStyle w:val="16"/>
        <w:tabs>
          <w:tab w:val="right" w:leader="dot" w:pos="9072"/>
        </w:tabs>
        <w:spacing w:line="500" w:lineRule="exact"/>
        <w:ind w:firstLine="566" w:firstLineChars="200"/>
        <w:rPr>
          <w:color w:val="auto"/>
          <w:highlight w:val="none"/>
        </w:rPr>
      </w:pPr>
      <w:r>
        <w:rPr>
          <w:rFonts w:hint="eastAsia" w:ascii="黑体" w:hAnsi="黑体" w:eastAsia="黑体" w:cs="黑体"/>
          <w:color w:val="auto"/>
          <w:szCs w:val="32"/>
          <w:highlight w:val="none"/>
        </w:rPr>
        <w:t>第六章  投标文件构成及格式</w:t>
      </w:r>
      <w:r>
        <w:rPr>
          <w:color w:val="auto"/>
          <w:highlight w:val="none"/>
        </w:rPr>
        <w:tab/>
      </w:r>
      <w:r>
        <w:rPr>
          <w:color w:val="auto"/>
          <w:highlight w:val="none"/>
        </w:rPr>
        <w:fldChar w:fldCharType="begin"/>
      </w:r>
      <w:r>
        <w:rPr>
          <w:color w:val="auto"/>
          <w:highlight w:val="none"/>
        </w:rPr>
        <w:instrText xml:space="preserve"> PAGEREF _Toc29064 \h </w:instrText>
      </w:r>
      <w:r>
        <w:rPr>
          <w:color w:val="auto"/>
          <w:highlight w:val="none"/>
        </w:rPr>
        <w:fldChar w:fldCharType="separate"/>
      </w:r>
      <w:r>
        <w:rPr>
          <w:color w:val="auto"/>
          <w:highlight w:val="none"/>
        </w:rPr>
        <w:t>44</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黑体" w:hAnsi="黑体" w:eastAsia="黑体" w:cs="黑体"/>
          <w:bCs w:val="0"/>
          <w:color w:val="auto"/>
          <w:highlight w:val="none"/>
        </w:rPr>
        <w:t>第一部分  资格证明文件</w:t>
      </w:r>
      <w:r>
        <w:rPr>
          <w:color w:val="auto"/>
          <w:highlight w:val="none"/>
        </w:rPr>
        <w:tab/>
      </w:r>
      <w:r>
        <w:rPr>
          <w:color w:val="auto"/>
          <w:highlight w:val="none"/>
        </w:rPr>
        <w:fldChar w:fldCharType="begin"/>
      </w:r>
      <w:r>
        <w:rPr>
          <w:color w:val="auto"/>
          <w:highlight w:val="none"/>
        </w:rPr>
        <w:instrText xml:space="preserve"> PAGEREF _Toc1087 \h </w:instrText>
      </w:r>
      <w:r>
        <w:rPr>
          <w:color w:val="auto"/>
          <w:highlight w:val="none"/>
        </w:rPr>
        <w:fldChar w:fldCharType="separate"/>
      </w:r>
      <w:r>
        <w:rPr>
          <w:color w:val="auto"/>
          <w:highlight w:val="none"/>
        </w:rPr>
        <w:t>47</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黑体" w:hAnsi="黑体" w:eastAsia="黑体" w:cs="黑体"/>
          <w:bCs w:val="0"/>
          <w:color w:val="auto"/>
          <w:highlight w:val="none"/>
        </w:rPr>
        <w:t>第二部分  符合性证明文件</w:t>
      </w:r>
      <w:r>
        <w:rPr>
          <w:color w:val="auto"/>
          <w:highlight w:val="none"/>
        </w:rPr>
        <w:tab/>
      </w:r>
      <w:r>
        <w:rPr>
          <w:color w:val="auto"/>
          <w:highlight w:val="none"/>
        </w:rPr>
        <w:fldChar w:fldCharType="begin"/>
      </w:r>
      <w:r>
        <w:rPr>
          <w:color w:val="auto"/>
          <w:highlight w:val="none"/>
        </w:rPr>
        <w:instrText xml:space="preserve"> PAGEREF _Toc2952 \h </w:instrText>
      </w:r>
      <w:r>
        <w:rPr>
          <w:color w:val="auto"/>
          <w:highlight w:val="none"/>
        </w:rPr>
        <w:fldChar w:fldCharType="separate"/>
      </w:r>
      <w:r>
        <w:rPr>
          <w:color w:val="auto"/>
          <w:highlight w:val="none"/>
        </w:rPr>
        <w:t>53</w:t>
      </w:r>
      <w:r>
        <w:rPr>
          <w:color w:val="auto"/>
          <w:highlight w:val="none"/>
        </w:rPr>
        <w:fldChar w:fldCharType="end"/>
      </w:r>
    </w:p>
    <w:p>
      <w:pPr>
        <w:pStyle w:val="17"/>
        <w:tabs>
          <w:tab w:val="right" w:leader="dot" w:pos="9072"/>
        </w:tabs>
        <w:spacing w:line="500" w:lineRule="exact"/>
        <w:ind w:firstLine="566" w:firstLineChars="200"/>
        <w:rPr>
          <w:color w:val="auto"/>
          <w:highlight w:val="none"/>
        </w:rPr>
      </w:pPr>
      <w:r>
        <w:rPr>
          <w:rFonts w:hint="eastAsia" w:ascii="黑体" w:hAnsi="黑体" w:eastAsia="黑体" w:cs="黑体"/>
          <w:bCs w:val="0"/>
          <w:color w:val="auto"/>
          <w:highlight w:val="none"/>
        </w:rPr>
        <w:t>第三部分  投标方案</w:t>
      </w:r>
      <w:r>
        <w:rPr>
          <w:color w:val="auto"/>
          <w:highlight w:val="none"/>
        </w:rPr>
        <w:tab/>
      </w:r>
      <w:r>
        <w:rPr>
          <w:color w:val="auto"/>
          <w:highlight w:val="none"/>
        </w:rPr>
        <w:fldChar w:fldCharType="begin"/>
      </w:r>
      <w:r>
        <w:rPr>
          <w:color w:val="auto"/>
          <w:highlight w:val="none"/>
        </w:rPr>
        <w:instrText xml:space="preserve"> PAGEREF _Toc31794 \h </w:instrText>
      </w:r>
      <w:r>
        <w:rPr>
          <w:color w:val="auto"/>
          <w:highlight w:val="none"/>
        </w:rPr>
        <w:fldChar w:fldCharType="separate"/>
      </w:r>
      <w:r>
        <w:rPr>
          <w:color w:val="auto"/>
          <w:highlight w:val="none"/>
        </w:rPr>
        <w:t>61</w:t>
      </w:r>
      <w:r>
        <w:rPr>
          <w:color w:val="auto"/>
          <w:highlight w:val="none"/>
        </w:rPr>
        <w:fldChar w:fldCharType="end"/>
      </w:r>
    </w:p>
    <w:p>
      <w:pPr>
        <w:pStyle w:val="12"/>
        <w:tabs>
          <w:tab w:val="right" w:leader="dot" w:pos="9072"/>
        </w:tabs>
        <w:rPr>
          <w:color w:val="auto"/>
          <w:highlight w:val="none"/>
        </w:rPr>
      </w:pPr>
    </w:p>
    <w:p>
      <w:pPr>
        <w:pStyle w:val="17"/>
        <w:tabs>
          <w:tab w:val="right" w:leader="dot" w:pos="9072"/>
        </w:tabs>
        <w:spacing w:after="381" w:afterLines="100" w:line="440" w:lineRule="exact"/>
        <w:ind w:left="567" w:right="566" w:rightChars="200"/>
        <w:jc w:val="center"/>
        <w:rPr>
          <w:rFonts w:ascii="黑体" w:hAnsi="黑体" w:eastAsia="黑体" w:cs="Times New Roman"/>
          <w:color w:val="auto"/>
          <w:sz w:val="32"/>
          <w:szCs w:val="32"/>
          <w:highlight w:val="none"/>
        </w:rPr>
        <w:sectPr>
          <w:headerReference r:id="rId9" w:type="default"/>
          <w:footerReference r:id="rId10" w:type="default"/>
          <w:pgSz w:w="11906" w:h="16838"/>
          <w:pgMar w:top="1417" w:right="1417" w:bottom="1417" w:left="1417" w:header="794" w:footer="992" w:gutter="0"/>
          <w:pgNumType w:start="1"/>
          <w:cols w:space="720" w:num="1"/>
          <w:docGrid w:type="linesAndChars" w:linePitch="381" w:charSpace="704"/>
        </w:sectPr>
      </w:pPr>
      <w:r>
        <w:rPr>
          <w:rFonts w:hint="eastAsia" w:ascii="黑体" w:hAnsi="黑体" w:eastAsia="黑体" w:cs="黑体"/>
          <w:color w:val="auto"/>
          <w:sz w:val="44"/>
          <w:szCs w:val="44"/>
          <w:highlight w:val="none"/>
        </w:rPr>
        <w:fldChar w:fldCharType="end"/>
      </w:r>
    </w:p>
    <w:p>
      <w:pPr>
        <w:pStyle w:val="3"/>
        <w:rPr>
          <w:rFonts w:ascii="黑体" w:hAnsi="黑体" w:eastAsia="黑体" w:cs="Times New Roman"/>
          <w:b w:val="0"/>
          <w:bCs w:val="0"/>
          <w:color w:val="auto"/>
          <w:sz w:val="32"/>
          <w:szCs w:val="32"/>
          <w:highlight w:val="none"/>
        </w:rPr>
      </w:pPr>
      <w:bookmarkStart w:id="19" w:name="_Toc19365"/>
      <w:bookmarkStart w:id="20" w:name="_Toc17606"/>
      <w:bookmarkStart w:id="21" w:name="_Toc21838"/>
      <w:bookmarkStart w:id="22" w:name="_Toc19731"/>
      <w:bookmarkStart w:id="23" w:name="_Toc19278"/>
      <w:bookmarkStart w:id="24" w:name="_Toc18561"/>
      <w:bookmarkStart w:id="25" w:name="_Toc13092"/>
      <w:bookmarkStart w:id="26" w:name="_Toc2717"/>
      <w:bookmarkStart w:id="27" w:name="_Toc20874"/>
      <w:r>
        <w:rPr>
          <w:rFonts w:hint="eastAsia" w:ascii="黑体" w:hAnsi="黑体" w:eastAsia="黑体" w:cs="黑体"/>
          <w:b w:val="0"/>
          <w:bCs w:val="0"/>
          <w:color w:val="auto"/>
          <w:sz w:val="32"/>
          <w:szCs w:val="32"/>
          <w:highlight w:val="none"/>
        </w:rPr>
        <w:t>第一章  投标邀请函</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pPr>
        <w:pStyle w:val="39"/>
        <w:spacing w:line="500" w:lineRule="exact"/>
        <w:ind w:firstLine="567"/>
        <w:rPr>
          <w:rFonts w:ascii="华文仿宋" w:hAnsi="华文仿宋" w:cs="华文仿宋"/>
          <w:color w:val="auto"/>
          <w:highlight w:val="none"/>
        </w:rPr>
      </w:pPr>
      <w:r>
        <w:rPr>
          <w:rFonts w:hint="eastAsia" w:ascii="华文仿宋" w:hAnsi="华文仿宋" w:cs="华文仿宋"/>
          <w:b/>
          <w:bCs/>
          <w:color w:val="auto"/>
          <w:highlight w:val="none"/>
          <w:lang w:eastAsia="zh-CN"/>
        </w:rPr>
        <w:t>陕西铁路工程职业技术学院高新校区学生公寓空调采购项目</w:t>
      </w:r>
      <w:r>
        <w:rPr>
          <w:rFonts w:hint="eastAsia" w:ascii="华文仿宋" w:hAnsi="华文仿宋" w:cs="华文仿宋"/>
          <w:color w:val="auto"/>
          <w:highlight w:val="none"/>
        </w:rPr>
        <w:t>潜在的投标人可在全国公共资源交易平台（陕西省）交易大厅该项目公告下方免费获取招标文件，并于</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06</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 xml:space="preserve"> 09:30:00</w:t>
      </w:r>
      <w:r>
        <w:rPr>
          <w:rFonts w:hint="eastAsia" w:ascii="华文仿宋" w:hAnsi="华文仿宋" w:cs="华文仿宋"/>
          <w:color w:val="auto"/>
          <w:highlight w:val="none"/>
        </w:rPr>
        <w:t xml:space="preserve">前递交投标文件。 </w:t>
      </w:r>
    </w:p>
    <w:p>
      <w:pPr>
        <w:numPr>
          <w:ilvl w:val="0"/>
          <w:numId w:val="2"/>
        </w:numPr>
        <w:spacing w:line="500" w:lineRule="exact"/>
        <w:ind w:firstLine="566" w:firstLineChars="200"/>
        <w:rPr>
          <w:rFonts w:hint="eastAsia" w:ascii="仿宋" w:hAnsi="仿宋" w:eastAsia="仿宋" w:cs="仿宋"/>
          <w:color w:val="auto"/>
          <w:highlight w:val="none"/>
        </w:rPr>
      </w:pPr>
      <w:r>
        <w:rPr>
          <w:rFonts w:hint="eastAsia" w:ascii="华文仿宋" w:hAnsi="华文仿宋" w:cs="华文仿宋"/>
          <w:b/>
          <w:bCs/>
          <w:color w:val="auto"/>
          <w:highlight w:val="none"/>
        </w:rPr>
        <w:t>项目名称</w:t>
      </w:r>
      <w:r>
        <w:rPr>
          <w:rFonts w:hint="eastAsia" w:ascii="华文仿宋" w:hAnsi="华文仿宋" w:cs="华文仿宋"/>
          <w:color w:val="auto"/>
          <w:highlight w:val="none"/>
        </w:rPr>
        <w:t>：</w:t>
      </w:r>
      <w:r>
        <w:rPr>
          <w:rFonts w:hint="eastAsia" w:ascii="华文仿宋" w:hAnsi="华文仿宋" w:cs="华文仿宋"/>
          <w:color w:val="auto"/>
          <w:highlight w:val="none"/>
          <w:lang w:eastAsia="zh-CN"/>
        </w:rPr>
        <w:t>陕西铁路工程职业技术学院高新校区学生公寓空调采购项目</w:t>
      </w:r>
    </w:p>
    <w:p>
      <w:pPr>
        <w:numPr>
          <w:ilvl w:val="0"/>
          <w:numId w:val="2"/>
        </w:numPr>
        <w:spacing w:line="500" w:lineRule="exact"/>
        <w:ind w:firstLine="566" w:firstLineChars="200"/>
        <w:rPr>
          <w:rFonts w:hint="eastAsia" w:ascii="仿宋" w:hAnsi="仿宋" w:eastAsia="仿宋" w:cs="仿宋"/>
          <w:color w:val="auto"/>
          <w:highlight w:val="none"/>
        </w:rPr>
      </w:pPr>
      <w:r>
        <w:rPr>
          <w:rFonts w:hint="eastAsia" w:ascii="华文仿宋" w:hAnsi="华文仿宋" w:cs="华文仿宋"/>
          <w:b/>
          <w:bCs/>
          <w:color w:val="auto"/>
          <w:highlight w:val="none"/>
        </w:rPr>
        <w:t>项目编号</w:t>
      </w:r>
      <w:r>
        <w:rPr>
          <w:rFonts w:hint="eastAsia" w:ascii="华文仿宋" w:hAnsi="华文仿宋" w:cs="华文仿宋"/>
          <w:color w:val="auto"/>
          <w:highlight w:val="none"/>
        </w:rPr>
        <w:t>：</w:t>
      </w:r>
      <w:r>
        <w:rPr>
          <w:rFonts w:hint="eastAsia" w:ascii="仿宋" w:hAnsi="仿宋" w:eastAsia="仿宋" w:cs="仿宋"/>
          <w:color w:val="auto"/>
          <w:highlight w:val="none"/>
        </w:rPr>
        <w:t>SNCG-FM-202</w:t>
      </w:r>
      <w:r>
        <w:rPr>
          <w:rFonts w:hint="eastAsia" w:ascii="仿宋" w:hAnsi="仿宋" w:eastAsia="仿宋" w:cs="仿宋"/>
          <w:color w:val="auto"/>
          <w:highlight w:val="none"/>
          <w:lang w:val="en-US" w:eastAsia="zh-CN"/>
        </w:rPr>
        <w:t>3040</w:t>
      </w:r>
    </w:p>
    <w:p>
      <w:pPr>
        <w:numPr>
          <w:ilvl w:val="0"/>
          <w:numId w:val="2"/>
        </w:numPr>
        <w:spacing w:line="500" w:lineRule="exact"/>
        <w:ind w:firstLine="566" w:firstLineChars="200"/>
        <w:rPr>
          <w:rFonts w:hint="eastAsia" w:ascii="华文仿宋" w:cs="Times New Roman"/>
          <w:color w:val="auto"/>
          <w:highlight w:val="none"/>
        </w:rPr>
      </w:pPr>
      <w:r>
        <w:rPr>
          <w:rFonts w:hint="eastAsia" w:ascii="华文仿宋" w:hAnsi="华文仿宋" w:cs="华文仿宋"/>
          <w:b/>
          <w:bCs/>
          <w:color w:val="auto"/>
          <w:highlight w:val="none"/>
        </w:rPr>
        <w:t>采购人：</w:t>
      </w:r>
      <w:r>
        <w:rPr>
          <w:rFonts w:hint="eastAsia" w:ascii="华文仿宋" w:hAnsi="华文仿宋" w:cs="华文仿宋"/>
          <w:color w:val="auto"/>
          <w:highlight w:val="none"/>
          <w:lang w:eastAsia="zh-CN"/>
        </w:rPr>
        <w:t>陕西铁路工程职业技术学院</w:t>
      </w:r>
    </w:p>
    <w:p>
      <w:pPr>
        <w:pStyle w:val="40"/>
        <w:spacing w:line="500" w:lineRule="exact"/>
        <w:rPr>
          <w:rFonts w:hint="eastAsia" w:ascii="华文仿宋" w:hAnsi="华文仿宋" w:cs="华文仿宋"/>
          <w:color w:val="auto"/>
          <w:highlight w:val="none"/>
        </w:rPr>
      </w:pPr>
      <w:r>
        <w:rPr>
          <w:rFonts w:hint="eastAsia" w:ascii="华文仿宋" w:hAnsi="华文仿宋" w:cs="华文仿宋"/>
          <w:color w:val="auto"/>
          <w:highlight w:val="none"/>
        </w:rPr>
        <w:t>地址：</w:t>
      </w:r>
      <w:r>
        <w:rPr>
          <w:rFonts w:hint="eastAsia" w:ascii="华文仿宋" w:hAnsi="华文仿宋" w:cs="华文仿宋"/>
          <w:color w:val="auto"/>
          <w:highlight w:val="none"/>
          <w:lang w:eastAsia="zh-CN"/>
        </w:rPr>
        <w:t>渭南市高新技术开发区胜利大街西段</w:t>
      </w:r>
      <w:r>
        <w:rPr>
          <w:rFonts w:hint="eastAsia" w:ascii="仿宋" w:hAnsi="仿宋" w:eastAsia="仿宋" w:cs="仿宋"/>
          <w:color w:val="auto"/>
          <w:highlight w:val="none"/>
          <w:lang w:eastAsia="zh-CN"/>
        </w:rPr>
        <w:t>89</w:t>
      </w:r>
      <w:r>
        <w:rPr>
          <w:rFonts w:hint="eastAsia" w:ascii="华文仿宋" w:hAnsi="华文仿宋" w:cs="华文仿宋"/>
          <w:color w:val="auto"/>
          <w:highlight w:val="none"/>
          <w:lang w:eastAsia="zh-CN"/>
        </w:rPr>
        <w:t>号</w:t>
      </w:r>
    </w:p>
    <w:p>
      <w:pPr>
        <w:pStyle w:val="40"/>
        <w:spacing w:line="500" w:lineRule="exact"/>
        <w:rPr>
          <w:rFonts w:ascii="华文仿宋" w:hAnsi="华文仿宋" w:cs="华文仿宋"/>
          <w:color w:val="auto"/>
          <w:highlight w:val="none"/>
        </w:rPr>
      </w:pPr>
      <w:r>
        <w:rPr>
          <w:rFonts w:ascii="华文仿宋" w:hAnsi="华文仿宋" w:cs="华文仿宋"/>
          <w:color w:val="auto"/>
          <w:highlight w:val="none"/>
        </w:rPr>
        <w:t>联系人：</w:t>
      </w:r>
      <w:r>
        <w:rPr>
          <w:rFonts w:hint="eastAsia" w:ascii="华文仿宋" w:hAnsi="华文仿宋" w:cs="华文仿宋"/>
          <w:color w:val="auto"/>
          <w:highlight w:val="none"/>
          <w:lang w:val="en-US" w:eastAsia="zh-CN"/>
        </w:rPr>
        <w:t>黄</w:t>
      </w:r>
      <w:r>
        <w:rPr>
          <w:rFonts w:hint="eastAsia" w:ascii="华文仿宋" w:hAnsi="华文仿宋" w:cs="华文仿宋"/>
          <w:color w:val="auto"/>
          <w:highlight w:val="none"/>
        </w:rPr>
        <w:t>老师</w:t>
      </w:r>
    </w:p>
    <w:p>
      <w:pPr>
        <w:pStyle w:val="40"/>
        <w:spacing w:line="500" w:lineRule="exact"/>
        <w:rPr>
          <w:rFonts w:hint="eastAsia" w:ascii="华文仿宋" w:hAnsi="华文仿宋" w:cs="华文仿宋"/>
          <w:color w:val="auto"/>
          <w:highlight w:val="none"/>
          <w:lang w:val="en-US" w:eastAsia="zh-CN"/>
        </w:rPr>
      </w:pPr>
      <w:r>
        <w:rPr>
          <w:rFonts w:hint="eastAsia" w:ascii="华文仿宋" w:hAnsi="华文仿宋" w:cs="华文仿宋"/>
          <w:color w:val="auto"/>
          <w:highlight w:val="none"/>
        </w:rPr>
        <w:t>联系方式：</w:t>
      </w:r>
      <w:r>
        <w:rPr>
          <w:rFonts w:hint="eastAsia" w:ascii="仿宋" w:hAnsi="仿宋" w:eastAsia="仿宋" w:cs="仿宋"/>
          <w:color w:val="auto"/>
          <w:highlight w:val="none"/>
          <w:lang w:val="en-US" w:eastAsia="zh-CN"/>
        </w:rPr>
        <w:t>0913-2221395</w:t>
      </w:r>
    </w:p>
    <w:p>
      <w:pPr>
        <w:spacing w:line="500" w:lineRule="exact"/>
        <w:ind w:firstLine="566" w:firstLineChars="200"/>
        <w:rPr>
          <w:rFonts w:ascii="华文仿宋" w:cs="Times New Roman"/>
          <w:color w:val="auto"/>
          <w:highlight w:val="none"/>
        </w:rPr>
      </w:pPr>
      <w:r>
        <w:rPr>
          <w:rFonts w:hint="eastAsia" w:ascii="华文仿宋" w:hAnsi="华文仿宋" w:cs="华文仿宋"/>
          <w:b/>
          <w:bCs/>
          <w:color w:val="auto"/>
          <w:highlight w:val="none"/>
        </w:rPr>
        <w:t>四、采购代理机构</w:t>
      </w:r>
      <w:r>
        <w:rPr>
          <w:rFonts w:hint="eastAsia" w:ascii="华文仿宋" w:hAnsi="华文仿宋" w:cs="华文仿宋"/>
          <w:color w:val="auto"/>
          <w:highlight w:val="none"/>
        </w:rPr>
        <w:t>：</w:t>
      </w:r>
      <w:r>
        <w:rPr>
          <w:rFonts w:hint="eastAsia" w:ascii="华文仿宋" w:hAnsi="华文仿宋" w:cs="华文仿宋"/>
          <w:color w:val="auto"/>
          <w:highlight w:val="none"/>
          <w:lang w:val="zh-CN"/>
        </w:rPr>
        <w:t>陕西省省级单位政府采购中心</w:t>
      </w:r>
    </w:p>
    <w:p>
      <w:pPr>
        <w:pStyle w:val="40"/>
        <w:spacing w:line="500" w:lineRule="exact"/>
        <w:rPr>
          <w:rFonts w:ascii="华文仿宋" w:cs="Times New Roman"/>
          <w:color w:val="auto"/>
          <w:highlight w:val="none"/>
        </w:rPr>
      </w:pPr>
      <w:r>
        <w:rPr>
          <w:rFonts w:hint="eastAsia" w:ascii="华文仿宋" w:hAnsi="华文仿宋" w:cs="华文仿宋"/>
          <w:color w:val="auto"/>
          <w:highlight w:val="none"/>
        </w:rPr>
        <w:t>地址：西安市碑林区长安北路</w:t>
      </w:r>
      <w:r>
        <w:rPr>
          <w:rFonts w:ascii="仿宋" w:hAnsi="仿宋" w:eastAsia="仿宋" w:cs="仿宋"/>
          <w:color w:val="auto"/>
          <w:highlight w:val="none"/>
        </w:rPr>
        <w:t>14</w:t>
      </w:r>
      <w:r>
        <w:rPr>
          <w:rFonts w:hint="eastAsia" w:ascii="华文仿宋" w:hAnsi="华文仿宋" w:cs="华文仿宋"/>
          <w:color w:val="auto"/>
          <w:highlight w:val="none"/>
        </w:rPr>
        <w:t>号</w:t>
      </w:r>
    </w:p>
    <w:p>
      <w:pPr>
        <w:pStyle w:val="40"/>
        <w:spacing w:line="500" w:lineRule="exact"/>
        <w:rPr>
          <w:rFonts w:ascii="华文仿宋" w:cs="Times New Roman"/>
          <w:color w:val="auto"/>
          <w:highlight w:val="none"/>
        </w:rPr>
      </w:pPr>
      <w:r>
        <w:rPr>
          <w:rFonts w:hint="eastAsia" w:ascii="华文仿宋" w:hAnsi="华文仿宋" w:cs="华文仿宋"/>
          <w:color w:val="auto"/>
          <w:highlight w:val="none"/>
        </w:rPr>
        <w:t>联系人：陈老师</w:t>
      </w:r>
    </w:p>
    <w:p>
      <w:pPr>
        <w:pStyle w:val="40"/>
        <w:spacing w:line="500" w:lineRule="exact"/>
        <w:rPr>
          <w:rFonts w:ascii="仿宋" w:eastAsia="仿宋" w:cs="Times New Roman"/>
          <w:color w:val="auto"/>
          <w:highlight w:val="none"/>
        </w:rPr>
      </w:pPr>
      <w:r>
        <w:rPr>
          <w:rFonts w:hint="eastAsia" w:ascii="华文仿宋" w:hAnsi="华文仿宋" w:cs="华文仿宋"/>
          <w:color w:val="auto"/>
          <w:highlight w:val="none"/>
        </w:rPr>
        <w:t>联系方式：</w:t>
      </w:r>
      <w:r>
        <w:rPr>
          <w:rFonts w:ascii="仿宋" w:hAnsi="仿宋" w:eastAsia="仿宋" w:cs="仿宋"/>
          <w:color w:val="auto"/>
          <w:highlight w:val="none"/>
        </w:rPr>
        <w:t>029-886612</w:t>
      </w:r>
      <w:r>
        <w:rPr>
          <w:rFonts w:hint="eastAsia" w:ascii="仿宋" w:hAnsi="仿宋" w:eastAsia="仿宋" w:cs="仿宋"/>
          <w:color w:val="auto"/>
          <w:highlight w:val="none"/>
        </w:rPr>
        <w:t>94</w:t>
      </w:r>
    </w:p>
    <w:p>
      <w:pPr>
        <w:spacing w:line="500" w:lineRule="exact"/>
        <w:ind w:firstLine="566" w:firstLineChars="200"/>
        <w:rPr>
          <w:rFonts w:cs="Times New Roman"/>
          <w:color w:val="auto"/>
          <w:highlight w:val="none"/>
        </w:rPr>
      </w:pPr>
      <w:r>
        <w:rPr>
          <w:rFonts w:hint="eastAsia" w:ascii="华文仿宋" w:hAnsi="华文仿宋" w:cs="华文仿宋"/>
          <w:b/>
          <w:bCs/>
          <w:color w:val="auto"/>
          <w:highlight w:val="none"/>
        </w:rPr>
        <w:t>五、招标内容和要求</w:t>
      </w:r>
    </w:p>
    <w:p>
      <w:pPr>
        <w:spacing w:line="500" w:lineRule="exact"/>
        <w:ind w:firstLine="566" w:firstLineChars="200"/>
        <w:rPr>
          <w:rFonts w:eastAsia="仿宋"/>
          <w:color w:val="auto"/>
          <w:highlight w:val="none"/>
        </w:rPr>
      </w:pPr>
      <w:r>
        <w:rPr>
          <w:rFonts w:hint="eastAsia" w:ascii="华文仿宋" w:hAnsi="华文仿宋" w:cs="华文仿宋"/>
          <w:color w:val="auto"/>
          <w:highlight w:val="none"/>
        </w:rPr>
        <w:t>本项目为</w:t>
      </w:r>
      <w:r>
        <w:rPr>
          <w:rFonts w:hint="eastAsia" w:ascii="华文仿宋" w:hAnsi="华文仿宋" w:cs="华文仿宋"/>
          <w:color w:val="auto"/>
          <w:highlight w:val="none"/>
          <w:lang w:eastAsia="zh-CN"/>
        </w:rPr>
        <w:t>陕西铁路工程职业技术学院高新校区学生公寓空调采购项目</w:t>
      </w:r>
      <w:r>
        <w:rPr>
          <w:rFonts w:hint="eastAsia" w:ascii="仿宋" w:hAnsi="仿宋" w:eastAsia="仿宋" w:cs="仿宋"/>
          <w:color w:val="auto"/>
          <w:highlight w:val="none"/>
        </w:rPr>
        <w:t>（详见招标文件第四章〈招标内容及采购要求〉）。</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b/>
          <w:color w:val="auto"/>
          <w:highlight w:val="none"/>
        </w:rPr>
        <w:t>六、资金来源</w:t>
      </w:r>
      <w:r>
        <w:rPr>
          <w:rFonts w:hint="eastAsia" w:ascii="华文仿宋" w:hAnsi="华文仿宋" w:cs="华文仿宋"/>
          <w:color w:val="auto"/>
          <w:highlight w:val="none"/>
        </w:rPr>
        <w:t>：预算内</w:t>
      </w:r>
    </w:p>
    <w:p>
      <w:pPr>
        <w:spacing w:line="500" w:lineRule="exact"/>
        <w:ind w:firstLine="566" w:firstLineChars="200"/>
        <w:textAlignment w:val="baseline"/>
        <w:rPr>
          <w:rFonts w:ascii="华文仿宋" w:hAnsi="华文仿宋" w:cs="华文仿宋"/>
          <w:color w:val="auto"/>
          <w:highlight w:val="none"/>
        </w:rPr>
      </w:pPr>
      <w:r>
        <w:rPr>
          <w:rFonts w:hint="eastAsia" w:ascii="华文仿宋" w:hAnsi="华文仿宋" w:cs="华文仿宋"/>
          <w:b/>
          <w:bCs/>
          <w:color w:val="auto"/>
          <w:highlight w:val="none"/>
        </w:rPr>
        <w:t>七、采购预算：</w:t>
      </w:r>
      <w:r>
        <w:rPr>
          <w:rFonts w:hint="eastAsia" w:ascii="仿宋" w:hAnsi="仿宋" w:eastAsia="仿宋" w:cs="仿宋"/>
          <w:color w:val="auto"/>
          <w:highlight w:val="none"/>
          <w:lang w:val="en-US" w:eastAsia="zh-CN"/>
        </w:rPr>
        <w:t>406.77</w:t>
      </w:r>
      <w:r>
        <w:rPr>
          <w:rFonts w:hint="eastAsia" w:ascii="仿宋" w:hAnsi="仿宋" w:eastAsia="仿宋" w:cs="仿宋"/>
          <w:color w:val="auto"/>
          <w:highlight w:val="none"/>
        </w:rPr>
        <w:t>万</w:t>
      </w:r>
      <w:r>
        <w:rPr>
          <w:rFonts w:hint="eastAsia" w:ascii="华文仿宋" w:hAnsi="华文仿宋" w:cs="华文仿宋"/>
          <w:color w:val="auto"/>
          <w:highlight w:val="none"/>
        </w:rPr>
        <w:t>元</w:t>
      </w:r>
    </w:p>
    <w:p>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八、所属行业：</w:t>
      </w:r>
      <w:r>
        <w:rPr>
          <w:rFonts w:hint="eastAsia" w:ascii="华文仿宋" w:hAnsi="华文仿宋" w:cs="华文仿宋"/>
          <w:color w:val="auto"/>
          <w:highlight w:val="none"/>
        </w:rPr>
        <w:t>工业</w:t>
      </w:r>
    </w:p>
    <w:p>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九、项目属性：</w:t>
      </w:r>
      <w:r>
        <w:rPr>
          <w:rFonts w:hint="eastAsia" w:ascii="华文仿宋" w:hAnsi="华文仿宋" w:cs="华文仿宋"/>
          <w:color w:val="auto"/>
          <w:highlight w:val="none"/>
        </w:rPr>
        <w:t>货物类</w:t>
      </w:r>
    </w:p>
    <w:p>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十、投标人资格要求</w:t>
      </w:r>
    </w:p>
    <w:p>
      <w:pPr>
        <w:spacing w:line="500" w:lineRule="exact"/>
        <w:ind w:firstLine="566" w:firstLineChars="200"/>
        <w:rPr>
          <w:rFonts w:ascii="华文仿宋" w:cs="Times New Roman"/>
          <w:color w:val="auto"/>
          <w:kern w:val="0"/>
          <w:highlight w:val="none"/>
          <w:lang w:val="zh-CN"/>
        </w:rPr>
      </w:pPr>
      <w:r>
        <w:rPr>
          <w:rFonts w:hint="eastAsia" w:ascii="华文仿宋" w:hAnsi="华文仿宋" w:cs="华文仿宋"/>
          <w:color w:val="auto"/>
          <w:highlight w:val="none"/>
        </w:rPr>
        <w:t>符合《中华人民共和国政府采购法》第二十二条的规定，</w:t>
      </w:r>
      <w:r>
        <w:rPr>
          <w:rFonts w:hint="eastAsia" w:ascii="华文仿宋" w:hAnsi="华文仿宋" w:cs="华文仿宋"/>
          <w:color w:val="auto"/>
          <w:kern w:val="0"/>
          <w:highlight w:val="none"/>
          <w:lang w:val="zh-CN"/>
        </w:rPr>
        <w:t>并提供下列材料：</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、营业执照等主体资格证明文件：提供有效存续的企业营业执照（副本）</w:t>
      </w:r>
      <w:r>
        <w:rPr>
          <w:rFonts w:ascii="华文仿宋" w:hAnsi="华文仿宋" w:cs="华文仿宋"/>
          <w:color w:val="auto"/>
          <w:highlight w:val="none"/>
        </w:rPr>
        <w:t>/</w:t>
      </w:r>
      <w:r>
        <w:rPr>
          <w:rFonts w:hint="eastAsia" w:ascii="华文仿宋" w:hAnsi="华文仿宋" w:cs="华文仿宋"/>
          <w:color w:val="auto"/>
          <w:highlight w:val="none"/>
        </w:rPr>
        <w:t>事业单位法人证书</w:t>
      </w:r>
      <w:r>
        <w:rPr>
          <w:rFonts w:ascii="华文仿宋" w:hAnsi="华文仿宋" w:cs="华文仿宋"/>
          <w:color w:val="auto"/>
          <w:highlight w:val="none"/>
        </w:rPr>
        <w:t>/</w:t>
      </w:r>
      <w:r>
        <w:rPr>
          <w:rFonts w:hint="eastAsia" w:ascii="华文仿宋" w:hAnsi="华文仿宋" w:cs="华文仿宋"/>
          <w:color w:val="auto"/>
          <w:highlight w:val="none"/>
        </w:rPr>
        <w:t>专业服务机构执业许可证</w:t>
      </w:r>
      <w:r>
        <w:rPr>
          <w:rFonts w:ascii="华文仿宋" w:hAnsi="华文仿宋" w:cs="华文仿宋"/>
          <w:color w:val="auto"/>
          <w:highlight w:val="none"/>
        </w:rPr>
        <w:t>/</w:t>
      </w:r>
      <w:r>
        <w:rPr>
          <w:rFonts w:hint="eastAsia" w:ascii="华文仿宋" w:hAnsi="华文仿宋" w:cs="华文仿宋"/>
          <w:color w:val="auto"/>
          <w:highlight w:val="none"/>
        </w:rPr>
        <w:t>民办非企业单位登记证书。</w:t>
      </w:r>
    </w:p>
    <w:p>
      <w:pPr>
        <w:spacing w:line="500" w:lineRule="exact"/>
        <w:ind w:firstLine="566" w:firstLineChars="200"/>
        <w:rPr>
          <w:rFonts w:ascii="华文仿宋" w:hAnsi="华文仿宋" w:cs="华文仿宋"/>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、财务状况报告：提供</w:t>
      </w:r>
      <w:r>
        <w:rPr>
          <w:rFonts w:hint="eastAsia" w:ascii="仿宋" w:hAnsi="仿宋" w:eastAsia="仿宋" w:cs="仿宋"/>
          <w:b/>
          <w:bCs/>
          <w:color w:val="auto"/>
          <w:highlight w:val="none"/>
        </w:rPr>
        <w:t>202</w:t>
      </w:r>
      <w:r>
        <w:rPr>
          <w:rFonts w:hint="eastAsia" w:ascii="仿宋" w:hAnsi="仿宋" w:eastAsia="仿宋" w:cs="仿宋"/>
          <w:b/>
          <w:bCs/>
          <w:color w:val="auto"/>
          <w:highlight w:val="none"/>
          <w:lang w:val="en-US" w:eastAsia="zh-CN"/>
        </w:rPr>
        <w:t>1</w:t>
      </w:r>
      <w:r>
        <w:rPr>
          <w:rFonts w:hint="eastAsia" w:ascii="华文仿宋" w:hAnsi="华文仿宋" w:cs="华文仿宋"/>
          <w:b/>
          <w:bCs/>
          <w:color w:val="auto"/>
          <w:highlight w:val="none"/>
        </w:rPr>
        <w:t>年度或</w:t>
      </w:r>
      <w:r>
        <w:rPr>
          <w:rFonts w:hint="eastAsia" w:ascii="仿宋" w:hAnsi="仿宋" w:eastAsia="仿宋" w:cs="仿宋"/>
          <w:b/>
          <w:bCs/>
          <w:color w:val="auto"/>
          <w:highlight w:val="none"/>
        </w:rPr>
        <w:t>202</w:t>
      </w:r>
      <w:r>
        <w:rPr>
          <w:rFonts w:hint="eastAsia" w:ascii="仿宋" w:hAnsi="仿宋" w:eastAsia="仿宋" w:cs="仿宋"/>
          <w:b/>
          <w:bCs/>
          <w:color w:val="auto"/>
          <w:highlight w:val="none"/>
          <w:lang w:val="en-US" w:eastAsia="zh-CN"/>
        </w:rPr>
        <w:t>2</w:t>
      </w:r>
      <w:r>
        <w:rPr>
          <w:rFonts w:hint="eastAsia" w:ascii="华文仿宋" w:hAnsi="华文仿宋" w:cs="华文仿宋"/>
          <w:b/>
          <w:bCs/>
          <w:color w:val="auto"/>
          <w:highlight w:val="none"/>
        </w:rPr>
        <w:t>年度</w:t>
      </w:r>
      <w:r>
        <w:rPr>
          <w:rFonts w:hint="eastAsia" w:ascii="华文仿宋" w:hAnsi="华文仿宋" w:cs="华文仿宋"/>
          <w:color w:val="auto"/>
          <w:highlight w:val="none"/>
        </w:rPr>
        <w:t>经审计的财务报告（包括</w:t>
      </w:r>
      <w:r>
        <w:rPr>
          <w:rFonts w:hint="eastAsia" w:ascii="华文仿宋" w:hAnsi="华文仿宋" w:cs="华文仿宋"/>
          <w:color w:val="auto"/>
          <w:highlight w:val="none"/>
          <w:lang w:eastAsia="zh-CN"/>
        </w:rPr>
        <w:t>“四表一注”，即</w:t>
      </w:r>
      <w:r>
        <w:rPr>
          <w:rFonts w:hint="eastAsia" w:ascii="华文仿宋" w:hAnsi="华文仿宋" w:cs="华文仿宋"/>
          <w:color w:val="auto"/>
          <w:highlight w:val="none"/>
        </w:rPr>
        <w:t>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3、社保缴纳证明：提供递交投标文件截止之日前一年内任意一个月的社会保障资金缴存单据或社保机构开具的社会保险参保缴费情况证明。依法不需要缴纳社会保障资金的投标人应提供相关证明文件。</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4、税收缴纳证明：提供递交投标文件截止之日前一年内任意一个月的依法缴纳税收的相关凭据</w:t>
      </w:r>
      <w:r>
        <w:rPr>
          <w:rFonts w:hint="eastAsia" w:ascii="华文仿宋" w:hAnsi="华文仿宋" w:cs="华文仿宋"/>
          <w:b/>
          <w:bCs/>
          <w:color w:val="auto"/>
          <w:highlight w:val="none"/>
        </w:rPr>
        <w:t>（时间以税款所属日期为准、税种须同时包含增值税和企业所得税）</w:t>
      </w:r>
      <w:r>
        <w:rPr>
          <w:rFonts w:hint="eastAsia" w:ascii="华文仿宋" w:hAnsi="华文仿宋" w:cs="华文仿宋"/>
          <w:color w:val="auto"/>
          <w:highlight w:val="none"/>
        </w:rPr>
        <w:t>，凭据应有税务机关或代收机关的公章或业务专用章。依法免税或无须缴纳税收的投标人，应提供相应证明文件。</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5、信用记录：提供《供应商信用记录书面声明函》（按格式填写，提供原件）。经查，投标人未被列入“信用中国”网站记录的“失信被执行人”或“重大税收违法案件当事人”名单；不处于“中国政府采购网”记录的“政府采购严重违法失信行为记录名单”中的禁止参加政府采购活动期间</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6、控股管理关系：提供直接控股和管理关系清单。若与其他投标人存在单位负责人为同一人或者存在直接控股、管理关系的，则投标无效。</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7、书面声明：提供书面声明，包括声明具有履行合同所必需的设备和专业技术能力；未为本项目提供整体设计、规范编制或者项目管理、监理、检测等服务。</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8、法定代表人授权委托书：法定代表人参加投标的，须提供本人身份证复印件（附在资格证明文件中）；法定代表人授权他人参加投标的，须提供法定代表人授权委托书。招标文件中凡是需要法定代表人盖章之处，非法人单位的负责人均参照执行。</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lang w:eastAsia="zh-CN"/>
        </w:rPr>
        <w:t>法人的</w:t>
      </w:r>
      <w:r>
        <w:rPr>
          <w:rFonts w:hint="eastAsia" w:ascii="华文仿宋" w:hAnsi="华文仿宋" w:cs="华文仿宋"/>
          <w:color w:val="auto"/>
          <w:highlight w:val="none"/>
        </w:rPr>
        <w:t>分支机构参与投标时，</w:t>
      </w:r>
      <w:r>
        <w:rPr>
          <w:rFonts w:hint="eastAsia" w:ascii="华文仿宋" w:hAnsi="华文仿宋" w:cs="华文仿宋"/>
          <w:color w:val="auto"/>
          <w:highlight w:val="none"/>
          <w:lang w:eastAsia="zh-CN"/>
        </w:rPr>
        <w:t>除提供《</w:t>
      </w:r>
      <w:r>
        <w:rPr>
          <w:rFonts w:hint="eastAsia" w:ascii="华文仿宋" w:hAnsi="华文仿宋" w:cs="华文仿宋"/>
          <w:color w:val="auto"/>
          <w:highlight w:val="none"/>
        </w:rPr>
        <w:t>法定代表人授权委托书</w:t>
      </w:r>
      <w:r>
        <w:rPr>
          <w:rFonts w:hint="eastAsia" w:ascii="华文仿宋" w:hAnsi="华文仿宋" w:cs="华文仿宋"/>
          <w:color w:val="auto"/>
          <w:highlight w:val="none"/>
          <w:lang w:eastAsia="zh-CN"/>
        </w:rPr>
        <w:t>》外，还须同时提供总公司给分支机构</w:t>
      </w:r>
      <w:r>
        <w:rPr>
          <w:rFonts w:hint="eastAsia" w:ascii="华文仿宋" w:hAnsi="华文仿宋" w:cs="华文仿宋"/>
          <w:color w:val="auto"/>
          <w:highlight w:val="none"/>
        </w:rPr>
        <w:t>出具的授权书。</w:t>
      </w:r>
    </w:p>
    <w:p>
      <w:pPr>
        <w:spacing w:line="500" w:lineRule="exact"/>
        <w:ind w:firstLine="566" w:firstLineChars="200"/>
        <w:rPr>
          <w:rFonts w:ascii="华文仿宋" w:hAnsi="华文仿宋" w:cs="华文仿宋"/>
          <w:color w:val="auto"/>
          <w:highlight w:val="none"/>
        </w:rPr>
      </w:pPr>
      <w:r>
        <w:rPr>
          <w:rFonts w:hint="eastAsia" w:ascii="仿宋" w:hAnsi="仿宋" w:eastAsia="仿宋" w:cs="仿宋"/>
          <w:b/>
          <w:bCs/>
          <w:color w:val="auto"/>
          <w:highlight w:val="none"/>
        </w:rPr>
        <w:t>9</w:t>
      </w:r>
      <w:r>
        <w:rPr>
          <w:rFonts w:hint="eastAsia" w:ascii="华文仿宋" w:hAnsi="华文仿宋" w:cs="华文仿宋"/>
          <w:b/>
          <w:bCs/>
          <w:color w:val="auto"/>
          <w:highlight w:val="none"/>
        </w:rPr>
        <w:t>、本项目</w:t>
      </w:r>
      <w:r>
        <w:rPr>
          <w:rFonts w:hint="eastAsia" w:ascii="华文仿宋" w:hAnsi="华文仿宋" w:cs="华文仿宋"/>
          <w:b/>
          <w:bCs/>
          <w:color w:val="auto"/>
          <w:kern w:val="0"/>
          <w:highlight w:val="none"/>
        </w:rPr>
        <w:t>不接受</w:t>
      </w:r>
      <w:r>
        <w:rPr>
          <w:rFonts w:hint="eastAsia" w:ascii="华文仿宋" w:hAnsi="华文仿宋" w:cs="华文仿宋"/>
          <w:b/>
          <w:bCs/>
          <w:color w:val="auto"/>
          <w:highlight w:val="none"/>
        </w:rPr>
        <w:t>联合体投标，不允许分包。</w:t>
      </w:r>
      <w:r>
        <w:rPr>
          <w:rFonts w:hint="eastAsia" w:ascii="华文仿宋" w:hAnsi="华文仿宋" w:cs="华文仿宋"/>
          <w:color w:val="auto"/>
          <w:highlight w:val="none"/>
        </w:rPr>
        <w:t>投标人提供《非联合体不分包投标声明》，视为独立投标，不分包。</w:t>
      </w:r>
    </w:p>
    <w:p>
      <w:pPr>
        <w:spacing w:line="44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备注：1、以上资格要求均为必备资格，需提供相关证明文件并加盖投标人公章（如相关证明材料由第三方出具，应有第三方公章），缺少其中任何一项，其投标文件视为无效文件。</w:t>
      </w:r>
    </w:p>
    <w:p>
      <w:pPr>
        <w:spacing w:line="44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2、《供应商信用记录书面声明函》、《法定代表人授权委托书》《书面声明》、《残疾人福利性单位声明函》、《非联合体不分包投标声明》应按招标文件第六章第一部分给定的格式填写。</w:t>
      </w:r>
    </w:p>
    <w:p>
      <w:pPr>
        <w:spacing w:line="44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法人的</w:t>
      </w:r>
      <w:r>
        <w:rPr>
          <w:rFonts w:hint="eastAsia" w:ascii="宋体" w:hAnsi="宋体" w:eastAsia="宋体" w:cs="宋体"/>
          <w:color w:val="auto"/>
          <w:sz w:val="21"/>
          <w:szCs w:val="21"/>
          <w:highlight w:val="none"/>
        </w:rPr>
        <w:t>分支机构参与投标时，投标文件中应附</w:t>
      </w:r>
      <w:r>
        <w:rPr>
          <w:rFonts w:hint="eastAsia" w:ascii="宋体" w:hAnsi="宋体" w:eastAsia="宋体" w:cs="宋体"/>
          <w:color w:val="auto"/>
          <w:sz w:val="21"/>
          <w:szCs w:val="21"/>
          <w:highlight w:val="none"/>
          <w:lang w:eastAsia="zh-CN"/>
        </w:rPr>
        <w:t>总公司给分支机构</w:t>
      </w:r>
      <w:r>
        <w:rPr>
          <w:rFonts w:hint="eastAsia" w:ascii="宋体" w:hAnsi="宋体" w:eastAsia="宋体" w:cs="宋体"/>
          <w:color w:val="auto"/>
          <w:sz w:val="21"/>
          <w:szCs w:val="21"/>
          <w:highlight w:val="none"/>
        </w:rPr>
        <w:t>出具的授权书。</w:t>
      </w:r>
      <w:r>
        <w:rPr>
          <w:rFonts w:hint="eastAsia" w:ascii="宋体" w:hAnsi="宋体" w:eastAsia="宋体" w:cs="宋体"/>
          <w:color w:val="auto"/>
          <w:sz w:val="21"/>
          <w:szCs w:val="21"/>
          <w:highlight w:val="none"/>
          <w:lang w:eastAsia="zh-CN"/>
        </w:rPr>
        <w:t>授权书附在《法定代表人授权委托书》后，如无授权，将被视为无效文件。</w:t>
      </w:r>
      <w:r>
        <w:rPr>
          <w:rFonts w:hint="eastAsia" w:ascii="宋体" w:hAnsi="宋体" w:eastAsia="宋体" w:cs="宋体"/>
          <w:color w:val="auto"/>
          <w:sz w:val="21"/>
          <w:szCs w:val="21"/>
          <w:highlight w:val="none"/>
        </w:rPr>
        <w:t>法人只能授权一家分支机构参与投标，且不能与分支机构同时参与投标。</w:t>
      </w:r>
    </w:p>
    <w:p>
      <w:pPr>
        <w:spacing w:line="44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4、事业单位法人参与投标可不提供财务状况报告、社会保障资金缴纳证明及税收缴纳证明。</w:t>
      </w:r>
    </w:p>
    <w:p>
      <w:pPr>
        <w:spacing w:line="500" w:lineRule="exact"/>
        <w:ind w:firstLine="566" w:firstLineChars="200"/>
        <w:rPr>
          <w:rFonts w:cs="Times New Roman"/>
          <w:b/>
          <w:bCs/>
          <w:color w:val="auto"/>
          <w:highlight w:val="none"/>
        </w:rPr>
      </w:pPr>
      <w:r>
        <w:rPr>
          <w:rFonts w:hint="eastAsia" w:ascii="华文仿宋" w:hAnsi="华文仿宋" w:cs="华文仿宋"/>
          <w:b/>
          <w:bCs/>
          <w:color w:val="auto"/>
          <w:highlight w:val="none"/>
        </w:rPr>
        <w:t>十一</w:t>
      </w:r>
      <w:r>
        <w:rPr>
          <w:rFonts w:hint="eastAsia" w:cs="华文仿宋"/>
          <w:b/>
          <w:bCs/>
          <w:color w:val="auto"/>
          <w:highlight w:val="none"/>
        </w:rPr>
        <w:t>、执行的其他政府采购政策</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、《关于在政府采购活动中查询及使用信用记录有关问题的通知》（财库</w:t>
      </w:r>
      <w:r>
        <w:rPr>
          <w:rFonts w:hint="eastAsia" w:ascii="仿宋" w:hAnsi="仿宋" w:eastAsia="仿宋" w:cs="仿宋"/>
          <w:color w:val="auto"/>
          <w:highlight w:val="none"/>
        </w:rPr>
        <w:t>〔</w:t>
      </w:r>
      <w:r>
        <w:rPr>
          <w:rFonts w:ascii="仿宋" w:hAnsi="仿宋" w:eastAsia="仿宋" w:cs="仿宋"/>
          <w:color w:val="auto"/>
          <w:highlight w:val="none"/>
        </w:rPr>
        <w:t>2016</w:t>
      </w:r>
      <w:r>
        <w:rPr>
          <w:rFonts w:hint="eastAsia" w:ascii="仿宋" w:hAnsi="仿宋" w:eastAsia="仿宋" w:cs="仿宋"/>
          <w:color w:val="auto"/>
          <w:highlight w:val="none"/>
        </w:rPr>
        <w:t>〕</w:t>
      </w:r>
      <w:r>
        <w:rPr>
          <w:rFonts w:ascii="仿宋" w:hAnsi="仿宋" w:eastAsia="仿宋" w:cs="仿宋"/>
          <w:color w:val="auto"/>
          <w:highlight w:val="none"/>
        </w:rPr>
        <w:t>125</w:t>
      </w:r>
      <w:r>
        <w:rPr>
          <w:rFonts w:hint="eastAsia" w:ascii="华文仿宋" w:hAnsi="华文仿宋" w:cs="华文仿宋"/>
          <w:color w:val="auto"/>
          <w:highlight w:val="none"/>
        </w:rPr>
        <w:t>号）。</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、《政府采购促进中小企业发展管理办法》（财库</w:t>
      </w:r>
      <w:r>
        <w:rPr>
          <w:rFonts w:hint="eastAsia" w:ascii="仿宋" w:hAnsi="仿宋" w:eastAsia="仿宋" w:cs="仿宋"/>
          <w:color w:val="auto"/>
          <w:highlight w:val="none"/>
        </w:rPr>
        <w:t>〔</w:t>
      </w:r>
      <w:r>
        <w:rPr>
          <w:rFonts w:ascii="仿宋" w:hAnsi="仿宋" w:eastAsia="仿宋" w:cs="仿宋"/>
          <w:color w:val="auto"/>
          <w:highlight w:val="none"/>
        </w:rPr>
        <w:t>20</w:t>
      </w:r>
      <w:r>
        <w:rPr>
          <w:rFonts w:hint="eastAsia" w:ascii="仿宋" w:hAnsi="仿宋" w:eastAsia="仿宋" w:cs="仿宋"/>
          <w:color w:val="auto"/>
          <w:highlight w:val="none"/>
        </w:rPr>
        <w:t>20〕46</w:t>
      </w:r>
      <w:r>
        <w:rPr>
          <w:rFonts w:hint="eastAsia" w:ascii="华文仿宋" w:hAnsi="华文仿宋" w:cs="华文仿宋"/>
          <w:color w:val="auto"/>
          <w:highlight w:val="none"/>
        </w:rPr>
        <w:t>号）、《关于政府采购支持监狱企业发展有关问题的通知》（财库</w:t>
      </w:r>
      <w:r>
        <w:rPr>
          <w:rFonts w:hint="eastAsia" w:ascii="仿宋" w:hAnsi="仿宋" w:eastAsia="仿宋" w:cs="仿宋"/>
          <w:color w:val="auto"/>
          <w:highlight w:val="none"/>
        </w:rPr>
        <w:t>〔</w:t>
      </w:r>
      <w:r>
        <w:rPr>
          <w:rFonts w:ascii="仿宋" w:hAnsi="仿宋" w:eastAsia="仿宋" w:cs="仿宋"/>
          <w:color w:val="auto"/>
          <w:highlight w:val="none"/>
        </w:rPr>
        <w:t>2014</w:t>
      </w:r>
      <w:r>
        <w:rPr>
          <w:rFonts w:hint="eastAsia" w:ascii="仿宋" w:hAnsi="仿宋" w:eastAsia="仿宋" w:cs="仿宋"/>
          <w:color w:val="auto"/>
          <w:highlight w:val="none"/>
        </w:rPr>
        <w:t>〕</w:t>
      </w:r>
      <w:r>
        <w:rPr>
          <w:rFonts w:ascii="仿宋" w:hAnsi="仿宋" w:eastAsia="仿宋" w:cs="仿宋"/>
          <w:color w:val="auto"/>
          <w:highlight w:val="none"/>
        </w:rPr>
        <w:t>68</w:t>
      </w:r>
      <w:r>
        <w:rPr>
          <w:rFonts w:hint="eastAsia" w:ascii="华文仿宋" w:hAnsi="华文仿宋" w:cs="华文仿宋"/>
          <w:color w:val="auto"/>
          <w:highlight w:val="none"/>
        </w:rPr>
        <w:t>号）以及《关于促进残疾人就业政府采购政策的通知》（财库</w:t>
      </w:r>
      <w:r>
        <w:rPr>
          <w:rFonts w:hint="eastAsia" w:ascii="仿宋" w:hAnsi="仿宋" w:eastAsia="仿宋" w:cs="仿宋"/>
          <w:color w:val="auto"/>
          <w:highlight w:val="none"/>
        </w:rPr>
        <w:t>〔</w:t>
      </w:r>
      <w:r>
        <w:rPr>
          <w:rFonts w:ascii="仿宋" w:hAnsi="仿宋" w:eastAsia="仿宋" w:cs="仿宋"/>
          <w:color w:val="auto"/>
          <w:highlight w:val="none"/>
        </w:rPr>
        <w:t>2017</w:t>
      </w:r>
      <w:r>
        <w:rPr>
          <w:rFonts w:hint="eastAsia" w:ascii="仿宋" w:hAnsi="仿宋" w:eastAsia="仿宋" w:cs="仿宋"/>
          <w:color w:val="auto"/>
          <w:highlight w:val="none"/>
        </w:rPr>
        <w:t>〕</w:t>
      </w:r>
      <w:r>
        <w:rPr>
          <w:rFonts w:ascii="仿宋" w:hAnsi="仿宋" w:eastAsia="仿宋" w:cs="仿宋"/>
          <w:color w:val="auto"/>
          <w:highlight w:val="none"/>
        </w:rPr>
        <w:t>141</w:t>
      </w:r>
      <w:r>
        <w:rPr>
          <w:rFonts w:hint="eastAsia" w:ascii="华文仿宋" w:hAnsi="华文仿宋" w:cs="华文仿宋"/>
          <w:color w:val="auto"/>
          <w:highlight w:val="none"/>
        </w:rPr>
        <w:t>号）。</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、财政部、国家发展改革委《关于印发〈节能产品政府采购实施意见〉的通知》（财库</w:t>
      </w:r>
      <w:r>
        <w:rPr>
          <w:rFonts w:hint="eastAsia" w:ascii="仿宋" w:hAnsi="仿宋" w:eastAsia="仿宋" w:cs="仿宋"/>
          <w:color w:val="auto"/>
          <w:highlight w:val="none"/>
        </w:rPr>
        <w:t>〔</w:t>
      </w:r>
      <w:r>
        <w:rPr>
          <w:rFonts w:ascii="仿宋" w:hAnsi="仿宋" w:eastAsia="仿宋" w:cs="仿宋"/>
          <w:color w:val="auto"/>
          <w:highlight w:val="none"/>
        </w:rPr>
        <w:t>2004</w:t>
      </w:r>
      <w:r>
        <w:rPr>
          <w:rFonts w:hint="eastAsia" w:ascii="仿宋" w:hAnsi="仿宋" w:eastAsia="仿宋" w:cs="仿宋"/>
          <w:color w:val="auto"/>
          <w:highlight w:val="none"/>
        </w:rPr>
        <w:t>〕</w:t>
      </w:r>
      <w:r>
        <w:rPr>
          <w:rFonts w:ascii="仿宋" w:hAnsi="仿宋" w:eastAsia="仿宋" w:cs="仿宋"/>
          <w:color w:val="auto"/>
          <w:highlight w:val="none"/>
        </w:rPr>
        <w:t>185</w:t>
      </w:r>
      <w:r>
        <w:rPr>
          <w:rFonts w:hint="eastAsia" w:ascii="华文仿宋" w:hAnsi="华文仿宋" w:cs="华文仿宋"/>
          <w:color w:val="auto"/>
          <w:highlight w:val="none"/>
        </w:rPr>
        <w:t>号）、财政部、国家环保总局联合印发《关于环境标志产品政府采购实施的意见》（财库</w:t>
      </w:r>
      <w:r>
        <w:rPr>
          <w:rFonts w:hint="eastAsia" w:ascii="仿宋" w:hAnsi="仿宋" w:eastAsia="仿宋" w:cs="仿宋"/>
          <w:color w:val="auto"/>
          <w:highlight w:val="none"/>
        </w:rPr>
        <w:t>〔</w:t>
      </w:r>
      <w:r>
        <w:rPr>
          <w:rFonts w:ascii="仿宋" w:hAnsi="仿宋" w:eastAsia="仿宋" w:cs="仿宋"/>
          <w:color w:val="auto"/>
          <w:highlight w:val="none"/>
        </w:rPr>
        <w:t>2006</w:t>
      </w:r>
      <w:r>
        <w:rPr>
          <w:rFonts w:hint="eastAsia" w:ascii="仿宋" w:hAnsi="仿宋" w:eastAsia="仿宋" w:cs="仿宋"/>
          <w:color w:val="auto"/>
          <w:highlight w:val="none"/>
        </w:rPr>
        <w:t>〕</w:t>
      </w:r>
      <w:r>
        <w:rPr>
          <w:rFonts w:ascii="仿宋" w:hAnsi="仿宋" w:eastAsia="仿宋" w:cs="仿宋"/>
          <w:color w:val="auto"/>
          <w:highlight w:val="none"/>
        </w:rPr>
        <w:t>90</w:t>
      </w:r>
      <w:r>
        <w:rPr>
          <w:rFonts w:hint="eastAsia" w:ascii="华文仿宋" w:hAnsi="华文仿宋" w:cs="华文仿宋"/>
          <w:color w:val="auto"/>
          <w:highlight w:val="none"/>
        </w:rPr>
        <w:t>号）、国务院办公厅《关于建立政府强制采购节能产品制度的通知》（国办发</w:t>
      </w:r>
      <w:r>
        <w:rPr>
          <w:rFonts w:hint="eastAsia" w:ascii="仿宋" w:hAnsi="仿宋" w:eastAsia="仿宋" w:cs="仿宋"/>
          <w:color w:val="auto"/>
          <w:highlight w:val="none"/>
        </w:rPr>
        <w:t>〔</w:t>
      </w:r>
      <w:r>
        <w:rPr>
          <w:rFonts w:ascii="仿宋" w:hAnsi="仿宋" w:eastAsia="仿宋" w:cs="仿宋"/>
          <w:color w:val="auto"/>
          <w:highlight w:val="none"/>
        </w:rPr>
        <w:t>2007</w:t>
      </w:r>
      <w:r>
        <w:rPr>
          <w:rFonts w:hint="eastAsia" w:ascii="仿宋" w:hAnsi="仿宋" w:eastAsia="仿宋" w:cs="仿宋"/>
          <w:color w:val="auto"/>
          <w:highlight w:val="none"/>
        </w:rPr>
        <w:t>〕</w:t>
      </w:r>
      <w:r>
        <w:rPr>
          <w:rFonts w:ascii="仿宋" w:hAnsi="仿宋" w:eastAsia="仿宋" w:cs="仿宋"/>
          <w:color w:val="auto"/>
          <w:highlight w:val="none"/>
        </w:rPr>
        <w:t>51</w:t>
      </w:r>
      <w:r>
        <w:rPr>
          <w:rFonts w:hint="eastAsia" w:ascii="华文仿宋" w:hAnsi="华文仿宋" w:cs="华文仿宋"/>
          <w:color w:val="auto"/>
          <w:highlight w:val="none"/>
        </w:rPr>
        <w:t>号）。财政部、国家发改委、生态环境部、市场监管总局联合印发《关于调整优化节能产品、环境标志产品政府采购执行机制的通知》（财库</w:t>
      </w:r>
      <w:r>
        <w:rPr>
          <w:rFonts w:hint="eastAsia" w:ascii="仿宋" w:hAnsi="仿宋" w:eastAsia="仿宋" w:cs="仿宋"/>
          <w:color w:val="auto"/>
          <w:highlight w:val="none"/>
        </w:rPr>
        <w:t>〔2019〕9</w:t>
      </w:r>
      <w:r>
        <w:rPr>
          <w:rFonts w:hint="eastAsia" w:ascii="华文仿宋" w:hAnsi="华文仿宋" w:cs="华文仿宋"/>
          <w:color w:val="auto"/>
          <w:highlight w:val="none"/>
        </w:rPr>
        <w:t>号）。</w:t>
      </w:r>
    </w:p>
    <w:p>
      <w:pPr>
        <w:widowControl w:val="0"/>
        <w:spacing w:line="500" w:lineRule="exact"/>
        <w:ind w:firstLine="566" w:firstLineChars="200"/>
        <w:rPr>
          <w:rFonts w:ascii="华文仿宋" w:hAnsi="华文仿宋" w:cs="华文仿宋"/>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、《财政部农业农村部 国家乡村振兴局关于运用政府采购政策支持乡村产业振兴的通知》（财库〔</w:t>
      </w:r>
      <w:r>
        <w:rPr>
          <w:rFonts w:hint="eastAsia" w:ascii="仿宋" w:hAnsi="仿宋" w:eastAsia="仿宋" w:cs="仿宋"/>
          <w:color w:val="auto"/>
          <w:highlight w:val="none"/>
        </w:rPr>
        <w:t>2021</w:t>
      </w:r>
      <w:r>
        <w:rPr>
          <w:rFonts w:hint="eastAsia" w:ascii="华文仿宋" w:hAnsi="华文仿宋" w:cs="华文仿宋"/>
          <w:color w:val="auto"/>
          <w:highlight w:val="none"/>
        </w:rPr>
        <w:t>〕</w:t>
      </w:r>
      <w:r>
        <w:rPr>
          <w:rFonts w:hint="eastAsia" w:ascii="仿宋" w:hAnsi="仿宋" w:eastAsia="仿宋" w:cs="仿宋"/>
          <w:color w:val="auto"/>
          <w:highlight w:val="none"/>
        </w:rPr>
        <w:t>19</w:t>
      </w:r>
      <w:r>
        <w:rPr>
          <w:rFonts w:hint="eastAsia" w:ascii="华文仿宋" w:hAnsi="华文仿宋" w:cs="华文仿宋"/>
          <w:color w:val="auto"/>
          <w:highlight w:val="none"/>
        </w:rPr>
        <w:t>号）、《财政部农业农村部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color w:val="auto"/>
          <w:highlight w:val="none"/>
        </w:rPr>
        <w:t>〔2021〕20</w:t>
      </w:r>
      <w:r>
        <w:rPr>
          <w:rFonts w:hint="eastAsia" w:ascii="华文仿宋" w:hAnsi="华文仿宋" w:cs="华文仿宋"/>
          <w:color w:val="auto"/>
          <w:highlight w:val="none"/>
        </w:rPr>
        <w:t>号）。</w:t>
      </w:r>
    </w:p>
    <w:p>
      <w:pPr>
        <w:pStyle w:val="2"/>
        <w:widowControl w:val="0"/>
        <w:spacing w:afterLines="0" w:line="500" w:lineRule="exact"/>
        <w:ind w:firstLine="566" w:firstLineChars="200"/>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rPr>
        <w:t>5、《陕西省财政厅关于加快推进我省中小企业政府采购信用融资工作的通知》（陕财办采</w:t>
      </w:r>
      <w:r>
        <w:rPr>
          <w:rFonts w:hint="eastAsia" w:ascii="仿宋" w:hAnsi="仿宋" w:eastAsia="仿宋" w:cs="仿宋"/>
          <w:color w:val="auto"/>
          <w:sz w:val="28"/>
          <w:szCs w:val="28"/>
          <w:highlight w:val="none"/>
        </w:rPr>
        <w:t>〔2020〕15</w:t>
      </w:r>
      <w:r>
        <w:rPr>
          <w:rFonts w:hint="eastAsia" w:ascii="华文仿宋" w:hAnsi="华文仿宋" w:cs="华文仿宋"/>
          <w:color w:val="auto"/>
          <w:sz w:val="28"/>
          <w:szCs w:val="28"/>
          <w:highlight w:val="none"/>
        </w:rPr>
        <w:t>号）、陕西省财政厅关于印发《陕西省中小企业政府采购信用融资办法》（陕财办采</w:t>
      </w:r>
      <w:r>
        <w:rPr>
          <w:rFonts w:hint="eastAsia" w:ascii="仿宋" w:hAnsi="仿宋" w:eastAsia="仿宋" w:cs="仿宋"/>
          <w:color w:val="auto"/>
          <w:sz w:val="28"/>
          <w:szCs w:val="28"/>
          <w:highlight w:val="none"/>
        </w:rPr>
        <w:t>〔2018〕23</w:t>
      </w:r>
      <w:r>
        <w:rPr>
          <w:rFonts w:hint="eastAsia" w:ascii="华文仿宋" w:hAnsi="华文仿宋" w:cs="华文仿宋"/>
          <w:color w:val="auto"/>
          <w:sz w:val="28"/>
          <w:szCs w:val="28"/>
          <w:highlight w:val="none"/>
        </w:rPr>
        <w:t>号）。</w:t>
      </w:r>
    </w:p>
    <w:p>
      <w:pPr>
        <w:spacing w:line="500" w:lineRule="exact"/>
        <w:ind w:firstLine="566" w:firstLineChars="200"/>
        <w:rPr>
          <w:rFonts w:cs="华文仿宋"/>
          <w:b/>
          <w:bCs/>
          <w:color w:val="auto"/>
          <w:highlight w:val="none"/>
        </w:rPr>
      </w:pPr>
      <w:r>
        <w:rPr>
          <w:rFonts w:hint="eastAsia" w:ascii="华文仿宋" w:hAnsi="华文仿宋" w:cs="华文仿宋"/>
          <w:color w:val="auto"/>
          <w:highlight w:val="none"/>
        </w:rPr>
        <w:t>6、详见《投标人须知》中“落实的政府采购政策”有关内容。</w:t>
      </w:r>
    </w:p>
    <w:p>
      <w:pPr>
        <w:spacing w:line="500" w:lineRule="exact"/>
        <w:ind w:firstLine="566" w:firstLineChars="200"/>
        <w:rPr>
          <w:rFonts w:cs="Times New Roman"/>
          <w:b/>
          <w:bCs/>
          <w:color w:val="auto"/>
          <w:highlight w:val="none"/>
        </w:rPr>
      </w:pPr>
      <w:r>
        <w:rPr>
          <w:rFonts w:hint="eastAsia" w:cs="华文仿宋"/>
          <w:b/>
          <w:bCs/>
          <w:color w:val="auto"/>
          <w:highlight w:val="none"/>
        </w:rPr>
        <w:t>十二、获取招标文件的时间及方式</w:t>
      </w:r>
    </w:p>
    <w:p>
      <w:pPr>
        <w:wordWrap w:val="0"/>
        <w:spacing w:line="500" w:lineRule="exact"/>
        <w:ind w:firstLine="566" w:firstLineChars="200"/>
        <w:rPr>
          <w:rFonts w:ascii="华文仿宋" w:cs="Times New Roman"/>
          <w:color w:val="auto"/>
          <w:highlight w:val="none"/>
        </w:rPr>
      </w:pPr>
      <w:r>
        <w:rPr>
          <w:rFonts w:hint="eastAsia" w:ascii="仿宋" w:hAnsi="仿宋" w:eastAsia="仿宋" w:cs="仿宋"/>
          <w:color w:val="auto"/>
          <w:highlight w:val="none"/>
        </w:rPr>
        <w:t>１</w:t>
      </w:r>
      <w:r>
        <w:rPr>
          <w:rFonts w:hint="eastAsia" w:ascii="华文仿宋" w:hAnsi="华文仿宋" w:cs="华文仿宋"/>
          <w:color w:val="auto"/>
          <w:highlight w:val="none"/>
        </w:rPr>
        <w:t>、获取方式：投标人可登录全国公共资源交易平台（陕西省）（http://www.sxggzyjy.cn/），选择“电子交易平台</w:t>
      </w:r>
      <w:r>
        <w:rPr>
          <w:rFonts w:ascii="华文仿宋" w:hAnsi="华文仿宋" w:cs="华文仿宋"/>
          <w:color w:val="auto"/>
          <w:highlight w:val="none"/>
        </w:rPr>
        <w:t>—</w:t>
      </w:r>
      <w:r>
        <w:rPr>
          <w:rFonts w:hint="eastAsia" w:ascii="华文仿宋" w:hAnsi="华文仿宋" w:cs="华文仿宋"/>
          <w:color w:val="auto"/>
          <w:highlight w:val="none"/>
        </w:rPr>
        <w:t>陕西政府采购交易系统</w:t>
      </w:r>
      <w:r>
        <w:rPr>
          <w:rFonts w:ascii="华文仿宋" w:hAnsi="华文仿宋" w:cs="华文仿宋"/>
          <w:color w:val="auto"/>
          <w:highlight w:val="none"/>
        </w:rPr>
        <w:t>—</w:t>
      </w:r>
      <w:r>
        <w:rPr>
          <w:rFonts w:hint="eastAsia" w:ascii="华文仿宋" w:hAnsi="华文仿宋" w:cs="华文仿宋"/>
          <w:color w:val="auto"/>
          <w:highlight w:val="none"/>
        </w:rPr>
        <w:t>企业端”进行登录，登录后选择“交易乙方”身份进入投标人界面后，选择有意向的项目点击“我要投标”，参与投标活动。然后即可在〖我的项目〗中点击“项目流程</w:t>
      </w:r>
      <w:r>
        <w:rPr>
          <w:rFonts w:ascii="华文仿宋" w:hAnsi="华文仿宋" w:cs="华文仿宋"/>
          <w:color w:val="auto"/>
          <w:highlight w:val="none"/>
        </w:rPr>
        <w:t>&gt;</w:t>
      </w:r>
      <w:r>
        <w:rPr>
          <w:rFonts w:hint="eastAsia" w:ascii="华文仿宋" w:hAnsi="华文仿宋" w:cs="华文仿宋"/>
          <w:color w:val="auto"/>
          <w:highlight w:val="none"/>
        </w:rPr>
        <w:t>交易文件下载”免费下载电子招标文件。</w:t>
      </w:r>
    </w:p>
    <w:p>
      <w:pPr>
        <w:spacing w:line="500" w:lineRule="exact"/>
        <w:ind w:firstLine="566" w:firstLineChars="200"/>
        <w:rPr>
          <w:rFonts w:ascii="华文仿宋" w:cs="Times New Roman"/>
          <w:color w:val="auto"/>
          <w:highlight w:val="none"/>
        </w:rPr>
      </w:pPr>
      <w:r>
        <w:rPr>
          <w:rFonts w:hint="eastAsia" w:ascii="仿宋" w:hAnsi="仿宋" w:eastAsia="仿宋" w:cs="仿宋"/>
          <w:color w:val="auto"/>
          <w:highlight w:val="none"/>
        </w:rPr>
        <w:t>2</w:t>
      </w:r>
      <w:r>
        <w:rPr>
          <w:rFonts w:hint="eastAsia" w:ascii="华文仿宋" w:hAnsi="华文仿宋" w:cs="华文仿宋"/>
          <w:color w:val="auto"/>
          <w:highlight w:val="none"/>
        </w:rPr>
        <w:t>、投标人初次使用交易平台，须先完成诚信入库登记、数字认证证书（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锁）认证及企业信息绑定。相关操作流程详见全国公共资源交易平台（陕西省）网站〖首页·〉服务指南·〉下载专区〗中的《陕西省省级单位电子化政府采购项目投标指南》。</w:t>
      </w:r>
    </w:p>
    <w:p>
      <w:pPr>
        <w:wordWrap w:val="0"/>
        <w:spacing w:line="500" w:lineRule="exact"/>
        <w:ind w:firstLine="566" w:firstLineChars="200"/>
        <w:rPr>
          <w:rFonts w:ascii="仿宋" w:hAnsi="仿宋" w:eastAsia="仿宋" w:cs="Times New Roman"/>
          <w:color w:val="auto"/>
          <w:highlight w:val="none"/>
        </w:rPr>
      </w:pPr>
      <w:r>
        <w:rPr>
          <w:rFonts w:hint="eastAsia" w:ascii="仿宋" w:hAnsi="仿宋" w:eastAsia="仿宋" w:cs="仿宋"/>
          <w:color w:val="auto"/>
          <w:highlight w:val="none"/>
        </w:rPr>
        <w:t>3</w:t>
      </w:r>
      <w:r>
        <w:rPr>
          <w:rFonts w:hint="eastAsia" w:ascii="华文仿宋" w:hAnsi="华文仿宋" w:cs="华文仿宋"/>
          <w:color w:val="auto"/>
          <w:highlight w:val="none"/>
        </w:rPr>
        <w:t>、数字认证证书（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锁）办理流程可参照https://www.snca.com.cn/notice/show/</w:t>
      </w:r>
      <w:r>
        <w:rPr>
          <w:rFonts w:hint="eastAsia" w:ascii="仿宋" w:hAnsi="仿宋" w:eastAsia="仿宋" w:cs="仿宋"/>
          <w:color w:val="auto"/>
          <w:highlight w:val="none"/>
        </w:rPr>
        <w:t>533</w:t>
      </w:r>
      <w:r>
        <w:rPr>
          <w:rFonts w:hint="eastAsia" w:ascii="华文仿宋" w:hAnsi="华文仿宋" w:cs="华文仿宋"/>
          <w:color w:val="auto"/>
          <w:highlight w:val="none"/>
        </w:rPr>
        <w:t>.html</w:t>
      </w:r>
      <w:r>
        <w:rPr>
          <w:rFonts w:hint="eastAsia" w:ascii="仿宋" w:hAnsi="仿宋" w:eastAsia="仿宋" w:cs="仿宋"/>
          <w:color w:val="auto"/>
          <w:highlight w:val="none"/>
        </w:rPr>
        <w:t>，</w:t>
      </w:r>
      <w:r>
        <w:rPr>
          <w:rFonts w:hint="eastAsia" w:ascii="华文仿宋" w:hAnsi="华文仿宋" w:cs="华文仿宋"/>
          <w:color w:val="auto"/>
          <w:highlight w:val="none"/>
        </w:rPr>
        <w:t>现场办理地址：西安市长安北路</w:t>
      </w:r>
      <w:r>
        <w:rPr>
          <w:rFonts w:hint="eastAsia" w:ascii="仿宋" w:hAnsi="仿宋" w:eastAsia="仿宋" w:cs="仿宋"/>
          <w:color w:val="auto"/>
          <w:highlight w:val="none"/>
        </w:rPr>
        <w:t>14</w:t>
      </w:r>
      <w:r>
        <w:rPr>
          <w:rFonts w:hint="eastAsia" w:ascii="华文仿宋" w:hAnsi="华文仿宋" w:cs="华文仿宋"/>
          <w:color w:val="auto"/>
          <w:highlight w:val="none"/>
        </w:rPr>
        <w:t>号省公共资源交易中心一楼办理大厅</w:t>
      </w:r>
      <w:r>
        <w:rPr>
          <w:rFonts w:hint="eastAsia" w:ascii="仿宋" w:hAnsi="仿宋" w:eastAsia="仿宋" w:cs="仿宋"/>
          <w:color w:val="auto"/>
          <w:highlight w:val="none"/>
        </w:rPr>
        <w:t>3、4</w:t>
      </w:r>
      <w:r>
        <w:rPr>
          <w:rFonts w:hint="eastAsia" w:ascii="华文仿宋" w:hAnsi="华文仿宋" w:cs="华文仿宋"/>
          <w:color w:val="auto"/>
          <w:highlight w:val="none"/>
        </w:rPr>
        <w:t>号窗口，咨询电话：</w:t>
      </w:r>
      <w:r>
        <w:rPr>
          <w:rFonts w:ascii="仿宋" w:hAnsi="仿宋" w:eastAsia="仿宋" w:cs="仿宋"/>
          <w:color w:val="auto"/>
          <w:highlight w:val="none"/>
        </w:rPr>
        <w:t>029-88661241</w:t>
      </w:r>
      <w:r>
        <w:rPr>
          <w:rFonts w:hint="eastAsia" w:ascii="华文仿宋" w:hAnsi="华文仿宋" w:cs="华文仿宋"/>
          <w:color w:val="auto"/>
          <w:highlight w:val="none"/>
        </w:rPr>
        <w:t>。疫情期间数字认证证书（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锁）新办及续费可使用网上受理邮寄领取的方式办理，详见http://www.sxggzyjy.cn/xwzx/</w:t>
      </w:r>
      <w:r>
        <w:rPr>
          <w:rFonts w:hint="eastAsia" w:ascii="仿宋" w:hAnsi="仿宋" w:eastAsia="仿宋" w:cs="仿宋"/>
          <w:color w:val="auto"/>
          <w:highlight w:val="none"/>
        </w:rPr>
        <w:t>002002/20200218/79d68d76-7e82-44b0-8b8b-cb07d0658787</w:t>
      </w:r>
      <w:r>
        <w:rPr>
          <w:rFonts w:hint="eastAsia" w:ascii="华文仿宋" w:hAnsi="华文仿宋" w:cs="华文仿宋"/>
          <w:color w:val="auto"/>
          <w:highlight w:val="none"/>
        </w:rPr>
        <w:t>.html。</w:t>
      </w:r>
    </w:p>
    <w:p>
      <w:pPr>
        <w:spacing w:line="500" w:lineRule="exact"/>
        <w:ind w:firstLine="566" w:firstLineChars="200"/>
        <w:rPr>
          <w:rFonts w:ascii="仿宋" w:hAnsi="仿宋" w:eastAsia="仿宋" w:cs="仿宋"/>
          <w:b/>
          <w:bCs/>
          <w:color w:val="auto"/>
          <w:highlight w:val="none"/>
        </w:rPr>
      </w:pPr>
      <w:r>
        <w:rPr>
          <w:rFonts w:hint="eastAsia" w:ascii="仿宋" w:hAnsi="仿宋" w:eastAsia="仿宋" w:cs="仿宋"/>
          <w:b/>
          <w:bCs/>
          <w:color w:val="auto"/>
          <w:highlight w:val="none"/>
        </w:rPr>
        <w:t>4、获取时间：2022年</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20</w:t>
      </w:r>
      <w:r>
        <w:rPr>
          <w:rFonts w:hint="eastAsia" w:ascii="仿宋" w:hAnsi="仿宋" w:eastAsia="仿宋" w:cs="仿宋"/>
          <w:b/>
          <w:bCs/>
          <w:color w:val="auto"/>
          <w:highlight w:val="none"/>
        </w:rPr>
        <w:t>日至2022年</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8</w:t>
      </w:r>
      <w:r>
        <w:rPr>
          <w:rFonts w:hint="eastAsia" w:ascii="仿宋" w:hAnsi="仿宋" w:eastAsia="仿宋" w:cs="仿宋"/>
          <w:b/>
          <w:bCs/>
          <w:color w:val="auto"/>
          <w:highlight w:val="none"/>
        </w:rPr>
        <w:t>日，每天上午08:00:00至12:00:00，下午12:00:00至18:00:00（北京时间,法定节假日除外）</w:t>
      </w:r>
    </w:p>
    <w:p>
      <w:pPr>
        <w:spacing w:line="500" w:lineRule="exact"/>
        <w:ind w:firstLine="566" w:firstLineChars="200"/>
        <w:rPr>
          <w:rFonts w:ascii="华文仿宋" w:cs="Times New Roman"/>
          <w:color w:val="auto"/>
          <w:highlight w:val="none"/>
          <w:lang w:val="zh-CN"/>
        </w:rPr>
      </w:pPr>
      <w:r>
        <w:rPr>
          <w:rFonts w:hint="eastAsia" w:ascii="华文仿宋" w:hAnsi="华文仿宋" w:cs="华文仿宋"/>
          <w:b/>
          <w:bCs/>
          <w:color w:val="auto"/>
          <w:highlight w:val="none"/>
        </w:rPr>
        <w:t>十三、投标保证金的交纳</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本项目不收取投标保证金。</w:t>
      </w:r>
      <w:bookmarkStart w:id="28" w:name="_Hlk511229508"/>
    </w:p>
    <w:p>
      <w:pPr>
        <w:spacing w:line="500" w:lineRule="exact"/>
        <w:ind w:firstLine="566" w:firstLineChars="200"/>
        <w:rPr>
          <w:rFonts w:cs="Times New Roman"/>
          <w:color w:val="auto"/>
          <w:highlight w:val="none"/>
        </w:rPr>
      </w:pPr>
      <w:r>
        <w:rPr>
          <w:rFonts w:hint="eastAsia" w:cs="华文仿宋"/>
          <w:b/>
          <w:bCs/>
          <w:color w:val="auto"/>
          <w:highlight w:val="none"/>
          <w:lang w:val="en-US" w:eastAsia="zh-CN"/>
        </w:rPr>
        <w:t>十四、</w:t>
      </w:r>
      <w:r>
        <w:rPr>
          <w:rFonts w:hint="eastAsia" w:cs="华文仿宋"/>
          <w:b/>
          <w:bCs/>
          <w:color w:val="auto"/>
          <w:highlight w:val="none"/>
        </w:rPr>
        <w:t>提交投标文件截止时间及开标时间和地点</w:t>
      </w:r>
    </w:p>
    <w:p>
      <w:pPr>
        <w:spacing w:line="500" w:lineRule="exact"/>
        <w:ind w:firstLine="566" w:firstLineChars="200"/>
        <w:rPr>
          <w:rFonts w:cs="Times New Roman"/>
          <w:color w:val="auto"/>
          <w:highlight w:val="none"/>
        </w:rPr>
      </w:pPr>
      <w:r>
        <w:rPr>
          <w:rFonts w:hint="eastAsia" w:ascii="仿宋" w:hAnsi="仿宋" w:eastAsia="仿宋" w:cs="仿宋"/>
          <w:b/>
          <w:bCs/>
          <w:color w:val="auto"/>
          <w:highlight w:val="none"/>
        </w:rPr>
        <w:t>1、</w:t>
      </w:r>
      <w:r>
        <w:rPr>
          <w:rFonts w:hint="eastAsia" w:cs="华文仿宋"/>
          <w:b/>
          <w:bCs/>
          <w:color w:val="auto"/>
          <w:highlight w:val="none"/>
        </w:rPr>
        <w:t>提交投标文件：电子投标文件一份</w:t>
      </w:r>
      <w:r>
        <w:rPr>
          <w:rFonts w:hint="eastAsia" w:cs="华文仿宋"/>
          <w:color w:val="auto"/>
          <w:highlight w:val="none"/>
        </w:rPr>
        <w:t>。</w:t>
      </w:r>
    </w:p>
    <w:p>
      <w:pPr>
        <w:spacing w:line="500" w:lineRule="exact"/>
        <w:ind w:firstLine="566" w:firstLineChars="200"/>
        <w:rPr>
          <w:rFonts w:cs="Times New Roman"/>
          <w:color w:val="auto"/>
          <w:highlight w:val="none"/>
        </w:rPr>
      </w:pPr>
      <w:r>
        <w:rPr>
          <w:rFonts w:hint="eastAsia" w:cs="华文仿宋"/>
          <w:color w:val="auto"/>
          <w:highlight w:val="none"/>
        </w:rPr>
        <w:t>电子投标文件（</w:t>
      </w:r>
      <w:r>
        <w:rPr>
          <w:color w:val="auto"/>
          <w:highlight w:val="none"/>
        </w:rPr>
        <w:t>*</w:t>
      </w:r>
      <w:r>
        <w:rPr>
          <w:rFonts w:hint="eastAsia" w:ascii="仿宋" w:hAnsi="仿宋" w:eastAsia="仿宋" w:cs="仿宋"/>
          <w:color w:val="auto"/>
          <w:highlight w:val="none"/>
        </w:rPr>
        <w:t>.SXSTF</w:t>
      </w:r>
      <w:r>
        <w:rPr>
          <w:rFonts w:hint="eastAsia" w:cs="华文仿宋"/>
          <w:color w:val="auto"/>
          <w:highlight w:val="none"/>
        </w:rPr>
        <w:t>）可于提交投标文件截止时间前任意时段登录全国公共资源交易平台（陕西省）网站进行提交，逾期系统将拒绝接收。</w:t>
      </w:r>
    </w:p>
    <w:p>
      <w:pPr>
        <w:spacing w:line="500" w:lineRule="exact"/>
        <w:ind w:firstLine="566" w:firstLineChars="200"/>
        <w:rPr>
          <w:rFonts w:ascii="仿宋" w:hAnsi="仿宋" w:eastAsia="仿宋" w:cs="仿宋"/>
          <w:b/>
          <w:bCs/>
          <w:color w:val="auto"/>
          <w:highlight w:val="none"/>
        </w:rPr>
      </w:pPr>
      <w:r>
        <w:rPr>
          <w:rFonts w:hint="eastAsia" w:ascii="仿宋" w:hAnsi="仿宋" w:eastAsia="仿宋" w:cs="仿宋"/>
          <w:b/>
          <w:bCs/>
          <w:color w:val="auto"/>
          <w:highlight w:val="none"/>
        </w:rPr>
        <w:t>2、</w:t>
      </w:r>
      <w:r>
        <w:rPr>
          <w:rFonts w:hint="eastAsia" w:cs="华文仿宋"/>
          <w:b/>
          <w:bCs/>
          <w:color w:val="auto"/>
          <w:highlight w:val="none"/>
        </w:rPr>
        <w:t>提交投标文件截止时间：</w:t>
      </w:r>
      <w:r>
        <w:rPr>
          <w:rFonts w:hint="eastAsia" w:ascii="仿宋" w:hAnsi="仿宋" w:eastAsia="仿宋" w:cs="仿宋"/>
          <w:b/>
          <w:bCs/>
          <w:color w:val="auto"/>
          <w:highlight w:val="none"/>
        </w:rPr>
        <w:t>202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06</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09</w:t>
      </w:r>
      <w:r>
        <w:rPr>
          <w:rFonts w:hint="eastAsia" w:ascii="仿宋" w:hAnsi="仿宋" w:eastAsia="仿宋" w:cs="仿宋"/>
          <w:b/>
          <w:bCs/>
          <w:color w:val="auto"/>
          <w:highlight w:val="none"/>
        </w:rPr>
        <w:t>日09:30</w:t>
      </w:r>
    </w:p>
    <w:p>
      <w:pPr>
        <w:spacing w:line="500" w:lineRule="exact"/>
        <w:ind w:firstLine="566" w:firstLineChars="200"/>
        <w:rPr>
          <w:rFonts w:cs="Times New Roman"/>
          <w:b/>
          <w:bCs/>
          <w:color w:val="auto"/>
          <w:highlight w:val="none"/>
        </w:rPr>
      </w:pPr>
      <w:r>
        <w:rPr>
          <w:rFonts w:hint="eastAsia" w:ascii="仿宋" w:hAnsi="仿宋" w:eastAsia="仿宋" w:cs="仿宋"/>
          <w:b/>
          <w:bCs/>
          <w:color w:val="auto"/>
          <w:highlight w:val="none"/>
        </w:rPr>
        <w:t>3、</w:t>
      </w:r>
      <w:r>
        <w:rPr>
          <w:rFonts w:hint="eastAsia" w:cs="华文仿宋"/>
          <w:b/>
          <w:bCs/>
          <w:color w:val="auto"/>
          <w:highlight w:val="none"/>
        </w:rPr>
        <w:t>开标时间：同提交投标文件截止时间</w:t>
      </w:r>
    </w:p>
    <w:p>
      <w:pPr>
        <w:spacing w:line="500" w:lineRule="exact"/>
        <w:ind w:left="849" w:leftChars="200" w:hanging="283" w:hangingChars="100"/>
        <w:rPr>
          <w:rFonts w:cs="Times New Roman"/>
          <w:b/>
          <w:bCs/>
          <w:color w:val="auto"/>
          <w:highlight w:val="none"/>
        </w:rPr>
      </w:pPr>
      <w:r>
        <w:rPr>
          <w:rFonts w:hint="eastAsia" w:ascii="仿宋" w:hAnsi="仿宋" w:eastAsia="仿宋" w:cs="仿宋"/>
          <w:b/>
          <w:bCs/>
          <w:color w:val="auto"/>
          <w:highlight w:val="none"/>
        </w:rPr>
        <w:t>4、</w:t>
      </w:r>
      <w:r>
        <w:rPr>
          <w:rFonts w:hint="eastAsia" w:cs="华文仿宋"/>
          <w:b/>
          <w:bCs/>
          <w:color w:val="auto"/>
          <w:highlight w:val="none"/>
        </w:rPr>
        <w:t>开标地点：西安市碑林区长安北路</w:t>
      </w:r>
      <w:r>
        <w:rPr>
          <w:rFonts w:ascii="仿宋" w:hAnsi="仿宋" w:eastAsia="仿宋" w:cs="仿宋"/>
          <w:b/>
          <w:bCs/>
          <w:color w:val="auto"/>
          <w:highlight w:val="none"/>
        </w:rPr>
        <w:t>14</w:t>
      </w:r>
      <w:r>
        <w:rPr>
          <w:rFonts w:hint="eastAsia" w:cs="华文仿宋"/>
          <w:b/>
          <w:bCs/>
          <w:color w:val="auto"/>
          <w:highlight w:val="none"/>
        </w:rPr>
        <w:t>号陕西省公共资源交易中</w:t>
      </w:r>
    </w:p>
    <w:p>
      <w:pPr>
        <w:spacing w:line="500" w:lineRule="exact"/>
        <w:ind w:left="848" w:hanging="845" w:hangingChars="299"/>
        <w:rPr>
          <w:rFonts w:cs="华文仿宋"/>
          <w:b/>
          <w:bCs/>
          <w:color w:val="auto"/>
          <w:highlight w:val="none"/>
        </w:rPr>
      </w:pPr>
      <w:r>
        <w:rPr>
          <w:rFonts w:hint="eastAsia" w:cs="华文仿宋"/>
          <w:b/>
          <w:bCs/>
          <w:color w:val="auto"/>
          <w:highlight w:val="none"/>
        </w:rPr>
        <w:t>心</w:t>
      </w:r>
      <w:r>
        <w:rPr>
          <w:rFonts w:hint="eastAsia" w:ascii="仿宋" w:hAnsi="仿宋" w:eastAsia="仿宋" w:cs="仿宋"/>
          <w:b/>
          <w:bCs/>
          <w:color w:val="auto"/>
          <w:highlight w:val="none"/>
        </w:rPr>
        <w:t>30</w:t>
      </w:r>
      <w:r>
        <w:rPr>
          <w:rFonts w:hint="eastAsia" w:ascii="仿宋" w:hAnsi="仿宋" w:eastAsia="仿宋" w:cs="仿宋"/>
          <w:b/>
          <w:bCs/>
          <w:color w:val="auto"/>
          <w:highlight w:val="none"/>
          <w:lang w:val="en-US" w:eastAsia="zh-CN"/>
        </w:rPr>
        <w:t>6</w:t>
      </w:r>
      <w:r>
        <w:rPr>
          <w:rFonts w:hint="eastAsia" w:cs="华文仿宋"/>
          <w:b/>
          <w:bCs/>
          <w:color w:val="auto"/>
          <w:highlight w:val="none"/>
        </w:rPr>
        <w:t>室</w:t>
      </w:r>
    </w:p>
    <w:p>
      <w:pPr>
        <w:pStyle w:val="22"/>
        <w:keepNext w:val="0"/>
        <w:keepLines w:val="0"/>
        <w:pageBreakBefore w:val="0"/>
        <w:widowControl/>
        <w:numPr>
          <w:ilvl w:val="255"/>
          <w:numId w:val="0"/>
        </w:numPr>
        <w:kinsoku/>
        <w:wordWrap w:val="0"/>
        <w:overflowPunct/>
        <w:topLinePunct w:val="0"/>
        <w:autoSpaceDE/>
        <w:autoSpaceDN/>
        <w:bidi w:val="0"/>
        <w:adjustRightInd/>
        <w:snapToGrid/>
        <w:spacing w:afterLines="0" w:line="500" w:lineRule="exact"/>
        <w:ind w:firstLine="566" w:firstLineChars="200"/>
        <w:textAlignment w:val="auto"/>
        <w:rPr>
          <w:rFonts w:ascii="华文仿宋" w:hAnsi="华文仿宋" w:cs="华文仿宋"/>
          <w:sz w:val="28"/>
          <w:szCs w:val="28"/>
          <w:highlight w:val="none"/>
        </w:rPr>
      </w:pPr>
      <w:r>
        <w:rPr>
          <w:rFonts w:hint="eastAsia" w:ascii="仿宋" w:hAnsi="仿宋" w:eastAsia="仿宋" w:cs="仿宋"/>
          <w:b/>
          <w:bCs/>
          <w:color w:val="auto"/>
          <w:sz w:val="28"/>
          <w:szCs w:val="28"/>
          <w:highlight w:val="none"/>
        </w:rPr>
        <w:t>5、开标形式：</w:t>
      </w:r>
      <w:r>
        <w:rPr>
          <w:rFonts w:hint="eastAsia" w:ascii="华文仿宋" w:hAnsi="华文仿宋" w:cs="华文仿宋"/>
          <w:b/>
          <w:bCs/>
          <w:sz w:val="28"/>
          <w:szCs w:val="28"/>
          <w:highlight w:val="none"/>
        </w:rPr>
        <w:t>本项目采用不见面开标方式。</w:t>
      </w:r>
      <w:r>
        <w:rPr>
          <w:rFonts w:hint="eastAsia" w:ascii="华文仿宋" w:hAnsi="华文仿宋" w:cs="华文仿宋"/>
          <w:b w:val="0"/>
          <w:bCs w:val="0"/>
          <w:sz w:val="28"/>
          <w:szCs w:val="28"/>
          <w:highlight w:val="none"/>
        </w:rPr>
        <w:t>投标人需在开启前最少一个小时登录全国公共资源交易平台（陕西省）首页选择“不见面开标-陕西省本级”自行调试，并按照工作人员要求进行招标文件解密，远程观看开标直播。及时加入网络开标大厅公布的腾讯</w:t>
      </w:r>
      <w:r>
        <w:rPr>
          <w:rFonts w:hint="eastAsia" w:ascii="仿宋" w:hAnsi="仿宋" w:eastAsia="仿宋" w:cs="仿宋"/>
          <w:b w:val="0"/>
          <w:bCs w:val="0"/>
          <w:sz w:val="28"/>
          <w:szCs w:val="28"/>
          <w:highlight w:val="none"/>
        </w:rPr>
        <w:t>QQ</w:t>
      </w:r>
      <w:r>
        <w:rPr>
          <w:rFonts w:hint="eastAsia" w:ascii="华文仿宋" w:hAnsi="华文仿宋" w:cs="华文仿宋"/>
          <w:b w:val="0"/>
          <w:bCs w:val="0"/>
          <w:sz w:val="28"/>
          <w:szCs w:val="28"/>
          <w:highlight w:val="none"/>
        </w:rPr>
        <w:t>号，以便</w:t>
      </w:r>
      <w:r>
        <w:rPr>
          <w:rFonts w:hint="eastAsia" w:ascii="华文仿宋" w:hAnsi="华文仿宋" w:cs="华文仿宋"/>
          <w:b w:val="0"/>
          <w:bCs w:val="0"/>
          <w:sz w:val="28"/>
          <w:szCs w:val="28"/>
          <w:highlight w:val="none"/>
          <w:lang w:eastAsia="zh-CN"/>
        </w:rPr>
        <w:t>澄清等</w:t>
      </w:r>
      <w:r>
        <w:rPr>
          <w:rFonts w:hint="eastAsia" w:ascii="华文仿宋" w:hAnsi="华文仿宋" w:cs="华文仿宋"/>
          <w:b w:val="0"/>
          <w:bCs w:val="0"/>
          <w:sz w:val="28"/>
          <w:szCs w:val="28"/>
          <w:highlight w:val="none"/>
        </w:rPr>
        <w:t>情况处理。如遇困难，请拨打系统平台技术支持电话：</w:t>
      </w:r>
      <w:r>
        <w:rPr>
          <w:rFonts w:hint="eastAsia" w:ascii="仿宋" w:hAnsi="仿宋" w:eastAsia="仿宋" w:cs="仿宋"/>
          <w:b/>
          <w:bCs/>
          <w:sz w:val="28"/>
          <w:szCs w:val="28"/>
          <w:highlight w:val="none"/>
        </w:rPr>
        <w:t>4009980000</w:t>
      </w:r>
      <w:r>
        <w:rPr>
          <w:rFonts w:hint="eastAsia" w:ascii="华文仿宋" w:hAnsi="华文仿宋" w:cs="华文仿宋"/>
          <w:b/>
          <w:bCs/>
          <w:sz w:val="28"/>
          <w:szCs w:val="28"/>
          <w:highlight w:val="none"/>
        </w:rPr>
        <w:t>。</w:t>
      </w:r>
    </w:p>
    <w:p>
      <w:pPr>
        <w:keepNext w:val="0"/>
        <w:keepLines w:val="0"/>
        <w:pageBreakBefore w:val="0"/>
        <w:widowControl/>
        <w:kinsoku/>
        <w:overflowPunct/>
        <w:topLinePunct w:val="0"/>
        <w:autoSpaceDE/>
        <w:autoSpaceDN/>
        <w:bidi w:val="0"/>
        <w:adjustRightInd/>
        <w:snapToGrid/>
        <w:spacing w:line="500" w:lineRule="exact"/>
        <w:ind w:firstLine="566" w:firstLineChars="200"/>
        <w:textAlignment w:val="auto"/>
        <w:rPr>
          <w:rFonts w:ascii="华文仿宋" w:hAnsi="华文仿宋" w:cs="华文仿宋"/>
          <w:b/>
          <w:bCs/>
          <w:color w:val="auto"/>
          <w:highlight w:val="none"/>
        </w:rPr>
      </w:pPr>
      <w:r>
        <w:rPr>
          <w:rFonts w:hint="eastAsia" w:ascii="华文仿宋" w:hAnsi="华文仿宋" w:cs="华文仿宋"/>
          <w:b/>
          <w:bCs/>
          <w:color w:val="auto"/>
          <w:highlight w:val="none"/>
        </w:rPr>
        <w:t>开标时，投标人应按照工作人员要求进行远程解密，如因投标人自身原因，在规定时间内未完成投标文件解密，按无效投标对待。</w:t>
      </w:r>
    </w:p>
    <w:p>
      <w:pPr>
        <w:pStyle w:val="22"/>
        <w:keepNext w:val="0"/>
        <w:keepLines w:val="0"/>
        <w:pageBreakBefore w:val="0"/>
        <w:widowControl/>
        <w:kinsoku/>
        <w:wordWrap w:val="0"/>
        <w:overflowPunct/>
        <w:topLinePunct w:val="0"/>
        <w:autoSpaceDE/>
        <w:autoSpaceDN/>
        <w:bidi w:val="0"/>
        <w:adjustRightInd/>
        <w:snapToGrid/>
        <w:spacing w:afterLines="0" w:line="50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备注：1、相关操作流程详见全国公共资源交易平台（陕西省）网站〖首页·〉服务指南·〉下载专区〗中的《陕西省公共资源交易中心政府采购项目远程不见面开标操作手册（供应商版）》。</w:t>
      </w:r>
    </w:p>
    <w:p>
      <w:pPr>
        <w:pStyle w:val="22"/>
        <w:keepNext w:val="0"/>
        <w:keepLines w:val="0"/>
        <w:pageBreakBefore w:val="0"/>
        <w:widowControl/>
        <w:kinsoku/>
        <w:wordWrap w:val="0"/>
        <w:overflowPunct/>
        <w:topLinePunct w:val="0"/>
        <w:autoSpaceDE/>
        <w:autoSpaceDN/>
        <w:bidi w:val="0"/>
        <w:adjustRightInd/>
        <w:snapToGrid/>
        <w:spacing w:afterLines="0" w:line="500" w:lineRule="exact"/>
        <w:ind w:firstLine="426"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2、“规定时间”由现场工作人员具体确定。</w:t>
      </w:r>
    </w:p>
    <w:p>
      <w:pPr>
        <w:spacing w:line="500" w:lineRule="exact"/>
        <w:ind w:firstLine="566" w:firstLineChars="200"/>
        <w:rPr>
          <w:b/>
          <w:bCs/>
          <w:color w:val="auto"/>
          <w:highlight w:val="none"/>
        </w:rPr>
      </w:pPr>
      <w:r>
        <w:rPr>
          <w:rFonts w:hint="eastAsia"/>
          <w:b/>
          <w:bCs/>
          <w:color w:val="auto"/>
          <w:highlight w:val="none"/>
        </w:rPr>
        <w:t>十</w:t>
      </w:r>
      <w:r>
        <w:rPr>
          <w:rFonts w:hint="eastAsia"/>
          <w:b/>
          <w:bCs/>
          <w:color w:val="auto"/>
          <w:highlight w:val="none"/>
          <w:lang w:val="en-US" w:eastAsia="zh-CN"/>
        </w:rPr>
        <w:t>五</w:t>
      </w:r>
      <w:r>
        <w:rPr>
          <w:rFonts w:hint="eastAsia"/>
          <w:b/>
          <w:bCs/>
          <w:color w:val="auto"/>
          <w:highlight w:val="none"/>
        </w:rPr>
        <w:t>、采购代理机构收费标准：免费</w:t>
      </w:r>
    </w:p>
    <w:p>
      <w:pPr>
        <w:spacing w:line="500" w:lineRule="exact"/>
        <w:ind w:firstLine="566" w:firstLineChars="200"/>
        <w:rPr>
          <w:b/>
          <w:bCs/>
          <w:color w:val="auto"/>
          <w:highlight w:val="none"/>
        </w:rPr>
      </w:pPr>
      <w:bookmarkStart w:id="29" w:name="_Toc20005"/>
      <w:bookmarkStart w:id="30" w:name="_Toc10758_WPSOffice_Level2"/>
      <w:bookmarkStart w:id="31" w:name="_Toc22849_WPSOffice_Level2"/>
      <w:bookmarkStart w:id="32" w:name="_Toc14110_WPSOffice_Level2"/>
      <w:bookmarkStart w:id="33" w:name="_Toc17917"/>
      <w:r>
        <w:rPr>
          <w:rFonts w:hint="eastAsia"/>
          <w:b/>
          <w:bCs/>
          <w:color w:val="auto"/>
          <w:highlight w:val="none"/>
        </w:rPr>
        <w:t>十</w:t>
      </w:r>
      <w:r>
        <w:rPr>
          <w:rFonts w:hint="eastAsia"/>
          <w:b/>
          <w:bCs/>
          <w:color w:val="auto"/>
          <w:highlight w:val="none"/>
          <w:lang w:val="en-US" w:eastAsia="zh-CN"/>
        </w:rPr>
        <w:t>六</w:t>
      </w:r>
      <w:r>
        <w:rPr>
          <w:rFonts w:hint="eastAsia"/>
          <w:b/>
          <w:bCs/>
          <w:color w:val="auto"/>
          <w:highlight w:val="none"/>
        </w:rPr>
        <w:t>、公告期自发布之日起</w:t>
      </w:r>
      <w:r>
        <w:rPr>
          <w:rFonts w:hint="eastAsia" w:ascii="仿宋" w:hAnsi="仿宋" w:eastAsia="仿宋" w:cs="仿宋"/>
          <w:b/>
          <w:bCs/>
          <w:color w:val="auto"/>
          <w:highlight w:val="none"/>
        </w:rPr>
        <w:t>5</w:t>
      </w:r>
      <w:r>
        <w:rPr>
          <w:rFonts w:hint="eastAsia"/>
          <w:b/>
          <w:bCs/>
          <w:color w:val="auto"/>
          <w:highlight w:val="none"/>
        </w:rPr>
        <w:t>个工作日。</w:t>
      </w:r>
      <w:bookmarkEnd w:id="29"/>
      <w:bookmarkEnd w:id="30"/>
      <w:bookmarkEnd w:id="31"/>
      <w:bookmarkEnd w:id="32"/>
      <w:bookmarkEnd w:id="33"/>
    </w:p>
    <w:p>
      <w:pPr>
        <w:spacing w:line="500" w:lineRule="exact"/>
        <w:ind w:firstLine="566" w:firstLineChars="200"/>
        <w:rPr>
          <w:rFonts w:ascii="宋体" w:hAnsi="宋体" w:eastAsia="宋体" w:cs="宋体"/>
          <w:b/>
          <w:bCs/>
          <w:color w:val="auto"/>
          <w:highlight w:val="none"/>
        </w:rPr>
      </w:pPr>
      <w:r>
        <w:rPr>
          <w:rFonts w:hint="eastAsia"/>
          <w:b/>
          <w:bCs/>
          <w:color w:val="auto"/>
          <w:highlight w:val="none"/>
        </w:rPr>
        <w:t>十</w:t>
      </w:r>
      <w:r>
        <w:rPr>
          <w:rFonts w:hint="eastAsia"/>
          <w:b/>
          <w:bCs/>
          <w:color w:val="auto"/>
          <w:highlight w:val="none"/>
          <w:lang w:val="en-US" w:eastAsia="zh-CN"/>
        </w:rPr>
        <w:t>七</w:t>
      </w:r>
      <w:r>
        <w:rPr>
          <w:rFonts w:hint="eastAsia"/>
          <w:b/>
          <w:bCs/>
          <w:color w:val="auto"/>
          <w:highlight w:val="none"/>
        </w:rPr>
        <w:t>、陕西省省级单位政府采购中心联系电话：</w:t>
      </w:r>
      <w:r>
        <w:rPr>
          <w:rFonts w:hint="eastAsia" w:ascii="仿宋" w:hAnsi="仿宋" w:eastAsia="仿宋" w:cs="仿宋"/>
          <w:b/>
          <w:bCs/>
          <w:color w:val="auto"/>
          <w:highlight w:val="none"/>
        </w:rPr>
        <w:t>029-88661294</w:t>
      </w:r>
    </w:p>
    <w:p>
      <w:pPr>
        <w:spacing w:before="190" w:beforeLines="50" w:line="500" w:lineRule="exact"/>
        <w:ind w:firstLine="566" w:firstLineChars="200"/>
        <w:rPr>
          <w:rFonts w:hint="eastAsia" w:ascii="宋体" w:hAnsi="宋体" w:eastAsia="宋体" w:cs="宋体"/>
          <w:b/>
          <w:bCs/>
          <w:color w:val="auto"/>
          <w:highlight w:val="none"/>
        </w:rPr>
      </w:pPr>
    </w:p>
    <w:p>
      <w:pPr>
        <w:spacing w:before="190" w:beforeLines="50" w:line="500" w:lineRule="exact"/>
        <w:ind w:firstLine="566" w:firstLineChars="200"/>
        <w:rPr>
          <w:color w:val="auto"/>
          <w:highlight w:val="none"/>
        </w:rPr>
      </w:pPr>
      <w:r>
        <w:rPr>
          <w:rFonts w:hint="eastAsia" w:ascii="宋体" w:hAnsi="宋体" w:eastAsia="宋体" w:cs="宋体"/>
          <w:b/>
          <w:bCs/>
          <w:color w:val="auto"/>
          <w:highlight w:val="none"/>
        </w:rPr>
        <w:t>特别提醒：</w:t>
      </w:r>
    </w:p>
    <w:bookmarkEnd w:id="28"/>
    <w:p>
      <w:pPr>
        <w:wordWrap w:val="0"/>
        <w:spacing w:line="500" w:lineRule="exact"/>
        <w:ind w:firstLine="426" w:firstLineChars="200"/>
        <w:rPr>
          <w:rFonts w:ascii="宋体" w:hAnsi="宋体" w:eastAsia="宋体" w:cs="宋体"/>
          <w:b/>
          <w:bCs/>
          <w:color w:val="auto"/>
          <w:sz w:val="21"/>
          <w:szCs w:val="21"/>
          <w:highlight w:val="none"/>
        </w:rPr>
      </w:pPr>
      <w:bookmarkStart w:id="34" w:name="_Toc495014648"/>
      <w:bookmarkStart w:id="35" w:name="_Toc495014919"/>
      <w:bookmarkStart w:id="36" w:name="_Toc495012820"/>
      <w:bookmarkStart w:id="37" w:name="_Toc495014953"/>
      <w:bookmarkStart w:id="38" w:name="_Toc445306492"/>
      <w:bookmarkStart w:id="39" w:name="_Toc26954"/>
      <w:bookmarkStart w:id="40" w:name="_Toc495012770"/>
      <w:bookmarkStart w:id="41" w:name="_Toc495014610"/>
      <w:bookmarkStart w:id="42" w:name="_Toc16643"/>
      <w:bookmarkStart w:id="43" w:name="_Toc495014584"/>
      <w:bookmarkStart w:id="44" w:name="_Toc8753"/>
      <w:r>
        <w:rPr>
          <w:rFonts w:hint="eastAsia" w:ascii="宋体" w:hAnsi="宋体" w:eastAsia="宋体" w:cs="宋体"/>
          <w:b/>
          <w:bCs/>
          <w:color w:val="auto"/>
          <w:sz w:val="21"/>
          <w:szCs w:val="21"/>
          <w:highlight w:val="none"/>
        </w:rPr>
        <w:t>1、本项目采用电子化投标及远程不见面开标方式。投标人须使用数字认证证书（CA锁）对电子投标文件进行签章、加密、递交及开标时解密等相关招投标事宜。开标前，投标人需登录网络开标大厅。开标时，按照工作人员要求进行远程解密，如因投标人自身原因造成无法解密投标文件，按无效投标对待。</w:t>
      </w:r>
    </w:p>
    <w:p>
      <w:pPr>
        <w:wordWrap w:val="0"/>
        <w:spacing w:line="500" w:lineRule="exact"/>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制作电子投标文件。投标人须在“全国公共资源交易中心平台（陕西省）（http://www.sxggzyjy.cn/）”的“服务指南”栏目“下载专区”中，免费下载“陕西省公共资源交易平台政府采购电子标书制作工具”，并升级至最新版本，使用该</w:t>
      </w:r>
      <w:r>
        <w:rPr>
          <w:rFonts w:hint="eastAsia" w:ascii="宋体" w:hAnsi="宋体" w:eastAsia="宋体" w:cs="宋体"/>
          <w:b/>
          <w:bCs/>
          <w:color w:val="auto"/>
          <w:sz w:val="21"/>
          <w:szCs w:val="21"/>
          <w:highlight w:val="none"/>
          <w:lang w:val="en-US" w:eastAsia="zh-CN"/>
        </w:rPr>
        <w:t>客户</w:t>
      </w:r>
      <w:bookmarkStart w:id="1015" w:name="_GoBack"/>
      <w:bookmarkEnd w:id="1015"/>
      <w:r>
        <w:rPr>
          <w:rFonts w:hint="eastAsia" w:ascii="宋体" w:hAnsi="宋体" w:eastAsia="宋体" w:cs="宋体"/>
          <w:b/>
          <w:bCs/>
          <w:color w:val="auto"/>
          <w:sz w:val="21"/>
          <w:szCs w:val="21"/>
          <w:highlight w:val="none"/>
        </w:rPr>
        <w:t>端制作电子投标文件，制作扩展名为“.SXSTF”的电子投标文件。”</w:t>
      </w:r>
    </w:p>
    <w:p>
      <w:pPr>
        <w:wordWrap w:val="0"/>
        <w:spacing w:line="500" w:lineRule="exact"/>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递交电子投标文件。登录全国公共资源交易中心平台（陕西省）（http://www.sxggzyjy.cn/），选择“电子交易平台—陕西政府采购交易系统—企业端”进行登录，登录后选择“交易乙方”身份进入，进入菜单“采购业务—我的项目—项目流程—上传投标文件”，上传加密的电子投标文件。上传成功后，电子化平台将予以记录。</w:t>
      </w:r>
    </w:p>
    <w:p>
      <w:pPr>
        <w:wordWrap w:val="0"/>
        <w:spacing w:line="500" w:lineRule="exact"/>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4、为了保证远程不见面开标顺利进行，投标人需使用配备音响和拾音设备的电脑提前1小时登录网络开标大厅（相关操作流程见本章第十四条第5款备注（1））。</w:t>
      </w:r>
    </w:p>
    <w:p>
      <w:pPr>
        <w:pStyle w:val="2"/>
        <w:spacing w:afterLines="0" w:line="500" w:lineRule="exact"/>
        <w:ind w:firstLine="426" w:firstLineChars="200"/>
        <w:rPr>
          <w:rFonts w:eastAsia="宋体"/>
          <w:b/>
          <w:bCs/>
          <w:color w:val="auto"/>
          <w:sz w:val="21"/>
          <w:szCs w:val="21"/>
          <w:highlight w:val="none"/>
          <w:shd w:val="clear" w:color="FFFFFF" w:fill="D9D9D9"/>
        </w:rPr>
      </w:pPr>
      <w:r>
        <w:rPr>
          <w:rFonts w:hint="eastAsia" w:eastAsia="宋体"/>
          <w:b/>
          <w:bCs/>
          <w:color w:val="auto"/>
          <w:sz w:val="21"/>
          <w:szCs w:val="21"/>
          <w:highlight w:val="none"/>
        </w:rPr>
        <w:t>5、投标认需安装新点播放器，以便观看远程不见面开标直播画面（播放器下载链接为：https://download.bqpoint.com/download/downloaddetail.html?SourceFrom=Down&amp;SoftGuid=55aa4e06-c384-4005-bcb9-48932d410fd4）。</w:t>
      </w:r>
    </w:p>
    <w:p>
      <w:pPr>
        <w:pStyle w:val="3"/>
        <w:rPr>
          <w:rFonts w:cs="Times New Roman"/>
          <w:color w:val="auto"/>
          <w:highlight w:val="none"/>
        </w:rPr>
      </w:pPr>
      <w:r>
        <w:rPr>
          <w:rFonts w:hint="eastAsia" w:ascii="黑体" w:hAnsi="黑体" w:eastAsia="黑体" w:cs="黑体"/>
          <w:b w:val="0"/>
          <w:bCs w:val="0"/>
          <w:color w:val="auto"/>
          <w:sz w:val="32"/>
          <w:szCs w:val="32"/>
          <w:highlight w:val="none"/>
        </w:rPr>
        <w:br w:type="page"/>
      </w:r>
      <w:bookmarkStart w:id="45" w:name="_Toc1044"/>
      <w:bookmarkStart w:id="46" w:name="_Toc14432"/>
      <w:bookmarkStart w:id="47" w:name="_Toc14373"/>
      <w:bookmarkStart w:id="48" w:name="_Toc23988"/>
      <w:bookmarkStart w:id="49" w:name="_Toc10152"/>
      <w:bookmarkStart w:id="50" w:name="_Toc22925"/>
      <w:bookmarkStart w:id="51" w:name="_Toc9792"/>
      <w:bookmarkStart w:id="52" w:name="_Toc18479"/>
      <w:r>
        <w:rPr>
          <w:rFonts w:hint="eastAsia" w:ascii="黑体" w:hAnsi="黑体" w:eastAsia="黑体" w:cs="黑体"/>
          <w:b w:val="0"/>
          <w:bCs w:val="0"/>
          <w:color w:val="auto"/>
          <w:sz w:val="32"/>
          <w:szCs w:val="32"/>
          <w:highlight w:val="none"/>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4"/>
        <w:spacing w:line="500" w:lineRule="exact"/>
        <w:ind w:firstLine="566" w:firstLineChars="200"/>
        <w:rPr>
          <w:rFonts w:ascii="华文仿宋" w:cs="Times New Roman"/>
          <w:color w:val="auto"/>
          <w:sz w:val="28"/>
          <w:szCs w:val="28"/>
          <w:highlight w:val="none"/>
        </w:rPr>
      </w:pPr>
      <w:bookmarkStart w:id="53" w:name="_Toc10543"/>
      <w:bookmarkStart w:id="54" w:name="_Toc2124"/>
      <w:bookmarkStart w:id="55" w:name="_Toc2084"/>
      <w:bookmarkStart w:id="56" w:name="_Toc4935"/>
      <w:bookmarkStart w:id="57" w:name="_Toc2341"/>
      <w:bookmarkStart w:id="58" w:name="_Toc6447"/>
      <w:bookmarkStart w:id="59" w:name="_Toc12398"/>
      <w:bookmarkStart w:id="60" w:name="_Toc9277"/>
      <w:bookmarkStart w:id="61" w:name="_Toc18994"/>
      <w:bookmarkStart w:id="62" w:name="_Toc3177"/>
      <w:r>
        <w:rPr>
          <w:rFonts w:hint="eastAsia" w:ascii="华文仿宋" w:hAnsi="华文仿宋" w:cs="华文仿宋"/>
          <w:color w:val="auto"/>
          <w:sz w:val="28"/>
          <w:szCs w:val="28"/>
          <w:highlight w:val="none"/>
        </w:rPr>
        <w:t>一、定义</w:t>
      </w:r>
      <w:bookmarkEnd w:id="53"/>
      <w:bookmarkEnd w:id="54"/>
      <w:bookmarkEnd w:id="55"/>
      <w:bookmarkEnd w:id="56"/>
      <w:bookmarkEnd w:id="57"/>
      <w:bookmarkEnd w:id="58"/>
      <w:bookmarkEnd w:id="59"/>
      <w:bookmarkEnd w:id="60"/>
      <w:bookmarkEnd w:id="61"/>
      <w:bookmarkEnd w:id="62"/>
    </w:p>
    <w:p>
      <w:pPr>
        <w:pStyle w:val="10"/>
        <w:ind w:firstLine="566" w:firstLineChars="200"/>
        <w:rPr>
          <w:rFonts w:hint="eastAsia" w:ascii="华文仿宋" w:hAnsi="华文仿宋" w:eastAsia="华文仿宋" w:cs="华文仿宋"/>
          <w:color w:val="auto"/>
          <w:highlight w:val="none"/>
          <w:lang w:eastAsia="zh-CN"/>
        </w:rPr>
      </w:pPr>
      <w:r>
        <w:rPr>
          <w:rFonts w:hint="eastAsia" w:ascii="华文仿宋" w:hAnsi="华文仿宋" w:cs="华文仿宋"/>
          <w:color w:val="auto"/>
          <w:highlight w:val="none"/>
        </w:rPr>
        <w:t>（一）采购人：</w:t>
      </w:r>
      <w:r>
        <w:rPr>
          <w:rFonts w:hint="eastAsia"/>
          <w:color w:val="auto"/>
          <w:highlight w:val="none"/>
          <w:lang w:eastAsia="zh-CN"/>
        </w:rPr>
        <w:t>陕西铁路工程职业技术学院</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（二）监督机构：陕西省财政厅</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（三）采购代理机构：陕西省省级单位政府采购中心</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（四）投标人：拟向采购人提供货物、工程或者服务的法人、其他组织或者自然人</w:t>
      </w:r>
    </w:p>
    <w:p>
      <w:pPr>
        <w:pStyle w:val="4"/>
        <w:spacing w:line="500" w:lineRule="exact"/>
        <w:ind w:firstLine="566" w:firstLineChars="200"/>
        <w:rPr>
          <w:rFonts w:ascii="华文仿宋" w:cs="Times New Roman"/>
          <w:color w:val="auto"/>
          <w:sz w:val="28"/>
          <w:szCs w:val="28"/>
          <w:highlight w:val="none"/>
        </w:rPr>
      </w:pPr>
      <w:bookmarkStart w:id="63" w:name="_Toc18623"/>
      <w:bookmarkStart w:id="64" w:name="_Toc715"/>
      <w:bookmarkStart w:id="65" w:name="_Toc17842"/>
      <w:bookmarkStart w:id="66" w:name="_Toc31840"/>
      <w:bookmarkStart w:id="67" w:name="_Toc1931"/>
      <w:bookmarkStart w:id="68" w:name="_Toc16981"/>
      <w:bookmarkStart w:id="69" w:name="_Toc19809"/>
      <w:bookmarkStart w:id="70" w:name="_Toc31905"/>
      <w:bookmarkStart w:id="71" w:name="_Toc4889"/>
      <w:bookmarkStart w:id="72" w:name="_Toc29476"/>
      <w:r>
        <w:rPr>
          <w:rFonts w:hint="eastAsia" w:ascii="华文仿宋" w:hAnsi="华文仿宋" w:cs="华文仿宋"/>
          <w:color w:val="auto"/>
          <w:sz w:val="28"/>
          <w:szCs w:val="28"/>
          <w:highlight w:val="none"/>
        </w:rPr>
        <w:t>二、投标人注意事项</w:t>
      </w:r>
      <w:bookmarkEnd w:id="63"/>
      <w:bookmarkEnd w:id="64"/>
      <w:bookmarkEnd w:id="65"/>
      <w:bookmarkEnd w:id="66"/>
      <w:bookmarkEnd w:id="67"/>
      <w:bookmarkEnd w:id="68"/>
      <w:bookmarkEnd w:id="69"/>
      <w:bookmarkEnd w:id="70"/>
      <w:bookmarkEnd w:id="71"/>
      <w:bookmarkEnd w:id="72"/>
    </w:p>
    <w:p>
      <w:pPr>
        <w:pStyle w:val="4"/>
        <w:spacing w:line="500" w:lineRule="exact"/>
        <w:ind w:firstLine="566" w:firstLineChars="200"/>
        <w:rPr>
          <w:rFonts w:ascii="华文仿宋" w:cs="Times New Roman"/>
          <w:color w:val="auto"/>
          <w:sz w:val="28"/>
          <w:szCs w:val="28"/>
          <w:highlight w:val="none"/>
        </w:rPr>
      </w:pPr>
      <w:bookmarkStart w:id="73" w:name="_Toc24064"/>
      <w:bookmarkStart w:id="74" w:name="_Toc27141"/>
      <w:bookmarkStart w:id="75" w:name="_Toc1795"/>
      <w:bookmarkStart w:id="76" w:name="_Toc23045"/>
      <w:bookmarkStart w:id="77" w:name="_Toc21886"/>
      <w:bookmarkStart w:id="78" w:name="_Toc28058"/>
      <w:bookmarkStart w:id="79" w:name="_Toc24852"/>
      <w:bookmarkStart w:id="80" w:name="_Toc1370"/>
      <w:bookmarkStart w:id="81" w:name="_Toc16764"/>
      <w:bookmarkStart w:id="82" w:name="_Toc30368"/>
      <w:bookmarkStart w:id="83" w:name="_Toc734"/>
      <w:bookmarkStart w:id="84" w:name="_Toc11128"/>
      <w:bookmarkStart w:id="85" w:name="_Toc22478"/>
      <w:bookmarkStart w:id="86" w:name="_Toc27956"/>
      <w:bookmarkStart w:id="87" w:name="_Toc28589"/>
      <w:bookmarkStart w:id="88" w:name="_Toc17374"/>
      <w:bookmarkStart w:id="89" w:name="_Toc37"/>
      <w:bookmarkStart w:id="90" w:name="_Toc18818"/>
      <w:bookmarkStart w:id="91" w:name="_Toc27849"/>
      <w:bookmarkStart w:id="92" w:name="_Toc10905"/>
      <w:bookmarkStart w:id="93" w:name="_Toc27608"/>
      <w:bookmarkStart w:id="94" w:name="_Toc10573"/>
      <w:bookmarkStart w:id="95" w:name="_Toc730"/>
      <w:bookmarkStart w:id="96" w:name="_Toc30161"/>
      <w:r>
        <w:rPr>
          <w:rFonts w:hint="eastAsia" w:ascii="华文仿宋" w:hAnsi="华文仿宋" w:cs="华文仿宋"/>
          <w:color w:val="auto"/>
          <w:sz w:val="28"/>
          <w:szCs w:val="28"/>
          <w:highlight w:val="none"/>
        </w:rPr>
        <w:t>（一）询问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500" w:lineRule="exact"/>
        <w:ind w:firstLine="566" w:firstLineChars="200"/>
        <w:rPr>
          <w:rFonts w:ascii="华文仿宋" w:hAnsi="华文仿宋" w:cs="华文仿宋"/>
          <w:color w:val="auto"/>
          <w:highlight w:val="none"/>
        </w:rPr>
      </w:pPr>
      <w:bookmarkStart w:id="97" w:name="_Toc26397"/>
      <w:bookmarkStart w:id="98" w:name="_Toc25620"/>
      <w:bookmarkStart w:id="99" w:name="_Toc29525"/>
      <w:bookmarkStart w:id="100" w:name="_Toc7423"/>
      <w:bookmarkStart w:id="101" w:name="_Toc23676"/>
      <w:bookmarkStart w:id="102" w:name="_Toc5585"/>
      <w:bookmarkStart w:id="103" w:name="_Toc16663"/>
      <w:bookmarkStart w:id="104" w:name="_Toc17968"/>
      <w:bookmarkStart w:id="105" w:name="_Toc10767"/>
      <w:bookmarkStart w:id="106" w:name="_Toc12755"/>
      <w:bookmarkStart w:id="107" w:name="_Toc2552"/>
      <w:bookmarkStart w:id="108" w:name="_Toc2542"/>
      <w:bookmarkStart w:id="109" w:name="_Toc9752"/>
      <w:bookmarkStart w:id="110" w:name="_Toc18061"/>
      <w:bookmarkStart w:id="111" w:name="_Toc11418"/>
      <w:r>
        <w:rPr>
          <w:rFonts w:hint="eastAsia" w:ascii="华文仿宋" w:hAnsi="华文仿宋" w:cs="华文仿宋"/>
          <w:color w:val="auto"/>
          <w:highlight w:val="none"/>
        </w:rPr>
        <w:t>投标人针对招标文件（包括采购需求、投标人资格条件、商务条款等）和公开/邀请招标资格审查结果依法提出书面询问的，采购人应在三个工作日内书面答复；投标人向陕西省省级单位政府采购中心提出书面询问的，陕西省省级单位政府采购中心应告知采购人并协助采购人做出答复。</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投标人对采购过程（不含公开/邀请招标资格审查结果）、中标（成交）结果，向陕西省省级单位政府采购中心提出书面询问的，陕西省省级单位政府采购中心应在三个工作日内书面答复。</w:t>
      </w:r>
    </w:p>
    <w:p>
      <w:pPr>
        <w:pStyle w:val="4"/>
        <w:spacing w:line="500" w:lineRule="exact"/>
        <w:ind w:firstLine="566" w:firstLineChars="200"/>
        <w:rPr>
          <w:rFonts w:ascii="华文仿宋" w:cs="Times New Roman"/>
          <w:color w:val="auto"/>
          <w:sz w:val="28"/>
          <w:szCs w:val="28"/>
          <w:highlight w:val="none"/>
        </w:rPr>
      </w:pPr>
      <w:bookmarkStart w:id="112" w:name="_Toc17556"/>
      <w:bookmarkStart w:id="113" w:name="_Toc12428"/>
      <w:bookmarkStart w:id="114" w:name="_Toc21561"/>
      <w:bookmarkStart w:id="115" w:name="_Toc9640"/>
      <w:bookmarkStart w:id="116" w:name="_Toc27356"/>
      <w:bookmarkStart w:id="117" w:name="_Toc11623"/>
      <w:bookmarkStart w:id="118" w:name="_Toc6193"/>
      <w:bookmarkStart w:id="119" w:name="_Toc860"/>
      <w:bookmarkStart w:id="120" w:name="_Toc7955"/>
      <w:r>
        <w:rPr>
          <w:rFonts w:hint="eastAsia" w:ascii="华文仿宋" w:hAnsi="华文仿宋" w:cs="华文仿宋"/>
          <w:color w:val="auto"/>
          <w:sz w:val="28"/>
          <w:szCs w:val="28"/>
          <w:highlight w:val="none"/>
        </w:rPr>
        <w:t>（二）现场踏勘及标前答疑会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7"/>
        <w:spacing w:afterLines="0" w:line="500" w:lineRule="exact"/>
        <w:ind w:firstLine="566" w:firstLineChars="200"/>
        <w:rPr>
          <w:color w:val="auto"/>
          <w:highlight w:val="none"/>
        </w:rPr>
      </w:pPr>
      <w:r>
        <w:rPr>
          <w:rFonts w:hint="eastAsia"/>
          <w:color w:val="auto"/>
          <w:highlight w:val="none"/>
        </w:rPr>
        <w:t>采购项目安排现场考察和标前答疑的，采购人应尽量在现场予以解答（口头提问可口头答复），现场不能做出解答的，应在三个工作日内书面答复，并交由</w:t>
      </w:r>
      <w:r>
        <w:rPr>
          <w:rFonts w:hint="eastAsia" w:ascii="华文仿宋" w:hAnsi="华文仿宋" w:cs="华文仿宋"/>
          <w:color w:val="auto"/>
          <w:highlight w:val="none"/>
        </w:rPr>
        <w:t>陕西省省级单位政府采购中心</w:t>
      </w:r>
      <w:r>
        <w:rPr>
          <w:rFonts w:hint="eastAsia"/>
          <w:color w:val="auto"/>
          <w:highlight w:val="none"/>
        </w:rPr>
        <w:t>在财政部门指定的媒体上发布。</w:t>
      </w:r>
    </w:p>
    <w:p>
      <w:pPr>
        <w:spacing w:afterLines="0" w:line="500" w:lineRule="exact"/>
        <w:ind w:firstLine="566" w:firstLineChars="200"/>
        <w:rPr>
          <w:rFonts w:ascii="华文仿宋" w:hAnsi="华文仿宋" w:cs="华文仿宋"/>
          <w:bCs/>
          <w:color w:val="auto"/>
          <w:highlight w:val="none"/>
        </w:rPr>
      </w:pPr>
      <w:r>
        <w:rPr>
          <w:rFonts w:hint="eastAsia"/>
          <w:color w:val="auto"/>
          <w:highlight w:val="none"/>
        </w:rPr>
        <w:t>答复内容可能影响投标文件编制的，应当顺延开标时间。</w:t>
      </w:r>
      <w:r>
        <w:rPr>
          <w:rFonts w:hint="eastAsia" w:ascii="华文仿宋" w:hAnsi="华文仿宋" w:cs="华文仿宋"/>
          <w:bCs/>
          <w:color w:val="auto"/>
          <w:highlight w:val="none"/>
        </w:rPr>
        <w:t>凡未参加现场踏勘和标前答疑的投标人，由此造成的偏差由各投标人自行负责。</w:t>
      </w:r>
    </w:p>
    <w:p>
      <w:pPr>
        <w:spacing w:afterLines="0" w:line="500" w:lineRule="exact"/>
        <w:ind w:firstLine="566" w:firstLineChars="200"/>
        <w:rPr>
          <w:rFonts w:hint="eastAsia" w:ascii="华文仿宋" w:hAnsi="华文仿宋" w:cs="华文仿宋"/>
          <w:b/>
          <w:color w:val="auto"/>
          <w:highlight w:val="none"/>
        </w:rPr>
      </w:pPr>
      <w:r>
        <w:rPr>
          <w:rFonts w:hint="eastAsia" w:ascii="华文仿宋" w:hAnsi="华文仿宋" w:cs="华文仿宋"/>
          <w:b/>
          <w:color w:val="auto"/>
          <w:highlight w:val="none"/>
        </w:rPr>
        <w:t>本项目</w:t>
      </w:r>
      <w:r>
        <w:rPr>
          <w:rFonts w:hint="eastAsia" w:ascii="华文仿宋" w:hAnsi="华文仿宋" w:cs="华文仿宋"/>
          <w:b/>
          <w:color w:val="auto"/>
          <w:highlight w:val="none"/>
          <w:lang w:val="en-US" w:eastAsia="zh-CN"/>
        </w:rPr>
        <w:t>由采购人</w:t>
      </w:r>
      <w:r>
        <w:rPr>
          <w:rFonts w:hint="eastAsia" w:ascii="华文仿宋" w:hAnsi="华文仿宋" w:cs="华文仿宋"/>
          <w:b/>
          <w:color w:val="auto"/>
          <w:highlight w:val="none"/>
        </w:rPr>
        <w:t>组织集中踏勘和标前答疑。</w:t>
      </w:r>
    </w:p>
    <w:p>
      <w:pPr>
        <w:pStyle w:val="2"/>
        <w:spacing w:afterLines="0" w:line="500" w:lineRule="exact"/>
        <w:ind w:firstLine="566" w:firstLineChars="200"/>
        <w:rPr>
          <w:rFonts w:hint="eastAsia" w:ascii="华文仿宋" w:hAnsi="华文仿宋" w:eastAsia="华文仿宋" w:cs="华文仿宋"/>
          <w:b w:val="0"/>
          <w:bCs/>
          <w:color w:val="auto"/>
          <w:sz w:val="28"/>
          <w:szCs w:val="28"/>
          <w:highlight w:val="none"/>
          <w:u w:val="none"/>
          <w:lang w:val="en-US" w:eastAsia="zh-CN"/>
        </w:rPr>
      </w:pPr>
      <w:r>
        <w:rPr>
          <w:rFonts w:hint="eastAsia" w:ascii="华文仿宋" w:hAnsi="华文仿宋" w:eastAsia="华文仿宋" w:cs="华文仿宋"/>
          <w:b w:val="0"/>
          <w:bCs/>
          <w:color w:val="auto"/>
          <w:sz w:val="28"/>
          <w:szCs w:val="28"/>
          <w:highlight w:val="none"/>
          <w:u w:val="none"/>
          <w:lang w:val="en-US" w:eastAsia="zh-CN"/>
        </w:rPr>
        <w:t>踏勘地点：陕西铁路工程职业技术学院高新校区南大门；</w:t>
      </w:r>
    </w:p>
    <w:p>
      <w:pPr>
        <w:pStyle w:val="2"/>
        <w:spacing w:afterLines="0" w:line="500" w:lineRule="exact"/>
        <w:ind w:firstLine="566" w:firstLineChars="200"/>
        <w:rPr>
          <w:rFonts w:hint="eastAsia" w:ascii="华文仿宋" w:hAnsi="华文仿宋" w:cs="华文仿宋"/>
          <w:b w:val="0"/>
          <w:bCs/>
          <w:color w:val="auto"/>
          <w:sz w:val="28"/>
          <w:szCs w:val="28"/>
          <w:highlight w:val="none"/>
          <w:u w:val="none"/>
          <w:lang w:val="en-US" w:eastAsia="zh-CN"/>
        </w:rPr>
      </w:pPr>
      <w:r>
        <w:rPr>
          <w:rFonts w:hint="eastAsia" w:ascii="华文仿宋" w:hAnsi="华文仿宋" w:eastAsia="华文仿宋" w:cs="华文仿宋"/>
          <w:b w:val="0"/>
          <w:bCs/>
          <w:color w:val="auto"/>
          <w:sz w:val="28"/>
          <w:szCs w:val="28"/>
          <w:highlight w:val="none"/>
          <w:u w:val="none"/>
          <w:lang w:val="en-US" w:eastAsia="zh-CN"/>
        </w:rPr>
        <w:t>联系人：雷波</w:t>
      </w:r>
      <w:r>
        <w:rPr>
          <w:rFonts w:hint="eastAsia" w:ascii="华文仿宋" w:hAnsi="华文仿宋" w:cs="华文仿宋"/>
          <w:b w:val="0"/>
          <w:bCs/>
          <w:color w:val="auto"/>
          <w:sz w:val="28"/>
          <w:szCs w:val="28"/>
          <w:highlight w:val="none"/>
          <w:u w:val="none"/>
          <w:lang w:val="en-US" w:eastAsia="zh-CN"/>
        </w:rPr>
        <w:t xml:space="preserve">   </w:t>
      </w:r>
      <w:r>
        <w:rPr>
          <w:rFonts w:hint="eastAsia" w:ascii="华文仿宋" w:hAnsi="华文仿宋" w:eastAsia="华文仿宋" w:cs="华文仿宋"/>
          <w:b w:val="0"/>
          <w:bCs/>
          <w:color w:val="auto"/>
          <w:sz w:val="28"/>
          <w:szCs w:val="28"/>
          <w:highlight w:val="none"/>
          <w:u w:val="none"/>
          <w:lang w:val="en-US" w:eastAsia="zh-CN"/>
        </w:rPr>
        <w:t>联系方式：15091435676</w:t>
      </w:r>
      <w:r>
        <w:rPr>
          <w:rFonts w:hint="eastAsia" w:ascii="华文仿宋" w:hAnsi="华文仿宋" w:cs="华文仿宋"/>
          <w:b w:val="0"/>
          <w:bCs/>
          <w:color w:val="auto"/>
          <w:sz w:val="28"/>
          <w:szCs w:val="28"/>
          <w:highlight w:val="none"/>
          <w:u w:val="none"/>
          <w:lang w:val="en-US" w:eastAsia="zh-CN"/>
        </w:rPr>
        <w:t>；</w:t>
      </w:r>
    </w:p>
    <w:p>
      <w:pPr>
        <w:pStyle w:val="2"/>
        <w:spacing w:afterLines="0" w:line="500" w:lineRule="exact"/>
        <w:ind w:firstLine="566" w:firstLineChars="200"/>
        <w:rPr>
          <w:rFonts w:hint="default" w:ascii="华文仿宋" w:hAnsi="华文仿宋" w:cs="华文仿宋"/>
          <w:b w:val="0"/>
          <w:bCs/>
          <w:color w:val="auto"/>
          <w:sz w:val="28"/>
          <w:szCs w:val="28"/>
          <w:highlight w:val="none"/>
        </w:rPr>
      </w:pPr>
      <w:r>
        <w:rPr>
          <w:rFonts w:hint="eastAsia" w:ascii="华文仿宋" w:hAnsi="华文仿宋" w:cs="华文仿宋"/>
          <w:b w:val="0"/>
          <w:bCs/>
          <w:color w:val="auto"/>
          <w:sz w:val="28"/>
          <w:szCs w:val="28"/>
          <w:highlight w:val="none"/>
          <w:u w:val="none"/>
          <w:lang w:val="en-US" w:eastAsia="zh-CN"/>
        </w:rPr>
        <w:t>踏勘时间：2023年 5 月29 日上午9点。</w:t>
      </w:r>
    </w:p>
    <w:p>
      <w:pPr>
        <w:pStyle w:val="4"/>
        <w:spacing w:line="500" w:lineRule="exact"/>
        <w:ind w:firstLine="566" w:firstLineChars="200"/>
        <w:rPr>
          <w:rFonts w:ascii="华文仿宋" w:cs="Times New Roman"/>
          <w:color w:val="auto"/>
          <w:sz w:val="28"/>
          <w:szCs w:val="28"/>
          <w:highlight w:val="none"/>
        </w:rPr>
      </w:pPr>
      <w:bookmarkStart w:id="121" w:name="_Toc30373"/>
      <w:bookmarkStart w:id="122" w:name="_Toc20548"/>
      <w:bookmarkStart w:id="123" w:name="_Toc12086"/>
      <w:bookmarkStart w:id="124" w:name="_Toc31489"/>
      <w:bookmarkStart w:id="125" w:name="_Toc23122"/>
      <w:bookmarkStart w:id="126" w:name="_Toc25161"/>
      <w:bookmarkStart w:id="127" w:name="_Toc19048"/>
      <w:bookmarkStart w:id="128" w:name="_Toc13711"/>
      <w:bookmarkStart w:id="129" w:name="_Toc21760"/>
      <w:bookmarkStart w:id="130" w:name="_Toc7114"/>
      <w:bookmarkStart w:id="131" w:name="_Toc11479"/>
      <w:bookmarkStart w:id="132" w:name="_Toc29658"/>
      <w:bookmarkStart w:id="133" w:name="_Toc13487"/>
      <w:bookmarkStart w:id="134" w:name="_Toc4494"/>
      <w:bookmarkStart w:id="135" w:name="_Toc15669"/>
      <w:bookmarkStart w:id="136" w:name="_Toc2"/>
      <w:bookmarkStart w:id="137" w:name="_Toc17393"/>
      <w:bookmarkStart w:id="138" w:name="_Toc7492"/>
      <w:bookmarkStart w:id="139" w:name="_Toc32452"/>
      <w:bookmarkStart w:id="140" w:name="_Toc9167"/>
      <w:bookmarkStart w:id="141" w:name="_Toc25374"/>
      <w:bookmarkStart w:id="142" w:name="_Toc24893"/>
      <w:bookmarkStart w:id="143" w:name="_Toc28768"/>
      <w:bookmarkStart w:id="144" w:name="_Toc19650"/>
      <w:r>
        <w:rPr>
          <w:rFonts w:hint="eastAsia" w:ascii="华文仿宋" w:hAnsi="华文仿宋" w:cs="华文仿宋"/>
          <w:color w:val="auto"/>
          <w:sz w:val="28"/>
          <w:szCs w:val="28"/>
          <w:highlight w:val="none"/>
        </w:rPr>
        <w:t>（三）质疑和投诉</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投标人如果认为招标文件（包括采购需求、投标人资格条件、商务条款等）使自身的合法权益受到损害，可以在获取招标文件之日起７个工作日内，以书面形式向采购人提出质疑；投标人如果认为采购过程</w:t>
      </w:r>
      <w:r>
        <w:rPr>
          <w:rFonts w:hint="eastAsia" w:ascii="仿宋" w:hAnsi="仿宋" w:eastAsia="仿宋" w:cs="仿宋"/>
          <w:bCs/>
          <w:color w:val="auto"/>
          <w:highlight w:val="none"/>
        </w:rPr>
        <w:t>（不含公开/邀请招标资格审查结果）</w:t>
      </w:r>
      <w:r>
        <w:rPr>
          <w:rFonts w:hint="eastAsia" w:ascii="华文仿宋" w:hAnsi="华文仿宋" w:cs="华文仿宋"/>
          <w:color w:val="auto"/>
          <w:highlight w:val="none"/>
        </w:rPr>
        <w:t>或中标结果使自身的合法权益受到损害，可以在知道或应知其权益受到损害之日起7个工作日内，以书面形式向陕西省省级单位政府采购中心提出质疑。</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、投标人提出质疑应当提交质疑函和必要的证明材料，并按财政部《质疑函范本》给定的格式进行填写，范本下载详见【财政部国库司（gks.mof.gov.cn）】网站〖首页</w:t>
      </w:r>
      <w:r>
        <w:rPr>
          <w:rFonts w:ascii="华文仿宋" w:cs="Times New Roman"/>
          <w:color w:val="auto"/>
          <w:highlight w:val="none"/>
        </w:rPr>
        <w:t>•</w:t>
      </w:r>
      <w:r>
        <w:rPr>
          <w:rFonts w:hint="eastAsia" w:ascii="华文仿宋" w:hAnsi="华文仿宋" w:cs="华文仿宋"/>
          <w:color w:val="auto"/>
          <w:highlight w:val="none"/>
        </w:rPr>
        <w:t>〉政府采购管理〗栏目中的《政府采购供应商质疑函范本》。</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《政府采购供应商质疑函范本》链接地址：</w:t>
      </w:r>
    </w:p>
    <w:p>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http://gks.mof.gov.cn/ztztz/zhengfucaigouguanli/201802/t20180201_2804589.htm</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、在法定质疑期内，针对同一采购程序环节的质疑应当一次性提出。陕西省省级单位政府采购中心或采购人将在收到书面质疑后</w:t>
      </w:r>
      <w:r>
        <w:rPr>
          <w:rFonts w:ascii="仿宋" w:hAnsi="仿宋" w:eastAsia="仿宋" w:cs="仿宋"/>
          <w:color w:val="auto"/>
          <w:highlight w:val="none"/>
        </w:rPr>
        <w:t>7</w:t>
      </w:r>
      <w:r>
        <w:rPr>
          <w:rFonts w:hint="eastAsia" w:ascii="华文仿宋" w:hAnsi="华文仿宋" w:cs="华文仿宋"/>
          <w:color w:val="auto"/>
          <w:highlight w:val="none"/>
        </w:rPr>
        <w:t>个工作日内做出答复，并以书面形式通知质疑人和其他有关投标人。</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、有下列情形之一的，属于无效质疑，陕西省省级单位政府采购中心和采购人不予受理：</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）质疑人不是参与本次政府采购项目的投标人或潜在投标人；</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）质疑人与质疑事项不存在利害关系的；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3</w:t>
      </w:r>
      <w:r>
        <w:rPr>
          <w:rFonts w:hint="eastAsia" w:ascii="华文仿宋" w:hAnsi="华文仿宋" w:cs="华文仿宋"/>
          <w:color w:val="auto"/>
          <w:highlight w:val="none"/>
        </w:rPr>
        <w:t>）未在法定期限内提出质疑的；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4</w:t>
      </w:r>
      <w:r>
        <w:rPr>
          <w:rFonts w:hint="eastAsia" w:ascii="华文仿宋" w:hAnsi="华文仿宋" w:cs="华文仿宋"/>
          <w:color w:val="auto"/>
          <w:highlight w:val="none"/>
        </w:rPr>
        <w:t>）质疑未以书面形式提出，或质疑函主要内容构成不完整的，或缺乏必要的证明材料及证明材料不完整的；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5</w:t>
      </w:r>
      <w:r>
        <w:rPr>
          <w:rFonts w:hint="eastAsia" w:ascii="华文仿宋" w:hAnsi="华文仿宋" w:cs="华文仿宋"/>
          <w:color w:val="auto"/>
          <w:highlight w:val="none"/>
        </w:rPr>
        <w:t>）质疑函没有合法有效的签字、盖章或授权的；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6</w:t>
      </w:r>
      <w:r>
        <w:rPr>
          <w:rFonts w:hint="eastAsia" w:ascii="华文仿宋" w:hAnsi="华文仿宋" w:cs="华文仿宋"/>
          <w:color w:val="auto"/>
          <w:highlight w:val="none"/>
        </w:rPr>
        <w:t>）以非法手段取得证据、材料的；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7</w:t>
      </w:r>
      <w:r>
        <w:rPr>
          <w:rFonts w:hint="eastAsia" w:ascii="华文仿宋" w:hAnsi="华文仿宋" w:cs="华文仿宋"/>
          <w:color w:val="auto"/>
          <w:highlight w:val="none"/>
        </w:rPr>
        <w:t>）质疑答复后，同一质疑人就同一事项再次提出质疑的；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8</w:t>
      </w:r>
      <w:r>
        <w:rPr>
          <w:rFonts w:hint="eastAsia" w:ascii="华文仿宋" w:hAnsi="华文仿宋" w:cs="华文仿宋"/>
          <w:color w:val="auto"/>
          <w:highlight w:val="none"/>
        </w:rPr>
        <w:t>）不符合法律、法规、规章和政府采购监管机构规定的其他条件的。</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5</w:t>
      </w:r>
      <w:r>
        <w:rPr>
          <w:rFonts w:hint="eastAsia" w:ascii="华文仿宋" w:hAnsi="华文仿宋" w:cs="华文仿宋"/>
          <w:color w:val="auto"/>
          <w:highlight w:val="none"/>
        </w:rPr>
        <w:t>、质疑人对陕西省省级单位政府采购中心或采购人的答复不满意，以及陕西省省级单位政府采购中心或采购人未在规定时间内做出答复的，可以在答复期满后</w:t>
      </w:r>
      <w:r>
        <w:rPr>
          <w:rFonts w:ascii="仿宋" w:hAnsi="仿宋" w:eastAsia="仿宋" w:cs="仿宋"/>
          <w:color w:val="auto"/>
          <w:highlight w:val="none"/>
        </w:rPr>
        <w:t>15</w:t>
      </w:r>
      <w:r>
        <w:rPr>
          <w:rFonts w:hint="eastAsia" w:ascii="华文仿宋" w:hAnsi="华文仿宋" w:cs="华文仿宋"/>
          <w:color w:val="auto"/>
          <w:highlight w:val="none"/>
        </w:rPr>
        <w:t>个工作日内向政府采购监管机构提出投诉。</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6</w:t>
      </w:r>
      <w:r>
        <w:rPr>
          <w:rFonts w:hint="eastAsia" w:ascii="华文仿宋" w:hAnsi="华文仿宋" w:cs="华文仿宋"/>
          <w:color w:val="auto"/>
          <w:highlight w:val="none"/>
        </w:rPr>
        <w:t>、投标人投诉的事项不得超出已质疑事项的范围。</w:t>
      </w:r>
    </w:p>
    <w:p>
      <w:pPr>
        <w:spacing w:line="500" w:lineRule="exact"/>
        <w:ind w:firstLine="566" w:firstLineChars="200"/>
        <w:rPr>
          <w:rFonts w:ascii="华文仿宋" w:cs="Times New Roman"/>
          <w:b/>
          <w:bCs/>
          <w:color w:val="auto"/>
          <w:highlight w:val="none"/>
        </w:rPr>
      </w:pPr>
      <w:r>
        <w:rPr>
          <w:rFonts w:ascii="华文仿宋" w:hAnsi="华文仿宋" w:cs="华文仿宋"/>
          <w:color w:val="auto"/>
          <w:highlight w:val="none"/>
        </w:rPr>
        <w:t>7</w:t>
      </w:r>
      <w:r>
        <w:rPr>
          <w:rFonts w:hint="eastAsia" w:ascii="华文仿宋" w:hAnsi="华文仿宋" w:cs="华文仿宋"/>
          <w:color w:val="auto"/>
          <w:highlight w:val="none"/>
        </w:rPr>
        <w:t>、</w:t>
      </w:r>
      <w:r>
        <w:rPr>
          <w:rFonts w:hint="eastAsia" w:ascii="华文仿宋" w:hAnsi="华文仿宋" w:cs="华文仿宋"/>
          <w:b/>
          <w:bCs/>
          <w:color w:val="auto"/>
          <w:highlight w:val="none"/>
        </w:rPr>
        <w:t>对捏造事实、提供虚假材料进行质疑、投诉的行为予以严肃处理：</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依据《中华人民共和国政府采购法》及其实施条例、《政府采购货物和服务招标投标管理办法》（财政部令第87号）、《政府采购质疑和投诉办法》等法律法规的规定，投标人质疑、投诉应当有明确的请求和必要的证明材料。</w:t>
      </w:r>
      <w:r>
        <w:rPr>
          <w:rFonts w:hint="eastAsia" w:ascii="华文仿宋" w:hAnsi="华文仿宋" w:cs="华文仿宋"/>
          <w:b/>
          <w:bCs/>
          <w:color w:val="auto"/>
          <w:highlight w:val="none"/>
        </w:rPr>
        <w:t>投诉人在全国范围内十二个月内三次以上投诉查无实据的，由财政部门列入不良行为记录名单。</w:t>
      </w:r>
      <w:r>
        <w:rPr>
          <w:rFonts w:hint="eastAsia" w:ascii="华文仿宋" w:hAnsi="华文仿宋" w:cs="华文仿宋"/>
          <w:color w:val="auto"/>
          <w:highlight w:val="none"/>
        </w:rPr>
        <w:t>对于捏造事实、提供虚假材料或者以非法手段取得证明材料进行投诉的，财政部门应当予以驳回，并将其列入不良行为记录名单，禁止其一至三年内参加政府采购活动。</w:t>
      </w:r>
    </w:p>
    <w:p>
      <w:pPr>
        <w:spacing w:line="500" w:lineRule="exact"/>
        <w:ind w:firstLine="566" w:firstLineChars="200"/>
        <w:rPr>
          <w:rFonts w:ascii="华文仿宋" w:cs="Times New Roman"/>
          <w:b/>
          <w:bCs/>
          <w:color w:val="auto"/>
          <w:highlight w:val="none"/>
        </w:rPr>
      </w:pPr>
      <w:r>
        <w:rPr>
          <w:rFonts w:ascii="华文仿宋" w:hAnsi="华文仿宋" w:cs="华文仿宋"/>
          <w:color w:val="auto"/>
          <w:highlight w:val="none"/>
        </w:rPr>
        <w:t>8</w:t>
      </w:r>
      <w:r>
        <w:rPr>
          <w:rFonts w:hint="eastAsia" w:ascii="华文仿宋" w:hAnsi="华文仿宋" w:cs="华文仿宋"/>
          <w:color w:val="auto"/>
          <w:highlight w:val="none"/>
        </w:rPr>
        <w:t>、</w:t>
      </w:r>
      <w:r>
        <w:rPr>
          <w:rFonts w:hint="eastAsia" w:ascii="华文仿宋" w:hAnsi="华文仿宋" w:cs="华文仿宋"/>
          <w:b/>
          <w:bCs/>
          <w:color w:val="auto"/>
          <w:highlight w:val="none"/>
        </w:rPr>
        <w:t>对捏造事实诬告陷害他人、诽谤他人的法律适用：</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《中华人民共和国刑法》第</w:t>
      </w:r>
      <w:r>
        <w:rPr>
          <w:rFonts w:ascii="仿宋" w:hAnsi="仿宋" w:eastAsia="仿宋" w:cs="仿宋"/>
          <w:color w:val="auto"/>
          <w:highlight w:val="none"/>
        </w:rPr>
        <w:t>243</w:t>
      </w:r>
      <w:r>
        <w:rPr>
          <w:rFonts w:hint="eastAsia" w:ascii="华文仿宋" w:hAnsi="华文仿宋" w:cs="华文仿宋"/>
          <w:color w:val="auto"/>
          <w:highlight w:val="none"/>
        </w:rPr>
        <w:t>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《中华人民共和国刑法》第</w:t>
      </w:r>
      <w:r>
        <w:rPr>
          <w:rFonts w:ascii="仿宋" w:hAnsi="仿宋" w:eastAsia="仿宋" w:cs="仿宋"/>
          <w:color w:val="auto"/>
          <w:highlight w:val="none"/>
        </w:rPr>
        <w:t>246</w:t>
      </w:r>
      <w:r>
        <w:rPr>
          <w:rFonts w:hint="eastAsia" w:ascii="华文仿宋" w:hAnsi="华文仿宋" w:cs="华文仿宋"/>
          <w:color w:val="auto"/>
          <w:highlight w:val="none"/>
        </w:rPr>
        <w:t>条【侮辱罪、诽谤罪】以暴力或者其他方法公然侮辱他人或者捏造事实诽谤他人，情节严重的，处三年以下有期徒刑、拘役、管制或者剥夺政治权利。</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9</w:t>
      </w:r>
      <w:r>
        <w:rPr>
          <w:rFonts w:hint="eastAsia" w:ascii="华文仿宋" w:hAnsi="华文仿宋" w:cs="华文仿宋"/>
          <w:color w:val="auto"/>
          <w:highlight w:val="none"/>
        </w:rPr>
        <w:t>、质疑函递交地址：陕西省公共资源交易中心交易受理处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联系电话：</w:t>
      </w:r>
      <w:r>
        <w:rPr>
          <w:rFonts w:ascii="仿宋" w:hAnsi="仿宋" w:eastAsia="仿宋" w:cs="仿宋"/>
          <w:color w:val="auto"/>
          <w:highlight w:val="none"/>
        </w:rPr>
        <w:t>029-88661258</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投诉书递交地址：西安市莲湖区冰窖巷</w:t>
      </w:r>
      <w:r>
        <w:rPr>
          <w:rFonts w:ascii="仿宋" w:hAnsi="仿宋" w:eastAsia="仿宋" w:cs="仿宋"/>
          <w:color w:val="auto"/>
          <w:highlight w:val="none"/>
        </w:rPr>
        <w:t>6</w:t>
      </w:r>
      <w:r>
        <w:rPr>
          <w:rFonts w:hint="eastAsia" w:ascii="华文仿宋" w:hAnsi="华文仿宋" w:cs="华文仿宋"/>
          <w:color w:val="auto"/>
          <w:highlight w:val="none"/>
        </w:rPr>
        <w:t>号陕西省财政厅</w:t>
      </w:r>
      <w:r>
        <w:rPr>
          <w:rFonts w:ascii="仿宋" w:hAnsi="仿宋" w:eastAsia="仿宋" w:cs="仿宋"/>
          <w:color w:val="auto"/>
          <w:highlight w:val="none"/>
        </w:rPr>
        <w:t>509</w:t>
      </w:r>
      <w:r>
        <w:rPr>
          <w:rFonts w:hint="eastAsia" w:ascii="华文仿宋" w:hAnsi="华文仿宋" w:cs="华文仿宋"/>
          <w:color w:val="auto"/>
          <w:highlight w:val="none"/>
        </w:rPr>
        <w:t>室</w:t>
      </w:r>
    </w:p>
    <w:p>
      <w:pPr>
        <w:spacing w:line="500" w:lineRule="exact"/>
        <w:ind w:firstLine="566" w:firstLineChars="200"/>
        <w:rPr>
          <w:rFonts w:ascii="华文仿宋" w:cs="Times New Roman"/>
          <w:color w:val="auto"/>
          <w:highlight w:val="none"/>
          <w:u w:val="single"/>
        </w:rPr>
      </w:pPr>
      <w:r>
        <w:rPr>
          <w:rFonts w:hint="eastAsia" w:ascii="华文仿宋" w:hAnsi="华文仿宋" w:cs="华文仿宋"/>
          <w:color w:val="auto"/>
          <w:highlight w:val="none"/>
        </w:rPr>
        <w:t>联系电话：</w:t>
      </w:r>
      <w:r>
        <w:rPr>
          <w:rFonts w:ascii="仿宋" w:hAnsi="仿宋" w:eastAsia="仿宋" w:cs="仿宋"/>
          <w:color w:val="auto"/>
          <w:highlight w:val="none"/>
        </w:rPr>
        <w:t>029-68936154</w:t>
      </w:r>
    </w:p>
    <w:p>
      <w:pPr>
        <w:pStyle w:val="4"/>
        <w:spacing w:line="500" w:lineRule="exact"/>
        <w:ind w:firstLine="566" w:firstLineChars="200"/>
        <w:rPr>
          <w:rFonts w:ascii="华文仿宋" w:cs="Times New Roman"/>
          <w:color w:val="auto"/>
          <w:sz w:val="28"/>
          <w:szCs w:val="28"/>
          <w:highlight w:val="none"/>
        </w:rPr>
      </w:pPr>
      <w:bookmarkStart w:id="145" w:name="_Toc10327"/>
      <w:bookmarkStart w:id="146" w:name="_Toc8591"/>
      <w:bookmarkStart w:id="147" w:name="_Toc13615"/>
      <w:bookmarkStart w:id="148" w:name="_Toc7801"/>
      <w:bookmarkStart w:id="149" w:name="_Toc3487"/>
      <w:bookmarkStart w:id="150" w:name="_Toc2698"/>
      <w:bookmarkStart w:id="151" w:name="_Toc6125"/>
      <w:bookmarkStart w:id="152" w:name="_Toc6747"/>
      <w:bookmarkStart w:id="153" w:name="_Toc6063"/>
      <w:bookmarkStart w:id="154" w:name="_Toc12966"/>
      <w:bookmarkStart w:id="155" w:name="_Toc18065"/>
      <w:bookmarkStart w:id="156" w:name="_Toc29424"/>
      <w:bookmarkStart w:id="157" w:name="_Toc32709"/>
      <w:r>
        <w:rPr>
          <w:rFonts w:hint="eastAsia" w:ascii="华文仿宋" w:hAnsi="华文仿宋" w:cs="华文仿宋"/>
          <w:color w:val="auto"/>
          <w:sz w:val="28"/>
          <w:szCs w:val="28"/>
          <w:highlight w:val="none"/>
        </w:rPr>
        <w:t>（四）关于信用记录的查询和使用</w:t>
      </w:r>
      <w:bookmarkEnd w:id="145"/>
      <w:bookmarkEnd w:id="146"/>
      <w:bookmarkEnd w:id="147"/>
      <w:bookmarkEnd w:id="148"/>
      <w:bookmarkEnd w:id="149"/>
      <w:bookmarkEnd w:id="150"/>
      <w:bookmarkEnd w:id="151"/>
      <w:bookmarkEnd w:id="152"/>
      <w:bookmarkEnd w:id="153"/>
      <w:bookmarkEnd w:id="154"/>
      <w:bookmarkEnd w:id="155"/>
      <w:bookmarkEnd w:id="156"/>
      <w:bookmarkEnd w:id="157"/>
    </w:p>
    <w:p>
      <w:pPr>
        <w:wordWrap w:val="0"/>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、采购人将在资格审查阶段通过【</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8"/>
          <w:rFonts w:hint="eastAsia" w:ascii="华文仿宋" w:hAnsi="华文仿宋" w:cs="华文仿宋"/>
          <w:color w:val="auto"/>
          <w:sz w:val="28"/>
          <w:szCs w:val="28"/>
          <w:highlight w:val="none"/>
        </w:rPr>
        <w:t>信用中国</w:t>
      </w:r>
      <w:r>
        <w:rPr>
          <w:rStyle w:val="28"/>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t>
      </w:r>
      <w:r>
        <w:rPr>
          <w:rFonts w:ascii="仿宋" w:hAnsi="仿宋" w:eastAsia="仿宋" w:cs="仿宋"/>
          <w:color w:val="auto"/>
          <w:highlight w:val="none"/>
        </w:rPr>
        <w:t>www.creditchina.gov.cn</w:t>
      </w:r>
      <w:r>
        <w:rPr>
          <w:rFonts w:hint="eastAsia" w:ascii="华文仿宋" w:hAnsi="华文仿宋" w:cs="华文仿宋"/>
          <w:color w:val="auto"/>
          <w:highlight w:val="none"/>
        </w:rPr>
        <w:t>）】、【</w:t>
      </w:r>
      <w:r>
        <w:rPr>
          <w:color w:val="auto"/>
          <w:highlight w:val="none"/>
        </w:rPr>
        <w:fldChar w:fldCharType="begin"/>
      </w:r>
      <w:r>
        <w:rPr>
          <w:color w:val="auto"/>
          <w:highlight w:val="none"/>
        </w:rPr>
        <w:instrText xml:space="preserve"> HYPERLINK "http://www.ccgp.gov.cn/cr/list" </w:instrText>
      </w:r>
      <w:r>
        <w:rPr>
          <w:color w:val="auto"/>
          <w:highlight w:val="none"/>
        </w:rPr>
        <w:fldChar w:fldCharType="separate"/>
      </w:r>
      <w:r>
        <w:rPr>
          <w:rStyle w:val="28"/>
          <w:rFonts w:hint="eastAsia" w:ascii="华文仿宋" w:hAnsi="华文仿宋" w:cs="华文仿宋"/>
          <w:color w:val="auto"/>
          <w:sz w:val="28"/>
          <w:szCs w:val="28"/>
          <w:highlight w:val="none"/>
        </w:rPr>
        <w:t>中国政府采购网</w:t>
      </w:r>
      <w:r>
        <w:rPr>
          <w:rStyle w:val="28"/>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t>
      </w:r>
      <w:r>
        <w:rPr>
          <w:rFonts w:ascii="仿宋" w:hAnsi="仿宋" w:eastAsia="仿宋" w:cs="仿宋"/>
          <w:color w:val="auto"/>
          <w:highlight w:val="none"/>
        </w:rPr>
        <w:t>www.ccgp.gov.cn</w:t>
      </w:r>
      <w:r>
        <w:rPr>
          <w:rFonts w:hint="eastAsia" w:ascii="华文仿宋" w:hAnsi="华文仿宋" w:cs="华文仿宋"/>
          <w:color w:val="auto"/>
          <w:highlight w:val="none"/>
        </w:rPr>
        <w:t>）】网站对投标文件中的《供应商信用记录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w:t>
      </w:r>
      <w:r>
        <w:rPr>
          <w:rFonts w:hint="eastAsia" w:ascii="仿宋" w:hAnsi="仿宋" w:eastAsia="仿宋" w:cs="仿宋"/>
          <w:color w:val="auto"/>
          <w:highlight w:val="none"/>
        </w:rPr>
        <w:t>〔</w:t>
      </w:r>
      <w:r>
        <w:rPr>
          <w:rFonts w:ascii="仿宋" w:hAnsi="仿宋" w:eastAsia="仿宋" w:cs="仿宋"/>
          <w:color w:val="auto"/>
          <w:highlight w:val="none"/>
        </w:rPr>
        <w:t>2016</w:t>
      </w:r>
      <w:r>
        <w:rPr>
          <w:rFonts w:hint="eastAsia" w:ascii="仿宋" w:hAnsi="仿宋" w:eastAsia="仿宋" w:cs="仿宋"/>
          <w:color w:val="auto"/>
          <w:highlight w:val="none"/>
        </w:rPr>
        <w:t>〕</w:t>
      </w:r>
      <w:r>
        <w:rPr>
          <w:rFonts w:ascii="仿宋" w:hAnsi="仿宋" w:eastAsia="仿宋" w:cs="仿宋"/>
          <w:color w:val="auto"/>
          <w:highlight w:val="none"/>
        </w:rPr>
        <w:t>125</w:t>
      </w:r>
      <w:r>
        <w:rPr>
          <w:rFonts w:hint="eastAsia" w:ascii="华文仿宋" w:hAnsi="华文仿宋" w:cs="华文仿宋"/>
          <w:color w:val="auto"/>
          <w:highlight w:val="none"/>
        </w:rPr>
        <w:t>号）的第二条第（三）款规定，其投标或成交资格将被取消。</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、投标人在参加政府采购活动前</w:t>
      </w:r>
      <w:r>
        <w:rPr>
          <w:rFonts w:ascii="仿宋" w:hAnsi="仿宋" w:eastAsia="仿宋" w:cs="仿宋"/>
          <w:color w:val="auto"/>
          <w:highlight w:val="none"/>
        </w:rPr>
        <w:t>3</w:t>
      </w:r>
      <w:r>
        <w:rPr>
          <w:rFonts w:hint="eastAsia" w:ascii="华文仿宋" w:hAnsi="华文仿宋" w:cs="华文仿宋"/>
          <w:color w:val="auto"/>
          <w:highlight w:val="none"/>
        </w:rPr>
        <w:t>年内因违法经营被禁止在一定期限内参加政府采购活动，期限届满的，可以参加政府采购活动的，但投标人应提供相关证明材料。</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投标人信用记录及企业基本信息查询的时间段为“招标公告发布之日（含当日）至提交投标文件截止之日（含当日）”。信用记录及企业基本信息查询的结果，可以纸质截图或将截图保存至电子介质的形式留存。投标人未如实填报《供应商信用记录书面声明函》的，视为“投标人提供虚假材料谋取中标、成交的”行为。</w:t>
      </w:r>
    </w:p>
    <w:p>
      <w:pPr>
        <w:spacing w:line="500" w:lineRule="exact"/>
        <w:ind w:firstLine="566" w:firstLineChars="200"/>
        <w:rPr>
          <w:rFonts w:ascii="华文仿宋" w:cs="Times New Roman"/>
          <w:b/>
          <w:bCs/>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pPr>
        <w:pStyle w:val="4"/>
        <w:spacing w:line="500" w:lineRule="exact"/>
        <w:ind w:firstLine="566" w:firstLineChars="200"/>
        <w:rPr>
          <w:rFonts w:ascii="华文仿宋" w:cs="Times New Roman"/>
          <w:color w:val="auto"/>
          <w:sz w:val="28"/>
          <w:szCs w:val="28"/>
          <w:highlight w:val="none"/>
        </w:rPr>
      </w:pPr>
      <w:bookmarkStart w:id="158" w:name="_Toc7552"/>
      <w:bookmarkStart w:id="159" w:name="_Toc7521"/>
      <w:bookmarkStart w:id="160" w:name="_Toc2762"/>
      <w:bookmarkStart w:id="161" w:name="_Toc31225"/>
      <w:bookmarkStart w:id="162" w:name="_Toc17203"/>
      <w:bookmarkStart w:id="163" w:name="_Toc15680"/>
      <w:bookmarkStart w:id="164" w:name="_Toc12077"/>
      <w:bookmarkStart w:id="165" w:name="_Toc22297"/>
      <w:bookmarkStart w:id="166" w:name="_Toc7784"/>
      <w:bookmarkStart w:id="167" w:name="_Toc5640"/>
      <w:bookmarkStart w:id="168" w:name="_Toc20160"/>
      <w:bookmarkStart w:id="169" w:name="_Toc13983"/>
      <w:bookmarkStart w:id="170" w:name="_Toc11972"/>
      <w:r>
        <w:rPr>
          <w:rFonts w:hint="eastAsia" w:ascii="华文仿宋" w:hAnsi="华文仿宋" w:cs="华文仿宋"/>
          <w:color w:val="auto"/>
          <w:sz w:val="28"/>
          <w:szCs w:val="28"/>
          <w:highlight w:val="none"/>
        </w:rPr>
        <w:t>（五）落实的政府采购政策</w:t>
      </w:r>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line="500" w:lineRule="exact"/>
        <w:ind w:firstLine="566" w:firstLineChars="200"/>
        <w:rPr>
          <w:rFonts w:ascii="华文仿宋" w:hAnsi="华文仿宋" w:cs="华文仿宋"/>
          <w:color w:val="auto"/>
          <w:highlight w:val="none"/>
        </w:rPr>
      </w:pPr>
      <w:bookmarkStart w:id="171" w:name="_Toc2301"/>
      <w:bookmarkStart w:id="172" w:name="_Toc23236"/>
      <w:bookmarkStart w:id="173" w:name="_Toc29629"/>
      <w:bookmarkStart w:id="174" w:name="_Toc12893"/>
      <w:bookmarkStart w:id="175" w:name="_Toc22218"/>
      <w:bookmarkStart w:id="176" w:name="_Toc4320"/>
      <w:bookmarkStart w:id="177" w:name="_Toc21422"/>
      <w:bookmarkStart w:id="178" w:name="_Toc10798"/>
      <w:bookmarkStart w:id="179" w:name="_Toc13054"/>
      <w:r>
        <w:rPr>
          <w:rFonts w:ascii="华文仿宋" w:hAnsi="华文仿宋" w:cs="华文仿宋"/>
          <w:color w:val="auto"/>
          <w:highlight w:val="none"/>
        </w:rPr>
        <w:t>1</w:t>
      </w:r>
      <w:r>
        <w:rPr>
          <w:rFonts w:hint="eastAsia" w:ascii="华文仿宋" w:hAnsi="华文仿宋" w:cs="华文仿宋"/>
          <w:color w:val="auto"/>
          <w:highlight w:val="none"/>
        </w:rPr>
        <w:t>、根据《政府采购促进中小企业发展管理办法》（财库</w:t>
      </w:r>
      <w:r>
        <w:rPr>
          <w:rFonts w:hint="eastAsia" w:ascii="仿宋" w:hAnsi="仿宋" w:eastAsia="仿宋" w:cs="仿宋"/>
          <w:color w:val="auto"/>
          <w:highlight w:val="none"/>
        </w:rPr>
        <w:t>〔</w:t>
      </w:r>
      <w:r>
        <w:rPr>
          <w:rFonts w:ascii="仿宋" w:hAnsi="仿宋" w:eastAsia="仿宋" w:cs="仿宋"/>
          <w:color w:val="auto"/>
          <w:highlight w:val="none"/>
        </w:rPr>
        <w:t>20</w:t>
      </w:r>
      <w:r>
        <w:rPr>
          <w:rFonts w:hint="eastAsia" w:ascii="仿宋" w:hAnsi="仿宋" w:eastAsia="仿宋" w:cs="仿宋"/>
          <w:color w:val="auto"/>
          <w:highlight w:val="none"/>
        </w:rPr>
        <w:t>20〕46</w:t>
      </w:r>
      <w:r>
        <w:rPr>
          <w:rFonts w:hint="eastAsia" w:ascii="华文仿宋" w:hAnsi="华文仿宋" w:cs="华文仿宋"/>
          <w:color w:val="auto"/>
          <w:highlight w:val="none"/>
        </w:rPr>
        <w:t>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w:t>
      </w:r>
      <w:r>
        <w:rPr>
          <w:rFonts w:ascii="仿宋" w:hAnsi="仿宋" w:eastAsia="仿宋" w:cs="仿宋"/>
          <w:color w:val="auto"/>
          <w:highlight w:val="none"/>
        </w:rPr>
        <w:t>6%-10%</w:t>
      </w:r>
      <w:r>
        <w:rPr>
          <w:rFonts w:hint="eastAsia" w:ascii="华文仿宋" w:hAnsi="华文仿宋" w:cs="华文仿宋"/>
          <w:color w:val="auto"/>
          <w:highlight w:val="none"/>
        </w:rPr>
        <w:t>的价格扣除，工程项目给予3</w:t>
      </w:r>
      <w:r>
        <w:rPr>
          <w:rFonts w:ascii="仿宋" w:hAnsi="仿宋" w:eastAsia="仿宋" w:cs="仿宋"/>
          <w:color w:val="auto"/>
          <w:highlight w:val="none"/>
        </w:rPr>
        <w:t>%-</w:t>
      </w:r>
      <w:r>
        <w:rPr>
          <w:rFonts w:hint="eastAsia" w:ascii="仿宋" w:hAnsi="仿宋" w:eastAsia="仿宋" w:cs="仿宋"/>
          <w:color w:val="auto"/>
          <w:highlight w:val="none"/>
        </w:rPr>
        <w:t>5</w:t>
      </w:r>
      <w:r>
        <w:rPr>
          <w:rFonts w:ascii="仿宋" w:hAnsi="仿宋" w:eastAsia="仿宋" w:cs="仿宋"/>
          <w:color w:val="auto"/>
          <w:highlight w:val="none"/>
        </w:rPr>
        <w:t>%</w:t>
      </w:r>
      <w:r>
        <w:rPr>
          <w:rFonts w:hint="eastAsia" w:ascii="华文仿宋" w:hAnsi="华文仿宋" w:cs="华文仿宋"/>
          <w:color w:val="auto"/>
          <w:highlight w:val="none"/>
        </w:rPr>
        <w:t>的价格扣除，用扣除后的价格参与评审。</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在货物采购项目中，供应商提供的货物既有中小企业制造货物，也有大型企业制造货物的，不享受政府采购价格扣除优惠政策。</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color w:val="auto"/>
          <w:highlight w:val="none"/>
        </w:rPr>
        <w:t>30%</w:t>
      </w:r>
      <w:r>
        <w:rPr>
          <w:rFonts w:hint="eastAsia" w:ascii="华文仿宋" w:hAnsi="华文仿宋" w:cs="华文仿宋"/>
          <w:color w:val="auto"/>
          <w:highlight w:val="none"/>
        </w:rPr>
        <w:t>以上的，货物和服务项目可给予联合体或者大中型企业的报价</w:t>
      </w:r>
      <w:r>
        <w:rPr>
          <w:rFonts w:hint="eastAsia" w:ascii="仿宋" w:hAnsi="仿宋" w:eastAsia="仿宋" w:cs="仿宋"/>
          <w:color w:val="auto"/>
          <w:highlight w:val="none"/>
        </w:rPr>
        <w:t>2%-3%</w:t>
      </w:r>
      <w:r>
        <w:rPr>
          <w:rFonts w:hint="eastAsia" w:ascii="华文仿宋" w:hAnsi="华文仿宋" w:cs="华文仿宋"/>
          <w:color w:val="auto"/>
          <w:highlight w:val="none"/>
        </w:rPr>
        <w:t>的扣除，工程项目为</w:t>
      </w:r>
      <w:r>
        <w:rPr>
          <w:rFonts w:hint="eastAsia" w:ascii="仿宋" w:hAnsi="仿宋" w:eastAsia="仿宋" w:cs="仿宋"/>
          <w:color w:val="auto"/>
          <w:highlight w:val="none"/>
        </w:rPr>
        <w:t>1%-2%</w:t>
      </w:r>
      <w:r>
        <w:rPr>
          <w:rFonts w:hint="eastAsia" w:ascii="华文仿宋" w:hAnsi="华文仿宋" w:cs="华文仿宋"/>
          <w:color w:val="auto"/>
          <w:highlight w:val="none"/>
        </w:rPr>
        <w:t>的扣除。联合体各方均为小型、微型企业的，联合体视同为小型、微型企业。组成联合体或者接受分包的小微企业与联合体内其他企业、分包企业之间存在直接控股、管理关系的，不享受价格扣除优惠政策。</w:t>
      </w:r>
    </w:p>
    <w:p>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color w:val="auto"/>
          <w:highlight w:val="none"/>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参加政府采购活动的中小企业应提供《中小企业声明函》原件。未提供上述声明函原件的，不能享受招标文件规定的价格扣除，但不影响投标文件的有效性。</w:t>
      </w:r>
    </w:p>
    <w:p>
      <w:pPr>
        <w:pStyle w:val="7"/>
        <w:ind w:firstLine="486" w:firstLineChars="200"/>
        <w:rPr>
          <w:color w:val="auto"/>
          <w:sz w:val="24"/>
          <w:szCs w:val="24"/>
          <w:highlight w:val="none"/>
        </w:rPr>
      </w:pPr>
      <w:r>
        <w:rPr>
          <w:rFonts w:hint="eastAsia" w:ascii="华文仿宋" w:hAnsi="华文仿宋" w:cs="华文仿宋"/>
          <w:color w:val="auto"/>
          <w:sz w:val="24"/>
          <w:szCs w:val="24"/>
          <w:highlight w:val="none"/>
        </w:rPr>
        <w:t>备注：中小企业划分标准参照《中小企业划型标准规定》（工信部联企业</w:t>
      </w:r>
      <w:r>
        <w:rPr>
          <w:rFonts w:hint="eastAsia" w:ascii="仿宋" w:hAnsi="仿宋" w:eastAsia="仿宋" w:cs="仿宋"/>
          <w:color w:val="auto"/>
          <w:sz w:val="24"/>
          <w:szCs w:val="24"/>
          <w:highlight w:val="none"/>
        </w:rPr>
        <w:t>〔2011〕300</w:t>
      </w:r>
      <w:r>
        <w:rPr>
          <w:rFonts w:hint="eastAsia" w:ascii="华文仿宋" w:hAnsi="华文仿宋" w:cs="华文仿宋"/>
          <w:color w:val="auto"/>
          <w:sz w:val="24"/>
          <w:szCs w:val="24"/>
          <w:highlight w:val="none"/>
        </w:rPr>
        <w:t>号）执行。</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w:t>
      </w:r>
      <w:r>
        <w:rPr>
          <w:rFonts w:hint="eastAsia" w:ascii="华文仿宋" w:hAnsi="华文仿宋" w:cs="华文仿宋"/>
          <w:color w:val="auto"/>
          <w:highlight w:val="none"/>
          <w:lang w:val="zh-CN"/>
        </w:rPr>
        <w:t>监狱企业应符合《财政部</w:t>
      </w:r>
      <w:r>
        <w:rPr>
          <w:rFonts w:hint="eastAsia" w:ascii="华文仿宋" w:hAnsi="华文仿宋" w:cs="华文仿宋"/>
          <w:color w:val="auto"/>
          <w:highlight w:val="none"/>
        </w:rPr>
        <w:t>司法部关于政府采购支持监狱企业发展有关问题的通知》（财库</w:t>
      </w:r>
      <w:r>
        <w:rPr>
          <w:rFonts w:hint="eastAsia" w:ascii="仿宋" w:hAnsi="仿宋" w:eastAsia="仿宋" w:cs="仿宋"/>
          <w:color w:val="auto"/>
          <w:highlight w:val="none"/>
        </w:rPr>
        <w:t>〔2014〕68</w:t>
      </w:r>
      <w:r>
        <w:rPr>
          <w:rFonts w:hint="eastAsia" w:ascii="华文仿宋" w:hAnsi="华文仿宋" w:cs="华文仿宋"/>
          <w:color w:val="auto"/>
          <w:highlight w:val="none"/>
        </w:rPr>
        <w:t>号）文件规定</w:t>
      </w:r>
      <w:r>
        <w:rPr>
          <w:rFonts w:hint="eastAsia" w:ascii="华文仿宋" w:hAnsi="华文仿宋" w:cs="华文仿宋"/>
          <w:color w:val="auto"/>
          <w:highlight w:val="none"/>
          <w:lang w:val="zh-CN"/>
        </w:rPr>
        <w:t>，并提供由省级以上监狱管理局、戒毒管理局</w:t>
      </w:r>
      <w:r>
        <w:rPr>
          <w:rFonts w:ascii="华文仿宋" w:hAnsi="华文仿宋" w:cs="华文仿宋"/>
          <w:color w:val="auto"/>
          <w:highlight w:val="none"/>
          <w:lang w:val="zh-CN"/>
        </w:rPr>
        <w:t>(</w:t>
      </w:r>
      <w:r>
        <w:rPr>
          <w:rFonts w:hint="eastAsia" w:ascii="华文仿宋" w:hAnsi="华文仿宋" w:cs="华文仿宋"/>
          <w:color w:val="auto"/>
          <w:highlight w:val="none"/>
          <w:lang w:val="zh-CN"/>
        </w:rPr>
        <w:t>含新疆生产建设兵团</w:t>
      </w:r>
      <w:r>
        <w:rPr>
          <w:rFonts w:ascii="华文仿宋" w:hAnsi="华文仿宋" w:cs="华文仿宋"/>
          <w:color w:val="auto"/>
          <w:highlight w:val="none"/>
          <w:lang w:val="zh-CN"/>
        </w:rPr>
        <w:t>)</w:t>
      </w:r>
      <w:r>
        <w:rPr>
          <w:rFonts w:hint="eastAsia" w:ascii="华文仿宋" w:hAnsi="华文仿宋" w:cs="华文仿宋"/>
          <w:color w:val="auto"/>
          <w:highlight w:val="none"/>
          <w:lang w:val="zh-CN"/>
        </w:rPr>
        <w:t>出具的属于</w:t>
      </w:r>
      <w:r>
        <w:rPr>
          <w:rFonts w:hint="eastAsia" w:ascii="华文仿宋" w:hAnsi="华文仿宋" w:cs="华文仿宋"/>
          <w:b/>
          <w:bCs/>
          <w:color w:val="auto"/>
          <w:highlight w:val="none"/>
          <w:lang w:val="zh-CN"/>
        </w:rPr>
        <w:t>监狱企业的证明文件</w:t>
      </w:r>
      <w:r>
        <w:rPr>
          <w:rFonts w:hint="eastAsia" w:ascii="华文仿宋" w:hAnsi="华文仿宋" w:cs="华文仿宋"/>
          <w:color w:val="auto"/>
          <w:highlight w:val="none"/>
          <w:lang w:val="zh-CN"/>
        </w:rPr>
        <w:t>复印件，监狱和戒毒企业</w:t>
      </w:r>
      <w:r>
        <w:rPr>
          <w:rFonts w:hint="eastAsia" w:ascii="华文仿宋" w:hAnsi="华文仿宋" w:cs="华文仿宋"/>
          <w:color w:val="auto"/>
          <w:highlight w:val="none"/>
        </w:rPr>
        <w:t>视同小型、微型企业。</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、根据财政部、民政部、中国残疾人联合会下发的《关于促进残疾人就业政府采购政策的通知》（财库</w:t>
      </w:r>
      <w:r>
        <w:rPr>
          <w:rFonts w:hint="eastAsia" w:ascii="仿宋" w:hAnsi="仿宋" w:eastAsia="仿宋" w:cs="仿宋"/>
          <w:color w:val="auto"/>
          <w:highlight w:val="none"/>
        </w:rPr>
        <w:t>〔</w:t>
      </w:r>
      <w:r>
        <w:rPr>
          <w:rFonts w:ascii="仿宋" w:hAnsi="仿宋" w:eastAsia="仿宋" w:cs="仿宋"/>
          <w:color w:val="auto"/>
          <w:highlight w:val="none"/>
        </w:rPr>
        <w:t>2017</w:t>
      </w:r>
      <w:r>
        <w:rPr>
          <w:rFonts w:hint="eastAsia" w:ascii="仿宋" w:hAnsi="仿宋" w:eastAsia="仿宋" w:cs="仿宋"/>
          <w:color w:val="auto"/>
          <w:highlight w:val="none"/>
        </w:rPr>
        <w:t>〕</w:t>
      </w:r>
      <w:r>
        <w:rPr>
          <w:rFonts w:ascii="仿宋" w:hAnsi="仿宋" w:eastAsia="仿宋" w:cs="仿宋"/>
          <w:color w:val="auto"/>
          <w:highlight w:val="none"/>
        </w:rPr>
        <w:t>141</w:t>
      </w:r>
      <w:r>
        <w:rPr>
          <w:rFonts w:hint="eastAsia" w:ascii="华文仿宋" w:hAnsi="华文仿宋" w:cs="华文仿宋"/>
          <w:color w:val="auto"/>
          <w:highlight w:val="none"/>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参加政府采购活动的残疾人单位应提供《残疾人福利性单位声明函》原件。未提供上述声明函原件，不能享受招标文件规定的价格扣除，但不影响投标文件的有效性。</w:t>
      </w:r>
    </w:p>
    <w:p>
      <w:pPr>
        <w:spacing w:line="500" w:lineRule="exact"/>
        <w:ind w:firstLine="566" w:firstLineChars="200"/>
        <w:rPr>
          <w:rFonts w:ascii="华文仿宋" w:cs="Times New Roman"/>
          <w:color w:val="auto"/>
          <w:kern w:val="0"/>
          <w:highlight w:val="none"/>
        </w:rPr>
      </w:pPr>
      <w:r>
        <w:rPr>
          <w:rFonts w:ascii="华文仿宋" w:hAnsi="华文仿宋" w:cs="华文仿宋"/>
          <w:color w:val="auto"/>
          <w:kern w:val="0"/>
          <w:highlight w:val="none"/>
        </w:rPr>
        <w:t>4</w:t>
      </w:r>
      <w:r>
        <w:rPr>
          <w:rFonts w:hint="eastAsia" w:ascii="华文仿宋" w:hAnsi="华文仿宋" w:cs="华文仿宋"/>
          <w:color w:val="auto"/>
          <w:kern w:val="0"/>
          <w:highlight w:val="none"/>
        </w:rPr>
        <w:t>、根据财政部、国家发展改革委《关于印发〈节能产品政府采购实施意见〉的通知》（财库</w:t>
      </w:r>
      <w:r>
        <w:rPr>
          <w:rFonts w:hint="eastAsia" w:ascii="仿宋" w:hAnsi="仿宋" w:eastAsia="仿宋" w:cs="仿宋"/>
          <w:color w:val="auto"/>
          <w:highlight w:val="none"/>
        </w:rPr>
        <w:t>〔</w:t>
      </w:r>
      <w:r>
        <w:rPr>
          <w:rFonts w:ascii="仿宋" w:hAnsi="仿宋" w:eastAsia="仿宋" w:cs="仿宋"/>
          <w:color w:val="auto"/>
          <w:highlight w:val="none"/>
        </w:rPr>
        <w:t>2004</w:t>
      </w:r>
      <w:r>
        <w:rPr>
          <w:rFonts w:hint="eastAsia" w:ascii="仿宋" w:hAnsi="仿宋" w:eastAsia="仿宋" w:cs="仿宋"/>
          <w:color w:val="auto"/>
          <w:highlight w:val="none"/>
        </w:rPr>
        <w:t>〕</w:t>
      </w:r>
      <w:r>
        <w:rPr>
          <w:rFonts w:ascii="仿宋" w:hAnsi="仿宋" w:eastAsia="仿宋" w:cs="仿宋"/>
          <w:color w:val="auto"/>
          <w:highlight w:val="none"/>
        </w:rPr>
        <w:t>185</w:t>
      </w:r>
      <w:r>
        <w:rPr>
          <w:rFonts w:hint="eastAsia" w:ascii="华文仿宋" w:hAnsi="华文仿宋" w:cs="华文仿宋"/>
          <w:color w:val="auto"/>
          <w:kern w:val="0"/>
          <w:highlight w:val="none"/>
        </w:rPr>
        <w:t>号）规定“政府采购属于节能产品品目清单的，在技术、服务等指标同等条件下，应当优先采购节能品目清单的节能产品。”</w:t>
      </w:r>
    </w:p>
    <w:p>
      <w:pPr>
        <w:pStyle w:val="14"/>
        <w:spacing w:line="500" w:lineRule="exact"/>
        <w:ind w:firstLine="566" w:firstLineChars="200"/>
        <w:rPr>
          <w:rFonts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5、根据财政部、国家环保总局联合印发《关于环境标志产品政府采购实施的意见》（财库</w:t>
      </w:r>
      <w:r>
        <w:rPr>
          <w:rFonts w:ascii="仿宋" w:hAnsi="仿宋" w:eastAsia="仿宋" w:cs="仿宋"/>
          <w:color w:val="auto"/>
          <w:kern w:val="2"/>
          <w:sz w:val="28"/>
          <w:szCs w:val="28"/>
          <w:highlight w:val="none"/>
        </w:rPr>
        <w:t>〔2006〕90</w:t>
      </w:r>
      <w:r>
        <w:rPr>
          <w:rFonts w:hint="eastAsia" w:ascii="华文仿宋" w:hAnsi="华文仿宋" w:eastAsia="华文仿宋" w:cs="华文仿宋"/>
          <w:color w:val="auto"/>
          <w:sz w:val="28"/>
          <w:szCs w:val="28"/>
          <w:highlight w:val="none"/>
        </w:rPr>
        <w:t>号）规定“采购人采购的产品属于环境标志产品政府采购清单中品目的，在性能、技术、服务等指标同等条件下，应当优先采购清单中的产品。”</w:t>
      </w:r>
    </w:p>
    <w:p>
      <w:pPr>
        <w:pStyle w:val="14"/>
        <w:spacing w:line="500" w:lineRule="exact"/>
        <w:ind w:firstLine="566" w:firstLineChars="200"/>
        <w:rPr>
          <w:rFonts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6、根据财政部、国家发改委、生态环境部、市场监管总局联合印发《关于调整优化节能产品、环境标志产品政府采购执行机制的通知》（财库</w:t>
      </w:r>
      <w:r>
        <w:rPr>
          <w:rFonts w:hint="eastAsia" w:ascii="仿宋" w:hAnsi="仿宋" w:eastAsia="仿宋" w:cs="仿宋"/>
          <w:color w:val="auto"/>
          <w:sz w:val="28"/>
          <w:szCs w:val="28"/>
          <w:highlight w:val="none"/>
        </w:rPr>
        <w:t>〔2019〕9</w:t>
      </w:r>
      <w:r>
        <w:rPr>
          <w:rFonts w:hint="eastAsia" w:ascii="华文仿宋" w:hAnsi="华文仿宋" w:eastAsia="华文仿宋" w:cs="华文仿宋"/>
          <w:color w:val="auto"/>
          <w:sz w:val="28"/>
          <w:szCs w:val="28"/>
          <w:highlight w:val="none"/>
        </w:rPr>
        <w:t>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kern w:val="0"/>
          <w:highlight w:val="none"/>
        </w:rPr>
        <w:t>7、根据国务院办公厅《关于建立政府强制采购节能产品制度的通知》（国办发</w:t>
      </w:r>
      <w:r>
        <w:rPr>
          <w:rFonts w:hint="eastAsia" w:ascii="仿宋" w:hAnsi="仿宋" w:eastAsia="仿宋" w:cs="仿宋"/>
          <w:color w:val="auto"/>
          <w:kern w:val="0"/>
          <w:highlight w:val="none"/>
        </w:rPr>
        <w:t>〔2007〕51</w:t>
      </w:r>
      <w:r>
        <w:rPr>
          <w:rFonts w:hint="eastAsia" w:ascii="华文仿宋" w:hAnsi="华文仿宋" w:cs="华文仿宋"/>
          <w:color w:val="auto"/>
          <w:kern w:val="0"/>
          <w:highlight w:val="none"/>
        </w:rPr>
        <w:t>号）有关要求，在技术、服务等指标满足采购需求的前提下，要优先采购节能产品，对部分节能效果、性能等达到要求的产品，实行强制采购。</w:t>
      </w:r>
    </w:p>
    <w:p>
      <w:pPr>
        <w:pStyle w:val="7"/>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8、节能产品政府采购品目清单详见财政部、发展改革委《关于印发节能产品政府采购品目清单的通知》（财库</w:t>
      </w:r>
      <w:r>
        <w:rPr>
          <w:rFonts w:ascii="仿宋" w:hAnsi="仿宋" w:eastAsia="仿宋" w:cs="仿宋"/>
          <w:color w:val="auto"/>
          <w:highlight w:val="none"/>
        </w:rPr>
        <w:t>〔2019〕19</w:t>
      </w:r>
      <w:r>
        <w:rPr>
          <w:rFonts w:hint="eastAsia" w:ascii="华文仿宋" w:hAnsi="华文仿宋" w:cs="华文仿宋"/>
          <w:color w:val="auto"/>
          <w:kern w:val="0"/>
          <w:highlight w:val="none"/>
        </w:rPr>
        <w:t>号）。</w:t>
      </w:r>
    </w:p>
    <w:p>
      <w:pPr>
        <w:pStyle w:val="7"/>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9、环境标志产品政府采购品目清单详见财政部、生态环境部《关于印发环境标志产品政府采购品目清单的通知》（财库</w:t>
      </w:r>
      <w:r>
        <w:rPr>
          <w:rFonts w:ascii="仿宋" w:hAnsi="仿宋" w:eastAsia="仿宋" w:cs="仿宋"/>
          <w:color w:val="auto"/>
          <w:highlight w:val="none"/>
        </w:rPr>
        <w:t>〔2019〕18</w:t>
      </w:r>
      <w:r>
        <w:rPr>
          <w:rFonts w:hint="eastAsia" w:ascii="华文仿宋" w:hAnsi="华文仿宋" w:cs="华文仿宋"/>
          <w:color w:val="auto"/>
          <w:kern w:val="0"/>
          <w:highlight w:val="none"/>
        </w:rPr>
        <w:t>号）。</w:t>
      </w:r>
    </w:p>
    <w:p>
      <w:pPr>
        <w:pStyle w:val="7"/>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10、国家确定的节能产品、环境标志产品认证机构详见市场监管总局《关于发布参与实施政府采购节能产品、环境标志产品认证机构名录的公告》（</w:t>
      </w:r>
      <w:r>
        <w:rPr>
          <w:rFonts w:ascii="仿宋" w:hAnsi="仿宋" w:eastAsia="仿宋" w:cs="仿宋"/>
          <w:color w:val="auto"/>
          <w:highlight w:val="none"/>
        </w:rPr>
        <w:t>2019</w:t>
      </w:r>
      <w:r>
        <w:rPr>
          <w:rFonts w:hint="eastAsia" w:ascii="华文仿宋" w:hAnsi="华文仿宋" w:cs="华文仿宋"/>
          <w:color w:val="auto"/>
          <w:kern w:val="0"/>
          <w:highlight w:val="none"/>
        </w:rPr>
        <w:t>年第</w:t>
      </w:r>
      <w:r>
        <w:rPr>
          <w:rFonts w:ascii="仿宋" w:hAnsi="仿宋" w:eastAsia="仿宋" w:cs="仿宋"/>
          <w:color w:val="auto"/>
          <w:highlight w:val="none"/>
        </w:rPr>
        <w:t>16</w:t>
      </w:r>
      <w:r>
        <w:rPr>
          <w:rFonts w:hint="eastAsia" w:ascii="华文仿宋" w:hAnsi="华文仿宋" w:cs="华文仿宋"/>
          <w:color w:val="auto"/>
          <w:kern w:val="0"/>
          <w:highlight w:val="none"/>
        </w:rPr>
        <w:t>号）。</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11、根据《财政部 农业农村部 国家乡村振兴局关于运用政府采购政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策支持乡村产业振兴的通知》（财库</w:t>
      </w:r>
      <w:r>
        <w:rPr>
          <w:rFonts w:ascii="仿宋" w:hAnsi="仿宋" w:eastAsia="仿宋" w:cs="仿宋"/>
          <w:color w:val="auto"/>
          <w:highlight w:val="none"/>
        </w:rPr>
        <w:t>〔2021〕19</w:t>
      </w:r>
      <w:r>
        <w:rPr>
          <w:rFonts w:hint="eastAsia" w:ascii="华文仿宋" w:hAnsi="华文仿宋" w:cs="华文仿宋"/>
          <w:color w:val="auto"/>
          <w:kern w:val="0"/>
          <w:highlight w:val="none"/>
        </w:rPr>
        <w:t>号），自</w:t>
      </w:r>
      <w:r>
        <w:rPr>
          <w:rFonts w:ascii="仿宋" w:hAnsi="仿宋" w:eastAsia="仿宋" w:cs="仿宋"/>
          <w:color w:val="auto"/>
          <w:highlight w:val="none"/>
        </w:rPr>
        <w:t>2021</w:t>
      </w:r>
      <w:r>
        <w:rPr>
          <w:rFonts w:hint="eastAsia" w:ascii="华文仿宋" w:hAnsi="华文仿宋" w:cs="华文仿宋"/>
          <w:color w:val="auto"/>
          <w:kern w:val="0"/>
          <w:highlight w:val="none"/>
        </w:rPr>
        <w:t>年起，各级预算单位应当按照不低于</w:t>
      </w:r>
      <w:r>
        <w:rPr>
          <w:rFonts w:ascii="仿宋" w:hAnsi="仿宋" w:eastAsia="仿宋" w:cs="仿宋"/>
          <w:color w:val="auto"/>
          <w:highlight w:val="none"/>
        </w:rPr>
        <w:t>10%</w:t>
      </w:r>
      <w:r>
        <w:rPr>
          <w:rFonts w:hint="eastAsia" w:ascii="华文仿宋" w:hAnsi="华文仿宋" w:cs="华文仿宋"/>
          <w:color w:val="auto"/>
          <w:kern w:val="0"/>
          <w:highlight w:val="none"/>
        </w:rPr>
        <w:t xml:space="preserve">的比例预留年度食堂食材采购份额，通过脱贫地区农副产品网络销售平台采购脱贫地区农副产品。 </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12、根据《财政部 农业农村部 国家乡村振兴局 中华全国供销合作总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社关于印发&lt;关于深入开展政府采购脱贫地区农副产品工作推进乡村产业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振兴的实施意见&gt;的通知》（财库</w:t>
      </w:r>
      <w:r>
        <w:rPr>
          <w:rFonts w:ascii="仿宋" w:hAnsi="仿宋" w:eastAsia="仿宋" w:cs="仿宋"/>
          <w:color w:val="auto"/>
          <w:highlight w:val="none"/>
        </w:rPr>
        <w:t>〔2021〕20</w:t>
      </w:r>
      <w:r>
        <w:rPr>
          <w:rFonts w:hint="eastAsia" w:ascii="华文仿宋" w:hAnsi="华文仿宋" w:cs="华文仿宋"/>
          <w:color w:val="auto"/>
          <w:kern w:val="0"/>
          <w:highlight w:val="none"/>
        </w:rPr>
        <w:t>号），各级预算单位要按照不低于 10%的预留比例在“</w:t>
      </w:r>
      <w:r>
        <w:rPr>
          <w:rFonts w:ascii="仿宋" w:hAnsi="仿宋" w:eastAsia="仿宋" w:cs="仿宋"/>
          <w:color w:val="auto"/>
          <w:highlight w:val="none"/>
        </w:rPr>
        <w:t>832</w:t>
      </w:r>
      <w:r>
        <w:rPr>
          <w:rFonts w:hint="eastAsia" w:ascii="华文仿宋" w:hAnsi="华文仿宋" w:cs="华文仿宋"/>
          <w:color w:val="auto"/>
          <w:kern w:val="0"/>
          <w:highlight w:val="none"/>
        </w:rPr>
        <w:t>平台”填报预留份额。鼓励各级预算单位工会组织通过“</w:t>
      </w:r>
      <w:r>
        <w:rPr>
          <w:rFonts w:ascii="仿宋" w:hAnsi="仿宋" w:eastAsia="仿宋" w:cs="仿宋"/>
          <w:color w:val="auto"/>
          <w:highlight w:val="none"/>
        </w:rPr>
        <w:t>832</w:t>
      </w:r>
      <w:r>
        <w:rPr>
          <w:rFonts w:hint="eastAsia" w:ascii="华文仿宋" w:hAnsi="华文仿宋" w:cs="华文仿宋"/>
          <w:color w:val="auto"/>
          <w:kern w:val="0"/>
          <w:highlight w:val="none"/>
        </w:rPr>
        <w:t xml:space="preserve">平台”采购工会福利、慰问品等，有关采购金额计入本单位年度采购总额。 </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13、根据《陕西省财政厅关于加快推进我省中小企业政府采购信用融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资工作的通知》（陕财办采</w:t>
      </w:r>
      <w:r>
        <w:rPr>
          <w:rFonts w:hint="eastAsia" w:ascii="仿宋" w:hAnsi="仿宋" w:eastAsia="仿宋" w:cs="仿宋"/>
          <w:color w:val="auto"/>
          <w:kern w:val="0"/>
          <w:highlight w:val="none"/>
        </w:rPr>
        <w:t>〔2020〕15</w:t>
      </w:r>
      <w:r>
        <w:rPr>
          <w:rFonts w:hint="eastAsia" w:ascii="华文仿宋" w:hAnsi="华文仿宋" w:cs="华文仿宋"/>
          <w:color w:val="auto"/>
          <w:kern w:val="0"/>
          <w:highlight w:val="none"/>
        </w:rPr>
        <w:t xml:space="preserve">号）规定“有融资需求的供应商可根据自身情况，在陕西省政府采购信用融资平台（含各市分平台）自主选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择金融机构及其融资产品，凭政府采购中标（成交）通知书或政府采购合 </w:t>
      </w:r>
    </w:p>
    <w:p>
      <w:pPr>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同向金融机构提出融资申请。” </w:t>
      </w:r>
    </w:p>
    <w:p>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14、根据陕西省财政厅关于印发《陕西省中小企业政府采购信用融资 </w:t>
      </w:r>
    </w:p>
    <w:p>
      <w:pPr>
        <w:wordWrap w:val="0"/>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办法》（陕财办采</w:t>
      </w:r>
      <w:r>
        <w:rPr>
          <w:rFonts w:hint="eastAsia" w:ascii="仿宋" w:hAnsi="仿宋" w:eastAsia="仿宋" w:cs="仿宋"/>
          <w:color w:val="auto"/>
          <w:kern w:val="0"/>
          <w:highlight w:val="none"/>
        </w:rPr>
        <w:t>〔2018〕23</w:t>
      </w:r>
      <w:r>
        <w:rPr>
          <w:rFonts w:hint="eastAsia" w:ascii="华文仿宋" w:hAnsi="华文仿宋" w:cs="华文仿宋"/>
          <w:color w:val="auto"/>
          <w:kern w:val="0"/>
          <w:highlight w:val="none"/>
        </w:rPr>
        <w:t>号）规定“</w:t>
      </w:r>
      <w:r>
        <w:rPr>
          <w:rFonts w:hint="eastAsia" w:ascii="仿宋" w:hAnsi="仿宋" w:eastAsia="仿宋" w:cs="仿宋"/>
          <w:color w:val="auto"/>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华文仿宋" w:hAnsi="华文仿宋" w:cs="华文仿宋"/>
          <w:color w:val="auto"/>
          <w:kern w:val="0"/>
          <w:highlight w:val="none"/>
        </w:rPr>
        <w:t>（</w:t>
      </w:r>
      <w:r>
        <w:rPr>
          <w:color w:val="auto"/>
          <w:highlight w:val="none"/>
        </w:rPr>
        <w:fldChar w:fldCharType="begin"/>
      </w:r>
      <w:r>
        <w:rPr>
          <w:color w:val="auto"/>
          <w:highlight w:val="none"/>
        </w:rPr>
        <w:instrText xml:space="preserve"> HYPERLINK "http://www.ccgp-shaanxi.gov.cn/zcdservice/zcd/shanxi/" </w:instrText>
      </w:r>
      <w:r>
        <w:rPr>
          <w:color w:val="auto"/>
          <w:highlight w:val="none"/>
        </w:rPr>
        <w:fldChar w:fldCharType="separate"/>
      </w:r>
      <w:r>
        <w:rPr>
          <w:rFonts w:hint="eastAsia" w:ascii="华文仿宋" w:hAnsi="华文仿宋" w:cs="华文仿宋"/>
          <w:color w:val="auto"/>
          <w:kern w:val="0"/>
          <w:highlight w:val="none"/>
        </w:rPr>
        <w:t>陕西省政府采购信用融资平台</w:t>
      </w:r>
      <w:r>
        <w:rPr>
          <w:rFonts w:hint="eastAsia" w:ascii="华文仿宋" w:hAnsi="华文仿宋" w:cs="华文仿宋"/>
          <w:color w:val="auto"/>
          <w:kern w:val="0"/>
          <w:highlight w:val="none"/>
        </w:rPr>
        <w:fldChar w:fldCharType="end"/>
      </w:r>
      <w:r>
        <w:rPr>
          <w:rFonts w:hint="eastAsia" w:ascii="华文仿宋" w:hAnsi="华文仿宋" w:cs="华文仿宋"/>
          <w:color w:val="auto"/>
          <w:kern w:val="0"/>
          <w:highlight w:val="none"/>
        </w:rPr>
        <w:t>：http://www.ccgp-shaanxi.gov.cn/zcdservice/zcd/shanxi/）。</w:t>
      </w:r>
    </w:p>
    <w:p>
      <w:pPr>
        <w:spacing w:line="500" w:lineRule="exact"/>
        <w:ind w:firstLine="566" w:firstLineChars="200"/>
        <w:rPr>
          <w:b/>
          <w:bCs/>
          <w:color w:val="auto"/>
          <w:highlight w:val="none"/>
          <w:u w:val="single"/>
        </w:rPr>
      </w:pPr>
      <w:bookmarkStart w:id="180" w:name="_Toc3425"/>
      <w:r>
        <w:rPr>
          <w:rFonts w:hint="eastAsia"/>
          <w:b/>
          <w:bCs/>
          <w:color w:val="auto"/>
          <w:highlight w:val="none"/>
        </w:rPr>
        <w:t>本项目采购标的对应的中小企业划分标准所属行业为</w:t>
      </w:r>
      <w:r>
        <w:rPr>
          <w:rFonts w:hint="eastAsia"/>
          <w:b/>
          <w:bCs/>
          <w:color w:val="auto"/>
          <w:highlight w:val="none"/>
          <w:u w:val="single"/>
        </w:rPr>
        <w:t>工业</w:t>
      </w:r>
      <w:r>
        <w:rPr>
          <w:rFonts w:hint="eastAsia"/>
          <w:b/>
          <w:bCs/>
          <w:color w:val="auto"/>
          <w:highlight w:val="none"/>
        </w:rPr>
        <w:t>。</w:t>
      </w:r>
    </w:p>
    <w:p>
      <w:pPr>
        <w:spacing w:line="500" w:lineRule="exact"/>
        <w:ind w:firstLine="566" w:firstLineChars="200"/>
        <w:rPr>
          <w:rFonts w:ascii="华文仿宋" w:hAnsi="华文仿宋" w:cs="华文仿宋"/>
          <w:color w:val="auto"/>
          <w:highlight w:val="none"/>
        </w:rPr>
      </w:pPr>
      <w:r>
        <w:rPr>
          <w:rFonts w:hint="eastAsia"/>
          <w:color w:val="auto"/>
          <w:highlight w:val="none"/>
          <w:u w:val="single"/>
        </w:rPr>
        <w:t>货物服务采购项目</w:t>
      </w:r>
      <w:r>
        <w:rPr>
          <w:rFonts w:hint="eastAsia"/>
          <w:color w:val="auto"/>
          <w:highlight w:val="none"/>
        </w:rPr>
        <w:t>，</w:t>
      </w:r>
      <w:r>
        <w:rPr>
          <w:rFonts w:hint="eastAsia" w:ascii="华文仿宋" w:hAnsi="华文仿宋" w:cs="华文仿宋"/>
          <w:color w:val="auto"/>
          <w:highlight w:val="none"/>
        </w:rPr>
        <w:t>对符合价格扣除条件的小微企业报价给予</w:t>
      </w:r>
      <w:r>
        <w:rPr>
          <w:rFonts w:hint="eastAsia" w:ascii="仿宋" w:hAnsi="仿宋" w:eastAsia="仿宋" w:cs="仿宋"/>
          <w:b/>
          <w:bCs/>
          <w:color w:val="auto"/>
          <w:highlight w:val="none"/>
          <w:u w:val="single"/>
        </w:rPr>
        <w:t>10</w:t>
      </w:r>
      <w:r>
        <w:rPr>
          <w:rFonts w:hint="eastAsia" w:ascii="华文仿宋" w:hAnsi="华文仿宋" w:cs="华文仿宋"/>
          <w:b/>
          <w:bCs/>
          <w:color w:val="auto"/>
          <w:highlight w:val="none"/>
          <w:u w:val="single"/>
        </w:rPr>
        <w:t xml:space="preserve"> </w:t>
      </w:r>
      <w:r>
        <w:rPr>
          <w:rFonts w:hint="eastAsia" w:ascii="仿宋" w:hAnsi="仿宋" w:eastAsia="仿宋" w:cs="仿宋"/>
          <w:b/>
          <w:bCs/>
          <w:color w:val="auto"/>
          <w:highlight w:val="none"/>
        </w:rPr>
        <w:t>%</w:t>
      </w:r>
      <w:r>
        <w:rPr>
          <w:rFonts w:hint="eastAsia" w:ascii="华文仿宋" w:hAnsi="华文仿宋" w:cs="华文仿宋"/>
          <w:color w:val="auto"/>
          <w:highlight w:val="none"/>
        </w:rPr>
        <w:t>的扣除，用扣除后的价格参加评审。工程项目，对符合价格扣除条件的小微企业报价给予</w:t>
      </w:r>
      <w:r>
        <w:rPr>
          <w:rFonts w:hint="eastAsia" w:ascii="华文仿宋" w:hAnsi="华文仿宋" w:cs="华文仿宋"/>
          <w:color w:val="auto"/>
          <w:highlight w:val="none"/>
          <w:u w:val="single"/>
        </w:rPr>
        <w:t xml:space="preserve"> </w:t>
      </w:r>
      <w:r>
        <w:rPr>
          <w:rFonts w:hint="eastAsia" w:ascii="华文仿宋" w:hAnsi="华文仿宋" w:cs="华文仿宋"/>
          <w:b/>
          <w:bCs/>
          <w:color w:val="auto"/>
          <w:highlight w:val="none"/>
          <w:u w:val="single"/>
        </w:rPr>
        <w:t>/</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%的扣除，用扣除后的价格参加评审。</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接受大中型企业与小微企业组成联合体或者允许大中型企业向一家或者多家小微企业分包的采购项目，联合协议或者分包协议约定小微企业的合同份额占到合同总金额30%以上的，对联合体或者大中型企业的报价给予</w:t>
      </w:r>
      <w:r>
        <w:rPr>
          <w:rFonts w:hint="eastAsia" w:ascii="华文仿宋" w:hAnsi="华文仿宋" w:cs="华文仿宋"/>
          <w:b/>
          <w:bCs/>
          <w:color w:val="auto"/>
          <w:highlight w:val="none"/>
          <w:u w:val="single"/>
        </w:rPr>
        <w:t xml:space="preserve"> / </w:t>
      </w:r>
      <w:r>
        <w:rPr>
          <w:rFonts w:hint="eastAsia" w:ascii="华文仿宋" w:hAnsi="华文仿宋" w:cs="华文仿宋"/>
          <w:color w:val="auto"/>
          <w:highlight w:val="none"/>
        </w:rPr>
        <w:t>%（货物服务采购项目为4%-6%，工程项目为1%-2%）的扣除，用扣除后的价格参加评审（如本项目接受联合体或允许分包），除此之外的其他情形均不适用本款规定。未提供中小企业声明函的不享受价格折扣。</w:t>
      </w:r>
    </w:p>
    <w:p>
      <w:pPr>
        <w:spacing w:line="500" w:lineRule="exact"/>
        <w:ind w:firstLine="486" w:firstLineChars="200"/>
        <w:rPr>
          <w:rFonts w:ascii="华文仿宋" w:hAnsi="华文仿宋" w:cs="华文仿宋"/>
          <w:color w:val="auto"/>
          <w:sz w:val="24"/>
          <w:szCs w:val="24"/>
          <w:highlight w:val="none"/>
        </w:rPr>
      </w:pPr>
      <w:r>
        <w:rPr>
          <w:rFonts w:hint="eastAsia" w:ascii="华文仿宋" w:hAnsi="华文仿宋" w:cs="华文仿宋"/>
          <w:color w:val="auto"/>
          <w:sz w:val="24"/>
          <w:szCs w:val="24"/>
          <w:highlight w:val="none"/>
        </w:rPr>
        <w:t>备注：小微企业的定义参照本款第一至三条。</w:t>
      </w:r>
    </w:p>
    <w:p>
      <w:pPr>
        <w:pStyle w:val="4"/>
        <w:spacing w:line="500" w:lineRule="exact"/>
        <w:ind w:firstLine="566" w:firstLineChars="200"/>
        <w:rPr>
          <w:rFonts w:ascii="华文仿宋" w:cs="Times New Roman"/>
          <w:color w:val="auto"/>
          <w:sz w:val="28"/>
          <w:szCs w:val="28"/>
          <w:highlight w:val="none"/>
        </w:rPr>
      </w:pPr>
      <w:bookmarkStart w:id="181" w:name="_Toc31683"/>
      <w:bookmarkStart w:id="182" w:name="_Toc14846"/>
      <w:bookmarkStart w:id="183" w:name="_Toc24060"/>
      <w:r>
        <w:rPr>
          <w:rFonts w:hint="eastAsia" w:ascii="华文仿宋" w:hAnsi="华文仿宋" w:cs="华文仿宋"/>
          <w:color w:val="auto"/>
          <w:sz w:val="28"/>
          <w:szCs w:val="28"/>
          <w:highlight w:val="none"/>
        </w:rPr>
        <w:t>（六）关于产品和服务</w:t>
      </w:r>
      <w:bookmarkEnd w:id="171"/>
      <w:bookmarkEnd w:id="172"/>
      <w:bookmarkEnd w:id="173"/>
      <w:bookmarkEnd w:id="174"/>
      <w:bookmarkEnd w:id="175"/>
      <w:bookmarkEnd w:id="176"/>
      <w:bookmarkEnd w:id="177"/>
      <w:bookmarkEnd w:id="178"/>
      <w:bookmarkEnd w:id="179"/>
      <w:bookmarkEnd w:id="180"/>
      <w:bookmarkEnd w:id="181"/>
      <w:bookmarkEnd w:id="182"/>
      <w:bookmarkEnd w:id="183"/>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、所有产品必须具有在中国境内法定许可的生产及销售资格，且为全新原厂制造，其核心关键部分为近</w:t>
      </w:r>
      <w:r>
        <w:rPr>
          <w:rFonts w:ascii="仿宋" w:hAnsi="仿宋" w:eastAsia="仿宋" w:cs="仿宋"/>
          <w:color w:val="auto"/>
          <w:highlight w:val="none"/>
        </w:rPr>
        <w:t>10</w:t>
      </w:r>
      <w:r>
        <w:rPr>
          <w:rFonts w:hint="eastAsia" w:ascii="华文仿宋" w:hAnsi="华文仿宋" w:cs="华文仿宋"/>
          <w:color w:val="auto"/>
          <w:highlight w:val="none"/>
        </w:rPr>
        <w:t>个月内所生产的非淘汰类产品；属于《中华人民共和国实施强制性产品认证的产品目录》的产品，就不能提供超出此目录范畴外的替代品，此外，还须同时具备国家认监委颁布《中国强制认证》（</w:t>
      </w:r>
      <w:r>
        <w:rPr>
          <w:rFonts w:hint="eastAsia" w:ascii="仿宋" w:hAnsi="仿宋" w:eastAsia="仿宋" w:cs="仿宋"/>
          <w:color w:val="auto"/>
          <w:kern w:val="0"/>
          <w:highlight w:val="none"/>
        </w:rPr>
        <w:t>CCC</w:t>
      </w:r>
      <w:r>
        <w:rPr>
          <w:rFonts w:hint="eastAsia" w:ascii="华文仿宋" w:hAnsi="华文仿宋" w:cs="华文仿宋"/>
          <w:color w:val="auto"/>
          <w:highlight w:val="none"/>
        </w:rPr>
        <w:t>认证）。</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bCs/>
          <w:color w:val="auto"/>
          <w:highlight w:val="none"/>
        </w:rPr>
        <w:t>、</w:t>
      </w:r>
      <w:r>
        <w:rPr>
          <w:rFonts w:hint="eastAsia" w:ascii="华文仿宋" w:hAnsi="华文仿宋" w:cs="华文仿宋"/>
          <w:color w:val="auto"/>
          <w:highlight w:val="none"/>
        </w:rPr>
        <w:t>采购的产品属于政府采购节能产品</w:t>
      </w:r>
      <w:r>
        <w:rPr>
          <w:rFonts w:hint="eastAsia" w:ascii="华文仿宋" w:hAnsi="华文仿宋" w:cs="华文仿宋"/>
          <w:bCs/>
          <w:color w:val="auto"/>
          <w:highlight w:val="none"/>
        </w:rPr>
        <w:t>、</w:t>
      </w:r>
      <w:r>
        <w:rPr>
          <w:rFonts w:hint="eastAsia" w:ascii="华文仿宋" w:hAnsi="华文仿宋" w:cs="华文仿宋"/>
          <w:color w:val="auto"/>
          <w:highlight w:val="none"/>
        </w:rPr>
        <w:t>环境标志产品品目清单范围的，投标人需提供国家确定的认证机构出具的、处于有效期之内的节能产品、环境标志产品认证证书，对获得证书的产品实施政府优先采购或强制采购。</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、信息安全产品应当获得国家信息安全认证，并可提供由中国信息安全认证中心按照国家标准认证颁发的有效认证证书。</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5</w:t>
      </w:r>
      <w:r>
        <w:rPr>
          <w:rFonts w:hint="eastAsia" w:ascii="华文仿宋" w:hAnsi="华文仿宋" w:cs="华文仿宋"/>
          <w:color w:val="auto"/>
          <w:highlight w:val="none"/>
        </w:rPr>
        <w:t>、根据《政府采购进口产品管理办法》（财库</w:t>
      </w:r>
      <w:r>
        <w:rPr>
          <w:rFonts w:hint="eastAsia" w:ascii="仿宋" w:hAnsi="仿宋" w:eastAsia="仿宋" w:cs="仿宋"/>
          <w:color w:val="auto"/>
          <w:highlight w:val="none"/>
        </w:rPr>
        <w:t>〔</w:t>
      </w:r>
      <w:r>
        <w:rPr>
          <w:rFonts w:ascii="仿宋" w:hAnsi="仿宋" w:eastAsia="仿宋" w:cs="仿宋"/>
          <w:color w:val="auto"/>
          <w:highlight w:val="none"/>
        </w:rPr>
        <w:t>2007</w:t>
      </w:r>
      <w:r>
        <w:rPr>
          <w:rFonts w:hint="eastAsia" w:ascii="仿宋" w:hAnsi="仿宋" w:eastAsia="仿宋" w:cs="仿宋"/>
          <w:color w:val="auto"/>
          <w:highlight w:val="none"/>
        </w:rPr>
        <w:t>〕</w:t>
      </w:r>
      <w:r>
        <w:rPr>
          <w:rFonts w:ascii="仿宋" w:hAnsi="仿宋" w:eastAsia="仿宋" w:cs="仿宋"/>
          <w:color w:val="auto"/>
          <w:highlight w:val="none"/>
        </w:rPr>
        <w:t>119</w:t>
      </w:r>
      <w:r>
        <w:rPr>
          <w:rFonts w:hint="eastAsia" w:ascii="华文仿宋" w:hAnsi="华文仿宋" w:cs="华文仿宋"/>
          <w:color w:val="auto"/>
          <w:highlight w:val="none"/>
        </w:rPr>
        <w:t>号）与《关于政府采购进口产品管理有关问题的通知》（财办库</w:t>
      </w:r>
      <w:r>
        <w:rPr>
          <w:rFonts w:ascii="仿宋" w:hAnsi="仿宋" w:eastAsia="仿宋" w:cs="仿宋"/>
          <w:color w:val="auto"/>
          <w:highlight w:val="none"/>
        </w:rPr>
        <w:t>[2008]248</w:t>
      </w:r>
      <w:r>
        <w:rPr>
          <w:rFonts w:hint="eastAsia" w:ascii="华文仿宋" w:hAnsi="华文仿宋" w:cs="华文仿宋"/>
          <w:color w:val="auto"/>
          <w:highlight w:val="none"/>
        </w:rPr>
        <w:t>号）的有关规定，未经核准同意，投标人投标时必须提供本国产品，投标人以进口产品参与投标的，将作无效投标处理。</w:t>
      </w:r>
    </w:p>
    <w:p>
      <w:pPr>
        <w:spacing w:line="500" w:lineRule="exact"/>
        <w:ind w:firstLine="566" w:firstLineChars="200"/>
        <w:rPr>
          <w:rFonts w:ascii="华文仿宋" w:hAnsi="华文仿宋" w:cs="华文仿宋"/>
          <w:color w:val="auto"/>
          <w:highlight w:val="none"/>
        </w:rPr>
      </w:pPr>
      <w:r>
        <w:rPr>
          <w:rFonts w:ascii="华文仿宋" w:hAnsi="华文仿宋" w:cs="华文仿宋"/>
          <w:color w:val="auto"/>
          <w:highlight w:val="none"/>
        </w:rPr>
        <w:t>6</w:t>
      </w:r>
      <w:r>
        <w:rPr>
          <w:rFonts w:hint="eastAsia" w:ascii="华文仿宋" w:hAnsi="华文仿宋" w:cs="华文仿宋"/>
          <w:color w:val="auto"/>
          <w:highlight w:val="none"/>
        </w:rPr>
        <w:t>、如招标文件中已说明，经政府采购管理部门审核同意，允许部分或全部产品采购进口产品，投标人既可提供本国产品，也可以提供进口产品。在提供的进口产品中，优先采购向我国企业转让技术、与我国企业签订消化吸收再创新方案的投标人的进口产品。进口产品必须同时具备原产地证明、中国商检证明及合法进货渠道全套单证。</w:t>
      </w:r>
      <w:bookmarkStart w:id="184" w:name="_Toc14421"/>
      <w:bookmarkStart w:id="185" w:name="_Toc27587"/>
      <w:bookmarkStart w:id="186" w:name="_Toc9128"/>
      <w:bookmarkStart w:id="187" w:name="_Toc8680"/>
    </w:p>
    <w:p>
      <w:pPr>
        <w:spacing w:line="500" w:lineRule="exact"/>
        <w:ind w:firstLine="566" w:firstLineChars="200"/>
        <w:outlineLvl w:val="1"/>
        <w:rPr>
          <w:rFonts w:ascii="华文仿宋" w:cs="Times New Roman"/>
          <w:b/>
          <w:bCs/>
          <w:color w:val="auto"/>
          <w:highlight w:val="none"/>
        </w:rPr>
      </w:pPr>
      <w:bookmarkStart w:id="188" w:name="_Toc26560"/>
      <w:bookmarkStart w:id="189" w:name="_Toc24738"/>
      <w:bookmarkStart w:id="190" w:name="_Toc13812"/>
      <w:bookmarkStart w:id="191" w:name="_Toc22958"/>
      <w:bookmarkStart w:id="192" w:name="_Toc32325"/>
      <w:bookmarkStart w:id="193" w:name="_Toc1957"/>
      <w:bookmarkStart w:id="194" w:name="_Toc9202"/>
      <w:bookmarkStart w:id="195" w:name="_Toc2191"/>
      <w:bookmarkStart w:id="196" w:name="_Toc4584"/>
      <w:r>
        <w:rPr>
          <w:rFonts w:hint="eastAsia" w:ascii="华文仿宋" w:hAnsi="华文仿宋" w:cs="华文仿宋"/>
          <w:b/>
          <w:bCs/>
          <w:color w:val="auto"/>
          <w:highlight w:val="none"/>
        </w:rPr>
        <w:t>（七）关于同一品牌产品的处理</w:t>
      </w:r>
      <w:bookmarkEnd w:id="184"/>
      <w:bookmarkEnd w:id="185"/>
      <w:bookmarkEnd w:id="186"/>
      <w:bookmarkEnd w:id="187"/>
      <w:bookmarkEnd w:id="188"/>
      <w:bookmarkEnd w:id="189"/>
      <w:bookmarkEnd w:id="190"/>
      <w:bookmarkEnd w:id="191"/>
      <w:bookmarkEnd w:id="192"/>
      <w:bookmarkEnd w:id="193"/>
      <w:bookmarkEnd w:id="194"/>
      <w:bookmarkEnd w:id="195"/>
      <w:bookmarkEnd w:id="196"/>
    </w:p>
    <w:p>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1、单一产品采购项目中，提供相同品牌的产品的不同投标人参加同一合同项下投标的，按以下处理：</w:t>
      </w:r>
    </w:p>
    <w:p>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1）采用最低评标价法的采购项目，提供相同品牌产品的不同投标人参加同一合同项下投标的，以其中通过资格审查、符合性审查且投标报价最低的参加评标；报价相同的，由评标委员会按照技术方案、售后服务等内容确定一个参加评标的投标人，其他投标无效。</w:t>
      </w:r>
    </w:p>
    <w:p>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获得中标人推荐资格，其他同品牌投标人不作为中标候选人。</w:t>
      </w:r>
    </w:p>
    <w:p>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2、非单一产品采购项目，采购人将根据采购项目技术构成、产品价格比重等因素确定核心产品（可能不止一种），并在招标文件中载明。提供相同品牌的核心产品的不同投标人参加同一合同项下投标的，按以下处理：</w:t>
      </w:r>
    </w:p>
    <w:p>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1）采用最低评标价法的采购项目，提供相同品牌核心产品的不同投标人参加同一合同项下投标的，以其中通过资格审查、符合性审查且投标报价最低的参加评标；报价相同的，由评标委员会按照技术方案、售后服务等内容确定一个参加评标的投标人，其他投标无效。</w:t>
      </w:r>
    </w:p>
    <w:p>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2）使用综合评分法的采购项目，提供相同品牌核心产品且通过资格审查、符合性审查的不同投标人参加同一合同项下投标的，按一家投标人计算，评审后得分最高的同品牌投标人获得中标人推荐资格；评审得分相同的，由评标委员会按照投标报价最低的方式确定一个获得中标人推荐资格，其他同品牌投标人不作为中标候选人。</w:t>
      </w:r>
    </w:p>
    <w:p>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（3）核心产品为两个以上时，多家投标人提供的核心产品有部分采用或全部采用相同品牌的，按一家投标人计算。</w:t>
      </w:r>
      <w:bookmarkStart w:id="197" w:name="_Toc14044"/>
      <w:bookmarkStart w:id="198" w:name="_Toc8711"/>
      <w:bookmarkStart w:id="199" w:name="_Toc24108"/>
      <w:bookmarkStart w:id="200" w:name="_Toc3975"/>
    </w:p>
    <w:p>
      <w:pPr>
        <w:spacing w:line="500" w:lineRule="exact"/>
        <w:ind w:firstLine="566" w:firstLineChars="200"/>
        <w:outlineLvl w:val="1"/>
        <w:rPr>
          <w:rFonts w:ascii="华文仿宋" w:hAnsi="华文仿宋" w:cs="华文仿宋"/>
          <w:b/>
          <w:bCs/>
          <w:color w:val="auto"/>
          <w:highlight w:val="none"/>
        </w:rPr>
      </w:pPr>
      <w:bookmarkStart w:id="201" w:name="_Toc28691"/>
      <w:bookmarkStart w:id="202" w:name="_Toc29723"/>
      <w:bookmarkStart w:id="203" w:name="_Toc20287"/>
      <w:bookmarkStart w:id="204" w:name="_Toc22662"/>
      <w:bookmarkStart w:id="205" w:name="_Toc2291"/>
      <w:bookmarkStart w:id="206" w:name="_Toc12727"/>
      <w:bookmarkStart w:id="207" w:name="_Toc8606"/>
      <w:bookmarkStart w:id="208" w:name="_Toc30507"/>
      <w:bookmarkStart w:id="209" w:name="_Toc1065"/>
      <w:r>
        <w:rPr>
          <w:rFonts w:hint="eastAsia" w:ascii="华文仿宋" w:hAnsi="华文仿宋" w:cs="华文仿宋"/>
          <w:b/>
          <w:bCs/>
          <w:color w:val="auto"/>
          <w:highlight w:val="none"/>
        </w:rPr>
        <w:t>（八）知识产权与保密事项</w:t>
      </w:r>
      <w:bookmarkEnd w:id="197"/>
      <w:bookmarkEnd w:id="198"/>
      <w:bookmarkEnd w:id="199"/>
      <w:bookmarkEnd w:id="200"/>
      <w:bookmarkEnd w:id="201"/>
      <w:bookmarkEnd w:id="202"/>
      <w:bookmarkEnd w:id="203"/>
      <w:bookmarkEnd w:id="204"/>
      <w:bookmarkEnd w:id="205"/>
      <w:bookmarkEnd w:id="206"/>
      <w:bookmarkEnd w:id="207"/>
      <w:bookmarkEnd w:id="208"/>
      <w:bookmarkEnd w:id="209"/>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、所有涉及知识产权的产品及设计，投标人必须确保采购人拥有其合法的、不受限制的无偿使用权，并免受任何侵权诉讼或索偿，否则，由此产生的一切经济损失和法律责任由投标人承担。</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由采购人向投标人提供的用户需求书、图纸、样品、模型、模件和所有资料，投标人获得后，应对其保密。除非采购人同意，投标人不得向第三方透露或将其用于本次投标以外的任何用途。开标后，若采购人有要求，投标人须归还采购人认为需保密的文件和资料，并销毁所有相应的备份文件及资料。</w:t>
      </w:r>
    </w:p>
    <w:p>
      <w:pPr>
        <w:pStyle w:val="4"/>
        <w:spacing w:line="500" w:lineRule="exact"/>
        <w:ind w:firstLine="566" w:firstLineChars="200"/>
        <w:rPr>
          <w:rFonts w:ascii="华文仿宋" w:cs="Times New Roman"/>
          <w:color w:val="auto"/>
          <w:sz w:val="28"/>
          <w:szCs w:val="28"/>
          <w:highlight w:val="none"/>
        </w:rPr>
      </w:pPr>
      <w:bookmarkStart w:id="210" w:name="_Toc23903"/>
      <w:bookmarkStart w:id="211" w:name="_Toc6574"/>
      <w:bookmarkStart w:id="212" w:name="_Toc3498"/>
      <w:bookmarkStart w:id="213" w:name="_Toc13630"/>
      <w:bookmarkStart w:id="214" w:name="_Toc29889"/>
      <w:bookmarkStart w:id="215" w:name="_Toc7162"/>
      <w:bookmarkStart w:id="216" w:name="_Toc4149"/>
      <w:bookmarkStart w:id="217" w:name="_Toc20526"/>
      <w:bookmarkStart w:id="218" w:name="_Toc21178"/>
      <w:bookmarkStart w:id="219" w:name="_Toc16987"/>
      <w:bookmarkStart w:id="220" w:name="_Toc18494"/>
      <w:bookmarkStart w:id="221" w:name="_Toc19626"/>
      <w:bookmarkStart w:id="222" w:name="_Toc8480"/>
      <w:r>
        <w:rPr>
          <w:rFonts w:hint="eastAsia" w:ascii="华文仿宋" w:hAnsi="华文仿宋" w:cs="华文仿宋"/>
          <w:color w:val="auto"/>
          <w:sz w:val="28"/>
          <w:szCs w:val="28"/>
          <w:highlight w:val="none"/>
        </w:rPr>
        <w:t>（九）投标人的投标费用自理</w:t>
      </w:r>
      <w:bookmarkEnd w:id="210"/>
      <w:bookmarkEnd w:id="211"/>
      <w:bookmarkEnd w:id="212"/>
      <w:bookmarkEnd w:id="213"/>
      <w:bookmarkEnd w:id="214"/>
      <w:bookmarkEnd w:id="215"/>
      <w:bookmarkEnd w:id="216"/>
      <w:bookmarkEnd w:id="217"/>
      <w:bookmarkEnd w:id="218"/>
      <w:bookmarkEnd w:id="219"/>
      <w:bookmarkEnd w:id="220"/>
      <w:bookmarkEnd w:id="221"/>
      <w:bookmarkEnd w:id="222"/>
    </w:p>
    <w:p>
      <w:pPr>
        <w:pStyle w:val="4"/>
        <w:spacing w:line="500" w:lineRule="exact"/>
        <w:ind w:firstLine="566" w:firstLineChars="200"/>
        <w:rPr>
          <w:rFonts w:ascii="华文仿宋" w:cs="Times New Roman"/>
          <w:color w:val="auto"/>
          <w:sz w:val="28"/>
          <w:szCs w:val="28"/>
          <w:highlight w:val="none"/>
        </w:rPr>
      </w:pPr>
      <w:bookmarkStart w:id="223" w:name="_Toc8467"/>
      <w:bookmarkStart w:id="224" w:name="_Toc9087"/>
      <w:bookmarkStart w:id="225" w:name="_Toc24881"/>
      <w:bookmarkStart w:id="226" w:name="_Toc1232"/>
      <w:bookmarkStart w:id="227" w:name="_Toc31732"/>
      <w:bookmarkStart w:id="228" w:name="_Toc17448"/>
      <w:bookmarkStart w:id="229" w:name="_Toc31083"/>
      <w:bookmarkStart w:id="230" w:name="_Toc5403"/>
      <w:r>
        <w:rPr>
          <w:rFonts w:hint="eastAsia" w:ascii="华文仿宋" w:hAnsi="华文仿宋" w:cs="华文仿宋"/>
          <w:color w:val="auto"/>
          <w:sz w:val="28"/>
          <w:szCs w:val="28"/>
          <w:highlight w:val="none"/>
        </w:rPr>
        <w:t>三、招标文件</w:t>
      </w:r>
      <w:bookmarkEnd w:id="223"/>
      <w:bookmarkEnd w:id="224"/>
      <w:bookmarkEnd w:id="225"/>
      <w:bookmarkEnd w:id="226"/>
      <w:bookmarkEnd w:id="227"/>
      <w:bookmarkEnd w:id="228"/>
      <w:bookmarkEnd w:id="229"/>
      <w:bookmarkEnd w:id="230"/>
    </w:p>
    <w:p>
      <w:pPr>
        <w:pStyle w:val="4"/>
        <w:spacing w:line="500" w:lineRule="exact"/>
        <w:ind w:firstLine="566" w:firstLineChars="200"/>
        <w:rPr>
          <w:rFonts w:ascii="华文仿宋" w:cs="Times New Roman"/>
          <w:color w:val="auto"/>
          <w:sz w:val="28"/>
          <w:szCs w:val="28"/>
          <w:highlight w:val="none"/>
        </w:rPr>
      </w:pPr>
      <w:bookmarkStart w:id="231" w:name="_Toc27415"/>
      <w:bookmarkStart w:id="232" w:name="_Toc8008"/>
      <w:bookmarkStart w:id="233" w:name="_Toc14049"/>
      <w:bookmarkStart w:id="234" w:name="_Toc32304"/>
      <w:bookmarkStart w:id="235" w:name="_Toc22248"/>
      <w:bookmarkStart w:id="236" w:name="_Toc24360"/>
      <w:bookmarkStart w:id="237" w:name="_Toc5975"/>
      <w:bookmarkStart w:id="238" w:name="_Toc6250"/>
      <w:bookmarkStart w:id="239" w:name="_Toc12593"/>
      <w:bookmarkStart w:id="240" w:name="_Toc3049"/>
      <w:bookmarkStart w:id="241" w:name="_Toc9775"/>
      <w:bookmarkStart w:id="242" w:name="_Toc23378"/>
      <w:bookmarkStart w:id="243" w:name="_Toc31765"/>
      <w:r>
        <w:rPr>
          <w:rFonts w:hint="eastAsia" w:ascii="华文仿宋" w:hAnsi="华文仿宋" w:cs="华文仿宋"/>
          <w:color w:val="auto"/>
          <w:sz w:val="28"/>
          <w:szCs w:val="28"/>
          <w:highlight w:val="none"/>
        </w:rPr>
        <w:t>（一）招标文件包括下列内容</w:t>
      </w:r>
      <w:bookmarkEnd w:id="231"/>
      <w:bookmarkEnd w:id="232"/>
      <w:bookmarkEnd w:id="233"/>
      <w:bookmarkEnd w:id="234"/>
      <w:bookmarkEnd w:id="235"/>
      <w:bookmarkEnd w:id="236"/>
      <w:bookmarkEnd w:id="237"/>
      <w:bookmarkEnd w:id="238"/>
      <w:bookmarkEnd w:id="239"/>
      <w:bookmarkEnd w:id="240"/>
      <w:bookmarkEnd w:id="241"/>
      <w:bookmarkEnd w:id="242"/>
      <w:bookmarkEnd w:id="243"/>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第一章　投标邀请函</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第二章　投标人须知</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第三章  评审办法及标准</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第四章　招标内容及采购要求</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第五章　合同基本条款</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第六章　投标文件构成及格式</w:t>
      </w:r>
    </w:p>
    <w:p>
      <w:pPr>
        <w:pStyle w:val="4"/>
        <w:spacing w:line="500" w:lineRule="exact"/>
        <w:ind w:firstLine="566" w:firstLineChars="200"/>
        <w:rPr>
          <w:rFonts w:ascii="华文仿宋" w:cs="Times New Roman"/>
          <w:color w:val="auto"/>
          <w:sz w:val="28"/>
          <w:szCs w:val="28"/>
          <w:highlight w:val="none"/>
        </w:rPr>
      </w:pPr>
      <w:bookmarkStart w:id="244" w:name="_Toc7074"/>
      <w:bookmarkStart w:id="245" w:name="_Toc4175"/>
      <w:bookmarkStart w:id="246" w:name="_Toc16113"/>
      <w:bookmarkStart w:id="247" w:name="_Toc20821"/>
      <w:bookmarkStart w:id="248" w:name="_Toc19535"/>
      <w:bookmarkStart w:id="249" w:name="_Toc15437"/>
      <w:bookmarkStart w:id="250" w:name="_Toc26229"/>
      <w:bookmarkStart w:id="251" w:name="_Toc17819"/>
      <w:bookmarkStart w:id="252" w:name="_Toc16844"/>
      <w:bookmarkStart w:id="253" w:name="_Toc5020"/>
      <w:bookmarkStart w:id="254" w:name="_Toc31656"/>
      <w:bookmarkStart w:id="255" w:name="_Toc3956"/>
      <w:bookmarkStart w:id="256" w:name="_Toc25865"/>
      <w:r>
        <w:rPr>
          <w:rFonts w:hint="eastAsia" w:ascii="华文仿宋" w:hAnsi="华文仿宋" w:cs="华文仿宋"/>
          <w:color w:val="auto"/>
          <w:sz w:val="28"/>
          <w:szCs w:val="28"/>
          <w:highlight w:val="none"/>
        </w:rPr>
        <w:t>（二）招标文件的检查及阅读</w:t>
      </w:r>
      <w:bookmarkEnd w:id="244"/>
      <w:bookmarkEnd w:id="245"/>
      <w:bookmarkEnd w:id="246"/>
      <w:bookmarkEnd w:id="247"/>
      <w:bookmarkEnd w:id="248"/>
      <w:bookmarkEnd w:id="249"/>
      <w:bookmarkEnd w:id="250"/>
      <w:bookmarkEnd w:id="251"/>
      <w:bookmarkEnd w:id="252"/>
      <w:bookmarkEnd w:id="253"/>
      <w:bookmarkEnd w:id="254"/>
      <w:bookmarkEnd w:id="255"/>
      <w:bookmarkEnd w:id="256"/>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投标人下载招标文件后应仔细阅读检查招标文件中的所有内容，按照招标文件中所列事项、条款、规范要求及格式，在投标文件中对招标文件做出全面的响应，并按招标文件的要求提交全部资料。</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项目废标后重新组织招标的，陕西省省级单位政府采购中心将重新编制、发布新版招标文件，投标人应按新版招标文件重新编制投标文件。原招标文件及投标文件失效。</w:t>
      </w:r>
    </w:p>
    <w:p>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投标文件封面、投标函以及法定代表人授权委托书三处的项目名称、项目编号、标段（如有）应当与最新发布的招标文件保持一致，否则将被视为无效投标文件。</w:t>
      </w:r>
    </w:p>
    <w:p>
      <w:pPr>
        <w:pStyle w:val="4"/>
        <w:spacing w:line="500" w:lineRule="exact"/>
        <w:ind w:firstLine="566" w:firstLineChars="200"/>
        <w:rPr>
          <w:rFonts w:ascii="华文仿宋" w:cs="Times New Roman"/>
          <w:color w:val="auto"/>
          <w:sz w:val="28"/>
          <w:szCs w:val="28"/>
          <w:highlight w:val="none"/>
        </w:rPr>
      </w:pPr>
      <w:bookmarkStart w:id="257" w:name="_Toc16661"/>
      <w:bookmarkStart w:id="258" w:name="_Toc1339"/>
      <w:bookmarkStart w:id="259" w:name="_Toc24326"/>
      <w:bookmarkStart w:id="260" w:name="_Toc1771"/>
      <w:bookmarkStart w:id="261" w:name="_Toc9024"/>
      <w:bookmarkStart w:id="262" w:name="_Toc30151"/>
      <w:bookmarkStart w:id="263" w:name="_Toc8999"/>
      <w:bookmarkStart w:id="264" w:name="_Toc1338"/>
      <w:bookmarkStart w:id="265" w:name="_Toc1970"/>
      <w:bookmarkStart w:id="266" w:name="_Toc10780"/>
      <w:bookmarkStart w:id="267" w:name="_Toc10483"/>
      <w:bookmarkStart w:id="268" w:name="_Toc566"/>
      <w:bookmarkStart w:id="269" w:name="_Toc9885"/>
      <w:r>
        <w:rPr>
          <w:rFonts w:hint="eastAsia" w:ascii="华文仿宋" w:hAnsi="华文仿宋" w:cs="华文仿宋"/>
          <w:color w:val="auto"/>
          <w:sz w:val="28"/>
          <w:szCs w:val="28"/>
          <w:highlight w:val="none"/>
        </w:rPr>
        <w:t>（三）招标文件的修改、澄清</w:t>
      </w:r>
      <w:bookmarkEnd w:id="257"/>
      <w:bookmarkEnd w:id="258"/>
      <w:bookmarkEnd w:id="259"/>
      <w:bookmarkEnd w:id="260"/>
      <w:bookmarkEnd w:id="261"/>
      <w:bookmarkEnd w:id="262"/>
      <w:bookmarkEnd w:id="263"/>
      <w:bookmarkEnd w:id="264"/>
      <w:bookmarkEnd w:id="265"/>
      <w:bookmarkEnd w:id="266"/>
      <w:bookmarkEnd w:id="267"/>
      <w:bookmarkEnd w:id="268"/>
      <w:bookmarkEnd w:id="269"/>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在提交投标文件截止之日前，陕西省省级单位政府采购中心可对已发出的招标文件进行必要的澄清或者修改，澄清或者修改的内容作为招标文件的组成部分。澄清或者修改的内容可能影响投标文件编制的，陕西省省级单位政府采购中心将在投标截止时间</w:t>
      </w:r>
      <w:r>
        <w:rPr>
          <w:rFonts w:ascii="仿宋" w:hAnsi="仿宋" w:eastAsia="仿宋" w:cs="仿宋"/>
          <w:color w:val="auto"/>
          <w:highlight w:val="none"/>
        </w:rPr>
        <w:t>15</w:t>
      </w:r>
      <w:r>
        <w:rPr>
          <w:rFonts w:hint="eastAsia" w:ascii="华文仿宋" w:hAnsi="华文仿宋" w:cs="华文仿宋"/>
          <w:color w:val="auto"/>
          <w:highlight w:val="none"/>
        </w:rPr>
        <w:t>日前，在财政部门指定的政府采购信息发布媒体上</w:t>
      </w:r>
      <w:r>
        <w:rPr>
          <w:rFonts w:hint="eastAsia" w:ascii="华文仿宋" w:hAnsi="华文仿宋" w:cs="华文仿宋"/>
          <w:b/>
          <w:bCs/>
          <w:color w:val="auto"/>
          <w:highlight w:val="none"/>
        </w:rPr>
        <w:t>发布更正公告</w:t>
      </w:r>
      <w:r>
        <w:rPr>
          <w:rFonts w:hint="eastAsia" w:ascii="华文仿宋" w:hAnsi="华文仿宋" w:cs="华文仿宋"/>
          <w:color w:val="auto"/>
          <w:highlight w:val="none"/>
        </w:rPr>
        <w:t>；不足</w:t>
      </w:r>
      <w:r>
        <w:rPr>
          <w:rFonts w:ascii="仿宋" w:hAnsi="仿宋" w:eastAsia="仿宋" w:cs="仿宋"/>
          <w:color w:val="auto"/>
          <w:highlight w:val="none"/>
        </w:rPr>
        <w:t>15</w:t>
      </w:r>
      <w:r>
        <w:rPr>
          <w:rFonts w:hint="eastAsia" w:ascii="华文仿宋" w:hAnsi="华文仿宋" w:cs="华文仿宋"/>
          <w:color w:val="auto"/>
          <w:highlight w:val="none"/>
        </w:rPr>
        <w:t>日，陕西省省级单位政府采购中心将顺延提交投标文件的截止时间。</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、投标人对招标文件提出质疑的，应在招标文件获取之日起</w:t>
      </w:r>
      <w:r>
        <w:rPr>
          <w:rFonts w:ascii="仿宋" w:hAnsi="仿宋" w:eastAsia="仿宋" w:cs="仿宋"/>
          <w:color w:val="auto"/>
          <w:highlight w:val="none"/>
        </w:rPr>
        <w:t>7</w:t>
      </w:r>
      <w:r>
        <w:rPr>
          <w:rFonts w:hint="eastAsia" w:ascii="华文仿宋" w:hAnsi="华文仿宋" w:cs="华文仿宋"/>
          <w:color w:val="auto"/>
          <w:highlight w:val="none"/>
        </w:rPr>
        <w:t>个工作日内以书面形式提出，采购人以书面形式予以答复；在此之后提出的针对招标文件的质疑为无效质疑。答复的内容可能影响投标文件编制的，陕西省省级单位政府采购中心将在财政部门指定的政府采购信息发布媒体上</w:t>
      </w:r>
      <w:r>
        <w:rPr>
          <w:rFonts w:hint="eastAsia" w:ascii="华文仿宋" w:hAnsi="华文仿宋" w:cs="华文仿宋"/>
          <w:b/>
          <w:bCs/>
          <w:color w:val="auto"/>
          <w:highlight w:val="none"/>
        </w:rPr>
        <w:t>发布更正公告</w:t>
      </w:r>
      <w:r>
        <w:rPr>
          <w:rFonts w:hint="eastAsia" w:ascii="华文仿宋" w:hAnsi="华文仿宋" w:cs="华文仿宋"/>
          <w:color w:val="auto"/>
          <w:highlight w:val="none"/>
        </w:rPr>
        <w:t>。</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、各投标人在提交投标文件截止时间之前，应随时关注下列地址发布的更正公告，也可登录全国公共资源交易平台（陕西省）政府采购交易系统查看左上角的信息提醒，陕西省省级单位政府采购中心</w:t>
      </w:r>
      <w:r>
        <w:rPr>
          <w:rFonts w:hint="eastAsia" w:ascii="华文仿宋" w:hAnsi="华文仿宋" w:cs="华文仿宋"/>
          <w:b/>
          <w:bCs/>
          <w:color w:val="auto"/>
          <w:highlight w:val="none"/>
        </w:rPr>
        <w:t>不再单独通知，因投标人未及时关注所造成的一切后果由投标人自行承担：</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28"/>
          <w:rFonts w:hint="eastAsia" w:ascii="华文仿宋" w:hAnsi="华文仿宋" w:cs="华文仿宋"/>
          <w:color w:val="auto"/>
          <w:sz w:val="28"/>
          <w:szCs w:val="28"/>
          <w:highlight w:val="none"/>
        </w:rPr>
        <w:t>陕西省政府采购网</w:t>
      </w:r>
      <w:r>
        <w:rPr>
          <w:rStyle w:val="28"/>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（www.ccgp-shaanxi.gov.cn）】中的〖首页·〉省级公告·〉更正公告〗；</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w:t>
      </w:r>
      <w:r>
        <w:rPr>
          <w:rFonts w:hint="eastAsia" w:ascii="华文仿宋" w:hAnsi="华文仿宋" w:cs="华文仿宋"/>
          <w:color w:val="auto"/>
          <w:kern w:val="0"/>
          <w:highlight w:val="none"/>
        </w:rPr>
        <w:t>全国公共资源交易平台（陕西省）（</w:t>
      </w:r>
      <w:r>
        <w:rPr>
          <w:rFonts w:hint="eastAsia" w:ascii="华文仿宋" w:hAnsi="华文仿宋" w:cs="华文仿宋"/>
          <w:color w:val="auto"/>
          <w:highlight w:val="none"/>
        </w:rPr>
        <w:t>http://www.sxggzyjy.cn/</w:t>
      </w:r>
      <w:r>
        <w:rPr>
          <w:rFonts w:hint="eastAsia" w:ascii="华文仿宋" w:hAnsi="华文仿宋" w:cs="华文仿宋"/>
          <w:color w:val="auto"/>
          <w:kern w:val="0"/>
          <w:highlight w:val="none"/>
        </w:rPr>
        <w:t>）</w:t>
      </w:r>
      <w:r>
        <w:rPr>
          <w:rFonts w:hint="eastAsia" w:ascii="华文仿宋" w:hAnsi="华文仿宋" w:cs="华文仿宋"/>
          <w:color w:val="auto"/>
          <w:highlight w:val="none"/>
        </w:rPr>
        <w:t>】中的〖首页·〉交易大厅·〉政府采购〗。</w:t>
      </w:r>
    </w:p>
    <w:p>
      <w:pPr>
        <w:pStyle w:val="4"/>
        <w:spacing w:line="500" w:lineRule="exact"/>
        <w:ind w:firstLine="566" w:firstLineChars="200"/>
        <w:rPr>
          <w:rFonts w:ascii="华文仿宋" w:cs="Times New Roman"/>
          <w:color w:val="auto"/>
          <w:sz w:val="28"/>
          <w:szCs w:val="28"/>
          <w:highlight w:val="none"/>
        </w:rPr>
      </w:pPr>
      <w:bookmarkStart w:id="270" w:name="_Toc1163"/>
      <w:bookmarkStart w:id="271" w:name="_Toc32685"/>
      <w:bookmarkStart w:id="272" w:name="_Toc8608"/>
      <w:bookmarkStart w:id="273" w:name="_Toc5846"/>
      <w:bookmarkStart w:id="274" w:name="_Toc6050"/>
      <w:bookmarkStart w:id="275" w:name="_Toc8892"/>
      <w:bookmarkStart w:id="276" w:name="_Toc27253"/>
      <w:bookmarkStart w:id="277" w:name="_Toc3288"/>
      <w:bookmarkStart w:id="278" w:name="_Toc13477"/>
      <w:bookmarkStart w:id="279" w:name="_Toc29481"/>
      <w:bookmarkStart w:id="280" w:name="_Toc31173"/>
      <w:bookmarkStart w:id="281" w:name="_Toc26971"/>
      <w:bookmarkStart w:id="282" w:name="_Toc9356"/>
      <w:r>
        <w:rPr>
          <w:rFonts w:hint="eastAsia" w:ascii="华文仿宋" w:hAnsi="华文仿宋" w:cs="华文仿宋"/>
          <w:color w:val="auto"/>
          <w:sz w:val="28"/>
          <w:szCs w:val="28"/>
          <w:highlight w:val="none"/>
        </w:rPr>
        <w:t>（四）招标文件的解释权归陕西省省级单位政府采购中心</w:t>
      </w:r>
      <w:bookmarkEnd w:id="270"/>
      <w:bookmarkEnd w:id="271"/>
      <w:bookmarkEnd w:id="272"/>
      <w:bookmarkEnd w:id="273"/>
      <w:bookmarkEnd w:id="274"/>
      <w:bookmarkEnd w:id="275"/>
      <w:bookmarkEnd w:id="276"/>
      <w:bookmarkEnd w:id="277"/>
      <w:bookmarkEnd w:id="278"/>
      <w:bookmarkEnd w:id="279"/>
      <w:bookmarkEnd w:id="280"/>
      <w:bookmarkEnd w:id="281"/>
      <w:bookmarkEnd w:id="282"/>
    </w:p>
    <w:p>
      <w:pPr>
        <w:pStyle w:val="4"/>
        <w:spacing w:line="500" w:lineRule="exact"/>
        <w:ind w:firstLine="566" w:firstLineChars="200"/>
        <w:rPr>
          <w:rFonts w:ascii="华文仿宋" w:cs="Times New Roman"/>
          <w:color w:val="auto"/>
          <w:sz w:val="28"/>
          <w:szCs w:val="28"/>
          <w:highlight w:val="none"/>
        </w:rPr>
      </w:pPr>
      <w:bookmarkStart w:id="283" w:name="_Toc3628"/>
      <w:bookmarkStart w:id="284" w:name="_Toc6952"/>
      <w:bookmarkStart w:id="285" w:name="_Toc6147"/>
      <w:bookmarkStart w:id="286" w:name="_Toc14166"/>
      <w:bookmarkStart w:id="287" w:name="_Toc5567"/>
      <w:bookmarkStart w:id="288" w:name="_Toc15825"/>
      <w:bookmarkStart w:id="289" w:name="_Toc16758"/>
      <w:bookmarkStart w:id="290" w:name="_Toc422"/>
      <w:r>
        <w:rPr>
          <w:rFonts w:hint="eastAsia" w:ascii="华文仿宋" w:hAnsi="华文仿宋" w:cs="华文仿宋"/>
          <w:color w:val="auto"/>
          <w:sz w:val="28"/>
          <w:szCs w:val="28"/>
          <w:highlight w:val="none"/>
        </w:rPr>
        <w:t>四、</w:t>
      </w:r>
      <w:bookmarkEnd w:id="283"/>
      <w:bookmarkEnd w:id="284"/>
      <w:bookmarkEnd w:id="285"/>
      <w:bookmarkEnd w:id="286"/>
      <w:bookmarkStart w:id="291" w:name="_Toc2063"/>
      <w:bookmarkStart w:id="292" w:name="_Toc28325"/>
      <w:bookmarkStart w:id="293" w:name="_Toc29501"/>
      <w:bookmarkStart w:id="294" w:name="_Toc25753"/>
      <w:r>
        <w:rPr>
          <w:rFonts w:hint="eastAsia" w:ascii="华文仿宋" w:hAnsi="华文仿宋" w:cs="华文仿宋"/>
          <w:color w:val="auto"/>
          <w:sz w:val="28"/>
          <w:szCs w:val="28"/>
          <w:highlight w:val="none"/>
        </w:rPr>
        <w:t>投标报价</w:t>
      </w:r>
      <w:bookmarkEnd w:id="287"/>
      <w:bookmarkEnd w:id="288"/>
      <w:bookmarkEnd w:id="289"/>
      <w:bookmarkEnd w:id="290"/>
      <w:bookmarkEnd w:id="291"/>
      <w:bookmarkEnd w:id="292"/>
      <w:bookmarkEnd w:id="293"/>
      <w:bookmarkEnd w:id="294"/>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（一）投标人应严格按照《投标文件构成及格式》中《开标一览表》中的相关要求填写分类报价及其他需要响应的内容。</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（二）投标报价货币：</w:t>
      </w:r>
      <w:r>
        <w:rPr>
          <w:rFonts w:hint="eastAsia" w:ascii="华文仿宋" w:hAnsi="华文仿宋" w:cs="华文仿宋"/>
          <w:b/>
          <w:bCs/>
          <w:color w:val="auto"/>
          <w:highlight w:val="none"/>
        </w:rPr>
        <w:t>人民币</w:t>
      </w:r>
      <w:r>
        <w:rPr>
          <w:rFonts w:hint="eastAsia" w:ascii="华文仿宋" w:hAnsi="华文仿宋" w:cs="华文仿宋"/>
          <w:color w:val="auto"/>
          <w:highlight w:val="none"/>
        </w:rPr>
        <w:t>；单位：</w:t>
      </w:r>
      <w:r>
        <w:rPr>
          <w:rFonts w:hint="eastAsia" w:ascii="华文仿宋" w:hAnsi="华文仿宋" w:cs="华文仿宋"/>
          <w:b/>
          <w:bCs/>
          <w:color w:val="auto"/>
          <w:highlight w:val="none"/>
        </w:rPr>
        <w:t>元</w:t>
      </w:r>
      <w:r>
        <w:rPr>
          <w:rFonts w:hint="eastAsia" w:ascii="华文仿宋" w:hAnsi="华文仿宋" w:cs="华文仿宋"/>
          <w:color w:val="auto"/>
          <w:highlight w:val="none"/>
        </w:rPr>
        <w:t>，</w:t>
      </w:r>
      <w:r>
        <w:rPr>
          <w:rFonts w:hint="eastAsia" w:ascii="华文仿宋" w:hAnsi="华文仿宋" w:cs="华文仿宋"/>
          <w:b/>
          <w:bCs/>
          <w:color w:val="auto"/>
          <w:highlight w:val="none"/>
        </w:rPr>
        <w:t>保留到元。</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（三）投标报价只能提交唯一报价，并且在合同履行过程中是固定不变的，任何有选择的报价将不予接受，按无效投标处理。</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（四）投标文件报价出现前后不一致的，除招标文件另有规定外，按照下列规定修正：</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、投标文件中开标一览表内容与投标文件中相应内容不一致的，以开标一览表为准；</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、大写金额和小写金额不一致的，以大写金额为准；</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、单价金额小数点或者百分比有明显错位的，以开标一览表的总价为准，并修改单价；</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、总价金额与按单价汇总金额不一致的，以单价金额计算结果为准；</w:t>
      </w:r>
    </w:p>
    <w:p>
      <w:pPr>
        <w:spacing w:line="500" w:lineRule="exact"/>
        <w:ind w:firstLine="566" w:firstLineChars="200"/>
        <w:rPr>
          <w:rFonts w:ascii="华文仿宋" w:cs="Times New Roman"/>
          <w:b/>
          <w:bCs/>
          <w:color w:val="auto"/>
          <w:highlight w:val="none"/>
        </w:rPr>
      </w:pPr>
      <w:r>
        <w:rPr>
          <w:rFonts w:hint="eastAsia" w:ascii="华文仿宋" w:hAnsi="华文仿宋" w:cs="华文仿宋"/>
          <w:color w:val="auto"/>
          <w:highlight w:val="none"/>
        </w:rPr>
        <w:t>同时出现两种以上不一致的，按照前款规定的顺序修正。</w:t>
      </w:r>
      <w:r>
        <w:rPr>
          <w:rFonts w:hint="eastAsia" w:ascii="华文仿宋" w:hAnsi="华文仿宋" w:cs="华文仿宋"/>
          <w:b/>
          <w:bCs/>
          <w:color w:val="auto"/>
          <w:highlight w:val="none"/>
        </w:rPr>
        <w:t>修正后的报价经投标人确认后产生约束力，投标人不确认的，其投标无效。</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（五）因投标人对招标文件理解不透、误解、疏漏或对市场行情了解不清造成的后果和风险，均由投标人自己负责。</w:t>
      </w:r>
    </w:p>
    <w:p>
      <w:pPr>
        <w:pStyle w:val="4"/>
        <w:spacing w:line="500" w:lineRule="exact"/>
        <w:ind w:firstLine="566" w:firstLineChars="200"/>
        <w:rPr>
          <w:rFonts w:ascii="华文仿宋" w:cs="Times New Roman"/>
          <w:color w:val="auto"/>
          <w:sz w:val="28"/>
          <w:szCs w:val="28"/>
          <w:highlight w:val="none"/>
        </w:rPr>
      </w:pPr>
      <w:bookmarkStart w:id="295" w:name="_Toc17633"/>
      <w:bookmarkStart w:id="296" w:name="_Toc6672"/>
      <w:bookmarkStart w:id="297" w:name="_Toc14211"/>
      <w:bookmarkStart w:id="298" w:name="_Toc9280"/>
      <w:bookmarkStart w:id="299" w:name="_Toc17379"/>
      <w:bookmarkStart w:id="300" w:name="_Toc28510"/>
      <w:bookmarkStart w:id="301" w:name="_Toc11155"/>
      <w:bookmarkStart w:id="302" w:name="_Toc10029"/>
      <w:r>
        <w:rPr>
          <w:rFonts w:hint="eastAsia" w:ascii="华文仿宋" w:hAnsi="华文仿宋" w:cs="华文仿宋"/>
          <w:color w:val="auto"/>
          <w:sz w:val="28"/>
          <w:szCs w:val="28"/>
          <w:highlight w:val="none"/>
        </w:rPr>
        <w:t>五、投标文件</w:t>
      </w:r>
      <w:bookmarkEnd w:id="295"/>
      <w:bookmarkEnd w:id="296"/>
      <w:bookmarkEnd w:id="297"/>
      <w:bookmarkEnd w:id="298"/>
      <w:bookmarkEnd w:id="299"/>
      <w:bookmarkEnd w:id="300"/>
      <w:bookmarkEnd w:id="301"/>
      <w:bookmarkEnd w:id="302"/>
    </w:p>
    <w:p>
      <w:pPr>
        <w:pStyle w:val="4"/>
        <w:spacing w:line="500" w:lineRule="exact"/>
        <w:ind w:firstLine="566" w:firstLineChars="200"/>
        <w:rPr>
          <w:rFonts w:ascii="华文仿宋" w:cs="Times New Roman"/>
          <w:color w:val="auto"/>
          <w:sz w:val="28"/>
          <w:szCs w:val="28"/>
          <w:highlight w:val="none"/>
        </w:rPr>
      </w:pPr>
      <w:bookmarkStart w:id="303" w:name="_Toc31454"/>
      <w:bookmarkStart w:id="304" w:name="_Toc9782"/>
      <w:bookmarkStart w:id="305" w:name="_Toc7897"/>
      <w:bookmarkStart w:id="306" w:name="_Toc11839"/>
      <w:bookmarkStart w:id="307" w:name="_Toc10242"/>
      <w:bookmarkStart w:id="308" w:name="_Toc14317"/>
      <w:bookmarkStart w:id="309" w:name="_Toc30911"/>
      <w:bookmarkStart w:id="310" w:name="_Toc4717"/>
      <w:bookmarkStart w:id="311" w:name="_Toc18892"/>
      <w:bookmarkStart w:id="312" w:name="_Toc19870"/>
      <w:bookmarkStart w:id="313" w:name="_Toc1832"/>
      <w:bookmarkStart w:id="314" w:name="_Toc26923"/>
      <w:bookmarkStart w:id="315" w:name="_Toc4108"/>
      <w:r>
        <w:rPr>
          <w:rFonts w:hint="eastAsia" w:ascii="华文仿宋" w:hAnsi="华文仿宋" w:cs="华文仿宋"/>
          <w:color w:val="auto"/>
          <w:sz w:val="28"/>
          <w:szCs w:val="28"/>
          <w:highlight w:val="none"/>
        </w:rPr>
        <w:t>（一）投标文件形式</w:t>
      </w:r>
      <w:bookmarkEnd w:id="303"/>
      <w:bookmarkEnd w:id="304"/>
      <w:bookmarkEnd w:id="305"/>
      <w:bookmarkEnd w:id="306"/>
      <w:bookmarkEnd w:id="307"/>
      <w:bookmarkEnd w:id="308"/>
      <w:bookmarkEnd w:id="309"/>
      <w:bookmarkEnd w:id="310"/>
      <w:bookmarkEnd w:id="311"/>
      <w:bookmarkEnd w:id="312"/>
      <w:bookmarkEnd w:id="313"/>
      <w:bookmarkEnd w:id="314"/>
      <w:bookmarkEnd w:id="315"/>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本项目采用电子投标文件的形式。</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编制电子投标文件时，应使用最新发布的电子招标文件及专用制作工具进行编制。并使用数字认证证书（</w:t>
      </w:r>
      <w:r>
        <w:rPr>
          <w:rFonts w:hint="eastAsia" w:ascii="仿宋" w:hAnsi="仿宋" w:eastAsia="仿宋" w:cs="仿宋"/>
          <w:color w:val="auto"/>
          <w:kern w:val="0"/>
          <w:highlight w:val="none"/>
        </w:rPr>
        <w:t>CA</w:t>
      </w:r>
      <w:r>
        <w:rPr>
          <w:rFonts w:hint="eastAsia" w:ascii="华文仿宋" w:hAnsi="华文仿宋" w:cs="华文仿宋"/>
          <w:color w:val="auto"/>
          <w:highlight w:val="none"/>
        </w:rPr>
        <w:t>锁）对电子投标文件进行签署、加密、递交及解密等相关操作。</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、电子招标文件下载。投标人登录全国公共资源交易平台（陕西省）网站〖首页·〉电子交易平台·〉企业端〗后，在〖招标公告</w:t>
      </w:r>
      <w:r>
        <w:rPr>
          <w:rFonts w:ascii="华文仿宋" w:hAnsi="华文仿宋" w:cs="华文仿宋"/>
          <w:color w:val="auto"/>
          <w:highlight w:val="none"/>
        </w:rPr>
        <w:t>/</w:t>
      </w:r>
      <w:r>
        <w:rPr>
          <w:rFonts w:hint="eastAsia" w:ascii="华文仿宋" w:hAnsi="华文仿宋" w:cs="华文仿宋"/>
          <w:color w:val="auto"/>
          <w:highlight w:val="none"/>
        </w:rPr>
        <w:t>出让公告〗模块中选择项目点击“我要投标”，参与投标活动。然后即可在〖我的项目〗中点击“项目流程</w:t>
      </w:r>
      <w:r>
        <w:rPr>
          <w:rFonts w:ascii="华文仿宋" w:hAnsi="华文仿宋" w:cs="华文仿宋"/>
          <w:color w:val="auto"/>
          <w:highlight w:val="none"/>
        </w:rPr>
        <w:t>&gt;</w:t>
      </w:r>
      <w:r>
        <w:rPr>
          <w:rFonts w:hint="eastAsia" w:ascii="华文仿宋" w:hAnsi="华文仿宋" w:cs="华文仿宋"/>
          <w:color w:val="auto"/>
          <w:highlight w:val="none"/>
        </w:rPr>
        <w:t>交易文件下载”下载电子招标文件（</w:t>
      </w:r>
      <w:r>
        <w:rPr>
          <w:rFonts w:ascii="华文仿宋" w:hAnsi="华文仿宋" w:cs="华文仿宋"/>
          <w:color w:val="auto"/>
          <w:highlight w:val="none"/>
        </w:rPr>
        <w:t>*</w:t>
      </w:r>
      <w:r>
        <w:rPr>
          <w:rFonts w:hint="eastAsia" w:ascii="仿宋" w:hAnsi="仿宋" w:eastAsia="仿宋" w:cs="仿宋"/>
          <w:color w:val="auto"/>
          <w:kern w:val="0"/>
          <w:highlight w:val="none"/>
        </w:rPr>
        <w:t>.SXSZF</w:t>
      </w:r>
      <w:r>
        <w:rPr>
          <w:rFonts w:hint="eastAsia" w:ascii="华文仿宋" w:hAnsi="华文仿宋" w:cs="华文仿宋"/>
          <w:color w:val="auto"/>
          <w:highlight w:val="none"/>
        </w:rPr>
        <w:t>）。</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注意：该项目如有变更文件，则应点击“项目流程</w:t>
      </w:r>
      <w:r>
        <w:rPr>
          <w:rFonts w:ascii="华文仿宋" w:hAnsi="华文仿宋" w:cs="华文仿宋"/>
          <w:color w:val="auto"/>
          <w:highlight w:val="none"/>
        </w:rPr>
        <w:t>&gt;</w:t>
      </w:r>
      <w:r>
        <w:rPr>
          <w:rFonts w:hint="eastAsia" w:ascii="华文仿宋" w:hAnsi="华文仿宋" w:cs="华文仿宋"/>
          <w:color w:val="auto"/>
          <w:highlight w:val="none"/>
        </w:rPr>
        <w:t>答疑文件下载”下载更新后的电子招标文件（</w:t>
      </w:r>
      <w:r>
        <w:rPr>
          <w:rFonts w:ascii="华文仿宋" w:hAnsi="华文仿宋" w:cs="华文仿宋"/>
          <w:color w:val="auto"/>
          <w:highlight w:val="none"/>
        </w:rPr>
        <w:t>*</w:t>
      </w:r>
      <w:r>
        <w:rPr>
          <w:rFonts w:hint="eastAsia" w:ascii="仿宋" w:hAnsi="仿宋" w:eastAsia="仿宋" w:cs="仿宋"/>
          <w:color w:val="auto"/>
          <w:kern w:val="0"/>
          <w:highlight w:val="none"/>
        </w:rPr>
        <w:t>.SXSCF</w:t>
      </w:r>
      <w:r>
        <w:rPr>
          <w:rFonts w:hint="eastAsia" w:ascii="华文仿宋" w:hAnsi="华文仿宋" w:cs="华文仿宋"/>
          <w:color w:val="auto"/>
          <w:highlight w:val="none"/>
        </w:rPr>
        <w:t>），</w:t>
      </w:r>
      <w:r>
        <w:rPr>
          <w:rFonts w:hint="eastAsia" w:ascii="华文仿宋" w:hAnsi="华文仿宋" w:cs="华文仿宋"/>
          <w:b/>
          <w:bCs/>
          <w:color w:val="auto"/>
          <w:highlight w:val="none"/>
        </w:rPr>
        <w:t>使用旧版电子招标文件制作的电子投标文件，系统将拒绝接收。</w:t>
      </w:r>
    </w:p>
    <w:p>
      <w:pPr>
        <w:numPr>
          <w:ilvl w:val="0"/>
          <w:numId w:val="3"/>
        </w:num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电子招标文件需要使用专用软件打开、浏览。投标人可在全国公共资源交易平台（陕西省）网站〖首页·〉服务指南·〉下载专区〗免费下载“陕西省公共资源交易平台政府采购电子标书制作工具”，并升级至最新版本，使用该客户端可以打开电子招标文件。软件操作手册详见全国公共资源交易平台（陕西省）网站〖首页·〉服务指南·〉下载专区〗中的《陕西省公共资源交易（政府采购类）投标文件制作软件操作手册》。</w:t>
      </w:r>
    </w:p>
    <w:p>
      <w:pPr>
        <w:numPr>
          <w:ilvl w:val="0"/>
          <w:numId w:val="3"/>
        </w:num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制作电子投标文件。电子投标文件同样需要使用上述软件进行编制。在编制过程中，如有技术性问题，请先翻阅操作手册，或致电软件开发商。</w:t>
      </w:r>
      <w:r>
        <w:rPr>
          <w:rFonts w:hint="eastAsia" w:ascii="华文仿宋" w:hAnsi="华文仿宋" w:cs="华文仿宋"/>
          <w:b/>
          <w:bCs/>
          <w:color w:val="auto"/>
          <w:highlight w:val="none"/>
        </w:rPr>
        <w:t>技术支持热线：</w:t>
      </w:r>
      <w:r>
        <w:rPr>
          <w:rFonts w:hint="eastAsia" w:ascii="仿宋" w:hAnsi="仿宋" w:eastAsia="仿宋" w:cs="仿宋"/>
          <w:b/>
          <w:bCs/>
          <w:color w:val="auto"/>
          <w:highlight w:val="none"/>
        </w:rPr>
        <w:t>4009980000。</w:t>
      </w:r>
    </w:p>
    <w:p>
      <w:pPr>
        <w:keepNext/>
        <w:keepLines/>
        <w:spacing w:line="500" w:lineRule="exact"/>
        <w:ind w:firstLine="566" w:firstLineChars="200"/>
        <w:rPr>
          <w:rFonts w:ascii="华文仿宋" w:cs="Times New Roman"/>
          <w:b/>
          <w:bCs/>
          <w:color w:val="auto"/>
          <w:highlight w:val="none"/>
        </w:rPr>
      </w:pPr>
      <w:bookmarkStart w:id="316" w:name="_Toc8183"/>
      <w:bookmarkStart w:id="317" w:name="_Toc14227"/>
      <w:bookmarkStart w:id="318" w:name="_Toc10159"/>
      <w:bookmarkStart w:id="319" w:name="_Toc12406"/>
      <w:bookmarkStart w:id="320" w:name="_Toc18702"/>
      <w:r>
        <w:rPr>
          <w:rFonts w:hint="eastAsia" w:ascii="华文仿宋" w:hAnsi="华文仿宋" w:cs="华文仿宋"/>
          <w:b/>
          <w:bCs/>
          <w:color w:val="auto"/>
          <w:highlight w:val="none"/>
        </w:rPr>
        <w:t>（二）投标文件语言及有效期</w:t>
      </w:r>
      <w:bookmarkEnd w:id="316"/>
      <w:bookmarkEnd w:id="317"/>
      <w:bookmarkEnd w:id="318"/>
      <w:bookmarkEnd w:id="319"/>
      <w:bookmarkEnd w:id="320"/>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1、投标活动的所有文件、资料、函电文均使用</w:t>
      </w:r>
      <w:r>
        <w:rPr>
          <w:rFonts w:hint="eastAsia" w:ascii="华文仿宋" w:hAnsi="华文仿宋" w:cs="华文仿宋"/>
          <w:b/>
          <w:bCs/>
          <w:color w:val="auto"/>
          <w:highlight w:val="none"/>
        </w:rPr>
        <w:t>简体中文</w:t>
      </w:r>
      <w:r>
        <w:rPr>
          <w:rFonts w:hint="eastAsia" w:ascii="华文仿宋" w:hAnsi="华文仿宋" w:cs="华文仿宋"/>
          <w:color w:val="auto"/>
          <w:highlight w:val="none"/>
        </w:rPr>
        <w:t>，确需提交其他语言形成的资料，必须翻译成简体中文，如有差异，以简体中文为准。</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2、投标文件有效期为</w:t>
      </w:r>
      <w:r>
        <w:rPr>
          <w:rFonts w:hint="eastAsia" w:ascii="华文仿宋" w:hAnsi="华文仿宋" w:cs="华文仿宋"/>
          <w:b/>
          <w:bCs/>
          <w:color w:val="auto"/>
          <w:highlight w:val="none"/>
        </w:rPr>
        <w:t>自开标之日起</w:t>
      </w:r>
      <w:r>
        <w:rPr>
          <w:rFonts w:ascii="仿宋" w:hAnsi="仿宋" w:eastAsia="仿宋" w:cs="仿宋"/>
          <w:b/>
          <w:bCs/>
          <w:color w:val="auto"/>
          <w:highlight w:val="none"/>
          <w:lang w:val="zh-CN"/>
        </w:rPr>
        <w:t>90</w:t>
      </w:r>
      <w:r>
        <w:rPr>
          <w:rFonts w:hint="eastAsia" w:ascii="华文仿宋" w:hAnsi="华文仿宋" w:cs="华文仿宋"/>
          <w:b/>
          <w:bCs/>
          <w:color w:val="auto"/>
          <w:highlight w:val="none"/>
        </w:rPr>
        <w:t>个日历日</w:t>
      </w:r>
      <w:r>
        <w:rPr>
          <w:rFonts w:hint="eastAsia" w:ascii="华文仿宋" w:hAnsi="华文仿宋" w:cs="华文仿宋"/>
          <w:color w:val="auto"/>
          <w:highlight w:val="none"/>
        </w:rPr>
        <w:t>。如中标，延长至合同执行完毕时止。</w:t>
      </w:r>
    </w:p>
    <w:p>
      <w:pPr>
        <w:pStyle w:val="4"/>
        <w:spacing w:line="500" w:lineRule="exact"/>
        <w:ind w:firstLine="566" w:firstLineChars="200"/>
        <w:rPr>
          <w:rFonts w:ascii="华文仿宋" w:cs="Times New Roman"/>
          <w:color w:val="auto"/>
          <w:sz w:val="28"/>
          <w:szCs w:val="28"/>
          <w:highlight w:val="none"/>
        </w:rPr>
      </w:pPr>
      <w:bookmarkStart w:id="321" w:name="_Toc2152"/>
      <w:bookmarkStart w:id="322" w:name="_Toc18589"/>
      <w:bookmarkStart w:id="323" w:name="_Toc31539"/>
      <w:bookmarkStart w:id="324" w:name="_Toc20317"/>
      <w:bookmarkStart w:id="325" w:name="_Toc8949"/>
      <w:bookmarkStart w:id="326" w:name="_Toc23737"/>
      <w:bookmarkStart w:id="327" w:name="_Toc4122"/>
      <w:bookmarkStart w:id="328" w:name="_Toc1934"/>
      <w:bookmarkStart w:id="329" w:name="_Toc8262"/>
      <w:bookmarkStart w:id="330" w:name="_Toc18773"/>
      <w:bookmarkStart w:id="331" w:name="_Toc24247"/>
      <w:bookmarkStart w:id="332" w:name="_Toc3365"/>
      <w:bookmarkStart w:id="333" w:name="_Toc18432"/>
      <w:r>
        <w:rPr>
          <w:rFonts w:hint="eastAsia" w:ascii="华文仿宋" w:hAnsi="华文仿宋" w:cs="华文仿宋"/>
          <w:color w:val="auto"/>
          <w:sz w:val="28"/>
          <w:szCs w:val="28"/>
          <w:highlight w:val="none"/>
        </w:rPr>
        <w:t>（三）投标文件的提交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p>
    <w:p>
      <w:pPr>
        <w:spacing w:line="500" w:lineRule="exact"/>
        <w:ind w:firstLine="566" w:firstLineChars="200"/>
        <w:rPr>
          <w:rFonts w:ascii="华文仿宋" w:cs="Times New Roman"/>
          <w:color w:val="auto"/>
          <w:highlight w:val="none"/>
        </w:rPr>
      </w:pPr>
      <w:bookmarkStart w:id="334" w:name="_Toc21730"/>
      <w:bookmarkStart w:id="335" w:name="_Toc7616"/>
      <w:bookmarkStart w:id="336" w:name="_Toc24995"/>
      <w:bookmarkStart w:id="337" w:name="_Toc31979"/>
      <w:bookmarkStart w:id="338" w:name="_Toc17559"/>
      <w:bookmarkStart w:id="339" w:name="_Toc27375"/>
      <w:bookmarkStart w:id="340" w:name="_Toc17615"/>
      <w:bookmarkStart w:id="341" w:name="_Toc32689"/>
      <w:bookmarkStart w:id="342" w:name="_Toc7271"/>
      <w:r>
        <w:rPr>
          <w:rFonts w:hint="eastAsia" w:ascii="华文仿宋" w:hAnsi="华文仿宋" w:cs="华文仿宋"/>
          <w:color w:val="auto"/>
          <w:highlight w:val="none"/>
        </w:rPr>
        <w:t>电子投标文件可于提交投标文件截止时间前任意时段登录全国公共资源交易平台（陕西省）网站“电子交易平台</w:t>
      </w:r>
      <w:r>
        <w:rPr>
          <w:rFonts w:ascii="华文仿宋" w:hAnsi="华文仿宋" w:cs="华文仿宋"/>
          <w:color w:val="auto"/>
          <w:highlight w:val="none"/>
        </w:rPr>
        <w:t>&gt;</w:t>
      </w:r>
      <w:r>
        <w:rPr>
          <w:rFonts w:hint="eastAsia" w:ascii="华文仿宋" w:hAnsi="华文仿宋" w:cs="华文仿宋"/>
          <w:color w:val="auto"/>
          <w:highlight w:val="none"/>
        </w:rPr>
        <w:t>企业端”进行提交，逾期系统将拒绝接收。提交时，投标人应登录全国公共资源交易中心平台（陕西省），选择“首页</w:t>
      </w:r>
      <w:r>
        <w:rPr>
          <w:rFonts w:ascii="华文仿宋" w:hAnsi="华文仿宋" w:cs="华文仿宋"/>
          <w:color w:val="auto"/>
          <w:highlight w:val="none"/>
        </w:rPr>
        <w:t>&gt;</w:t>
      </w:r>
      <w:r>
        <w:rPr>
          <w:rFonts w:hint="eastAsia" w:ascii="华文仿宋" w:hAnsi="华文仿宋" w:cs="华文仿宋"/>
          <w:color w:val="auto"/>
          <w:highlight w:val="none"/>
        </w:rPr>
        <w:t>电子交易平台</w:t>
      </w:r>
      <w:r>
        <w:rPr>
          <w:rFonts w:ascii="华文仿宋" w:hAnsi="华文仿宋" w:cs="华文仿宋"/>
          <w:color w:val="auto"/>
          <w:highlight w:val="none"/>
        </w:rPr>
        <w:t>&gt;</w:t>
      </w:r>
      <w:r>
        <w:rPr>
          <w:rFonts w:hint="eastAsia" w:ascii="华文仿宋" w:hAnsi="华文仿宋" w:cs="华文仿宋"/>
          <w:color w:val="auto"/>
          <w:highlight w:val="none"/>
        </w:rPr>
        <w:t>企业端</w:t>
      </w:r>
      <w:r>
        <w:rPr>
          <w:rFonts w:ascii="华文仿宋" w:hAnsi="华文仿宋" w:cs="华文仿宋"/>
          <w:color w:val="auto"/>
          <w:highlight w:val="none"/>
        </w:rPr>
        <w:t>&gt;</w:t>
      </w:r>
      <w:r>
        <w:rPr>
          <w:rFonts w:hint="eastAsia" w:ascii="华文仿宋" w:hAnsi="华文仿宋" w:cs="华文仿宋"/>
          <w:color w:val="auto"/>
          <w:highlight w:val="none"/>
        </w:rPr>
        <w:t>我的项目”，点击“项目流程”，在打开的“项目管理”对话框中选择“上传投标文件”，上传加密的电子投标文件（</w:t>
      </w:r>
      <w:r>
        <w:rPr>
          <w:color w:val="auto"/>
          <w:highlight w:val="none"/>
        </w:rPr>
        <w:t>*</w:t>
      </w:r>
      <w:r>
        <w:rPr>
          <w:rFonts w:hint="eastAsia" w:ascii="仿宋" w:hAnsi="仿宋" w:eastAsia="仿宋" w:cs="仿宋"/>
          <w:color w:val="auto"/>
          <w:highlight w:val="none"/>
        </w:rPr>
        <w:t>.SXSTF</w:t>
      </w:r>
      <w:r>
        <w:rPr>
          <w:rFonts w:hint="eastAsia" w:ascii="华文仿宋" w:hAnsi="华文仿宋" w:cs="华文仿宋"/>
          <w:color w:val="auto"/>
          <w:highlight w:val="none"/>
        </w:rPr>
        <w:t>）。上传成功后，电子化平台将予以记录。</w:t>
      </w:r>
    </w:p>
    <w:p>
      <w:pPr>
        <w:pStyle w:val="4"/>
        <w:spacing w:line="500" w:lineRule="exact"/>
        <w:ind w:firstLine="566" w:firstLineChars="200"/>
        <w:rPr>
          <w:rFonts w:ascii="华文仿宋" w:cs="Times New Roman"/>
          <w:color w:val="auto"/>
          <w:sz w:val="28"/>
          <w:szCs w:val="28"/>
          <w:highlight w:val="none"/>
        </w:rPr>
      </w:pPr>
      <w:bookmarkStart w:id="343" w:name="_Toc27882"/>
      <w:bookmarkStart w:id="344" w:name="_Toc29672"/>
      <w:bookmarkStart w:id="345" w:name="_Toc15097"/>
      <w:bookmarkStart w:id="346" w:name="_Toc9556"/>
      <w:r>
        <w:rPr>
          <w:rFonts w:hint="eastAsia" w:ascii="华文仿宋" w:hAnsi="华文仿宋" w:cs="华文仿宋"/>
          <w:color w:val="auto"/>
          <w:sz w:val="28"/>
          <w:szCs w:val="28"/>
          <w:highlight w:val="none"/>
        </w:rPr>
        <w:t>（四）投标文件的补充、修改和撤回</w:t>
      </w:r>
      <w:bookmarkEnd w:id="334"/>
      <w:bookmarkEnd w:id="335"/>
      <w:bookmarkEnd w:id="336"/>
      <w:bookmarkEnd w:id="337"/>
      <w:bookmarkEnd w:id="338"/>
      <w:bookmarkEnd w:id="339"/>
      <w:bookmarkEnd w:id="340"/>
      <w:bookmarkEnd w:id="341"/>
      <w:bookmarkEnd w:id="342"/>
      <w:bookmarkEnd w:id="343"/>
      <w:bookmarkEnd w:id="344"/>
      <w:bookmarkEnd w:id="345"/>
      <w:bookmarkEnd w:id="346"/>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、投标人在递交投标文件后，且在提交投标文件截止时间前，可以对所提交的投标文件进行补充、修改或撤回。</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、对电子投标文件进行补充、修改的，应先从电子交易平台上撤回旧版，再重新提交新版。</w:t>
      </w:r>
    </w:p>
    <w:p>
      <w:pPr>
        <w:spacing w:line="500" w:lineRule="exact"/>
        <w:ind w:firstLine="566" w:firstLineChars="200"/>
        <w:rPr>
          <w:rFonts w:ascii="华文仿宋" w:hAnsi="华文仿宋" w:cs="华文仿宋"/>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、投标文件提交截止时间后，投标人不得对其投标文件做任何修改。</w:t>
      </w:r>
    </w:p>
    <w:p>
      <w:pPr>
        <w:pStyle w:val="4"/>
        <w:spacing w:line="500" w:lineRule="exact"/>
        <w:ind w:firstLine="566" w:firstLineChars="200"/>
        <w:rPr>
          <w:rFonts w:ascii="华文仿宋" w:cs="Times New Roman"/>
          <w:color w:val="auto"/>
          <w:sz w:val="28"/>
          <w:szCs w:val="28"/>
          <w:highlight w:val="none"/>
        </w:rPr>
      </w:pPr>
      <w:bookmarkStart w:id="347" w:name="_Toc29417"/>
      <w:bookmarkStart w:id="348" w:name="_Toc14492"/>
      <w:bookmarkStart w:id="349" w:name="_Toc27898"/>
      <w:bookmarkStart w:id="350" w:name="_Toc649"/>
      <w:bookmarkStart w:id="351" w:name="_Toc16214"/>
      <w:bookmarkStart w:id="352" w:name="_Toc28287"/>
      <w:bookmarkStart w:id="353" w:name="_Toc23599"/>
      <w:bookmarkStart w:id="354" w:name="_Toc15674"/>
      <w:bookmarkStart w:id="355" w:name="_Toc11066"/>
      <w:bookmarkStart w:id="356" w:name="_Toc3075"/>
      <w:bookmarkStart w:id="357" w:name="_Toc20024"/>
      <w:bookmarkStart w:id="358" w:name="_Toc17573"/>
      <w:bookmarkStart w:id="359" w:name="_Toc13291"/>
      <w:r>
        <w:rPr>
          <w:rFonts w:hint="eastAsia" w:ascii="华文仿宋" w:hAnsi="华文仿宋" w:cs="华文仿宋"/>
          <w:color w:val="auto"/>
          <w:sz w:val="28"/>
          <w:szCs w:val="28"/>
          <w:highlight w:val="none"/>
        </w:rPr>
        <w:t>（五）投标人提交投标文件时，出现下列情况之一的，其投标文件将被拒绝接收：</w:t>
      </w:r>
      <w:bookmarkEnd w:id="347"/>
      <w:bookmarkEnd w:id="348"/>
      <w:bookmarkEnd w:id="349"/>
      <w:bookmarkEnd w:id="350"/>
      <w:bookmarkEnd w:id="351"/>
      <w:bookmarkEnd w:id="352"/>
      <w:bookmarkEnd w:id="353"/>
      <w:bookmarkEnd w:id="354"/>
      <w:bookmarkEnd w:id="355"/>
      <w:bookmarkEnd w:id="356"/>
      <w:bookmarkEnd w:id="357"/>
      <w:bookmarkEnd w:id="358"/>
      <w:bookmarkEnd w:id="359"/>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、逾期提交投标文件；</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、提交的投标文件与本项目不相符的。</w:t>
      </w:r>
    </w:p>
    <w:p>
      <w:pPr>
        <w:pStyle w:val="4"/>
        <w:spacing w:line="500" w:lineRule="exact"/>
        <w:ind w:firstLine="566" w:firstLineChars="200"/>
        <w:rPr>
          <w:rFonts w:ascii="华文仿宋" w:cs="Times New Roman"/>
          <w:color w:val="auto"/>
          <w:sz w:val="28"/>
          <w:szCs w:val="28"/>
          <w:highlight w:val="none"/>
        </w:rPr>
      </w:pPr>
      <w:bookmarkStart w:id="360" w:name="_Toc7926"/>
      <w:bookmarkStart w:id="361" w:name="_Toc20777"/>
      <w:bookmarkStart w:id="362" w:name="_Toc9457"/>
      <w:bookmarkStart w:id="363" w:name="_Toc19182"/>
      <w:bookmarkStart w:id="364" w:name="_Toc23167"/>
      <w:bookmarkStart w:id="365" w:name="_Toc24495"/>
      <w:bookmarkStart w:id="366" w:name="_Toc16898"/>
      <w:bookmarkStart w:id="367" w:name="_Toc22417"/>
      <w:r>
        <w:rPr>
          <w:rFonts w:hint="eastAsia" w:ascii="华文仿宋" w:hAnsi="华文仿宋" w:cs="华文仿宋"/>
          <w:color w:val="auto"/>
          <w:sz w:val="28"/>
          <w:szCs w:val="28"/>
          <w:highlight w:val="none"/>
        </w:rPr>
        <w:t>六、组织开标</w:t>
      </w:r>
      <w:bookmarkEnd w:id="360"/>
      <w:bookmarkEnd w:id="361"/>
      <w:bookmarkEnd w:id="362"/>
      <w:bookmarkEnd w:id="363"/>
      <w:bookmarkEnd w:id="364"/>
      <w:bookmarkEnd w:id="365"/>
      <w:bookmarkEnd w:id="366"/>
      <w:bookmarkEnd w:id="367"/>
    </w:p>
    <w:p>
      <w:pPr>
        <w:spacing w:line="500" w:lineRule="exact"/>
        <w:ind w:firstLine="566" w:firstLineChars="200"/>
        <w:rPr>
          <w:rFonts w:cs="Times New Roman"/>
          <w:color w:val="auto"/>
          <w:highlight w:val="none"/>
        </w:rPr>
      </w:pPr>
      <w:r>
        <w:rPr>
          <w:rFonts w:hint="eastAsia" w:cs="华文仿宋"/>
          <w:color w:val="auto"/>
          <w:highlight w:val="none"/>
        </w:rPr>
        <w:t>（一）陕西省省级单位政府采购中心组织开标、评审工作，整个过程受政府采购监管机构的监督、管理。</w:t>
      </w:r>
    </w:p>
    <w:p>
      <w:pPr>
        <w:spacing w:line="500" w:lineRule="exact"/>
        <w:ind w:firstLine="566" w:firstLineChars="200"/>
        <w:rPr>
          <w:rFonts w:hint="eastAsia" w:ascii="华文仿宋" w:hAnsi="华文仿宋" w:cs="华文仿宋"/>
          <w:b/>
          <w:bCs/>
          <w:color w:val="auto"/>
          <w:highlight w:val="none"/>
        </w:rPr>
      </w:pPr>
      <w:r>
        <w:rPr>
          <w:rFonts w:hint="eastAsia" w:ascii="华文仿宋" w:hAnsi="华文仿宋" w:cs="华文仿宋"/>
          <w:b/>
          <w:bCs/>
          <w:color w:val="auto"/>
          <w:highlight w:val="none"/>
        </w:rPr>
        <w:t>（二）本项目采用不见面开标方式。投标人需在开标前最少一个小时登录全国公共资源交易平台（陕西省）首页选择“不见面开标-陕西省本级”自行调试，并按照工作人员要求进行投标文件解密，远程观看开标直播。及时加入网络开标大厅公布的腾讯QQ号，以便澄清等情况处理。如遇困难，请拨打系统平台技术支持电话：</w:t>
      </w:r>
      <w:r>
        <w:rPr>
          <w:rFonts w:hint="eastAsia" w:ascii="仿宋" w:hAnsi="仿宋" w:eastAsia="仿宋" w:cs="仿宋"/>
          <w:b/>
          <w:bCs/>
          <w:color w:val="auto"/>
          <w:highlight w:val="none"/>
        </w:rPr>
        <w:t>4009980000</w:t>
      </w:r>
      <w:r>
        <w:rPr>
          <w:rFonts w:hint="eastAsia" w:ascii="华文仿宋" w:hAnsi="华文仿宋" w:cs="华文仿宋"/>
          <w:b/>
          <w:bCs/>
          <w:color w:val="auto"/>
          <w:highlight w:val="none"/>
        </w:rPr>
        <w:t>。</w:t>
      </w:r>
    </w:p>
    <w:p>
      <w:pPr>
        <w:spacing w:line="500" w:lineRule="exact"/>
        <w:ind w:firstLine="566" w:firstLineChars="200"/>
        <w:rPr>
          <w:rFonts w:cs="华文仿宋"/>
          <w:color w:val="auto"/>
          <w:highlight w:val="none"/>
        </w:rPr>
      </w:pPr>
      <w:r>
        <w:rPr>
          <w:rFonts w:hint="eastAsia" w:cs="华文仿宋"/>
          <w:color w:val="auto"/>
          <w:highlight w:val="none"/>
        </w:rPr>
        <w:t>参加投标的投标人不足</w:t>
      </w:r>
      <w:r>
        <w:rPr>
          <w:rFonts w:hint="eastAsia" w:ascii="仿宋" w:hAnsi="仿宋" w:eastAsia="仿宋" w:cs="仿宋"/>
          <w:color w:val="auto"/>
          <w:highlight w:val="none"/>
        </w:rPr>
        <w:t>3</w:t>
      </w:r>
      <w:r>
        <w:rPr>
          <w:rFonts w:hint="eastAsia" w:cs="华文仿宋"/>
          <w:color w:val="auto"/>
          <w:highlight w:val="none"/>
        </w:rPr>
        <w:t>家的，不得开标。</w:t>
      </w:r>
    </w:p>
    <w:p>
      <w:pPr>
        <w:spacing w:line="500" w:lineRule="exact"/>
        <w:ind w:firstLine="566" w:firstLineChars="200"/>
        <w:rPr>
          <w:rFonts w:hint="eastAsia"/>
          <w:color w:val="auto"/>
          <w:highlight w:val="none"/>
        </w:rPr>
      </w:pPr>
      <w:r>
        <w:rPr>
          <w:rFonts w:hint="eastAsia"/>
          <w:color w:val="auto"/>
          <w:highlight w:val="none"/>
        </w:rPr>
        <w:t>（三）开标时，陕西省省级单位政府采购中心现场工作人员将根据项目投标人数约定解密时长，投标人应在规定时间内，使用电子投标文件加密时所用的数字认证证书（</w:t>
      </w:r>
      <w:r>
        <w:rPr>
          <w:rFonts w:hint="eastAsia" w:ascii="仿宋" w:hAnsi="仿宋" w:eastAsia="仿宋" w:cs="仿宋"/>
          <w:color w:val="auto"/>
          <w:highlight w:val="none"/>
        </w:rPr>
        <w:t>CA</w:t>
      </w:r>
      <w:r>
        <w:rPr>
          <w:rFonts w:hint="eastAsia"/>
          <w:color w:val="auto"/>
          <w:highlight w:val="none"/>
        </w:rPr>
        <w:t>锁）自行解密电子投标文件。未在规定时间内解密的，视为投标无效。</w:t>
      </w:r>
    </w:p>
    <w:p>
      <w:pPr>
        <w:spacing w:line="500" w:lineRule="exact"/>
        <w:ind w:firstLine="566" w:firstLineChars="200"/>
        <w:rPr>
          <w:rFonts w:ascii="华文仿宋" w:hAnsi="华文仿宋" w:cs="华文仿宋"/>
          <w:color w:val="auto"/>
          <w:highlight w:val="none"/>
        </w:rPr>
      </w:pPr>
      <w:r>
        <w:rPr>
          <w:rFonts w:hint="eastAsia" w:cs="华文仿宋"/>
          <w:color w:val="auto"/>
          <w:highlight w:val="none"/>
        </w:rPr>
        <w:t>（四）</w:t>
      </w:r>
      <w:r>
        <w:rPr>
          <w:rFonts w:hint="eastAsia" w:ascii="华文仿宋" w:hAnsi="华文仿宋" w:cs="华文仿宋"/>
          <w:color w:val="auto"/>
          <w:highlight w:val="none"/>
        </w:rPr>
        <w:t>投标</w:t>
      </w:r>
      <w:r>
        <w:rPr>
          <w:rFonts w:hint="eastAsia" w:ascii="华文仿宋" w:hAnsi="华文仿宋" w:cs="华文仿宋"/>
          <w:color w:val="auto"/>
          <w:highlight w:val="none"/>
          <w:lang w:eastAsia="zh-CN"/>
        </w:rPr>
        <w:t>人</w:t>
      </w:r>
      <w:r>
        <w:rPr>
          <w:rFonts w:hint="eastAsia" w:ascii="华文仿宋" w:hAnsi="华文仿宋" w:cs="华文仿宋"/>
          <w:color w:val="auto"/>
          <w:highlight w:val="none"/>
        </w:rPr>
        <w:t>对开标过程有疑义，以及认为采购人、陕西省省级单位政府采购中心相关工作人员有需要回避情形的，</w:t>
      </w:r>
      <w:r>
        <w:rPr>
          <w:rFonts w:hint="eastAsia" w:ascii="华文仿宋" w:hAnsi="华文仿宋" w:cs="华文仿宋"/>
          <w:color w:val="auto"/>
          <w:highlight w:val="none"/>
          <w:lang w:eastAsia="zh-CN"/>
        </w:rPr>
        <w:t>应在网络开标大厅</w:t>
      </w:r>
      <w:r>
        <w:rPr>
          <w:rFonts w:hint="eastAsia" w:ascii="华文仿宋" w:hAnsi="华文仿宋" w:cs="华文仿宋"/>
          <w:color w:val="auto"/>
          <w:highlight w:val="none"/>
        </w:rPr>
        <w:t>提出询问或回避申请，采购人、陕西省省级单位政府采购中心应当及时处理。</w:t>
      </w:r>
    </w:p>
    <w:p>
      <w:pPr>
        <w:spacing w:line="500" w:lineRule="exact"/>
        <w:ind w:firstLine="566" w:firstLineChars="200"/>
        <w:rPr>
          <w:rFonts w:ascii="华文仿宋" w:cs="Times New Roman"/>
          <w:color w:val="auto"/>
          <w:highlight w:val="none"/>
        </w:rPr>
      </w:pPr>
      <w:r>
        <w:rPr>
          <w:rFonts w:hint="eastAsia" w:cs="华文仿宋"/>
          <w:color w:val="auto"/>
          <w:highlight w:val="none"/>
        </w:rPr>
        <w:t>（五）投标人未参加开标的，视同认可开标结果。</w:t>
      </w:r>
    </w:p>
    <w:p>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（六）在开标环节出现下列情况之一的，其投标文件视为无效文件：</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1、投标人拒绝对电子投标文件进行解密的；</w:t>
      </w:r>
    </w:p>
    <w:p>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2、因投标人自身原因（如解密时使用的</w:t>
      </w:r>
      <w:r>
        <w:rPr>
          <w:rFonts w:hint="eastAsia" w:ascii="仿宋" w:hAnsi="仿宋" w:eastAsia="仿宋" w:cs="仿宋"/>
          <w:color w:val="auto"/>
          <w:highlight w:val="none"/>
        </w:rPr>
        <w:t>CA</w:t>
      </w:r>
      <w:r>
        <w:rPr>
          <w:rFonts w:hint="eastAsia" w:ascii="华文仿宋" w:hAnsi="华文仿宋" w:cs="华文仿宋"/>
          <w:color w:val="auto"/>
          <w:highlight w:val="none"/>
        </w:rPr>
        <w:t>锁与制作电子投标文件使用的</w:t>
      </w:r>
      <w:r>
        <w:rPr>
          <w:rFonts w:hint="eastAsia" w:ascii="仿宋" w:hAnsi="仿宋" w:eastAsia="仿宋" w:cs="仿宋"/>
          <w:color w:val="auto"/>
          <w:highlight w:val="none"/>
        </w:rPr>
        <w:t>CA</w:t>
      </w:r>
      <w:r>
        <w:rPr>
          <w:rFonts w:hint="eastAsia" w:ascii="华文仿宋" w:hAnsi="华文仿宋" w:cs="华文仿宋"/>
          <w:color w:val="auto"/>
          <w:highlight w:val="none"/>
        </w:rPr>
        <w:t>锁不一致或沿用旧版招标文件编制投标文件等情形），导致在规定时间内无法解密投标文件的；</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3、上传的电子投标文件无法打开的；</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4、政府采购法律法规规定的其他无效情形。</w:t>
      </w:r>
    </w:p>
    <w:p>
      <w:pPr>
        <w:spacing w:line="500" w:lineRule="exact"/>
        <w:ind w:firstLine="566" w:firstLineChars="200"/>
        <w:rPr>
          <w:rFonts w:ascii="仿宋" w:hAnsi="仿宋" w:eastAsia="仿宋" w:cs="Times New Roman"/>
          <w:b/>
          <w:bCs/>
          <w:color w:val="auto"/>
          <w:highlight w:val="none"/>
        </w:rPr>
      </w:pPr>
      <w:r>
        <w:rPr>
          <w:rFonts w:hint="eastAsia" w:ascii="仿宋" w:hAnsi="仿宋" w:eastAsia="仿宋" w:cs="仿宋"/>
          <w:b/>
          <w:bCs/>
          <w:color w:val="auto"/>
          <w:highlight w:val="none"/>
        </w:rPr>
        <w:t>（七）特殊情形下的应急处置</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在开标、评审过程中，如因停电、断网、电子化系统故障等特殊原因导致电子化开、评审无法正常进行时，将视电子投标文件解密情况特殊处理。</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1、开标时电子投标文件未解密的，将另行确定时间继续完成开标程序；</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2、开标后电子投标文件已解密但评审结论未形成的，将发布废标公告，重新组织采购活动；</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3、开标后电子投标文件已解密且评审结论已形成的，待特殊情况排除后，继续完成评审活动。</w:t>
      </w:r>
    </w:p>
    <w:p>
      <w:pPr>
        <w:pStyle w:val="4"/>
        <w:spacing w:line="500" w:lineRule="exact"/>
        <w:ind w:firstLine="566" w:firstLineChars="200"/>
        <w:rPr>
          <w:rFonts w:ascii="华文仿宋" w:cs="Times New Roman"/>
          <w:color w:val="auto"/>
          <w:sz w:val="28"/>
          <w:szCs w:val="28"/>
          <w:highlight w:val="none"/>
        </w:rPr>
      </w:pPr>
      <w:bookmarkStart w:id="368" w:name="_Toc25858"/>
      <w:bookmarkStart w:id="369" w:name="_Toc16618"/>
      <w:bookmarkStart w:id="370" w:name="_Toc24074"/>
      <w:bookmarkStart w:id="371" w:name="_Toc9634"/>
      <w:bookmarkStart w:id="372" w:name="_Toc13241"/>
      <w:r>
        <w:rPr>
          <w:rFonts w:hint="eastAsia" w:ascii="华文仿宋" w:hAnsi="华文仿宋" w:cs="华文仿宋"/>
          <w:color w:val="auto"/>
          <w:sz w:val="28"/>
          <w:szCs w:val="28"/>
          <w:highlight w:val="none"/>
        </w:rPr>
        <w:t>七、资格审查</w:t>
      </w:r>
      <w:bookmarkEnd w:id="368"/>
      <w:bookmarkEnd w:id="369"/>
      <w:bookmarkEnd w:id="370"/>
      <w:bookmarkEnd w:id="371"/>
      <w:bookmarkEnd w:id="372"/>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（一）开标结束后，由采购人委派的资格审查小组按照《政府采购货物和服务招标投标管理办法》（财政部第</w:t>
      </w:r>
      <w:r>
        <w:rPr>
          <w:rFonts w:ascii="仿宋" w:hAnsi="仿宋" w:eastAsia="仿宋" w:cs="仿宋"/>
          <w:color w:val="auto"/>
          <w:highlight w:val="none"/>
        </w:rPr>
        <w:t>87</w:t>
      </w:r>
      <w:r>
        <w:rPr>
          <w:rFonts w:hint="eastAsia" w:ascii="华文仿宋" w:hAnsi="华文仿宋" w:cs="华文仿宋"/>
          <w:color w:val="auto"/>
          <w:highlight w:val="none"/>
        </w:rPr>
        <w:t>号令）有关规定，对投标文件中的投标人资格证明文件进行审查。</w:t>
      </w:r>
    </w:p>
    <w:p>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（二）出现下列情形的，投标文件将被视为无效：</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）不具备招标文件中规定的资格要求的；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）未按招标文件要求提供资格证明文件，或未按招标文件要求加盖公章的；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3</w:t>
      </w:r>
      <w:r>
        <w:rPr>
          <w:rFonts w:hint="eastAsia" w:ascii="华文仿宋" w:hAnsi="华文仿宋" w:cs="华文仿宋"/>
          <w:color w:val="auto"/>
          <w:highlight w:val="none"/>
        </w:rPr>
        <w:t>）资格审查小组认为投标人的资格证明文件存在疑点，要求投标人通过公共资源电子交易平台（以下简称“平台”）或电子邮件（在平台无法支持的情况下）等形式提供更清晰有效的证明文件，投标人不能在规定时限内提供符合招标文件要求的证明文件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（三）资格审查结束后，资格审查小组成员应当对审查结果进行签字确认，并告知无效投标人资格审查未通过的原因。</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（四）合格投标人不足</w:t>
      </w:r>
      <w:r>
        <w:rPr>
          <w:rFonts w:ascii="仿宋" w:hAnsi="仿宋" w:eastAsia="仿宋" w:cs="仿宋"/>
          <w:color w:val="auto"/>
          <w:highlight w:val="none"/>
        </w:rPr>
        <w:t>3</w:t>
      </w:r>
      <w:r>
        <w:rPr>
          <w:rFonts w:hint="eastAsia" w:ascii="华文仿宋" w:hAnsi="华文仿宋" w:cs="华文仿宋"/>
          <w:color w:val="auto"/>
          <w:highlight w:val="none"/>
        </w:rPr>
        <w:t>家的，不得评标，应予以废标。</w:t>
      </w:r>
    </w:p>
    <w:p>
      <w:pPr>
        <w:pStyle w:val="4"/>
        <w:spacing w:line="500" w:lineRule="exact"/>
        <w:ind w:firstLine="566" w:firstLineChars="200"/>
        <w:rPr>
          <w:rFonts w:ascii="华文仿宋" w:cs="Times New Roman"/>
          <w:color w:val="auto"/>
          <w:sz w:val="28"/>
          <w:szCs w:val="28"/>
          <w:highlight w:val="none"/>
        </w:rPr>
      </w:pPr>
      <w:bookmarkStart w:id="373" w:name="_Toc23119"/>
      <w:bookmarkStart w:id="374" w:name="_Toc5987"/>
      <w:bookmarkStart w:id="375" w:name="_Toc25619"/>
      <w:bookmarkStart w:id="376" w:name="_Toc5422"/>
      <w:bookmarkStart w:id="377" w:name="_Toc5711"/>
      <w:r>
        <w:rPr>
          <w:rFonts w:hint="eastAsia" w:ascii="华文仿宋" w:hAnsi="华文仿宋" w:cs="华文仿宋"/>
          <w:color w:val="auto"/>
          <w:sz w:val="28"/>
          <w:szCs w:val="28"/>
          <w:highlight w:val="none"/>
        </w:rPr>
        <w:t>八、组织评标</w:t>
      </w:r>
      <w:bookmarkEnd w:id="373"/>
      <w:bookmarkEnd w:id="374"/>
      <w:bookmarkEnd w:id="375"/>
      <w:bookmarkEnd w:id="376"/>
      <w:bookmarkEnd w:id="377"/>
    </w:p>
    <w:p>
      <w:pPr>
        <w:pStyle w:val="4"/>
        <w:spacing w:line="500" w:lineRule="exact"/>
        <w:ind w:firstLine="566" w:firstLineChars="200"/>
        <w:rPr>
          <w:rFonts w:ascii="华文仿宋" w:cs="Times New Roman"/>
          <w:color w:val="auto"/>
          <w:sz w:val="28"/>
          <w:szCs w:val="28"/>
          <w:highlight w:val="none"/>
        </w:rPr>
      </w:pPr>
      <w:bookmarkStart w:id="378" w:name="_Toc17770"/>
      <w:bookmarkStart w:id="379" w:name="_Toc5675"/>
      <w:bookmarkStart w:id="380" w:name="_Toc31430"/>
      <w:bookmarkStart w:id="381" w:name="_Toc17284"/>
      <w:bookmarkStart w:id="382" w:name="_Toc22084"/>
      <w:bookmarkStart w:id="383" w:name="_Toc13209"/>
      <w:bookmarkStart w:id="384" w:name="_Toc32509"/>
      <w:bookmarkStart w:id="385" w:name="_Toc16555"/>
      <w:bookmarkStart w:id="386" w:name="_Toc11391"/>
      <w:r>
        <w:rPr>
          <w:rFonts w:hint="eastAsia" w:ascii="华文仿宋" w:hAnsi="华文仿宋" w:cs="华文仿宋"/>
          <w:color w:val="auto"/>
          <w:sz w:val="28"/>
          <w:szCs w:val="28"/>
          <w:highlight w:val="none"/>
        </w:rPr>
        <w:t>（一）采购代理机构负责组织评标工作，并履行下列职责：</w:t>
      </w:r>
      <w:bookmarkEnd w:id="378"/>
      <w:bookmarkEnd w:id="379"/>
      <w:bookmarkEnd w:id="380"/>
      <w:bookmarkEnd w:id="381"/>
      <w:bookmarkEnd w:id="382"/>
      <w:bookmarkEnd w:id="383"/>
      <w:bookmarkEnd w:id="384"/>
      <w:bookmarkEnd w:id="385"/>
      <w:bookmarkEnd w:id="386"/>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1</w:t>
      </w:r>
      <w:r>
        <w:rPr>
          <w:rFonts w:hint="eastAsia" w:ascii="华文仿宋" w:hAnsi="华文仿宋" w:cs="华文仿宋"/>
          <w:color w:val="auto"/>
          <w:sz w:val="28"/>
          <w:szCs w:val="28"/>
          <w:highlight w:val="none"/>
          <w:shd w:val="clear" w:color="auto" w:fill="FFFFFF"/>
        </w:rPr>
        <w:t>、核对评审专家身份和采购人代表授权函，对评审专家在政府采购活动中的职责履行情况予以记录，并及时将有关违法违规行为向财政部门报告</w:t>
      </w:r>
      <w:r>
        <w:rPr>
          <w:rFonts w:ascii="华文仿宋" w:hAnsi="华文仿宋" w:cs="华文仿宋"/>
          <w:color w:val="auto"/>
          <w:sz w:val="28"/>
          <w:szCs w:val="28"/>
          <w:highlight w:val="none"/>
          <w:shd w:val="clear" w:color="auto" w:fill="FFFFFF"/>
        </w:rPr>
        <w:t>;</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2</w:t>
      </w:r>
      <w:r>
        <w:rPr>
          <w:rFonts w:hint="eastAsia" w:ascii="华文仿宋" w:hAnsi="华文仿宋" w:cs="华文仿宋"/>
          <w:color w:val="auto"/>
          <w:sz w:val="28"/>
          <w:szCs w:val="28"/>
          <w:highlight w:val="none"/>
          <w:shd w:val="clear" w:color="auto" w:fill="FFFFFF"/>
        </w:rPr>
        <w:t>、宣布评标纪律</w:t>
      </w:r>
      <w:r>
        <w:rPr>
          <w:rFonts w:ascii="华文仿宋" w:hAnsi="华文仿宋" w:cs="华文仿宋"/>
          <w:color w:val="auto"/>
          <w:sz w:val="28"/>
          <w:szCs w:val="28"/>
          <w:highlight w:val="none"/>
          <w:shd w:val="clear" w:color="auto" w:fill="FFFFFF"/>
        </w:rPr>
        <w:t>;</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3</w:t>
      </w:r>
      <w:r>
        <w:rPr>
          <w:rFonts w:hint="eastAsia" w:ascii="华文仿宋" w:hAnsi="华文仿宋" w:cs="华文仿宋"/>
          <w:color w:val="auto"/>
          <w:sz w:val="28"/>
          <w:szCs w:val="28"/>
          <w:highlight w:val="none"/>
          <w:shd w:val="clear" w:color="auto" w:fill="FFFFFF"/>
        </w:rPr>
        <w:t>、公布投标人名单，告知评审专家应当回避的情形</w:t>
      </w:r>
      <w:r>
        <w:rPr>
          <w:rFonts w:ascii="华文仿宋" w:hAnsi="华文仿宋" w:cs="华文仿宋"/>
          <w:color w:val="auto"/>
          <w:sz w:val="28"/>
          <w:szCs w:val="28"/>
          <w:highlight w:val="none"/>
          <w:shd w:val="clear" w:color="auto" w:fill="FFFFFF"/>
        </w:rPr>
        <w:t>;</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4</w:t>
      </w:r>
      <w:r>
        <w:rPr>
          <w:rFonts w:hint="eastAsia" w:ascii="华文仿宋" w:hAnsi="华文仿宋" w:cs="华文仿宋"/>
          <w:color w:val="auto"/>
          <w:sz w:val="28"/>
          <w:szCs w:val="28"/>
          <w:highlight w:val="none"/>
          <w:shd w:val="clear" w:color="auto" w:fill="FFFFFF"/>
        </w:rPr>
        <w:t>、组织评标委员会推选评标组长，采购人代表不得担任组长</w:t>
      </w:r>
      <w:r>
        <w:rPr>
          <w:rFonts w:ascii="华文仿宋" w:hAnsi="华文仿宋" w:cs="华文仿宋"/>
          <w:color w:val="auto"/>
          <w:sz w:val="28"/>
          <w:szCs w:val="28"/>
          <w:highlight w:val="none"/>
          <w:shd w:val="clear" w:color="auto" w:fill="FFFFFF"/>
        </w:rPr>
        <w:t>;</w:t>
      </w:r>
    </w:p>
    <w:p>
      <w:pPr>
        <w:spacing w:line="500" w:lineRule="exact"/>
        <w:ind w:firstLine="566" w:firstLineChars="200"/>
        <w:jc w:val="left"/>
        <w:rPr>
          <w:rFonts w:ascii="仿宋" w:hAnsi="仿宋" w:eastAsia="仿宋" w:cs="仿宋"/>
          <w:color w:val="auto"/>
          <w:highlight w:val="none"/>
        </w:rPr>
      </w:pPr>
      <w:r>
        <w:rPr>
          <w:rFonts w:ascii="仿宋" w:hAnsi="仿宋" w:eastAsia="仿宋" w:cs="仿宋"/>
          <w:color w:val="auto"/>
          <w:highlight w:val="none"/>
        </w:rPr>
        <w:t>5</w:t>
      </w:r>
      <w:r>
        <w:rPr>
          <w:rFonts w:hint="eastAsia" w:ascii="仿宋" w:hAnsi="仿宋" w:eastAsia="仿宋" w:cs="仿宋"/>
          <w:color w:val="auto"/>
          <w:highlight w:val="none"/>
        </w:rPr>
        <w:t>、在评审期间采取必要的通讯管理措施，保证评审活动不受外界干扰</w:t>
      </w:r>
      <w:r>
        <w:rPr>
          <w:rFonts w:ascii="仿宋" w:hAnsi="仿宋" w:eastAsia="仿宋" w:cs="仿宋"/>
          <w:color w:val="auto"/>
          <w:highlight w:val="none"/>
        </w:rPr>
        <w:t>;</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6</w:t>
      </w:r>
      <w:r>
        <w:rPr>
          <w:rFonts w:hint="eastAsia" w:ascii="华文仿宋" w:hAnsi="华文仿宋" w:cs="华文仿宋"/>
          <w:color w:val="auto"/>
          <w:sz w:val="28"/>
          <w:szCs w:val="28"/>
          <w:highlight w:val="none"/>
          <w:shd w:val="clear" w:color="auto" w:fill="FFFFFF"/>
        </w:rPr>
        <w:t>、根据评标委员会的要求介绍政府采购相关政策法规、招标文件</w:t>
      </w:r>
      <w:r>
        <w:rPr>
          <w:rFonts w:ascii="华文仿宋" w:hAnsi="华文仿宋" w:cs="华文仿宋"/>
          <w:color w:val="auto"/>
          <w:sz w:val="28"/>
          <w:szCs w:val="28"/>
          <w:highlight w:val="none"/>
          <w:shd w:val="clear" w:color="auto" w:fill="FFFFFF"/>
        </w:rPr>
        <w:t>;</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7</w:t>
      </w:r>
      <w:r>
        <w:rPr>
          <w:rFonts w:hint="eastAsia" w:ascii="华文仿宋" w:hAnsi="华文仿宋" w:cs="华文仿宋"/>
          <w:color w:val="auto"/>
          <w:sz w:val="28"/>
          <w:szCs w:val="28"/>
          <w:highlight w:val="none"/>
          <w:shd w:val="clear" w:color="auto" w:fill="FFFFFF"/>
        </w:rPr>
        <w:t>、维护评标秩序，监督评标委员会依照招标文件规定的评标程序、方法和标准进行独立评审，及时制止和纠正采购人代表、评审专家的倾向性言论或者违法违规行为</w:t>
      </w:r>
      <w:r>
        <w:rPr>
          <w:rFonts w:ascii="华文仿宋" w:hAnsi="华文仿宋" w:cs="华文仿宋"/>
          <w:color w:val="auto"/>
          <w:sz w:val="28"/>
          <w:szCs w:val="28"/>
          <w:highlight w:val="none"/>
          <w:shd w:val="clear" w:color="auto" w:fill="FFFFFF"/>
        </w:rPr>
        <w:t>;</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8</w:t>
      </w:r>
      <w:r>
        <w:rPr>
          <w:rFonts w:hint="eastAsia" w:ascii="华文仿宋" w:hAnsi="华文仿宋" w:cs="华文仿宋"/>
          <w:color w:val="auto"/>
          <w:sz w:val="28"/>
          <w:szCs w:val="28"/>
          <w:highlight w:val="none"/>
          <w:shd w:val="clear" w:color="auto" w:fill="FFFFFF"/>
        </w:rPr>
        <w:t>、核对评标结果</w:t>
      </w:r>
      <w:r>
        <w:rPr>
          <w:rFonts w:ascii="华文仿宋" w:hAnsi="华文仿宋" w:cs="华文仿宋"/>
          <w:color w:val="auto"/>
          <w:sz w:val="28"/>
          <w:szCs w:val="28"/>
          <w:highlight w:val="none"/>
          <w:shd w:val="clear" w:color="auto" w:fill="FFFFFF"/>
        </w:rPr>
        <w:t>;</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9</w:t>
      </w:r>
      <w:r>
        <w:rPr>
          <w:rFonts w:hint="eastAsia" w:ascii="华文仿宋" w:hAnsi="华文仿宋" w:cs="华文仿宋"/>
          <w:color w:val="auto"/>
          <w:sz w:val="28"/>
          <w:szCs w:val="28"/>
          <w:highlight w:val="none"/>
          <w:shd w:val="clear" w:color="auto" w:fill="FFFFFF"/>
        </w:rPr>
        <w:t>、评审工作完成后，按照规定向评审专家支付劳务报酬和异地评审差旅费，不得向评审专家以外的其他人员支付评审劳务报酬</w:t>
      </w:r>
      <w:r>
        <w:rPr>
          <w:rFonts w:ascii="华文仿宋" w:hAnsi="华文仿宋" w:cs="华文仿宋"/>
          <w:color w:val="auto"/>
          <w:sz w:val="28"/>
          <w:szCs w:val="28"/>
          <w:highlight w:val="none"/>
          <w:shd w:val="clear" w:color="auto" w:fill="FFFFFF"/>
        </w:rPr>
        <w:t>;</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10</w:t>
      </w:r>
      <w:r>
        <w:rPr>
          <w:rFonts w:hint="eastAsia" w:ascii="华文仿宋" w:hAnsi="华文仿宋" w:cs="华文仿宋"/>
          <w:color w:val="auto"/>
          <w:sz w:val="28"/>
          <w:szCs w:val="28"/>
          <w:highlight w:val="none"/>
          <w:shd w:val="clear" w:color="auto" w:fill="FFFFFF"/>
        </w:rPr>
        <w:t>、处理与评标有关的其他事项。</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hint="eastAsia" w:ascii="华文仿宋" w:hAnsi="华文仿宋" w:cs="华文仿宋"/>
          <w:color w:val="auto"/>
          <w:sz w:val="28"/>
          <w:szCs w:val="28"/>
          <w:highlight w:val="none"/>
          <w:shd w:val="clear" w:color="auto" w:fill="FFFFFF"/>
        </w:rPr>
        <w:t>采购人可以在评标前说明项目背景和采购需求，说明内容不得含有歧视性、倾向性意见，不得超出招标文件所述范围。说明应当提交书面材料，并随招标文件一并存档。</w:t>
      </w:r>
    </w:p>
    <w:p>
      <w:pPr>
        <w:pStyle w:val="4"/>
        <w:spacing w:line="500" w:lineRule="exact"/>
        <w:ind w:firstLine="566" w:firstLineChars="200"/>
        <w:rPr>
          <w:rFonts w:ascii="华文仿宋" w:cs="Times New Roman"/>
          <w:color w:val="auto"/>
          <w:sz w:val="28"/>
          <w:szCs w:val="28"/>
          <w:highlight w:val="none"/>
        </w:rPr>
      </w:pPr>
      <w:bookmarkStart w:id="387" w:name="_Toc10171"/>
      <w:bookmarkStart w:id="388" w:name="_Toc13091"/>
      <w:bookmarkStart w:id="389" w:name="_Toc10566"/>
      <w:bookmarkStart w:id="390" w:name="_Toc3164"/>
      <w:bookmarkStart w:id="391" w:name="_Toc12813"/>
      <w:bookmarkStart w:id="392" w:name="_Toc29543"/>
      <w:bookmarkStart w:id="393" w:name="_Toc12271"/>
      <w:bookmarkStart w:id="394" w:name="_Toc1094"/>
      <w:bookmarkStart w:id="395" w:name="_Toc11858"/>
      <w:r>
        <w:rPr>
          <w:rFonts w:hint="eastAsia" w:ascii="华文仿宋" w:hAnsi="华文仿宋" w:cs="华文仿宋"/>
          <w:color w:val="auto"/>
          <w:sz w:val="28"/>
          <w:szCs w:val="28"/>
          <w:highlight w:val="none"/>
        </w:rPr>
        <w:t>（二）评标委员会负责具体评标事务，并独立履行下列职责：</w:t>
      </w:r>
      <w:bookmarkEnd w:id="387"/>
      <w:bookmarkEnd w:id="388"/>
      <w:bookmarkEnd w:id="389"/>
      <w:bookmarkEnd w:id="390"/>
      <w:bookmarkEnd w:id="391"/>
      <w:bookmarkEnd w:id="392"/>
      <w:bookmarkEnd w:id="393"/>
      <w:bookmarkEnd w:id="394"/>
      <w:bookmarkEnd w:id="395"/>
    </w:p>
    <w:p>
      <w:pPr>
        <w:pStyle w:val="20"/>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1</w:t>
      </w:r>
      <w:r>
        <w:rPr>
          <w:rFonts w:hint="eastAsia" w:ascii="华文仿宋" w:hAnsi="华文仿宋" w:cs="华文仿宋"/>
          <w:color w:val="auto"/>
          <w:sz w:val="28"/>
          <w:szCs w:val="28"/>
          <w:highlight w:val="none"/>
          <w:shd w:val="clear" w:color="auto" w:fill="FFFFFF"/>
        </w:rPr>
        <w:t>、严格遵守评审工作纪律，按照客观、公正、审慎的原则，根据招标文件规定的评审程序、评审方法和评审标准进行独立评审；</w:t>
      </w:r>
    </w:p>
    <w:p>
      <w:pPr>
        <w:pStyle w:val="20"/>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2</w:t>
      </w:r>
      <w:r>
        <w:rPr>
          <w:rFonts w:hint="eastAsia" w:ascii="华文仿宋" w:hAnsi="华文仿宋" w:cs="华文仿宋"/>
          <w:color w:val="auto"/>
          <w:sz w:val="28"/>
          <w:szCs w:val="28"/>
          <w:highlight w:val="none"/>
          <w:shd w:val="clear" w:color="auto" w:fill="FFFFFF"/>
        </w:rPr>
        <w:t>、招标文件内容违反国家有关强制性规定或者招标文件存在歧义、重大缺陷导致评审工作无法进行时，应当停止评审并向采购人或者采购代理机构书面说明情况；</w:t>
      </w:r>
    </w:p>
    <w:p>
      <w:pPr>
        <w:pStyle w:val="20"/>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3</w:t>
      </w:r>
      <w:r>
        <w:rPr>
          <w:rFonts w:hint="eastAsia" w:ascii="华文仿宋" w:hAnsi="华文仿宋" w:cs="华文仿宋"/>
          <w:color w:val="auto"/>
          <w:sz w:val="28"/>
          <w:szCs w:val="28"/>
          <w:highlight w:val="none"/>
          <w:shd w:val="clear" w:color="auto" w:fill="FFFFFF"/>
        </w:rPr>
        <w:t>、审查、评价投标文件是否符合招标文件的商务、技术等实质性要求；</w:t>
      </w:r>
    </w:p>
    <w:p>
      <w:pPr>
        <w:pStyle w:val="20"/>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4</w:t>
      </w:r>
      <w:r>
        <w:rPr>
          <w:rFonts w:hint="eastAsia" w:ascii="华文仿宋" w:hAnsi="华文仿宋" w:cs="华文仿宋"/>
          <w:color w:val="auto"/>
          <w:sz w:val="28"/>
          <w:szCs w:val="28"/>
          <w:highlight w:val="none"/>
          <w:shd w:val="clear" w:color="auto" w:fill="FFFFFF"/>
        </w:rPr>
        <w:t>、要求投标人对投标文件有关事项作出澄清或者说明；</w:t>
      </w:r>
    </w:p>
    <w:p>
      <w:pPr>
        <w:pStyle w:val="20"/>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5</w:t>
      </w:r>
      <w:r>
        <w:rPr>
          <w:rFonts w:hint="eastAsia" w:ascii="华文仿宋" w:hAnsi="华文仿宋" w:cs="华文仿宋"/>
          <w:color w:val="auto"/>
          <w:sz w:val="28"/>
          <w:szCs w:val="28"/>
          <w:highlight w:val="none"/>
          <w:shd w:val="clear" w:color="auto" w:fill="FFFFFF"/>
        </w:rPr>
        <w:t>、对投标文件进行比较和评价；</w:t>
      </w:r>
    </w:p>
    <w:p>
      <w:pPr>
        <w:pStyle w:val="20"/>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6</w:t>
      </w:r>
      <w:r>
        <w:rPr>
          <w:rFonts w:hint="eastAsia" w:ascii="华文仿宋" w:hAnsi="华文仿宋" w:cs="华文仿宋"/>
          <w:color w:val="auto"/>
          <w:sz w:val="28"/>
          <w:szCs w:val="28"/>
          <w:highlight w:val="none"/>
          <w:shd w:val="clear" w:color="auto" w:fill="FFFFFF"/>
        </w:rPr>
        <w:t>、确定中标候选人名单，以及根据采购人委托直接确定中标人；</w:t>
      </w:r>
    </w:p>
    <w:p>
      <w:pPr>
        <w:pStyle w:val="20"/>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7</w:t>
      </w:r>
      <w:r>
        <w:rPr>
          <w:rFonts w:hint="eastAsia" w:ascii="华文仿宋" w:hAnsi="华文仿宋" w:cs="华文仿宋"/>
          <w:color w:val="auto"/>
          <w:sz w:val="28"/>
          <w:szCs w:val="28"/>
          <w:highlight w:val="none"/>
          <w:shd w:val="clear" w:color="auto" w:fill="FFFFFF"/>
        </w:rPr>
        <w:t>、配合答复投标人的询问、质疑和投诉等事项</w:t>
      </w:r>
      <w:r>
        <w:rPr>
          <w:rFonts w:ascii="华文仿宋" w:cs="华文仿宋"/>
          <w:color w:val="auto"/>
          <w:sz w:val="28"/>
          <w:szCs w:val="28"/>
          <w:highlight w:val="none"/>
          <w:shd w:val="clear" w:color="auto" w:fill="FFFFFF"/>
        </w:rPr>
        <w:t>,</w:t>
      </w:r>
      <w:r>
        <w:rPr>
          <w:rFonts w:hint="eastAsia" w:ascii="华文仿宋" w:hAnsi="华文仿宋" w:cs="华文仿宋"/>
          <w:color w:val="auto"/>
          <w:sz w:val="28"/>
          <w:szCs w:val="28"/>
          <w:highlight w:val="none"/>
          <w:shd w:val="clear" w:color="auto" w:fill="FFFFFF"/>
        </w:rPr>
        <w:t>不得泄露评审文件、评审情况和在评审过程中获悉的商业秘密；</w:t>
      </w:r>
    </w:p>
    <w:p>
      <w:pPr>
        <w:pStyle w:val="20"/>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8</w:t>
      </w:r>
      <w:r>
        <w:rPr>
          <w:rFonts w:hint="eastAsia" w:ascii="华文仿宋" w:hAnsi="华文仿宋" w:cs="华文仿宋"/>
          <w:color w:val="auto"/>
          <w:sz w:val="28"/>
          <w:szCs w:val="28"/>
          <w:highlight w:val="none"/>
          <w:shd w:val="clear" w:color="auto" w:fill="FFFFFF"/>
        </w:rPr>
        <w:t>、向采购人、</w:t>
      </w:r>
      <w:r>
        <w:rPr>
          <w:rFonts w:hint="eastAsia" w:ascii="华文仿宋" w:hAnsi="华文仿宋" w:cs="华文仿宋"/>
          <w:color w:val="auto"/>
          <w:sz w:val="28"/>
          <w:szCs w:val="28"/>
          <w:highlight w:val="none"/>
          <w:shd w:val="clear" w:color="auto" w:fill="FFFFFF"/>
          <w:lang w:val="zh-CN"/>
        </w:rPr>
        <w:t>陕西省省级单位政府采购中心</w:t>
      </w:r>
      <w:r>
        <w:rPr>
          <w:rFonts w:hint="eastAsia" w:ascii="华文仿宋" w:hAnsi="华文仿宋" w:cs="华文仿宋"/>
          <w:color w:val="auto"/>
          <w:sz w:val="28"/>
          <w:szCs w:val="28"/>
          <w:highlight w:val="none"/>
          <w:shd w:val="clear" w:color="auto" w:fill="FFFFFF"/>
        </w:rPr>
        <w:t>或者有关部门报告评标中发现的违法行为。</w:t>
      </w:r>
    </w:p>
    <w:p>
      <w:pPr>
        <w:pStyle w:val="4"/>
        <w:spacing w:line="500" w:lineRule="exact"/>
        <w:ind w:firstLine="566" w:firstLineChars="200"/>
        <w:rPr>
          <w:rFonts w:ascii="华文仿宋" w:cs="Times New Roman"/>
          <w:color w:val="auto"/>
          <w:sz w:val="28"/>
          <w:szCs w:val="28"/>
          <w:highlight w:val="none"/>
        </w:rPr>
      </w:pPr>
      <w:bookmarkStart w:id="396" w:name="_Toc31640"/>
      <w:bookmarkStart w:id="397" w:name="_Toc5809"/>
      <w:bookmarkStart w:id="398" w:name="_Toc28395"/>
      <w:bookmarkStart w:id="399" w:name="_Toc17965"/>
      <w:bookmarkStart w:id="400" w:name="_Toc25447"/>
      <w:bookmarkStart w:id="401" w:name="_Toc31666"/>
      <w:bookmarkStart w:id="402" w:name="_Toc1922"/>
      <w:bookmarkStart w:id="403" w:name="_Toc18693"/>
      <w:bookmarkStart w:id="404" w:name="_Toc14825"/>
      <w:r>
        <w:rPr>
          <w:rFonts w:hint="eastAsia" w:ascii="华文仿宋" w:hAnsi="华文仿宋" w:cs="华文仿宋"/>
          <w:color w:val="auto"/>
          <w:sz w:val="28"/>
          <w:szCs w:val="28"/>
          <w:highlight w:val="none"/>
        </w:rPr>
        <w:t>（三）组建评标委员会</w:t>
      </w:r>
      <w:bookmarkEnd w:id="396"/>
      <w:bookmarkEnd w:id="397"/>
      <w:bookmarkEnd w:id="398"/>
      <w:bookmarkEnd w:id="399"/>
      <w:bookmarkEnd w:id="400"/>
      <w:bookmarkEnd w:id="401"/>
      <w:bookmarkEnd w:id="402"/>
      <w:bookmarkEnd w:id="403"/>
      <w:bookmarkEnd w:id="404"/>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、为了确保评标工作的公平、公正，依据政府采购法和政府采购相关法规、规章，成立评标委员会。评标委员会由采购人代表和有关技术、经济等方面的专家组成，成员人数为</w:t>
      </w:r>
      <w:r>
        <w:rPr>
          <w:rFonts w:ascii="仿宋" w:hAnsi="仿宋" w:eastAsia="仿宋" w:cs="仿宋"/>
          <w:color w:val="auto"/>
          <w:highlight w:val="none"/>
        </w:rPr>
        <w:t>5</w:t>
      </w:r>
      <w:r>
        <w:rPr>
          <w:rFonts w:hint="eastAsia" w:ascii="华文仿宋" w:hAnsi="华文仿宋" w:cs="华文仿宋"/>
          <w:color w:val="auto"/>
          <w:highlight w:val="none"/>
        </w:rPr>
        <w:t>人以上单数。其中，评审专家不少于成员总数的三分之二。</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采购项目符合下列情形之一的，评标委员会成员人数应当为</w:t>
      </w:r>
      <w:r>
        <w:rPr>
          <w:rFonts w:ascii="仿宋" w:hAnsi="仿宋" w:eastAsia="仿宋" w:cs="仿宋"/>
          <w:color w:val="auto"/>
          <w:highlight w:val="none"/>
        </w:rPr>
        <w:t>7</w:t>
      </w:r>
      <w:r>
        <w:rPr>
          <w:rFonts w:hint="eastAsia" w:ascii="华文仿宋" w:hAnsi="华文仿宋" w:cs="华文仿宋"/>
          <w:color w:val="auto"/>
          <w:highlight w:val="none"/>
        </w:rPr>
        <w:t>人以上单数：</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）采购预算金额在</w:t>
      </w:r>
      <w:r>
        <w:rPr>
          <w:rFonts w:ascii="仿宋" w:hAnsi="仿宋" w:eastAsia="仿宋" w:cs="仿宋"/>
          <w:color w:val="auto"/>
          <w:highlight w:val="none"/>
        </w:rPr>
        <w:t>1000</w:t>
      </w:r>
      <w:r>
        <w:rPr>
          <w:rFonts w:hint="eastAsia" w:ascii="华文仿宋" w:hAnsi="华文仿宋" w:cs="华文仿宋"/>
          <w:color w:val="auto"/>
          <w:highlight w:val="none"/>
        </w:rPr>
        <w:t>万元以上；</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）技术复杂；</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3</w:t>
      </w:r>
      <w:r>
        <w:rPr>
          <w:rFonts w:hint="eastAsia" w:ascii="华文仿宋" w:hAnsi="华文仿宋" w:cs="华文仿宋"/>
          <w:color w:val="auto"/>
          <w:highlight w:val="none"/>
        </w:rPr>
        <w:t>）社会影响较大。</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评审专家对本单位的采购项目只能作为采购人代表参与评标。</w:t>
      </w:r>
      <w:r>
        <w:rPr>
          <w:rFonts w:hint="eastAsia" w:ascii="华文仿宋" w:hAnsi="华文仿宋" w:cs="华文仿宋"/>
          <w:color w:val="auto"/>
          <w:highlight w:val="none"/>
          <w:lang w:val="zh-CN"/>
        </w:rPr>
        <w:t>陕西省省级单位政府采购中心</w:t>
      </w:r>
      <w:r>
        <w:rPr>
          <w:rFonts w:hint="eastAsia" w:ascii="华文仿宋" w:hAnsi="华文仿宋" w:cs="华文仿宋"/>
          <w:color w:val="auto"/>
          <w:highlight w:val="none"/>
        </w:rPr>
        <w:t>工作人员不得参加由本机构代理的政府采购项目的评标。</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评标委员会成员名单在评标结果公告前应当保密。</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评标中因评标委员会成员缺席、回避或者健康等特殊原因导致评标委员会组成不符合规定的，陕西省省级单位政府采购中心应当依法补足后继续评标。被更换的评标委员会成员所作出的评标意见无效。无法及时补足评标委员会成员的，陕西省省级单位政府采购中心应当停止评标活动，封存所有投标文件和开标、评标资料，依法重新组建评标委员会进行评标。原评标委员会所作出的评标意见无效。</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陕西省省级单位政府采购中心应当将变更、重新组建评标委员会的情况予以记录，并随招标文件一并存档。</w:t>
      </w:r>
    </w:p>
    <w:p>
      <w:pPr>
        <w:pStyle w:val="4"/>
        <w:spacing w:line="500" w:lineRule="exact"/>
        <w:ind w:firstLine="566" w:firstLineChars="200"/>
        <w:rPr>
          <w:rFonts w:ascii="华文仿宋" w:cs="Times New Roman"/>
          <w:color w:val="auto"/>
          <w:sz w:val="28"/>
          <w:szCs w:val="28"/>
          <w:highlight w:val="none"/>
        </w:rPr>
      </w:pPr>
      <w:bookmarkStart w:id="405" w:name="_Toc30089"/>
      <w:bookmarkStart w:id="406" w:name="_Toc11990"/>
      <w:bookmarkStart w:id="407" w:name="_Toc2684"/>
      <w:bookmarkStart w:id="408" w:name="_Toc8922"/>
      <w:bookmarkStart w:id="409" w:name="_Toc11222"/>
      <w:bookmarkStart w:id="410" w:name="_Toc8363"/>
      <w:bookmarkStart w:id="411" w:name="_Toc16172"/>
      <w:bookmarkStart w:id="412" w:name="_Toc23311"/>
      <w:bookmarkStart w:id="413" w:name="_Toc26164"/>
      <w:r>
        <w:rPr>
          <w:rFonts w:hint="eastAsia" w:ascii="华文仿宋" w:hAnsi="华文仿宋" w:cs="华文仿宋"/>
          <w:color w:val="auto"/>
          <w:sz w:val="28"/>
          <w:szCs w:val="28"/>
          <w:highlight w:val="none"/>
        </w:rPr>
        <w:t>（四）评标方法：本次评审采用综合评分法</w:t>
      </w:r>
      <w:bookmarkEnd w:id="405"/>
      <w:bookmarkEnd w:id="406"/>
      <w:bookmarkEnd w:id="407"/>
      <w:bookmarkEnd w:id="408"/>
      <w:bookmarkEnd w:id="409"/>
      <w:bookmarkEnd w:id="410"/>
      <w:bookmarkEnd w:id="411"/>
      <w:bookmarkEnd w:id="412"/>
      <w:bookmarkEnd w:id="413"/>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评标方法分为最低评标价法和综合评分法。</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、最低评标价法，是指投标文件满足招标文件全部实质性要求，且投标报价最低的投标人为中标候选人的评标方法。</w:t>
      </w:r>
    </w:p>
    <w:p>
      <w:pPr>
        <w:spacing w:line="500" w:lineRule="exact"/>
        <w:ind w:firstLine="566" w:firstLineChars="200"/>
        <w:jc w:val="left"/>
        <w:rPr>
          <w:rFonts w:cs="Times New Roman"/>
          <w:b/>
          <w:bCs/>
          <w:color w:val="auto"/>
          <w:highlight w:val="none"/>
        </w:rPr>
      </w:pPr>
      <w:r>
        <w:rPr>
          <w:rFonts w:hint="eastAsia" w:cs="华文仿宋"/>
          <w:color w:val="auto"/>
          <w:highlight w:val="none"/>
        </w:rPr>
        <w:t>技术、服务等标准统一的货物服务项目，应当采用最低评标价法。</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采用最低评标价法评标时，除了算术修正和落实政府采购政策需进行的价格扣除外，不能对投标人的投标价格进行任何调整。</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、综合评分法，是指投标文件满足招标文件全部实质性要求，且按照评审因素的量化指标评审得分最高的投标人为中标候选人的评标方法。</w:t>
      </w:r>
    </w:p>
    <w:p>
      <w:pPr>
        <w:pStyle w:val="4"/>
        <w:spacing w:line="500" w:lineRule="exact"/>
        <w:ind w:firstLine="566" w:firstLineChars="200"/>
        <w:rPr>
          <w:rFonts w:ascii="华文仿宋" w:cs="Times New Roman"/>
          <w:color w:val="auto"/>
          <w:sz w:val="28"/>
          <w:szCs w:val="28"/>
          <w:highlight w:val="none"/>
        </w:rPr>
      </w:pPr>
      <w:bookmarkStart w:id="414" w:name="_Toc32053"/>
      <w:bookmarkStart w:id="415" w:name="_Toc12899"/>
      <w:bookmarkStart w:id="416" w:name="_Toc27750"/>
      <w:bookmarkStart w:id="417" w:name="_Toc7039"/>
      <w:bookmarkStart w:id="418" w:name="_Toc20016"/>
      <w:bookmarkStart w:id="419" w:name="_Toc21371"/>
      <w:bookmarkStart w:id="420" w:name="_Toc23094"/>
      <w:bookmarkStart w:id="421" w:name="_Toc3594"/>
      <w:bookmarkStart w:id="422" w:name="_Toc17893"/>
      <w:r>
        <w:rPr>
          <w:rFonts w:hint="eastAsia" w:ascii="华文仿宋" w:hAnsi="华文仿宋" w:cs="华文仿宋"/>
          <w:color w:val="auto"/>
          <w:sz w:val="28"/>
          <w:szCs w:val="28"/>
          <w:highlight w:val="none"/>
        </w:rPr>
        <w:t>（五）评标程序</w:t>
      </w:r>
      <w:bookmarkEnd w:id="414"/>
      <w:bookmarkEnd w:id="415"/>
      <w:bookmarkEnd w:id="416"/>
      <w:bookmarkEnd w:id="417"/>
      <w:bookmarkEnd w:id="418"/>
      <w:bookmarkEnd w:id="419"/>
      <w:bookmarkEnd w:id="420"/>
      <w:bookmarkEnd w:id="421"/>
      <w:bookmarkEnd w:id="422"/>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分步评审，每一步评审不符合招标文件要求者，不得进入下一步评审，全部评审合格的投标人，进入最后的打分，最后按得分由高到低排序，推荐中标候选人。</w:t>
      </w:r>
    </w:p>
    <w:p>
      <w:pPr>
        <w:spacing w:line="500" w:lineRule="exact"/>
        <w:ind w:firstLine="566" w:firstLineChars="200"/>
        <w:rPr>
          <w:rFonts w:ascii="华文仿宋" w:cs="Times New Roman"/>
          <w:b/>
          <w:bCs/>
          <w:color w:val="auto"/>
          <w:highlight w:val="none"/>
        </w:rPr>
      </w:pPr>
      <w:r>
        <w:rPr>
          <w:rFonts w:ascii="华文仿宋" w:hAnsi="华文仿宋" w:cs="华文仿宋"/>
          <w:b/>
          <w:bCs/>
          <w:color w:val="auto"/>
          <w:highlight w:val="none"/>
        </w:rPr>
        <w:t>1</w:t>
      </w:r>
      <w:r>
        <w:rPr>
          <w:rFonts w:hint="eastAsia" w:ascii="华文仿宋" w:hAnsi="华文仿宋" w:cs="华文仿宋"/>
          <w:b/>
          <w:bCs/>
          <w:color w:val="auto"/>
          <w:highlight w:val="none"/>
        </w:rPr>
        <w:t>、投标文件的符合性审查</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评标委员会依据招标文件的规定，对投标文件的有效性、完整性和对招标文件的响应程度进行审查，以确定是否对招标文件的全部实质性要求作出响应。</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委员会要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pPr>
        <w:spacing w:line="500" w:lineRule="exact"/>
        <w:ind w:firstLine="566" w:firstLineChars="200"/>
        <w:rPr>
          <w:rFonts w:ascii="华文仿宋" w:cs="Times New Roman"/>
          <w:b/>
          <w:bCs/>
          <w:color w:val="auto"/>
          <w:highlight w:val="none"/>
        </w:rPr>
      </w:pPr>
      <w:r>
        <w:rPr>
          <w:rFonts w:ascii="华文仿宋" w:hAnsi="华文仿宋" w:cs="华文仿宋"/>
          <w:b/>
          <w:bCs/>
          <w:color w:val="auto"/>
          <w:highlight w:val="none"/>
        </w:rPr>
        <w:t>2</w:t>
      </w:r>
      <w:r>
        <w:rPr>
          <w:rFonts w:hint="eastAsia" w:ascii="华文仿宋" w:hAnsi="华文仿宋" w:cs="华文仿宋"/>
          <w:b/>
          <w:bCs/>
          <w:color w:val="auto"/>
          <w:highlight w:val="none"/>
        </w:rPr>
        <w:t>、投标文件的澄清</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）评标委员会在对投标文件的有效性、完整性和响应程度进行审查时，可以要求投标人对投标文件中含义不明确、同类问题表述不一致或者有明显文字和计算错误的内容等做出必要的澄清、说明或者补正。</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）依照《中华人民共和国民法典》的过失责任原则，澄清、说明或补正前评标委员会将按最不利于投标人的原则对投标文件做出评判。</w:t>
      </w:r>
    </w:p>
    <w:p>
      <w:pPr>
        <w:spacing w:line="500" w:lineRule="exact"/>
        <w:rPr>
          <w:rFonts w:ascii="华文仿宋" w:cs="Times New Roman"/>
          <w:color w:val="auto"/>
          <w:highlight w:val="none"/>
        </w:rPr>
      </w:pPr>
      <w:r>
        <w:rPr>
          <w:rFonts w:hint="eastAsia" w:ascii="华文仿宋" w:hAnsi="华文仿宋" w:cs="华文仿宋"/>
          <w:color w:val="auto"/>
          <w:highlight w:val="none"/>
        </w:rPr>
        <w:t xml:space="preserve">    （</w:t>
      </w:r>
      <w:r>
        <w:rPr>
          <w:rFonts w:ascii="华文仿宋" w:hAnsi="华文仿宋" w:cs="华文仿宋"/>
          <w:color w:val="auto"/>
          <w:highlight w:val="none"/>
        </w:rPr>
        <w:t>3</w:t>
      </w:r>
      <w:r>
        <w:rPr>
          <w:rFonts w:hint="eastAsia" w:ascii="华文仿宋" w:hAnsi="华文仿宋" w:cs="华文仿宋"/>
          <w:color w:val="auto"/>
          <w:highlight w:val="none"/>
        </w:rPr>
        <w:t>）评标委员会要求投标人澄清、说明或者补正投标文件应通过书面形式做出。投标人应当在规定的澄清时限内按评标委员会要求的方式，通过书面形式提交，投标人的澄清、说明或者补正应当由法定代表人或其授权代表签字或者加盖公章。</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4</w:t>
      </w:r>
      <w:r>
        <w:rPr>
          <w:rFonts w:hint="eastAsia" w:ascii="华文仿宋" w:hAnsi="华文仿宋" w:cs="华文仿宋"/>
          <w:color w:val="auto"/>
          <w:highlight w:val="none"/>
        </w:rPr>
        <w:t>）投标人的澄清、说明或者补正不得超出投标文件的范围或者改变投标文件的实质性内容。澄清、说明或者补正的内容将作为</w:t>
      </w:r>
      <w:r>
        <w:rPr>
          <w:rFonts w:hint="eastAsia" w:ascii="华文仿宋" w:hAnsi="华文仿宋" w:cs="华文仿宋"/>
          <w:color w:val="auto"/>
          <w:kern w:val="0"/>
          <w:highlight w:val="none"/>
        </w:rPr>
        <w:t>合同</w:t>
      </w:r>
      <w:r>
        <w:rPr>
          <w:rFonts w:hint="eastAsia" w:ascii="华文仿宋" w:hAnsi="华文仿宋" w:cs="华文仿宋"/>
          <w:color w:val="auto"/>
          <w:highlight w:val="none"/>
        </w:rPr>
        <w:t>履行的重要依据。</w:t>
      </w:r>
    </w:p>
    <w:p>
      <w:pPr>
        <w:spacing w:line="500" w:lineRule="exact"/>
        <w:ind w:firstLine="566" w:firstLineChars="200"/>
        <w:rPr>
          <w:rFonts w:ascii="华文仿宋" w:cs="Times New Roman"/>
          <w:b/>
          <w:bCs/>
          <w:color w:val="auto"/>
          <w:highlight w:val="none"/>
        </w:rPr>
      </w:pPr>
      <w:r>
        <w:rPr>
          <w:rFonts w:ascii="华文仿宋" w:hAnsi="华文仿宋" w:cs="华文仿宋"/>
          <w:b/>
          <w:bCs/>
          <w:color w:val="auto"/>
          <w:highlight w:val="none"/>
        </w:rPr>
        <w:t>3</w:t>
      </w:r>
      <w:r>
        <w:rPr>
          <w:rFonts w:hint="eastAsia" w:ascii="华文仿宋" w:hAnsi="华文仿宋" w:cs="华文仿宋"/>
          <w:b/>
          <w:bCs/>
          <w:color w:val="auto"/>
          <w:highlight w:val="none"/>
        </w:rPr>
        <w:t>、综合比较与评价</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采用最低评标价法的，评标委员会对通过符合性审查的投标文件的投标报价由低到高顺序排列。</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采用综合评分法的，评标委员会按“评审要素及分值一览表”中规定的评标标准，对通过符合性审查的投标文件进行商务和技术评估，综合比较与评价。</w:t>
      </w:r>
    </w:p>
    <w:p>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出现下列情形的，投标人投标无效：</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）投标文件报价出现本章“五、投标报价”所列需要修正情形，但投标人对修正后的报价不予确认的；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评标委员会认为投标人的报价明显低于其他通过符合性审查投标人的报价，有可能影响产品质量或者不能诚信履约的，要求投标人通过电子交易平台或电子邮件等书面形式做出说明（必要时提交相关证明材料），投标人不能证明其报价合理性的。</w:t>
      </w:r>
    </w:p>
    <w:p>
      <w:pPr>
        <w:spacing w:line="500" w:lineRule="exact"/>
        <w:ind w:firstLine="566" w:firstLineChars="200"/>
        <w:rPr>
          <w:rFonts w:ascii="华文仿宋" w:cs="Times New Roman"/>
          <w:b/>
          <w:bCs/>
          <w:color w:val="auto"/>
          <w:highlight w:val="none"/>
        </w:rPr>
      </w:pPr>
      <w:r>
        <w:rPr>
          <w:rFonts w:ascii="华文仿宋" w:hAnsi="华文仿宋" w:cs="华文仿宋"/>
          <w:b/>
          <w:bCs/>
          <w:color w:val="auto"/>
          <w:highlight w:val="none"/>
        </w:rPr>
        <w:t>4</w:t>
      </w:r>
      <w:r>
        <w:rPr>
          <w:rFonts w:hint="eastAsia" w:ascii="华文仿宋" w:hAnsi="华文仿宋" w:cs="华文仿宋"/>
          <w:b/>
          <w:bCs/>
          <w:color w:val="auto"/>
          <w:highlight w:val="none"/>
        </w:rPr>
        <w:t>、推荐中标候选人</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采用最低评标价法的，评标结果按投标报价由低到高顺序排列。投标报价相同的，投标文件满足招标文件全部实质性要求且投标报价最低的投标人为排名第一的中标候选人。</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500" w:lineRule="exact"/>
        <w:ind w:firstLine="566" w:firstLineChars="200"/>
        <w:rPr>
          <w:color w:val="auto"/>
          <w:highlight w:val="none"/>
        </w:rPr>
      </w:pPr>
      <w:r>
        <w:rPr>
          <w:rFonts w:hint="eastAsia" w:ascii="华文仿宋" w:hAnsi="华文仿宋" w:cs="华文仿宋"/>
          <w:b/>
          <w:bCs/>
          <w:color w:val="auto"/>
          <w:highlight w:val="none"/>
        </w:rPr>
        <w:t>5、编写评标报告</w:t>
      </w:r>
    </w:p>
    <w:p>
      <w:pPr>
        <w:autoSpaceDE w:val="0"/>
        <w:autoSpaceDN w:val="0"/>
        <w:adjustRightInd w:val="0"/>
        <w:spacing w:line="52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评标委员会根据评标情况编制评标报告，评标委员会成员对需要共同认定的事项存在争议的，应当按照少数服从多数的原则做出结论。持不同意见的评标委员会成员应当在评标报告上签署不同意见及理由，否则视为同意评标报告。对拒绝说明理由的，须报政府采购监管部门处理，并将其评审情况如实计入考核表。</w:t>
      </w:r>
    </w:p>
    <w:p>
      <w:pPr>
        <w:pStyle w:val="7"/>
        <w:spacing w:line="520" w:lineRule="exact"/>
        <w:ind w:firstLine="566" w:firstLineChars="200"/>
        <w:rPr>
          <w:color w:val="auto"/>
          <w:highlight w:val="none"/>
        </w:rPr>
      </w:pPr>
      <w:r>
        <w:rPr>
          <w:rFonts w:hint="eastAsia"/>
          <w:color w:val="auto"/>
          <w:highlight w:val="none"/>
        </w:rPr>
        <w:t>采购人书面授权评标委员会直接确定中标人的，评标委员会应在评标报告中明确中标人及中标金额。</w:t>
      </w:r>
    </w:p>
    <w:p>
      <w:pPr>
        <w:autoSpaceDE w:val="0"/>
        <w:autoSpaceDN w:val="0"/>
        <w:adjustRightInd w:val="0"/>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评标结果汇总完成后，除下列情形外，任何人不得修改评标结果：</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）分值汇总计算错误的；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）分项评分超出评分标准范围的；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3</w:t>
      </w:r>
      <w:r>
        <w:rPr>
          <w:rFonts w:hint="eastAsia" w:ascii="华文仿宋" w:hAnsi="华文仿宋" w:cs="华文仿宋"/>
          <w:color w:val="auto"/>
          <w:highlight w:val="none"/>
        </w:rPr>
        <w:t>）评标委员会成员对客观评审因素评分不一致的；</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4</w:t>
      </w:r>
      <w:r>
        <w:rPr>
          <w:rFonts w:hint="eastAsia" w:ascii="华文仿宋" w:hAnsi="华文仿宋" w:cs="华文仿宋"/>
          <w:color w:val="auto"/>
          <w:highlight w:val="none"/>
        </w:rPr>
        <w:t>）经评标委员会认定评分畸高、畸低的。</w:t>
      </w:r>
    </w:p>
    <w:p>
      <w:pPr>
        <w:autoSpaceDE w:val="0"/>
        <w:autoSpaceDN w:val="0"/>
        <w:adjustRightInd w:val="0"/>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4"/>
        <w:spacing w:line="500" w:lineRule="exact"/>
        <w:ind w:firstLine="566" w:firstLineChars="200"/>
        <w:rPr>
          <w:rFonts w:ascii="华文仿宋" w:cs="Times New Roman"/>
          <w:color w:val="auto"/>
          <w:sz w:val="28"/>
          <w:szCs w:val="28"/>
          <w:highlight w:val="none"/>
        </w:rPr>
      </w:pPr>
      <w:bookmarkStart w:id="423" w:name="_Toc3364"/>
      <w:bookmarkStart w:id="424" w:name="_Toc13609"/>
      <w:bookmarkStart w:id="425" w:name="_Toc27786"/>
      <w:bookmarkStart w:id="426" w:name="_Toc919"/>
      <w:bookmarkStart w:id="427" w:name="_Toc3221"/>
      <w:bookmarkStart w:id="428" w:name="_Toc2101"/>
      <w:bookmarkStart w:id="429" w:name="_Toc9225"/>
      <w:bookmarkStart w:id="430" w:name="_Toc2851"/>
      <w:bookmarkStart w:id="431" w:name="_Toc31904"/>
      <w:r>
        <w:rPr>
          <w:rFonts w:hint="eastAsia" w:ascii="华文仿宋" w:hAnsi="华文仿宋" w:cs="华文仿宋"/>
          <w:color w:val="auto"/>
          <w:sz w:val="28"/>
          <w:szCs w:val="28"/>
          <w:highlight w:val="none"/>
        </w:rPr>
        <w:t>（六）有下列情形之一的，视为投标人串通投标，其投标无效：</w:t>
      </w:r>
      <w:bookmarkEnd w:id="423"/>
      <w:bookmarkEnd w:id="424"/>
      <w:bookmarkEnd w:id="425"/>
      <w:bookmarkEnd w:id="426"/>
      <w:bookmarkEnd w:id="427"/>
      <w:bookmarkEnd w:id="428"/>
      <w:bookmarkEnd w:id="429"/>
      <w:bookmarkEnd w:id="430"/>
      <w:bookmarkEnd w:id="431"/>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、不同投标人的投标文件由同一单位或者个人编制；</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、不同投标人的投标文件由同一台电脑编制；</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、不同投标人委托同一单位或者个人办理投标事宜；</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、不同投标人的投标文件载明的项目管理成员或者联系人员为同一人；</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5</w:t>
      </w:r>
      <w:r>
        <w:rPr>
          <w:rFonts w:hint="eastAsia" w:ascii="华文仿宋" w:hAnsi="华文仿宋" w:cs="华文仿宋"/>
          <w:color w:val="auto"/>
          <w:highlight w:val="none"/>
        </w:rPr>
        <w:t>、不同投标人的投标文件异常一致或者投标报价呈规律性差异；</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6</w:t>
      </w:r>
      <w:r>
        <w:rPr>
          <w:rFonts w:hint="eastAsia" w:ascii="华文仿宋" w:hAnsi="华文仿宋" w:cs="华文仿宋"/>
          <w:color w:val="auto"/>
          <w:highlight w:val="none"/>
        </w:rPr>
        <w:t>、不同投标人的投标文件相互混装；</w:t>
      </w:r>
    </w:p>
    <w:p>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7</w:t>
      </w:r>
      <w:r>
        <w:rPr>
          <w:rFonts w:hint="eastAsia" w:ascii="华文仿宋" w:hAnsi="华文仿宋" w:cs="华文仿宋"/>
          <w:color w:val="auto"/>
          <w:highlight w:val="none"/>
        </w:rPr>
        <w:t>、政府采购法律法规及</w:t>
      </w:r>
      <w:r>
        <w:rPr>
          <w:rFonts w:hint="eastAsia" w:ascii="华文仿宋" w:hAnsi="华文仿宋" w:cs="华文仿宋"/>
          <w:color w:val="auto"/>
          <w:highlight w:val="none"/>
          <w:lang w:eastAsia="zh-CN"/>
        </w:rPr>
        <w:t>招标</w:t>
      </w:r>
      <w:r>
        <w:rPr>
          <w:rFonts w:hint="eastAsia" w:ascii="华文仿宋" w:hAnsi="华文仿宋" w:cs="华文仿宋"/>
          <w:color w:val="auto"/>
          <w:highlight w:val="none"/>
        </w:rPr>
        <w:t>文件规定的其他情形。</w:t>
      </w:r>
    </w:p>
    <w:p>
      <w:pPr>
        <w:pStyle w:val="4"/>
        <w:spacing w:line="500" w:lineRule="exact"/>
        <w:ind w:firstLine="566" w:firstLineChars="200"/>
        <w:rPr>
          <w:rFonts w:ascii="华文仿宋" w:cs="Times New Roman"/>
          <w:color w:val="auto"/>
          <w:sz w:val="28"/>
          <w:szCs w:val="28"/>
          <w:highlight w:val="none"/>
        </w:rPr>
      </w:pPr>
      <w:bookmarkStart w:id="432" w:name="_Toc16256"/>
      <w:bookmarkStart w:id="433" w:name="_Toc13427"/>
      <w:bookmarkStart w:id="434" w:name="_Toc7890"/>
      <w:bookmarkStart w:id="435" w:name="_Toc8271"/>
      <w:bookmarkStart w:id="436" w:name="_Toc7003"/>
      <w:r>
        <w:rPr>
          <w:rFonts w:hint="eastAsia" w:ascii="华文仿宋" w:hAnsi="华文仿宋" w:cs="华文仿宋"/>
          <w:color w:val="auto"/>
          <w:sz w:val="28"/>
          <w:szCs w:val="28"/>
          <w:highlight w:val="none"/>
        </w:rPr>
        <w:t>九、中标</w:t>
      </w:r>
      <w:bookmarkEnd w:id="432"/>
      <w:bookmarkEnd w:id="433"/>
      <w:bookmarkEnd w:id="434"/>
      <w:bookmarkEnd w:id="435"/>
      <w:bookmarkEnd w:id="436"/>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（一）陕西省省级单位政府采购中心在评标工作结束后</w:t>
      </w:r>
      <w:r>
        <w:rPr>
          <w:rFonts w:ascii="仿宋" w:hAnsi="仿宋" w:eastAsia="仿宋" w:cs="仿宋"/>
          <w:color w:val="auto"/>
          <w:highlight w:val="none"/>
        </w:rPr>
        <w:t>2</w:t>
      </w:r>
      <w:r>
        <w:rPr>
          <w:rFonts w:hint="eastAsia" w:ascii="华文仿宋" w:hAnsi="华文仿宋" w:cs="华文仿宋"/>
          <w:color w:val="auto"/>
          <w:highlight w:val="none"/>
        </w:rPr>
        <w:t>个工作日内将评标报告送采购人。</w:t>
      </w:r>
    </w:p>
    <w:p>
      <w:pPr>
        <w:spacing w:line="500" w:lineRule="exact"/>
        <w:ind w:firstLine="566" w:firstLineChars="200"/>
        <w:rPr>
          <w:rFonts w:ascii="仿宋" w:hAnsi="仿宋" w:eastAsia="仿宋" w:cs="仿宋"/>
          <w:color w:val="auto"/>
          <w:highlight w:val="none"/>
        </w:rPr>
      </w:pPr>
      <w:r>
        <w:rPr>
          <w:rFonts w:hint="eastAsia" w:ascii="华文仿宋" w:hAnsi="华文仿宋" w:cs="华文仿宋"/>
          <w:color w:val="auto"/>
          <w:highlight w:val="none"/>
        </w:rPr>
        <w:t>（二）</w:t>
      </w:r>
      <w:r>
        <w:rPr>
          <w:rFonts w:hint="eastAsia" w:ascii="仿宋" w:hAnsi="仿宋" w:eastAsia="仿宋" w:cs="仿宋"/>
          <w:color w:val="auto"/>
          <w:highlight w:val="none"/>
        </w:rPr>
        <w:t>本项目采用第</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u w:val="single"/>
          <w:lang w:val="en-US" w:eastAsia="zh-CN"/>
        </w:rPr>
        <w:t>1</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种方式确定中标人。</w:t>
      </w:r>
    </w:p>
    <w:p>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1、采购人在收到评标报告之日起5个工作日内，在评标报告确定的中标候选人名单中按顺序确定中标人。采购人在收到评标报告5个工作日内未按评标报告推荐的中标候选人顺序确定中标人，又不能说明合法理由的，视同按评标报告推荐的顺序确定</w:t>
      </w:r>
      <w:r>
        <w:rPr>
          <w:rFonts w:hint="eastAsia" w:ascii="华文仿宋" w:hAnsi="华文仿宋" w:cs="华文仿宋"/>
          <w:color w:val="auto"/>
          <w:highlight w:val="none"/>
        </w:rPr>
        <w:t>排名第一的中标候选人为中标人。</w:t>
      </w:r>
    </w:p>
    <w:p>
      <w:p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color w:val="auto"/>
          <w:highlight w:val="none"/>
        </w:rPr>
        <w:t>2、采购人可以书面授权评标委员会直接确定中标人。</w:t>
      </w:r>
    </w:p>
    <w:p>
      <w:pPr>
        <w:spacing w:line="500" w:lineRule="exact"/>
        <w:ind w:firstLine="566" w:firstLineChars="200"/>
        <w:rPr>
          <w:rFonts w:ascii="仿宋" w:hAnsi="仿宋" w:eastAsia="仿宋" w:cs="仿宋"/>
          <w:color w:val="auto"/>
          <w:highlight w:val="none"/>
        </w:rPr>
      </w:pPr>
      <w:r>
        <w:rPr>
          <w:rFonts w:hint="eastAsia" w:ascii="仿宋" w:hAnsi="仿宋" w:eastAsia="仿宋" w:cs="仿宋"/>
          <w:b/>
          <w:bCs/>
          <w:color w:val="auto"/>
          <w:highlight w:val="none"/>
        </w:rPr>
        <w:t>采购人在评审前提供《委托评审小组定标授权书》，评标委员会将根据采购人授权直接确定</w:t>
      </w:r>
      <w:r>
        <w:rPr>
          <w:rFonts w:hint="eastAsia" w:ascii="仿宋" w:hAnsi="仿宋" w:eastAsia="仿宋" w:cs="仿宋"/>
          <w:b/>
          <w:bCs/>
          <w:color w:val="auto"/>
          <w:highlight w:val="none"/>
          <w:lang w:val="en-US" w:eastAsia="zh-CN"/>
        </w:rPr>
        <w:t>中标人</w:t>
      </w:r>
      <w:r>
        <w:rPr>
          <w:rFonts w:hint="eastAsia" w:ascii="仿宋" w:hAnsi="仿宋" w:eastAsia="仿宋" w:cs="仿宋"/>
          <w:b/>
          <w:bCs/>
          <w:color w:val="auto"/>
          <w:highlight w:val="none"/>
        </w:rPr>
        <w:t>。</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（三）陕西省省级单位政府采购中心将在中标人确定之日起</w:t>
      </w:r>
      <w:r>
        <w:rPr>
          <w:rFonts w:ascii="仿宋" w:hAnsi="仿宋" w:eastAsia="仿宋" w:cs="仿宋"/>
          <w:color w:val="auto"/>
          <w:highlight w:val="none"/>
        </w:rPr>
        <w:t>2</w:t>
      </w:r>
      <w:r>
        <w:rPr>
          <w:rFonts w:hint="eastAsia" w:ascii="华文仿宋" w:hAnsi="华文仿宋" w:cs="华文仿宋"/>
          <w:color w:val="auto"/>
          <w:highlight w:val="none"/>
        </w:rPr>
        <w:t>个工作日内，在【</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28"/>
          <w:rFonts w:hint="eastAsia" w:ascii="华文仿宋" w:hAnsi="华文仿宋" w:cs="华文仿宋"/>
          <w:color w:val="auto"/>
          <w:sz w:val="28"/>
          <w:szCs w:val="28"/>
          <w:highlight w:val="none"/>
        </w:rPr>
        <w:t>陕西省政府采购网</w:t>
      </w:r>
      <w:r>
        <w:rPr>
          <w:rStyle w:val="28"/>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t>
      </w:r>
      <w:r>
        <w:rPr>
          <w:rFonts w:ascii="仿宋" w:hAnsi="仿宋" w:eastAsia="仿宋" w:cs="仿宋"/>
          <w:color w:val="auto"/>
          <w:highlight w:val="none"/>
        </w:rPr>
        <w:t>www.ccgp-shaanxi.gov.cn</w:t>
      </w:r>
      <w:r>
        <w:rPr>
          <w:rFonts w:hint="eastAsia" w:ascii="华文仿宋" w:hAnsi="华文仿宋" w:cs="华文仿宋"/>
          <w:color w:val="auto"/>
          <w:highlight w:val="none"/>
        </w:rPr>
        <w:t>）</w:t>
      </w:r>
      <w:r>
        <w:rPr>
          <w:rStyle w:val="28"/>
          <w:rFonts w:hint="eastAsia" w:ascii="华文仿宋" w:hAnsi="华文仿宋" w:cs="华文仿宋"/>
          <w:color w:val="auto"/>
          <w:sz w:val="28"/>
          <w:szCs w:val="28"/>
          <w:highlight w:val="none"/>
        </w:rPr>
        <w:t>】、</w:t>
      </w:r>
      <w:r>
        <w:rPr>
          <w:rFonts w:hint="eastAsia" w:ascii="华文仿宋" w:hAnsi="华文仿宋" w:cs="华文仿宋"/>
          <w:color w:val="auto"/>
          <w:highlight w:val="none"/>
        </w:rPr>
        <w:t>【全国公共资源交易平台（陕西省）（</w:t>
      </w:r>
      <w:r>
        <w:rPr>
          <w:rFonts w:ascii="仿宋" w:hAnsi="仿宋" w:eastAsia="仿宋" w:cs="仿宋"/>
          <w:color w:val="auto"/>
          <w:highlight w:val="none"/>
        </w:rPr>
        <w:t>http://www.sxggzyjy.cn</w:t>
      </w:r>
      <w:r>
        <w:rPr>
          <w:rFonts w:ascii="华文仿宋" w:hAnsi="华文仿宋" w:cs="华文仿宋"/>
          <w:color w:val="auto"/>
          <w:highlight w:val="none"/>
        </w:rPr>
        <w:t>/</w:t>
      </w:r>
      <w:r>
        <w:rPr>
          <w:rFonts w:hint="eastAsia" w:ascii="华文仿宋" w:hAnsi="华文仿宋" w:cs="华文仿宋"/>
          <w:color w:val="auto"/>
          <w:highlight w:val="none"/>
        </w:rPr>
        <w:t>）</w:t>
      </w:r>
      <w:r>
        <w:rPr>
          <w:rStyle w:val="28"/>
          <w:rFonts w:hint="eastAsia" w:ascii="华文仿宋" w:hAnsi="华文仿宋" w:cs="华文仿宋"/>
          <w:color w:val="auto"/>
          <w:sz w:val="28"/>
          <w:szCs w:val="28"/>
          <w:highlight w:val="none"/>
        </w:rPr>
        <w:t>】</w:t>
      </w:r>
      <w:r>
        <w:rPr>
          <w:rFonts w:hint="eastAsia" w:ascii="华文仿宋" w:hAnsi="华文仿宋" w:cs="华文仿宋"/>
          <w:color w:val="auto"/>
          <w:highlight w:val="none"/>
        </w:rPr>
        <w:t>上公告中标结果。</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中标公告期限为</w:t>
      </w:r>
      <w:r>
        <w:rPr>
          <w:rFonts w:ascii="仿宋" w:hAnsi="仿宋" w:eastAsia="仿宋" w:cs="仿宋"/>
          <w:color w:val="auto"/>
          <w:highlight w:val="none"/>
        </w:rPr>
        <w:t>1</w:t>
      </w:r>
      <w:r>
        <w:rPr>
          <w:rFonts w:hint="eastAsia" w:ascii="华文仿宋" w:hAnsi="华文仿宋" w:cs="华文仿宋"/>
          <w:color w:val="auto"/>
          <w:highlight w:val="none"/>
        </w:rPr>
        <w:t>个工作日。</w:t>
      </w:r>
    </w:p>
    <w:p>
      <w:pPr>
        <w:wordWrap w:val="0"/>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四）在公告中标结果的同时，陕西省省级单位政府采购中心向中标人发出中标通知书；采用综合评分法评审的，陕西省省级单位政府采购中心将通过全国公共资源交易平台（陕西省）告知未中标人本人的评审最终得分与排序。</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（五）中标通知书发出后，采购人不得违法改变中标结果，中标人无正当理由不得放弃中标。</w:t>
      </w:r>
    </w:p>
    <w:p>
      <w:pPr>
        <w:pStyle w:val="4"/>
        <w:spacing w:line="500" w:lineRule="exact"/>
        <w:ind w:firstLine="566" w:firstLineChars="200"/>
        <w:rPr>
          <w:rFonts w:ascii="华文仿宋" w:cs="Times New Roman"/>
          <w:color w:val="auto"/>
          <w:sz w:val="28"/>
          <w:szCs w:val="28"/>
          <w:highlight w:val="none"/>
        </w:rPr>
      </w:pPr>
      <w:bookmarkStart w:id="437" w:name="_Toc10156"/>
      <w:bookmarkStart w:id="438" w:name="_Toc19161"/>
      <w:bookmarkStart w:id="439" w:name="_Toc13737"/>
      <w:bookmarkStart w:id="440" w:name="_Toc27915"/>
      <w:bookmarkStart w:id="441" w:name="_Toc16777"/>
      <w:r>
        <w:rPr>
          <w:rFonts w:hint="eastAsia" w:ascii="华文仿宋" w:hAnsi="华文仿宋" w:cs="华文仿宋"/>
          <w:color w:val="auto"/>
          <w:sz w:val="28"/>
          <w:szCs w:val="28"/>
          <w:highlight w:val="none"/>
        </w:rPr>
        <w:t>十、签订政府采购合同</w:t>
      </w:r>
      <w:bookmarkEnd w:id="437"/>
      <w:bookmarkEnd w:id="438"/>
      <w:bookmarkEnd w:id="439"/>
      <w:bookmarkEnd w:id="440"/>
      <w:bookmarkEnd w:id="441"/>
    </w:p>
    <w:p>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highlight w:val="none"/>
        </w:rPr>
        <w:t>（一）自中标通知书发出之日起</w:t>
      </w:r>
      <w:r>
        <w:rPr>
          <w:rFonts w:hint="eastAsia" w:ascii="仿宋" w:hAnsi="仿宋" w:eastAsia="仿宋" w:cs="仿宋"/>
          <w:color w:val="auto"/>
          <w:highlight w:val="none"/>
          <w:lang w:val="en-US" w:eastAsia="zh-CN"/>
        </w:rPr>
        <w:t>25</w:t>
      </w:r>
      <w:r>
        <w:rPr>
          <w:rFonts w:hint="eastAsia" w:ascii="华文仿宋" w:hAnsi="华文仿宋" w:cs="华文仿宋"/>
          <w:color w:val="auto"/>
          <w:highlight w:val="none"/>
        </w:rPr>
        <w:t>日内，</w:t>
      </w:r>
      <w:r>
        <w:rPr>
          <w:rFonts w:hint="eastAsia" w:ascii="华文仿宋" w:hAnsi="华文仿宋" w:cs="华文仿宋"/>
          <w:color w:val="auto"/>
          <w:kern w:val="0"/>
          <w:highlight w:val="none"/>
        </w:rPr>
        <w:t>采购人与中标人应按招标文件和中标人投标文件的规定，签订书面合同。所签订的政府采购合同不得对招标文件和中标人的投标文件内容作实质性修改。</w:t>
      </w:r>
    </w:p>
    <w:p>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采购人不得向中标人提出任何不合理的要求作为签订合同的条件。</w:t>
      </w:r>
    </w:p>
    <w:p>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（二）</w:t>
      </w:r>
      <w:r>
        <w:rPr>
          <w:rFonts w:hint="eastAsia" w:ascii="华文仿宋" w:hAnsi="华文仿宋" w:cs="华文仿宋"/>
          <w:color w:val="auto"/>
          <w:kern w:val="0"/>
          <w:highlight w:val="none"/>
        </w:rPr>
        <w:t>中标人拒绝与采购人签订合同的，采购人可以按照评标报告推荐的中标候选人名单排序，确定下一候选人为中标人，也可以重新开展政府采购活动。</w:t>
      </w:r>
    </w:p>
    <w:p>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highlight w:val="none"/>
        </w:rPr>
        <w:t>（三）招标文件、中标人的投标文件、《中标通知书》及其澄清、说明文件、承诺等，均为签订采购合同的依据，作为采购合同的组成部分。</w:t>
      </w:r>
    </w:p>
    <w:p>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（四）政府采购合同应当包括采购人与中标人的名称和住所、标的、数量、质量、价款或者报酬、履行期限及地点和方式、验收要求、违约责任、解决争议的方法等内容。</w:t>
      </w:r>
    </w:p>
    <w:p>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（五）采购人与中标人应当根据合同的约定依法履行合同义务。政府采购合同的履行、违约责任和解决争议的方法等适用</w:t>
      </w:r>
      <w:r>
        <w:rPr>
          <w:rFonts w:hint="eastAsia" w:ascii="华文仿宋" w:hAnsi="华文仿宋" w:cs="华文仿宋"/>
          <w:color w:val="auto"/>
          <w:highlight w:val="none"/>
        </w:rPr>
        <w:t>《中华人民共和国民法典》</w:t>
      </w:r>
      <w:r>
        <w:rPr>
          <w:rFonts w:hint="eastAsia" w:ascii="华文仿宋" w:hAnsi="华文仿宋" w:cs="华文仿宋"/>
          <w:color w:val="auto"/>
          <w:kern w:val="0"/>
          <w:highlight w:val="none"/>
        </w:rPr>
        <w:t>。</w:t>
      </w:r>
    </w:p>
    <w:p>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（六）采购人应及时对采购项目进行验收。采购人可以邀请参加本项目的其他投标人或者第三方机构参与验收。参与验收的投标人或者第三方机构的意见作为验收书的参考资料一并存档。</w:t>
      </w:r>
    </w:p>
    <w:p>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（七）采购人应当加强对中标人的履约管理，并按照采购合同约定，及时向中标人支付采购资金。对于中标人违反采购合同约定的行为，采购人应当及时处理，依法追究其违约责任。</w:t>
      </w:r>
    </w:p>
    <w:p>
      <w:pPr>
        <w:pStyle w:val="4"/>
        <w:spacing w:line="480" w:lineRule="exact"/>
        <w:ind w:firstLine="566" w:firstLineChars="200"/>
        <w:rPr>
          <w:rFonts w:ascii="华文仿宋" w:cs="Times New Roman"/>
          <w:color w:val="auto"/>
          <w:sz w:val="28"/>
          <w:szCs w:val="28"/>
          <w:highlight w:val="none"/>
        </w:rPr>
      </w:pPr>
      <w:bookmarkStart w:id="442" w:name="_Toc9680"/>
      <w:bookmarkStart w:id="443" w:name="_Toc15302"/>
      <w:bookmarkStart w:id="444" w:name="_Toc19798"/>
      <w:bookmarkStart w:id="445" w:name="_Toc23973"/>
      <w:bookmarkStart w:id="446" w:name="_Toc12605"/>
      <w:r>
        <w:rPr>
          <w:rFonts w:hint="eastAsia" w:ascii="华文仿宋" w:hAnsi="华文仿宋" w:cs="华文仿宋"/>
          <w:color w:val="auto"/>
          <w:sz w:val="28"/>
          <w:szCs w:val="28"/>
          <w:highlight w:val="none"/>
        </w:rPr>
        <w:t>十一、其他</w:t>
      </w:r>
      <w:bookmarkEnd w:id="442"/>
      <w:bookmarkEnd w:id="443"/>
      <w:bookmarkEnd w:id="444"/>
      <w:bookmarkEnd w:id="445"/>
      <w:bookmarkEnd w:id="446"/>
    </w:p>
    <w:p>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一）评标委员会发现招标文件存在歧义、重大缺陷导致评标工作无法进行，或者招标文件内容违反国家有关强制性规定的，应当停止评标工作，与采购人或者陕西省省级单位政府采购中心沟通并作书面记录。采购人或者陕西省省级单位政府采购中心确认后，应当修改招标文件，重新组织采购活动。</w:t>
      </w:r>
    </w:p>
    <w:p>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（二）根据《政府采购法》第三十六条规定，在招标采购中，出现下列情形之一的，本项目按废标处理：</w:t>
      </w:r>
    </w:p>
    <w:p>
      <w:pPr>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、出现影响采购公正的违法、违规行为的；</w:t>
      </w:r>
    </w:p>
    <w:p>
      <w:pPr>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、投标人的报价均超过了采购预算，采购人不能支付的；</w:t>
      </w:r>
    </w:p>
    <w:p>
      <w:pPr>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、因重大变故，采购任务取消的。</w:t>
      </w:r>
    </w:p>
    <w:p>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废标后，由陕西省省级单位政府采购中心发布废标公告。除采购任务取消外，本项目将重新组织招标。</w:t>
      </w:r>
    </w:p>
    <w:p>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（三）在递交投标文件阶段、资格审查阶段、符合性审查阶段以及评标委员会评标阶段，当出现有效投标人不足</w:t>
      </w:r>
      <w:r>
        <w:rPr>
          <w:rFonts w:ascii="仿宋" w:hAnsi="仿宋" w:eastAsia="仿宋" w:cs="仿宋"/>
          <w:color w:val="auto"/>
          <w:highlight w:val="none"/>
        </w:rPr>
        <w:t>3</w:t>
      </w:r>
      <w:r>
        <w:rPr>
          <w:rFonts w:hint="eastAsia" w:ascii="华文仿宋" w:hAnsi="华文仿宋" w:cs="华文仿宋"/>
          <w:color w:val="auto"/>
          <w:highlight w:val="none"/>
        </w:rPr>
        <w:t>家时，除采购任务取消外，按照以下方式处理：</w:t>
      </w:r>
    </w:p>
    <w:p>
      <w:pPr>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、招标文件存在不合理条款或者招标程序不符合规定的，采购人、采购代理机构改正后依法重新招标；</w:t>
      </w:r>
    </w:p>
    <w:p>
      <w:pPr>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、招标文件没有不合理条款、招标程序符合规定，需要采用其他采购方式采购的，采购人应当依法报财政部门批准。</w:t>
      </w:r>
    </w:p>
    <w:p>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（四）采购代理机构应当采取必要措施，保证评标在严格保密的情况下进行。除采购人代表、评标现场组织人员外，采购人的其他工作人员以及与评标工作无关的人员不得进入评标现场。</w:t>
      </w:r>
    </w:p>
    <w:p>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有关人员对评标情况以及在评标过程中获悉的国家秘密、商业秘密负有保密责任。</w:t>
      </w:r>
    </w:p>
    <w:p>
      <w:pPr>
        <w:numPr>
          <w:ilvl w:val="0"/>
          <w:numId w:val="4"/>
        </w:numPr>
        <w:spacing w:line="480" w:lineRule="exact"/>
        <w:ind w:firstLine="566" w:firstLineChars="200"/>
        <w:rPr>
          <w:color w:val="auto"/>
          <w:highlight w:val="none"/>
        </w:rPr>
      </w:pPr>
      <w:r>
        <w:rPr>
          <w:rFonts w:hint="eastAsia" w:ascii="华文仿宋" w:hAnsi="华文仿宋" w:cs="华文仿宋"/>
          <w:color w:val="auto"/>
          <w:highlight w:val="none"/>
        </w:rPr>
        <w:t>招标文件未明确的其他事项，按《政府采购法》及其相关法律法规执行。</w:t>
      </w:r>
    </w:p>
    <w:p>
      <w:pPr>
        <w:spacing w:line="500" w:lineRule="exact"/>
        <w:ind w:firstLine="566" w:firstLineChars="200"/>
        <w:rPr>
          <w:color w:val="auto"/>
          <w:highlight w:val="none"/>
        </w:rPr>
      </w:pPr>
      <w:r>
        <w:rPr>
          <w:rFonts w:hint="eastAsia" w:ascii="华文仿宋" w:hAnsi="华文仿宋" w:cs="华文仿宋"/>
          <w:color w:val="auto"/>
          <w:kern w:val="0"/>
          <w:highlight w:val="none"/>
        </w:rPr>
        <w:t>（六）陕西省省级单位政府采购中心应当建立真实完整的招标采购档案，妥善保存每项采购活动的采购文件。</w:t>
      </w:r>
    </w:p>
    <w:p>
      <w:pPr>
        <w:pStyle w:val="4"/>
        <w:spacing w:line="500" w:lineRule="exact"/>
        <w:ind w:firstLine="566" w:firstLineChars="200"/>
        <w:rPr>
          <w:rFonts w:ascii="华文仿宋" w:hAnsi="华文仿宋" w:cs="华文仿宋"/>
          <w:color w:val="auto"/>
          <w:sz w:val="28"/>
          <w:szCs w:val="28"/>
          <w:highlight w:val="none"/>
        </w:rPr>
      </w:pPr>
      <w:bookmarkStart w:id="447" w:name="_Toc27271"/>
      <w:bookmarkStart w:id="448" w:name="_Toc10661"/>
      <w:bookmarkStart w:id="449" w:name="_Toc7278"/>
      <w:bookmarkStart w:id="450" w:name="_Toc25279"/>
      <w:bookmarkStart w:id="451" w:name="_Toc21428"/>
      <w:r>
        <w:rPr>
          <w:rFonts w:hint="eastAsia" w:ascii="华文仿宋" w:hAnsi="华文仿宋" w:cs="华文仿宋"/>
          <w:color w:val="auto"/>
          <w:sz w:val="28"/>
          <w:szCs w:val="28"/>
          <w:highlight w:val="none"/>
        </w:rPr>
        <w:t>十二、采购代理服务费：免费</w:t>
      </w:r>
      <w:bookmarkEnd w:id="447"/>
      <w:bookmarkEnd w:id="448"/>
      <w:bookmarkEnd w:id="449"/>
      <w:bookmarkEnd w:id="450"/>
      <w:bookmarkEnd w:id="451"/>
    </w:p>
    <w:p>
      <w:pPr>
        <w:spacing w:line="500" w:lineRule="exact"/>
        <w:rPr>
          <w:rFonts w:cs="Times New Roman"/>
          <w:color w:val="auto"/>
          <w:highlight w:val="none"/>
        </w:rPr>
      </w:pPr>
    </w:p>
    <w:p>
      <w:pPr>
        <w:spacing w:line="240" w:lineRule="auto"/>
        <w:jc w:val="center"/>
        <w:outlineLvl w:val="0"/>
        <w:rPr>
          <w:rFonts w:cs="Times New Roman"/>
          <w:color w:val="auto"/>
          <w:highlight w:val="none"/>
        </w:rPr>
      </w:pPr>
      <w:bookmarkStart w:id="452" w:name="_Toc28153"/>
      <w:bookmarkStart w:id="453" w:name="_Toc29944"/>
      <w:bookmarkStart w:id="454" w:name="_Toc6509"/>
      <w:bookmarkStart w:id="455" w:name="_Toc22298"/>
      <w:bookmarkStart w:id="456" w:name="_Toc14795"/>
      <w:r>
        <w:rPr>
          <w:rFonts w:hint="eastAsia" w:ascii="黑体" w:hAnsi="黑体" w:eastAsia="黑体" w:cs="黑体"/>
          <w:color w:val="auto"/>
          <w:sz w:val="32"/>
          <w:szCs w:val="32"/>
          <w:highlight w:val="none"/>
        </w:rPr>
        <w:br w:type="page"/>
      </w:r>
      <w:bookmarkStart w:id="457" w:name="_Toc8583"/>
      <w:bookmarkStart w:id="458" w:name="_Toc21404"/>
      <w:bookmarkStart w:id="459" w:name="_Toc24145"/>
      <w:bookmarkStart w:id="460" w:name="_Toc21726"/>
      <w:bookmarkStart w:id="461" w:name="_Toc16783"/>
      <w:r>
        <w:rPr>
          <w:rFonts w:hint="eastAsia" w:ascii="黑体" w:hAnsi="黑体" w:eastAsia="黑体" w:cs="黑体"/>
          <w:color w:val="auto"/>
          <w:sz w:val="32"/>
          <w:szCs w:val="32"/>
          <w:highlight w:val="none"/>
        </w:rPr>
        <w:t>第三章  评审办法及标准</w:t>
      </w:r>
      <w:bookmarkEnd w:id="452"/>
      <w:bookmarkEnd w:id="453"/>
      <w:bookmarkEnd w:id="454"/>
      <w:bookmarkEnd w:id="455"/>
      <w:bookmarkEnd w:id="456"/>
      <w:bookmarkEnd w:id="457"/>
      <w:bookmarkEnd w:id="458"/>
      <w:bookmarkEnd w:id="459"/>
      <w:bookmarkEnd w:id="460"/>
      <w:bookmarkEnd w:id="461"/>
    </w:p>
    <w:p>
      <w:pPr>
        <w:pStyle w:val="4"/>
        <w:spacing w:line="500" w:lineRule="exact"/>
        <w:ind w:firstLine="566" w:firstLineChars="200"/>
        <w:rPr>
          <w:rFonts w:ascii="华文仿宋" w:cs="Times New Roman"/>
          <w:color w:val="auto"/>
          <w:sz w:val="28"/>
          <w:szCs w:val="28"/>
          <w:highlight w:val="none"/>
        </w:rPr>
      </w:pPr>
      <w:bookmarkStart w:id="462" w:name="_Toc16719"/>
      <w:bookmarkStart w:id="463" w:name="_Toc729"/>
      <w:bookmarkStart w:id="464" w:name="_Toc9762"/>
      <w:bookmarkStart w:id="465" w:name="_Toc28980"/>
      <w:bookmarkStart w:id="466" w:name="_Toc12713"/>
      <w:bookmarkStart w:id="467" w:name="_Toc31308"/>
      <w:bookmarkStart w:id="468" w:name="_Toc15268"/>
      <w:bookmarkStart w:id="469" w:name="_Toc31867"/>
      <w:bookmarkStart w:id="470" w:name="_Toc10081"/>
      <w:bookmarkStart w:id="471" w:name="_Toc11125"/>
      <w:bookmarkStart w:id="472" w:name="_Toc17130"/>
      <w:bookmarkStart w:id="473" w:name="_Toc10885"/>
      <w:bookmarkStart w:id="474" w:name="_Toc25074"/>
      <w:bookmarkStart w:id="475" w:name="_Toc30932"/>
      <w:bookmarkStart w:id="476" w:name="_Toc18001"/>
      <w:r>
        <w:rPr>
          <w:rFonts w:hint="eastAsia" w:ascii="华文仿宋" w:hAnsi="华文仿宋" w:cs="华文仿宋"/>
          <w:color w:val="auto"/>
          <w:sz w:val="28"/>
          <w:szCs w:val="28"/>
          <w:highlight w:val="none"/>
        </w:rPr>
        <w:t>一、资格审查</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spacing w:line="500" w:lineRule="exact"/>
        <w:jc w:val="center"/>
        <w:rPr>
          <w:rFonts w:ascii="华文仿宋" w:cs="Times New Roman"/>
          <w:b/>
          <w:bCs/>
          <w:color w:val="auto"/>
          <w:highlight w:val="none"/>
        </w:rPr>
      </w:pPr>
      <w:r>
        <w:rPr>
          <w:rFonts w:hint="eastAsia" w:ascii="华文仿宋" w:hAnsi="华文仿宋" w:cs="华文仿宋"/>
          <w:b/>
          <w:bCs/>
          <w:color w:val="auto"/>
          <w:highlight w:val="none"/>
        </w:rPr>
        <w:t>资格审查表</w:t>
      </w:r>
    </w:p>
    <w:tbl>
      <w:tblPr>
        <w:tblStyle w:val="24"/>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6"/>
        <w:gridCol w:w="4583"/>
        <w:gridCol w:w="748"/>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序号</w:t>
            </w:r>
          </w:p>
        </w:tc>
        <w:tc>
          <w:tcPr>
            <w:tcW w:w="1866" w:type="dxa"/>
            <w:noWrap/>
            <w:vAlign w:val="center"/>
          </w:tcPr>
          <w:p>
            <w:pPr>
              <w:jc w:val="center"/>
              <w:rPr>
                <w:rFonts w:ascii="仿宋" w:hAnsi="仿宋" w:eastAsia="仿宋" w:cs="Times New Roman"/>
                <w:b/>
                <w:bCs/>
                <w:color w:val="auto"/>
                <w:kern w:val="28"/>
                <w:sz w:val="24"/>
                <w:szCs w:val="24"/>
                <w:highlight w:val="none"/>
              </w:rPr>
            </w:pPr>
            <w:r>
              <w:rPr>
                <w:rFonts w:hint="eastAsia" w:ascii="仿宋" w:hAnsi="仿宋" w:eastAsia="仿宋" w:cs="仿宋"/>
                <w:b/>
                <w:bCs/>
                <w:color w:val="auto"/>
                <w:kern w:val="28"/>
                <w:sz w:val="24"/>
                <w:szCs w:val="24"/>
                <w:highlight w:val="none"/>
              </w:rPr>
              <w:t>资格审查项</w:t>
            </w:r>
          </w:p>
        </w:tc>
        <w:tc>
          <w:tcPr>
            <w:tcW w:w="4583" w:type="dxa"/>
            <w:noWrap/>
            <w:vAlign w:val="center"/>
          </w:tcPr>
          <w:p>
            <w:pPr>
              <w:jc w:val="center"/>
              <w:rPr>
                <w:rFonts w:ascii="仿宋" w:hAnsi="仿宋" w:eastAsia="仿宋" w:cs="Times New Roman"/>
                <w:b/>
                <w:bCs/>
                <w:color w:val="auto"/>
                <w:kern w:val="28"/>
                <w:sz w:val="24"/>
                <w:szCs w:val="24"/>
                <w:highlight w:val="none"/>
              </w:rPr>
            </w:pPr>
            <w:r>
              <w:rPr>
                <w:rFonts w:hint="eastAsia" w:ascii="仿宋" w:hAnsi="仿宋" w:eastAsia="仿宋" w:cs="仿宋"/>
                <w:b/>
                <w:bCs/>
                <w:color w:val="auto"/>
                <w:kern w:val="28"/>
                <w:sz w:val="24"/>
                <w:szCs w:val="24"/>
                <w:highlight w:val="none"/>
              </w:rPr>
              <w:t>通过条件</w:t>
            </w:r>
          </w:p>
        </w:tc>
        <w:tc>
          <w:tcPr>
            <w:tcW w:w="748" w:type="dxa"/>
            <w:noWrap/>
            <w:vAlign w:val="center"/>
          </w:tcPr>
          <w:p>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结论</w:t>
            </w:r>
          </w:p>
        </w:tc>
        <w:tc>
          <w:tcPr>
            <w:tcW w:w="977" w:type="dxa"/>
            <w:noWrap/>
            <w:vAlign w:val="center"/>
          </w:tcPr>
          <w:p>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p>
        </w:tc>
        <w:tc>
          <w:tcPr>
            <w:tcW w:w="1866" w:type="dxa"/>
            <w:noWrap/>
            <w:vAlign w:val="center"/>
          </w:tcPr>
          <w:p>
            <w:pPr>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营业执照等主体资格证明文件</w:t>
            </w:r>
          </w:p>
        </w:tc>
        <w:tc>
          <w:tcPr>
            <w:tcW w:w="4583" w:type="dxa"/>
            <w:noWrap/>
            <w:vAlign w:val="center"/>
          </w:tcPr>
          <w:p>
            <w:pP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提供有效存续的企业营业执照（副本）</w:t>
            </w:r>
            <w:r>
              <w:rPr>
                <w:rFonts w:ascii="仿宋" w:hAnsi="仿宋" w:eastAsia="仿宋" w:cs="仿宋"/>
                <w:color w:val="auto"/>
                <w:kern w:val="28"/>
                <w:sz w:val="24"/>
                <w:szCs w:val="24"/>
                <w:highlight w:val="none"/>
              </w:rPr>
              <w:t>/</w:t>
            </w:r>
            <w:r>
              <w:rPr>
                <w:rFonts w:hint="eastAsia" w:ascii="仿宋" w:hAnsi="仿宋" w:eastAsia="仿宋" w:cs="仿宋"/>
                <w:color w:val="auto"/>
                <w:kern w:val="28"/>
                <w:sz w:val="24"/>
                <w:szCs w:val="24"/>
                <w:highlight w:val="none"/>
              </w:rPr>
              <w:t>事业单位法人证书</w:t>
            </w:r>
            <w:r>
              <w:rPr>
                <w:rFonts w:ascii="仿宋" w:hAnsi="仿宋" w:eastAsia="仿宋" w:cs="仿宋"/>
                <w:color w:val="auto"/>
                <w:kern w:val="28"/>
                <w:sz w:val="24"/>
                <w:szCs w:val="24"/>
                <w:highlight w:val="none"/>
              </w:rPr>
              <w:t>/</w:t>
            </w:r>
            <w:r>
              <w:rPr>
                <w:rFonts w:hint="eastAsia" w:ascii="仿宋" w:hAnsi="仿宋" w:eastAsia="仿宋" w:cs="仿宋"/>
                <w:color w:val="auto"/>
                <w:kern w:val="28"/>
                <w:sz w:val="24"/>
                <w:szCs w:val="24"/>
                <w:highlight w:val="none"/>
              </w:rPr>
              <w:t>专业服务机构执业许可证</w:t>
            </w:r>
            <w:r>
              <w:rPr>
                <w:rFonts w:ascii="仿宋" w:hAnsi="仿宋" w:eastAsia="仿宋" w:cs="仿宋"/>
                <w:color w:val="auto"/>
                <w:kern w:val="28"/>
                <w:sz w:val="24"/>
                <w:szCs w:val="24"/>
                <w:highlight w:val="none"/>
              </w:rPr>
              <w:t>/</w:t>
            </w:r>
            <w:r>
              <w:rPr>
                <w:rFonts w:hint="eastAsia" w:ascii="仿宋" w:hAnsi="仿宋" w:eastAsia="仿宋" w:cs="仿宋"/>
                <w:color w:val="auto"/>
                <w:kern w:val="28"/>
                <w:sz w:val="24"/>
                <w:szCs w:val="24"/>
                <w:highlight w:val="none"/>
              </w:rPr>
              <w:t>民办非企业单位登记证书。</w:t>
            </w:r>
          </w:p>
        </w:tc>
        <w:tc>
          <w:tcPr>
            <w:tcW w:w="748" w:type="dxa"/>
            <w:noWrap/>
            <w:vAlign w:val="center"/>
          </w:tcPr>
          <w:p>
            <w:pPr>
              <w:rPr>
                <w:rFonts w:ascii="仿宋" w:hAnsi="仿宋" w:eastAsia="仿宋" w:cs="Times New Roman"/>
                <w:b/>
                <w:bCs/>
                <w:color w:val="auto"/>
                <w:sz w:val="24"/>
                <w:szCs w:val="24"/>
                <w:highlight w:val="none"/>
              </w:rPr>
            </w:pPr>
          </w:p>
        </w:tc>
        <w:tc>
          <w:tcPr>
            <w:tcW w:w="977" w:type="dxa"/>
            <w:noWrap/>
            <w:vAlign w:val="center"/>
          </w:tcPr>
          <w:p>
            <w:pPr>
              <w:rPr>
                <w:rFonts w:ascii="仿宋" w:hAnsi="仿宋" w:eastAsia="仿宋"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w:t>
            </w:r>
          </w:p>
        </w:tc>
        <w:tc>
          <w:tcPr>
            <w:tcW w:w="1866" w:type="dxa"/>
            <w:noWrap/>
            <w:vAlign w:val="center"/>
          </w:tcPr>
          <w:p>
            <w:pPr>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财务状况报告</w:t>
            </w:r>
          </w:p>
        </w:tc>
        <w:tc>
          <w:tcPr>
            <w:tcW w:w="4583" w:type="dxa"/>
            <w:noWrap/>
            <w:vAlign w:val="center"/>
          </w:tcPr>
          <w:p>
            <w:pPr>
              <w:rPr>
                <w:rFonts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rPr>
              <w:t>提供202</w:t>
            </w:r>
            <w:r>
              <w:rPr>
                <w:rFonts w:hint="eastAsia" w:ascii="仿宋" w:hAnsi="仿宋" w:eastAsia="仿宋" w:cs="Times New Roman"/>
                <w:color w:val="auto"/>
                <w:kern w:val="28"/>
                <w:sz w:val="24"/>
                <w:szCs w:val="24"/>
                <w:highlight w:val="none"/>
                <w:lang w:val="en-US" w:eastAsia="zh-CN"/>
              </w:rPr>
              <w:t>1</w:t>
            </w:r>
            <w:r>
              <w:rPr>
                <w:rFonts w:hint="eastAsia" w:ascii="仿宋" w:hAnsi="仿宋" w:eastAsia="仿宋" w:cs="Times New Roman"/>
                <w:color w:val="auto"/>
                <w:kern w:val="28"/>
                <w:sz w:val="24"/>
                <w:szCs w:val="24"/>
                <w:highlight w:val="none"/>
              </w:rPr>
              <w:t>年度或202</w:t>
            </w:r>
            <w:r>
              <w:rPr>
                <w:rFonts w:hint="eastAsia" w:ascii="仿宋" w:hAnsi="仿宋" w:eastAsia="仿宋" w:cs="Times New Roman"/>
                <w:color w:val="auto"/>
                <w:kern w:val="28"/>
                <w:sz w:val="24"/>
                <w:szCs w:val="24"/>
                <w:highlight w:val="none"/>
                <w:lang w:val="en-US" w:eastAsia="zh-CN"/>
              </w:rPr>
              <w:t>2</w:t>
            </w:r>
            <w:r>
              <w:rPr>
                <w:rFonts w:hint="eastAsia" w:ascii="仿宋" w:hAnsi="仿宋" w:eastAsia="仿宋" w:cs="Times New Roman"/>
                <w:color w:val="auto"/>
                <w:kern w:val="28"/>
                <w:sz w:val="24"/>
                <w:szCs w:val="24"/>
                <w:highlight w:val="none"/>
              </w:rPr>
              <w:t>年度经审计的财务报告（包括</w:t>
            </w:r>
            <w:r>
              <w:rPr>
                <w:rFonts w:hint="eastAsia" w:ascii="仿宋" w:hAnsi="仿宋" w:eastAsia="仿宋" w:cs="Times New Roman"/>
                <w:color w:val="auto"/>
                <w:kern w:val="28"/>
                <w:sz w:val="24"/>
                <w:szCs w:val="24"/>
                <w:highlight w:val="none"/>
                <w:lang w:eastAsia="zh-CN"/>
              </w:rPr>
              <w:t>“四表一注”，即</w:t>
            </w:r>
            <w:r>
              <w:rPr>
                <w:rFonts w:hint="eastAsia" w:ascii="仿宋" w:hAnsi="仿宋" w:eastAsia="仿宋" w:cs="Times New Roman"/>
                <w:color w:val="auto"/>
                <w:kern w:val="28"/>
                <w:sz w:val="24"/>
                <w:szCs w:val="24"/>
                <w:highlight w:val="none"/>
              </w:rPr>
              <w:t>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tc>
        <w:tc>
          <w:tcPr>
            <w:tcW w:w="748" w:type="dxa"/>
            <w:noWrap/>
            <w:vAlign w:val="center"/>
          </w:tcPr>
          <w:p>
            <w:pPr>
              <w:rPr>
                <w:rFonts w:ascii="仿宋" w:hAnsi="仿宋" w:eastAsia="仿宋" w:cs="Times New Roman"/>
                <w:b/>
                <w:bCs/>
                <w:color w:val="auto"/>
                <w:sz w:val="24"/>
                <w:szCs w:val="24"/>
                <w:highlight w:val="none"/>
              </w:rPr>
            </w:pPr>
          </w:p>
        </w:tc>
        <w:tc>
          <w:tcPr>
            <w:tcW w:w="977" w:type="dxa"/>
            <w:noWrap/>
            <w:vAlign w:val="center"/>
          </w:tcPr>
          <w:p>
            <w:pPr>
              <w:rPr>
                <w:rFonts w:ascii="仿宋" w:hAnsi="仿宋" w:eastAsia="仿宋"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3</w:t>
            </w:r>
          </w:p>
        </w:tc>
        <w:tc>
          <w:tcPr>
            <w:tcW w:w="1866" w:type="dxa"/>
            <w:noWrap/>
            <w:vAlign w:val="center"/>
          </w:tcPr>
          <w:p>
            <w:pPr>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社保缴纳证明</w:t>
            </w:r>
          </w:p>
        </w:tc>
        <w:tc>
          <w:tcPr>
            <w:tcW w:w="4583" w:type="dxa"/>
            <w:noWrap/>
            <w:vAlign w:val="center"/>
          </w:tcPr>
          <w:p>
            <w:pPr>
              <w:rPr>
                <w:rFonts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rPr>
              <w:t>提供递交投标文件截止之日前一年内任意一个月的社会保障资金缴存单据或社保机构开具的社会保险参保缴费情况证明。依法不需要缴纳社会保障资金的投标人应提供相关证明文件。</w:t>
            </w:r>
          </w:p>
        </w:tc>
        <w:tc>
          <w:tcPr>
            <w:tcW w:w="748" w:type="dxa"/>
            <w:noWrap/>
            <w:vAlign w:val="center"/>
          </w:tcPr>
          <w:p>
            <w:pPr>
              <w:rPr>
                <w:rFonts w:ascii="仿宋" w:hAnsi="仿宋" w:eastAsia="仿宋" w:cs="Times New Roman"/>
                <w:b/>
                <w:bCs/>
                <w:color w:val="auto"/>
                <w:sz w:val="24"/>
                <w:szCs w:val="24"/>
                <w:highlight w:val="none"/>
              </w:rPr>
            </w:pPr>
          </w:p>
        </w:tc>
        <w:tc>
          <w:tcPr>
            <w:tcW w:w="977" w:type="dxa"/>
            <w:noWrap/>
            <w:vAlign w:val="center"/>
          </w:tcPr>
          <w:p>
            <w:pPr>
              <w:rPr>
                <w:rFonts w:ascii="仿宋" w:hAnsi="仿宋" w:eastAsia="仿宋"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4</w:t>
            </w:r>
          </w:p>
        </w:tc>
        <w:tc>
          <w:tcPr>
            <w:tcW w:w="1866" w:type="dxa"/>
            <w:noWrap/>
            <w:vAlign w:val="center"/>
          </w:tcPr>
          <w:p>
            <w:pPr>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税收缴纳证明</w:t>
            </w:r>
          </w:p>
        </w:tc>
        <w:tc>
          <w:tcPr>
            <w:tcW w:w="4583" w:type="dxa"/>
            <w:noWrap/>
            <w:vAlign w:val="center"/>
          </w:tcPr>
          <w:p>
            <w:pPr>
              <w:rPr>
                <w:rFonts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rPr>
              <w:t>提供递交投标文件截止之日前一年内任意一个月的依法缴纳税收的相关凭据</w:t>
            </w:r>
            <w:r>
              <w:rPr>
                <w:rFonts w:hint="eastAsia" w:ascii="仿宋" w:hAnsi="仿宋" w:eastAsia="仿宋" w:cs="Times New Roman"/>
                <w:b/>
                <w:bCs/>
                <w:color w:val="auto"/>
                <w:kern w:val="28"/>
                <w:sz w:val="24"/>
                <w:szCs w:val="24"/>
                <w:highlight w:val="none"/>
              </w:rPr>
              <w:t>（时间以税款所属日期为准、税种须同时包含增值税和企业所得税）</w:t>
            </w:r>
            <w:r>
              <w:rPr>
                <w:rFonts w:hint="eastAsia" w:ascii="仿宋" w:hAnsi="仿宋" w:eastAsia="仿宋" w:cs="Times New Roman"/>
                <w:color w:val="auto"/>
                <w:kern w:val="28"/>
                <w:sz w:val="24"/>
                <w:szCs w:val="24"/>
                <w:highlight w:val="none"/>
              </w:rPr>
              <w:t>，凭据应有税务机关或代收机关的公章或业务专用章。依法免税或无须缴纳税收的投标人，应提供相应证明文件。</w:t>
            </w:r>
          </w:p>
        </w:tc>
        <w:tc>
          <w:tcPr>
            <w:tcW w:w="748" w:type="dxa"/>
            <w:noWrap/>
            <w:vAlign w:val="center"/>
          </w:tcPr>
          <w:p>
            <w:pPr>
              <w:rPr>
                <w:rFonts w:ascii="仿宋" w:hAnsi="仿宋" w:eastAsia="仿宋" w:cs="Times New Roman"/>
                <w:b/>
                <w:bCs/>
                <w:color w:val="auto"/>
                <w:sz w:val="24"/>
                <w:szCs w:val="24"/>
                <w:highlight w:val="none"/>
              </w:rPr>
            </w:pPr>
          </w:p>
        </w:tc>
        <w:tc>
          <w:tcPr>
            <w:tcW w:w="977" w:type="dxa"/>
            <w:noWrap/>
            <w:vAlign w:val="center"/>
          </w:tcPr>
          <w:p>
            <w:pPr>
              <w:rPr>
                <w:rFonts w:ascii="仿宋" w:hAnsi="仿宋" w:eastAsia="仿宋"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5</w:t>
            </w:r>
          </w:p>
        </w:tc>
        <w:tc>
          <w:tcPr>
            <w:tcW w:w="1866" w:type="dxa"/>
            <w:noWrap/>
            <w:vAlign w:val="center"/>
          </w:tcPr>
          <w:p>
            <w:pPr>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信用记录</w:t>
            </w:r>
          </w:p>
        </w:tc>
        <w:tc>
          <w:tcPr>
            <w:tcW w:w="4583" w:type="dxa"/>
            <w:noWrap/>
            <w:vAlign w:val="center"/>
          </w:tcPr>
          <w:p>
            <w:pP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提供《供应商信用记录书面声明函》（按格式填写，提供原件）。经查，投标人未被列入“信用中国”网站记录的“失信被执行人”或“重大税收违法案件当事人”名单；不处于“中国政府采购网”记录的“政府采购严重违法失信行为记录名单”中的禁止参加政府采购活动期间。</w:t>
            </w:r>
          </w:p>
        </w:tc>
        <w:tc>
          <w:tcPr>
            <w:tcW w:w="748" w:type="dxa"/>
            <w:noWrap/>
            <w:vAlign w:val="center"/>
          </w:tcPr>
          <w:p>
            <w:pPr>
              <w:rPr>
                <w:rFonts w:ascii="仿宋" w:hAnsi="仿宋" w:eastAsia="仿宋" w:cs="Times New Roman"/>
                <w:b/>
                <w:bCs/>
                <w:color w:val="auto"/>
                <w:sz w:val="24"/>
                <w:szCs w:val="24"/>
                <w:highlight w:val="none"/>
              </w:rPr>
            </w:pPr>
          </w:p>
        </w:tc>
        <w:tc>
          <w:tcPr>
            <w:tcW w:w="977" w:type="dxa"/>
            <w:noWrap/>
            <w:vAlign w:val="center"/>
          </w:tcPr>
          <w:p>
            <w:pPr>
              <w:rPr>
                <w:rFonts w:ascii="仿宋" w:hAnsi="仿宋" w:eastAsia="仿宋"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6</w:t>
            </w:r>
          </w:p>
        </w:tc>
        <w:tc>
          <w:tcPr>
            <w:tcW w:w="1866" w:type="dxa"/>
            <w:noWrap/>
            <w:vAlign w:val="center"/>
          </w:tcPr>
          <w:p>
            <w:pPr>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控股管理关系</w:t>
            </w:r>
          </w:p>
        </w:tc>
        <w:tc>
          <w:tcPr>
            <w:tcW w:w="4583" w:type="dxa"/>
            <w:noWrap/>
            <w:vAlign w:val="center"/>
          </w:tcPr>
          <w:p>
            <w:pP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提供直接控股和管理关系清单。若与其他</w:t>
            </w:r>
          </w:p>
          <w:p>
            <w:pP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投标人存在单位负责人为同一人或者存在直接控股、管理关系的，则投标无效。</w:t>
            </w:r>
          </w:p>
        </w:tc>
        <w:tc>
          <w:tcPr>
            <w:tcW w:w="748" w:type="dxa"/>
            <w:noWrap/>
            <w:vAlign w:val="center"/>
          </w:tcPr>
          <w:p>
            <w:pPr>
              <w:rPr>
                <w:rFonts w:ascii="仿宋" w:hAnsi="仿宋" w:eastAsia="仿宋" w:cs="Times New Roman"/>
                <w:b/>
                <w:bCs/>
                <w:color w:val="auto"/>
                <w:sz w:val="24"/>
                <w:szCs w:val="24"/>
                <w:highlight w:val="none"/>
              </w:rPr>
            </w:pPr>
          </w:p>
        </w:tc>
        <w:tc>
          <w:tcPr>
            <w:tcW w:w="977" w:type="dxa"/>
            <w:noWrap/>
            <w:vAlign w:val="center"/>
          </w:tcPr>
          <w:p>
            <w:pPr>
              <w:rPr>
                <w:rFonts w:ascii="仿宋" w:hAnsi="仿宋" w:eastAsia="仿宋"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1866" w:type="dxa"/>
            <w:noWrap/>
            <w:vAlign w:val="center"/>
          </w:tcPr>
          <w:p>
            <w:pPr>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书面声明</w:t>
            </w:r>
          </w:p>
        </w:tc>
        <w:tc>
          <w:tcPr>
            <w:tcW w:w="4583" w:type="dxa"/>
            <w:noWrap/>
            <w:vAlign w:val="center"/>
          </w:tcPr>
          <w:p>
            <w:pP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提供书面声明，包括声明具有履行合同所必需的设备和专业技术能力；未为本项目提供整体设计、规范编制或者项目管理、监理、检测等服务。</w:t>
            </w:r>
          </w:p>
        </w:tc>
        <w:tc>
          <w:tcPr>
            <w:tcW w:w="748" w:type="dxa"/>
            <w:noWrap/>
            <w:vAlign w:val="center"/>
          </w:tcPr>
          <w:p>
            <w:pPr>
              <w:rPr>
                <w:rFonts w:ascii="仿宋" w:hAnsi="仿宋" w:eastAsia="仿宋" w:cs="Times New Roman"/>
                <w:b/>
                <w:bCs/>
                <w:color w:val="auto"/>
                <w:sz w:val="24"/>
                <w:szCs w:val="24"/>
                <w:highlight w:val="none"/>
              </w:rPr>
            </w:pPr>
          </w:p>
        </w:tc>
        <w:tc>
          <w:tcPr>
            <w:tcW w:w="977" w:type="dxa"/>
            <w:noWrap/>
            <w:vAlign w:val="center"/>
          </w:tcPr>
          <w:p>
            <w:pPr>
              <w:rPr>
                <w:rFonts w:ascii="仿宋" w:hAnsi="仿宋" w:eastAsia="仿宋"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866" w:type="dxa"/>
            <w:noWrap/>
            <w:vAlign w:val="center"/>
          </w:tcPr>
          <w:p>
            <w:pPr>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法定代表人授权委托书</w:t>
            </w:r>
          </w:p>
        </w:tc>
        <w:tc>
          <w:tcPr>
            <w:tcW w:w="4583" w:type="dxa"/>
            <w:noWrap/>
            <w:vAlign w:val="center"/>
          </w:tcPr>
          <w:p>
            <w:pPr>
              <w:rPr>
                <w:rFonts w:hint="eastAsia"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rPr>
              <w:t>法定代表人参加投标的，须提供本人身份证复印件（附在资格证明文件中）；法定代表人授权他人参加投标的，须提供法定代表人授权委托书。招标文件中凡是需要法定代表人盖章之处，非法人单位的负责人均参照执行。</w:t>
            </w:r>
          </w:p>
          <w:p>
            <w:pPr>
              <w:rPr>
                <w:rFonts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lang w:eastAsia="zh-CN"/>
              </w:rPr>
              <w:t>法人的</w:t>
            </w:r>
            <w:r>
              <w:rPr>
                <w:rFonts w:hint="eastAsia" w:ascii="仿宋" w:hAnsi="仿宋" w:eastAsia="仿宋" w:cs="Times New Roman"/>
                <w:color w:val="auto"/>
                <w:kern w:val="28"/>
                <w:sz w:val="24"/>
                <w:szCs w:val="24"/>
                <w:highlight w:val="none"/>
              </w:rPr>
              <w:t>分支机构参与投标时，</w:t>
            </w:r>
            <w:r>
              <w:rPr>
                <w:rFonts w:hint="eastAsia" w:ascii="仿宋" w:hAnsi="仿宋" w:eastAsia="仿宋" w:cs="Times New Roman"/>
                <w:color w:val="auto"/>
                <w:kern w:val="28"/>
                <w:sz w:val="24"/>
                <w:szCs w:val="24"/>
                <w:highlight w:val="none"/>
                <w:lang w:eastAsia="zh-CN"/>
              </w:rPr>
              <w:t>除提供《</w:t>
            </w:r>
            <w:r>
              <w:rPr>
                <w:rFonts w:hint="eastAsia" w:ascii="仿宋" w:hAnsi="仿宋" w:eastAsia="仿宋" w:cs="Times New Roman"/>
                <w:color w:val="auto"/>
                <w:kern w:val="28"/>
                <w:sz w:val="24"/>
                <w:szCs w:val="24"/>
                <w:highlight w:val="none"/>
              </w:rPr>
              <w:t>法定代表人授权委托书</w:t>
            </w:r>
            <w:r>
              <w:rPr>
                <w:rFonts w:hint="eastAsia" w:ascii="仿宋" w:hAnsi="仿宋" w:eastAsia="仿宋" w:cs="Times New Roman"/>
                <w:color w:val="auto"/>
                <w:kern w:val="28"/>
                <w:sz w:val="24"/>
                <w:szCs w:val="24"/>
                <w:highlight w:val="none"/>
                <w:lang w:eastAsia="zh-CN"/>
              </w:rPr>
              <w:t>》外，还须同时提供总公司给分支机构</w:t>
            </w:r>
            <w:r>
              <w:rPr>
                <w:rFonts w:hint="eastAsia" w:ascii="仿宋" w:hAnsi="仿宋" w:eastAsia="仿宋" w:cs="Times New Roman"/>
                <w:color w:val="auto"/>
                <w:kern w:val="28"/>
                <w:sz w:val="24"/>
                <w:szCs w:val="24"/>
                <w:highlight w:val="none"/>
              </w:rPr>
              <w:t>出具的授权书。</w:t>
            </w:r>
          </w:p>
        </w:tc>
        <w:tc>
          <w:tcPr>
            <w:tcW w:w="748" w:type="dxa"/>
            <w:noWrap/>
            <w:vAlign w:val="center"/>
          </w:tcPr>
          <w:p>
            <w:pPr>
              <w:rPr>
                <w:rFonts w:ascii="仿宋" w:hAnsi="仿宋" w:eastAsia="仿宋" w:cs="Times New Roman"/>
                <w:b/>
                <w:bCs/>
                <w:color w:val="auto"/>
                <w:sz w:val="24"/>
                <w:szCs w:val="24"/>
                <w:highlight w:val="none"/>
              </w:rPr>
            </w:pPr>
          </w:p>
        </w:tc>
        <w:tc>
          <w:tcPr>
            <w:tcW w:w="977" w:type="dxa"/>
            <w:noWrap/>
            <w:vAlign w:val="center"/>
          </w:tcPr>
          <w:p>
            <w:pPr>
              <w:rPr>
                <w:rFonts w:ascii="仿宋" w:hAnsi="仿宋" w:eastAsia="仿宋" w:cs="Times New Roman"/>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866" w:type="dxa"/>
            <w:noWrap/>
            <w:vAlign w:val="center"/>
          </w:tcPr>
          <w:p>
            <w:pPr>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本项目不接受联合体投标，不允许分包</w:t>
            </w:r>
          </w:p>
        </w:tc>
        <w:tc>
          <w:tcPr>
            <w:tcW w:w="4583" w:type="dxa"/>
            <w:noWrap/>
            <w:vAlign w:val="center"/>
          </w:tcPr>
          <w:p>
            <w:pP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投标人应提供《非联合体不分包投标声明》，视为独立投标，不分包。</w:t>
            </w:r>
          </w:p>
        </w:tc>
        <w:tc>
          <w:tcPr>
            <w:tcW w:w="748" w:type="dxa"/>
            <w:noWrap/>
            <w:vAlign w:val="center"/>
          </w:tcPr>
          <w:p>
            <w:pPr>
              <w:rPr>
                <w:rFonts w:ascii="仿宋" w:hAnsi="仿宋" w:eastAsia="仿宋" w:cs="Times New Roman"/>
                <w:b/>
                <w:bCs/>
                <w:color w:val="auto"/>
                <w:sz w:val="24"/>
                <w:szCs w:val="24"/>
                <w:highlight w:val="none"/>
              </w:rPr>
            </w:pPr>
          </w:p>
        </w:tc>
        <w:tc>
          <w:tcPr>
            <w:tcW w:w="977" w:type="dxa"/>
            <w:noWrap/>
            <w:vAlign w:val="center"/>
          </w:tcPr>
          <w:p>
            <w:pPr>
              <w:rPr>
                <w:color w:val="auto"/>
                <w:highlight w:val="none"/>
              </w:rPr>
            </w:pPr>
          </w:p>
          <w:p>
            <w:pPr>
              <w:pStyle w:val="9"/>
              <w:spacing w:before="0"/>
              <w:rPr>
                <w:color w:val="auto"/>
                <w:highlight w:val="none"/>
              </w:rPr>
            </w:pP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906" w:type="dxa"/>
            <w:gridSpan w:val="5"/>
            <w:noWrap/>
            <w:vAlign w:val="center"/>
          </w:tcPr>
          <w:p>
            <w:pPr>
              <w:rPr>
                <w:rFonts w:ascii="仿宋" w:hAnsi="仿宋" w:eastAsia="仿宋" w:cs="Times New Roman"/>
                <w:b/>
                <w:bCs/>
                <w:color w:val="auto"/>
                <w:kern w:val="0"/>
                <w:sz w:val="24"/>
                <w:szCs w:val="24"/>
                <w:highlight w:val="none"/>
              </w:rPr>
            </w:pPr>
            <w:r>
              <w:rPr>
                <w:rFonts w:hint="eastAsia" w:ascii="仿宋" w:hAnsi="仿宋" w:eastAsia="仿宋" w:cs="仿宋"/>
                <w:b/>
                <w:bCs/>
                <w:color w:val="auto"/>
                <w:kern w:val="0"/>
                <w:sz w:val="24"/>
                <w:szCs w:val="24"/>
                <w:highlight w:val="none"/>
              </w:rPr>
              <w:t>资格审查小组成员：（签字或盖章）</w:t>
            </w:r>
          </w:p>
          <w:p>
            <w:pPr>
              <w:rPr>
                <w:rFonts w:ascii="仿宋" w:hAnsi="仿宋" w:eastAsia="仿宋" w:cs="Times New Roman"/>
                <w:b/>
                <w:bCs/>
                <w:color w:val="auto"/>
                <w:sz w:val="24"/>
                <w:szCs w:val="24"/>
                <w:highlight w:val="none"/>
              </w:rPr>
            </w:pPr>
          </w:p>
        </w:tc>
      </w:tr>
    </w:tbl>
    <w:p>
      <w:pPr>
        <w:pStyle w:val="4"/>
        <w:spacing w:line="500" w:lineRule="exact"/>
        <w:rPr>
          <w:rFonts w:ascii="华文仿宋" w:cs="Times New Roman"/>
          <w:color w:val="auto"/>
          <w:sz w:val="28"/>
          <w:szCs w:val="28"/>
          <w:highlight w:val="none"/>
        </w:rPr>
      </w:pPr>
      <w:bookmarkStart w:id="477" w:name="_Toc22969"/>
      <w:bookmarkStart w:id="478" w:name="_Toc22102"/>
      <w:bookmarkStart w:id="479" w:name="_Toc2809"/>
      <w:bookmarkStart w:id="480" w:name="_Toc28896"/>
      <w:bookmarkStart w:id="481" w:name="_Toc3725"/>
      <w:bookmarkStart w:id="482" w:name="_Toc16965"/>
      <w:bookmarkStart w:id="483" w:name="_Toc2712"/>
      <w:bookmarkStart w:id="484" w:name="_Toc25181"/>
      <w:bookmarkStart w:id="485" w:name="_Toc28947"/>
      <w:bookmarkStart w:id="486" w:name="_Toc1559"/>
      <w:bookmarkStart w:id="487" w:name="_Toc18735"/>
      <w:bookmarkStart w:id="488" w:name="_Toc3753"/>
      <w:bookmarkStart w:id="489" w:name="_Toc26027"/>
      <w:bookmarkStart w:id="490" w:name="_Toc25093"/>
      <w:bookmarkStart w:id="491" w:name="_Toc1691"/>
      <w:bookmarkStart w:id="492" w:name="_Toc27374"/>
      <w:bookmarkStart w:id="493" w:name="_Toc5945"/>
      <w:bookmarkStart w:id="494" w:name="_Toc32718"/>
      <w:bookmarkStart w:id="495" w:name="_Toc3842"/>
      <w:bookmarkStart w:id="496" w:name="_Toc14358"/>
      <w:bookmarkStart w:id="497" w:name="_Toc8359"/>
      <w:bookmarkStart w:id="498" w:name="_Toc29773"/>
      <w:r>
        <w:rPr>
          <w:rFonts w:hint="eastAsia" w:ascii="华文仿宋" w:hAnsi="华文仿宋" w:cs="华文仿宋"/>
          <w:color w:val="auto"/>
          <w:sz w:val="28"/>
          <w:szCs w:val="28"/>
          <w:highlight w:val="none"/>
        </w:rPr>
        <w:t>二、符合性审查</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spacing w:line="500" w:lineRule="exact"/>
        <w:ind w:firstLine="566" w:firstLineChars="200"/>
        <w:jc w:val="center"/>
        <w:rPr>
          <w:rFonts w:cs="Times New Roman"/>
          <w:b/>
          <w:bCs/>
          <w:color w:val="auto"/>
          <w:highlight w:val="none"/>
        </w:rPr>
      </w:pPr>
      <w:r>
        <w:rPr>
          <w:rFonts w:hint="eastAsia" w:cs="华文仿宋"/>
          <w:b/>
          <w:bCs/>
          <w:color w:val="auto"/>
          <w:highlight w:val="none"/>
        </w:rPr>
        <w:t>符合性审查表</w:t>
      </w:r>
    </w:p>
    <w:tbl>
      <w:tblPr>
        <w:tblStyle w:val="24"/>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460"/>
        <w:gridCol w:w="4200"/>
        <w:gridCol w:w="81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pPr>
              <w:spacing w:line="320" w:lineRule="exact"/>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2460" w:type="dxa"/>
            <w:noWrap/>
            <w:vAlign w:val="center"/>
          </w:tcPr>
          <w:p>
            <w:pPr>
              <w:spacing w:line="320" w:lineRule="exact"/>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符合性审查项</w:t>
            </w:r>
          </w:p>
        </w:tc>
        <w:tc>
          <w:tcPr>
            <w:tcW w:w="4200" w:type="dxa"/>
            <w:noWrap/>
            <w:vAlign w:val="center"/>
          </w:tcPr>
          <w:p>
            <w:pPr>
              <w:spacing w:line="320" w:lineRule="exact"/>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通过条件</w:t>
            </w:r>
          </w:p>
        </w:tc>
        <w:tc>
          <w:tcPr>
            <w:tcW w:w="815" w:type="dxa"/>
            <w:noWrap/>
            <w:vAlign w:val="center"/>
          </w:tcPr>
          <w:p>
            <w:pPr>
              <w:spacing w:line="320" w:lineRule="exact"/>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结论</w:t>
            </w:r>
          </w:p>
        </w:tc>
        <w:tc>
          <w:tcPr>
            <w:tcW w:w="990" w:type="dxa"/>
            <w:noWrap/>
            <w:vAlign w:val="center"/>
          </w:tcPr>
          <w:p>
            <w:pPr>
              <w:spacing w:line="320" w:lineRule="exact"/>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73"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460" w:type="dxa"/>
            <w:noWrap/>
            <w:vAlign w:val="center"/>
          </w:tcPr>
          <w:p>
            <w:pPr>
              <w:spacing w:line="32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投标文件语言及有效期</w:t>
            </w:r>
          </w:p>
        </w:tc>
        <w:tc>
          <w:tcPr>
            <w:tcW w:w="4200" w:type="dxa"/>
            <w:noWrap/>
            <w:vAlign w:val="center"/>
          </w:tcPr>
          <w:p>
            <w:pPr>
              <w:spacing w:line="32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投标文件语言及有效期符合招标文件要求。</w:t>
            </w:r>
          </w:p>
        </w:tc>
        <w:tc>
          <w:tcPr>
            <w:tcW w:w="815" w:type="dxa"/>
            <w:noWrap/>
            <w:vAlign w:val="center"/>
          </w:tcPr>
          <w:p>
            <w:pPr>
              <w:spacing w:line="320" w:lineRule="exact"/>
              <w:jc w:val="center"/>
              <w:rPr>
                <w:rFonts w:ascii="仿宋" w:hAnsi="仿宋" w:eastAsia="仿宋" w:cs="仿宋"/>
                <w:b/>
                <w:bCs/>
                <w:color w:val="auto"/>
                <w:kern w:val="0"/>
                <w:sz w:val="24"/>
                <w:szCs w:val="24"/>
                <w:highlight w:val="none"/>
              </w:rPr>
            </w:pPr>
          </w:p>
        </w:tc>
        <w:tc>
          <w:tcPr>
            <w:tcW w:w="990" w:type="dxa"/>
            <w:noWrap/>
            <w:vAlign w:val="center"/>
          </w:tcPr>
          <w:p>
            <w:pPr>
              <w:spacing w:line="320" w:lineRule="exact"/>
              <w:jc w:val="center"/>
              <w:rPr>
                <w:rFonts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73"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2460" w:type="dxa"/>
            <w:noWrap/>
            <w:vAlign w:val="center"/>
          </w:tcPr>
          <w:p>
            <w:pPr>
              <w:spacing w:line="32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投标文件封面、投标函、法定代表人授权委托书三处的项目名称、项目编号、标段（如有）</w:t>
            </w:r>
          </w:p>
        </w:tc>
        <w:tc>
          <w:tcPr>
            <w:tcW w:w="4200" w:type="dxa"/>
            <w:noWrap/>
            <w:vAlign w:val="center"/>
          </w:tcPr>
          <w:p>
            <w:pPr>
              <w:spacing w:line="32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三处均无遗漏，且与所投项目名称、项目编号、标段（如有）一致。</w:t>
            </w:r>
          </w:p>
        </w:tc>
        <w:tc>
          <w:tcPr>
            <w:tcW w:w="815" w:type="dxa"/>
            <w:noWrap/>
            <w:vAlign w:val="center"/>
          </w:tcPr>
          <w:p>
            <w:pPr>
              <w:spacing w:line="320" w:lineRule="exact"/>
              <w:jc w:val="center"/>
              <w:rPr>
                <w:rFonts w:ascii="仿宋" w:hAnsi="仿宋" w:eastAsia="仿宋" w:cs="仿宋"/>
                <w:b/>
                <w:bCs/>
                <w:color w:val="auto"/>
                <w:kern w:val="0"/>
                <w:sz w:val="24"/>
                <w:szCs w:val="24"/>
                <w:highlight w:val="none"/>
              </w:rPr>
            </w:pPr>
          </w:p>
        </w:tc>
        <w:tc>
          <w:tcPr>
            <w:tcW w:w="990" w:type="dxa"/>
            <w:noWrap/>
            <w:vAlign w:val="center"/>
          </w:tcPr>
          <w:p>
            <w:pPr>
              <w:spacing w:line="320" w:lineRule="exact"/>
              <w:jc w:val="center"/>
              <w:rPr>
                <w:rFonts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2460" w:type="dxa"/>
            <w:noWrap/>
            <w:vAlign w:val="center"/>
          </w:tcPr>
          <w:p>
            <w:pPr>
              <w:spacing w:line="32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投标文件签署、盖章</w:t>
            </w:r>
          </w:p>
        </w:tc>
        <w:tc>
          <w:tcPr>
            <w:tcW w:w="4200" w:type="dxa"/>
            <w:noWrap/>
            <w:vAlign w:val="center"/>
          </w:tcPr>
          <w:p>
            <w:pPr>
              <w:spacing w:line="320" w:lineRule="exact"/>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均按招标文件要求签字、盖章（评分标准中要求提供的证明材料除外）。</w:t>
            </w:r>
          </w:p>
        </w:tc>
        <w:tc>
          <w:tcPr>
            <w:tcW w:w="815" w:type="dxa"/>
            <w:noWrap/>
            <w:vAlign w:val="center"/>
          </w:tcPr>
          <w:p>
            <w:pPr>
              <w:spacing w:line="320" w:lineRule="exact"/>
              <w:jc w:val="center"/>
              <w:rPr>
                <w:rFonts w:ascii="仿宋" w:hAnsi="仿宋" w:eastAsia="仿宋" w:cs="仿宋"/>
                <w:b/>
                <w:bCs/>
                <w:color w:val="auto"/>
                <w:kern w:val="0"/>
                <w:sz w:val="24"/>
                <w:szCs w:val="24"/>
                <w:highlight w:val="none"/>
              </w:rPr>
            </w:pPr>
          </w:p>
        </w:tc>
        <w:tc>
          <w:tcPr>
            <w:tcW w:w="990" w:type="dxa"/>
            <w:noWrap/>
            <w:vAlign w:val="center"/>
          </w:tcPr>
          <w:p>
            <w:pPr>
              <w:spacing w:line="320" w:lineRule="exact"/>
              <w:jc w:val="center"/>
              <w:rPr>
                <w:rFonts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2460"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开标一览表</w:t>
            </w:r>
          </w:p>
        </w:tc>
        <w:tc>
          <w:tcPr>
            <w:tcW w:w="4200" w:type="dxa"/>
            <w:noWrap/>
            <w:vAlign w:val="center"/>
          </w:tcPr>
          <w:p>
            <w:pPr>
              <w:spacing w:line="32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（1）投标报价符合唯一性要求：</w:t>
            </w:r>
          </w:p>
          <w:p>
            <w:pPr>
              <w:spacing w:line="32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（2）开标一览表填写符合要求；</w:t>
            </w:r>
          </w:p>
          <w:p>
            <w:pPr>
              <w:spacing w:line="320"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（3）计量单位、报价货币均符合招标文件要求；</w:t>
            </w:r>
          </w:p>
          <w:p>
            <w:pPr>
              <w:spacing w:line="320" w:lineRule="exact"/>
              <w:jc w:val="left"/>
              <w:rPr>
                <w:rFonts w:ascii="仿宋" w:hAnsi="仿宋" w:eastAsia="仿宋" w:cs="仿宋"/>
                <w:color w:val="auto"/>
                <w:highlight w:val="none"/>
              </w:rPr>
            </w:pPr>
            <w:r>
              <w:rPr>
                <w:rFonts w:hint="eastAsia" w:ascii="仿宋" w:hAnsi="仿宋" w:eastAsia="仿宋" w:cs="仿宋"/>
                <w:color w:val="auto"/>
                <w:kern w:val="0"/>
                <w:sz w:val="24"/>
                <w:szCs w:val="24"/>
                <w:highlight w:val="none"/>
              </w:rPr>
              <w:t>（4）未超出采购预算或招标文件规定的最高限价。</w:t>
            </w:r>
          </w:p>
        </w:tc>
        <w:tc>
          <w:tcPr>
            <w:tcW w:w="815" w:type="dxa"/>
            <w:noWrap/>
            <w:vAlign w:val="center"/>
          </w:tcPr>
          <w:p>
            <w:pPr>
              <w:spacing w:line="320" w:lineRule="exact"/>
              <w:jc w:val="center"/>
              <w:rPr>
                <w:rFonts w:ascii="仿宋" w:hAnsi="仿宋" w:eastAsia="仿宋" w:cs="仿宋"/>
                <w:b/>
                <w:bCs/>
                <w:color w:val="auto"/>
                <w:kern w:val="0"/>
                <w:sz w:val="24"/>
                <w:szCs w:val="24"/>
                <w:highlight w:val="none"/>
              </w:rPr>
            </w:pPr>
          </w:p>
        </w:tc>
        <w:tc>
          <w:tcPr>
            <w:tcW w:w="990" w:type="dxa"/>
            <w:noWrap/>
            <w:vAlign w:val="center"/>
          </w:tcPr>
          <w:p>
            <w:pPr>
              <w:spacing w:line="320" w:lineRule="exact"/>
              <w:jc w:val="center"/>
              <w:rPr>
                <w:rFonts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73"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2460" w:type="dxa"/>
            <w:noWrap/>
            <w:vAlign w:val="center"/>
          </w:tcPr>
          <w:p>
            <w:pPr>
              <w:spacing w:line="36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供应商承诺书</w:t>
            </w:r>
          </w:p>
        </w:tc>
        <w:tc>
          <w:tcPr>
            <w:tcW w:w="4200" w:type="dxa"/>
            <w:noWrap/>
            <w:vAlign w:val="center"/>
          </w:tcPr>
          <w:p>
            <w:pPr>
              <w:spacing w:line="370" w:lineRule="exact"/>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完全理解并接受《质量安全责任承诺书》、《拒绝政府采购领域商业贿赂承诺书》。</w:t>
            </w:r>
          </w:p>
        </w:tc>
        <w:tc>
          <w:tcPr>
            <w:tcW w:w="815" w:type="dxa"/>
            <w:noWrap/>
            <w:vAlign w:val="center"/>
          </w:tcPr>
          <w:p>
            <w:pPr>
              <w:spacing w:line="320" w:lineRule="exact"/>
              <w:jc w:val="center"/>
              <w:rPr>
                <w:rFonts w:ascii="仿宋" w:hAnsi="仿宋" w:eastAsia="仿宋" w:cs="仿宋"/>
                <w:b/>
                <w:bCs/>
                <w:color w:val="auto"/>
                <w:kern w:val="0"/>
                <w:sz w:val="24"/>
                <w:szCs w:val="24"/>
                <w:highlight w:val="none"/>
              </w:rPr>
            </w:pPr>
          </w:p>
        </w:tc>
        <w:tc>
          <w:tcPr>
            <w:tcW w:w="990" w:type="dxa"/>
            <w:noWrap/>
            <w:vAlign w:val="center"/>
          </w:tcPr>
          <w:p>
            <w:pPr>
              <w:spacing w:line="320" w:lineRule="exact"/>
              <w:jc w:val="center"/>
              <w:rPr>
                <w:rFonts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3"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2460" w:type="dxa"/>
            <w:noWrap/>
            <w:vAlign w:val="center"/>
          </w:tcPr>
          <w:p>
            <w:pPr>
              <w:spacing w:line="360" w:lineRule="exact"/>
              <w:jc w:val="center"/>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技术服务要求</w:t>
            </w:r>
          </w:p>
        </w:tc>
        <w:tc>
          <w:tcPr>
            <w:tcW w:w="4200" w:type="dxa"/>
            <w:noWrap/>
            <w:vAlign w:val="center"/>
          </w:tcPr>
          <w:p>
            <w:pPr>
              <w:spacing w:line="370" w:lineRule="exact"/>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完全理解并接受对合格投标人、合格的货物、工程或服务要求，根据投标人投标文件《技术服务偏差表》，结合招标文件第四章“★”标识的实质性要求没有负偏离。</w:t>
            </w:r>
          </w:p>
        </w:tc>
        <w:tc>
          <w:tcPr>
            <w:tcW w:w="815" w:type="dxa"/>
            <w:noWrap/>
            <w:vAlign w:val="center"/>
          </w:tcPr>
          <w:p>
            <w:pPr>
              <w:spacing w:line="320" w:lineRule="exact"/>
              <w:jc w:val="center"/>
              <w:rPr>
                <w:rFonts w:ascii="仿宋" w:hAnsi="仿宋" w:eastAsia="仿宋" w:cs="仿宋"/>
                <w:b/>
                <w:bCs/>
                <w:color w:val="auto"/>
                <w:kern w:val="0"/>
                <w:sz w:val="24"/>
                <w:szCs w:val="24"/>
                <w:highlight w:val="none"/>
              </w:rPr>
            </w:pPr>
          </w:p>
        </w:tc>
        <w:tc>
          <w:tcPr>
            <w:tcW w:w="990" w:type="dxa"/>
            <w:noWrap/>
            <w:vAlign w:val="center"/>
          </w:tcPr>
          <w:p>
            <w:pPr>
              <w:spacing w:line="320" w:lineRule="exact"/>
              <w:jc w:val="center"/>
              <w:rPr>
                <w:rFonts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2460" w:type="dxa"/>
            <w:noWrap/>
            <w:vAlign w:val="center"/>
          </w:tcPr>
          <w:p>
            <w:pPr>
              <w:spacing w:line="360" w:lineRule="exact"/>
              <w:jc w:val="center"/>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无其他招标文件或法规明确规定响应无效的事项</w:t>
            </w:r>
          </w:p>
        </w:tc>
        <w:tc>
          <w:tcPr>
            <w:tcW w:w="4200" w:type="dxa"/>
            <w:noWrap/>
            <w:vAlign w:val="center"/>
          </w:tcPr>
          <w:p>
            <w:pPr>
              <w:spacing w:line="370" w:lineRule="exact"/>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没有不符合招标文件规定的被视为无效响应的其他条款。</w:t>
            </w:r>
          </w:p>
        </w:tc>
        <w:tc>
          <w:tcPr>
            <w:tcW w:w="815" w:type="dxa"/>
            <w:noWrap/>
            <w:vAlign w:val="center"/>
          </w:tcPr>
          <w:p>
            <w:pPr>
              <w:spacing w:line="320" w:lineRule="exact"/>
              <w:jc w:val="center"/>
              <w:rPr>
                <w:rFonts w:ascii="仿宋" w:hAnsi="仿宋" w:eastAsia="仿宋" w:cs="仿宋"/>
                <w:b/>
                <w:bCs/>
                <w:color w:val="auto"/>
                <w:kern w:val="0"/>
                <w:sz w:val="24"/>
                <w:szCs w:val="24"/>
                <w:highlight w:val="none"/>
              </w:rPr>
            </w:pPr>
          </w:p>
        </w:tc>
        <w:tc>
          <w:tcPr>
            <w:tcW w:w="990" w:type="dxa"/>
            <w:noWrap/>
            <w:vAlign w:val="center"/>
          </w:tcPr>
          <w:p>
            <w:pPr>
              <w:spacing w:line="320" w:lineRule="exact"/>
              <w:jc w:val="center"/>
              <w:rPr>
                <w:rFonts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73"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2460" w:type="dxa"/>
            <w:noWrap/>
            <w:vAlign w:val="center"/>
          </w:tcPr>
          <w:p>
            <w:pPr>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合同条款响应</w:t>
            </w:r>
          </w:p>
        </w:tc>
        <w:tc>
          <w:tcPr>
            <w:tcW w:w="4200" w:type="dxa"/>
            <w:noWrap/>
            <w:vAlign w:val="center"/>
          </w:tcPr>
          <w:p>
            <w:pPr>
              <w:spacing w:line="32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有完全理解并接受招标文件合同条款要求的描述。</w:t>
            </w:r>
          </w:p>
        </w:tc>
        <w:tc>
          <w:tcPr>
            <w:tcW w:w="815" w:type="dxa"/>
            <w:noWrap/>
            <w:vAlign w:val="center"/>
          </w:tcPr>
          <w:p>
            <w:pPr>
              <w:spacing w:line="320" w:lineRule="exact"/>
              <w:jc w:val="center"/>
              <w:rPr>
                <w:rFonts w:ascii="仿宋" w:hAnsi="仿宋" w:eastAsia="仿宋" w:cs="仿宋"/>
                <w:b/>
                <w:bCs/>
                <w:color w:val="auto"/>
                <w:kern w:val="0"/>
                <w:sz w:val="24"/>
                <w:szCs w:val="24"/>
                <w:highlight w:val="none"/>
              </w:rPr>
            </w:pPr>
          </w:p>
        </w:tc>
        <w:tc>
          <w:tcPr>
            <w:tcW w:w="990" w:type="dxa"/>
            <w:noWrap/>
            <w:vAlign w:val="center"/>
          </w:tcPr>
          <w:p>
            <w:pPr>
              <w:spacing w:line="320" w:lineRule="exact"/>
              <w:jc w:val="center"/>
              <w:rPr>
                <w:rFonts w:ascii="仿宋" w:hAnsi="仿宋" w:eastAsia="仿宋" w:cs="仿宋"/>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9038" w:type="dxa"/>
            <w:gridSpan w:val="5"/>
            <w:noWrap/>
            <w:vAlign w:val="center"/>
          </w:tcPr>
          <w:p>
            <w:pPr>
              <w:spacing w:line="240" w:lineRule="auto"/>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评标委员会成员：（签字或盖章）</w:t>
            </w:r>
          </w:p>
        </w:tc>
      </w:tr>
    </w:tbl>
    <w:p>
      <w:pPr>
        <w:pStyle w:val="9"/>
        <w:rPr>
          <w:color w:val="auto"/>
          <w:highlight w:val="none"/>
        </w:rPr>
      </w:pPr>
      <w:bookmarkStart w:id="499" w:name="_Toc31150"/>
      <w:bookmarkStart w:id="500" w:name="_Toc14948"/>
      <w:bookmarkStart w:id="501" w:name="_Toc2387"/>
      <w:bookmarkStart w:id="502" w:name="_Toc4245"/>
      <w:bookmarkStart w:id="503" w:name="_Toc32472"/>
      <w:bookmarkStart w:id="504" w:name="_Toc31415"/>
      <w:bookmarkStart w:id="505" w:name="_Toc32092"/>
      <w:bookmarkStart w:id="506" w:name="_Toc18874"/>
      <w:bookmarkStart w:id="507" w:name="_Toc21485"/>
      <w:bookmarkStart w:id="508" w:name="_Toc20615"/>
      <w:bookmarkStart w:id="509" w:name="_Toc7523"/>
      <w:bookmarkStart w:id="510" w:name="_Toc22846"/>
      <w:bookmarkStart w:id="511" w:name="_Toc7872"/>
      <w:bookmarkStart w:id="512" w:name="_Toc2503"/>
      <w:bookmarkStart w:id="513" w:name="_Toc1938"/>
      <w:bookmarkStart w:id="514" w:name="_Toc12596"/>
      <w:bookmarkStart w:id="515" w:name="_Toc13418"/>
      <w:bookmarkStart w:id="516" w:name="_Toc11613"/>
    </w:p>
    <w:p>
      <w:pPr>
        <w:pStyle w:val="4"/>
        <w:spacing w:line="500" w:lineRule="exact"/>
        <w:rPr>
          <w:rFonts w:cs="Times New Roman"/>
          <w:color w:val="auto"/>
          <w:highlight w:val="none"/>
        </w:rPr>
      </w:pPr>
      <w:bookmarkStart w:id="517" w:name="_Toc27968"/>
      <w:bookmarkStart w:id="518" w:name="_Toc15518"/>
      <w:bookmarkStart w:id="519" w:name="_Toc13365"/>
      <w:bookmarkStart w:id="520" w:name="_Toc31427"/>
      <w:bookmarkStart w:id="521" w:name="_Toc16017"/>
      <w:r>
        <w:rPr>
          <w:rFonts w:hint="eastAsia" w:ascii="华文仿宋" w:hAnsi="华文仿宋" w:cs="华文仿宋"/>
          <w:color w:val="auto"/>
          <w:sz w:val="28"/>
          <w:szCs w:val="28"/>
          <w:highlight w:val="none"/>
        </w:rPr>
        <w:t>三、综合比较与评价</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Start w:id="522" w:name="_Toc8963"/>
      <w:bookmarkStart w:id="523" w:name="_Toc18007"/>
    </w:p>
    <w:bookmarkEnd w:id="522"/>
    <w:bookmarkEnd w:id="523"/>
    <w:p>
      <w:pPr>
        <w:pStyle w:val="14"/>
        <w:jc w:val="center"/>
        <w:rPr>
          <w:rFonts w:ascii="华文仿宋" w:hAnsi="华文仿宋" w:eastAsia="华文仿宋" w:cs="华文仿宋"/>
          <w:b/>
          <w:bCs/>
          <w:color w:val="auto"/>
          <w:sz w:val="28"/>
          <w:szCs w:val="28"/>
          <w:highlight w:val="none"/>
        </w:rPr>
      </w:pPr>
      <w:r>
        <w:rPr>
          <w:rFonts w:hint="eastAsia" w:ascii="华文仿宋" w:hAnsi="华文仿宋" w:eastAsia="华文仿宋" w:cs="华文仿宋"/>
          <w:b/>
          <w:bCs/>
          <w:color w:val="auto"/>
          <w:sz w:val="28"/>
          <w:szCs w:val="28"/>
          <w:highlight w:val="none"/>
        </w:rPr>
        <w:t>评审要素及分值一览表</w:t>
      </w:r>
    </w:p>
    <w:tbl>
      <w:tblPr>
        <w:tblStyle w:val="24"/>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750"/>
        <w:gridCol w:w="6458"/>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70" w:type="dxa"/>
            <w:gridSpan w:val="2"/>
            <w:noWrap w:val="0"/>
            <w:vAlign w:val="center"/>
          </w:tcPr>
          <w:p>
            <w:pPr>
              <w:autoSpaceDE w:val="0"/>
              <w:autoSpaceDN w:val="0"/>
              <w:adjustRightInd w:val="0"/>
              <w:snapToGrid w:val="0"/>
              <w:jc w:val="center"/>
              <w:rPr>
                <w:rFonts w:ascii="仿宋" w:hAnsi="仿宋" w:eastAsia="仿宋" w:cs="仿宋"/>
                <w:b/>
                <w:bCs/>
                <w:color w:val="auto"/>
                <w:sz w:val="24"/>
                <w:szCs w:val="24"/>
                <w:highlight w:val="none"/>
              </w:rPr>
            </w:pPr>
            <w:bookmarkStart w:id="524" w:name="_Toc424636365"/>
            <w:bookmarkStart w:id="525" w:name="_Toc21068"/>
            <w:bookmarkStart w:id="526" w:name="_Toc495014611"/>
            <w:bookmarkStart w:id="527" w:name="_Toc495014920"/>
            <w:bookmarkStart w:id="528" w:name="_Toc495014585"/>
            <w:bookmarkStart w:id="529" w:name="_Toc445306493"/>
            <w:bookmarkStart w:id="530" w:name="_Toc495012771"/>
            <w:bookmarkStart w:id="531" w:name="_Toc495014954"/>
            <w:bookmarkStart w:id="532" w:name="_Toc495014649"/>
            <w:bookmarkStart w:id="533" w:name="_Toc495012821"/>
            <w:bookmarkStart w:id="534" w:name="_Toc27328"/>
            <w:bookmarkStart w:id="535" w:name="_Toc32235"/>
            <w:r>
              <w:rPr>
                <w:rFonts w:hint="eastAsia" w:ascii="仿宋" w:hAnsi="仿宋" w:eastAsia="仿宋" w:cs="仿宋"/>
                <w:b/>
                <w:bCs/>
                <w:color w:val="auto"/>
                <w:sz w:val="24"/>
                <w:szCs w:val="24"/>
                <w:highlight w:val="none"/>
              </w:rPr>
              <w:t>分项</w:t>
            </w:r>
          </w:p>
        </w:tc>
        <w:tc>
          <w:tcPr>
            <w:tcW w:w="6458" w:type="dxa"/>
            <w:vMerge w:val="restart"/>
            <w:noWrap w:val="0"/>
            <w:vAlign w:val="center"/>
          </w:tcPr>
          <w:p>
            <w:pPr>
              <w:autoSpaceDE w:val="0"/>
              <w:autoSpaceDN w:val="0"/>
              <w:adjustRightInd w:val="0"/>
              <w:snapToGrid w:val="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评审要素</w:t>
            </w:r>
          </w:p>
        </w:tc>
        <w:tc>
          <w:tcPr>
            <w:tcW w:w="765" w:type="dxa"/>
            <w:vMerge w:val="restart"/>
            <w:noWrap w:val="0"/>
            <w:vAlign w:val="center"/>
          </w:tcPr>
          <w:p>
            <w:pPr>
              <w:autoSpaceDE w:val="0"/>
              <w:autoSpaceDN w:val="0"/>
              <w:adjustRightInd w:val="0"/>
              <w:snapToGrid w:val="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820" w:type="dxa"/>
            <w:noWrap w:val="0"/>
            <w:vAlign w:val="center"/>
          </w:tcPr>
          <w:p>
            <w:pPr>
              <w:adjustRightInd w:val="0"/>
              <w:snapToGrid w:val="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750" w:type="dxa"/>
            <w:noWrap w:val="0"/>
            <w:vAlign w:val="center"/>
          </w:tcPr>
          <w:p>
            <w:pPr>
              <w:adjustRightInd w:val="0"/>
              <w:snapToGrid w:val="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最高分值</w:t>
            </w:r>
          </w:p>
        </w:tc>
        <w:tc>
          <w:tcPr>
            <w:tcW w:w="6458" w:type="dxa"/>
            <w:vMerge w:val="continue"/>
            <w:noWrap w:val="0"/>
            <w:vAlign w:val="center"/>
          </w:tcPr>
          <w:p>
            <w:pPr>
              <w:adjustRightInd w:val="0"/>
              <w:snapToGrid w:val="0"/>
              <w:ind w:firstLine="486" w:firstLineChars="200"/>
              <w:jc w:val="center"/>
              <w:rPr>
                <w:rFonts w:ascii="仿宋" w:hAnsi="仿宋" w:eastAsia="仿宋" w:cs="仿宋"/>
                <w:bCs/>
                <w:color w:val="auto"/>
                <w:sz w:val="24"/>
                <w:szCs w:val="24"/>
                <w:highlight w:val="none"/>
              </w:rPr>
            </w:pPr>
          </w:p>
        </w:tc>
        <w:tc>
          <w:tcPr>
            <w:tcW w:w="765" w:type="dxa"/>
            <w:vMerge w:val="continue"/>
            <w:noWrap w:val="0"/>
            <w:vAlign w:val="center"/>
          </w:tcPr>
          <w:p>
            <w:pPr>
              <w:adjustRightInd w:val="0"/>
              <w:snapToGrid w:val="0"/>
              <w:ind w:firstLine="486" w:firstLineChars="200"/>
              <w:jc w:val="center"/>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820" w:type="dxa"/>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750" w:type="dxa"/>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6458" w:type="dxa"/>
            <w:noWrap w:val="0"/>
            <w:vAlign w:val="center"/>
          </w:tcPr>
          <w:p>
            <w:pPr>
              <w:keepNext w:val="0"/>
              <w:keepLines w:val="0"/>
              <w:pageBreakBefore w:val="0"/>
              <w:widowControl/>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有效投标人的最低报价</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落实政府采购政策进行价格调整的，以调整后的价格计算</w:t>
            </w:r>
            <w:r>
              <w:rPr>
                <w:rFonts w:hint="eastAsia" w:ascii="仿宋" w:hAnsi="仿宋" w:eastAsia="仿宋" w:cs="仿宋"/>
                <w:b/>
                <w:bCs w:val="0"/>
                <w:color w:val="auto"/>
                <w:sz w:val="24"/>
                <w:szCs w:val="24"/>
                <w:highlight w:val="none"/>
                <w:lang w:eastAsia="zh-CN"/>
              </w:rPr>
              <w:t>）</w:t>
            </w:r>
            <w:r>
              <w:rPr>
                <w:rFonts w:hint="eastAsia" w:ascii="仿宋" w:hAnsi="仿宋" w:eastAsia="仿宋" w:cs="仿宋"/>
                <w:color w:val="auto"/>
                <w:sz w:val="24"/>
                <w:szCs w:val="24"/>
                <w:highlight w:val="none"/>
              </w:rPr>
              <w:t>为基准价得30分，其他各投标人的报价得分按下列公式计算：</w:t>
            </w:r>
          </w:p>
          <w:p>
            <w:pPr>
              <w:keepNext w:val="0"/>
              <w:keepLines w:val="0"/>
              <w:pageBreakBefore w:val="0"/>
              <w:widowControl/>
              <w:kinsoku/>
              <w:wordWrap/>
              <w:overflowPunct/>
              <w:topLinePunct w:val="0"/>
              <w:autoSpaceDE/>
              <w:autoSpaceDN/>
              <w:bidi w:val="0"/>
              <w:spacing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（基准价/投标报价）×30％×100。</w:t>
            </w: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486" w:firstLineChars="200"/>
              <w:textAlignment w:val="auto"/>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0" w:type="dxa"/>
            <w:noWrap w:val="0"/>
            <w:vAlign w:val="center"/>
          </w:tcPr>
          <w:p>
            <w:pPr>
              <w:keepNext w:val="0"/>
              <w:keepLines w:val="0"/>
              <w:pageBreakBefore w:val="0"/>
              <w:widowControl/>
              <w:kinsoku/>
              <w:wordWrap/>
              <w:overflowPunct/>
              <w:topLinePunct w:val="0"/>
              <w:autoSpaceDE/>
              <w:autoSpaceDN/>
              <w:bidi w:val="0"/>
              <w:adjustRightInd w:val="0"/>
              <w:spacing w:afterLines="0" w:line="400" w:lineRule="exact"/>
              <w:jc w:val="center"/>
              <w:textAlignment w:val="auto"/>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技术</w:t>
            </w:r>
            <w:r>
              <w:rPr>
                <w:rFonts w:hint="eastAsia" w:ascii="仿宋" w:hAnsi="仿宋" w:eastAsia="仿宋" w:cs="仿宋"/>
                <w:color w:val="auto"/>
                <w:kern w:val="0"/>
                <w:sz w:val="24"/>
                <w:szCs w:val="24"/>
                <w:highlight w:val="none"/>
              </w:rPr>
              <w:t>参数响应</w:t>
            </w:r>
          </w:p>
        </w:tc>
        <w:tc>
          <w:tcPr>
            <w:tcW w:w="750" w:type="dxa"/>
            <w:noWrap w:val="0"/>
            <w:vAlign w:val="center"/>
          </w:tcPr>
          <w:p>
            <w:pPr>
              <w:keepNext w:val="0"/>
              <w:keepLines w:val="0"/>
              <w:pageBreakBefore w:val="0"/>
              <w:widowControl/>
              <w:kinsoku/>
              <w:wordWrap/>
              <w:overflowPunct/>
              <w:topLinePunct w:val="0"/>
              <w:autoSpaceDE/>
              <w:autoSpaceDN/>
              <w:bidi w:val="0"/>
              <w:snapToGrid w:val="0"/>
              <w:spacing w:afterLines="0"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6458"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Lines="0" w:afterAutospacing="0" w:line="400" w:lineRule="exact"/>
              <w:ind w:right="0" w:right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2"/>
                <w:sz w:val="24"/>
                <w:szCs w:val="28"/>
                <w:highlight w:val="none"/>
                <w:lang w:eastAsia="zh-CN"/>
              </w:rPr>
              <w:t>所投产品技术参数清楚、明确并能逐条响应招标文件第四章“技术参数表”中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项参数</w:t>
            </w:r>
            <w:r>
              <w:rPr>
                <w:rFonts w:hint="eastAsia" w:ascii="仿宋" w:hAnsi="仿宋" w:eastAsia="仿宋" w:cs="仿宋"/>
                <w:color w:val="auto"/>
                <w:kern w:val="2"/>
                <w:sz w:val="24"/>
                <w:szCs w:val="28"/>
                <w:highlight w:val="none"/>
                <w:lang w:eastAsia="zh-CN"/>
              </w:rPr>
              <w:t>要求，得</w:t>
            </w:r>
            <w:r>
              <w:rPr>
                <w:rFonts w:hint="eastAsia" w:ascii="仿宋" w:hAnsi="仿宋" w:eastAsia="仿宋" w:cs="仿宋"/>
                <w:color w:val="auto"/>
                <w:kern w:val="2"/>
                <w:sz w:val="24"/>
                <w:szCs w:val="28"/>
                <w:highlight w:val="none"/>
                <w:lang w:val="en-US" w:eastAsia="zh-CN"/>
              </w:rPr>
              <w:t>24</w:t>
            </w:r>
            <w:r>
              <w:rPr>
                <w:rFonts w:hint="eastAsia" w:ascii="仿宋" w:hAnsi="仿宋" w:eastAsia="仿宋" w:cs="仿宋"/>
                <w:color w:val="auto"/>
                <w:kern w:val="2"/>
                <w:sz w:val="24"/>
                <w:szCs w:val="28"/>
                <w:highlight w:val="none"/>
                <w:lang w:eastAsia="zh-CN"/>
              </w:rPr>
              <w:t>分。▲项</w:t>
            </w:r>
            <w:r>
              <w:rPr>
                <w:rFonts w:hint="eastAsia" w:ascii="仿宋" w:hAnsi="仿宋" w:eastAsia="仿宋" w:cs="仿宋"/>
                <w:color w:val="auto"/>
                <w:sz w:val="24"/>
                <w:szCs w:val="24"/>
                <w:highlight w:val="none"/>
                <w:lang w:val="en-US" w:eastAsia="zh-CN"/>
              </w:rPr>
              <w:t>有一项不满足扣3分，扣完为止。</w:t>
            </w:r>
          </w:p>
          <w:p>
            <w:pPr>
              <w:pStyle w:val="2"/>
              <w:keepNext w:val="0"/>
              <w:keepLines w:val="0"/>
              <w:pageBreakBefore w:val="0"/>
              <w:widowControl/>
              <w:kinsoku/>
              <w:wordWrap/>
              <w:overflowPunct/>
              <w:topLinePunct w:val="0"/>
              <w:autoSpaceDE/>
              <w:autoSpaceDN/>
              <w:bidi w:val="0"/>
              <w:adjustRightInd/>
              <w:snapToGrid/>
              <w:spacing w:afterLines="0"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8"/>
                <w:highlight w:val="none"/>
                <w:lang w:val="en-US" w:eastAsia="zh-CN"/>
              </w:rPr>
              <w:t>2.</w:t>
            </w:r>
            <w:r>
              <w:rPr>
                <w:rFonts w:hint="eastAsia" w:ascii="仿宋" w:hAnsi="仿宋" w:eastAsia="仿宋" w:cs="仿宋"/>
                <w:color w:val="auto"/>
                <w:highlight w:val="none"/>
                <w:lang w:eastAsia="zh-CN"/>
              </w:rPr>
              <w:t>“</w:t>
            </w:r>
            <w:r>
              <w:rPr>
                <w:rFonts w:hint="eastAsia" w:ascii="仿宋" w:hAnsi="仿宋" w:eastAsia="仿宋" w:cs="仿宋"/>
                <w:color w:val="auto"/>
                <w:sz w:val="24"/>
                <w:szCs w:val="24"/>
                <w:highlight w:val="none"/>
                <w:lang w:val="en-US" w:eastAsia="zh-CN"/>
              </w:rPr>
              <w:t>技术参数表”中★</w:t>
            </w:r>
            <w:r>
              <w:rPr>
                <w:rFonts w:hint="eastAsia" w:ascii="仿宋" w:hAnsi="仿宋" w:eastAsia="仿宋" w:cs="仿宋"/>
                <w:color w:val="auto"/>
                <w:sz w:val="24"/>
                <w:szCs w:val="24"/>
                <w:highlight w:val="none"/>
                <w:lang w:eastAsia="zh-CN"/>
              </w:rPr>
              <w:t>项</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项的指标及性能优于招标文件要求，具有实际使用价值的提升，经评标委员会一致认定</w:t>
            </w:r>
            <w:r>
              <w:rPr>
                <w:rFonts w:hint="eastAsia" w:ascii="仿宋" w:hAnsi="仿宋" w:eastAsia="仿宋" w:cs="仿宋"/>
                <w:color w:val="auto"/>
                <w:sz w:val="24"/>
                <w:szCs w:val="24"/>
                <w:highlight w:val="none"/>
                <w:lang w:eastAsia="zh-CN"/>
              </w:rPr>
              <w:t>每项可加</w:t>
            </w:r>
            <w:r>
              <w:rPr>
                <w:rFonts w:hint="eastAsia" w:ascii="仿宋" w:hAnsi="仿宋" w:eastAsia="仿宋" w:cs="仿宋"/>
                <w:color w:val="auto"/>
                <w:sz w:val="24"/>
                <w:szCs w:val="24"/>
                <w:highlight w:val="none"/>
                <w:lang w:val="en-US" w:eastAsia="zh-CN"/>
              </w:rPr>
              <w:t>分。满分</w:t>
            </w: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lang w:val="en-US" w:eastAsia="zh-CN"/>
              </w:rPr>
              <w:t>分。</w:t>
            </w:r>
          </w:p>
          <w:p>
            <w:pPr>
              <w:pStyle w:val="2"/>
              <w:keepNext w:val="0"/>
              <w:keepLines w:val="0"/>
              <w:pageBreakBefore w:val="0"/>
              <w:widowControl/>
              <w:kinsoku/>
              <w:wordWrap/>
              <w:overflowPunct/>
              <w:topLinePunct w:val="0"/>
              <w:autoSpaceDE/>
              <w:autoSpaceDN/>
              <w:bidi w:val="0"/>
              <w:adjustRightInd/>
              <w:snapToGrid/>
              <w:spacing w:afterLines="0" w:line="400" w:lineRule="exact"/>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r>
              <w:rPr>
                <w:rFonts w:hint="eastAsia" w:ascii="仿宋" w:hAnsi="仿宋" w:eastAsia="仿宋" w:cs="仿宋"/>
                <w:color w:val="auto"/>
                <w:sz w:val="24"/>
                <w:szCs w:val="24"/>
                <w:highlight w:val="none"/>
                <w:lang w:eastAsia="zh-CN"/>
              </w:rPr>
              <w:t>参数的技术指标和性能优于招标文件要求，</w:t>
            </w:r>
            <w:r>
              <w:rPr>
                <w:rFonts w:hint="eastAsia" w:ascii="仿宋" w:hAnsi="仿宋" w:eastAsia="仿宋" w:cs="仿宋"/>
                <w:color w:val="auto"/>
                <w:sz w:val="24"/>
                <w:szCs w:val="24"/>
                <w:highlight w:val="none"/>
                <w:lang w:val="en-US" w:eastAsia="zh-CN"/>
              </w:rPr>
              <w:t>每项加1分，</w:t>
            </w:r>
            <w:r>
              <w:rPr>
                <w:rFonts w:hint="eastAsia" w:ascii="仿宋" w:hAnsi="仿宋" w:eastAsia="仿宋" w:cs="仿宋"/>
                <w:color w:val="auto"/>
                <w:sz w:val="24"/>
                <w:szCs w:val="24"/>
                <w:highlight w:val="none"/>
                <w:lang w:eastAsia="zh-CN"/>
              </w:rPr>
              <w:t>满分</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lang w:val="en-US" w:eastAsia="zh-CN"/>
              </w:rPr>
              <w:t>；</w:t>
            </w:r>
          </w:p>
          <w:p>
            <w:pPr>
              <w:pStyle w:val="45"/>
              <w:keepNext w:val="0"/>
              <w:keepLines w:val="0"/>
              <w:pageBreakBefore w:val="0"/>
              <w:widowControl/>
              <w:numPr>
                <w:ilvl w:val="-1"/>
                <w:numId w:val="0"/>
              </w:numPr>
              <w:kinsoku/>
              <w:wordWrap/>
              <w:overflowPunct/>
              <w:topLinePunct w:val="0"/>
              <w:autoSpaceDE/>
              <w:autoSpaceDN/>
              <w:bidi w:val="0"/>
              <w:adjustRightInd/>
              <w:snapToGrid/>
              <w:spacing w:afterLines="0" w:line="400" w:lineRule="exact"/>
              <w:ind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）▲项参数的技术指标和性能优于招标文件要求，</w:t>
            </w:r>
            <w:r>
              <w:rPr>
                <w:rFonts w:hint="eastAsia" w:ascii="仿宋" w:hAnsi="仿宋" w:eastAsia="仿宋" w:cs="仿宋"/>
                <w:color w:val="auto"/>
                <w:sz w:val="24"/>
                <w:szCs w:val="24"/>
                <w:highlight w:val="none"/>
                <w:lang w:val="en-US" w:eastAsia="zh-CN"/>
              </w:rPr>
              <w:t>每项加1分，满分4分</w:t>
            </w:r>
            <w:r>
              <w:rPr>
                <w:rFonts w:hint="eastAsia" w:ascii="仿宋" w:hAnsi="仿宋" w:eastAsia="仿宋" w:cs="仿宋"/>
                <w:color w:val="auto"/>
                <w:sz w:val="24"/>
                <w:szCs w:val="24"/>
                <w:highlight w:val="none"/>
                <w:lang w:eastAsia="zh-CN"/>
              </w:rPr>
              <w:t>。</w:t>
            </w:r>
          </w:p>
          <w:p>
            <w:pPr>
              <w:pStyle w:val="45"/>
              <w:keepNext w:val="0"/>
              <w:keepLines w:val="0"/>
              <w:pageBreakBefore w:val="0"/>
              <w:widowControl/>
              <w:numPr>
                <w:ilvl w:val="-1"/>
                <w:numId w:val="0"/>
              </w:numPr>
              <w:kinsoku/>
              <w:wordWrap/>
              <w:overflowPunct/>
              <w:topLinePunct w:val="0"/>
              <w:autoSpaceDE/>
              <w:autoSpaceDN/>
              <w:bidi w:val="0"/>
              <w:adjustRightInd/>
              <w:snapToGrid/>
              <w:spacing w:afterLines="0" w:line="400" w:lineRule="exact"/>
              <w:ind w:firstLine="0" w:firstLineChars="0"/>
              <w:jc w:val="left"/>
              <w:textAlignment w:val="auto"/>
              <w:rPr>
                <w:rFonts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bidi="ar"/>
              </w:rPr>
              <w:t>备注：所有指标</w:t>
            </w:r>
            <w:r>
              <w:rPr>
                <w:rFonts w:hint="eastAsia" w:ascii="仿宋" w:hAnsi="仿宋" w:eastAsia="仿宋" w:cs="仿宋"/>
                <w:color w:val="auto"/>
                <w:sz w:val="24"/>
                <w:szCs w:val="24"/>
                <w:highlight w:val="none"/>
                <w:lang w:eastAsia="zh-CN" w:bidi="ar"/>
              </w:rPr>
              <w:t>须有佐证材料，否则不予</w:t>
            </w:r>
            <w:r>
              <w:rPr>
                <w:rFonts w:hint="eastAsia" w:ascii="仿宋" w:hAnsi="仿宋" w:eastAsia="仿宋" w:cs="仿宋"/>
                <w:color w:val="auto"/>
                <w:sz w:val="24"/>
                <w:szCs w:val="24"/>
                <w:highlight w:val="none"/>
                <w:lang w:val="en-US" w:eastAsia="zh-CN" w:bidi="ar"/>
              </w:rPr>
              <w:t>得分或</w:t>
            </w:r>
            <w:r>
              <w:rPr>
                <w:rFonts w:hint="eastAsia" w:ascii="仿宋" w:hAnsi="仿宋" w:eastAsia="仿宋" w:cs="仿宋"/>
                <w:color w:val="auto"/>
                <w:sz w:val="24"/>
                <w:szCs w:val="24"/>
                <w:highlight w:val="none"/>
                <w:lang w:eastAsia="zh-CN" w:bidi="ar"/>
              </w:rPr>
              <w:t>加分</w:t>
            </w:r>
            <w:r>
              <w:rPr>
                <w:rFonts w:hint="eastAsia" w:ascii="仿宋" w:hAnsi="仿宋" w:eastAsia="仿宋" w:cs="仿宋"/>
                <w:b/>
                <w:bCs/>
                <w:color w:val="auto"/>
                <w:sz w:val="24"/>
                <w:szCs w:val="24"/>
                <w:highlight w:val="none"/>
                <w:lang w:val="en-US" w:eastAsia="zh-CN"/>
              </w:rPr>
              <w:t>（佐证材料例如：第三方检测报告、制造厂商检验报告、产品彩页、官网功能截图等内容）</w:t>
            </w:r>
            <w:r>
              <w:rPr>
                <w:rFonts w:hint="eastAsia" w:ascii="仿宋" w:hAnsi="仿宋" w:eastAsia="仿宋" w:cs="仿宋"/>
                <w:color w:val="auto"/>
                <w:sz w:val="24"/>
                <w:szCs w:val="24"/>
                <w:highlight w:val="none"/>
                <w:lang w:eastAsia="zh-CN" w:bidi="ar"/>
              </w:rPr>
              <w:t>。</w:t>
            </w: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486" w:firstLineChars="200"/>
              <w:textAlignment w:val="auto"/>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820" w:type="dxa"/>
            <w:noWrap w:val="0"/>
            <w:vAlign w:val="center"/>
          </w:tcPr>
          <w:p>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实施方案</w:t>
            </w:r>
          </w:p>
        </w:tc>
        <w:tc>
          <w:tcPr>
            <w:tcW w:w="750" w:type="dxa"/>
            <w:noWrap w:val="0"/>
            <w:vAlign w:val="center"/>
          </w:tcPr>
          <w:p>
            <w:pPr>
              <w:keepNext w:val="0"/>
              <w:keepLines w:val="0"/>
              <w:pageBreakBefore w:val="0"/>
              <w:widowControl/>
              <w:kinsoku/>
              <w:wordWrap/>
              <w:overflowPunct/>
              <w:topLinePunct w:val="0"/>
              <w:autoSpaceDE/>
              <w:autoSpaceDN/>
              <w:bidi w:val="0"/>
              <w:snapToGrid w:val="0"/>
              <w:spacing w:afterLines="0" w:line="400" w:lineRule="exact"/>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6458" w:type="dxa"/>
            <w:noWrap w:val="0"/>
            <w:vAlign w:val="center"/>
          </w:tcPr>
          <w:p>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pPr>
              <w:keepNext w:val="0"/>
              <w:keepLines w:val="0"/>
              <w:pageBreakBefore w:val="0"/>
              <w:widowControl/>
              <w:kinsoku/>
              <w:wordWrap/>
              <w:overflowPunct/>
              <w:topLinePunct w:val="0"/>
              <w:autoSpaceDE/>
              <w:autoSpaceDN/>
              <w:bidi w:val="0"/>
              <w:adjustRightInd w:val="0"/>
              <w:snapToGrid/>
              <w:spacing w:afterLines="0" w:line="40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投标人需针对本项目提供完整的项目实施方案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内容包含：</w:t>
            </w:r>
            <w:r>
              <w:rPr>
                <w:rFonts w:hint="eastAsia" w:ascii="仿宋" w:hAnsi="仿宋" w:eastAsia="仿宋" w:cs="仿宋"/>
                <w:bCs/>
                <w:color w:val="auto"/>
                <w:sz w:val="24"/>
                <w:szCs w:val="24"/>
                <w:highlight w:val="none"/>
                <w:lang w:val="en-US" w:eastAsia="zh-CN"/>
              </w:rPr>
              <w:t>①</w:t>
            </w:r>
            <w:r>
              <w:rPr>
                <w:rFonts w:hint="eastAsia" w:ascii="仿宋" w:hAnsi="仿宋" w:eastAsia="仿宋" w:cs="仿宋"/>
                <w:color w:val="auto"/>
                <w:kern w:val="0"/>
                <w:sz w:val="24"/>
                <w:szCs w:val="24"/>
                <w:highlight w:val="none"/>
              </w:rPr>
              <w:t>供货组织</w:t>
            </w:r>
            <w:r>
              <w:rPr>
                <w:rFonts w:hint="eastAsia" w:ascii="仿宋" w:hAnsi="仿宋" w:eastAsia="仿宋" w:cs="仿宋"/>
                <w:color w:val="auto"/>
                <w:kern w:val="0"/>
                <w:sz w:val="24"/>
                <w:szCs w:val="24"/>
                <w:highlight w:val="none"/>
                <w:lang w:val="en-US" w:eastAsia="zh-CN"/>
              </w:rPr>
              <w:t>及</w:t>
            </w:r>
            <w:r>
              <w:rPr>
                <w:rFonts w:hint="eastAsia" w:ascii="仿宋" w:hAnsi="仿宋" w:eastAsia="仿宋" w:cs="仿宋"/>
                <w:bCs/>
                <w:color w:val="auto"/>
                <w:sz w:val="24"/>
                <w:szCs w:val="24"/>
                <w:highlight w:val="none"/>
                <w:lang w:val="en-US" w:eastAsia="zh-CN"/>
              </w:rPr>
              <w:t>进度安排</w:t>
            </w:r>
            <w:r>
              <w:rPr>
                <w:rFonts w:hint="eastAsia" w:ascii="仿宋" w:hAnsi="仿宋" w:eastAsia="仿宋" w:cs="仿宋"/>
                <w:color w:val="auto"/>
                <w:kern w:val="0"/>
                <w:sz w:val="24"/>
                <w:szCs w:val="24"/>
                <w:highlight w:val="none"/>
                <w:lang w:val="en-US" w:eastAsia="zh-CN"/>
              </w:rPr>
              <w:t>②对接及运输方案③</w:t>
            </w:r>
            <w:r>
              <w:rPr>
                <w:rFonts w:hint="eastAsia" w:ascii="仿宋" w:hAnsi="仿宋" w:eastAsia="仿宋" w:cs="仿宋"/>
                <w:color w:val="auto"/>
                <w:kern w:val="0"/>
                <w:sz w:val="24"/>
                <w:szCs w:val="24"/>
                <w:highlight w:val="none"/>
              </w:rPr>
              <w:t>安装</w:t>
            </w:r>
            <w:r>
              <w:rPr>
                <w:rFonts w:hint="eastAsia" w:ascii="仿宋" w:hAnsi="仿宋" w:eastAsia="仿宋" w:cs="仿宋"/>
                <w:color w:val="auto"/>
                <w:kern w:val="0"/>
                <w:sz w:val="24"/>
                <w:szCs w:val="24"/>
                <w:highlight w:val="none"/>
                <w:lang w:val="en-US" w:eastAsia="zh-CN"/>
              </w:rPr>
              <w:t>调试</w:t>
            </w:r>
            <w:r>
              <w:rPr>
                <w:rFonts w:hint="eastAsia" w:ascii="仿宋" w:hAnsi="仿宋" w:eastAsia="仿宋" w:cs="仿宋"/>
                <w:color w:val="auto"/>
                <w:kern w:val="0"/>
                <w:sz w:val="24"/>
                <w:szCs w:val="24"/>
                <w:highlight w:val="none"/>
              </w:rPr>
              <w:t>方案</w:t>
            </w:r>
            <w:r>
              <w:rPr>
                <w:rFonts w:hint="eastAsia" w:ascii="仿宋" w:hAnsi="仿宋" w:eastAsia="仿宋" w:cs="仿宋"/>
                <w:color w:val="auto"/>
                <w:kern w:val="0"/>
                <w:sz w:val="24"/>
                <w:szCs w:val="24"/>
                <w:highlight w:val="none"/>
                <w:lang w:val="en-US" w:eastAsia="zh-CN"/>
              </w:rPr>
              <w:t>④</w:t>
            </w:r>
            <w:r>
              <w:rPr>
                <w:rFonts w:hint="eastAsia" w:ascii="仿宋" w:hAnsi="仿宋" w:eastAsia="仿宋" w:cs="仿宋"/>
                <w:color w:val="auto"/>
                <w:kern w:val="0"/>
                <w:sz w:val="24"/>
                <w:szCs w:val="24"/>
                <w:highlight w:val="none"/>
              </w:rPr>
              <w:t>人员</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lang w:bidi="ar"/>
              </w:rPr>
              <w:t>物力调配</w:t>
            </w:r>
            <w:r>
              <w:rPr>
                <w:rFonts w:hint="eastAsia" w:ascii="仿宋" w:hAnsi="仿宋" w:eastAsia="仿宋" w:cs="仿宋"/>
                <w:color w:val="auto"/>
                <w:kern w:val="0"/>
                <w:sz w:val="24"/>
                <w:szCs w:val="24"/>
                <w:highlight w:val="none"/>
              </w:rPr>
              <w:t>安排。</w:t>
            </w:r>
          </w:p>
          <w:p>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pPr>
              <w:keepNext w:val="0"/>
              <w:keepLines w:val="0"/>
              <w:pageBreakBefore w:val="0"/>
              <w:widowControl/>
              <w:kinsoku/>
              <w:wordWrap/>
              <w:overflowPunct/>
              <w:topLinePunct w:val="0"/>
              <w:autoSpaceDE/>
              <w:autoSpaceDN/>
              <w:bidi w:val="0"/>
              <w:adjustRightInd w:val="0"/>
              <w:snapToGrid/>
              <w:spacing w:afterLines="0" w:line="400" w:lineRule="exact"/>
              <w:jc w:val="lef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方案必须全面，对评审内容中的各项要求有详细描述；</w:t>
            </w:r>
          </w:p>
          <w:p>
            <w:pPr>
              <w:keepNext w:val="0"/>
              <w:keepLines w:val="0"/>
              <w:pageBreakBefore w:val="0"/>
              <w:widowControl/>
              <w:kinsoku/>
              <w:wordWrap/>
              <w:overflowPunct/>
              <w:topLinePunct w:val="0"/>
              <w:autoSpaceDE/>
              <w:autoSpaceDN/>
              <w:bidi w:val="0"/>
              <w:adjustRightInd w:val="0"/>
              <w:snapToGrid/>
              <w:spacing w:afterLines="0" w:line="400" w:lineRule="exact"/>
              <w:jc w:val="lef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可实施性：切合本项目实际情况，提出步骤清晰、合理的方案；</w:t>
            </w:r>
          </w:p>
          <w:p>
            <w:pPr>
              <w:keepNext w:val="0"/>
              <w:keepLines w:val="0"/>
              <w:pageBreakBefore w:val="0"/>
              <w:widowControl/>
              <w:kinsoku/>
              <w:wordWrap/>
              <w:overflowPunct/>
              <w:topLinePunct w:val="0"/>
              <w:autoSpaceDE/>
              <w:autoSpaceDN/>
              <w:bidi w:val="0"/>
              <w:adjustRightInd w:val="0"/>
              <w:snapToGrid/>
              <w:spacing w:afterLines="0" w:line="400" w:lineRule="exact"/>
              <w:jc w:val="lef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pPr>
              <w:keepNext w:val="0"/>
              <w:keepLines w:val="0"/>
              <w:pageBreakBefore w:val="0"/>
              <w:widowControl/>
              <w:kinsoku/>
              <w:wordWrap/>
              <w:overflowPunct/>
              <w:topLinePunct w:val="0"/>
              <w:autoSpaceDE/>
              <w:autoSpaceDN/>
              <w:bidi w:val="0"/>
              <w:adjustRightInd w:val="0"/>
              <w:snapToGrid/>
              <w:spacing w:afterLines="0"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三、赋分依据（满分6分）</w:t>
            </w:r>
          </w:p>
          <w:p>
            <w:pPr>
              <w:keepNext w:val="0"/>
              <w:keepLines w:val="0"/>
              <w:pageBreakBefore w:val="0"/>
              <w:widowControl/>
              <w:kinsoku/>
              <w:wordWrap/>
              <w:overflowPunct/>
              <w:topLinePunct w:val="0"/>
              <w:autoSpaceDE/>
              <w:autoSpaceDN/>
              <w:bidi w:val="0"/>
              <w:adjustRightInd w:val="0"/>
              <w:snapToGrid/>
              <w:spacing w:afterLines="0"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kern w:val="0"/>
                <w:sz w:val="24"/>
                <w:szCs w:val="24"/>
                <w:highlight w:val="none"/>
              </w:rPr>
              <w:t>供货组织</w:t>
            </w:r>
            <w:r>
              <w:rPr>
                <w:rFonts w:hint="eastAsia" w:ascii="仿宋" w:hAnsi="仿宋" w:eastAsia="仿宋" w:cs="仿宋"/>
                <w:color w:val="auto"/>
                <w:kern w:val="0"/>
                <w:sz w:val="24"/>
                <w:szCs w:val="24"/>
                <w:highlight w:val="none"/>
                <w:lang w:val="en-US" w:eastAsia="zh-CN"/>
              </w:rPr>
              <w:t>及</w:t>
            </w:r>
            <w:r>
              <w:rPr>
                <w:rFonts w:hint="eastAsia" w:ascii="仿宋" w:hAnsi="仿宋" w:eastAsia="仿宋" w:cs="仿宋"/>
                <w:bCs/>
                <w:color w:val="auto"/>
                <w:sz w:val="24"/>
                <w:szCs w:val="24"/>
                <w:highlight w:val="none"/>
                <w:lang w:val="en-US" w:eastAsia="zh-CN"/>
              </w:rPr>
              <w:t>进度安排</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pPr>
              <w:keepNext w:val="0"/>
              <w:keepLines w:val="0"/>
              <w:pageBreakBefore w:val="0"/>
              <w:widowControl/>
              <w:kinsoku/>
              <w:wordWrap/>
              <w:overflowPunct/>
              <w:topLinePunct w:val="0"/>
              <w:autoSpaceDE/>
              <w:autoSpaceDN/>
              <w:bidi w:val="0"/>
              <w:adjustRightInd w:val="0"/>
              <w:snapToGrid/>
              <w:spacing w:afterLines="0"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对接</w:t>
            </w:r>
            <w:r>
              <w:rPr>
                <w:rFonts w:hint="eastAsia" w:ascii="仿宋" w:hAnsi="仿宋" w:eastAsia="仿宋" w:cs="仿宋"/>
                <w:color w:val="auto"/>
                <w:kern w:val="0"/>
                <w:sz w:val="24"/>
                <w:szCs w:val="24"/>
                <w:highlight w:val="none"/>
                <w:lang w:val="en-US" w:eastAsia="zh-CN"/>
              </w:rPr>
              <w:t>及运输</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③</w:t>
            </w:r>
            <w:r>
              <w:rPr>
                <w:rFonts w:hint="eastAsia" w:ascii="仿宋" w:hAnsi="仿宋" w:eastAsia="仿宋" w:cs="仿宋"/>
                <w:color w:val="auto"/>
                <w:kern w:val="0"/>
                <w:sz w:val="24"/>
                <w:szCs w:val="24"/>
                <w:highlight w:val="none"/>
              </w:rPr>
              <w:t>安装</w:t>
            </w:r>
            <w:r>
              <w:rPr>
                <w:rFonts w:hint="eastAsia" w:ascii="仿宋" w:hAnsi="仿宋" w:eastAsia="仿宋" w:cs="仿宋"/>
                <w:color w:val="auto"/>
                <w:kern w:val="0"/>
                <w:sz w:val="24"/>
                <w:szCs w:val="24"/>
                <w:highlight w:val="none"/>
                <w:lang w:val="en-US" w:eastAsia="zh-CN"/>
              </w:rPr>
              <w:t>调试</w:t>
            </w:r>
            <w:r>
              <w:rPr>
                <w:rFonts w:hint="eastAsia" w:ascii="仿宋" w:hAnsi="仿宋" w:eastAsia="仿宋" w:cs="仿宋"/>
                <w:color w:val="auto"/>
                <w:kern w:val="0"/>
                <w:sz w:val="24"/>
                <w:szCs w:val="24"/>
                <w:highlight w:val="none"/>
              </w:rPr>
              <w:t>方案</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pacing w:afterLines="0" w:line="400" w:lineRule="exact"/>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④</w:t>
            </w:r>
            <w:r>
              <w:rPr>
                <w:rFonts w:hint="eastAsia" w:ascii="仿宋" w:hAnsi="仿宋" w:eastAsia="仿宋" w:cs="仿宋"/>
                <w:color w:val="auto"/>
                <w:kern w:val="0"/>
                <w:sz w:val="24"/>
                <w:szCs w:val="24"/>
                <w:highlight w:val="none"/>
              </w:rPr>
              <w:t>人员</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lang w:bidi="ar"/>
              </w:rPr>
              <w:t>物力调配</w:t>
            </w:r>
            <w:r>
              <w:rPr>
                <w:rFonts w:hint="eastAsia" w:ascii="仿宋" w:hAnsi="仿宋" w:eastAsia="仿宋" w:cs="仿宋"/>
                <w:color w:val="auto"/>
                <w:kern w:val="0"/>
                <w:sz w:val="24"/>
                <w:szCs w:val="24"/>
                <w:highlight w:val="none"/>
              </w:rPr>
              <w:t>安排</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color w:val="auto"/>
                <w:kern w:val="0"/>
                <w:sz w:val="24"/>
                <w:szCs w:val="24"/>
                <w:highlight w:val="none"/>
                <w:lang w:val="en-US" w:eastAsia="zh-CN"/>
              </w:rPr>
              <w:t>。</w:t>
            </w: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486" w:firstLineChars="200"/>
              <w:textAlignment w:val="auto"/>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820" w:type="dxa"/>
            <w:noWrap w:val="0"/>
            <w:vAlign w:val="center"/>
          </w:tcPr>
          <w:p>
            <w:pPr>
              <w:autoSpaceDE w:val="0"/>
              <w:autoSpaceDN w:val="0"/>
              <w:adjustRightInd w:val="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来源渠道</w:t>
            </w:r>
          </w:p>
        </w:tc>
        <w:tc>
          <w:tcPr>
            <w:tcW w:w="750" w:type="dxa"/>
            <w:noWrap w:val="0"/>
            <w:vAlign w:val="center"/>
          </w:tcPr>
          <w:p>
            <w:pPr>
              <w:autoSpaceDE w:val="0"/>
              <w:autoSpaceDN w:val="0"/>
              <w:adjustRightInd w:val="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p>
        </w:tc>
        <w:tc>
          <w:tcPr>
            <w:tcW w:w="6458" w:type="dxa"/>
            <w:noWrap w:val="0"/>
            <w:vAlign w:val="center"/>
          </w:tcPr>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zh-CN" w:eastAsia="zh-CN"/>
              </w:rPr>
            </w:pPr>
            <w:r>
              <w:rPr>
                <w:rFonts w:hint="eastAsia" w:ascii="仿宋" w:hAnsi="仿宋" w:eastAsia="仿宋" w:cs="仿宋"/>
                <w:b w:val="0"/>
                <w:bCs w:val="0"/>
                <w:color w:val="auto"/>
                <w:kern w:val="0"/>
                <w:sz w:val="24"/>
                <w:szCs w:val="24"/>
                <w:highlight w:val="none"/>
                <w:lang w:val="en-US" w:eastAsia="zh-CN"/>
              </w:rPr>
              <w:t>投标人</w:t>
            </w:r>
            <w:r>
              <w:rPr>
                <w:rFonts w:hint="eastAsia" w:ascii="仿宋" w:hAnsi="仿宋" w:eastAsia="仿宋" w:cs="仿宋"/>
                <w:b w:val="0"/>
                <w:bCs w:val="0"/>
                <w:color w:val="auto"/>
                <w:kern w:val="0"/>
                <w:sz w:val="24"/>
                <w:szCs w:val="24"/>
                <w:highlight w:val="none"/>
                <w:lang w:val="zh-CN" w:eastAsia="zh-CN"/>
              </w:rPr>
              <w:t>提供所投</w:t>
            </w:r>
            <w:r>
              <w:rPr>
                <w:rFonts w:hint="eastAsia" w:ascii="仿宋" w:hAnsi="仿宋" w:eastAsia="仿宋" w:cs="仿宋"/>
                <w:b w:val="0"/>
                <w:bCs w:val="0"/>
                <w:color w:val="auto"/>
                <w:kern w:val="0"/>
                <w:sz w:val="24"/>
                <w:szCs w:val="24"/>
                <w:highlight w:val="none"/>
                <w:lang w:val="en-US" w:eastAsia="zh-CN"/>
              </w:rPr>
              <w:t>空调</w:t>
            </w:r>
            <w:r>
              <w:rPr>
                <w:rFonts w:hint="eastAsia" w:ascii="仿宋" w:hAnsi="仿宋" w:eastAsia="仿宋" w:cs="仿宋"/>
                <w:b w:val="0"/>
                <w:bCs w:val="0"/>
                <w:color w:val="auto"/>
                <w:kern w:val="0"/>
                <w:sz w:val="24"/>
                <w:szCs w:val="24"/>
                <w:highlight w:val="none"/>
                <w:lang w:val="zh-CN" w:eastAsia="zh-CN"/>
              </w:rPr>
              <w:t>的合法来源渠道证明文件（</w:t>
            </w:r>
            <w:r>
              <w:rPr>
                <w:rFonts w:hint="eastAsia" w:ascii="仿宋" w:hAnsi="仿宋" w:eastAsia="仿宋" w:cs="仿宋"/>
                <w:b w:val="0"/>
                <w:bCs w:val="0"/>
                <w:color w:val="auto"/>
                <w:kern w:val="0"/>
                <w:sz w:val="24"/>
                <w:szCs w:val="24"/>
                <w:highlight w:val="none"/>
                <w:lang w:val="en-US" w:eastAsia="zh-CN"/>
              </w:rPr>
              <w:t>例如：</w:t>
            </w:r>
            <w:r>
              <w:rPr>
                <w:rFonts w:hint="eastAsia" w:ascii="仿宋" w:hAnsi="仿宋" w:eastAsia="仿宋" w:cs="仿宋"/>
                <w:b w:val="0"/>
                <w:bCs w:val="0"/>
                <w:color w:val="auto"/>
                <w:kern w:val="0"/>
                <w:sz w:val="24"/>
                <w:szCs w:val="24"/>
                <w:highlight w:val="none"/>
                <w:lang w:val="zh-CN" w:eastAsia="zh-CN"/>
              </w:rPr>
              <w:t>产品制造商授权、销售协议、代理协议</w:t>
            </w:r>
            <w:r>
              <w:rPr>
                <w:rFonts w:hint="eastAsia" w:ascii="仿宋" w:hAnsi="仿宋" w:eastAsia="仿宋" w:cs="仿宋"/>
                <w:b w:val="0"/>
                <w:bCs w:val="0"/>
                <w:color w:val="auto"/>
                <w:kern w:val="0"/>
                <w:sz w:val="24"/>
                <w:szCs w:val="24"/>
                <w:highlight w:val="none"/>
                <w:lang w:val="en-US" w:eastAsia="zh-CN"/>
              </w:rPr>
              <w:t>等证明文件</w:t>
            </w:r>
            <w:r>
              <w:rPr>
                <w:rFonts w:hint="eastAsia" w:ascii="仿宋" w:hAnsi="仿宋" w:eastAsia="仿宋" w:cs="仿宋"/>
                <w:b w:val="0"/>
                <w:bCs w:val="0"/>
                <w:color w:val="auto"/>
                <w:kern w:val="0"/>
                <w:sz w:val="24"/>
                <w:szCs w:val="24"/>
                <w:highlight w:val="none"/>
                <w:lang w:val="zh-CN" w:eastAsia="zh-CN"/>
              </w:rPr>
              <w:t>），提供合法来源渠道证明文件</w:t>
            </w:r>
            <w:r>
              <w:rPr>
                <w:rFonts w:hint="eastAsia" w:ascii="仿宋" w:hAnsi="仿宋" w:eastAsia="仿宋" w:cs="仿宋"/>
                <w:b w:val="0"/>
                <w:bCs w:val="0"/>
                <w:color w:val="auto"/>
                <w:kern w:val="0"/>
                <w:sz w:val="24"/>
                <w:szCs w:val="24"/>
                <w:highlight w:val="none"/>
                <w:lang w:val="en-US" w:eastAsia="zh-CN"/>
              </w:rPr>
              <w:t>得2</w:t>
            </w:r>
            <w:r>
              <w:rPr>
                <w:rFonts w:hint="eastAsia" w:ascii="仿宋" w:hAnsi="仿宋" w:eastAsia="仿宋" w:cs="仿宋"/>
                <w:b w:val="0"/>
                <w:bCs w:val="0"/>
                <w:color w:val="auto"/>
                <w:kern w:val="0"/>
                <w:sz w:val="24"/>
                <w:szCs w:val="24"/>
                <w:highlight w:val="none"/>
                <w:lang w:val="zh-CN" w:eastAsia="zh-CN"/>
              </w:rPr>
              <w:t>分。不提供不</w:t>
            </w:r>
            <w:r>
              <w:rPr>
                <w:rFonts w:hint="eastAsia" w:ascii="仿宋" w:hAnsi="仿宋" w:eastAsia="仿宋" w:cs="仿宋"/>
                <w:b w:val="0"/>
                <w:bCs w:val="0"/>
                <w:color w:val="auto"/>
                <w:kern w:val="0"/>
                <w:sz w:val="24"/>
                <w:szCs w:val="24"/>
                <w:highlight w:val="none"/>
                <w:lang w:val="en-US" w:eastAsia="zh-CN"/>
              </w:rPr>
              <w:t>得</w:t>
            </w:r>
            <w:r>
              <w:rPr>
                <w:rFonts w:hint="eastAsia" w:ascii="仿宋" w:hAnsi="仿宋" w:eastAsia="仿宋" w:cs="仿宋"/>
                <w:b w:val="0"/>
                <w:bCs w:val="0"/>
                <w:color w:val="auto"/>
                <w:kern w:val="0"/>
                <w:sz w:val="24"/>
                <w:szCs w:val="24"/>
                <w:highlight w:val="none"/>
                <w:lang w:val="zh-CN" w:eastAsia="zh-CN"/>
              </w:rPr>
              <w:t>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备注：以加盖投标人公章的证明材料扫描件或复印件为计分依据。</w:t>
            </w:r>
          </w:p>
        </w:tc>
        <w:tc>
          <w:tcPr>
            <w:tcW w:w="76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486" w:firstLineChars="200"/>
              <w:textAlignment w:val="auto"/>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820" w:type="dxa"/>
            <w:noWrap w:val="0"/>
            <w:vAlign w:val="center"/>
          </w:tcPr>
          <w:p>
            <w:pPr>
              <w:adjustRightInd w:val="0"/>
              <w:spacing w:afterLine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质量保证</w:t>
            </w:r>
          </w:p>
        </w:tc>
        <w:tc>
          <w:tcPr>
            <w:tcW w:w="750" w:type="dxa"/>
            <w:noWrap w:val="0"/>
            <w:vAlign w:val="center"/>
          </w:tcPr>
          <w:p>
            <w:pPr>
              <w:snapToGrid/>
              <w:spacing w:afterLine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4.5</w:t>
            </w:r>
          </w:p>
        </w:tc>
        <w:tc>
          <w:tcPr>
            <w:tcW w:w="6458" w:type="dxa"/>
            <w:noWrap w:val="0"/>
            <w:vAlign w:val="center"/>
          </w:tcPr>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根据项目实际需求，提供质量保证方案。内容包含：①产品性能②使用寿命及效果③交货及安装时间。</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1.完整性：方案必须全面，对评审内容中的各项要求有详细描述；</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2.可实施性：切合本项目实际情况，提出步骤清晰、合理的方案；</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3.针对性：方案能够紧扣项目实际情况，内容科学合理。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三、赋分依据（满分4.5分）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①产品性能：每完全满足一个评审标准得0.5分，满分1.5分；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②使用寿命及效果:每完全满足一个评审标准得0.5分，满分1.5分；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③交货及安装时间:每完全满足一个评审标准得0.5分，满分1.5分。</w:t>
            </w:r>
          </w:p>
        </w:tc>
        <w:tc>
          <w:tcPr>
            <w:tcW w:w="765" w:type="dxa"/>
            <w:noWrap w:val="0"/>
            <w:vAlign w:val="center"/>
          </w:tcPr>
          <w:p>
            <w:pPr>
              <w:adjustRightInd w:val="0"/>
              <w:snapToGrid w:val="0"/>
              <w:ind w:firstLine="486" w:firstLineChars="200"/>
              <w:rPr>
                <w:rFonts w:ascii="仿宋" w:hAnsi="仿宋" w:eastAsia="仿宋" w:cs="仿宋"/>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820" w:type="dxa"/>
            <w:noWrap w:val="0"/>
            <w:vAlign w:val="center"/>
          </w:tcPr>
          <w:p>
            <w:pPr>
              <w:adjustRightInd w:val="0"/>
              <w:snapToGrid w:val="0"/>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安全文明施工</w:t>
            </w:r>
          </w:p>
        </w:tc>
        <w:tc>
          <w:tcPr>
            <w:tcW w:w="750" w:type="dxa"/>
            <w:noWrap w:val="0"/>
            <w:vAlign w:val="center"/>
          </w:tcPr>
          <w:p>
            <w:pPr>
              <w:adjustRightInd w:val="0"/>
              <w:snapToGrid w:val="0"/>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6</w:t>
            </w:r>
          </w:p>
        </w:tc>
        <w:tc>
          <w:tcPr>
            <w:tcW w:w="6458" w:type="dxa"/>
            <w:noWrap w:val="0"/>
            <w:vAlign w:val="center"/>
          </w:tcPr>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针对本项目编制具体可行的安全文明施工措施。内容包含：</w:t>
            </w:r>
            <w:r>
              <w:rPr>
                <w:rFonts w:hint="eastAsia" w:ascii="仿宋" w:hAnsi="仿宋" w:eastAsia="仿宋" w:cs="仿宋"/>
                <w:bCs/>
                <w:color w:val="auto"/>
                <w:sz w:val="24"/>
                <w:szCs w:val="24"/>
                <w:highlight w:val="none"/>
                <w:lang w:val="en-US" w:eastAsia="zh-CN"/>
              </w:rPr>
              <w:t>①施工现场环境保护措施②</w:t>
            </w:r>
            <w:r>
              <w:rPr>
                <w:rFonts w:hint="eastAsia" w:ascii="仿宋" w:hAnsi="仿宋" w:eastAsia="仿宋" w:cs="仿宋"/>
                <w:color w:val="auto"/>
                <w:sz w:val="24"/>
                <w:szCs w:val="24"/>
                <w:highlight w:val="none"/>
                <w:lang w:val="en-US" w:eastAsia="zh-CN"/>
              </w:rPr>
              <w:t>文明施工</w:t>
            </w:r>
            <w:r>
              <w:rPr>
                <w:rFonts w:hint="eastAsia" w:ascii="仿宋" w:hAnsi="仿宋" w:eastAsia="仿宋" w:cs="仿宋"/>
                <w:color w:val="auto"/>
                <w:sz w:val="24"/>
                <w:szCs w:val="24"/>
                <w:highlight w:val="none"/>
              </w:rPr>
              <w:t>措施</w:t>
            </w:r>
            <w:r>
              <w:rPr>
                <w:rFonts w:hint="eastAsia" w:ascii="仿宋" w:hAnsi="仿宋" w:eastAsia="仿宋" w:cs="仿宋"/>
                <w:bCs/>
                <w:color w:val="auto"/>
                <w:sz w:val="24"/>
                <w:szCs w:val="24"/>
                <w:highlight w:val="none"/>
                <w:lang w:val="en-US" w:eastAsia="zh-CN"/>
              </w:rPr>
              <w:t>③安全防护措施④临时用电措施。</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方案必须全面，对评审内容中的各项要求有详细描述；</w:t>
            </w:r>
          </w:p>
          <w:p>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2、落实</w:t>
            </w:r>
            <w:r>
              <w:rPr>
                <w:rFonts w:hint="eastAsia" w:ascii="仿宋" w:hAnsi="仿宋" w:eastAsia="仿宋" w:cs="仿宋"/>
                <w:bCs/>
                <w:color w:val="auto"/>
                <w:sz w:val="24"/>
                <w:szCs w:val="24"/>
                <w:highlight w:val="none"/>
              </w:rPr>
              <w:t>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切合项目具体情况，提出责任明确、要求具体的方案；</w:t>
            </w:r>
          </w:p>
          <w:p>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三、赋分依据（满分6分）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①施工现场环境保护措施：</w:t>
            </w:r>
            <w:r>
              <w:rPr>
                <w:rFonts w:hint="eastAsia" w:ascii="仿宋" w:hAnsi="仿宋" w:eastAsia="仿宋" w:cs="仿宋"/>
                <w:b w:val="0"/>
                <w:bCs w:val="0"/>
                <w:color w:val="auto"/>
                <w:kern w:val="0"/>
                <w:sz w:val="24"/>
                <w:szCs w:val="24"/>
                <w:highlight w:val="none"/>
                <w:lang w:val="en-US" w:eastAsia="zh-CN"/>
              </w:rPr>
              <w:t>每完全满足一个评审标准得0.5分，满分1.5分；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文明施工</w:t>
            </w:r>
            <w:r>
              <w:rPr>
                <w:rFonts w:hint="eastAsia" w:ascii="仿宋" w:hAnsi="仿宋" w:eastAsia="仿宋" w:cs="仿宋"/>
                <w:color w:val="auto"/>
                <w:sz w:val="24"/>
                <w:szCs w:val="24"/>
                <w:highlight w:val="none"/>
              </w:rPr>
              <w:t>措施</w:t>
            </w:r>
            <w:r>
              <w:rPr>
                <w:rFonts w:hint="eastAsia" w:ascii="仿宋" w:hAnsi="仿宋" w:eastAsia="仿宋" w:cs="仿宋"/>
                <w:bCs/>
                <w:color w:val="auto"/>
                <w:sz w:val="24"/>
                <w:szCs w:val="24"/>
                <w:highlight w:val="none"/>
                <w:lang w:val="en-US" w:eastAsia="zh-CN"/>
              </w:rPr>
              <w:t>：</w:t>
            </w:r>
            <w:r>
              <w:rPr>
                <w:rFonts w:hint="eastAsia" w:ascii="仿宋" w:hAnsi="仿宋" w:eastAsia="仿宋" w:cs="仿宋"/>
                <w:b w:val="0"/>
                <w:bCs w:val="0"/>
                <w:color w:val="auto"/>
                <w:kern w:val="0"/>
                <w:sz w:val="24"/>
                <w:szCs w:val="24"/>
                <w:highlight w:val="none"/>
                <w:lang w:val="en-US" w:eastAsia="zh-CN"/>
              </w:rPr>
              <w:t>每完全满足一个评审标准得0.5分，满分1.5分；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③安全防护措施</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kern w:val="0"/>
                <w:sz w:val="24"/>
                <w:szCs w:val="24"/>
                <w:highlight w:val="none"/>
                <w:lang w:val="en-US" w:eastAsia="zh-CN"/>
              </w:rPr>
              <w:t>每完全满足一个评审标准得0.5分，满分1.5分；</w:t>
            </w:r>
          </w:p>
          <w:p>
            <w:pPr>
              <w:keepNext w:val="0"/>
              <w:keepLines w:val="0"/>
              <w:pageBreakBefore w:val="0"/>
              <w:widowControl/>
              <w:kinsoku/>
              <w:wordWrap/>
              <w:overflowPunct/>
              <w:topLinePunct w:val="0"/>
              <w:autoSpaceDE/>
              <w:autoSpaceDN/>
              <w:bidi w:val="0"/>
              <w:adjustRightInd w:val="0"/>
              <w:spacing w:line="400" w:lineRule="exact"/>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Cs/>
                <w:color w:val="auto"/>
                <w:sz w:val="24"/>
                <w:szCs w:val="24"/>
                <w:highlight w:val="none"/>
                <w:lang w:val="en-US" w:eastAsia="zh-CN"/>
              </w:rPr>
              <w:t>④临时用电措施：</w:t>
            </w:r>
            <w:r>
              <w:rPr>
                <w:rFonts w:hint="eastAsia" w:ascii="仿宋" w:hAnsi="仿宋" w:eastAsia="仿宋" w:cs="仿宋"/>
                <w:b w:val="0"/>
                <w:bCs w:val="0"/>
                <w:color w:val="auto"/>
                <w:kern w:val="0"/>
                <w:sz w:val="24"/>
                <w:szCs w:val="24"/>
                <w:highlight w:val="none"/>
                <w:lang w:val="en-US" w:eastAsia="zh-CN"/>
              </w:rPr>
              <w:t>每完全满足一个评审标准得0.5分，满分1.5分</w:t>
            </w:r>
            <w:r>
              <w:rPr>
                <w:rFonts w:hint="eastAsia" w:ascii="仿宋" w:hAnsi="仿宋" w:eastAsia="仿宋" w:cs="仿宋"/>
                <w:bCs/>
                <w:color w:val="auto"/>
                <w:sz w:val="24"/>
                <w:szCs w:val="24"/>
                <w:highlight w:val="none"/>
                <w:lang w:val="en-US" w:eastAsia="zh-CN"/>
              </w:rPr>
              <w:t>。</w:t>
            </w:r>
          </w:p>
        </w:tc>
        <w:tc>
          <w:tcPr>
            <w:tcW w:w="765" w:type="dxa"/>
            <w:noWrap w:val="0"/>
            <w:vAlign w:val="center"/>
          </w:tcPr>
          <w:p>
            <w:pPr>
              <w:autoSpaceDE w:val="0"/>
              <w:autoSpaceDN w:val="0"/>
              <w:adjustRightInd w:val="0"/>
              <w:jc w:val="left"/>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环保</w:t>
            </w:r>
            <w:r>
              <w:rPr>
                <w:rFonts w:hint="eastAsia" w:ascii="仿宋" w:hAnsi="仿宋" w:eastAsia="仿宋" w:cs="仿宋"/>
                <w:color w:val="auto"/>
                <w:kern w:val="0"/>
                <w:sz w:val="24"/>
                <w:szCs w:val="24"/>
                <w:highlight w:val="none"/>
              </w:rPr>
              <w:t>产品</w:t>
            </w:r>
          </w:p>
        </w:tc>
        <w:tc>
          <w:tcPr>
            <w:tcW w:w="7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p>
        </w:tc>
        <w:tc>
          <w:tcPr>
            <w:tcW w:w="64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仿宋" w:hAnsi="仿宋" w:eastAsia="仿宋" w:cs="仿宋"/>
                <w:b w:val="0"/>
                <w:bCs w:val="0"/>
                <w:color w:val="auto"/>
                <w:kern w:val="0"/>
                <w:sz w:val="24"/>
                <w:szCs w:val="24"/>
                <w:highlight w:val="none"/>
                <w:lang w:val="en-US" w:eastAsia="zh-CN"/>
              </w:rPr>
            </w:pPr>
            <w:bookmarkStart w:id="536" w:name="_Toc7759"/>
            <w:r>
              <w:rPr>
                <w:rFonts w:hint="eastAsia" w:ascii="仿宋" w:hAnsi="仿宋" w:eastAsia="仿宋" w:cs="仿宋"/>
                <w:b w:val="0"/>
                <w:bCs w:val="0"/>
                <w:color w:val="auto"/>
                <w:kern w:val="0"/>
                <w:sz w:val="24"/>
                <w:szCs w:val="24"/>
                <w:highlight w:val="none"/>
                <w:lang w:val="en-US" w:eastAsia="zh-CN"/>
              </w:rPr>
              <w:t>投标人所投产品为“环境标志产品政府采购品目清单”内的，应提供该产品的中国环境标志产品认证证书。中国环境标志产品认证证书需由国家确定的认证机构出具且处于有效期内的，得2分。</w:t>
            </w:r>
          </w:p>
          <w:p>
            <w:pPr>
              <w:keepNext w:val="0"/>
              <w:keepLines w:val="0"/>
              <w:pageBreakBefore w:val="0"/>
              <w:widowControl/>
              <w:kinsoku/>
              <w:wordWrap/>
              <w:overflowPunct/>
              <w:topLinePunct w:val="0"/>
              <w:autoSpaceDE/>
              <w:autoSpaceDN/>
              <w:bidi w:val="0"/>
              <w:adjustRightInd w:val="0"/>
              <w:spacing w:line="400" w:lineRule="exact"/>
              <w:jc w:val="both"/>
              <w:textAlignment w:val="auto"/>
              <w:rPr>
                <w:rFonts w:hint="eastAsia" w:ascii="仿宋" w:hAnsi="仿宋" w:eastAsia="仿宋" w:cs="仿宋"/>
                <w:b w:val="0"/>
                <w:bCs w:val="0"/>
                <w:color w:val="auto"/>
                <w:kern w:val="0"/>
                <w:sz w:val="24"/>
                <w:szCs w:val="24"/>
                <w:highlight w:val="none"/>
                <w:lang w:val="en-US" w:eastAsia="zh-CN"/>
              </w:rPr>
            </w:pPr>
            <w:bookmarkStart w:id="537" w:name="_Toc25453"/>
            <w:bookmarkStart w:id="538" w:name="_Toc13732"/>
            <w:bookmarkStart w:id="539" w:name="_Toc15597"/>
            <w:r>
              <w:rPr>
                <w:rFonts w:hint="eastAsia" w:ascii="仿宋" w:hAnsi="仿宋" w:eastAsia="仿宋" w:cs="仿宋"/>
                <w:b w:val="0"/>
                <w:bCs w:val="0"/>
                <w:color w:val="auto"/>
                <w:kern w:val="0"/>
                <w:sz w:val="24"/>
                <w:szCs w:val="24"/>
                <w:highlight w:val="none"/>
                <w:lang w:val="en-US" w:eastAsia="zh-CN"/>
              </w:rPr>
              <w:t>备注：以加盖投标人公章的证明材料为计分依据。</w:t>
            </w:r>
            <w:bookmarkEnd w:id="536"/>
            <w:bookmarkEnd w:id="537"/>
            <w:bookmarkEnd w:id="538"/>
            <w:bookmarkEnd w:id="539"/>
          </w:p>
        </w:tc>
        <w:tc>
          <w:tcPr>
            <w:tcW w:w="765" w:type="dxa"/>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820" w:type="dxa"/>
            <w:tcBorders>
              <w:top w:val="single" w:color="auto" w:sz="4" w:space="0"/>
            </w:tcBorders>
            <w:noWrap w:val="0"/>
            <w:vAlign w:val="center"/>
          </w:tcPr>
          <w:p>
            <w:pPr>
              <w:autoSpaceDE w:val="0"/>
              <w:autoSpaceDN w:val="0"/>
              <w:adjustRightInd w:val="0"/>
              <w:jc w:val="center"/>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业绩</w:t>
            </w:r>
          </w:p>
        </w:tc>
        <w:tc>
          <w:tcPr>
            <w:tcW w:w="750" w:type="dxa"/>
            <w:tcBorders>
              <w:top w:val="single" w:color="auto" w:sz="4" w:space="0"/>
            </w:tcBorders>
            <w:noWrap w:val="0"/>
            <w:vAlign w:val="center"/>
          </w:tcPr>
          <w:p>
            <w:pPr>
              <w:snapToGrid w:val="0"/>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8</w:t>
            </w:r>
          </w:p>
        </w:tc>
        <w:tc>
          <w:tcPr>
            <w:tcW w:w="6458" w:type="dxa"/>
            <w:tcBorders>
              <w:top w:val="single" w:color="auto" w:sz="4" w:space="0"/>
            </w:tcBorders>
            <w:noWrap w:val="0"/>
            <w:vAlign w:val="center"/>
          </w:tcPr>
          <w:p>
            <w:pPr>
              <w:adjustRightInd w:val="0"/>
              <w:snapToGrid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提供投标人2020年1月1日以来类似项目业绩（以合同签订日期为准），每份合格业绩合同计</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autoSpaceDE w:val="0"/>
              <w:autoSpaceDN w:val="0"/>
              <w:adjustRightInd w:val="0"/>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备注：</w:t>
            </w:r>
            <w:r>
              <w:rPr>
                <w:rFonts w:hint="eastAsia" w:ascii="仿宋" w:hAnsi="仿宋" w:eastAsia="仿宋" w:cs="仿宋"/>
                <w:color w:val="auto"/>
                <w:kern w:val="0"/>
                <w:sz w:val="24"/>
                <w:szCs w:val="24"/>
                <w:highlight w:val="none"/>
              </w:rPr>
              <w:t>需提供完整业绩合同及</w:t>
            </w:r>
            <w:r>
              <w:rPr>
                <w:rFonts w:hint="eastAsia" w:ascii="仿宋" w:hAnsi="仿宋" w:eastAsia="仿宋" w:cs="仿宋"/>
                <w:color w:val="auto"/>
                <w:kern w:val="0"/>
                <w:sz w:val="24"/>
                <w:szCs w:val="24"/>
                <w:highlight w:val="none"/>
                <w:lang w:val="en-US" w:eastAsia="zh-CN"/>
              </w:rPr>
              <w:t>对应</w:t>
            </w:r>
            <w:r>
              <w:rPr>
                <w:rFonts w:hint="eastAsia" w:ascii="仿宋" w:hAnsi="仿宋" w:eastAsia="仿宋" w:cs="仿宋"/>
                <w:color w:val="auto"/>
                <w:kern w:val="0"/>
                <w:sz w:val="24"/>
                <w:szCs w:val="24"/>
                <w:highlight w:val="none"/>
              </w:rPr>
              <w:t>货款发票复印件，并加盖</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公章</w:t>
            </w:r>
            <w:r>
              <w:rPr>
                <w:rFonts w:hint="eastAsia" w:ascii="仿宋" w:hAnsi="仿宋" w:eastAsia="仿宋" w:cs="仿宋"/>
                <w:color w:val="auto"/>
                <w:kern w:val="0"/>
                <w:sz w:val="24"/>
                <w:szCs w:val="24"/>
                <w:highlight w:val="none"/>
                <w:lang w:eastAsia="zh-CN"/>
              </w:rPr>
              <w:t>。前述</w:t>
            </w:r>
            <w:r>
              <w:rPr>
                <w:rFonts w:hint="eastAsia" w:ascii="仿宋" w:hAnsi="仿宋" w:eastAsia="仿宋" w:cs="仿宋"/>
                <w:color w:val="auto"/>
                <w:kern w:val="0"/>
                <w:sz w:val="24"/>
                <w:szCs w:val="24"/>
                <w:highlight w:val="none"/>
              </w:rPr>
              <w:t>两种证明材料同时提供方可得分，否则不得分。</w:t>
            </w:r>
          </w:p>
        </w:tc>
        <w:tc>
          <w:tcPr>
            <w:tcW w:w="765" w:type="dxa"/>
            <w:tcBorders>
              <w:top w:val="single" w:color="auto" w:sz="4" w:space="0"/>
            </w:tcBorders>
            <w:noWrap w:val="0"/>
            <w:vAlign w:val="top"/>
          </w:tcPr>
          <w:p>
            <w:pPr>
              <w:snapToGrid w:val="0"/>
              <w:jc w:val="center"/>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2" w:hRule="atLeast"/>
          <w:jc w:val="center"/>
        </w:trPr>
        <w:tc>
          <w:tcPr>
            <w:tcW w:w="820" w:type="dxa"/>
            <w:noWrap w:val="0"/>
            <w:vAlign w:val="center"/>
          </w:tcPr>
          <w:p>
            <w:pPr>
              <w:autoSpaceDE w:val="0"/>
              <w:autoSpaceDN w:val="0"/>
              <w:adjustRightInd w:val="0"/>
              <w:spacing w:line="36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tc>
        <w:tc>
          <w:tcPr>
            <w:tcW w:w="750" w:type="dxa"/>
            <w:noWrap w:val="0"/>
            <w:vAlign w:val="center"/>
          </w:tcPr>
          <w:p>
            <w:pPr>
              <w:autoSpaceDE w:val="0"/>
              <w:autoSpaceDN w:val="0"/>
              <w:adjustRightInd w:val="0"/>
              <w:spacing w:line="36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w:t>
            </w:r>
          </w:p>
        </w:tc>
        <w:tc>
          <w:tcPr>
            <w:tcW w:w="6458" w:type="dxa"/>
            <w:noWrap w:val="0"/>
            <w:vAlign w:val="center"/>
          </w:tcPr>
          <w:p>
            <w:pPr>
              <w:autoSpaceDE w:val="0"/>
              <w:autoSpaceDN w:val="0"/>
              <w:adjustRightInd w:val="0"/>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一、评审内容</w:t>
            </w:r>
          </w:p>
          <w:p>
            <w:pPr>
              <w:autoSpaceDE w:val="0"/>
              <w:autoSpaceDN w:val="0"/>
              <w:adjustRightInd w:val="0"/>
              <w:spacing w:line="24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根据项目实际需求提供售后服务方案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内容包含：</w:t>
            </w:r>
            <w:r>
              <w:rPr>
                <w:rFonts w:hint="eastAsia" w:ascii="仿宋" w:hAnsi="仿宋" w:eastAsia="仿宋" w:cs="仿宋"/>
                <w:color w:val="auto"/>
                <w:sz w:val="24"/>
                <w:szCs w:val="24"/>
                <w:highlight w:val="none"/>
                <w:lang w:val="en-US" w:eastAsia="zh-CN"/>
              </w:rPr>
              <w:t>①售后服务范围②响应时间③故障处理及补救措施</w:t>
            </w:r>
            <w:r>
              <w:rPr>
                <w:rFonts w:hint="eastAsia" w:ascii="仿宋" w:hAnsi="仿宋" w:eastAsia="仿宋" w:cs="仿宋"/>
                <w:bCs/>
                <w:color w:val="auto"/>
                <w:sz w:val="24"/>
                <w:szCs w:val="24"/>
                <w:highlight w:val="none"/>
                <w:lang w:bidi="ar"/>
              </w:rPr>
              <w:t>④</w:t>
            </w: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保障措施</w:t>
            </w:r>
            <w:r>
              <w:rPr>
                <w:rFonts w:hint="eastAsia" w:ascii="仿宋" w:hAnsi="仿宋" w:eastAsia="仿宋" w:cs="仿宋"/>
                <w:bCs/>
                <w:color w:val="auto"/>
                <w:sz w:val="24"/>
                <w:szCs w:val="24"/>
                <w:highlight w:val="none"/>
                <w:lang w:val="en-US" w:eastAsia="zh-CN" w:bidi="ar"/>
              </w:rPr>
              <w:t>⑤</w:t>
            </w:r>
            <w:r>
              <w:rPr>
                <w:rFonts w:hint="eastAsia" w:ascii="仿宋" w:hAnsi="仿宋" w:eastAsia="仿宋" w:cs="仿宋"/>
                <w:bCs/>
                <w:color w:val="auto"/>
                <w:sz w:val="24"/>
                <w:szCs w:val="24"/>
                <w:highlight w:val="none"/>
                <w:lang w:bidi="ar"/>
              </w:rPr>
              <w:t>定期回访及维护</w:t>
            </w:r>
            <w:r>
              <w:rPr>
                <w:rFonts w:hint="eastAsia" w:ascii="仿宋" w:hAnsi="仿宋" w:eastAsia="仿宋" w:cs="仿宋"/>
                <w:color w:val="auto"/>
                <w:sz w:val="24"/>
                <w:szCs w:val="24"/>
                <w:highlight w:val="none"/>
                <w:lang w:eastAsia="zh-CN"/>
              </w:rPr>
              <w:t>。</w:t>
            </w:r>
          </w:p>
          <w:p>
            <w:pPr>
              <w:autoSpaceDE w:val="0"/>
              <w:autoSpaceDN w:val="0"/>
              <w:adjustRightInd w:val="0"/>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pPr>
              <w:keepNext w:val="0"/>
              <w:keepLines w:val="0"/>
              <w:pageBreakBefore w:val="0"/>
              <w:widowControl/>
              <w:tabs>
                <w:tab w:val="left" w:pos="547"/>
              </w:tabs>
              <w:kinsoku/>
              <w:wordWrap/>
              <w:overflowPunct/>
              <w:topLinePunct w:val="0"/>
              <w:autoSpaceDE w:val="0"/>
              <w:autoSpaceDN w:val="0"/>
              <w:bidi w:val="0"/>
              <w:adjustRightInd w:val="0"/>
              <w:snapToGrid/>
              <w:spacing w:line="440" w:lineRule="exac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1.完整性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方案必须全面，对评审内容中的各项要求有详细描述；</w:t>
            </w:r>
          </w:p>
          <w:p>
            <w:pPr>
              <w:keepNext w:val="0"/>
              <w:keepLines w:val="0"/>
              <w:pageBreakBefore w:val="0"/>
              <w:widowControl/>
              <w:tabs>
                <w:tab w:val="left" w:pos="547"/>
              </w:tabs>
              <w:kinsoku/>
              <w:wordWrap/>
              <w:overflowPunct/>
              <w:topLinePunct w:val="0"/>
              <w:autoSpaceDE w:val="0"/>
              <w:autoSpaceDN w:val="0"/>
              <w:bidi w:val="0"/>
              <w:adjustRightInd w:val="0"/>
              <w:snapToGrid/>
              <w:spacing w:line="440" w:lineRule="exac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val="0"/>
                <w:color w:val="auto"/>
                <w:sz w:val="24"/>
                <w:szCs w:val="24"/>
                <w:highlight w:val="none"/>
                <w:lang w:val="en-US" w:eastAsia="zh-CN"/>
              </w:rPr>
              <w:t>可实施性：切合本项目实际情况，提出步骤清晰、合理的方案；</w:t>
            </w:r>
          </w:p>
          <w:p>
            <w:pPr>
              <w:keepNext w:val="0"/>
              <w:keepLines w:val="0"/>
              <w:pageBreakBefore w:val="0"/>
              <w:widowControl/>
              <w:tabs>
                <w:tab w:val="left" w:pos="547"/>
              </w:tabs>
              <w:kinsoku/>
              <w:wordWrap/>
              <w:overflowPunct/>
              <w:topLinePunct w:val="0"/>
              <w:autoSpaceDE w:val="0"/>
              <w:autoSpaceDN w:val="0"/>
              <w:bidi w:val="0"/>
              <w:adjustRightInd w:val="0"/>
              <w:snapToGrid/>
              <w:spacing w:line="440" w:lineRule="exact"/>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针对性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方案能够紧扣项目实际情况，内容科学合理。</w:t>
            </w:r>
          </w:p>
          <w:p>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kern w:val="0"/>
                <w:sz w:val="24"/>
                <w:szCs w:val="24"/>
                <w:highlight w:val="none"/>
                <w:lang w:val="en-US" w:eastAsia="zh-CN"/>
              </w:rPr>
              <w:t>赋分依据（满分7.5分）</w:t>
            </w:r>
          </w:p>
          <w:p>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售后服务范围</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响应时间</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③故障处理及补救措施</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afterLines="0"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保障措施</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p>
            <w:pPr>
              <w:autoSpaceDE w:val="0"/>
              <w:autoSpaceDN w:val="0"/>
              <w:adjustRightInd w:val="0"/>
              <w:spacing w:line="24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bidi="ar"/>
              </w:rPr>
              <w:t>⑤</w:t>
            </w:r>
            <w:r>
              <w:rPr>
                <w:rFonts w:hint="eastAsia" w:ascii="仿宋" w:hAnsi="仿宋" w:eastAsia="仿宋" w:cs="仿宋"/>
                <w:bCs/>
                <w:color w:val="auto"/>
                <w:sz w:val="24"/>
                <w:szCs w:val="24"/>
                <w:highlight w:val="none"/>
                <w:lang w:bidi="ar"/>
              </w:rPr>
              <w:t>定期回访及维护</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765" w:type="dxa"/>
            <w:noWrap w:val="0"/>
            <w:vAlign w:val="top"/>
          </w:tcPr>
          <w:p>
            <w:pPr>
              <w:snapToGrid w:val="0"/>
              <w:jc w:val="center"/>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820" w:type="dxa"/>
            <w:noWrap w:val="0"/>
            <w:vAlign w:val="center"/>
          </w:tcPr>
          <w:p>
            <w:pPr>
              <w:adjustRightInd w:val="0"/>
              <w:snapToGrid w:val="0"/>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增值服务</w:t>
            </w:r>
          </w:p>
        </w:tc>
        <w:tc>
          <w:tcPr>
            <w:tcW w:w="750" w:type="dxa"/>
            <w:noWrap w:val="0"/>
            <w:vAlign w:val="center"/>
          </w:tcPr>
          <w:p>
            <w:pPr>
              <w:adjustRightInd w:val="0"/>
              <w:snapToGrid w:val="0"/>
              <w:spacing w:line="36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c>
          <w:tcPr>
            <w:tcW w:w="6458" w:type="dxa"/>
            <w:noWrap w:val="0"/>
            <w:vAlign w:val="center"/>
          </w:tcPr>
          <w:p>
            <w:pPr>
              <w:autoSpaceDE w:val="0"/>
              <w:autoSpaceDN w:val="0"/>
              <w:adjustRightIn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针对本项目的特点和需求等内容提供增值服务承诺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例如</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清洗滤网、空调外挂机遮阳服务等</w:t>
            </w:r>
            <w:r>
              <w:rPr>
                <w:rFonts w:hint="eastAsia" w:ascii="仿宋" w:hAnsi="仿宋" w:eastAsia="仿宋" w:cs="仿宋"/>
                <w:bCs/>
                <w:color w:val="auto"/>
                <w:sz w:val="24"/>
                <w:szCs w:val="24"/>
                <w:highlight w:val="none"/>
                <w:lang w:val="en-US" w:eastAsia="zh-CN"/>
              </w:rPr>
              <w:t>增值服务</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每提供一项承诺，得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分。无承诺不得分。</w:t>
            </w:r>
          </w:p>
        </w:tc>
        <w:tc>
          <w:tcPr>
            <w:tcW w:w="765" w:type="dxa"/>
            <w:noWrap w:val="0"/>
            <w:vAlign w:val="top"/>
          </w:tcPr>
          <w:p>
            <w:pPr>
              <w:snapToGrid w:val="0"/>
              <w:jc w:val="center"/>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820" w:type="dxa"/>
            <w:noWrap w:val="0"/>
            <w:vAlign w:val="center"/>
          </w:tcPr>
          <w:p>
            <w:pPr>
              <w:adjustRightInd w:val="0"/>
              <w:snapToGrid w:val="0"/>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质保期</w:t>
            </w:r>
          </w:p>
        </w:tc>
        <w:tc>
          <w:tcPr>
            <w:tcW w:w="750" w:type="dxa"/>
            <w:noWrap w:val="0"/>
            <w:vAlign w:val="center"/>
          </w:tcPr>
          <w:p>
            <w:pPr>
              <w:adjustRightInd w:val="0"/>
              <w:snapToGrid w:val="0"/>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w:t>
            </w:r>
          </w:p>
        </w:tc>
        <w:tc>
          <w:tcPr>
            <w:tcW w:w="6458" w:type="dxa"/>
            <w:noWrap w:val="0"/>
            <w:vAlign w:val="center"/>
          </w:tcPr>
          <w:p>
            <w:pPr>
              <w:autoSpaceDE w:val="0"/>
              <w:autoSpaceDN w:val="0"/>
              <w:adjustRightInd w:val="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承诺质保期在满足招标文件（</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年）要求的基础上，每增加一年得1分，最高得2分。无承诺不得分。</w:t>
            </w:r>
          </w:p>
        </w:tc>
        <w:tc>
          <w:tcPr>
            <w:tcW w:w="765" w:type="dxa"/>
            <w:noWrap w:val="0"/>
            <w:vAlign w:val="top"/>
          </w:tcPr>
          <w:p>
            <w:pPr>
              <w:snapToGrid w:val="0"/>
              <w:jc w:val="center"/>
              <w:rPr>
                <w:rFonts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820" w:type="dxa"/>
            <w:noWrap w:val="0"/>
            <w:vAlign w:val="center"/>
          </w:tcPr>
          <w:p>
            <w:pPr>
              <w:adjustRightInd w:val="0"/>
              <w:snapToGrid w:val="0"/>
              <w:spacing w:line="360" w:lineRule="exact"/>
              <w:jc w:val="center"/>
              <w:rPr>
                <w:rFonts w:hint="eastAsia" w:ascii="仿宋" w:hAnsi="仿宋" w:eastAsia="仿宋" w:cs="仿宋"/>
                <w:color w:val="auto"/>
                <w:sz w:val="24"/>
                <w:szCs w:val="24"/>
                <w:highlight w:val="none"/>
                <w:lang w:val="en-US" w:eastAsia="zh-CN"/>
              </w:rPr>
            </w:pPr>
            <w:bookmarkStart w:id="540" w:name="_Toc372"/>
            <w:bookmarkStart w:id="541" w:name="_Toc5275"/>
            <w:bookmarkStart w:id="542" w:name="_Toc26151"/>
            <w:bookmarkStart w:id="543" w:name="_Toc21783"/>
            <w:r>
              <w:rPr>
                <w:rFonts w:hint="eastAsia" w:ascii="仿宋" w:hAnsi="仿宋" w:eastAsia="仿宋" w:cs="仿宋"/>
                <w:color w:val="auto"/>
                <w:sz w:val="24"/>
                <w:szCs w:val="24"/>
                <w:highlight w:val="none"/>
                <w:lang w:val="en-US" w:eastAsia="zh-CN"/>
              </w:rPr>
              <w:t>说明</w:t>
            </w:r>
          </w:p>
        </w:tc>
        <w:tc>
          <w:tcPr>
            <w:tcW w:w="7973" w:type="dxa"/>
            <w:gridSpan w:val="3"/>
            <w:noWrap w:val="0"/>
            <w:vAlign w:val="center"/>
          </w:tcPr>
          <w:p>
            <w:pPr>
              <w:spacing w:line="30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1.评标委员会</w:t>
            </w:r>
            <w:r>
              <w:rPr>
                <w:rFonts w:ascii="仿宋" w:hAnsi="仿宋" w:eastAsia="仿宋" w:cs="仿宋"/>
                <w:color w:val="auto"/>
                <w:sz w:val="24"/>
                <w:szCs w:val="24"/>
                <w:highlight w:val="none"/>
              </w:rPr>
              <w:t>成员必须按照本评审要素据实打分，各类数字计算均按“四舍五入”保留小数点后两位；</w:t>
            </w:r>
          </w:p>
          <w:p>
            <w:pPr>
              <w:snapToGrid w:val="0"/>
              <w:jc w:val="left"/>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2、对小型和微型企业提供的本项服务的价格给予</w:t>
            </w:r>
            <w:r>
              <w:rPr>
                <w:rFonts w:hint="eastAsia" w:ascii="仿宋" w:hAnsi="仿宋" w:eastAsia="仿宋" w:cs="仿宋"/>
                <w:color w:val="auto"/>
                <w:sz w:val="24"/>
                <w:szCs w:val="24"/>
                <w:highlight w:val="none"/>
                <w:u w:val="single"/>
              </w:rPr>
              <w:t>10</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rPr>
              <w:t>的价格扣除，用扣除后的价格参与评审，除此之外的其他情形均不适用本款规定；未提供《中小企业声明函》或《残疾人福利性单位声明函》或监狱企业证明文件的不享受价格折扣。</w:t>
            </w:r>
          </w:p>
        </w:tc>
      </w:tr>
    </w:tbl>
    <w:p>
      <w:pPr>
        <w:spacing w:line="240" w:lineRule="auto"/>
        <w:jc w:val="center"/>
        <w:outlineLvl w:val="0"/>
        <w:rPr>
          <w:rFonts w:ascii="黑体" w:hAnsi="黑体" w:eastAsia="黑体" w:cs="Times New Roman"/>
          <w:color w:val="auto"/>
          <w:sz w:val="32"/>
          <w:szCs w:val="32"/>
          <w:highlight w:val="none"/>
        </w:rPr>
      </w:pPr>
      <w:r>
        <w:rPr>
          <w:rFonts w:hint="eastAsia" w:ascii="黑体" w:hAnsi="黑体" w:eastAsia="黑体" w:cs="黑体"/>
          <w:color w:val="auto"/>
          <w:sz w:val="32"/>
          <w:szCs w:val="32"/>
          <w:highlight w:val="none"/>
        </w:rPr>
        <w:br w:type="page"/>
      </w:r>
      <w:bookmarkStart w:id="544" w:name="_Toc12809"/>
      <w:bookmarkStart w:id="545" w:name="_Toc28622"/>
      <w:bookmarkStart w:id="546" w:name="_Toc23568"/>
      <w:bookmarkStart w:id="547" w:name="_Toc11030"/>
      <w:r>
        <w:rPr>
          <w:rFonts w:hint="eastAsia" w:ascii="黑体" w:hAnsi="黑体" w:eastAsia="黑体" w:cs="黑体"/>
          <w:color w:val="auto"/>
          <w:sz w:val="32"/>
          <w:szCs w:val="32"/>
          <w:highlight w:val="none"/>
        </w:rPr>
        <w:t>第四章  招标内容及</w:t>
      </w:r>
      <w:bookmarkEnd w:id="524"/>
      <w:bookmarkEnd w:id="525"/>
      <w:bookmarkEnd w:id="526"/>
      <w:bookmarkEnd w:id="527"/>
      <w:bookmarkEnd w:id="528"/>
      <w:bookmarkEnd w:id="529"/>
      <w:bookmarkEnd w:id="530"/>
      <w:bookmarkEnd w:id="531"/>
      <w:bookmarkEnd w:id="532"/>
      <w:bookmarkEnd w:id="533"/>
      <w:r>
        <w:rPr>
          <w:rFonts w:hint="eastAsia" w:ascii="黑体" w:hAnsi="黑体" w:eastAsia="黑体" w:cs="黑体"/>
          <w:color w:val="auto"/>
          <w:sz w:val="32"/>
          <w:szCs w:val="32"/>
          <w:highlight w:val="none"/>
        </w:rPr>
        <w:t>采购要求</w:t>
      </w:r>
      <w:bookmarkEnd w:id="534"/>
      <w:bookmarkEnd w:id="535"/>
      <w:bookmarkEnd w:id="540"/>
      <w:bookmarkEnd w:id="541"/>
      <w:bookmarkEnd w:id="542"/>
      <w:bookmarkEnd w:id="543"/>
      <w:bookmarkEnd w:id="544"/>
      <w:bookmarkEnd w:id="545"/>
      <w:bookmarkEnd w:id="546"/>
      <w:bookmarkEnd w:id="547"/>
    </w:p>
    <w:p>
      <w:pPr>
        <w:pStyle w:val="4"/>
        <w:spacing w:line="500" w:lineRule="exact"/>
        <w:ind w:firstLine="566" w:firstLineChars="200"/>
        <w:rPr>
          <w:rFonts w:ascii="华文仿宋" w:cs="Times New Roman"/>
          <w:color w:val="auto"/>
          <w:sz w:val="28"/>
          <w:szCs w:val="28"/>
          <w:highlight w:val="none"/>
        </w:rPr>
      </w:pPr>
      <w:bookmarkStart w:id="548" w:name="_Toc9919"/>
      <w:bookmarkStart w:id="549" w:name="_Toc551"/>
      <w:bookmarkStart w:id="550" w:name="_Toc27260"/>
      <w:bookmarkStart w:id="551" w:name="_Toc5390"/>
      <w:bookmarkStart w:id="552" w:name="_Toc32375"/>
      <w:bookmarkStart w:id="553" w:name="_Toc1887"/>
      <w:bookmarkStart w:id="554" w:name="_Toc13709"/>
      <w:bookmarkStart w:id="555" w:name="_Toc31805"/>
      <w:bookmarkStart w:id="556" w:name="_Toc2917"/>
      <w:bookmarkStart w:id="557" w:name="_Toc20805"/>
      <w:bookmarkStart w:id="558" w:name="_Toc3836"/>
      <w:bookmarkStart w:id="559" w:name="_Toc24321"/>
      <w:bookmarkStart w:id="560" w:name="_Toc20696"/>
      <w:bookmarkStart w:id="561" w:name="_Toc21675"/>
      <w:bookmarkStart w:id="562" w:name="_Toc23239"/>
      <w:bookmarkStart w:id="563" w:name="_Toc10298"/>
      <w:bookmarkStart w:id="564" w:name="_Toc3316"/>
      <w:r>
        <w:rPr>
          <w:rFonts w:hint="eastAsia" w:ascii="华文仿宋" w:hAnsi="华文仿宋" w:cs="华文仿宋"/>
          <w:color w:val="auto"/>
          <w:sz w:val="28"/>
          <w:szCs w:val="28"/>
          <w:highlight w:val="none"/>
        </w:rPr>
        <w:t>一、项目概况</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pStyle w:val="7"/>
        <w:spacing w:line="500" w:lineRule="exact"/>
        <w:ind w:firstLine="566" w:firstLineChars="200"/>
        <w:rPr>
          <w:color w:val="auto"/>
          <w:highlight w:val="none"/>
        </w:rPr>
      </w:pPr>
      <w:bookmarkStart w:id="565" w:name="_Toc6205"/>
      <w:bookmarkStart w:id="566" w:name="_Toc23272"/>
      <w:bookmarkStart w:id="567" w:name="_Toc527"/>
      <w:r>
        <w:rPr>
          <w:rFonts w:hint="eastAsia" w:ascii="华文仿宋" w:hAnsi="华文仿宋" w:cs="华文仿宋"/>
          <w:color w:val="auto"/>
          <w:highlight w:val="none"/>
        </w:rPr>
        <w:t>为进一步改善</w:t>
      </w:r>
      <w:r>
        <w:rPr>
          <w:rFonts w:hint="eastAsia" w:ascii="华文仿宋" w:hAnsi="华文仿宋" w:cs="华文仿宋"/>
          <w:color w:val="auto"/>
          <w:highlight w:val="none"/>
          <w:lang w:eastAsia="zh-CN"/>
        </w:rPr>
        <w:t>学</w:t>
      </w:r>
      <w:r>
        <w:rPr>
          <w:rFonts w:hint="eastAsia" w:ascii="华文仿宋" w:hAnsi="华文仿宋" w:cs="华文仿宋"/>
          <w:color w:val="auto"/>
          <w:highlight w:val="none"/>
        </w:rPr>
        <w:t>校学生住宿条件，提高公寓服务水平，为学生提供良好的生活学习环境。拟为学生公寓采购</w:t>
      </w:r>
      <w:r>
        <w:rPr>
          <w:rFonts w:hint="eastAsia" w:ascii="华文仿宋" w:hAnsi="华文仿宋" w:cs="华文仿宋"/>
          <w:color w:val="auto"/>
          <w:highlight w:val="none"/>
          <w:lang w:val="en-US" w:eastAsia="zh-CN"/>
        </w:rPr>
        <w:t>采购壁挂分体式空调</w:t>
      </w:r>
      <w:r>
        <w:rPr>
          <w:rFonts w:hint="eastAsia" w:ascii="华文仿宋" w:hAnsi="华文仿宋" w:cs="华文仿宋"/>
          <w:b w:val="0"/>
          <w:bCs w:val="0"/>
          <w:color w:val="auto"/>
          <w:highlight w:val="none"/>
          <w:lang w:val="en-US" w:eastAsia="zh-CN"/>
        </w:rPr>
        <w:t>1454</w:t>
      </w:r>
      <w:r>
        <w:rPr>
          <w:rFonts w:hint="eastAsia" w:ascii="华文仿宋" w:hAnsi="华文仿宋" w:cs="华文仿宋"/>
          <w:color w:val="auto"/>
          <w:highlight w:val="none"/>
          <w:lang w:val="en-US" w:eastAsia="zh-CN"/>
        </w:rPr>
        <w:t>台</w:t>
      </w:r>
      <w:r>
        <w:rPr>
          <w:rFonts w:hint="eastAsia" w:ascii="华文仿宋" w:hAnsi="华文仿宋" w:cs="华文仿宋"/>
          <w:color w:val="auto"/>
          <w:highlight w:val="none"/>
        </w:rPr>
        <w:t>。项目</w:t>
      </w:r>
      <w:r>
        <w:rPr>
          <w:rFonts w:hint="eastAsia" w:ascii="华文仿宋" w:hAnsi="华文仿宋" w:cs="华文仿宋"/>
          <w:color w:val="auto"/>
          <w:highlight w:val="none"/>
          <w:lang w:eastAsia="zh-CN"/>
        </w:rPr>
        <w:t>内容</w:t>
      </w:r>
      <w:r>
        <w:rPr>
          <w:rFonts w:hint="eastAsia" w:ascii="华文仿宋" w:hAnsi="华文仿宋" w:cs="华文仿宋"/>
          <w:color w:val="auto"/>
          <w:highlight w:val="none"/>
        </w:rPr>
        <w:t>包括空调设备的供货、运输、安装调试及售后服务等。</w:t>
      </w:r>
    </w:p>
    <w:p>
      <w:pPr>
        <w:spacing w:line="500" w:lineRule="exact"/>
        <w:ind w:firstLine="566" w:firstLineChars="200"/>
        <w:outlineLvl w:val="1"/>
        <w:rPr>
          <w:rFonts w:hint="eastAsia" w:ascii="仿宋" w:hAnsi="仿宋" w:eastAsia="仿宋" w:cs="仿宋"/>
          <w:color w:val="auto"/>
          <w:sz w:val="28"/>
          <w:szCs w:val="28"/>
          <w:highlight w:val="none"/>
        </w:rPr>
      </w:pPr>
      <w:bookmarkStart w:id="568" w:name="_Toc15004"/>
      <w:r>
        <w:rPr>
          <w:rFonts w:hint="eastAsia" w:ascii="华文仿宋" w:hAnsi="华文仿宋" w:cs="华文仿宋"/>
          <w:b/>
          <w:bCs/>
          <w:color w:val="auto"/>
          <w:highlight w:val="none"/>
        </w:rPr>
        <w:t>二、采购内容及要求</w:t>
      </w:r>
      <w:bookmarkEnd w:id="565"/>
      <w:bookmarkEnd w:id="566"/>
      <w:bookmarkEnd w:id="567"/>
      <w:bookmarkEnd w:id="568"/>
    </w:p>
    <w:p>
      <w:pPr>
        <w:adjustRightInd w:val="0"/>
        <w:snapToGrid w:val="0"/>
        <w:spacing w:after="0" w:afterLines="0" w:line="500" w:lineRule="exact"/>
        <w:ind w:firstLine="566" w:firstLineChars="200"/>
        <w:jc w:val="left"/>
        <w:rPr>
          <w:rFonts w:hint="eastAsia" w:ascii="华文仿宋" w:hAnsi="华文仿宋" w:cs="华文仿宋"/>
          <w:b/>
          <w:color w:val="auto"/>
          <w:kern w:val="0"/>
          <w:highlight w:val="none"/>
        </w:rPr>
      </w:pPr>
      <w:r>
        <w:rPr>
          <w:rFonts w:hint="eastAsia" w:ascii="华文仿宋" w:hAnsi="华文仿宋" w:cs="华文仿宋"/>
          <w:b/>
          <w:color w:val="auto"/>
          <w:kern w:val="0"/>
          <w:highlight w:val="none"/>
        </w:rPr>
        <w:t>（一）采购清单</w:t>
      </w:r>
    </w:p>
    <w:p>
      <w:pPr>
        <w:spacing w:line="500" w:lineRule="exact"/>
        <w:jc w:val="center"/>
        <w:rPr>
          <w:rFonts w:ascii="仿宋" w:hAnsi="仿宋" w:eastAsia="仿宋" w:cs="仿宋"/>
          <w:b/>
          <w:bCs/>
          <w:color w:val="auto"/>
          <w:highlight w:val="none"/>
        </w:rPr>
      </w:pPr>
      <w:r>
        <w:rPr>
          <w:rFonts w:hint="eastAsia" w:ascii="仿宋" w:hAnsi="仿宋" w:eastAsia="仿宋" w:cs="仿宋"/>
          <w:b/>
          <w:bCs/>
          <w:color w:val="auto"/>
          <w:highlight w:val="none"/>
        </w:rPr>
        <w:t>技术参数表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14"/>
        <w:gridCol w:w="5583"/>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88" w:type="dxa"/>
            <w:noWrap w:val="0"/>
            <w:vAlign w:val="center"/>
          </w:tcPr>
          <w:p>
            <w:pPr>
              <w:keepNext w:val="0"/>
              <w:keepLines w:val="0"/>
              <w:pageBreakBefore w:val="0"/>
              <w:widowControl/>
              <w:kinsoku/>
              <w:wordWrap/>
              <w:overflowPunct/>
              <w:topLinePunct w:val="0"/>
              <w:autoSpaceDE/>
              <w:autoSpaceDN/>
              <w:bidi w:val="0"/>
              <w:adjustRightInd/>
              <w:snapToGrid/>
              <w:spacing w:afterLines="0"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afterLines="0"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货物名称</w:t>
            </w:r>
          </w:p>
        </w:tc>
        <w:tc>
          <w:tcPr>
            <w:tcW w:w="5583" w:type="dxa"/>
            <w:noWrap w:val="0"/>
            <w:vAlign w:val="center"/>
          </w:tcPr>
          <w:p>
            <w:pPr>
              <w:keepNext w:val="0"/>
              <w:keepLines w:val="0"/>
              <w:pageBreakBefore w:val="0"/>
              <w:widowControl/>
              <w:kinsoku/>
              <w:wordWrap/>
              <w:overflowPunct/>
              <w:topLinePunct w:val="0"/>
              <w:autoSpaceDE/>
              <w:autoSpaceDN/>
              <w:bidi w:val="0"/>
              <w:adjustRightInd/>
              <w:snapToGrid/>
              <w:spacing w:afterLines="0"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技术参数</w:t>
            </w:r>
          </w:p>
        </w:tc>
        <w:tc>
          <w:tcPr>
            <w:tcW w:w="1120" w:type="dxa"/>
            <w:noWrap w:val="0"/>
            <w:vAlign w:val="center"/>
          </w:tcPr>
          <w:p>
            <w:pPr>
              <w:keepNext w:val="0"/>
              <w:keepLines w:val="0"/>
              <w:pageBreakBefore w:val="0"/>
              <w:widowControl/>
              <w:kinsoku/>
              <w:wordWrap/>
              <w:overflowPunct/>
              <w:topLinePunct w:val="0"/>
              <w:autoSpaceDE/>
              <w:autoSpaceDN/>
              <w:bidi w:val="0"/>
              <w:adjustRightInd/>
              <w:snapToGrid/>
              <w:spacing w:afterLines="0" w:line="44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2" w:hRule="atLeast"/>
          <w:jc w:val="center"/>
        </w:trPr>
        <w:tc>
          <w:tcPr>
            <w:tcW w:w="788" w:type="dxa"/>
            <w:noWrap w:val="0"/>
            <w:vAlign w:val="center"/>
          </w:tcPr>
          <w:p>
            <w:pPr>
              <w:keepNext w:val="0"/>
              <w:keepLines w:val="0"/>
              <w:pageBreakBefore w:val="0"/>
              <w:widowControl/>
              <w:kinsoku/>
              <w:wordWrap/>
              <w:overflowPunct/>
              <w:topLinePunct w:val="0"/>
              <w:autoSpaceDE/>
              <w:autoSpaceDN/>
              <w:bidi w:val="0"/>
              <w:adjustRightInd/>
              <w:snapToGrid/>
              <w:spacing w:afterLines="0"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p>
        </w:tc>
        <w:tc>
          <w:tcPr>
            <w:tcW w:w="1214" w:type="dxa"/>
            <w:noWrap w:val="0"/>
            <w:vAlign w:val="center"/>
          </w:tcPr>
          <w:p>
            <w:pPr>
              <w:keepNext w:val="0"/>
              <w:keepLines w:val="0"/>
              <w:pageBreakBefore w:val="0"/>
              <w:widowControl/>
              <w:kinsoku/>
              <w:wordWrap/>
              <w:overflowPunct/>
              <w:topLinePunct w:val="0"/>
              <w:autoSpaceDE/>
              <w:autoSpaceDN/>
              <w:bidi w:val="0"/>
              <w:adjustRightInd/>
              <w:snapToGrid/>
              <w:spacing w:afterLines="0" w:line="44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壁挂空调</w:t>
            </w:r>
          </w:p>
        </w:tc>
        <w:tc>
          <w:tcPr>
            <w:tcW w:w="5583" w:type="dxa"/>
            <w:noWrap w:val="0"/>
            <w:vAlign w:val="center"/>
          </w:tcPr>
          <w:p>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外机、内机均为象牙白</w:t>
            </w:r>
            <w:r>
              <w:rPr>
                <w:rFonts w:hint="eastAsia" w:ascii="仿宋" w:hAnsi="仿宋" w:eastAsia="仿宋" w:cs="仿宋"/>
                <w:color w:val="auto"/>
                <w:highlight w:val="none"/>
                <w:lang w:eastAsia="zh-CN"/>
              </w:rPr>
              <w:t>；</w:t>
            </w:r>
          </w:p>
          <w:p>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壁挂式空调大1.5P</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冷暖</w:t>
            </w:r>
            <w:r>
              <w:rPr>
                <w:rFonts w:hint="eastAsia" w:ascii="仿宋" w:hAnsi="仿宋" w:eastAsia="仿宋" w:cs="仿宋"/>
                <w:color w:val="auto"/>
                <w:highlight w:val="none"/>
                <w:lang w:eastAsia="zh-CN"/>
              </w:rPr>
              <w:t>双制</w:t>
            </w:r>
            <w:r>
              <w:rPr>
                <w:rFonts w:hint="eastAsia" w:ascii="仿宋" w:hAnsi="仿宋" w:eastAsia="仿宋" w:cs="仿宋"/>
                <w:color w:val="auto"/>
                <w:highlight w:val="none"/>
              </w:rPr>
              <w:t>，变频；</w:t>
            </w:r>
          </w:p>
          <w:p>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3.额定电压</w:t>
            </w:r>
            <w:r>
              <w:rPr>
                <w:rFonts w:hint="eastAsia" w:ascii="仿宋" w:hAnsi="仿宋" w:eastAsia="仿宋" w:cs="仿宋"/>
                <w:color w:val="auto"/>
                <w:highlight w:val="none"/>
                <w:lang w:eastAsia="zh-CN"/>
              </w:rPr>
              <w:t>：220V/50Hz；</w:t>
            </w:r>
          </w:p>
          <w:p>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4.能效等级：</w:t>
            </w:r>
            <w:r>
              <w:rPr>
                <w:rFonts w:hint="eastAsia" w:ascii="仿宋" w:hAnsi="仿宋" w:eastAsia="仿宋" w:cs="仿宋"/>
                <w:color w:val="auto"/>
                <w:highlight w:val="none"/>
              </w:rPr>
              <w:t>2级</w:t>
            </w:r>
            <w:r>
              <w:rPr>
                <w:rFonts w:hint="eastAsia" w:ascii="仿宋" w:hAnsi="仿宋" w:eastAsia="仿宋" w:cs="仿宋"/>
                <w:color w:val="auto"/>
                <w:highlight w:val="none"/>
                <w:lang w:eastAsia="zh-CN"/>
              </w:rPr>
              <w:t>；</w:t>
            </w:r>
          </w:p>
          <w:p>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制冷功率</w:t>
            </w:r>
            <w:r>
              <w:rPr>
                <w:rFonts w:hint="eastAsia" w:ascii="仿宋" w:hAnsi="仿宋" w:eastAsia="仿宋" w:cs="仿宋"/>
                <w:color w:val="auto"/>
                <w:sz w:val="24"/>
                <w:highlight w:val="none"/>
              </w:rPr>
              <w:t>（W）</w:t>
            </w:r>
            <w:r>
              <w:rPr>
                <w:rFonts w:hint="eastAsia" w:ascii="仿宋" w:hAnsi="仿宋" w:eastAsia="仿宋" w:cs="仿宋"/>
                <w:color w:val="auto"/>
                <w:highlight w:val="none"/>
                <w:lang w:eastAsia="zh-CN"/>
              </w:rPr>
              <w:t>≤1200；</w:t>
            </w:r>
          </w:p>
          <w:p>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制冷量≥3500</w:t>
            </w:r>
            <w:r>
              <w:rPr>
                <w:rFonts w:hint="eastAsia" w:ascii="仿宋" w:hAnsi="仿宋" w:eastAsia="仿宋" w:cs="仿宋"/>
                <w:color w:val="auto"/>
                <w:sz w:val="24"/>
                <w:highlight w:val="none"/>
              </w:rPr>
              <w:t>W</w:t>
            </w:r>
            <w:r>
              <w:rPr>
                <w:rFonts w:hint="eastAsia" w:ascii="仿宋" w:hAnsi="仿宋" w:eastAsia="仿宋" w:cs="仿宋"/>
                <w:color w:val="auto"/>
                <w:highlight w:val="none"/>
                <w:lang w:eastAsia="zh-CN"/>
              </w:rPr>
              <w:t>；</w:t>
            </w:r>
          </w:p>
          <w:p>
            <w:pPr>
              <w:spacing w:afterLine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7.制热功率</w:t>
            </w:r>
            <w:r>
              <w:rPr>
                <w:rFonts w:hint="eastAsia" w:ascii="仿宋" w:hAnsi="仿宋" w:eastAsia="仿宋" w:cs="仿宋"/>
                <w:color w:val="auto"/>
                <w:sz w:val="24"/>
                <w:szCs w:val="24"/>
                <w:highlight w:val="none"/>
              </w:rPr>
              <w:t>（W）：≤1</w:t>
            </w:r>
            <w:r>
              <w:rPr>
                <w:rFonts w:hint="eastAsia" w:ascii="仿宋" w:hAnsi="仿宋" w:eastAsia="仿宋" w:cs="仿宋"/>
                <w:color w:val="auto"/>
                <w:sz w:val="24"/>
                <w:szCs w:val="24"/>
                <w:highlight w:val="none"/>
                <w:lang w:val="en-US" w:eastAsia="zh-CN"/>
              </w:rPr>
              <w:t>400；</w:t>
            </w:r>
          </w:p>
          <w:p>
            <w:pPr>
              <w:pStyle w:val="2"/>
              <w:spacing w:afterLines="0"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▲8.制热量：</w:t>
            </w:r>
            <w:r>
              <w:rPr>
                <w:rFonts w:hint="eastAsia" w:ascii="仿宋" w:hAnsi="仿宋" w:eastAsia="仿宋" w:cs="仿宋"/>
                <w:color w:val="auto"/>
                <w:highlight w:val="none"/>
              </w:rPr>
              <w:t>≥4000</w:t>
            </w:r>
            <w:r>
              <w:rPr>
                <w:rFonts w:hint="eastAsia" w:ascii="仿宋" w:hAnsi="仿宋" w:eastAsia="仿宋" w:cs="仿宋"/>
                <w:color w:val="auto"/>
                <w:sz w:val="24"/>
                <w:highlight w:val="none"/>
              </w:rPr>
              <w:t>W</w:t>
            </w:r>
            <w:r>
              <w:rPr>
                <w:rFonts w:hint="eastAsia" w:ascii="仿宋" w:hAnsi="仿宋" w:eastAsia="仿宋" w:cs="仿宋"/>
                <w:color w:val="auto"/>
                <w:highlight w:val="none"/>
                <w:lang w:eastAsia="zh-CN"/>
              </w:rPr>
              <w:t>；</w:t>
            </w:r>
          </w:p>
          <w:p>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室内机噪音≤4</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dB(A)；</w:t>
            </w:r>
          </w:p>
          <w:p>
            <w:pPr>
              <w:pStyle w:val="2"/>
              <w:keepNext w:val="0"/>
              <w:keepLines w:val="0"/>
              <w:pageBreakBefore w:val="0"/>
              <w:widowControl/>
              <w:numPr>
                <w:ilvl w:val="-1"/>
                <w:numId w:val="0"/>
              </w:numPr>
              <w:kinsoku/>
              <w:wordWrap/>
              <w:overflowPunct/>
              <w:topLinePunct w:val="0"/>
              <w:autoSpaceDE/>
              <w:autoSpaceDN/>
              <w:bidi w:val="0"/>
              <w:adjustRightInd/>
              <w:snapToGrid/>
              <w:spacing w:afterLines="0" w:line="400" w:lineRule="exact"/>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室外机噪音≤55 dB(A)；</w:t>
            </w:r>
          </w:p>
          <w:p>
            <w:pPr>
              <w:spacing w:afterLine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11.室内外机器的冷媒</w:t>
            </w:r>
            <w:r>
              <w:rPr>
                <w:rFonts w:hint="eastAsia" w:ascii="仿宋" w:hAnsi="仿宋" w:eastAsia="仿宋" w:cs="仿宋"/>
                <w:color w:val="auto"/>
                <w:sz w:val="24"/>
                <w:szCs w:val="24"/>
                <w:highlight w:val="none"/>
              </w:rPr>
              <w:t>连接</w:t>
            </w:r>
            <w:r>
              <w:rPr>
                <w:rFonts w:hint="eastAsia" w:ascii="仿宋" w:hAnsi="仿宋" w:eastAsia="仿宋" w:cs="仿宋"/>
                <w:color w:val="auto"/>
                <w:sz w:val="24"/>
                <w:szCs w:val="24"/>
                <w:highlight w:val="none"/>
                <w:lang w:val="en-US" w:eastAsia="zh-CN"/>
              </w:rPr>
              <w:t>管为铜管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压缩机线圈</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铜芯线圈</w:t>
            </w:r>
            <w:r>
              <w:rPr>
                <w:rFonts w:hint="eastAsia" w:ascii="仿宋" w:hAnsi="仿宋" w:eastAsia="仿宋" w:cs="仿宋"/>
                <w:color w:val="auto"/>
                <w:sz w:val="24"/>
                <w:szCs w:val="24"/>
                <w:highlight w:val="none"/>
                <w:lang w:eastAsia="zh-CN"/>
              </w:rPr>
              <w:t>；</w:t>
            </w:r>
          </w:p>
          <w:p>
            <w:pPr>
              <w:pStyle w:val="2"/>
              <w:keepNext w:val="0"/>
              <w:keepLines w:val="0"/>
              <w:pageBreakBefore w:val="0"/>
              <w:widowControl/>
              <w:numPr>
                <w:ilvl w:val="-1"/>
                <w:numId w:val="0"/>
              </w:numPr>
              <w:kinsoku/>
              <w:wordWrap/>
              <w:overflowPunct/>
              <w:topLinePunct w:val="0"/>
              <w:autoSpaceDE/>
              <w:autoSpaceDN/>
              <w:bidi w:val="0"/>
              <w:adjustRightInd/>
              <w:snapToGrid/>
              <w:spacing w:afterLines="0"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12.空调</w:t>
            </w:r>
            <w:r>
              <w:rPr>
                <w:rFonts w:hint="eastAsia" w:ascii="仿宋" w:hAnsi="仿宋" w:eastAsia="仿宋" w:cs="仿宋"/>
                <w:color w:val="auto"/>
                <w:sz w:val="24"/>
                <w:szCs w:val="24"/>
                <w:highlight w:val="none"/>
              </w:rPr>
              <w:t>可用手机连接进行所有功能控制。</w:t>
            </w:r>
          </w:p>
        </w:tc>
        <w:tc>
          <w:tcPr>
            <w:tcW w:w="1120" w:type="dxa"/>
            <w:noWrap w:val="0"/>
            <w:vAlign w:val="center"/>
          </w:tcPr>
          <w:p>
            <w:pPr>
              <w:keepNext w:val="0"/>
              <w:keepLines w:val="0"/>
              <w:pageBreakBefore w:val="0"/>
              <w:widowControl/>
              <w:kinsoku/>
              <w:wordWrap/>
              <w:overflowPunct/>
              <w:topLinePunct w:val="0"/>
              <w:autoSpaceDE/>
              <w:autoSpaceDN/>
              <w:bidi w:val="0"/>
              <w:adjustRightInd/>
              <w:snapToGrid/>
              <w:spacing w:afterLines="0" w:line="440" w:lineRule="exact"/>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1454台</w:t>
            </w:r>
          </w:p>
        </w:tc>
      </w:tr>
    </w:tbl>
    <w:p>
      <w:pPr>
        <w:keepNext w:val="0"/>
        <w:keepLines w:val="0"/>
        <w:pageBreakBefore w:val="0"/>
        <w:widowControl/>
        <w:kinsoku/>
        <w:wordWrap/>
        <w:overflowPunct/>
        <w:topLinePunct w:val="0"/>
        <w:autoSpaceDE/>
        <w:autoSpaceDN/>
        <w:bidi w:val="0"/>
        <w:adjustRightInd w:val="0"/>
        <w:snapToGrid w:val="0"/>
        <w:spacing w:after="0" w:afterLines="0" w:line="500" w:lineRule="exact"/>
        <w:ind w:firstLine="566" w:firstLineChars="200"/>
        <w:jc w:val="left"/>
        <w:textAlignment w:val="auto"/>
        <w:rPr>
          <w:rFonts w:hint="default" w:ascii="华文仿宋" w:hAnsi="华文仿宋" w:eastAsia="华文仿宋" w:cs="华文仿宋"/>
          <w:b/>
          <w:color w:val="auto"/>
          <w:kern w:val="0"/>
          <w:highlight w:val="none"/>
          <w:lang w:val="en-US" w:eastAsia="zh-CN"/>
        </w:rPr>
      </w:pPr>
      <w:bookmarkStart w:id="569" w:name="_Toc17236"/>
      <w:bookmarkStart w:id="570" w:name="_Toc27494"/>
      <w:bookmarkStart w:id="571" w:name="_Toc5153"/>
      <w:r>
        <w:rPr>
          <w:rFonts w:hint="eastAsia" w:ascii="华文仿宋" w:hAnsi="华文仿宋" w:cs="华文仿宋"/>
          <w:b/>
          <w:color w:val="auto"/>
          <w:kern w:val="0"/>
          <w:highlight w:val="none"/>
        </w:rPr>
        <w:t>（</w:t>
      </w:r>
      <w:r>
        <w:rPr>
          <w:rFonts w:hint="eastAsia" w:ascii="华文仿宋" w:hAnsi="华文仿宋" w:cs="华文仿宋"/>
          <w:b/>
          <w:color w:val="auto"/>
          <w:kern w:val="0"/>
          <w:highlight w:val="none"/>
          <w:lang w:val="en-US" w:eastAsia="zh-CN"/>
        </w:rPr>
        <w:t>二</w:t>
      </w:r>
      <w:r>
        <w:rPr>
          <w:rFonts w:hint="eastAsia" w:ascii="华文仿宋" w:hAnsi="华文仿宋" w:cs="华文仿宋"/>
          <w:b/>
          <w:color w:val="auto"/>
          <w:kern w:val="0"/>
          <w:highlight w:val="none"/>
        </w:rPr>
        <w:t>）</w:t>
      </w:r>
      <w:r>
        <w:rPr>
          <w:rFonts w:hint="eastAsia" w:ascii="华文仿宋" w:hAnsi="华文仿宋" w:cs="华文仿宋"/>
          <w:b/>
          <w:color w:val="auto"/>
          <w:kern w:val="0"/>
          <w:highlight w:val="none"/>
          <w:lang w:val="en-US" w:eastAsia="zh-CN"/>
        </w:rPr>
        <w:t>质量保证</w:t>
      </w:r>
    </w:p>
    <w:p>
      <w:pPr>
        <w:keepNext w:val="0"/>
        <w:keepLines w:val="0"/>
        <w:pageBreakBefore w:val="0"/>
        <w:widowControl/>
        <w:kinsoku/>
        <w:wordWrap/>
        <w:overflowPunct/>
        <w:topLinePunct w:val="0"/>
        <w:autoSpaceDE/>
        <w:autoSpaceDN/>
        <w:bidi w:val="0"/>
        <w:spacing w:afterLines="0" w:line="500" w:lineRule="exact"/>
        <w:ind w:firstLine="566" w:firstLineChars="200"/>
        <w:textAlignment w:val="auto"/>
        <w:rPr>
          <w:rFonts w:hint="eastAsia" w:ascii="华文仿宋" w:hAnsi="华文仿宋" w:eastAsia="华文仿宋" w:cs="华文仿宋"/>
          <w:color w:val="auto"/>
          <w:spacing w:val="0"/>
          <w:highlight w:val="none"/>
          <w:lang w:eastAsia="zh-CN"/>
        </w:rPr>
      </w:pPr>
      <w:r>
        <w:rPr>
          <w:rFonts w:hint="eastAsia" w:ascii="华文仿宋" w:hAnsi="华文仿宋" w:cs="华文仿宋"/>
          <w:color w:val="auto"/>
          <w:sz w:val="28"/>
          <w:szCs w:val="28"/>
          <w:highlight w:val="none"/>
          <w:u w:val="none"/>
          <w:lang w:val="en-US" w:eastAsia="zh-CN"/>
        </w:rPr>
        <w:t>▲1、</w:t>
      </w:r>
      <w:r>
        <w:rPr>
          <w:rFonts w:hint="eastAsia" w:ascii="华文仿宋" w:hAnsi="华文仿宋" w:eastAsia="华文仿宋" w:cs="华文仿宋"/>
          <w:color w:val="auto"/>
          <w:spacing w:val="0"/>
          <w:highlight w:val="none"/>
        </w:rPr>
        <w:t>投标人须保证所供产品为制造商原厂生产的全新、未经使用并达到采购参数技术要求的产品；外观为未启封全新包装，序列号、包装箱号、出厂批号内外一致，</w:t>
      </w:r>
      <w:r>
        <w:rPr>
          <w:rFonts w:hint="eastAsia" w:ascii="华文仿宋" w:hAnsi="华文仿宋" w:cs="华文仿宋"/>
          <w:color w:val="auto"/>
          <w:spacing w:val="0"/>
          <w:highlight w:val="none"/>
          <w:lang w:val="en-US" w:eastAsia="zh-CN"/>
        </w:rPr>
        <w:t>来源渠道正规，</w:t>
      </w:r>
      <w:r>
        <w:rPr>
          <w:rFonts w:hint="eastAsia" w:ascii="华文仿宋" w:hAnsi="华文仿宋" w:eastAsia="华文仿宋" w:cs="华文仿宋"/>
          <w:color w:val="auto"/>
          <w:spacing w:val="0"/>
          <w:highlight w:val="none"/>
        </w:rPr>
        <w:t>并可追索查阅</w:t>
      </w:r>
      <w:r>
        <w:rPr>
          <w:rFonts w:hint="eastAsia" w:ascii="华文仿宋" w:hAnsi="华文仿宋" w:eastAsia="华文仿宋" w:cs="华文仿宋"/>
          <w:color w:val="auto"/>
          <w:spacing w:val="0"/>
          <w:highlight w:val="none"/>
          <w:lang w:eastAsia="zh-CN"/>
        </w:rPr>
        <w:t>。</w:t>
      </w:r>
    </w:p>
    <w:p>
      <w:pPr>
        <w:keepNext w:val="0"/>
        <w:keepLines w:val="0"/>
        <w:pageBreakBefore w:val="0"/>
        <w:widowControl/>
        <w:kinsoku/>
        <w:wordWrap/>
        <w:overflowPunct/>
        <w:topLinePunct w:val="0"/>
        <w:autoSpaceDE/>
        <w:autoSpaceDN/>
        <w:bidi w:val="0"/>
        <w:spacing w:afterLines="0" w:line="500" w:lineRule="exact"/>
        <w:ind w:firstLine="566" w:firstLineChars="200"/>
        <w:textAlignment w:val="auto"/>
        <w:rPr>
          <w:rFonts w:hint="eastAsia" w:ascii="华文仿宋" w:hAnsi="华文仿宋" w:eastAsia="华文仿宋" w:cs="华文仿宋"/>
          <w:color w:val="auto"/>
          <w:sz w:val="28"/>
          <w:szCs w:val="28"/>
          <w:highlight w:val="none"/>
          <w:u w:val="none"/>
          <w:lang w:eastAsia="zh-CN"/>
        </w:rPr>
      </w:pPr>
      <w:r>
        <w:rPr>
          <w:rFonts w:hint="eastAsia" w:ascii="华文仿宋" w:hAnsi="华文仿宋" w:cs="华文仿宋"/>
          <w:color w:val="auto"/>
          <w:sz w:val="28"/>
          <w:szCs w:val="28"/>
          <w:highlight w:val="none"/>
          <w:u w:val="none"/>
          <w:lang w:val="en-US" w:eastAsia="zh-CN"/>
        </w:rPr>
        <w:t>▲2</w:t>
      </w:r>
      <w:r>
        <w:rPr>
          <w:rFonts w:hint="eastAsia" w:ascii="华文仿宋" w:hAnsi="华文仿宋" w:eastAsia="华文仿宋" w:cs="华文仿宋"/>
          <w:color w:val="auto"/>
          <w:sz w:val="28"/>
          <w:szCs w:val="28"/>
          <w:highlight w:val="none"/>
          <w:u w:val="none"/>
          <w:lang w:val="en-US" w:eastAsia="zh-CN"/>
        </w:rPr>
        <w:t>、投标</w:t>
      </w:r>
      <w:r>
        <w:rPr>
          <w:rFonts w:hint="eastAsia" w:ascii="华文仿宋" w:hAnsi="华文仿宋" w:cs="华文仿宋"/>
          <w:color w:val="auto"/>
          <w:sz w:val="28"/>
          <w:szCs w:val="28"/>
          <w:highlight w:val="none"/>
          <w:u w:val="none"/>
          <w:lang w:val="en-US" w:eastAsia="zh-CN"/>
        </w:rPr>
        <w:t>人</w:t>
      </w:r>
      <w:r>
        <w:rPr>
          <w:rFonts w:hint="eastAsia" w:ascii="华文仿宋" w:hAnsi="华文仿宋" w:eastAsia="华文仿宋" w:cs="华文仿宋"/>
          <w:color w:val="auto"/>
          <w:sz w:val="28"/>
          <w:szCs w:val="28"/>
          <w:highlight w:val="none"/>
          <w:u w:val="none"/>
        </w:rPr>
        <w:t>提供的空调应完全符合国家和行业质量标准规格</w:t>
      </w:r>
      <w:r>
        <w:rPr>
          <w:rFonts w:hint="eastAsia" w:ascii="华文仿宋" w:hAnsi="华文仿宋" w:cs="华文仿宋"/>
          <w:color w:val="auto"/>
          <w:sz w:val="28"/>
          <w:szCs w:val="28"/>
          <w:highlight w:val="none"/>
          <w:u w:val="none"/>
          <w:lang w:eastAsia="zh-CN"/>
        </w:rPr>
        <w:t>，</w:t>
      </w:r>
      <w:r>
        <w:rPr>
          <w:rFonts w:hint="eastAsia" w:ascii="华文仿宋" w:hAnsi="华文仿宋" w:cs="华文仿宋"/>
          <w:color w:val="auto"/>
          <w:sz w:val="28"/>
          <w:szCs w:val="28"/>
          <w:highlight w:val="none"/>
          <w:u w:val="none"/>
          <w:lang w:val="en-US" w:eastAsia="zh-CN"/>
        </w:rPr>
        <w:t>具有质量保证措施</w:t>
      </w:r>
      <w:r>
        <w:rPr>
          <w:rFonts w:hint="eastAsia" w:ascii="华文仿宋" w:hAnsi="华文仿宋" w:cs="华文仿宋"/>
          <w:color w:val="auto"/>
          <w:sz w:val="28"/>
          <w:szCs w:val="28"/>
          <w:highlight w:val="none"/>
          <w:u w:val="none"/>
          <w:lang w:eastAsia="zh-CN"/>
        </w:rPr>
        <w:t>。</w:t>
      </w:r>
    </w:p>
    <w:p>
      <w:pPr>
        <w:keepNext w:val="0"/>
        <w:keepLines w:val="0"/>
        <w:pageBreakBefore w:val="0"/>
        <w:widowControl/>
        <w:numPr>
          <w:ilvl w:val="-1"/>
          <w:numId w:val="0"/>
        </w:numPr>
        <w:kinsoku/>
        <w:wordWrap/>
        <w:overflowPunct/>
        <w:topLinePunct w:val="0"/>
        <w:autoSpaceDE/>
        <w:autoSpaceDN/>
        <w:bidi w:val="0"/>
        <w:spacing w:afterLines="0" w:line="500" w:lineRule="exact"/>
        <w:ind w:leftChars="0" w:firstLine="566" w:firstLineChars="200"/>
        <w:textAlignment w:val="auto"/>
        <w:rPr>
          <w:rFonts w:hint="eastAsia" w:ascii="华文仿宋" w:hAnsi="华文仿宋" w:eastAsia="华文仿宋" w:cs="华文仿宋"/>
          <w:color w:val="auto"/>
          <w:sz w:val="28"/>
          <w:szCs w:val="28"/>
          <w:highlight w:val="none"/>
          <w:u w:val="none"/>
        </w:rPr>
      </w:pPr>
      <w:r>
        <w:rPr>
          <w:rFonts w:hint="eastAsia" w:ascii="华文仿宋" w:hAnsi="华文仿宋" w:cs="华文仿宋"/>
          <w:color w:val="auto"/>
          <w:sz w:val="28"/>
          <w:szCs w:val="28"/>
          <w:highlight w:val="none"/>
          <w:u w:val="none"/>
          <w:lang w:val="en-US" w:eastAsia="zh-CN"/>
        </w:rPr>
        <w:t>3、</w:t>
      </w:r>
      <w:r>
        <w:rPr>
          <w:rFonts w:hint="eastAsia" w:ascii="华文仿宋" w:hAnsi="华文仿宋" w:cs="华文仿宋"/>
          <w:color w:val="auto"/>
          <w:sz w:val="28"/>
          <w:szCs w:val="28"/>
          <w:highlight w:val="none"/>
          <w:u w:val="none"/>
          <w:lang w:eastAsia="zh-CN"/>
        </w:rPr>
        <w:t>投标</w:t>
      </w:r>
      <w:r>
        <w:rPr>
          <w:rFonts w:hint="eastAsia" w:ascii="华文仿宋" w:hAnsi="华文仿宋" w:cs="华文仿宋"/>
          <w:color w:val="auto"/>
          <w:sz w:val="28"/>
          <w:szCs w:val="28"/>
          <w:highlight w:val="none"/>
          <w:u w:val="none"/>
          <w:lang w:val="en-US" w:eastAsia="zh-CN"/>
        </w:rPr>
        <w:t>人</w:t>
      </w:r>
      <w:r>
        <w:rPr>
          <w:rFonts w:hint="eastAsia" w:ascii="华文仿宋" w:hAnsi="华文仿宋" w:eastAsia="华文仿宋" w:cs="华文仿宋"/>
          <w:color w:val="auto"/>
          <w:sz w:val="28"/>
          <w:szCs w:val="28"/>
          <w:highlight w:val="none"/>
          <w:u w:val="none"/>
        </w:rPr>
        <w:t>提供的空调涉及的设计技术专利、外型专利、应用软件专利等均应符合我国的有关法律及行业标准，凡因以上问题与第三方发生的任何纠纷</w:t>
      </w:r>
      <w:r>
        <w:rPr>
          <w:rFonts w:hint="eastAsia" w:ascii="华文仿宋" w:hAnsi="华文仿宋" w:cs="华文仿宋"/>
          <w:color w:val="auto"/>
          <w:sz w:val="28"/>
          <w:szCs w:val="28"/>
          <w:highlight w:val="none"/>
          <w:u w:val="none"/>
          <w:lang w:val="en-US" w:eastAsia="zh-CN"/>
        </w:rPr>
        <w:t>由</w:t>
      </w:r>
      <w:r>
        <w:rPr>
          <w:rFonts w:hint="eastAsia" w:ascii="华文仿宋" w:hAnsi="华文仿宋" w:eastAsia="华文仿宋" w:cs="华文仿宋"/>
          <w:color w:val="auto"/>
          <w:sz w:val="28"/>
          <w:szCs w:val="28"/>
          <w:highlight w:val="none"/>
          <w:u w:val="none"/>
          <w:lang w:val="en-US" w:eastAsia="zh-CN"/>
        </w:rPr>
        <w:t>投标</w:t>
      </w:r>
      <w:r>
        <w:rPr>
          <w:rFonts w:hint="eastAsia" w:ascii="华文仿宋" w:hAnsi="华文仿宋" w:cs="华文仿宋"/>
          <w:color w:val="auto"/>
          <w:sz w:val="28"/>
          <w:szCs w:val="28"/>
          <w:highlight w:val="none"/>
          <w:u w:val="none"/>
          <w:lang w:val="en-US" w:eastAsia="zh-CN"/>
        </w:rPr>
        <w:t>人承担</w:t>
      </w:r>
      <w:r>
        <w:rPr>
          <w:rFonts w:hint="eastAsia" w:ascii="华文仿宋" w:hAnsi="华文仿宋" w:eastAsia="华文仿宋" w:cs="华文仿宋"/>
          <w:color w:val="auto"/>
          <w:sz w:val="28"/>
          <w:szCs w:val="28"/>
          <w:highlight w:val="none"/>
          <w:u w:val="none"/>
        </w:rPr>
        <w:t>。</w:t>
      </w:r>
    </w:p>
    <w:p>
      <w:pPr>
        <w:pStyle w:val="2"/>
        <w:numPr>
          <w:ilvl w:val="0"/>
          <w:numId w:val="3"/>
        </w:numPr>
        <w:spacing w:afterLines="0" w:line="500" w:lineRule="exact"/>
        <w:ind w:firstLine="566" w:firstLineChars="200"/>
        <w:rPr>
          <w:rFonts w:hint="eastAsia" w:ascii="华文仿宋" w:hAnsi="华文仿宋" w:cs="华文仿宋"/>
          <w:color w:val="auto"/>
          <w:sz w:val="28"/>
          <w:szCs w:val="28"/>
          <w:highlight w:val="none"/>
        </w:rPr>
      </w:pPr>
      <w:r>
        <w:rPr>
          <w:rFonts w:hint="eastAsia" w:ascii="华文仿宋" w:hAnsi="华文仿宋" w:cs="华文仿宋"/>
          <w:color w:val="auto"/>
          <w:sz w:val="28"/>
          <w:szCs w:val="28"/>
          <w:highlight w:val="none"/>
        </w:rPr>
        <w:t>空调</w:t>
      </w:r>
      <w:r>
        <w:rPr>
          <w:rFonts w:hint="eastAsia" w:ascii="华文仿宋" w:hAnsi="华文仿宋" w:cs="华文仿宋"/>
          <w:color w:val="auto"/>
          <w:sz w:val="28"/>
          <w:szCs w:val="28"/>
          <w:highlight w:val="none"/>
          <w:lang w:eastAsia="zh-CN"/>
        </w:rPr>
        <w:t>的</w:t>
      </w:r>
      <w:r>
        <w:rPr>
          <w:rFonts w:hint="eastAsia" w:ascii="华文仿宋" w:hAnsi="华文仿宋" w:cs="华文仿宋"/>
          <w:color w:val="auto"/>
          <w:sz w:val="28"/>
          <w:szCs w:val="28"/>
          <w:highlight w:val="none"/>
          <w:lang w:val="en-US" w:eastAsia="zh-CN"/>
        </w:rPr>
        <w:t>室内外机</w:t>
      </w:r>
      <w:r>
        <w:rPr>
          <w:rFonts w:hint="eastAsia" w:ascii="华文仿宋" w:hAnsi="华文仿宋" w:cs="华文仿宋"/>
          <w:color w:val="auto"/>
          <w:sz w:val="28"/>
          <w:szCs w:val="28"/>
          <w:highlight w:val="none"/>
        </w:rPr>
        <w:t>需在采购人规定的位置安装，</w:t>
      </w:r>
      <w:r>
        <w:rPr>
          <w:rFonts w:hint="eastAsia" w:ascii="华文仿宋" w:hAnsi="华文仿宋" w:cs="华文仿宋"/>
          <w:color w:val="auto"/>
          <w:sz w:val="28"/>
          <w:szCs w:val="28"/>
          <w:highlight w:val="none"/>
          <w:lang w:val="en-US" w:eastAsia="zh-CN"/>
        </w:rPr>
        <w:t>并保证安装后正常使用，安装过程中所有费用都包含在合同价内，空调安装过程中产生的所有费用由投标人承担。</w:t>
      </w:r>
      <w:r>
        <w:rPr>
          <w:rFonts w:hint="eastAsia" w:ascii="华文仿宋" w:hAnsi="华文仿宋" w:cs="华文仿宋"/>
          <w:color w:val="auto"/>
          <w:sz w:val="28"/>
          <w:szCs w:val="28"/>
          <w:highlight w:val="none"/>
        </w:rPr>
        <w:t>合同价不受市场价格变化</w:t>
      </w:r>
      <w:r>
        <w:rPr>
          <w:rFonts w:hint="eastAsia" w:ascii="华文仿宋" w:hAnsi="华文仿宋" w:cs="华文仿宋"/>
          <w:color w:val="auto"/>
          <w:sz w:val="28"/>
          <w:szCs w:val="28"/>
          <w:highlight w:val="none"/>
          <w:lang w:val="en-US" w:eastAsia="zh-CN"/>
        </w:rPr>
        <w:t>和空调安装位置</w:t>
      </w:r>
      <w:r>
        <w:rPr>
          <w:rFonts w:hint="eastAsia" w:ascii="华文仿宋" w:hAnsi="华文仿宋" w:cs="华文仿宋"/>
          <w:color w:val="auto"/>
          <w:sz w:val="28"/>
          <w:szCs w:val="28"/>
          <w:highlight w:val="none"/>
        </w:rPr>
        <w:t>的影响</w:t>
      </w:r>
      <w:r>
        <w:rPr>
          <w:rFonts w:hint="eastAsia" w:ascii="华文仿宋" w:hAnsi="华文仿宋" w:cs="华文仿宋"/>
          <w:color w:val="auto"/>
          <w:sz w:val="28"/>
          <w:szCs w:val="28"/>
          <w:highlight w:val="none"/>
          <w:lang w:eastAsia="zh-CN"/>
        </w:rPr>
        <w:t>。</w:t>
      </w:r>
      <w:r>
        <w:rPr>
          <w:rFonts w:hint="eastAsia" w:ascii="华文仿宋" w:hAnsi="华文仿宋" w:cs="华文仿宋"/>
          <w:color w:val="auto"/>
          <w:sz w:val="28"/>
          <w:szCs w:val="28"/>
          <w:highlight w:val="none"/>
        </w:rPr>
        <w:t>施工方案需经采购人审批通过后方能实施。</w:t>
      </w:r>
    </w:p>
    <w:p>
      <w:pPr>
        <w:adjustRightInd w:val="0"/>
        <w:snapToGrid w:val="0"/>
        <w:spacing w:after="0" w:afterLines="0" w:line="500" w:lineRule="exact"/>
        <w:ind w:firstLine="566" w:firstLineChars="200"/>
        <w:jc w:val="left"/>
        <w:rPr>
          <w:rFonts w:hint="default" w:ascii="华文仿宋" w:hAnsi="华文仿宋" w:eastAsia="华文仿宋" w:cs="华文仿宋"/>
          <w:b/>
          <w:color w:val="auto"/>
          <w:kern w:val="0"/>
          <w:highlight w:val="none"/>
          <w:lang w:val="en-US" w:eastAsia="zh-CN"/>
        </w:rPr>
      </w:pPr>
      <w:r>
        <w:rPr>
          <w:rFonts w:hint="eastAsia" w:ascii="华文仿宋" w:hAnsi="华文仿宋" w:cs="华文仿宋"/>
          <w:b/>
          <w:color w:val="auto"/>
          <w:kern w:val="0"/>
          <w:highlight w:val="none"/>
        </w:rPr>
        <w:t>▲（</w:t>
      </w:r>
      <w:r>
        <w:rPr>
          <w:rFonts w:hint="eastAsia" w:ascii="华文仿宋" w:hAnsi="华文仿宋" w:cs="华文仿宋"/>
          <w:b/>
          <w:color w:val="auto"/>
          <w:kern w:val="0"/>
          <w:highlight w:val="none"/>
          <w:lang w:val="en-US" w:eastAsia="zh-CN"/>
        </w:rPr>
        <w:t>三</w:t>
      </w:r>
      <w:r>
        <w:rPr>
          <w:rFonts w:hint="eastAsia" w:ascii="华文仿宋" w:hAnsi="华文仿宋" w:cs="华文仿宋"/>
          <w:b/>
          <w:color w:val="auto"/>
          <w:kern w:val="0"/>
          <w:highlight w:val="none"/>
        </w:rPr>
        <w:t>）</w:t>
      </w:r>
      <w:r>
        <w:rPr>
          <w:rFonts w:hint="eastAsia" w:ascii="华文仿宋" w:hAnsi="华文仿宋" w:cs="华文仿宋"/>
          <w:b/>
          <w:color w:val="auto"/>
          <w:kern w:val="0"/>
          <w:highlight w:val="none"/>
          <w:lang w:val="en-US" w:eastAsia="zh-CN"/>
        </w:rPr>
        <w:t>安全文明施工要求</w:t>
      </w:r>
    </w:p>
    <w:p>
      <w:pPr>
        <w:spacing w:afterLines="0" w:line="500" w:lineRule="exact"/>
        <w:ind w:firstLine="566" w:firstLineChars="200"/>
        <w:rPr>
          <w:rFonts w:hint="eastAsia" w:ascii="华文仿宋" w:hAnsi="华文仿宋" w:cs="华文仿宋"/>
          <w:color w:val="auto"/>
          <w:sz w:val="28"/>
          <w:szCs w:val="28"/>
          <w:highlight w:val="none"/>
          <w:lang w:val="en-US" w:eastAsia="zh-CN"/>
        </w:rPr>
      </w:pPr>
      <w:r>
        <w:rPr>
          <w:rFonts w:hint="eastAsia" w:ascii="华文仿宋" w:hAnsi="华文仿宋" w:cs="华文仿宋"/>
          <w:color w:val="auto"/>
          <w:sz w:val="28"/>
          <w:szCs w:val="28"/>
          <w:highlight w:val="none"/>
          <w:lang w:val="en-US" w:eastAsia="zh-CN"/>
        </w:rPr>
        <w:t>1、</w:t>
      </w:r>
      <w:r>
        <w:rPr>
          <w:rFonts w:hint="eastAsia" w:ascii="华文仿宋" w:hAnsi="华文仿宋" w:eastAsia="华文仿宋" w:cs="华文仿宋"/>
          <w:color w:val="auto"/>
          <w:sz w:val="28"/>
          <w:szCs w:val="28"/>
          <w:highlight w:val="none"/>
          <w:u w:val="none"/>
        </w:rPr>
        <w:t>施工时，</w:t>
      </w:r>
      <w:r>
        <w:rPr>
          <w:rFonts w:hint="eastAsia" w:ascii="华文仿宋" w:hAnsi="华文仿宋" w:cs="华文仿宋"/>
          <w:color w:val="auto"/>
          <w:sz w:val="28"/>
          <w:szCs w:val="28"/>
          <w:highlight w:val="none"/>
          <w:u w:val="none"/>
          <w:lang w:eastAsia="zh-CN"/>
        </w:rPr>
        <w:t>投标</w:t>
      </w:r>
      <w:r>
        <w:rPr>
          <w:rFonts w:hint="eastAsia" w:ascii="华文仿宋" w:hAnsi="华文仿宋" w:cs="华文仿宋"/>
          <w:color w:val="auto"/>
          <w:sz w:val="28"/>
          <w:szCs w:val="28"/>
          <w:highlight w:val="none"/>
          <w:u w:val="none"/>
          <w:lang w:val="en-US" w:eastAsia="zh-CN"/>
        </w:rPr>
        <w:t>人</w:t>
      </w:r>
      <w:r>
        <w:rPr>
          <w:rFonts w:hint="eastAsia" w:ascii="华文仿宋" w:hAnsi="华文仿宋" w:eastAsia="华文仿宋" w:cs="华文仿宋"/>
          <w:color w:val="auto"/>
          <w:sz w:val="28"/>
          <w:szCs w:val="28"/>
          <w:highlight w:val="none"/>
          <w:u w:val="none"/>
        </w:rPr>
        <w:t>应遵守学生公寓管理部门的相关规定和具体施工要求。规范施工、文明施工、统一着装，严格遵守相关法律、规定</w:t>
      </w:r>
      <w:r>
        <w:rPr>
          <w:rFonts w:hint="eastAsia" w:ascii="华文仿宋" w:hAnsi="华文仿宋" w:cs="华文仿宋"/>
          <w:color w:val="auto"/>
          <w:sz w:val="28"/>
          <w:szCs w:val="28"/>
          <w:highlight w:val="none"/>
          <w:u w:val="none"/>
          <w:lang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cs="华文仿宋"/>
          <w:color w:val="auto"/>
          <w:sz w:val="28"/>
          <w:szCs w:val="28"/>
          <w:highlight w:val="none"/>
          <w:lang w:val="en-US" w:eastAsia="zh-CN"/>
        </w:rPr>
        <w:t>2、</w:t>
      </w:r>
      <w:r>
        <w:rPr>
          <w:rFonts w:hint="eastAsia" w:ascii="华文仿宋" w:hAnsi="华文仿宋" w:eastAsia="华文仿宋" w:cs="华文仿宋"/>
          <w:color w:val="auto"/>
          <w:sz w:val="28"/>
          <w:szCs w:val="28"/>
          <w:highlight w:val="none"/>
        </w:rPr>
        <w:t>安装作业人员必须经过专业的培训并取得相应的资格证书后方可上岗作业，安装作业人员出现任何涉及人身安全</w:t>
      </w:r>
      <w:r>
        <w:rPr>
          <w:rFonts w:hint="eastAsia" w:ascii="华文仿宋" w:hAnsi="华文仿宋" w:eastAsia="华文仿宋" w:cs="华文仿宋"/>
          <w:color w:val="auto"/>
          <w:sz w:val="28"/>
          <w:szCs w:val="28"/>
          <w:highlight w:val="none"/>
          <w:lang w:val="en-US" w:eastAsia="zh-CN"/>
        </w:rPr>
        <w:t>的</w:t>
      </w:r>
      <w:r>
        <w:rPr>
          <w:rFonts w:hint="eastAsia" w:ascii="华文仿宋" w:hAnsi="华文仿宋" w:eastAsia="华文仿宋" w:cs="华文仿宋"/>
          <w:color w:val="auto"/>
          <w:sz w:val="28"/>
          <w:szCs w:val="28"/>
          <w:highlight w:val="none"/>
        </w:rPr>
        <w:t>责任问题均由投标</w:t>
      </w:r>
      <w:r>
        <w:rPr>
          <w:rFonts w:hint="eastAsia" w:ascii="华文仿宋" w:hAnsi="华文仿宋" w:cs="华文仿宋"/>
          <w:color w:val="auto"/>
          <w:sz w:val="28"/>
          <w:szCs w:val="28"/>
          <w:highlight w:val="none"/>
          <w:lang w:val="en-US" w:eastAsia="zh-CN"/>
        </w:rPr>
        <w:t>人</w:t>
      </w:r>
      <w:r>
        <w:rPr>
          <w:rFonts w:hint="eastAsia" w:ascii="华文仿宋" w:hAnsi="华文仿宋" w:eastAsia="华文仿宋" w:cs="华文仿宋"/>
          <w:color w:val="auto"/>
          <w:sz w:val="28"/>
          <w:szCs w:val="28"/>
          <w:highlight w:val="none"/>
        </w:rPr>
        <w:t>负责。</w:t>
      </w:r>
      <w:bookmarkEnd w:id="569"/>
      <w:bookmarkEnd w:id="570"/>
      <w:bookmarkEnd w:id="571"/>
    </w:p>
    <w:p>
      <w:pPr>
        <w:spacing w:afterLines="0" w:line="500" w:lineRule="exact"/>
        <w:ind w:firstLine="566" w:firstLineChars="200"/>
        <w:rPr>
          <w:rFonts w:hint="eastAsia" w:ascii="华文仿宋" w:hAnsi="华文仿宋" w:eastAsia="华文仿宋" w:cs="华文仿宋"/>
          <w:color w:val="auto"/>
          <w:sz w:val="28"/>
          <w:szCs w:val="28"/>
          <w:highlight w:val="none"/>
          <w:u w:val="none"/>
        </w:rPr>
      </w:pPr>
      <w:r>
        <w:rPr>
          <w:rFonts w:hint="eastAsia" w:ascii="华文仿宋" w:hAnsi="华文仿宋" w:cs="华文仿宋"/>
          <w:color w:val="auto"/>
          <w:sz w:val="28"/>
          <w:szCs w:val="28"/>
          <w:highlight w:val="none"/>
          <w:u w:val="none"/>
          <w:lang w:val="en-US" w:eastAsia="zh-CN"/>
        </w:rPr>
        <w:t>3、</w:t>
      </w:r>
      <w:r>
        <w:rPr>
          <w:rFonts w:hint="eastAsia" w:ascii="华文仿宋" w:hAnsi="华文仿宋" w:eastAsia="华文仿宋" w:cs="华文仿宋"/>
          <w:color w:val="auto"/>
          <w:sz w:val="28"/>
          <w:szCs w:val="28"/>
          <w:highlight w:val="none"/>
          <w:u w:val="none"/>
        </w:rPr>
        <w:t>空调安装施工期间，</w:t>
      </w:r>
      <w:r>
        <w:rPr>
          <w:rFonts w:hint="eastAsia" w:ascii="华文仿宋" w:hAnsi="华文仿宋" w:cs="华文仿宋"/>
          <w:color w:val="auto"/>
          <w:sz w:val="28"/>
          <w:szCs w:val="28"/>
          <w:highlight w:val="none"/>
          <w:u w:val="none"/>
          <w:lang w:eastAsia="zh-CN"/>
        </w:rPr>
        <w:t>投标</w:t>
      </w:r>
      <w:r>
        <w:rPr>
          <w:rFonts w:hint="eastAsia" w:ascii="华文仿宋" w:hAnsi="华文仿宋" w:cs="华文仿宋"/>
          <w:color w:val="auto"/>
          <w:sz w:val="28"/>
          <w:szCs w:val="28"/>
          <w:highlight w:val="none"/>
          <w:u w:val="none"/>
          <w:lang w:val="en-US" w:eastAsia="zh-CN"/>
        </w:rPr>
        <w:t>人</w:t>
      </w:r>
      <w:r>
        <w:rPr>
          <w:rFonts w:hint="eastAsia" w:ascii="华文仿宋" w:hAnsi="华文仿宋" w:eastAsia="华文仿宋" w:cs="华文仿宋"/>
          <w:color w:val="auto"/>
          <w:sz w:val="28"/>
          <w:szCs w:val="28"/>
          <w:highlight w:val="none"/>
          <w:u w:val="none"/>
        </w:rPr>
        <w:t>应采取各种措施，尽量不影响学生的正常生活、学习，在施工区域应提前公告施工位置、及时通报施工进度、施工现场做好防尘、降噪及卫生清理等工作；施工人员进入施工楼，应到门卫室做好详细登记，得到同意后方可进楼施工；施工人员必须严格按照施工时间进行施工，具体时间由学校有关部门制定；施工垃圾应及时打包，按指定通道运送到指定位置，施工所有垃圾当天必须清理出学校；如果卫生未达标，学校职能部门另请保洁公司进行清理，费用</w:t>
      </w:r>
      <w:r>
        <w:rPr>
          <w:rFonts w:hint="eastAsia" w:ascii="华文仿宋" w:hAnsi="华文仿宋" w:cs="华文仿宋"/>
          <w:color w:val="auto"/>
          <w:sz w:val="28"/>
          <w:szCs w:val="28"/>
          <w:highlight w:val="none"/>
          <w:u w:val="none"/>
          <w:lang w:val="en-US" w:eastAsia="zh-CN"/>
        </w:rPr>
        <w:t>由供应商承担</w:t>
      </w:r>
      <w:r>
        <w:rPr>
          <w:rFonts w:hint="eastAsia" w:ascii="华文仿宋" w:hAnsi="华文仿宋" w:eastAsia="华文仿宋" w:cs="华文仿宋"/>
          <w:color w:val="auto"/>
          <w:sz w:val="28"/>
          <w:szCs w:val="28"/>
          <w:highlight w:val="none"/>
          <w:u w:val="none"/>
        </w:rPr>
        <w:t>；施工期间，学生个人物品一律不得动用，宿舍内如有物品遗失，调查核实后由施工方负全责。施工人员不得与学生、教职员工发生纠纷。施工现场必须设置警示牌、安全标识等</w:t>
      </w:r>
      <w:r>
        <w:rPr>
          <w:rFonts w:hint="eastAsia" w:ascii="华文仿宋" w:hAnsi="华文仿宋" w:cs="华文仿宋"/>
          <w:color w:val="auto"/>
          <w:sz w:val="28"/>
          <w:szCs w:val="28"/>
          <w:highlight w:val="none"/>
          <w:u w:val="none"/>
          <w:lang w:eastAsia="zh-CN"/>
        </w:rPr>
        <w:t>。</w:t>
      </w:r>
    </w:p>
    <w:p>
      <w:pPr>
        <w:keepNext w:val="0"/>
        <w:keepLines w:val="0"/>
        <w:pageBreakBefore w:val="0"/>
        <w:widowControl/>
        <w:kinsoku/>
        <w:wordWrap/>
        <w:overflowPunct/>
        <w:topLinePunct w:val="0"/>
        <w:autoSpaceDE/>
        <w:autoSpaceDN/>
        <w:bidi w:val="0"/>
        <w:adjustRightInd/>
        <w:snapToGrid/>
        <w:spacing w:afterLines="0" w:line="500" w:lineRule="exact"/>
        <w:ind w:leftChars="0" w:firstLine="566" w:firstLineChars="200"/>
        <w:textAlignment w:val="auto"/>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lang w:val="en-US" w:eastAsia="zh-CN"/>
        </w:rPr>
        <w:t>4、</w:t>
      </w:r>
      <w:r>
        <w:rPr>
          <w:rFonts w:hint="eastAsia" w:ascii="华文仿宋" w:hAnsi="华文仿宋" w:cs="华文仿宋"/>
          <w:color w:val="auto"/>
          <w:sz w:val="28"/>
          <w:szCs w:val="28"/>
          <w:highlight w:val="none"/>
        </w:rPr>
        <w:t>入室空调孔必须按照采购人指定位置统一施工，孔两端使用膨胀剂封堵后加装封盖（防水、防风），保证孔周边结实、美观。</w:t>
      </w:r>
    </w:p>
    <w:p>
      <w:pPr>
        <w:adjustRightInd w:val="0"/>
        <w:snapToGrid w:val="0"/>
        <w:spacing w:after="0" w:afterLines="0" w:line="500" w:lineRule="exact"/>
        <w:ind w:firstLine="566" w:firstLineChars="200"/>
        <w:jc w:val="left"/>
        <w:rPr>
          <w:rFonts w:hint="default" w:ascii="华文仿宋" w:hAnsi="华文仿宋" w:eastAsia="华文仿宋" w:cs="华文仿宋"/>
          <w:b/>
          <w:color w:val="auto"/>
          <w:kern w:val="0"/>
          <w:highlight w:val="none"/>
          <w:lang w:val="en-US" w:eastAsia="zh-CN"/>
        </w:rPr>
      </w:pPr>
      <w:r>
        <w:rPr>
          <w:rFonts w:hint="eastAsia" w:ascii="华文仿宋" w:hAnsi="华文仿宋" w:eastAsia="华文仿宋" w:cs="华文仿宋"/>
          <w:color w:val="auto"/>
          <w:sz w:val="28"/>
          <w:szCs w:val="28"/>
          <w:highlight w:val="none"/>
        </w:rPr>
        <w:t>▲</w:t>
      </w:r>
      <w:r>
        <w:rPr>
          <w:rFonts w:hint="eastAsia" w:ascii="华文仿宋" w:hAnsi="华文仿宋" w:cs="华文仿宋"/>
          <w:b/>
          <w:color w:val="auto"/>
          <w:kern w:val="0"/>
          <w:highlight w:val="none"/>
        </w:rPr>
        <w:t>（</w:t>
      </w:r>
      <w:r>
        <w:rPr>
          <w:rFonts w:hint="eastAsia" w:ascii="华文仿宋" w:hAnsi="华文仿宋" w:cs="华文仿宋"/>
          <w:b/>
          <w:color w:val="auto"/>
          <w:kern w:val="0"/>
          <w:highlight w:val="none"/>
          <w:lang w:val="en-US" w:eastAsia="zh-CN"/>
        </w:rPr>
        <w:t>四</w:t>
      </w:r>
      <w:r>
        <w:rPr>
          <w:rFonts w:hint="eastAsia" w:ascii="华文仿宋" w:hAnsi="华文仿宋" w:cs="华文仿宋"/>
          <w:b/>
          <w:color w:val="auto"/>
          <w:kern w:val="0"/>
          <w:highlight w:val="none"/>
        </w:rPr>
        <w:t>）</w:t>
      </w:r>
      <w:r>
        <w:rPr>
          <w:rFonts w:hint="eastAsia" w:ascii="华文仿宋" w:hAnsi="华文仿宋" w:cs="华文仿宋"/>
          <w:b/>
          <w:color w:val="auto"/>
          <w:kern w:val="0"/>
          <w:highlight w:val="none"/>
          <w:lang w:val="en-US" w:eastAsia="zh-CN"/>
        </w:rPr>
        <w:t>售后服务</w:t>
      </w:r>
    </w:p>
    <w:p>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Chars="0" w:firstLine="566" w:firstLineChars="200"/>
        <w:textAlignment w:val="auto"/>
        <w:rPr>
          <w:rFonts w:hint="eastAsia" w:ascii="华文仿宋" w:hAnsi="华文仿宋" w:eastAsia="华文仿宋" w:cs="华文仿宋"/>
          <w:color w:val="auto"/>
          <w:sz w:val="28"/>
          <w:szCs w:val="28"/>
          <w:highlight w:val="none"/>
          <w:lang w:eastAsia="zh-CN"/>
        </w:rPr>
      </w:pPr>
      <w:r>
        <w:rPr>
          <w:rFonts w:hint="eastAsia" w:ascii="华文仿宋" w:hAnsi="华文仿宋" w:cs="华文仿宋"/>
          <w:color w:val="auto"/>
          <w:sz w:val="28"/>
          <w:szCs w:val="28"/>
          <w:highlight w:val="none"/>
          <w:lang w:val="en-US" w:eastAsia="zh-CN"/>
        </w:rPr>
        <w:t>1、</w:t>
      </w:r>
      <w:r>
        <w:rPr>
          <w:rFonts w:hint="eastAsia" w:ascii="华文仿宋" w:hAnsi="华文仿宋" w:cs="华文仿宋"/>
          <w:color w:val="auto"/>
          <w:sz w:val="28"/>
          <w:szCs w:val="28"/>
          <w:highlight w:val="none"/>
          <w:lang w:eastAsia="zh-CN"/>
        </w:rPr>
        <w:t>投标人</w:t>
      </w:r>
      <w:r>
        <w:rPr>
          <w:rFonts w:hint="eastAsia" w:ascii="华文仿宋" w:hAnsi="华文仿宋" w:eastAsia="华文仿宋" w:cs="华文仿宋"/>
          <w:color w:val="auto"/>
          <w:sz w:val="28"/>
          <w:szCs w:val="28"/>
          <w:highlight w:val="none"/>
        </w:rPr>
        <w:t>对所供货物免费进行质保和</w:t>
      </w:r>
      <w:r>
        <w:rPr>
          <w:rFonts w:hint="eastAsia" w:ascii="华文仿宋" w:hAnsi="华文仿宋" w:cs="华文仿宋"/>
          <w:color w:val="auto"/>
          <w:sz w:val="28"/>
          <w:szCs w:val="28"/>
          <w:highlight w:val="none"/>
          <w:lang w:val="en-US" w:eastAsia="zh-CN"/>
        </w:rPr>
        <w:t>增值</w:t>
      </w:r>
      <w:r>
        <w:rPr>
          <w:rFonts w:hint="eastAsia" w:ascii="华文仿宋" w:hAnsi="华文仿宋" w:eastAsia="华文仿宋" w:cs="华文仿宋"/>
          <w:color w:val="auto"/>
          <w:sz w:val="28"/>
          <w:szCs w:val="28"/>
          <w:highlight w:val="none"/>
        </w:rPr>
        <w:t>服务</w:t>
      </w:r>
      <w:r>
        <w:rPr>
          <w:rFonts w:hint="eastAsia" w:ascii="华文仿宋" w:hAnsi="华文仿宋" w:cs="华文仿宋"/>
          <w:color w:val="auto"/>
          <w:sz w:val="28"/>
          <w:szCs w:val="28"/>
          <w:highlight w:val="none"/>
          <w:lang w:eastAsia="zh-CN"/>
        </w:rPr>
        <w:t>。</w:t>
      </w:r>
    </w:p>
    <w:p>
      <w:pPr>
        <w:pStyle w:val="2"/>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Chars="0" w:firstLine="566" w:firstLineChars="200"/>
        <w:textAlignment w:val="auto"/>
        <w:rPr>
          <w:rFonts w:hint="eastAsia" w:ascii="华文仿宋" w:hAnsi="华文仿宋" w:eastAsia="华文仿宋" w:cs="华文仿宋"/>
          <w:color w:val="auto"/>
          <w:sz w:val="28"/>
          <w:szCs w:val="28"/>
          <w:highlight w:val="none"/>
        </w:rPr>
      </w:pPr>
      <w:r>
        <w:rPr>
          <w:rFonts w:hint="eastAsia" w:ascii="华文仿宋" w:hAnsi="华文仿宋" w:cs="华文仿宋"/>
          <w:color w:val="auto"/>
          <w:sz w:val="28"/>
          <w:szCs w:val="28"/>
          <w:highlight w:val="none"/>
          <w:lang w:val="en-US" w:eastAsia="zh-CN"/>
        </w:rPr>
        <w:t>2、</w:t>
      </w:r>
      <w:r>
        <w:rPr>
          <w:rFonts w:hint="eastAsia" w:ascii="华文仿宋" w:hAnsi="华文仿宋" w:eastAsia="华文仿宋" w:cs="华文仿宋"/>
          <w:color w:val="auto"/>
          <w:sz w:val="28"/>
          <w:szCs w:val="28"/>
          <w:highlight w:val="none"/>
        </w:rPr>
        <w:t>根据项目实际需求提供售后服务方案</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rPr>
        <w:t>内容包含：</w:t>
      </w:r>
      <w:r>
        <w:rPr>
          <w:rFonts w:hint="eastAsia" w:ascii="华文仿宋" w:hAnsi="华文仿宋" w:eastAsia="华文仿宋" w:cs="华文仿宋"/>
          <w:color w:val="auto"/>
          <w:sz w:val="28"/>
          <w:szCs w:val="28"/>
          <w:highlight w:val="none"/>
          <w:lang w:val="en-US" w:eastAsia="zh-CN"/>
        </w:rPr>
        <w:t>①售后服务范围②响应时间③故障处理及补救措施</w:t>
      </w:r>
      <w:r>
        <w:rPr>
          <w:rFonts w:hint="eastAsia" w:ascii="华文仿宋" w:hAnsi="华文仿宋" w:eastAsia="华文仿宋" w:cs="华文仿宋"/>
          <w:color w:val="auto"/>
          <w:sz w:val="28"/>
          <w:szCs w:val="28"/>
          <w:highlight w:val="none"/>
        </w:rPr>
        <w:t>④售后服务</w:t>
      </w:r>
      <w:r>
        <w:rPr>
          <w:rFonts w:hint="eastAsia" w:ascii="华文仿宋" w:hAnsi="华文仿宋" w:eastAsia="华文仿宋" w:cs="华文仿宋"/>
          <w:color w:val="auto"/>
          <w:sz w:val="28"/>
          <w:szCs w:val="28"/>
          <w:highlight w:val="none"/>
          <w:lang w:val="en-US" w:eastAsia="zh-CN"/>
        </w:rPr>
        <w:t>保障措施</w:t>
      </w:r>
      <w:r>
        <w:rPr>
          <w:rFonts w:hint="eastAsia" w:ascii="华文仿宋" w:hAnsi="华文仿宋" w:cs="华文仿宋"/>
          <w:color w:val="auto"/>
          <w:sz w:val="28"/>
          <w:szCs w:val="28"/>
          <w:highlight w:val="none"/>
          <w:lang w:val="en-US" w:eastAsia="zh-CN"/>
        </w:rPr>
        <w:t>⑤</w:t>
      </w:r>
      <w:r>
        <w:rPr>
          <w:rFonts w:hint="eastAsia" w:ascii="华文仿宋" w:hAnsi="华文仿宋" w:eastAsia="华文仿宋" w:cs="华文仿宋"/>
          <w:color w:val="auto"/>
          <w:sz w:val="28"/>
          <w:szCs w:val="28"/>
          <w:highlight w:val="none"/>
        </w:rPr>
        <w:t>定期回访及维护</w:t>
      </w:r>
      <w:r>
        <w:rPr>
          <w:rFonts w:hint="eastAsia" w:ascii="华文仿宋" w:hAnsi="华文仿宋" w:eastAsia="华文仿宋" w:cs="华文仿宋"/>
          <w:color w:val="auto"/>
          <w:sz w:val="28"/>
          <w:szCs w:val="28"/>
          <w:highlight w:val="none"/>
          <w:lang w:eastAsia="zh-CN"/>
        </w:rPr>
        <w:t>。</w:t>
      </w:r>
    </w:p>
    <w:p>
      <w:pPr>
        <w:numPr>
          <w:ilvl w:val="255"/>
          <w:numId w:val="0"/>
        </w:numPr>
        <w:spacing w:line="500" w:lineRule="exact"/>
        <w:ind w:firstLine="550" w:firstLineChars="200"/>
        <w:jc w:val="left"/>
        <w:rPr>
          <w:rFonts w:ascii="宋体" w:hAnsi="宋体" w:eastAsia="宋体" w:cs="宋体"/>
          <w:b/>
          <w:bCs/>
          <w:color w:val="auto"/>
          <w:highlight w:val="none"/>
          <w:lang w:val="zh-CN"/>
        </w:rPr>
      </w:pPr>
      <w:r>
        <w:rPr>
          <w:rFonts w:hint="eastAsia" w:ascii="华文仿宋" w:hAnsi="华文仿宋" w:cs="华文仿宋"/>
          <w:b/>
          <w:bCs/>
          <w:color w:val="auto"/>
          <w:spacing w:val="-4"/>
          <w:highlight w:val="none"/>
        </w:rPr>
        <w:t>三、其他要求</w:t>
      </w:r>
    </w:p>
    <w:p>
      <w:pPr>
        <w:pStyle w:val="2"/>
        <w:spacing w:afterLines="0" w:line="500" w:lineRule="exact"/>
        <w:ind w:firstLine="566" w:firstLineChars="200"/>
        <w:rPr>
          <w:rFonts w:ascii="华文仿宋" w:hAnsi="华文仿宋" w:cs="华文仿宋"/>
          <w:b/>
          <w:bCs/>
          <w:color w:val="auto"/>
          <w:sz w:val="28"/>
          <w:szCs w:val="28"/>
          <w:highlight w:val="none"/>
        </w:rPr>
      </w:pPr>
      <w:r>
        <w:rPr>
          <w:rFonts w:hint="eastAsia" w:ascii="华文仿宋" w:hAnsi="华文仿宋" w:cs="华文仿宋"/>
          <w:b/>
          <w:bCs/>
          <w:color w:val="auto"/>
          <w:sz w:val="28"/>
          <w:szCs w:val="28"/>
          <w:highlight w:val="none"/>
        </w:rPr>
        <w:t>★（一）强制采购</w:t>
      </w:r>
    </w:p>
    <w:p>
      <w:pPr>
        <w:pStyle w:val="7"/>
        <w:spacing w:afterLines="0" w:line="500" w:lineRule="exact"/>
        <w:ind w:firstLine="566" w:firstLineChars="200"/>
        <w:rPr>
          <w:rFonts w:ascii="华文仿宋" w:hAnsi="华文仿宋" w:cs="华文仿宋"/>
          <w:b/>
          <w:bCs/>
          <w:color w:val="auto"/>
          <w:highlight w:val="none"/>
          <w:lang w:val="zh-CN"/>
        </w:rPr>
      </w:pPr>
      <w:r>
        <w:rPr>
          <w:rFonts w:hint="eastAsia" w:ascii="华文仿宋" w:hAnsi="华文仿宋" w:cs="华文仿宋"/>
          <w:b/>
          <w:bCs/>
          <w:color w:val="auto"/>
          <w:highlight w:val="none"/>
          <w:lang w:val="en-US" w:eastAsia="zh-CN"/>
        </w:rPr>
        <w:t>本项目所</w:t>
      </w:r>
      <w:r>
        <w:rPr>
          <w:rFonts w:hint="eastAsia" w:ascii="华文仿宋" w:hAnsi="华文仿宋" w:cs="华文仿宋"/>
          <w:b/>
          <w:bCs/>
          <w:color w:val="auto"/>
          <w:highlight w:val="none"/>
        </w:rPr>
        <w:t>采购的壁挂空调为强制节能产品，</w:t>
      </w:r>
      <w:r>
        <w:rPr>
          <w:rFonts w:hint="eastAsia" w:ascii="华文仿宋" w:hAnsi="华文仿宋" w:cs="华文仿宋"/>
          <w:b/>
          <w:bCs/>
          <w:color w:val="auto"/>
          <w:highlight w:val="none"/>
          <w:lang w:val="en-US" w:eastAsia="zh-CN"/>
        </w:rPr>
        <w:t>投标人</w:t>
      </w:r>
      <w:r>
        <w:rPr>
          <w:rFonts w:hint="eastAsia" w:ascii="华文仿宋" w:hAnsi="华文仿宋" w:cs="华文仿宋"/>
          <w:b/>
          <w:bCs/>
          <w:color w:val="auto"/>
          <w:highlight w:val="none"/>
        </w:rPr>
        <w:t>须提供国家确定的认证机构出具的、处于有效期内的节能产品认证证书，且认证证书需包含本次所投产品的具体型号，否则按无效投标处理。</w:t>
      </w:r>
    </w:p>
    <w:p>
      <w:pPr>
        <w:pStyle w:val="7"/>
        <w:spacing w:afterLines="0"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lang w:val="zh-CN"/>
        </w:rPr>
        <w:t>★</w:t>
      </w:r>
      <w:r>
        <w:rPr>
          <w:rFonts w:hint="eastAsia" w:ascii="华文仿宋" w:hAnsi="华文仿宋" w:cs="华文仿宋"/>
          <w:b/>
          <w:bCs/>
          <w:color w:val="auto"/>
          <w:highlight w:val="none"/>
        </w:rPr>
        <w:t>（二）</w:t>
      </w:r>
      <w:r>
        <w:rPr>
          <w:rFonts w:hint="eastAsia" w:ascii="华文仿宋" w:hAnsi="华文仿宋" w:cs="华文仿宋"/>
          <w:b/>
          <w:bCs/>
          <w:color w:val="auto"/>
          <w:highlight w:val="none"/>
          <w:lang w:val="en-US" w:eastAsia="zh-CN"/>
        </w:rPr>
        <w:t>投标人</w:t>
      </w:r>
      <w:r>
        <w:rPr>
          <w:rFonts w:hint="eastAsia" w:ascii="华文仿宋" w:hAnsi="华文仿宋" w:cs="华文仿宋"/>
          <w:b/>
          <w:bCs/>
          <w:color w:val="auto"/>
          <w:highlight w:val="none"/>
        </w:rPr>
        <w:t>须承诺（承诺格式自拟）：</w:t>
      </w:r>
    </w:p>
    <w:p>
      <w:pPr>
        <w:pStyle w:val="7"/>
        <w:keepNext w:val="0"/>
        <w:keepLines w:val="0"/>
        <w:pageBreakBefore w:val="0"/>
        <w:widowControl/>
        <w:kinsoku/>
        <w:wordWrap/>
        <w:overflowPunct/>
        <w:topLinePunct w:val="0"/>
        <w:autoSpaceDE/>
        <w:autoSpaceDN/>
        <w:bidi w:val="0"/>
        <w:adjustRightInd/>
        <w:snapToGrid/>
        <w:spacing w:afterLines="0" w:line="500" w:lineRule="exact"/>
        <w:ind w:firstLine="566" w:firstLineChars="200"/>
        <w:textAlignment w:val="auto"/>
        <w:rPr>
          <w:rFonts w:ascii="华文仿宋" w:hAnsi="华文仿宋" w:cs="华文仿宋"/>
          <w:b/>
          <w:bCs/>
          <w:color w:val="auto"/>
          <w:highlight w:val="none"/>
        </w:rPr>
      </w:pPr>
      <w:r>
        <w:rPr>
          <w:rFonts w:hint="eastAsia" w:ascii="华文仿宋" w:hAnsi="华文仿宋" w:cs="华文仿宋"/>
          <w:b/>
          <w:bCs/>
          <w:color w:val="auto"/>
          <w:highlight w:val="none"/>
        </w:rPr>
        <w:t>1、完全满足本项目全部采购货物数量要求。</w:t>
      </w:r>
    </w:p>
    <w:p>
      <w:pPr>
        <w:pStyle w:val="7"/>
        <w:keepNext w:val="0"/>
        <w:keepLines w:val="0"/>
        <w:pageBreakBefore w:val="0"/>
        <w:widowControl/>
        <w:kinsoku/>
        <w:wordWrap/>
        <w:overflowPunct/>
        <w:topLinePunct w:val="0"/>
        <w:autoSpaceDE/>
        <w:autoSpaceDN/>
        <w:bidi w:val="0"/>
        <w:adjustRightInd/>
        <w:snapToGrid/>
        <w:spacing w:afterLines="0" w:line="500" w:lineRule="exact"/>
        <w:ind w:firstLine="566" w:firstLineChars="200"/>
        <w:textAlignment w:val="auto"/>
        <w:rPr>
          <w:rFonts w:ascii="华文仿宋" w:hAnsi="华文仿宋" w:cs="华文仿宋"/>
          <w:b/>
          <w:bCs/>
          <w:color w:val="auto"/>
          <w:highlight w:val="none"/>
        </w:rPr>
      </w:pPr>
      <w:r>
        <w:rPr>
          <w:rFonts w:hint="eastAsia" w:ascii="华文仿宋" w:hAnsi="华文仿宋" w:cs="华文仿宋"/>
          <w:b/>
          <w:bCs/>
          <w:color w:val="auto"/>
          <w:highlight w:val="none"/>
        </w:rPr>
        <w:t>2、拟派安装人员均持有高空特种作业操作证，投标</w:t>
      </w:r>
      <w:r>
        <w:rPr>
          <w:rFonts w:hint="eastAsia" w:ascii="华文仿宋" w:hAnsi="华文仿宋" w:cs="华文仿宋"/>
          <w:b/>
          <w:bCs/>
          <w:color w:val="auto"/>
          <w:highlight w:val="none"/>
          <w:lang w:val="en-US" w:eastAsia="zh-CN"/>
        </w:rPr>
        <w:t>人</w:t>
      </w:r>
      <w:r>
        <w:rPr>
          <w:rFonts w:hint="eastAsia" w:ascii="华文仿宋" w:hAnsi="华文仿宋" w:cs="华文仿宋"/>
          <w:b/>
          <w:bCs/>
          <w:color w:val="auto"/>
          <w:highlight w:val="none"/>
        </w:rPr>
        <w:t>均为安装人员购买了意外险并接受过相关专业培训。如若在安装过程中有任何意外发生，均由投标</w:t>
      </w:r>
      <w:r>
        <w:rPr>
          <w:rFonts w:hint="eastAsia" w:ascii="华文仿宋" w:hAnsi="华文仿宋" w:cs="华文仿宋"/>
          <w:b/>
          <w:bCs/>
          <w:color w:val="auto"/>
          <w:highlight w:val="none"/>
          <w:lang w:val="en-US" w:eastAsia="zh-CN"/>
        </w:rPr>
        <w:t>人</w:t>
      </w:r>
      <w:r>
        <w:rPr>
          <w:rFonts w:hint="eastAsia" w:ascii="华文仿宋" w:hAnsi="华文仿宋" w:cs="华文仿宋"/>
          <w:b/>
          <w:bCs/>
          <w:color w:val="auto"/>
          <w:highlight w:val="none"/>
        </w:rPr>
        <w:t>承担，采购人不承担任何责任。</w:t>
      </w:r>
    </w:p>
    <w:p>
      <w:pPr>
        <w:keepNext w:val="0"/>
        <w:keepLines w:val="0"/>
        <w:pageBreakBefore w:val="0"/>
        <w:widowControl/>
        <w:numPr>
          <w:ilvl w:val="-1"/>
          <w:numId w:val="0"/>
        </w:numPr>
        <w:kinsoku/>
        <w:wordWrap/>
        <w:overflowPunct/>
        <w:topLinePunct w:val="0"/>
        <w:autoSpaceDE/>
        <w:autoSpaceDN/>
        <w:bidi w:val="0"/>
        <w:adjustRightInd w:val="0"/>
        <w:snapToGrid w:val="0"/>
        <w:spacing w:after="0" w:afterLines="0" w:line="500" w:lineRule="exact"/>
        <w:ind w:firstLine="566" w:firstLineChars="200"/>
        <w:jc w:val="left"/>
        <w:textAlignment w:val="auto"/>
        <w:rPr>
          <w:rFonts w:hint="eastAsia" w:ascii="华文仿宋" w:hAnsi="华文仿宋" w:cs="华文仿宋"/>
          <w:b/>
          <w:color w:val="auto"/>
          <w:kern w:val="0"/>
          <w:highlight w:val="none"/>
          <w:lang w:val="en-US" w:eastAsia="zh-CN"/>
        </w:rPr>
      </w:pPr>
      <w:r>
        <w:rPr>
          <w:rFonts w:hint="eastAsia" w:ascii="华文仿宋" w:hAnsi="华文仿宋" w:cs="华文仿宋"/>
          <w:b/>
          <w:color w:val="auto"/>
          <w:kern w:val="0"/>
          <w:highlight w:val="none"/>
          <w:lang w:val="en-US" w:eastAsia="zh-CN"/>
        </w:rPr>
        <w:t>4、因有513台空调距插座距离较远，空调出厂时电源线须在原有基础上再延长3米，保证空调安装后正常使用。</w:t>
      </w:r>
    </w:p>
    <w:p>
      <w:pPr>
        <w:numPr>
          <w:ilvl w:val="-1"/>
          <w:numId w:val="0"/>
        </w:numPr>
        <w:adjustRightInd w:val="0"/>
        <w:snapToGrid w:val="0"/>
        <w:spacing w:afterLines="0" w:line="500" w:lineRule="exact"/>
        <w:ind w:firstLine="566" w:firstLineChars="200"/>
        <w:jc w:val="left"/>
        <w:rPr>
          <w:rFonts w:hint="eastAsia" w:ascii="华文仿宋" w:hAnsi="华文仿宋" w:cs="华文仿宋"/>
          <w:b/>
          <w:color w:val="auto"/>
          <w:kern w:val="0"/>
          <w:highlight w:val="none"/>
          <w:lang w:val="en-US" w:eastAsia="zh-CN"/>
        </w:rPr>
      </w:pPr>
      <w:r>
        <w:rPr>
          <w:rFonts w:hint="eastAsia" w:ascii="华文仿宋" w:hAnsi="华文仿宋" w:cs="华文仿宋"/>
          <w:b/>
          <w:color w:val="auto"/>
          <w:kern w:val="0"/>
          <w:highlight w:val="none"/>
          <w:lang w:val="en-US" w:eastAsia="zh-CN"/>
        </w:rPr>
        <w:t>5、所有空调连接室内外机器的冷媒铜管须在原有基础上再延长3米，保证空调安装后正常使用。</w:t>
      </w:r>
    </w:p>
    <w:p>
      <w:pPr>
        <w:spacing w:line="500" w:lineRule="exact"/>
        <w:ind w:firstLine="426" w:firstLineChars="200"/>
        <w:rPr>
          <w:rFonts w:hint="eastAsia" w:ascii="宋体" w:hAnsi="宋体" w:eastAsia="宋体" w:cs="宋体"/>
          <w:b/>
          <w:bCs/>
          <w:color w:val="auto"/>
          <w:sz w:val="21"/>
          <w:szCs w:val="21"/>
          <w:highlight w:val="none"/>
          <w:lang w:val="zh-CN"/>
        </w:rPr>
      </w:pPr>
    </w:p>
    <w:p>
      <w:pPr>
        <w:spacing w:line="240" w:lineRule="auto"/>
        <w:ind w:firstLine="426"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备注：</w:t>
      </w:r>
    </w:p>
    <w:p>
      <w:pPr>
        <w:spacing w:line="240" w:lineRule="auto"/>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1、“★”内容</w:t>
      </w:r>
    </w:p>
    <w:p>
      <w:pPr>
        <w:spacing w:line="240" w:lineRule="auto"/>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（1）“★”内容项为实质性条款，投标人应在第六章“投标文件构成及格式”中的“技术服务偏差表”处逐条响应“★”内容项，未逐条响应、有缺漏将被视为无效投标；</w:t>
      </w:r>
    </w:p>
    <w:p>
      <w:pPr>
        <w:spacing w:line="240" w:lineRule="auto"/>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（2）根据招标文件要求，若“★”内容项须附相关证明材料，则投标人应将相关证明材料附至第六章“技术服务偏差表”（二）其他材料，如未按要求提供相关证明材料，将被视为无效投标；</w:t>
      </w:r>
    </w:p>
    <w:p>
      <w:pPr>
        <w:keepNext/>
        <w:keepLines/>
        <w:spacing w:line="240" w:lineRule="auto"/>
        <w:ind w:firstLine="42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2、“▲”内容项为重要要求，投标人未达到这些要求或未响应将影响评分。</w:t>
      </w:r>
    </w:p>
    <w:p>
      <w:pPr>
        <w:spacing w:line="240" w:lineRule="auto"/>
        <w:jc w:val="center"/>
        <w:outlineLvl w:val="0"/>
        <w:rPr>
          <w:rFonts w:ascii="黑体" w:hAnsi="黑体" w:eastAsia="黑体" w:cs="黑体"/>
          <w:color w:val="auto"/>
          <w:kern w:val="44"/>
          <w:sz w:val="32"/>
          <w:szCs w:val="32"/>
          <w:highlight w:val="none"/>
        </w:rPr>
      </w:pPr>
      <w:bookmarkStart w:id="572" w:name="_Toc31266"/>
      <w:bookmarkStart w:id="573" w:name="_Toc14437"/>
      <w:bookmarkStart w:id="574" w:name="_Toc20880"/>
      <w:bookmarkStart w:id="575" w:name="_Toc8978"/>
      <w:bookmarkStart w:id="576" w:name="_Toc22019"/>
      <w:bookmarkStart w:id="577" w:name="_Toc15480"/>
      <w:bookmarkStart w:id="578" w:name="_Toc21122"/>
      <w:r>
        <w:rPr>
          <w:rFonts w:hint="eastAsia" w:ascii="黑体" w:hAnsi="黑体" w:eastAsia="黑体" w:cs="黑体"/>
          <w:color w:val="auto"/>
          <w:kern w:val="44"/>
          <w:sz w:val="32"/>
          <w:szCs w:val="32"/>
          <w:highlight w:val="none"/>
        </w:rPr>
        <w:br w:type="page"/>
      </w:r>
      <w:bookmarkStart w:id="579" w:name="_Toc25069"/>
      <w:bookmarkStart w:id="580" w:name="_Toc26291"/>
      <w:bookmarkStart w:id="581" w:name="_Toc31055"/>
      <w:bookmarkStart w:id="582" w:name="_Toc32397"/>
      <w:bookmarkStart w:id="583" w:name="_Toc9304"/>
      <w:r>
        <w:rPr>
          <w:rFonts w:hint="eastAsia" w:ascii="黑体" w:hAnsi="黑体" w:eastAsia="黑体" w:cs="黑体"/>
          <w:color w:val="auto"/>
          <w:kern w:val="44"/>
          <w:sz w:val="32"/>
          <w:szCs w:val="32"/>
          <w:highlight w:val="none"/>
        </w:rPr>
        <w:t xml:space="preserve">第五章 </w:t>
      </w:r>
      <w:bookmarkEnd w:id="572"/>
      <w:bookmarkEnd w:id="573"/>
      <w:bookmarkEnd w:id="574"/>
      <w:bookmarkEnd w:id="575"/>
      <w:bookmarkEnd w:id="576"/>
      <w:bookmarkEnd w:id="577"/>
      <w:r>
        <w:rPr>
          <w:rFonts w:hint="eastAsia" w:ascii="黑体" w:hAnsi="黑体" w:eastAsia="黑体" w:cs="黑体"/>
          <w:color w:val="auto"/>
          <w:kern w:val="44"/>
          <w:sz w:val="32"/>
          <w:szCs w:val="32"/>
          <w:highlight w:val="none"/>
        </w:rPr>
        <w:t xml:space="preserve"> 合同基本条款</w:t>
      </w:r>
      <w:bookmarkEnd w:id="578"/>
      <w:bookmarkEnd w:id="579"/>
      <w:bookmarkEnd w:id="580"/>
      <w:bookmarkEnd w:id="581"/>
      <w:bookmarkEnd w:id="582"/>
      <w:bookmarkEnd w:id="583"/>
    </w:p>
    <w:p>
      <w:pPr>
        <w:pStyle w:val="4"/>
        <w:spacing w:line="500" w:lineRule="exact"/>
        <w:ind w:firstLine="566" w:firstLineChars="200"/>
        <w:rPr>
          <w:rFonts w:ascii="华文仿宋" w:hAnsi="华文仿宋" w:cs="华文仿宋"/>
          <w:color w:val="auto"/>
          <w:sz w:val="28"/>
          <w:szCs w:val="28"/>
          <w:highlight w:val="none"/>
        </w:rPr>
      </w:pPr>
      <w:bookmarkStart w:id="584" w:name="_Toc284"/>
      <w:bookmarkStart w:id="585" w:name="_Toc19563"/>
      <w:bookmarkStart w:id="586" w:name="_Toc27140"/>
      <w:bookmarkStart w:id="587" w:name="_Toc30632"/>
      <w:bookmarkStart w:id="588" w:name="_Toc20291"/>
      <w:bookmarkStart w:id="589" w:name="_Toc7550"/>
      <w:bookmarkStart w:id="590" w:name="_Toc27392"/>
      <w:bookmarkStart w:id="591" w:name="_Toc28365"/>
      <w:bookmarkStart w:id="592" w:name="_Toc4166"/>
      <w:bookmarkStart w:id="593" w:name="_Toc9085"/>
      <w:bookmarkStart w:id="594" w:name="_Toc4288"/>
      <w:bookmarkStart w:id="595" w:name="_Toc25553"/>
      <w:bookmarkStart w:id="596" w:name="_Toc29080"/>
      <w:bookmarkStart w:id="597" w:name="_Toc29656"/>
      <w:bookmarkStart w:id="598" w:name="_Toc30955"/>
      <w:bookmarkStart w:id="599" w:name="_Toc8274"/>
      <w:bookmarkStart w:id="600" w:name="_Toc35871572"/>
      <w:bookmarkStart w:id="601" w:name="_Toc12594"/>
      <w:bookmarkStart w:id="602" w:name="_Toc9095"/>
      <w:bookmarkStart w:id="603" w:name="_Toc7712"/>
      <w:bookmarkStart w:id="604" w:name="_Toc14082139"/>
      <w:bookmarkStart w:id="605" w:name="_Toc23541"/>
      <w:r>
        <w:rPr>
          <w:rFonts w:hint="eastAsia" w:ascii="华文仿宋" w:hAnsi="华文仿宋" w:cs="华文仿宋"/>
          <w:color w:val="auto"/>
          <w:sz w:val="28"/>
          <w:szCs w:val="28"/>
          <w:highlight w:val="none"/>
        </w:rPr>
        <w:t>一、交货条件</w:t>
      </w:r>
      <w:bookmarkEnd w:id="584"/>
      <w:bookmarkEnd w:id="585"/>
      <w:bookmarkEnd w:id="586"/>
      <w:bookmarkEnd w:id="587"/>
      <w:bookmarkEnd w:id="588"/>
      <w:bookmarkEnd w:id="589"/>
      <w:bookmarkEnd w:id="590"/>
      <w:bookmarkEnd w:id="591"/>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（一）交货地点：采购人指定地点。</w:t>
      </w:r>
    </w:p>
    <w:p>
      <w:pPr>
        <w:keepNext/>
        <w:keepLines/>
        <w:spacing w:line="500" w:lineRule="exact"/>
        <w:ind w:firstLine="566" w:firstLineChars="200"/>
        <w:rPr>
          <w:rFonts w:hint="default" w:ascii="华文仿宋" w:hAnsi="华文仿宋" w:cs="华文仿宋"/>
          <w:color w:val="auto"/>
          <w:highlight w:val="none"/>
          <w:lang w:val="en-US" w:eastAsia="zh-CN"/>
        </w:rPr>
      </w:pPr>
      <w:r>
        <w:rPr>
          <w:rFonts w:hint="eastAsia" w:ascii="华文仿宋" w:hAnsi="华文仿宋" w:cs="华文仿宋"/>
          <w:color w:val="auto"/>
          <w:highlight w:val="none"/>
        </w:rPr>
        <w:t>（二）交货期：自合同签订之日起</w:t>
      </w:r>
      <w:r>
        <w:rPr>
          <w:rFonts w:hint="eastAsia" w:ascii="华文仿宋" w:hAnsi="华文仿宋" w:cs="华文仿宋"/>
          <w:color w:val="auto"/>
          <w:highlight w:val="none"/>
          <w:lang w:val="en-US" w:eastAsia="zh-CN"/>
        </w:rPr>
        <w:t>30</w:t>
      </w:r>
      <w:r>
        <w:rPr>
          <w:rFonts w:hint="eastAsia" w:ascii="华文仿宋" w:hAnsi="华文仿宋" w:cs="华文仿宋"/>
          <w:color w:val="auto"/>
          <w:highlight w:val="none"/>
        </w:rPr>
        <w:t>个日历日内</w:t>
      </w:r>
      <w:r>
        <w:rPr>
          <w:rFonts w:hint="eastAsia" w:ascii="华文仿宋" w:hAnsi="华文仿宋" w:cs="华文仿宋"/>
          <w:color w:val="auto"/>
          <w:highlight w:val="none"/>
          <w:lang w:val="en-US" w:eastAsia="zh-CN"/>
        </w:rPr>
        <w:t>完工并投入使用。</w:t>
      </w:r>
    </w:p>
    <w:p>
      <w:pPr>
        <w:keepNext/>
        <w:keepLines/>
        <w:spacing w:line="500" w:lineRule="exact"/>
        <w:ind w:firstLine="566" w:firstLineChars="200"/>
        <w:rPr>
          <w:color w:val="auto"/>
          <w:highlight w:val="none"/>
        </w:rPr>
      </w:pPr>
      <w:r>
        <w:rPr>
          <w:rFonts w:hint="eastAsia" w:ascii="华文仿宋" w:hAnsi="华文仿宋" w:cs="华文仿宋"/>
          <w:color w:val="auto"/>
          <w:highlight w:val="none"/>
        </w:rPr>
        <w:t>（三）质保期：</w:t>
      </w:r>
      <w:r>
        <w:rPr>
          <w:rFonts w:hint="eastAsia" w:ascii="华文仿宋" w:hAnsi="华文仿宋" w:cs="华文仿宋"/>
          <w:color w:val="auto"/>
          <w:highlight w:val="none"/>
          <w:lang w:val="en-US" w:eastAsia="zh-CN"/>
        </w:rPr>
        <w:t>自</w:t>
      </w:r>
      <w:r>
        <w:rPr>
          <w:rFonts w:hint="eastAsia" w:ascii="华文仿宋" w:hAnsi="华文仿宋" w:cs="华文仿宋"/>
          <w:color w:val="auto"/>
          <w:highlight w:val="none"/>
        </w:rPr>
        <w:t>验收合格之日起</w:t>
      </w:r>
      <w:r>
        <w:rPr>
          <w:rFonts w:hint="eastAsia" w:ascii="华文仿宋" w:hAnsi="华文仿宋" w:cs="华文仿宋"/>
          <w:color w:val="auto"/>
          <w:highlight w:val="none"/>
          <w:lang w:val="en-US" w:eastAsia="zh-CN"/>
        </w:rPr>
        <w:t>6</w:t>
      </w:r>
      <w:r>
        <w:rPr>
          <w:rFonts w:hint="eastAsia" w:ascii="华文仿宋" w:hAnsi="华文仿宋" w:cs="华文仿宋"/>
          <w:color w:val="auto"/>
          <w:highlight w:val="none"/>
        </w:rPr>
        <w:t>年</w:t>
      </w:r>
      <w:r>
        <w:rPr>
          <w:rFonts w:hint="eastAsia" w:ascii="仿宋" w:hAnsi="仿宋" w:eastAsia="仿宋"/>
          <w:color w:val="auto"/>
          <w:highlight w:val="none"/>
        </w:rPr>
        <w:t>。</w:t>
      </w:r>
    </w:p>
    <w:p>
      <w:pPr>
        <w:pStyle w:val="4"/>
        <w:spacing w:line="500" w:lineRule="exact"/>
        <w:ind w:firstLine="566" w:firstLineChars="200"/>
        <w:rPr>
          <w:rFonts w:ascii="华文仿宋" w:hAnsi="华文仿宋" w:cs="华文仿宋"/>
          <w:color w:val="auto"/>
          <w:sz w:val="28"/>
          <w:szCs w:val="28"/>
          <w:highlight w:val="none"/>
        </w:rPr>
      </w:pPr>
      <w:bookmarkStart w:id="606" w:name="_Toc6582"/>
      <w:bookmarkStart w:id="607" w:name="_Toc719"/>
      <w:bookmarkStart w:id="608" w:name="_Toc30641"/>
      <w:bookmarkStart w:id="609" w:name="_Toc23088"/>
      <w:bookmarkStart w:id="610" w:name="_Toc8757"/>
      <w:bookmarkStart w:id="611" w:name="_Toc8970"/>
      <w:bookmarkStart w:id="612" w:name="_Toc25330"/>
      <w:bookmarkStart w:id="613" w:name="_Toc3467"/>
      <w:r>
        <w:rPr>
          <w:rFonts w:hint="eastAsia" w:ascii="华文仿宋" w:hAnsi="华文仿宋" w:cs="华文仿宋"/>
          <w:color w:val="auto"/>
          <w:sz w:val="28"/>
          <w:szCs w:val="28"/>
          <w:highlight w:val="none"/>
        </w:rPr>
        <w:t>二、合同价款</w:t>
      </w:r>
      <w:bookmarkEnd w:id="606"/>
      <w:bookmarkEnd w:id="607"/>
      <w:bookmarkEnd w:id="608"/>
      <w:bookmarkEnd w:id="609"/>
      <w:bookmarkEnd w:id="610"/>
      <w:bookmarkEnd w:id="611"/>
      <w:bookmarkEnd w:id="612"/>
      <w:bookmarkEnd w:id="613"/>
    </w:p>
    <w:p>
      <w:pPr>
        <w:spacing w:line="500" w:lineRule="exact"/>
        <w:ind w:firstLine="566" w:firstLineChars="200"/>
        <w:rPr>
          <w:color w:val="auto"/>
          <w:highlight w:val="none"/>
        </w:rPr>
      </w:pPr>
      <w:r>
        <w:rPr>
          <w:rFonts w:hint="eastAsia" w:cs="华文仿宋"/>
          <w:color w:val="auto"/>
          <w:highlight w:val="none"/>
        </w:rPr>
        <w:t>合同总价一次性包死，不受市场价格变化</w:t>
      </w:r>
      <w:r>
        <w:rPr>
          <w:rFonts w:hint="eastAsia" w:cs="华文仿宋"/>
          <w:color w:val="auto"/>
          <w:highlight w:val="none"/>
          <w:lang w:val="en-US" w:eastAsia="zh-CN"/>
        </w:rPr>
        <w:t>和其他任何</w:t>
      </w:r>
      <w:r>
        <w:rPr>
          <w:rFonts w:hint="eastAsia" w:cs="华文仿宋"/>
          <w:color w:val="auto"/>
          <w:highlight w:val="none"/>
        </w:rPr>
        <w:t>因素的影响。</w:t>
      </w:r>
    </w:p>
    <w:p>
      <w:pPr>
        <w:pStyle w:val="4"/>
        <w:spacing w:line="500" w:lineRule="exact"/>
        <w:ind w:firstLine="566" w:firstLineChars="200"/>
        <w:rPr>
          <w:color w:val="auto"/>
          <w:sz w:val="28"/>
          <w:szCs w:val="28"/>
          <w:highlight w:val="none"/>
        </w:rPr>
      </w:pPr>
      <w:bookmarkStart w:id="614" w:name="_Toc26468"/>
      <w:bookmarkStart w:id="615" w:name="_Toc22902"/>
      <w:bookmarkStart w:id="616" w:name="_Toc8616"/>
      <w:bookmarkStart w:id="617" w:name="_Toc5138"/>
      <w:bookmarkStart w:id="618" w:name="_Toc22612"/>
      <w:bookmarkStart w:id="619" w:name="_Toc17230"/>
      <w:bookmarkStart w:id="620" w:name="_Toc28859"/>
      <w:bookmarkStart w:id="621" w:name="_Toc29541"/>
      <w:r>
        <w:rPr>
          <w:rFonts w:hint="eastAsia"/>
          <w:color w:val="auto"/>
          <w:sz w:val="28"/>
          <w:szCs w:val="28"/>
          <w:highlight w:val="none"/>
        </w:rPr>
        <w:t>三、款项结算</w:t>
      </w:r>
      <w:bookmarkEnd w:id="614"/>
      <w:bookmarkEnd w:id="615"/>
      <w:bookmarkEnd w:id="616"/>
      <w:bookmarkEnd w:id="617"/>
      <w:bookmarkEnd w:id="618"/>
      <w:bookmarkEnd w:id="619"/>
      <w:bookmarkEnd w:id="620"/>
      <w:bookmarkEnd w:id="621"/>
    </w:p>
    <w:p>
      <w:pPr>
        <w:pStyle w:val="39"/>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（一）支付方式：银行转账</w:t>
      </w:r>
    </w:p>
    <w:p>
      <w:pPr>
        <w:pStyle w:val="39"/>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（二）货币单位：人民币</w:t>
      </w:r>
    </w:p>
    <w:p>
      <w:pPr>
        <w:keepNext/>
        <w:keepLines/>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（三）结算方式：</w:t>
      </w:r>
    </w:p>
    <w:p>
      <w:pPr>
        <w:keepNext/>
        <w:keepLines/>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lang w:val="en-US" w:eastAsia="zh-CN"/>
        </w:rPr>
        <w:t>空调进场后支付中标额的40%，项目</w:t>
      </w:r>
      <w:r>
        <w:rPr>
          <w:rFonts w:hint="eastAsia" w:ascii="华文仿宋" w:hAnsi="华文仿宋" w:cs="华文仿宋"/>
          <w:color w:val="auto"/>
          <w:highlight w:val="none"/>
        </w:rPr>
        <w:t>验收合格之日起30日内支付</w:t>
      </w:r>
      <w:r>
        <w:rPr>
          <w:rFonts w:hint="eastAsia" w:ascii="华文仿宋" w:hAnsi="华文仿宋" w:cs="华文仿宋"/>
          <w:color w:val="auto"/>
          <w:highlight w:val="none"/>
          <w:lang w:val="en-US" w:eastAsia="zh-CN"/>
        </w:rPr>
        <w:t>剩余货款</w:t>
      </w:r>
      <w:r>
        <w:rPr>
          <w:rFonts w:hint="eastAsia" w:ascii="华文仿宋" w:hAnsi="华文仿宋" w:cs="华文仿宋"/>
          <w:color w:val="auto"/>
          <w:highlight w:val="none"/>
        </w:rPr>
        <w:t>。</w:t>
      </w:r>
    </w:p>
    <w:p>
      <w:pPr>
        <w:spacing w:line="500" w:lineRule="exact"/>
        <w:ind w:firstLine="566" w:firstLineChars="200"/>
        <w:outlineLvl w:val="1"/>
        <w:rPr>
          <w:color w:val="auto"/>
          <w:highlight w:val="none"/>
        </w:rPr>
      </w:pPr>
      <w:bookmarkStart w:id="622" w:name="_Toc2302"/>
      <w:bookmarkStart w:id="623" w:name="_Toc31291"/>
      <w:bookmarkStart w:id="624" w:name="_Toc21718"/>
      <w:bookmarkStart w:id="625" w:name="_Toc5789"/>
      <w:bookmarkStart w:id="626" w:name="_Toc9799"/>
      <w:r>
        <w:rPr>
          <w:rFonts w:hint="eastAsia"/>
          <w:b/>
          <w:bCs/>
          <w:color w:val="auto"/>
          <w:highlight w:val="none"/>
        </w:rPr>
        <w:t>四、在签订合同前，中标人应按照招标文件第四章《招标内容及采购要求》中所有承诺事项要求落实，如未在规定时限内按要求完成所承诺事项的，则视为主动放弃中标资格。</w:t>
      </w:r>
      <w:bookmarkEnd w:id="622"/>
      <w:bookmarkEnd w:id="623"/>
      <w:bookmarkEnd w:id="624"/>
      <w:bookmarkEnd w:id="625"/>
      <w:bookmarkEnd w:id="626"/>
    </w:p>
    <w:p>
      <w:pPr>
        <w:adjustRightInd w:val="0"/>
        <w:snapToGrid w:val="0"/>
        <w:spacing w:line="500" w:lineRule="exact"/>
        <w:ind w:firstLine="566" w:firstLineChars="200"/>
        <w:outlineLvl w:val="1"/>
        <w:rPr>
          <w:rFonts w:ascii="华文仿宋" w:hAnsi="华文仿宋" w:cs="华文仿宋"/>
          <w:b/>
          <w:bCs/>
          <w:color w:val="auto"/>
          <w:highlight w:val="none"/>
        </w:rPr>
      </w:pPr>
      <w:bookmarkStart w:id="627" w:name="_Toc19031"/>
      <w:bookmarkStart w:id="628" w:name="_Toc20861"/>
      <w:bookmarkStart w:id="629" w:name="_Toc20219"/>
      <w:bookmarkStart w:id="630" w:name="_Toc22460"/>
      <w:bookmarkStart w:id="631" w:name="_Toc7958"/>
      <w:bookmarkStart w:id="632" w:name="_Toc24449"/>
      <w:r>
        <w:rPr>
          <w:rFonts w:hint="eastAsia" w:ascii="华文仿宋" w:hAnsi="华文仿宋" w:cs="华文仿宋"/>
          <w:b/>
          <w:bCs/>
          <w:color w:val="auto"/>
          <w:highlight w:val="none"/>
        </w:rPr>
        <w:t>五、运输</w:t>
      </w:r>
      <w:bookmarkEnd w:id="627"/>
      <w:bookmarkEnd w:id="628"/>
      <w:r>
        <w:rPr>
          <w:rFonts w:hint="eastAsia" w:ascii="华文仿宋" w:hAnsi="华文仿宋" w:cs="华文仿宋"/>
          <w:b/>
          <w:bCs/>
          <w:color w:val="auto"/>
          <w:highlight w:val="none"/>
        </w:rPr>
        <w:t>及包装</w:t>
      </w:r>
      <w:bookmarkEnd w:id="629"/>
      <w:bookmarkEnd w:id="630"/>
      <w:bookmarkEnd w:id="631"/>
      <w:bookmarkEnd w:id="632"/>
    </w:p>
    <w:p>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rPr>
        <w:t>1、运输由中标人负责，运杂费已包含在合同总价内。包括从货物供应地点运送至交付地点所含的运输费、装卸费、仓储费、保险费等。</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2、运输方式由中标人自行选择，但必须保证按期交付。不得断货，因断货造成的损失由中标供货商负责赔偿。</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3、货物到达采购人指定地点后，中标人应按有关技术规程和采购人要求进行存放和保管。</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4、中标人提供的产品及相关快递服务的包装要求，按照《商品包装政府采购需求标准（试行）》、《快递包装政府采购需求标准（试行）》执行。</w:t>
      </w:r>
    </w:p>
    <w:p>
      <w:pPr>
        <w:spacing w:line="500" w:lineRule="exact"/>
        <w:ind w:firstLine="566" w:firstLineChars="200"/>
        <w:outlineLvl w:val="1"/>
        <w:rPr>
          <w:rFonts w:ascii="华文仿宋" w:hAnsi="华文仿宋" w:cs="华文仿宋"/>
          <w:b/>
          <w:bCs/>
          <w:color w:val="auto"/>
          <w:highlight w:val="none"/>
        </w:rPr>
      </w:pPr>
      <w:bookmarkStart w:id="633" w:name="_Toc17961"/>
      <w:bookmarkStart w:id="634" w:name="_Toc25110"/>
      <w:bookmarkStart w:id="635" w:name="_Toc19581"/>
      <w:bookmarkStart w:id="636" w:name="_Toc30908"/>
      <w:bookmarkStart w:id="637" w:name="_Toc6523"/>
      <w:bookmarkStart w:id="638" w:name="_Toc26112"/>
      <w:bookmarkStart w:id="639" w:name="_Toc32747"/>
      <w:bookmarkStart w:id="640" w:name="_Toc1519"/>
      <w:r>
        <w:rPr>
          <w:rFonts w:hint="eastAsia" w:ascii="华文仿宋" w:hAnsi="华文仿宋" w:cs="华文仿宋"/>
          <w:b/>
          <w:bCs/>
          <w:color w:val="auto"/>
          <w:highlight w:val="none"/>
        </w:rPr>
        <w:t>六、质量保证</w:t>
      </w:r>
      <w:bookmarkEnd w:id="633"/>
      <w:bookmarkEnd w:id="634"/>
      <w:bookmarkEnd w:id="635"/>
      <w:bookmarkEnd w:id="636"/>
      <w:bookmarkEnd w:id="637"/>
      <w:bookmarkEnd w:id="638"/>
      <w:bookmarkEnd w:id="639"/>
      <w:bookmarkEnd w:id="640"/>
    </w:p>
    <w:p>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1、以采购人的要求为准，为采购人提供全新的货物（包括零部件）。</w:t>
      </w:r>
    </w:p>
    <w:p>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2、中标人应随货物向采购人交付货物的随机备品、配件、工具、图纸、使用说明书及相关资料。</w:t>
      </w:r>
    </w:p>
    <w:p>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3、所用材料必须保证质量可靠、进货渠道正规，无假货、水货或翻新货，符合国家质量性能检测标准及该产品的出厂标准。</w:t>
      </w:r>
    </w:p>
    <w:p>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4、产品符合国家有关技术规范，确保质量合格。</w:t>
      </w:r>
    </w:p>
    <w:p>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5、中标人提供的产品，若发生侵权而产生的一切后果，由中标人负责。采购人保留索赔权力。</w:t>
      </w:r>
    </w:p>
    <w:p>
      <w:pPr>
        <w:pStyle w:val="4"/>
        <w:spacing w:line="500" w:lineRule="exact"/>
        <w:ind w:firstLine="566" w:firstLineChars="200"/>
        <w:rPr>
          <w:rFonts w:ascii="华文仿宋" w:hAnsi="华文仿宋" w:cs="华文仿宋"/>
          <w:color w:val="auto"/>
          <w:sz w:val="28"/>
          <w:szCs w:val="28"/>
          <w:highlight w:val="none"/>
        </w:rPr>
      </w:pPr>
      <w:bookmarkStart w:id="641" w:name="_Toc28740"/>
      <w:bookmarkStart w:id="642" w:name="_Toc32487"/>
      <w:bookmarkStart w:id="643" w:name="_Toc28705"/>
      <w:bookmarkStart w:id="644" w:name="_Toc12935"/>
      <w:bookmarkStart w:id="645" w:name="_Toc3059"/>
      <w:bookmarkStart w:id="646" w:name="_Toc13142"/>
      <w:bookmarkStart w:id="647" w:name="_Toc15073"/>
      <w:bookmarkStart w:id="648" w:name="_Toc13704"/>
      <w:r>
        <w:rPr>
          <w:rFonts w:hint="eastAsia" w:ascii="华文仿宋" w:hAnsi="华文仿宋" w:cs="华文仿宋"/>
          <w:color w:val="auto"/>
          <w:sz w:val="28"/>
          <w:szCs w:val="28"/>
          <w:highlight w:val="none"/>
        </w:rPr>
        <w:t>七、验收</w:t>
      </w:r>
      <w:bookmarkEnd w:id="641"/>
      <w:bookmarkEnd w:id="642"/>
      <w:bookmarkEnd w:id="643"/>
      <w:bookmarkEnd w:id="644"/>
      <w:bookmarkEnd w:id="645"/>
      <w:bookmarkEnd w:id="646"/>
      <w:bookmarkEnd w:id="647"/>
      <w:bookmarkEnd w:id="648"/>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1、验收依据：</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（1）招标文件、投标文件、澄清表（函）；</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（2）国家相应的标准、规范。</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lang w:val="en-US" w:eastAsia="zh-CN"/>
        </w:rPr>
        <w:t>2</w:t>
      </w:r>
      <w:r>
        <w:rPr>
          <w:rFonts w:hint="eastAsia" w:ascii="华文仿宋" w:hAnsi="华文仿宋" w:cs="华文仿宋"/>
          <w:color w:val="auto"/>
          <w:highlight w:val="none"/>
        </w:rPr>
        <w:t>、中标人货物经过双方检验认可后，签署验收报告，产品保修期自验收合格之日起算，由中标人提供产品保修文件。</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当满足以下条件时，采购人才向中标人签发货物验收报告：</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（1）中标人已按照合同规定提供了全部产品及完整的技术资料。</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（2）货物符合招标文件和投标文件技术规格要求，性能满足要求。</w:t>
      </w:r>
    </w:p>
    <w:p>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cs="华文仿宋"/>
          <w:color w:val="auto"/>
          <w:highlight w:val="none"/>
        </w:rPr>
        <w:t>（3）货物具备产品合格证。</w:t>
      </w:r>
    </w:p>
    <w:p>
      <w:pPr>
        <w:pStyle w:val="4"/>
        <w:spacing w:line="500" w:lineRule="exact"/>
        <w:ind w:firstLine="566" w:firstLineChars="200"/>
        <w:rPr>
          <w:rFonts w:ascii="华文仿宋" w:hAnsi="华文仿宋" w:cs="华文仿宋"/>
          <w:color w:val="auto"/>
          <w:sz w:val="28"/>
          <w:szCs w:val="28"/>
          <w:highlight w:val="none"/>
        </w:rPr>
      </w:pPr>
      <w:bookmarkStart w:id="649" w:name="_Toc26523"/>
      <w:bookmarkStart w:id="650" w:name="_Toc31919"/>
      <w:bookmarkStart w:id="651" w:name="_Toc6562"/>
      <w:bookmarkStart w:id="652" w:name="_Toc4385"/>
      <w:r>
        <w:rPr>
          <w:rFonts w:hint="eastAsia" w:ascii="华文仿宋" w:hAnsi="华文仿宋" w:cs="华文仿宋"/>
          <w:color w:val="auto"/>
          <w:sz w:val="28"/>
          <w:szCs w:val="28"/>
          <w:highlight w:val="none"/>
        </w:rPr>
        <w:t>八、保修责任</w:t>
      </w:r>
      <w:bookmarkEnd w:id="649"/>
      <w:bookmarkEnd w:id="650"/>
      <w:bookmarkEnd w:id="651"/>
      <w:bookmarkEnd w:id="652"/>
    </w:p>
    <w:p>
      <w:pPr>
        <w:spacing w:line="500" w:lineRule="exact"/>
        <w:ind w:firstLine="566" w:firstLineChars="200"/>
        <w:rPr>
          <w:rFonts w:hint="eastAsia" w:ascii="仿宋" w:hAnsi="仿宋" w:cs="仿宋"/>
          <w:color w:val="auto"/>
          <w:highlight w:val="none"/>
        </w:rPr>
      </w:pPr>
      <w:r>
        <w:rPr>
          <w:rFonts w:hint="eastAsia" w:ascii="仿宋" w:hAnsi="仿宋" w:cs="仿宋"/>
          <w:color w:val="auto"/>
          <w:highlight w:val="none"/>
        </w:rPr>
        <w:t>1、质保期内，除人为因素损坏外，中标人对所供产品实行免费更换或免费维修，质保期外设备出现问题只收取设备维修费。</w:t>
      </w:r>
    </w:p>
    <w:p>
      <w:pPr>
        <w:spacing w:line="500" w:lineRule="exact"/>
        <w:ind w:firstLine="566" w:firstLineChars="200"/>
        <w:rPr>
          <w:rFonts w:ascii="仿宋" w:hAnsi="仿宋" w:cs="仿宋"/>
          <w:color w:val="auto"/>
          <w:highlight w:val="none"/>
        </w:rPr>
      </w:pPr>
      <w:r>
        <w:rPr>
          <w:rFonts w:hint="eastAsia" w:ascii="仿宋" w:hAnsi="仿宋" w:cs="仿宋"/>
          <w:color w:val="auto"/>
          <w:highlight w:val="none"/>
        </w:rPr>
        <w:t>2、质保期内，中标人接到采购人维修通知，应在工作日</w:t>
      </w:r>
      <w:r>
        <w:rPr>
          <w:rFonts w:hint="eastAsia" w:ascii="仿宋" w:hAnsi="仿宋" w:eastAsia="仿宋" w:cs="仿宋"/>
          <w:color w:val="auto"/>
          <w:highlight w:val="none"/>
        </w:rPr>
        <w:t>72</w:t>
      </w:r>
      <w:r>
        <w:rPr>
          <w:rFonts w:hint="eastAsia" w:ascii="仿宋" w:hAnsi="仿宋" w:cs="仿宋"/>
          <w:color w:val="auto"/>
          <w:highlight w:val="none"/>
        </w:rPr>
        <w:t>小时内(非工作日</w:t>
      </w:r>
      <w:r>
        <w:rPr>
          <w:rFonts w:hint="eastAsia" w:ascii="仿宋" w:hAnsi="仿宋" w:eastAsia="仿宋" w:cs="仿宋"/>
          <w:color w:val="auto"/>
          <w:highlight w:val="none"/>
        </w:rPr>
        <w:t>8</w:t>
      </w:r>
      <w:r>
        <w:rPr>
          <w:rFonts w:hint="eastAsia" w:ascii="仿宋" w:hAnsi="仿宋" w:cs="仿宋"/>
          <w:color w:val="auto"/>
          <w:highlight w:val="none"/>
        </w:rPr>
        <w:t>小时内）或与采购人约定时间内，派人现场处理；如经检测，无法在</w:t>
      </w:r>
      <w:r>
        <w:rPr>
          <w:rFonts w:hint="eastAsia" w:ascii="仿宋" w:hAnsi="仿宋" w:eastAsia="仿宋" w:cs="仿宋"/>
          <w:color w:val="auto"/>
          <w:highlight w:val="none"/>
        </w:rPr>
        <w:t>24</w:t>
      </w:r>
      <w:r>
        <w:rPr>
          <w:rFonts w:hint="eastAsia" w:ascii="仿宋" w:hAnsi="仿宋" w:cs="仿宋"/>
          <w:color w:val="auto"/>
          <w:highlight w:val="none"/>
        </w:rPr>
        <w:t>小时内完成修复的，免费提供同档次或更高档次的配件，保证设备正常使用直至故障排除。</w:t>
      </w:r>
    </w:p>
    <w:p>
      <w:pPr>
        <w:pStyle w:val="4"/>
        <w:spacing w:line="500" w:lineRule="exact"/>
        <w:ind w:firstLine="566" w:firstLineChars="200"/>
        <w:rPr>
          <w:rFonts w:cs="Times New Roman"/>
          <w:color w:val="auto"/>
          <w:sz w:val="28"/>
          <w:szCs w:val="28"/>
          <w:highlight w:val="none"/>
        </w:rPr>
      </w:pPr>
      <w:bookmarkStart w:id="653" w:name="_Toc13263"/>
      <w:bookmarkStart w:id="654" w:name="_Toc2688"/>
      <w:bookmarkStart w:id="655" w:name="_Toc15379"/>
      <w:bookmarkStart w:id="656" w:name="_Toc6087"/>
      <w:bookmarkStart w:id="657" w:name="_Toc8834"/>
      <w:bookmarkStart w:id="658" w:name="_Toc14245"/>
      <w:bookmarkStart w:id="659" w:name="_Toc7194"/>
      <w:bookmarkStart w:id="660" w:name="_Toc15629"/>
      <w:bookmarkStart w:id="661" w:name="_Toc586"/>
      <w:r>
        <w:rPr>
          <w:rFonts w:hint="eastAsia" w:cs="华文仿宋"/>
          <w:color w:val="auto"/>
          <w:sz w:val="28"/>
          <w:szCs w:val="28"/>
          <w:highlight w:val="none"/>
        </w:rPr>
        <w:t>九、</w:t>
      </w:r>
      <w:r>
        <w:rPr>
          <w:rFonts w:hint="eastAsia"/>
          <w:color w:val="auto"/>
          <w:sz w:val="28"/>
          <w:szCs w:val="28"/>
          <w:highlight w:val="none"/>
        </w:rPr>
        <w:t>违约责任</w:t>
      </w:r>
      <w:bookmarkEnd w:id="653"/>
      <w:bookmarkEnd w:id="654"/>
      <w:bookmarkEnd w:id="655"/>
      <w:bookmarkEnd w:id="656"/>
      <w:bookmarkEnd w:id="657"/>
      <w:bookmarkEnd w:id="658"/>
      <w:bookmarkEnd w:id="659"/>
      <w:bookmarkEnd w:id="660"/>
      <w:bookmarkEnd w:id="661"/>
    </w:p>
    <w:p>
      <w:pPr>
        <w:pStyle w:val="1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（一）按《</w:t>
      </w:r>
      <w:r>
        <w:rPr>
          <w:rFonts w:hint="eastAsia"/>
          <w:color w:val="auto"/>
          <w:highlight w:val="none"/>
        </w:rPr>
        <w:t>中华人民共和国民法典</w:t>
      </w:r>
      <w:r>
        <w:rPr>
          <w:rFonts w:hint="eastAsia" w:ascii="华文仿宋" w:hAnsi="华文仿宋" w:cs="华文仿宋"/>
          <w:color w:val="auto"/>
          <w:highlight w:val="none"/>
        </w:rPr>
        <w:t>》中的相关条款执行。</w:t>
      </w:r>
    </w:p>
    <w:p>
      <w:pPr>
        <w:pStyle w:val="1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（二）未按合同要求提供服务或服务质量不能满足合同要求，采购人有权依据《</w:t>
      </w:r>
      <w:r>
        <w:rPr>
          <w:rFonts w:hint="eastAsia"/>
          <w:color w:val="auto"/>
          <w:highlight w:val="none"/>
        </w:rPr>
        <w:t>中华人民共和国民法典</w:t>
      </w:r>
      <w:r>
        <w:rPr>
          <w:rFonts w:hint="eastAsia" w:ascii="华文仿宋" w:hAnsi="华文仿宋" w:cs="华文仿宋"/>
          <w:color w:val="auto"/>
          <w:highlight w:val="none"/>
        </w:rPr>
        <w:t>》有关条款及合同约定终止合同，并要求中标人承担违约责任。</w:t>
      </w:r>
    </w:p>
    <w:p>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（三）中标</w:t>
      </w:r>
      <w:r>
        <w:rPr>
          <w:rFonts w:hint="eastAsia" w:ascii="华文仿宋" w:hAnsi="华文仿宋" w:cs="华文仿宋"/>
          <w:color w:val="auto"/>
          <w:highlight w:val="none"/>
          <w:lang w:eastAsia="zh-CN"/>
        </w:rPr>
        <w:t>人</w:t>
      </w:r>
      <w:r>
        <w:rPr>
          <w:rFonts w:hint="eastAsia" w:ascii="华文仿宋" w:hAnsi="华文仿宋" w:cs="华文仿宋"/>
          <w:color w:val="auto"/>
          <w:highlight w:val="none"/>
        </w:rPr>
        <w:t>未按合同约定的交货日期交货的，每逾期一日，向采购人支付逾期交付货物价款的0.1%的违约金，但不超过合同总金额的10%。中标</w:t>
      </w:r>
      <w:r>
        <w:rPr>
          <w:rFonts w:hint="eastAsia" w:ascii="华文仿宋" w:hAnsi="华文仿宋" w:cs="华文仿宋"/>
          <w:color w:val="auto"/>
          <w:highlight w:val="none"/>
          <w:lang w:eastAsia="zh-CN"/>
        </w:rPr>
        <w:t>人</w:t>
      </w:r>
      <w:r>
        <w:rPr>
          <w:rFonts w:hint="eastAsia" w:ascii="华文仿宋" w:hAnsi="华文仿宋" w:cs="华文仿宋"/>
          <w:color w:val="auto"/>
          <w:highlight w:val="none"/>
        </w:rPr>
        <w:t>支付逾期交货违约金并不免除其交货的责任。</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如中标人在政府采购合同规定的交货日期后10天内仍未能交货，则视为中标人不能交货，采购人有权解除政府采购合同，中标人除退还已收取的货款外，还应向采购人偿付政府采购合同总金额</w:t>
      </w:r>
      <w:r>
        <w:rPr>
          <w:rFonts w:hint="eastAsia" w:ascii="华文仿宋" w:hAnsi="华文仿宋" w:cs="华文仿宋"/>
          <w:color w:val="auto"/>
          <w:highlight w:val="none"/>
          <w:u w:val="single"/>
        </w:rPr>
        <w:t>10%</w:t>
      </w:r>
      <w:r>
        <w:rPr>
          <w:rFonts w:hint="eastAsia" w:ascii="华文仿宋" w:hAnsi="华文仿宋" w:cs="华文仿宋"/>
          <w:color w:val="auto"/>
          <w:highlight w:val="none"/>
        </w:rPr>
        <w:t>的违约金，并承担由此给采购人造成的一切损失。</w:t>
      </w:r>
    </w:p>
    <w:p>
      <w:pPr>
        <w:adjustRightInd w:val="0"/>
        <w:snapToGrid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四）中标人所交付货物及伴随的工程或服务不符合其投标承诺，存在偷工减料、以次充好情形的，采购人要求更换一次后仍不符合约定的，采购人有权解除政府采购合同，并将有关情况上报政府采购监管部门处理。</w:t>
      </w:r>
    </w:p>
    <w:p>
      <w:pPr>
        <w:pStyle w:val="4"/>
        <w:spacing w:line="520" w:lineRule="exact"/>
        <w:ind w:firstLine="566" w:firstLineChars="200"/>
        <w:rPr>
          <w:rFonts w:ascii="华文仿宋" w:cs="Times New Roman"/>
          <w:color w:val="auto"/>
          <w:sz w:val="28"/>
          <w:szCs w:val="28"/>
          <w:highlight w:val="none"/>
        </w:rPr>
      </w:pPr>
      <w:bookmarkStart w:id="662" w:name="_Toc30657"/>
      <w:bookmarkStart w:id="663" w:name="_Toc14638"/>
      <w:bookmarkStart w:id="664" w:name="_Toc25461"/>
      <w:bookmarkStart w:id="665" w:name="_Toc12843"/>
      <w:bookmarkStart w:id="666" w:name="_Toc17218"/>
      <w:bookmarkStart w:id="667" w:name="_Toc12542"/>
      <w:bookmarkStart w:id="668" w:name="_Toc28367"/>
      <w:bookmarkStart w:id="669" w:name="_Toc26352"/>
      <w:r>
        <w:rPr>
          <w:rFonts w:hint="eastAsia" w:ascii="华文仿宋" w:hAnsi="华文仿宋" w:cs="华文仿宋"/>
          <w:color w:val="auto"/>
          <w:sz w:val="28"/>
          <w:szCs w:val="28"/>
          <w:highlight w:val="none"/>
        </w:rPr>
        <w:t>十、争议解决</w:t>
      </w:r>
      <w:bookmarkEnd w:id="662"/>
      <w:bookmarkEnd w:id="663"/>
      <w:bookmarkEnd w:id="664"/>
      <w:bookmarkEnd w:id="665"/>
      <w:bookmarkEnd w:id="666"/>
      <w:bookmarkEnd w:id="667"/>
      <w:bookmarkEnd w:id="668"/>
      <w:bookmarkEnd w:id="669"/>
    </w:p>
    <w:p>
      <w:pPr>
        <w:spacing w:line="520" w:lineRule="exact"/>
        <w:ind w:firstLine="566" w:firstLineChars="200"/>
        <w:rPr>
          <w:rFonts w:ascii="华文仿宋" w:cs="Times New Roman"/>
          <w:b/>
          <w:bCs/>
          <w:color w:val="auto"/>
          <w:highlight w:val="none"/>
        </w:rPr>
      </w:pPr>
      <w:r>
        <w:rPr>
          <w:rFonts w:hint="eastAsia" w:ascii="华文仿宋" w:hAnsi="华文仿宋" w:cs="华文仿宋"/>
          <w:color w:val="auto"/>
          <w:highlight w:val="none"/>
        </w:rPr>
        <w:t>执行本合同中产生纠纷，由采购人与中标人双方协商解决；协商不成，向有管辖权的人民法院提起诉讼。</w:t>
      </w:r>
    </w:p>
    <w:p>
      <w:pPr>
        <w:pStyle w:val="4"/>
        <w:spacing w:line="520" w:lineRule="exact"/>
        <w:ind w:firstLine="566" w:firstLineChars="200"/>
        <w:rPr>
          <w:rFonts w:ascii="华文仿宋" w:cs="Times New Roman"/>
          <w:color w:val="auto"/>
          <w:sz w:val="28"/>
          <w:szCs w:val="28"/>
          <w:highlight w:val="none"/>
        </w:rPr>
      </w:pPr>
      <w:bookmarkStart w:id="670" w:name="_Toc32420"/>
      <w:bookmarkStart w:id="671" w:name="_Toc18749"/>
      <w:bookmarkStart w:id="672" w:name="_Toc2997"/>
      <w:bookmarkStart w:id="673" w:name="_Toc27828"/>
      <w:bookmarkStart w:id="674" w:name="_Toc16533"/>
      <w:bookmarkStart w:id="675" w:name="_Toc9074"/>
      <w:bookmarkStart w:id="676" w:name="_Toc12837"/>
      <w:r>
        <w:rPr>
          <w:rFonts w:hint="eastAsia" w:ascii="华文仿宋" w:hAnsi="华文仿宋" w:cs="华文仿宋"/>
          <w:color w:val="auto"/>
          <w:sz w:val="28"/>
          <w:szCs w:val="28"/>
          <w:highlight w:val="none"/>
        </w:rPr>
        <w:t>十一、合同生效及其他</w:t>
      </w:r>
      <w:bookmarkEnd w:id="670"/>
      <w:bookmarkEnd w:id="671"/>
      <w:bookmarkEnd w:id="672"/>
      <w:bookmarkEnd w:id="673"/>
      <w:bookmarkEnd w:id="674"/>
      <w:bookmarkEnd w:id="675"/>
      <w:bookmarkEnd w:id="676"/>
    </w:p>
    <w:p>
      <w:pPr>
        <w:spacing w:line="52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、本合同自签订之日起生效。</w:t>
      </w:r>
    </w:p>
    <w:p>
      <w:pPr>
        <w:spacing w:line="500" w:lineRule="exact"/>
        <w:ind w:firstLine="566" w:firstLineChars="200"/>
        <w:rPr>
          <w:rFonts w:ascii="华文仿宋" w:hAnsi="华文仿宋" w:cs="华文仿宋"/>
          <w:b/>
          <w:bCs/>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、合同份数由采购人和中标人具体商定。</w:t>
      </w:r>
    </w:p>
    <w:p>
      <w:pPr>
        <w:spacing w:line="520" w:lineRule="exact"/>
        <w:ind w:firstLine="566" w:firstLineChars="200"/>
        <w:rPr>
          <w:rFonts w:ascii="华文仿宋" w:cs="Times New Roman"/>
          <w:color w:val="auto"/>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17" w:right="1417" w:bottom="1417" w:left="1417" w:header="850" w:footer="794" w:gutter="0"/>
          <w:pgNumType w:fmt="decimal" w:start="1" w:chapStyle="1"/>
          <w:cols w:space="720" w:num="1"/>
          <w:docGrid w:type="linesAndChars" w:linePitch="381" w:charSpace="704"/>
        </w:sectPr>
      </w:pPr>
      <w:r>
        <w:rPr>
          <w:rFonts w:ascii="华文仿宋" w:hAnsi="华文仿宋" w:cs="华文仿宋"/>
          <w:color w:val="auto"/>
          <w:highlight w:val="none"/>
        </w:rPr>
        <w:t>3</w:t>
      </w:r>
      <w:r>
        <w:rPr>
          <w:rFonts w:hint="eastAsia" w:ascii="华文仿宋" w:hAnsi="华文仿宋" w:cs="华文仿宋"/>
          <w:color w:val="auto"/>
          <w:highlight w:val="none"/>
        </w:rPr>
        <w:t>、未尽事宜由双方在签订合同时具体明确。</w:t>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Pr>
        <w:spacing w:line="500" w:lineRule="exact"/>
        <w:jc w:val="center"/>
        <w:outlineLvl w:val="0"/>
        <w:rPr>
          <w:rFonts w:ascii="黑体" w:hAnsi="黑体" w:eastAsia="黑体" w:cs="Times New Roman"/>
          <w:color w:val="auto"/>
          <w:sz w:val="32"/>
          <w:szCs w:val="32"/>
          <w:highlight w:val="none"/>
        </w:rPr>
      </w:pPr>
      <w:bookmarkStart w:id="677" w:name="_Toc495014587"/>
      <w:bookmarkStart w:id="678" w:name="_Toc495014922"/>
      <w:bookmarkStart w:id="679" w:name="_Toc495014613"/>
      <w:bookmarkStart w:id="680" w:name="_Toc495012773"/>
      <w:bookmarkStart w:id="681" w:name="_Toc13839"/>
      <w:bookmarkStart w:id="682" w:name="_Toc495014651"/>
      <w:bookmarkStart w:id="683" w:name="_Toc19548"/>
      <w:bookmarkStart w:id="684" w:name="_Toc495012823"/>
      <w:bookmarkStart w:id="685" w:name="_Toc13809"/>
      <w:bookmarkStart w:id="686" w:name="_Toc1902"/>
      <w:bookmarkStart w:id="687" w:name="_Toc495014956"/>
      <w:bookmarkStart w:id="688" w:name="_Toc29064"/>
      <w:bookmarkStart w:id="689" w:name="_Toc6821"/>
      <w:bookmarkStart w:id="690" w:name="_Toc23267"/>
      <w:bookmarkStart w:id="691" w:name="_Toc27349"/>
      <w:bookmarkStart w:id="692" w:name="_Toc5554"/>
      <w:bookmarkStart w:id="693" w:name="_Toc445306495"/>
      <w:bookmarkStart w:id="694" w:name="_Toc17780"/>
      <w:bookmarkStart w:id="695" w:name="_Toc15751"/>
      <w:r>
        <w:rPr>
          <w:rFonts w:hint="eastAsia" w:ascii="黑体" w:hAnsi="黑体" w:eastAsia="黑体" w:cs="黑体"/>
          <w:color w:val="auto"/>
          <w:sz w:val="32"/>
          <w:szCs w:val="32"/>
          <w:highlight w:val="none"/>
        </w:rPr>
        <w:t>第六章  投标文件构成及格式</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rPr>
          <w:rFonts w:cs="Times New Roman"/>
          <w:color w:val="auto"/>
          <w:highlight w:val="none"/>
        </w:rPr>
      </w:pPr>
    </w:p>
    <w:tbl>
      <w:tblPr>
        <w:tblStyle w:val="24"/>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jc w:val="center"/>
        </w:trPr>
        <w:tc>
          <w:tcPr>
            <w:tcW w:w="8190" w:type="dxa"/>
            <w:noWrap/>
            <w:vAlign w:val="top"/>
          </w:tcPr>
          <w:p>
            <w:pPr>
              <w:spacing w:before="1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注释：</w:t>
            </w:r>
          </w:p>
          <w:p>
            <w:pPr>
              <w:spacing w:before="120" w:line="420" w:lineRule="exact"/>
              <w:ind w:firstLine="486"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、本章分为三部分，是为方便投标人制作投标文件设计。第一、二部分应按要求或给定格式选择填报。</w:t>
            </w:r>
          </w:p>
          <w:p>
            <w:pPr>
              <w:spacing w:before="120" w:line="420" w:lineRule="exact"/>
              <w:ind w:firstLine="486"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、第三部分投标方案格式仅供参考，投标人应根据项目特点，结合本次招标要求，对有关表格进行补充或修改，但不得对实质性文件的相关条款作出变动。</w:t>
            </w:r>
          </w:p>
        </w:tc>
      </w:tr>
    </w:tbl>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Times New Roman"/>
          <w:color w:val="auto"/>
          <w:highlight w:val="none"/>
        </w:rPr>
      </w:pPr>
    </w:p>
    <w:p>
      <w:pPr>
        <w:pStyle w:val="39"/>
        <w:spacing w:line="240" w:lineRule="auto"/>
        <w:ind w:firstLine="0" w:firstLineChars="0"/>
        <w:rPr>
          <w:rFonts w:ascii="黑体" w:hAnsi="黑体" w:eastAsia="黑体" w:cs="黑体"/>
          <w:color w:val="auto"/>
          <w:highlight w:val="none"/>
        </w:rPr>
      </w:pPr>
    </w:p>
    <w:p>
      <w:pPr>
        <w:pStyle w:val="39"/>
        <w:spacing w:line="240" w:lineRule="auto"/>
        <w:ind w:firstLine="0" w:firstLineChars="0"/>
        <w:rPr>
          <w:rFonts w:ascii="黑体" w:hAnsi="黑体" w:eastAsia="黑体" w:cs="黑体"/>
          <w:color w:val="auto"/>
          <w:highlight w:val="none"/>
        </w:rPr>
      </w:pPr>
    </w:p>
    <w:p>
      <w:pPr>
        <w:pStyle w:val="39"/>
        <w:spacing w:line="240" w:lineRule="auto"/>
        <w:ind w:firstLine="0" w:firstLineChars="0"/>
        <w:rPr>
          <w:rFonts w:ascii="黑体" w:hAnsi="黑体" w:eastAsia="黑体" w:cs="Times New Roman"/>
          <w:color w:val="auto"/>
          <w:highlight w:val="none"/>
        </w:rPr>
      </w:pPr>
      <w:r>
        <w:rPr>
          <w:rFonts w:hint="eastAsia" w:ascii="黑体" w:hAnsi="黑体" w:eastAsia="黑体" w:cs="黑体"/>
          <w:color w:val="auto"/>
          <w:highlight w:val="none"/>
        </w:rPr>
        <w:t>封面格式</w:t>
      </w:r>
    </w:p>
    <w:p>
      <w:pPr>
        <w:pStyle w:val="39"/>
        <w:spacing w:line="240" w:lineRule="auto"/>
        <w:ind w:firstLine="253" w:firstLineChars="70"/>
        <w:jc w:val="center"/>
        <w:rPr>
          <w:rFonts w:cs="Times New Roman"/>
          <w:color w:val="auto"/>
          <w:sz w:val="36"/>
          <w:szCs w:val="36"/>
          <w:highlight w:val="none"/>
        </w:rPr>
      </w:pPr>
    </w:p>
    <w:p>
      <w:pPr>
        <w:spacing w:line="240" w:lineRule="auto"/>
        <w:jc w:val="left"/>
        <w:rPr>
          <w:rFonts w:cs="Times New Roman"/>
          <w:color w:val="auto"/>
          <w:sz w:val="36"/>
          <w:szCs w:val="36"/>
          <w:highlight w:val="none"/>
        </w:rPr>
      </w:pPr>
      <w:r>
        <w:rPr>
          <w:rFonts w:hint="eastAsia" w:ascii="华文中宋" w:hAnsi="华文中宋" w:eastAsia="华文中宋" w:cs="华文中宋"/>
          <w:color w:val="auto"/>
          <w:sz w:val="60"/>
          <w:szCs w:val="60"/>
          <w:highlight w:val="none"/>
        </w:rPr>
        <w:t>陕西省政府采购货物和服务项目</w:t>
      </w:r>
    </w:p>
    <w:p>
      <w:pPr>
        <w:spacing w:line="500" w:lineRule="exact"/>
        <w:ind w:right="11"/>
        <w:rPr>
          <w:rFonts w:cs="Times New Roman"/>
          <w:color w:val="auto"/>
          <w:highlight w:val="none"/>
          <w:u w:val="single"/>
        </w:rPr>
      </w:pPr>
    </w:p>
    <w:p>
      <w:pPr>
        <w:pStyle w:val="39"/>
        <w:spacing w:line="240" w:lineRule="auto"/>
        <w:ind w:firstLine="0" w:firstLineChars="0"/>
        <w:jc w:val="center"/>
        <w:rPr>
          <w:rFonts w:ascii="华文中宋" w:hAnsi="华文中宋" w:eastAsia="华文中宋" w:cs="Times New Roman"/>
          <w:color w:val="auto"/>
          <w:sz w:val="96"/>
          <w:szCs w:val="96"/>
          <w:highlight w:val="none"/>
        </w:rPr>
      </w:pPr>
      <w:r>
        <w:rPr>
          <w:rFonts w:hint="eastAsia" w:ascii="华文中宋" w:hAnsi="华文中宋" w:eastAsia="华文中宋" w:cs="华文中宋"/>
          <w:color w:val="auto"/>
          <w:spacing w:val="323"/>
          <w:kern w:val="0"/>
          <w:sz w:val="96"/>
          <w:szCs w:val="96"/>
          <w:highlight w:val="none"/>
        </w:rPr>
        <w:t>投标文</w:t>
      </w:r>
      <w:r>
        <w:rPr>
          <w:rFonts w:hint="eastAsia" w:ascii="华文中宋" w:hAnsi="华文中宋" w:eastAsia="华文中宋" w:cs="华文中宋"/>
          <w:color w:val="auto"/>
          <w:kern w:val="0"/>
          <w:sz w:val="96"/>
          <w:szCs w:val="96"/>
          <w:highlight w:val="none"/>
        </w:rPr>
        <w:t>件</w:t>
      </w:r>
    </w:p>
    <w:p>
      <w:pPr>
        <w:pStyle w:val="39"/>
        <w:spacing w:line="240" w:lineRule="auto"/>
        <w:ind w:firstLine="0" w:firstLineChars="0"/>
        <w:jc w:val="center"/>
        <w:rPr>
          <w:rFonts w:cs="Times New Roman"/>
          <w:color w:val="auto"/>
          <w:sz w:val="36"/>
          <w:szCs w:val="36"/>
          <w:highlight w:val="none"/>
        </w:rPr>
      </w:pPr>
    </w:p>
    <w:p>
      <w:pPr>
        <w:pStyle w:val="39"/>
        <w:spacing w:line="240" w:lineRule="auto"/>
        <w:ind w:firstLine="0" w:firstLineChars="0"/>
        <w:jc w:val="center"/>
        <w:rPr>
          <w:rFonts w:cs="Times New Roman"/>
          <w:color w:val="auto"/>
          <w:sz w:val="36"/>
          <w:szCs w:val="36"/>
          <w:highlight w:val="none"/>
        </w:rPr>
      </w:pPr>
    </w:p>
    <w:p>
      <w:pPr>
        <w:pStyle w:val="39"/>
        <w:spacing w:line="240" w:lineRule="auto"/>
        <w:ind w:firstLine="0" w:firstLineChars="0"/>
        <w:jc w:val="center"/>
        <w:rPr>
          <w:rFonts w:cs="Times New Roman"/>
          <w:color w:val="auto"/>
          <w:sz w:val="36"/>
          <w:szCs w:val="36"/>
          <w:highlight w:val="none"/>
        </w:rPr>
      </w:pPr>
    </w:p>
    <w:p>
      <w:pPr>
        <w:pStyle w:val="39"/>
        <w:spacing w:line="240" w:lineRule="auto"/>
        <w:ind w:firstLine="0" w:firstLineChars="0"/>
        <w:jc w:val="center"/>
        <w:rPr>
          <w:rFonts w:cs="Times New Roman"/>
          <w:color w:val="auto"/>
          <w:sz w:val="36"/>
          <w:szCs w:val="36"/>
          <w:highlight w:val="none"/>
        </w:rPr>
      </w:pPr>
    </w:p>
    <w:p>
      <w:pPr>
        <w:pStyle w:val="39"/>
        <w:spacing w:line="240" w:lineRule="auto"/>
        <w:ind w:firstLine="0" w:firstLineChars="0"/>
        <w:jc w:val="center"/>
        <w:rPr>
          <w:rFonts w:cs="Times New Roman"/>
          <w:color w:val="auto"/>
          <w:sz w:val="36"/>
          <w:szCs w:val="36"/>
          <w:highlight w:val="none"/>
        </w:rPr>
      </w:pPr>
    </w:p>
    <w:p>
      <w:pPr>
        <w:pStyle w:val="39"/>
        <w:spacing w:line="240" w:lineRule="auto"/>
        <w:ind w:firstLine="0" w:firstLineChars="0"/>
        <w:jc w:val="center"/>
        <w:rPr>
          <w:rFonts w:cs="Times New Roman"/>
          <w:color w:val="auto"/>
          <w:sz w:val="36"/>
          <w:szCs w:val="36"/>
          <w:highlight w:val="none"/>
        </w:rPr>
      </w:pPr>
    </w:p>
    <w:p>
      <w:pPr>
        <w:pStyle w:val="39"/>
        <w:spacing w:line="240" w:lineRule="auto"/>
        <w:ind w:firstLine="1452" w:firstLineChars="400"/>
        <w:jc w:val="left"/>
        <w:rPr>
          <w:rFonts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rPr>
        <w:t>项目名称：</w:t>
      </w:r>
      <w:r>
        <w:rPr>
          <w:rFonts w:ascii="仿宋" w:hAnsi="仿宋" w:eastAsia="仿宋" w:cs="仿宋"/>
          <w:color w:val="auto"/>
          <w:sz w:val="36"/>
          <w:szCs w:val="36"/>
          <w:highlight w:val="none"/>
          <w:u w:val="single"/>
        </w:rPr>
        <w:t xml:space="preserve">              </w:t>
      </w:r>
    </w:p>
    <w:p>
      <w:pPr>
        <w:pStyle w:val="39"/>
        <w:spacing w:line="240" w:lineRule="auto"/>
        <w:ind w:firstLine="1452" w:firstLineChars="400"/>
        <w:rPr>
          <w:rFonts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rPr>
        <w:t>项目编号：</w:t>
      </w:r>
      <w:r>
        <w:rPr>
          <w:rFonts w:ascii="仿宋" w:hAnsi="仿宋" w:eastAsia="仿宋" w:cs="仿宋"/>
          <w:color w:val="auto"/>
          <w:sz w:val="36"/>
          <w:szCs w:val="36"/>
          <w:highlight w:val="none"/>
          <w:u w:val="single"/>
        </w:rPr>
        <w:t xml:space="preserve">              </w:t>
      </w:r>
    </w:p>
    <w:p>
      <w:pPr>
        <w:pStyle w:val="39"/>
        <w:spacing w:line="240" w:lineRule="auto"/>
        <w:ind w:firstLine="1452" w:firstLineChars="400"/>
        <w:rPr>
          <w:rFonts w:ascii="仿宋" w:hAnsi="仿宋" w:eastAsia="仿宋" w:cs="仿宋"/>
          <w:color w:val="auto"/>
          <w:sz w:val="36"/>
          <w:szCs w:val="36"/>
          <w:highlight w:val="none"/>
        </w:rPr>
      </w:pPr>
      <w:r>
        <w:rPr>
          <w:rFonts w:hint="eastAsia" w:ascii="仿宋" w:hAnsi="仿宋" w:eastAsia="仿宋" w:cs="仿宋"/>
          <w:color w:val="auto"/>
          <w:sz w:val="36"/>
          <w:szCs w:val="36"/>
          <w:highlight w:val="none"/>
        </w:rPr>
        <w:t>供</w:t>
      </w:r>
      <w:r>
        <w:rPr>
          <w:rFonts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rPr>
        <w:t>应</w:t>
      </w:r>
      <w:r>
        <w:rPr>
          <w:rFonts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rPr>
        <w:t>商：</w:t>
      </w:r>
      <w:r>
        <w:rPr>
          <w:rFonts w:ascii="仿宋" w:hAnsi="仿宋" w:eastAsia="仿宋" w:cs="仿宋"/>
          <w:color w:val="auto"/>
          <w:sz w:val="36"/>
          <w:szCs w:val="36"/>
          <w:highlight w:val="none"/>
          <w:u w:val="single"/>
        </w:rPr>
        <w:t xml:space="preserve">              </w:t>
      </w:r>
      <w:r>
        <w:rPr>
          <w:rFonts w:hint="eastAsia" w:ascii="仿宋" w:hAnsi="仿宋" w:eastAsia="仿宋" w:cs="仿宋"/>
          <w:color w:val="auto"/>
          <w:sz w:val="36"/>
          <w:szCs w:val="36"/>
          <w:highlight w:val="none"/>
        </w:rPr>
        <w:t>（公章）</w:t>
      </w:r>
    </w:p>
    <w:p>
      <w:pPr>
        <w:pStyle w:val="39"/>
        <w:spacing w:line="240" w:lineRule="auto"/>
        <w:ind w:firstLine="1452" w:firstLineChars="400"/>
        <w:rPr>
          <w:rFonts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rPr>
        <w:t>时　</w:t>
      </w:r>
      <w:r>
        <w:rPr>
          <w:rFonts w:ascii="仿宋" w:hAnsi="仿宋" w:eastAsia="仿宋" w:cs="仿宋"/>
          <w:color w:val="auto"/>
          <w:sz w:val="36"/>
          <w:szCs w:val="36"/>
          <w:highlight w:val="none"/>
        </w:rPr>
        <w:t xml:space="preserve">  </w:t>
      </w:r>
      <w:r>
        <w:rPr>
          <w:rFonts w:hint="eastAsia" w:ascii="仿宋" w:hAnsi="仿宋" w:eastAsia="仿宋" w:cs="仿宋"/>
          <w:color w:val="auto"/>
          <w:sz w:val="36"/>
          <w:szCs w:val="36"/>
          <w:highlight w:val="none"/>
        </w:rPr>
        <w:t>间：</w:t>
      </w:r>
      <w:r>
        <w:rPr>
          <w:rFonts w:ascii="仿宋" w:hAnsi="仿宋" w:eastAsia="仿宋" w:cs="仿宋"/>
          <w:color w:val="auto"/>
          <w:sz w:val="36"/>
          <w:szCs w:val="36"/>
          <w:highlight w:val="none"/>
          <w:u w:val="single"/>
        </w:rPr>
        <w:t xml:space="preserve">              </w:t>
      </w:r>
    </w:p>
    <w:p>
      <w:pP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br w:type="page"/>
      </w:r>
    </w:p>
    <w:p>
      <w:pPr>
        <w:tabs>
          <w:tab w:val="right" w:leader="hyphen" w:pos="8504"/>
        </w:tabs>
        <w:spacing w:line="500" w:lineRule="exact"/>
        <w:ind w:left="2381" w:leftChars="200" w:right="849" w:rightChars="300" w:hanging="1815" w:hangingChars="500"/>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tabs>
          <w:tab w:val="right" w:leader="hyphen" w:pos="8504"/>
        </w:tabs>
        <w:spacing w:line="480" w:lineRule="exact"/>
        <w:ind w:left="1981" w:leftChars="200" w:right="849" w:rightChars="300" w:hanging="1415" w:hangingChars="500"/>
        <w:rPr>
          <w:rFonts w:ascii="黑体" w:hAnsi="黑体" w:eastAsia="黑体" w:cs="黑体"/>
          <w:color w:val="auto"/>
          <w:highlight w:val="none"/>
        </w:rPr>
      </w:pPr>
      <w:r>
        <w:rPr>
          <w:rFonts w:hint="eastAsia" w:ascii="黑体" w:hAnsi="黑体" w:eastAsia="黑体" w:cs="黑体"/>
          <w:color w:val="auto"/>
          <w:highlight w:val="none"/>
        </w:rPr>
        <w:t>第一部分  资格证明文件</w:t>
      </w:r>
      <w:r>
        <w:rPr>
          <w:rFonts w:ascii="黑体" w:hAnsi="黑体" w:eastAsia="黑体" w:cs="Times New Roman"/>
          <w:color w:val="auto"/>
          <w:highlight w:val="none"/>
        </w:rPr>
        <w:tab/>
      </w:r>
      <w:r>
        <w:rPr>
          <w:rFonts w:ascii="黑体" w:hAnsi="黑体" w:eastAsia="黑体" w:cs="黑体"/>
          <w:color w:val="auto"/>
          <w:highlight w:val="none"/>
        </w:rPr>
        <w:t>X</w:t>
      </w:r>
    </w:p>
    <w:p>
      <w:pPr>
        <w:tabs>
          <w:tab w:val="right" w:leader="hyphen" w:pos="8504"/>
        </w:tabs>
        <w:spacing w:line="480" w:lineRule="exact"/>
        <w:ind w:left="1981" w:leftChars="500" w:right="849" w:rightChars="300" w:hanging="566" w:hangingChars="200"/>
        <w:rPr>
          <w:rFonts w:ascii="华文仿宋" w:cs="Times New Roman"/>
          <w:color w:val="auto"/>
          <w:highlight w:val="none"/>
        </w:rPr>
      </w:pPr>
      <w:r>
        <w:rPr>
          <w:rFonts w:hint="eastAsia" w:ascii="华文仿宋" w:hAnsi="华文仿宋" w:cs="华文仿宋"/>
          <w:color w:val="auto"/>
          <w:highlight w:val="none"/>
        </w:rPr>
        <w:t>一、营业执照等主体资格证明文件</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二、财务状况报告</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415" w:firstLineChars="500"/>
        <w:rPr>
          <w:color w:val="auto"/>
          <w:highlight w:val="none"/>
        </w:rPr>
      </w:pPr>
      <w:r>
        <w:rPr>
          <w:rFonts w:hint="eastAsia" w:ascii="华文仿宋" w:hAnsi="华文仿宋" w:cs="华文仿宋"/>
          <w:color w:val="auto"/>
          <w:highlight w:val="none"/>
        </w:rPr>
        <w:t>三、社保缴纳证明</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四、税收缴纳证明</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五、信用记录</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六、控股管理关系</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七、书面声明</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415" w:firstLineChars="500"/>
        <w:rPr>
          <w:color w:val="auto"/>
          <w:highlight w:val="none"/>
        </w:rPr>
      </w:pPr>
      <w:r>
        <w:rPr>
          <w:rFonts w:hint="eastAsia" w:ascii="华文仿宋" w:hAnsi="华文仿宋" w:cs="华文仿宋"/>
          <w:color w:val="auto"/>
          <w:highlight w:val="none"/>
        </w:rPr>
        <w:t>八、法定代表人授权委托书</w:t>
      </w:r>
      <w:r>
        <w:rPr>
          <w:rFonts w:cs="Times New Roman"/>
          <w:color w:val="auto"/>
          <w:highlight w:val="none"/>
        </w:rPr>
        <w:tab/>
      </w:r>
      <w:r>
        <w:rPr>
          <w:color w:val="auto"/>
          <w:highlight w:val="none"/>
        </w:rPr>
        <w:t>X</w:t>
      </w:r>
    </w:p>
    <w:p>
      <w:pPr>
        <w:tabs>
          <w:tab w:val="right" w:leader="hyphen" w:pos="8504"/>
        </w:tabs>
        <w:spacing w:line="480" w:lineRule="exact"/>
        <w:ind w:left="1734" w:leftChars="513" w:right="849" w:rightChars="300" w:hanging="283" w:hangingChars="100"/>
        <w:rPr>
          <w:color w:val="auto"/>
          <w:highlight w:val="none"/>
        </w:rPr>
      </w:pPr>
      <w:r>
        <w:rPr>
          <w:rFonts w:hint="eastAsia" w:ascii="华文仿宋" w:hAnsi="华文仿宋" w:cs="华文仿宋"/>
          <w:color w:val="auto"/>
          <w:highlight w:val="none"/>
        </w:rPr>
        <w:t>九、本项目不接受联合体投标，不允许分包</w:t>
      </w:r>
      <w:r>
        <w:rPr>
          <w:rFonts w:cs="Times New Roman"/>
          <w:color w:val="auto"/>
          <w:highlight w:val="none"/>
        </w:rPr>
        <w:tab/>
      </w:r>
      <w:r>
        <w:rPr>
          <w:color w:val="auto"/>
          <w:highlight w:val="none"/>
        </w:rPr>
        <w:t>X</w:t>
      </w:r>
    </w:p>
    <w:p>
      <w:pPr>
        <w:tabs>
          <w:tab w:val="right" w:leader="hyphen" w:pos="8504"/>
        </w:tabs>
        <w:spacing w:line="480" w:lineRule="exact"/>
        <w:ind w:left="1981" w:leftChars="200" w:right="849" w:rightChars="300" w:hanging="1415" w:hangingChars="500"/>
        <w:rPr>
          <w:rFonts w:ascii="华文仿宋" w:cs="Times New Roman"/>
          <w:color w:val="auto"/>
          <w:highlight w:val="none"/>
        </w:rPr>
      </w:pPr>
      <w:r>
        <w:rPr>
          <w:rFonts w:hint="eastAsia" w:ascii="黑体" w:hAnsi="黑体" w:eastAsia="黑体" w:cs="黑体"/>
          <w:color w:val="auto"/>
          <w:highlight w:val="none"/>
        </w:rPr>
        <w:t>第二部分  符合性证明文件</w:t>
      </w:r>
      <w:r>
        <w:rPr>
          <w:rFonts w:ascii="黑体" w:hAnsi="黑体" w:eastAsia="黑体" w:cs="Times New Roman"/>
          <w:color w:val="auto"/>
          <w:highlight w:val="none"/>
        </w:rPr>
        <w:tab/>
      </w:r>
      <w:r>
        <w:rPr>
          <w:rFonts w:ascii="黑体" w:hAnsi="黑体" w:eastAsia="黑体" w:cs="黑体"/>
          <w:color w:val="auto"/>
          <w:highlight w:val="none"/>
        </w:rPr>
        <w:t>X</w:t>
      </w:r>
    </w:p>
    <w:p>
      <w:p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一、投标函格式</w:t>
      </w:r>
      <w:r>
        <w:rPr>
          <w:rFonts w:cs="Times New Roman"/>
          <w:color w:val="auto"/>
          <w:highlight w:val="none"/>
        </w:rPr>
        <w:tab/>
      </w:r>
      <w:r>
        <w:rPr>
          <w:color w:val="auto"/>
          <w:highlight w:val="none"/>
        </w:rPr>
        <w:t>X</w:t>
      </w:r>
    </w:p>
    <w:p>
      <w:pPr>
        <w:tabs>
          <w:tab w:val="right" w:leader="hyphen" w:pos="8504"/>
        </w:tabs>
        <w:spacing w:line="480" w:lineRule="exact"/>
        <w:ind w:left="1981" w:leftChars="500" w:right="849" w:rightChars="300" w:hanging="566" w:hangingChars="200"/>
        <w:rPr>
          <w:rFonts w:ascii="华文仿宋" w:cs="Times New Roman"/>
          <w:color w:val="auto"/>
          <w:highlight w:val="none"/>
        </w:rPr>
      </w:pPr>
      <w:r>
        <w:rPr>
          <w:rFonts w:hint="eastAsia" w:ascii="华文仿宋" w:hAnsi="华文仿宋" w:cs="华文仿宋"/>
          <w:color w:val="auto"/>
          <w:highlight w:val="none"/>
        </w:rPr>
        <w:t>二、开标一览表</w:t>
      </w:r>
      <w:r>
        <w:rPr>
          <w:rFonts w:cs="Times New Roman"/>
          <w:color w:val="auto"/>
          <w:highlight w:val="none"/>
        </w:rPr>
        <w:tab/>
      </w:r>
      <w:r>
        <w:rPr>
          <w:color w:val="auto"/>
          <w:highlight w:val="none"/>
        </w:rPr>
        <w:t>X</w:t>
      </w:r>
    </w:p>
    <w:p>
      <w:pPr>
        <w:tabs>
          <w:tab w:val="right" w:leader="hyphen" w:pos="8504"/>
        </w:tabs>
        <w:spacing w:line="480" w:lineRule="exact"/>
        <w:ind w:left="1981" w:leftChars="700" w:right="849" w:rightChars="300"/>
        <w:rPr>
          <w:rFonts w:ascii="华文仿宋" w:cs="Times New Roman"/>
          <w:color w:val="auto"/>
          <w:highlight w:val="none"/>
        </w:rPr>
      </w:pPr>
      <w:r>
        <w:rPr>
          <w:rFonts w:hint="eastAsia" w:ascii="华文仿宋" w:hAnsi="华文仿宋" w:cs="华文仿宋"/>
          <w:color w:val="auto"/>
          <w:highlight w:val="none"/>
        </w:rPr>
        <w:t>分项报价表</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三、供应商承诺书</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981" w:firstLineChars="700"/>
        <w:rPr>
          <w:color w:val="auto"/>
          <w:highlight w:val="none"/>
        </w:rPr>
      </w:pPr>
      <w:bookmarkStart w:id="696" w:name="_Toc21662"/>
      <w:bookmarkStart w:id="697" w:name="_Toc10918"/>
      <w:r>
        <w:rPr>
          <w:rFonts w:hint="eastAsia"/>
          <w:color w:val="auto"/>
          <w:highlight w:val="none"/>
        </w:rPr>
        <w:t>（一）质量安全责任承诺书</w:t>
      </w:r>
      <w:r>
        <w:rPr>
          <w:color w:val="auto"/>
          <w:highlight w:val="none"/>
        </w:rPr>
        <w:tab/>
      </w:r>
      <w:r>
        <w:rPr>
          <w:color w:val="auto"/>
          <w:highlight w:val="none"/>
        </w:rPr>
        <w:t>X</w:t>
      </w:r>
      <w:bookmarkEnd w:id="696"/>
      <w:bookmarkEnd w:id="697"/>
    </w:p>
    <w:p>
      <w:pPr>
        <w:tabs>
          <w:tab w:val="right" w:leader="hyphen" w:pos="8504"/>
        </w:tabs>
        <w:spacing w:line="480" w:lineRule="exact"/>
        <w:ind w:right="849" w:rightChars="300" w:firstLine="1981" w:firstLineChars="700"/>
        <w:rPr>
          <w:rFonts w:ascii="华文仿宋" w:hAnsi="华文仿宋" w:cs="华文仿宋"/>
          <w:color w:val="auto"/>
          <w:highlight w:val="none"/>
        </w:rPr>
      </w:pPr>
      <w:r>
        <w:rPr>
          <w:rFonts w:hint="eastAsia"/>
          <w:color w:val="auto"/>
          <w:highlight w:val="none"/>
        </w:rPr>
        <w:t>（二）拒绝政府采购领域商业贿赂承诺书</w:t>
      </w:r>
      <w:r>
        <w:rPr>
          <w:color w:val="auto"/>
          <w:highlight w:val="none"/>
        </w:rPr>
        <w:tab/>
      </w:r>
      <w:r>
        <w:rPr>
          <w:color w:val="auto"/>
          <w:highlight w:val="none"/>
        </w:rPr>
        <w:t>X</w:t>
      </w:r>
    </w:p>
    <w:p>
      <w:pPr>
        <w:tabs>
          <w:tab w:val="right" w:leader="hyphen" w:pos="8504"/>
        </w:tabs>
        <w:spacing w:line="480" w:lineRule="exact"/>
        <w:ind w:right="849" w:rightChars="300" w:firstLine="1415" w:firstLineChars="500"/>
        <w:rPr>
          <w:color w:val="auto"/>
          <w:highlight w:val="none"/>
        </w:rPr>
      </w:pPr>
      <w:r>
        <w:rPr>
          <w:rFonts w:hint="eastAsia" w:ascii="华文仿宋" w:hAnsi="华文仿宋" w:cs="华文仿宋"/>
          <w:color w:val="auto"/>
          <w:highlight w:val="none"/>
        </w:rPr>
        <w:t>四、技术服务偏差表</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1981" w:firstLineChars="700"/>
        <w:rPr>
          <w:rFonts w:ascii="华文仿宋" w:hAnsi="华文仿宋" w:cs="华文仿宋"/>
          <w:color w:val="auto"/>
          <w:highlight w:val="none"/>
        </w:rPr>
      </w:pPr>
      <w:r>
        <w:rPr>
          <w:rFonts w:hint="eastAsia" w:ascii="华文仿宋" w:hAnsi="华文仿宋" w:cs="华文仿宋"/>
          <w:color w:val="auto"/>
          <w:highlight w:val="none"/>
        </w:rPr>
        <w:t>（一）实质性条款响应表</w:t>
      </w:r>
      <w:r>
        <w:rPr>
          <w:rFonts w:hint="eastAsia" w:ascii="华文仿宋" w:hAnsi="华文仿宋" w:cs="华文仿宋"/>
          <w:color w:val="auto"/>
          <w:highlight w:val="none"/>
        </w:rPr>
        <w:tab/>
      </w:r>
      <w:r>
        <w:rPr>
          <w:color w:val="auto"/>
          <w:highlight w:val="none"/>
        </w:rPr>
        <w:t>X</w:t>
      </w:r>
    </w:p>
    <w:p>
      <w:pPr>
        <w:tabs>
          <w:tab w:val="right" w:leader="hyphen" w:pos="8504"/>
        </w:tabs>
        <w:spacing w:line="480" w:lineRule="exact"/>
        <w:ind w:right="849" w:rightChars="300" w:firstLine="1981" w:firstLineChars="700"/>
        <w:rPr>
          <w:color w:val="auto"/>
          <w:highlight w:val="none"/>
        </w:rPr>
      </w:pPr>
      <w:r>
        <w:rPr>
          <w:rFonts w:hint="eastAsia" w:ascii="华文仿宋" w:hAnsi="华文仿宋" w:cs="华文仿宋"/>
          <w:color w:val="auto"/>
          <w:highlight w:val="none"/>
        </w:rPr>
        <w:t>（二）其他资料</w:t>
      </w:r>
      <w:r>
        <w:rPr>
          <w:rFonts w:hint="eastAsia" w:ascii="华文仿宋" w:hAnsi="华文仿宋" w:cs="华文仿宋"/>
          <w:color w:val="auto"/>
          <w:highlight w:val="none"/>
        </w:rPr>
        <w:tab/>
      </w:r>
      <w:r>
        <w:rPr>
          <w:color w:val="auto"/>
          <w:highlight w:val="none"/>
        </w:rPr>
        <w:t>X</w:t>
      </w:r>
    </w:p>
    <w:p>
      <w:pPr>
        <w:tabs>
          <w:tab w:val="right" w:leader="hyphen" w:pos="8504"/>
        </w:tabs>
        <w:spacing w:line="480" w:lineRule="exact"/>
        <w:ind w:left="1981" w:leftChars="500" w:right="849" w:rightChars="300" w:hanging="566" w:hangingChars="200"/>
        <w:rPr>
          <w:color w:val="auto"/>
          <w:highlight w:val="none"/>
        </w:rPr>
      </w:pPr>
      <w:r>
        <w:rPr>
          <w:rFonts w:hint="eastAsia" w:ascii="华文仿宋" w:hAnsi="华文仿宋" w:cs="华文仿宋"/>
          <w:color w:val="auto"/>
          <w:highlight w:val="none"/>
        </w:rPr>
        <w:t>五、合同基本条款响应</w:t>
      </w:r>
      <w:r>
        <w:rPr>
          <w:rFonts w:cs="Times New Roman"/>
          <w:color w:val="auto"/>
          <w:highlight w:val="none"/>
        </w:rPr>
        <w:tab/>
      </w:r>
      <w:r>
        <w:rPr>
          <w:color w:val="auto"/>
          <w:highlight w:val="none"/>
        </w:rPr>
        <w:t>X</w:t>
      </w:r>
    </w:p>
    <w:p>
      <w:pPr>
        <w:tabs>
          <w:tab w:val="right" w:leader="hyphen" w:pos="8504"/>
        </w:tabs>
        <w:spacing w:line="480" w:lineRule="exact"/>
        <w:ind w:right="849" w:rightChars="300" w:firstLine="566" w:firstLineChars="200"/>
        <w:rPr>
          <w:rFonts w:ascii="黑体" w:hAnsi="黑体" w:eastAsia="黑体" w:cs="黑体"/>
          <w:color w:val="auto"/>
          <w:highlight w:val="none"/>
        </w:rPr>
      </w:pPr>
      <w:r>
        <w:rPr>
          <w:rFonts w:hint="eastAsia" w:ascii="黑体" w:hAnsi="黑体" w:eastAsia="黑体" w:cs="黑体"/>
          <w:color w:val="auto"/>
          <w:highlight w:val="none"/>
        </w:rPr>
        <w:t>第三部分  投标方案</w:t>
      </w:r>
      <w:r>
        <w:rPr>
          <w:rFonts w:ascii="黑体" w:hAnsi="黑体" w:eastAsia="黑体" w:cs="Times New Roman"/>
          <w:color w:val="auto"/>
          <w:highlight w:val="none"/>
        </w:rPr>
        <w:tab/>
      </w:r>
      <w:r>
        <w:rPr>
          <w:rFonts w:ascii="黑体" w:hAnsi="黑体" w:eastAsia="黑体" w:cs="黑体"/>
          <w:color w:val="auto"/>
          <w:highlight w:val="none"/>
        </w:rPr>
        <w:t>X</w:t>
      </w:r>
    </w:p>
    <w:p>
      <w:p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一、投标人性质及</w:t>
      </w:r>
      <w:r>
        <w:rPr>
          <w:rFonts w:hint="eastAsia"/>
          <w:color w:val="auto"/>
          <w:highlight w:val="none"/>
        </w:rPr>
        <w:t>概况</w:t>
      </w:r>
      <w:r>
        <w:rPr>
          <w:rFonts w:cs="Times New Roman"/>
          <w:color w:val="auto"/>
          <w:highlight w:val="none"/>
        </w:rPr>
        <w:tab/>
      </w:r>
      <w:r>
        <w:rPr>
          <w:color w:val="auto"/>
          <w:highlight w:val="none"/>
        </w:rPr>
        <w:t>X</w:t>
      </w:r>
    </w:p>
    <w:p>
      <w:pPr>
        <w:numPr>
          <w:ilvl w:val="0"/>
          <w:numId w:val="5"/>
        </w:num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投标方案</w:t>
      </w:r>
      <w:r>
        <w:rPr>
          <w:rFonts w:cs="Times New Roman"/>
          <w:color w:val="auto"/>
          <w:highlight w:val="none"/>
        </w:rPr>
        <w:tab/>
      </w:r>
      <w:r>
        <w:rPr>
          <w:color w:val="auto"/>
          <w:highlight w:val="none"/>
        </w:rPr>
        <w:t>X</w:t>
      </w:r>
    </w:p>
    <w:p>
      <w:pPr>
        <w:numPr>
          <w:ilvl w:val="0"/>
          <w:numId w:val="5"/>
        </w:numPr>
        <w:tabs>
          <w:tab w:val="right" w:leader="hyphen" w:pos="8504"/>
        </w:tabs>
        <w:spacing w:line="48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参考样表</w:t>
      </w:r>
      <w:r>
        <w:rPr>
          <w:rFonts w:cs="Times New Roman"/>
          <w:color w:val="auto"/>
          <w:highlight w:val="none"/>
        </w:rPr>
        <w:tab/>
      </w:r>
      <w:r>
        <w:rPr>
          <w:color w:val="auto"/>
          <w:highlight w:val="none"/>
        </w:rPr>
        <w:t>X</w:t>
      </w:r>
    </w:p>
    <w:p>
      <w:pPr>
        <w:rPr>
          <w:rFonts w:ascii="黑体" w:hAnsi="黑体" w:eastAsia="黑体" w:cs="黑体"/>
          <w:color w:val="auto"/>
          <w:highlight w:val="none"/>
        </w:rPr>
      </w:pPr>
      <w:bookmarkStart w:id="698" w:name="_Toc12653"/>
      <w:bookmarkStart w:id="699" w:name="_Toc5015"/>
      <w:bookmarkStart w:id="700" w:name="_Toc6887"/>
      <w:bookmarkStart w:id="701" w:name="_Toc4982"/>
      <w:bookmarkStart w:id="702" w:name="_Toc27546"/>
    </w:p>
    <w:p>
      <w:pPr>
        <w:pStyle w:val="41"/>
        <w:rPr>
          <w:rFonts w:ascii="黑体" w:hAnsi="黑体" w:eastAsia="黑体" w:cs="Times New Roman"/>
          <w:b w:val="0"/>
          <w:bCs w:val="0"/>
          <w:color w:val="auto"/>
          <w:highlight w:val="none"/>
        </w:rPr>
      </w:pPr>
      <w:bookmarkStart w:id="703" w:name="_Toc21370"/>
      <w:bookmarkStart w:id="704" w:name="_Toc25067"/>
      <w:bookmarkStart w:id="705" w:name="_Toc18821"/>
      <w:bookmarkStart w:id="706" w:name="_Toc26490"/>
      <w:bookmarkStart w:id="707" w:name="_Toc1087"/>
      <w:r>
        <w:rPr>
          <w:rFonts w:hint="eastAsia" w:ascii="黑体" w:hAnsi="黑体" w:eastAsia="黑体" w:cs="黑体"/>
          <w:b w:val="0"/>
          <w:bCs w:val="0"/>
          <w:color w:val="auto"/>
          <w:highlight w:val="none"/>
        </w:rPr>
        <w:t>第一部分  资格证明文件</w:t>
      </w:r>
      <w:bookmarkEnd w:id="698"/>
      <w:bookmarkEnd w:id="699"/>
      <w:bookmarkEnd w:id="700"/>
      <w:bookmarkEnd w:id="701"/>
      <w:bookmarkEnd w:id="702"/>
      <w:bookmarkEnd w:id="703"/>
      <w:bookmarkEnd w:id="704"/>
      <w:bookmarkEnd w:id="705"/>
      <w:bookmarkEnd w:id="706"/>
      <w:bookmarkEnd w:id="707"/>
    </w:p>
    <w:p>
      <w:pPr>
        <w:spacing w:line="500" w:lineRule="exact"/>
        <w:ind w:firstLine="566" w:firstLineChars="200"/>
        <w:rPr>
          <w:rFonts w:ascii="华文仿宋" w:hAnsi="华文仿宋" w:cs="华文仿宋"/>
          <w:color w:val="auto"/>
          <w:highlight w:val="none"/>
        </w:rPr>
      </w:pPr>
      <w:r>
        <w:rPr>
          <w:rFonts w:hint="eastAsia" w:cs="华文仿宋"/>
          <w:color w:val="auto"/>
          <w:highlight w:val="none"/>
        </w:rPr>
        <w:t>投标人应按照招标文件第一章第十项所列“投标人资格要求”逐一提供全</w:t>
      </w:r>
      <w:r>
        <w:rPr>
          <w:rFonts w:hint="eastAsia" w:ascii="华文仿宋" w:hAnsi="华文仿宋" w:cs="华文仿宋"/>
          <w:color w:val="auto"/>
          <w:highlight w:val="none"/>
        </w:rPr>
        <w:t xml:space="preserve">部资格证明文件。缺少其中任何一项，其投标文件将被视为无效文件。 </w:t>
      </w:r>
    </w:p>
    <w:p>
      <w:pPr>
        <w:spacing w:line="500" w:lineRule="exact"/>
        <w:rPr>
          <w:rFonts w:cs="华文仿宋"/>
          <w:color w:val="auto"/>
          <w:highlight w:val="none"/>
        </w:rPr>
      </w:pPr>
      <w:r>
        <w:rPr>
          <w:rFonts w:hint="eastAsia" w:ascii="华文仿宋" w:hAnsi="华文仿宋" w:cs="华文仿宋"/>
          <w:color w:val="auto"/>
          <w:highlight w:val="none"/>
        </w:rPr>
        <w:t>其中，《供应商信用记录书面声明函》、《法定代表人授权委托书》《书面声明》</w:t>
      </w:r>
      <w:r>
        <w:rPr>
          <w:rFonts w:hint="eastAsia"/>
          <w:color w:val="auto"/>
          <w:highlight w:val="none"/>
        </w:rPr>
        <w:t>、《非联合体不分包投标声明》</w:t>
      </w:r>
      <w:r>
        <w:rPr>
          <w:rFonts w:hint="eastAsia" w:ascii="华文仿宋" w:hAnsi="华文仿宋" w:cs="华文仿宋"/>
          <w:color w:val="auto"/>
          <w:highlight w:val="none"/>
        </w:rPr>
        <w:t>须按下文给定格式填写。</w:t>
      </w:r>
      <w:r>
        <w:rPr>
          <w:rFonts w:hint="eastAsia"/>
          <w:color w:val="auto"/>
          <w:highlight w:val="none"/>
        </w:rPr>
        <w:t>特别说明，法定代表人亲自参加投标的，可不提供法定代表人授权委托书，但须提供其本人身份证（正反面）复印件。</w:t>
      </w:r>
    </w:p>
    <w:p>
      <w:pPr>
        <w:spacing w:line="500" w:lineRule="exact"/>
        <w:ind w:firstLine="561"/>
        <w:outlineLvl w:val="2"/>
        <w:rPr>
          <w:rFonts w:ascii="仿宋" w:hAnsi="仿宋" w:eastAsia="仿宋" w:cs="Times New Roman"/>
          <w:b/>
          <w:bCs/>
          <w:color w:val="auto"/>
          <w:highlight w:val="none"/>
        </w:rPr>
      </w:pPr>
      <w:bookmarkStart w:id="708" w:name="_Toc31488"/>
      <w:bookmarkStart w:id="709" w:name="_Toc30049"/>
      <w:bookmarkStart w:id="710" w:name="_Toc27284"/>
      <w:bookmarkStart w:id="711" w:name="_Toc4708"/>
      <w:bookmarkStart w:id="712" w:name="_Toc11595"/>
      <w:bookmarkStart w:id="713" w:name="_Toc15142"/>
      <w:bookmarkStart w:id="714" w:name="_Toc19778"/>
      <w:r>
        <w:rPr>
          <w:rFonts w:hint="eastAsia" w:ascii="仿宋" w:hAnsi="仿宋" w:eastAsia="仿宋" w:cs="仿宋"/>
          <w:b/>
          <w:bCs/>
          <w:color w:val="auto"/>
          <w:highlight w:val="none"/>
        </w:rPr>
        <w:t>一、营业执照等主体资格证明文件</w:t>
      </w:r>
      <w:bookmarkEnd w:id="708"/>
      <w:bookmarkEnd w:id="709"/>
      <w:bookmarkEnd w:id="710"/>
      <w:bookmarkEnd w:id="711"/>
      <w:bookmarkEnd w:id="712"/>
      <w:bookmarkEnd w:id="713"/>
      <w:bookmarkEnd w:id="714"/>
    </w:p>
    <w:p>
      <w:pPr>
        <w:spacing w:line="500" w:lineRule="exact"/>
        <w:ind w:firstLine="561"/>
        <w:outlineLvl w:val="2"/>
        <w:rPr>
          <w:rFonts w:ascii="仿宋" w:hAnsi="仿宋" w:eastAsia="仿宋" w:cs="Times New Roman"/>
          <w:b/>
          <w:bCs/>
          <w:color w:val="auto"/>
          <w:highlight w:val="none"/>
        </w:rPr>
      </w:pPr>
      <w:bookmarkStart w:id="715" w:name="_Toc28141"/>
      <w:bookmarkStart w:id="716" w:name="_Toc9048"/>
      <w:bookmarkStart w:id="717" w:name="_Toc10604"/>
      <w:bookmarkStart w:id="718" w:name="_Toc5013"/>
      <w:bookmarkStart w:id="719" w:name="_Toc20860"/>
      <w:bookmarkStart w:id="720" w:name="_Toc22740"/>
      <w:bookmarkStart w:id="721" w:name="_Toc17138"/>
      <w:r>
        <w:rPr>
          <w:rFonts w:hint="eastAsia" w:ascii="仿宋" w:hAnsi="仿宋" w:eastAsia="仿宋" w:cs="仿宋"/>
          <w:b/>
          <w:bCs/>
          <w:color w:val="auto"/>
          <w:highlight w:val="none"/>
        </w:rPr>
        <w:t>二、财务状况报告</w:t>
      </w:r>
      <w:bookmarkEnd w:id="715"/>
      <w:bookmarkEnd w:id="716"/>
      <w:bookmarkEnd w:id="717"/>
      <w:bookmarkEnd w:id="718"/>
      <w:bookmarkEnd w:id="719"/>
      <w:bookmarkEnd w:id="720"/>
      <w:bookmarkEnd w:id="721"/>
    </w:p>
    <w:p>
      <w:pPr>
        <w:spacing w:line="500" w:lineRule="exact"/>
        <w:ind w:firstLine="561"/>
        <w:outlineLvl w:val="2"/>
        <w:rPr>
          <w:rFonts w:ascii="仿宋" w:hAnsi="仿宋" w:eastAsia="仿宋" w:cs="Times New Roman"/>
          <w:b/>
          <w:bCs/>
          <w:color w:val="auto"/>
          <w:highlight w:val="none"/>
        </w:rPr>
      </w:pPr>
      <w:bookmarkStart w:id="722" w:name="_Toc29847"/>
      <w:bookmarkStart w:id="723" w:name="_Toc31863"/>
      <w:bookmarkStart w:id="724" w:name="_Toc8744"/>
      <w:bookmarkStart w:id="725" w:name="_Toc2811"/>
      <w:bookmarkStart w:id="726" w:name="_Toc3540"/>
      <w:bookmarkStart w:id="727" w:name="_Toc25723"/>
      <w:bookmarkStart w:id="728" w:name="_Toc16402"/>
      <w:r>
        <w:rPr>
          <w:rFonts w:hint="eastAsia" w:ascii="仿宋" w:hAnsi="仿宋" w:eastAsia="仿宋" w:cs="仿宋"/>
          <w:b/>
          <w:bCs/>
          <w:color w:val="auto"/>
          <w:highlight w:val="none"/>
        </w:rPr>
        <w:t>三、社保缴纳证明</w:t>
      </w:r>
      <w:bookmarkEnd w:id="722"/>
      <w:bookmarkEnd w:id="723"/>
      <w:bookmarkEnd w:id="724"/>
      <w:bookmarkEnd w:id="725"/>
      <w:bookmarkEnd w:id="726"/>
      <w:bookmarkEnd w:id="727"/>
      <w:bookmarkEnd w:id="728"/>
    </w:p>
    <w:p>
      <w:pPr>
        <w:spacing w:line="500" w:lineRule="exact"/>
        <w:ind w:firstLine="561"/>
        <w:outlineLvl w:val="2"/>
        <w:rPr>
          <w:rFonts w:ascii="仿宋" w:hAnsi="仿宋" w:eastAsia="仿宋" w:cs="Times New Roman"/>
          <w:b/>
          <w:bCs/>
          <w:color w:val="auto"/>
          <w:highlight w:val="none"/>
        </w:rPr>
      </w:pPr>
      <w:bookmarkStart w:id="729" w:name="_Toc28263"/>
      <w:bookmarkStart w:id="730" w:name="_Toc10660"/>
      <w:bookmarkStart w:id="731" w:name="_Toc18049"/>
      <w:bookmarkStart w:id="732" w:name="_Toc16129"/>
      <w:bookmarkStart w:id="733" w:name="_Toc9373"/>
      <w:bookmarkStart w:id="734" w:name="_Toc20052"/>
      <w:bookmarkStart w:id="735" w:name="_Toc28184"/>
      <w:r>
        <w:rPr>
          <w:rFonts w:hint="eastAsia" w:ascii="仿宋" w:hAnsi="仿宋" w:eastAsia="仿宋" w:cs="仿宋"/>
          <w:b/>
          <w:bCs/>
          <w:color w:val="auto"/>
          <w:highlight w:val="none"/>
        </w:rPr>
        <w:t>四、税收缴纳证明</w:t>
      </w:r>
      <w:bookmarkEnd w:id="729"/>
      <w:bookmarkEnd w:id="730"/>
      <w:bookmarkEnd w:id="731"/>
      <w:bookmarkEnd w:id="732"/>
      <w:bookmarkEnd w:id="733"/>
      <w:bookmarkEnd w:id="734"/>
      <w:bookmarkEnd w:id="735"/>
    </w:p>
    <w:p>
      <w:pPr>
        <w:spacing w:line="500" w:lineRule="exact"/>
        <w:ind w:firstLine="561"/>
        <w:outlineLvl w:val="2"/>
        <w:rPr>
          <w:rFonts w:ascii="仿宋" w:hAnsi="仿宋" w:eastAsia="仿宋" w:cs="Times New Roman"/>
          <w:b/>
          <w:bCs/>
          <w:color w:val="auto"/>
          <w:highlight w:val="none"/>
        </w:rPr>
      </w:pPr>
      <w:bookmarkStart w:id="736" w:name="_Toc17434"/>
      <w:bookmarkStart w:id="737" w:name="_Toc29133"/>
      <w:bookmarkStart w:id="738" w:name="_Toc11475"/>
      <w:bookmarkStart w:id="739" w:name="_Toc16264"/>
      <w:bookmarkStart w:id="740" w:name="_Toc25478"/>
      <w:bookmarkStart w:id="741" w:name="_Toc17673"/>
      <w:bookmarkStart w:id="742" w:name="_Toc29154"/>
      <w:r>
        <w:rPr>
          <w:rFonts w:hint="eastAsia" w:ascii="仿宋" w:hAnsi="仿宋" w:eastAsia="仿宋" w:cs="仿宋"/>
          <w:b/>
          <w:bCs/>
          <w:color w:val="auto"/>
          <w:highlight w:val="none"/>
        </w:rPr>
        <w:t>五、信用记录</w:t>
      </w:r>
      <w:bookmarkEnd w:id="736"/>
      <w:bookmarkEnd w:id="737"/>
      <w:bookmarkEnd w:id="738"/>
      <w:bookmarkEnd w:id="739"/>
      <w:bookmarkEnd w:id="740"/>
      <w:bookmarkEnd w:id="741"/>
      <w:bookmarkEnd w:id="742"/>
    </w:p>
    <w:p>
      <w:pPr>
        <w:pStyle w:val="42"/>
        <w:jc w:val="center"/>
        <w:outlineLvl w:val="9"/>
        <w:rPr>
          <w:rFonts w:cs="华文仿宋"/>
          <w:color w:val="auto"/>
          <w:sz w:val="30"/>
          <w:szCs w:val="30"/>
          <w:highlight w:val="none"/>
        </w:rPr>
      </w:pPr>
      <w:bookmarkStart w:id="743" w:name="_Toc3854"/>
      <w:bookmarkStart w:id="744" w:name="_Toc23408"/>
      <w:bookmarkStart w:id="745" w:name="_Toc32284"/>
      <w:bookmarkStart w:id="746" w:name="_Toc11923"/>
    </w:p>
    <w:p>
      <w:pPr>
        <w:pStyle w:val="42"/>
        <w:jc w:val="center"/>
        <w:outlineLvl w:val="9"/>
        <w:rPr>
          <w:rFonts w:cs="华文仿宋"/>
          <w:color w:val="auto"/>
          <w:sz w:val="30"/>
          <w:szCs w:val="30"/>
          <w:highlight w:val="none"/>
        </w:rPr>
      </w:pPr>
    </w:p>
    <w:p>
      <w:pPr>
        <w:pStyle w:val="42"/>
        <w:jc w:val="center"/>
        <w:outlineLvl w:val="9"/>
        <w:rPr>
          <w:rFonts w:cs="Times New Roman"/>
          <w:color w:val="auto"/>
          <w:sz w:val="30"/>
          <w:szCs w:val="30"/>
          <w:highlight w:val="none"/>
        </w:rPr>
      </w:pPr>
      <w:bookmarkStart w:id="747" w:name="_Toc29741"/>
      <w:bookmarkStart w:id="748" w:name="_Toc4092"/>
      <w:bookmarkStart w:id="749" w:name="_Toc10456"/>
      <w:bookmarkStart w:id="750" w:name="_Toc17085"/>
      <w:bookmarkStart w:id="751" w:name="_Toc29707"/>
      <w:r>
        <w:rPr>
          <w:rFonts w:hint="eastAsia" w:cs="华文仿宋"/>
          <w:color w:val="auto"/>
          <w:sz w:val="30"/>
          <w:szCs w:val="30"/>
          <w:highlight w:val="none"/>
        </w:rPr>
        <w:t>供应商信用记录书面声明函</w:t>
      </w:r>
      <w:bookmarkEnd w:id="743"/>
      <w:bookmarkEnd w:id="744"/>
      <w:bookmarkEnd w:id="745"/>
      <w:bookmarkEnd w:id="746"/>
      <w:bookmarkEnd w:id="747"/>
      <w:bookmarkEnd w:id="748"/>
      <w:bookmarkEnd w:id="749"/>
      <w:bookmarkEnd w:id="750"/>
      <w:bookmarkEnd w:id="751"/>
    </w:p>
    <w:p>
      <w:pPr>
        <w:spacing w:line="500" w:lineRule="exact"/>
        <w:rPr>
          <w:rFonts w:cs="Times New Roman"/>
          <w:color w:val="auto"/>
          <w:highlight w:val="none"/>
        </w:rPr>
      </w:pPr>
      <w:r>
        <w:rPr>
          <w:rFonts w:hint="eastAsia" w:ascii="仿宋" w:hAnsi="仿宋" w:eastAsia="仿宋" w:cs="仿宋"/>
          <w:color w:val="auto"/>
          <w:highlight w:val="none"/>
        </w:rPr>
        <w:t>陕西省省级单位政府采购中心</w:t>
      </w:r>
      <w:r>
        <w:rPr>
          <w:rFonts w:hint="eastAsia" w:cs="华文仿宋"/>
          <w:color w:val="auto"/>
          <w:highlight w:val="none"/>
        </w:rPr>
        <w:t>：</w:t>
      </w:r>
    </w:p>
    <w:p>
      <w:pPr>
        <w:spacing w:line="500" w:lineRule="exact"/>
        <w:ind w:right="11" w:firstLine="566" w:firstLineChars="200"/>
        <w:rPr>
          <w:rFonts w:cs="Times New Roman"/>
          <w:color w:val="auto"/>
          <w:highlight w:val="none"/>
        </w:rPr>
      </w:pPr>
      <w:r>
        <w:rPr>
          <w:rFonts w:hint="eastAsia" w:ascii="华文仿宋" w:hAnsi="华文仿宋" w:cs="华文仿宋"/>
          <w:color w:val="auto"/>
          <w:highlight w:val="none"/>
        </w:rPr>
        <w:t>我方作为《</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w:t>
      </w:r>
      <w:r>
        <w:rPr>
          <w:rFonts w:hint="eastAsia" w:cs="华文仿宋"/>
          <w:color w:val="auto"/>
          <w:highlight w:val="none"/>
        </w:rPr>
        <w:t>的投标人，在此郑重声明：</w:t>
      </w:r>
    </w:p>
    <w:p>
      <w:pPr>
        <w:spacing w:line="500" w:lineRule="exact"/>
        <w:ind w:firstLine="566" w:firstLineChars="200"/>
        <w:rPr>
          <w:rFonts w:cs="Times New Roman"/>
          <w:color w:val="auto"/>
          <w:highlight w:val="none"/>
        </w:rPr>
      </w:pPr>
      <w:r>
        <w:rPr>
          <w:color w:val="auto"/>
          <w:highlight w:val="none"/>
        </w:rPr>
        <w:t>1</w:t>
      </w:r>
      <w:r>
        <w:rPr>
          <w:rFonts w:hint="eastAsia" w:cs="华文仿宋"/>
          <w:color w:val="auto"/>
          <w:highlight w:val="none"/>
        </w:rPr>
        <w:t>、在参加本次政府采购活动前</w:t>
      </w:r>
      <w:r>
        <w:rPr>
          <w:rFonts w:ascii="仿宋" w:hAnsi="仿宋" w:eastAsia="仿宋" w:cs="仿宋"/>
          <w:color w:val="auto"/>
          <w:highlight w:val="none"/>
        </w:rPr>
        <w:t>3</w:t>
      </w:r>
      <w:r>
        <w:rPr>
          <w:rFonts w:hint="eastAsia" w:cs="华文仿宋"/>
          <w:color w:val="auto"/>
          <w:highlight w:val="none"/>
        </w:rPr>
        <w:t>年内的经营活动中</w:t>
      </w:r>
      <w:r>
        <w:rPr>
          <w:color w:val="auto"/>
          <w:highlight w:val="none"/>
        </w:rPr>
        <w:t>____</w:t>
      </w:r>
      <w:r>
        <w:rPr>
          <w:rFonts w:hint="eastAsia" w:cs="华文仿宋"/>
          <w:color w:val="auto"/>
          <w:highlight w:val="none"/>
        </w:rPr>
        <w:t>（填“没有”或“有”）重大违法记录。</w:t>
      </w:r>
      <w:r>
        <w:rPr>
          <w:rFonts w:hint="eastAsia" w:cs="华文仿宋"/>
          <w:b/>
          <w:bCs/>
          <w:color w:val="auto"/>
          <w:highlight w:val="none"/>
        </w:rPr>
        <w:t>投标人在参加政府采购活动前</w:t>
      </w:r>
      <w:r>
        <w:rPr>
          <w:rFonts w:ascii="仿宋" w:hAnsi="仿宋" w:eastAsia="仿宋" w:cs="仿宋"/>
          <w:b/>
          <w:bCs/>
          <w:color w:val="auto"/>
          <w:highlight w:val="none"/>
        </w:rPr>
        <w:t>3</w:t>
      </w:r>
      <w:r>
        <w:rPr>
          <w:rFonts w:hint="eastAsia" w:cs="华文仿宋"/>
          <w:b/>
          <w:bCs/>
          <w:color w:val="auto"/>
          <w:highlight w:val="none"/>
        </w:rPr>
        <w:t>年内因违法经营被禁止在一定期限内参加政府采购活动，期限届满的，可以参加政府采购活动，但应提供期限届满的证明材料。</w:t>
      </w:r>
    </w:p>
    <w:p>
      <w:pPr>
        <w:spacing w:line="500" w:lineRule="exact"/>
        <w:ind w:firstLine="566" w:firstLineChars="200"/>
        <w:rPr>
          <w:rFonts w:cs="Times New Roman"/>
          <w:color w:val="auto"/>
          <w:highlight w:val="none"/>
        </w:rPr>
      </w:pPr>
      <w:r>
        <w:rPr>
          <w:color w:val="auto"/>
          <w:highlight w:val="none"/>
        </w:rPr>
        <w:t>2</w:t>
      </w:r>
      <w:r>
        <w:rPr>
          <w:rFonts w:hint="eastAsia" w:cs="华文仿宋"/>
          <w:color w:val="auto"/>
          <w:highlight w:val="none"/>
        </w:rPr>
        <w:t>、我方</w:t>
      </w:r>
      <w:r>
        <w:rPr>
          <w:color w:val="auto"/>
          <w:highlight w:val="none"/>
        </w:rPr>
        <w:t>______</w:t>
      </w:r>
      <w:r>
        <w:rPr>
          <w:rFonts w:hint="eastAsia" w:cs="华文仿宋"/>
          <w:color w:val="auto"/>
          <w:highlight w:val="none"/>
        </w:rPr>
        <w:t>（填“未被列入”或“被列入”）失信被执行人名单。</w:t>
      </w:r>
    </w:p>
    <w:p>
      <w:pPr>
        <w:spacing w:line="500" w:lineRule="exact"/>
        <w:ind w:firstLine="566" w:firstLineChars="200"/>
        <w:rPr>
          <w:rFonts w:cs="Times New Roman"/>
          <w:color w:val="auto"/>
          <w:highlight w:val="none"/>
        </w:rPr>
      </w:pPr>
      <w:r>
        <w:rPr>
          <w:color w:val="auto"/>
          <w:highlight w:val="none"/>
        </w:rPr>
        <w:t>3</w:t>
      </w:r>
      <w:r>
        <w:rPr>
          <w:rFonts w:hint="eastAsia" w:cs="华文仿宋"/>
          <w:color w:val="auto"/>
          <w:highlight w:val="none"/>
        </w:rPr>
        <w:t>、我方</w:t>
      </w:r>
      <w:r>
        <w:rPr>
          <w:color w:val="auto"/>
          <w:highlight w:val="none"/>
        </w:rPr>
        <w:t>______</w:t>
      </w:r>
      <w:r>
        <w:rPr>
          <w:rFonts w:hint="eastAsia" w:cs="华文仿宋"/>
          <w:color w:val="auto"/>
          <w:highlight w:val="none"/>
        </w:rPr>
        <w:t>（填“未被列入”或“被列入”）重大税收违法案件当事人名单。</w:t>
      </w:r>
    </w:p>
    <w:p>
      <w:pPr>
        <w:spacing w:line="500" w:lineRule="exact"/>
        <w:ind w:firstLine="566" w:firstLineChars="200"/>
        <w:rPr>
          <w:rFonts w:cs="Times New Roman"/>
          <w:color w:val="auto"/>
          <w:highlight w:val="none"/>
        </w:rPr>
      </w:pPr>
      <w:r>
        <w:rPr>
          <w:color w:val="auto"/>
          <w:highlight w:val="none"/>
        </w:rPr>
        <w:t>4</w:t>
      </w:r>
      <w:r>
        <w:rPr>
          <w:rFonts w:hint="eastAsia" w:cs="华文仿宋"/>
          <w:color w:val="auto"/>
          <w:highlight w:val="none"/>
        </w:rPr>
        <w:t>、我方</w:t>
      </w:r>
      <w:r>
        <w:rPr>
          <w:color w:val="auto"/>
          <w:highlight w:val="none"/>
        </w:rPr>
        <w:t>______</w:t>
      </w:r>
      <w:r>
        <w:rPr>
          <w:rFonts w:hint="eastAsia" w:cs="华文仿宋"/>
          <w:color w:val="auto"/>
          <w:highlight w:val="none"/>
        </w:rPr>
        <w:t>（填“未被列入”或“被列入”）政府采购严重违法失信行为记录名单。</w:t>
      </w:r>
    </w:p>
    <w:p>
      <w:pPr>
        <w:spacing w:line="500" w:lineRule="exact"/>
        <w:ind w:firstLine="566" w:firstLineChars="200"/>
        <w:rPr>
          <w:rFonts w:cs="Times New Roman"/>
          <w:color w:val="auto"/>
          <w:highlight w:val="none"/>
        </w:rPr>
      </w:pPr>
      <w:r>
        <w:rPr>
          <w:rFonts w:hint="eastAsia" w:cs="华文仿宋"/>
          <w:color w:val="auto"/>
          <w:highlight w:val="none"/>
        </w:rPr>
        <w:t>如有不实，我方将无条件地退出本项目的采购活动，并遵照《政府采购法》有关“提供虚假材料的规定”接受处罚。</w:t>
      </w:r>
    </w:p>
    <w:p>
      <w:pPr>
        <w:spacing w:line="500" w:lineRule="exact"/>
        <w:ind w:firstLine="566" w:firstLineChars="200"/>
        <w:rPr>
          <w:rFonts w:cs="Times New Roman"/>
          <w:color w:val="auto"/>
          <w:highlight w:val="none"/>
        </w:rPr>
      </w:pPr>
      <w:r>
        <w:rPr>
          <w:rFonts w:hint="eastAsia" w:cs="华文仿宋"/>
          <w:color w:val="auto"/>
          <w:highlight w:val="none"/>
        </w:rPr>
        <w:t>特此声明。</w:t>
      </w:r>
    </w:p>
    <w:p>
      <w:pPr>
        <w:spacing w:line="500" w:lineRule="exact"/>
        <w:ind w:firstLine="4811" w:firstLineChars="170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w:t>
      </w:r>
    </w:p>
    <w:p>
      <w:pPr>
        <w:spacing w:line="500" w:lineRule="exact"/>
        <w:ind w:firstLine="5094" w:firstLineChars="1800"/>
        <w:rPr>
          <w:rFonts w:cs="Times New Roman"/>
          <w:color w:val="auto"/>
          <w:highlight w:val="none"/>
        </w:rPr>
      </w:pPr>
      <w:r>
        <w:rPr>
          <w:rFonts w:hint="eastAsia" w:cs="华文仿宋"/>
          <w:color w:val="auto"/>
          <w:highlight w:val="none"/>
        </w:rPr>
        <w:t>日期：　　年　月　日</w:t>
      </w:r>
    </w:p>
    <w:p>
      <w:pPr>
        <w:spacing w:line="500" w:lineRule="exact"/>
        <w:ind w:firstLine="426" w:firstLineChars="200"/>
        <w:rPr>
          <w:rFonts w:ascii="宋体" w:hAnsi="宋体" w:eastAsia="宋体" w:cs="Times New Roman"/>
          <w:color w:val="auto"/>
          <w:sz w:val="21"/>
          <w:szCs w:val="21"/>
          <w:highlight w:val="none"/>
        </w:rPr>
      </w:pPr>
    </w:p>
    <w:p>
      <w:pPr>
        <w:pStyle w:val="22"/>
        <w:spacing w:after="190"/>
        <w:ind w:firstLine="213"/>
        <w:rPr>
          <w:color w:val="auto"/>
          <w:highlight w:val="none"/>
        </w:rPr>
      </w:pPr>
      <w:r>
        <w:rPr>
          <w:rFonts w:hint="eastAsia" w:ascii="宋体" w:hAnsi="宋体" w:eastAsia="宋体" w:cs="宋体"/>
          <w:color w:val="auto"/>
          <w:sz w:val="21"/>
          <w:szCs w:val="21"/>
          <w:highlight w:val="none"/>
        </w:rPr>
        <w:t>备注：项目不分标段的，第</w:t>
      </w:r>
      <w:r>
        <w:rPr>
          <w:rFonts w:ascii="宋体" w:hAnsi="宋体" w:eastAsia="宋体" w:cs="宋体"/>
          <w:color w:val="auto"/>
          <w:sz w:val="21"/>
          <w:szCs w:val="21"/>
          <w:highlight w:val="none"/>
        </w:rPr>
        <w:t>___</w:t>
      </w:r>
      <w:r>
        <w:rPr>
          <w:rFonts w:hint="eastAsia" w:ascii="宋体" w:hAnsi="宋体" w:eastAsia="宋体" w:cs="宋体"/>
          <w:color w:val="auto"/>
          <w:sz w:val="21"/>
          <w:szCs w:val="21"/>
          <w:highlight w:val="none"/>
        </w:rPr>
        <w:t>标段空白处填写“</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bookmarkStart w:id="752" w:name="_Toc29757"/>
      <w:bookmarkStart w:id="753" w:name="_Toc9550"/>
    </w:p>
    <w:p>
      <w:pPr>
        <w:pStyle w:val="22"/>
        <w:numPr>
          <w:ilvl w:val="0"/>
          <w:numId w:val="6"/>
        </w:numPr>
        <w:spacing w:after="190"/>
        <w:ind w:firstLine="0" w:firstLineChars="0"/>
        <w:outlineLvl w:val="2"/>
        <w:rPr>
          <w:rFonts w:ascii="仿宋" w:hAnsi="仿宋" w:eastAsia="仿宋" w:cs="仿宋"/>
          <w:b/>
          <w:bCs/>
          <w:color w:val="auto"/>
          <w:sz w:val="30"/>
          <w:szCs w:val="30"/>
          <w:highlight w:val="none"/>
        </w:rPr>
      </w:pPr>
      <w:bookmarkStart w:id="754" w:name="_Toc22937"/>
      <w:bookmarkStart w:id="755" w:name="_Toc6319"/>
      <w:bookmarkStart w:id="756" w:name="_Toc24508"/>
      <w:bookmarkStart w:id="757" w:name="_Toc14054"/>
      <w:bookmarkStart w:id="758" w:name="_Toc1488"/>
      <w:bookmarkStart w:id="759" w:name="_Toc27767"/>
      <w:bookmarkStart w:id="760" w:name="_Toc28599"/>
      <w:bookmarkStart w:id="761" w:name="_Toc13686"/>
      <w:r>
        <w:rPr>
          <w:rFonts w:hint="eastAsia" w:ascii="仿宋" w:hAnsi="仿宋" w:eastAsia="仿宋" w:cs="仿宋"/>
          <w:b/>
          <w:bCs/>
          <w:color w:val="auto"/>
          <w:sz w:val="30"/>
          <w:szCs w:val="30"/>
          <w:highlight w:val="none"/>
        </w:rPr>
        <w:br w:type="page"/>
      </w:r>
      <w:bookmarkStart w:id="762" w:name="_Toc20662"/>
      <w:bookmarkStart w:id="763" w:name="_Toc25524"/>
      <w:bookmarkStart w:id="764" w:name="_Toc7084"/>
      <w:bookmarkStart w:id="765" w:name="_Toc4561"/>
      <w:bookmarkStart w:id="766" w:name="_Toc1517"/>
      <w:bookmarkStart w:id="767" w:name="_Toc15868"/>
      <w:bookmarkStart w:id="768" w:name="_Toc9165"/>
      <w:bookmarkStart w:id="769" w:name="_Toc32331"/>
      <w:r>
        <w:rPr>
          <w:rFonts w:hint="eastAsia" w:ascii="仿宋" w:hAnsi="仿宋" w:eastAsia="仿宋" w:cs="仿宋"/>
          <w:b/>
          <w:bCs/>
          <w:color w:val="auto"/>
          <w:sz w:val="30"/>
          <w:szCs w:val="30"/>
          <w:highlight w:val="none"/>
        </w:rPr>
        <w:t>控股管理关系</w:t>
      </w:r>
      <w:bookmarkEnd w:id="754"/>
      <w:bookmarkEnd w:id="755"/>
      <w:bookmarkEnd w:id="756"/>
      <w:bookmarkEnd w:id="757"/>
      <w:bookmarkEnd w:id="758"/>
      <w:bookmarkEnd w:id="762"/>
      <w:bookmarkEnd w:id="763"/>
      <w:bookmarkEnd w:id="764"/>
      <w:bookmarkEnd w:id="765"/>
      <w:bookmarkEnd w:id="766"/>
      <w:bookmarkEnd w:id="767"/>
      <w:bookmarkEnd w:id="768"/>
      <w:bookmarkEnd w:id="769"/>
    </w:p>
    <w:p>
      <w:pPr>
        <w:pStyle w:val="22"/>
        <w:keepNext w:val="0"/>
        <w:keepLines w:val="0"/>
        <w:pageBreakBefore w:val="0"/>
        <w:widowControl/>
        <w:kinsoku/>
        <w:wordWrap/>
        <w:overflowPunct/>
        <w:topLinePunct w:val="0"/>
        <w:autoSpaceDE/>
        <w:autoSpaceDN/>
        <w:bidi w:val="0"/>
        <w:adjustRightInd/>
        <w:snapToGrid/>
        <w:spacing w:afterLines="0"/>
        <w:ind w:firstLine="606" w:firstLineChars="200"/>
        <w:textAlignment w:val="auto"/>
        <w:rPr>
          <w:rFonts w:ascii="仿宋" w:hAnsi="仿宋" w:eastAsia="仿宋" w:cs="仿宋"/>
          <w:b/>
          <w:bCs/>
          <w:color w:val="auto"/>
          <w:sz w:val="30"/>
          <w:szCs w:val="30"/>
          <w:highlight w:val="none"/>
        </w:rPr>
      </w:pPr>
      <w:bookmarkStart w:id="770" w:name="_Toc23076"/>
      <w:bookmarkStart w:id="771" w:name="_Toc13090"/>
      <w:bookmarkStart w:id="772" w:name="_Toc15773"/>
      <w:bookmarkStart w:id="773" w:name="_Toc25983"/>
      <w:bookmarkStart w:id="774" w:name="_Toc12264"/>
      <w:bookmarkStart w:id="775" w:name="_Toc12007"/>
      <w:r>
        <w:rPr>
          <w:rFonts w:hint="eastAsia" w:ascii="仿宋" w:hAnsi="仿宋" w:eastAsia="仿宋" w:cs="仿宋"/>
          <w:b/>
          <w:bCs/>
          <w:color w:val="auto"/>
          <w:sz w:val="30"/>
          <w:szCs w:val="30"/>
          <w:highlight w:val="none"/>
        </w:rPr>
        <w:t>投标人提供直接控股和管理关系清单，格式不限。</w:t>
      </w:r>
      <w:bookmarkEnd w:id="770"/>
      <w:bookmarkEnd w:id="771"/>
      <w:bookmarkEnd w:id="772"/>
      <w:bookmarkEnd w:id="773"/>
      <w:bookmarkEnd w:id="774"/>
      <w:bookmarkEnd w:id="775"/>
    </w:p>
    <w:p>
      <w:pPr>
        <w:pStyle w:val="22"/>
        <w:keepNext w:val="0"/>
        <w:keepLines w:val="0"/>
        <w:pageBreakBefore w:val="0"/>
        <w:widowControl/>
        <w:kinsoku/>
        <w:wordWrap/>
        <w:overflowPunct/>
        <w:topLinePunct w:val="0"/>
        <w:autoSpaceDE/>
        <w:autoSpaceDN/>
        <w:bidi w:val="0"/>
        <w:adjustRightInd/>
        <w:snapToGrid/>
        <w:spacing w:afterLines="0"/>
        <w:ind w:firstLine="606" w:firstLineChars="200"/>
        <w:jc w:val="center"/>
        <w:textAlignment w:val="auto"/>
        <w:rPr>
          <w:rFonts w:ascii="仿宋" w:hAnsi="仿宋" w:eastAsia="仿宋" w:cs="仿宋"/>
          <w:b/>
          <w:bCs/>
          <w:color w:val="auto"/>
          <w:sz w:val="30"/>
          <w:szCs w:val="30"/>
          <w:highlight w:val="none"/>
        </w:rPr>
      </w:pPr>
      <w:bookmarkStart w:id="776" w:name="_Toc26760"/>
      <w:bookmarkStart w:id="777" w:name="_Toc21260"/>
      <w:bookmarkStart w:id="778" w:name="_Toc22023"/>
      <w:bookmarkStart w:id="779" w:name="_Toc15131"/>
      <w:bookmarkStart w:id="780" w:name="_Toc952"/>
      <w:bookmarkStart w:id="781" w:name="_Toc10651"/>
      <w:r>
        <w:rPr>
          <w:rFonts w:hint="eastAsia" w:ascii="仿宋" w:hAnsi="仿宋" w:eastAsia="仿宋" w:cs="仿宋"/>
          <w:b/>
          <w:bCs/>
          <w:color w:val="auto"/>
          <w:sz w:val="30"/>
          <w:szCs w:val="30"/>
          <w:highlight w:val="none"/>
        </w:rPr>
        <w:t>控股管理关系（样表）</w:t>
      </w:r>
      <w:bookmarkEnd w:id="776"/>
      <w:bookmarkEnd w:id="777"/>
      <w:bookmarkEnd w:id="778"/>
      <w:bookmarkEnd w:id="779"/>
      <w:bookmarkEnd w:id="780"/>
      <w:bookmarkEnd w:id="781"/>
    </w:p>
    <w:p>
      <w:pPr>
        <w:spacing w:line="500" w:lineRule="exact"/>
        <w:rPr>
          <w:rFonts w:ascii="仿宋" w:hAnsi="仿宋" w:eastAsia="仿宋" w:cs="仿宋"/>
          <w:color w:val="auto"/>
          <w:highlight w:val="none"/>
        </w:rPr>
      </w:pPr>
      <w:r>
        <w:rPr>
          <w:rFonts w:hint="eastAsia" w:ascii="仿宋" w:hAnsi="仿宋" w:eastAsia="仿宋" w:cs="仿宋"/>
          <w:color w:val="auto"/>
          <w:highlight w:val="none"/>
        </w:rPr>
        <w:t>陕西省省级单位政府采购中心：</w:t>
      </w:r>
    </w:p>
    <w:p>
      <w:pPr>
        <w:spacing w:line="500" w:lineRule="exact"/>
        <w:ind w:firstLine="566" w:firstLineChars="200"/>
        <w:rPr>
          <w:rFonts w:ascii="仿宋" w:hAnsi="仿宋" w:eastAsia="仿宋" w:cs="仿宋"/>
          <w:b/>
          <w:bCs/>
          <w:color w:val="auto"/>
          <w:sz w:val="30"/>
          <w:szCs w:val="30"/>
          <w:highlight w:val="none"/>
        </w:rPr>
      </w:pPr>
      <w:r>
        <w:rPr>
          <w:rFonts w:hint="eastAsia" w:ascii="仿宋" w:hAnsi="仿宋" w:eastAsia="仿宋" w:cs="仿宋"/>
          <w:color w:val="auto"/>
          <w:highlight w:val="none"/>
        </w:rPr>
        <w:t>我方与以下投标人存在直接控股、管理关系：</w:t>
      </w:r>
    </w:p>
    <w:tbl>
      <w:tblPr>
        <w:tblStyle w:val="24"/>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2855"/>
        <w:gridCol w:w="2646"/>
        <w:gridCol w:w="199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4"/>
            <w:tcBorders>
              <w:left w:val="single" w:color="auto" w:sz="12" w:space="0"/>
              <w:right w:val="single" w:color="auto" w:sz="12" w:space="0"/>
            </w:tcBorders>
            <w:shd w:val="clear" w:color="auto" w:fill="F7CAAC"/>
            <w:noWrap/>
            <w:vAlign w:val="center"/>
          </w:tcPr>
          <w:p>
            <w:pPr>
              <w:autoSpaceDE w:val="0"/>
              <w:autoSpaceDN w:val="0"/>
              <w:adjustRightInd w:val="0"/>
              <w:spacing w:line="32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存在直接控股、管理关系的相关</w:t>
            </w:r>
            <w:r>
              <w:rPr>
                <w:rFonts w:hint="eastAsia" w:ascii="仿宋" w:hAnsi="仿宋" w:eastAsia="仿宋" w:cs="仿宋"/>
                <w:color w:val="auto"/>
                <w:kern w:val="0"/>
                <w:sz w:val="24"/>
                <w:szCs w:val="24"/>
                <w:highlight w:val="none"/>
                <w:lang w:eastAsia="zh-CN"/>
              </w:rPr>
              <w:t>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hint="eastAsia" w:ascii="仿宋" w:hAnsi="仿宋" w:eastAsia="仿宋" w:cs="仿宋"/>
                <w:b/>
                <w:color w:val="auto"/>
                <w:kern w:val="0"/>
                <w:sz w:val="24"/>
                <w:szCs w:val="24"/>
                <w:highlight w:val="none"/>
                <w:lang w:eastAsia="zh-CN"/>
              </w:rPr>
            </w:pPr>
            <w:r>
              <w:rPr>
                <w:rFonts w:hint="eastAsia" w:ascii="仿宋" w:hAnsi="仿宋" w:eastAsia="仿宋" w:cs="仿宋"/>
                <w:b/>
                <w:bCs w:val="0"/>
                <w:color w:val="auto"/>
                <w:kern w:val="0"/>
                <w:sz w:val="24"/>
                <w:szCs w:val="24"/>
                <w:highlight w:val="none"/>
                <w:lang w:eastAsia="zh-CN"/>
              </w:rPr>
              <w:t>序号</w:t>
            </w:r>
          </w:p>
        </w:tc>
        <w:tc>
          <w:tcPr>
            <w:tcW w:w="2855" w:type="dxa"/>
            <w:tcBorders>
              <w:right w:val="single" w:color="auto" w:sz="4" w:space="0"/>
            </w:tcBorders>
            <w:noWrap/>
            <w:vAlign w:val="center"/>
          </w:tcPr>
          <w:p>
            <w:pPr>
              <w:autoSpaceDE w:val="0"/>
              <w:autoSpaceDN w:val="0"/>
              <w:adjustRightInd w:val="0"/>
              <w:spacing w:line="320" w:lineRule="exact"/>
              <w:jc w:val="center"/>
              <w:rPr>
                <w:rFonts w:hint="default"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lang w:eastAsia="zh-CN"/>
              </w:rPr>
              <w:t>直接控股股东</w:t>
            </w:r>
            <w:r>
              <w:rPr>
                <w:rFonts w:hint="eastAsia" w:ascii="仿宋" w:hAnsi="仿宋" w:eastAsia="仿宋" w:cs="仿宋"/>
                <w:b/>
                <w:bCs w:val="0"/>
                <w:color w:val="auto"/>
                <w:kern w:val="0"/>
                <w:sz w:val="24"/>
                <w:szCs w:val="24"/>
                <w:highlight w:val="none"/>
              </w:rPr>
              <w:t>名称</w:t>
            </w:r>
            <w:r>
              <w:rPr>
                <w:rFonts w:hint="eastAsia" w:ascii="仿宋" w:hAnsi="仿宋" w:eastAsia="仿宋" w:cs="仿宋"/>
                <w:b/>
                <w:bCs w:val="0"/>
                <w:color w:val="auto"/>
                <w:kern w:val="0"/>
                <w:sz w:val="24"/>
                <w:szCs w:val="24"/>
                <w:highlight w:val="none"/>
                <w:lang w:eastAsia="zh-CN"/>
              </w:rPr>
              <w:t>及出资比例</w:t>
            </w:r>
          </w:p>
        </w:tc>
        <w:tc>
          <w:tcPr>
            <w:tcW w:w="2646" w:type="dxa"/>
            <w:tcBorders>
              <w:left w:val="single" w:color="auto" w:sz="4" w:space="0"/>
              <w:right w:val="single" w:color="auto" w:sz="4" w:space="0"/>
            </w:tcBorders>
            <w:noWrap/>
            <w:vAlign w:val="center"/>
          </w:tcPr>
          <w:p>
            <w:pPr>
              <w:autoSpaceDE w:val="0"/>
              <w:autoSpaceDN w:val="0"/>
              <w:adjustRightInd w:val="0"/>
              <w:spacing w:line="320" w:lineRule="exact"/>
              <w:jc w:val="center"/>
              <w:rPr>
                <w:rFonts w:hint="eastAsia" w:ascii="仿宋" w:hAnsi="仿宋" w:eastAsia="仿宋" w:cs="仿宋"/>
                <w:b/>
                <w:bCs w:val="0"/>
                <w:color w:val="auto"/>
                <w:kern w:val="0"/>
                <w:sz w:val="24"/>
                <w:szCs w:val="24"/>
                <w:highlight w:val="none"/>
                <w:lang w:eastAsia="zh-CN"/>
              </w:rPr>
            </w:pPr>
            <w:r>
              <w:rPr>
                <w:rFonts w:hint="eastAsia" w:ascii="仿宋" w:hAnsi="仿宋" w:eastAsia="仿宋" w:cs="仿宋"/>
                <w:b/>
                <w:bCs w:val="0"/>
                <w:color w:val="auto"/>
                <w:kern w:val="0"/>
                <w:sz w:val="24"/>
                <w:szCs w:val="24"/>
                <w:highlight w:val="none"/>
                <w:lang w:val="en-US" w:eastAsia="zh-CN"/>
              </w:rPr>
              <w:t>直接管理关系单位名称</w:t>
            </w:r>
          </w:p>
        </w:tc>
        <w:tc>
          <w:tcPr>
            <w:tcW w:w="1993" w:type="dxa"/>
            <w:tcBorders>
              <w:left w:val="single" w:color="auto" w:sz="4" w:space="0"/>
              <w:right w:val="single" w:color="auto" w:sz="12" w:space="0"/>
            </w:tcBorders>
            <w:noWrap/>
            <w:vAlign w:val="center"/>
          </w:tcPr>
          <w:p>
            <w:pPr>
              <w:autoSpaceDE w:val="0"/>
              <w:autoSpaceDN w:val="0"/>
              <w:adjustRightInd w:val="0"/>
              <w:spacing w:line="320" w:lineRule="exact"/>
              <w:jc w:val="center"/>
              <w:rPr>
                <w:rFonts w:hint="eastAsia" w:ascii="仿宋" w:hAnsi="仿宋" w:eastAsia="仿宋" w:cs="仿宋"/>
                <w:b/>
                <w:bCs w:val="0"/>
                <w:color w:val="auto"/>
                <w:kern w:val="0"/>
                <w:sz w:val="24"/>
                <w:szCs w:val="24"/>
                <w:highlight w:val="none"/>
                <w:lang w:eastAsia="zh-CN"/>
              </w:rPr>
            </w:pPr>
            <w:r>
              <w:rPr>
                <w:rFonts w:hint="eastAsia" w:ascii="仿宋" w:hAnsi="仿宋" w:eastAsia="仿宋" w:cs="仿宋"/>
                <w:b/>
                <w:bCs w:val="0"/>
                <w:color w:val="auto"/>
                <w:kern w:val="0"/>
                <w:sz w:val="24"/>
                <w:szCs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2855" w:type="dxa"/>
            <w:tcBorders>
              <w:right w:val="single" w:color="auto" w:sz="4"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c>
          <w:tcPr>
            <w:tcW w:w="2646" w:type="dxa"/>
            <w:tcBorders>
              <w:left w:val="single" w:color="auto" w:sz="4" w:space="0"/>
              <w:right w:val="single" w:color="auto" w:sz="4"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c>
          <w:tcPr>
            <w:tcW w:w="1993" w:type="dxa"/>
            <w:tcBorders>
              <w:left w:val="single" w:color="auto" w:sz="4" w:space="0"/>
              <w:right w:val="single" w:color="auto" w:sz="12"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2855" w:type="dxa"/>
            <w:tcBorders>
              <w:right w:val="single" w:color="auto" w:sz="4"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c>
          <w:tcPr>
            <w:tcW w:w="2646" w:type="dxa"/>
            <w:tcBorders>
              <w:left w:val="single" w:color="auto" w:sz="4" w:space="0"/>
              <w:right w:val="single" w:color="auto" w:sz="4"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c>
          <w:tcPr>
            <w:tcW w:w="1993" w:type="dxa"/>
            <w:tcBorders>
              <w:left w:val="single" w:color="auto" w:sz="4" w:space="0"/>
              <w:right w:val="single" w:color="auto" w:sz="12"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2855" w:type="dxa"/>
            <w:tcBorders>
              <w:right w:val="single" w:color="auto" w:sz="4"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c>
          <w:tcPr>
            <w:tcW w:w="2646" w:type="dxa"/>
            <w:tcBorders>
              <w:left w:val="single" w:color="auto" w:sz="4" w:space="0"/>
              <w:right w:val="single" w:color="auto" w:sz="4"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c>
          <w:tcPr>
            <w:tcW w:w="1993" w:type="dxa"/>
            <w:tcBorders>
              <w:left w:val="single" w:color="auto" w:sz="4" w:space="0"/>
              <w:right w:val="single" w:color="auto" w:sz="12"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ign w:val="center"/>
          </w:tcPr>
          <w:p>
            <w:pPr>
              <w:autoSpaceDE w:val="0"/>
              <w:autoSpaceDN w:val="0"/>
              <w:adjustRightInd w:val="0"/>
              <w:spacing w:line="320" w:lineRule="exact"/>
              <w:jc w:val="center"/>
              <w:rPr>
                <w:rFonts w:hint="eastAsia" w:ascii="仿宋" w:hAnsi="仿宋" w:eastAsia="仿宋" w:cs="仿宋"/>
                <w:color w:val="auto"/>
                <w:kern w:val="0"/>
                <w:sz w:val="24"/>
                <w:szCs w:val="24"/>
                <w:highlight w:val="none"/>
                <w:lang w:val="en-US" w:eastAsia="zh-CN"/>
              </w:rPr>
            </w:pPr>
            <w:r>
              <w:rPr>
                <w:rFonts w:hint="eastAsia" w:ascii="宋体" w:hAnsi="宋体" w:cs="宋体"/>
                <w:color w:val="auto"/>
                <w:kern w:val="0"/>
                <w:sz w:val="24"/>
                <w:highlight w:val="none"/>
              </w:rPr>
              <w:t>……</w:t>
            </w:r>
          </w:p>
        </w:tc>
        <w:tc>
          <w:tcPr>
            <w:tcW w:w="2855" w:type="dxa"/>
            <w:tcBorders>
              <w:right w:val="single" w:color="auto" w:sz="4"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c>
          <w:tcPr>
            <w:tcW w:w="2646" w:type="dxa"/>
            <w:tcBorders>
              <w:left w:val="single" w:color="auto" w:sz="4" w:space="0"/>
              <w:right w:val="single" w:color="auto" w:sz="4"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c>
          <w:tcPr>
            <w:tcW w:w="1993" w:type="dxa"/>
            <w:tcBorders>
              <w:left w:val="single" w:color="auto" w:sz="4" w:space="0"/>
              <w:right w:val="single" w:color="auto" w:sz="12" w:space="0"/>
            </w:tcBorders>
            <w:noWrap/>
            <w:vAlign w:val="center"/>
          </w:tcPr>
          <w:p>
            <w:pPr>
              <w:autoSpaceDE w:val="0"/>
              <w:autoSpaceDN w:val="0"/>
              <w:adjustRightInd w:val="0"/>
              <w:spacing w:line="320" w:lineRule="exact"/>
              <w:rPr>
                <w:rFonts w:ascii="仿宋" w:hAnsi="仿宋" w:eastAsia="仿宋" w:cs="仿宋"/>
                <w:bCs/>
                <w:color w:val="auto"/>
                <w:kern w:val="0"/>
                <w:sz w:val="24"/>
                <w:szCs w:val="24"/>
                <w:highlight w:val="none"/>
              </w:rPr>
            </w:pPr>
          </w:p>
        </w:tc>
      </w:tr>
    </w:tbl>
    <w:p>
      <w:pPr>
        <w:spacing w:line="500" w:lineRule="exact"/>
        <w:ind w:firstLine="4528" w:firstLineChars="1600"/>
        <w:rPr>
          <w:rFonts w:ascii="仿宋" w:hAnsi="仿宋" w:eastAsia="仿宋" w:cs="仿宋"/>
          <w:color w:val="auto"/>
          <w:highlight w:val="none"/>
        </w:rPr>
      </w:pPr>
    </w:p>
    <w:p>
      <w:pPr>
        <w:spacing w:line="500" w:lineRule="exact"/>
        <w:ind w:firstLine="4528" w:firstLineChars="1600"/>
        <w:rPr>
          <w:rFonts w:ascii="仿宋" w:hAnsi="仿宋" w:eastAsia="仿宋" w:cs="仿宋"/>
          <w:color w:val="auto"/>
          <w:highlight w:val="none"/>
        </w:rPr>
      </w:pPr>
      <w:r>
        <w:rPr>
          <w:rFonts w:hint="eastAsia" w:ascii="仿宋" w:hAnsi="仿宋" w:eastAsia="仿宋" w:cs="仿宋"/>
          <w:color w:val="auto"/>
          <w:highlight w:val="none"/>
        </w:rPr>
        <w:t xml:space="preserve">投标人： </w:t>
      </w:r>
      <w:r>
        <w:rPr>
          <w:rFonts w:hint="eastAsia" w:ascii="仿宋" w:hAnsi="仿宋" w:eastAsia="仿宋" w:cs="仿宋"/>
          <w:color w:val="auto"/>
          <w:highlight w:val="none"/>
          <w:u w:val="single"/>
        </w:rPr>
        <w:t>名称</w:t>
      </w:r>
      <w:r>
        <w:rPr>
          <w:rFonts w:hint="eastAsia" w:ascii="仿宋" w:hAnsi="仿宋" w:eastAsia="仿宋" w:cs="仿宋"/>
          <w:color w:val="auto"/>
          <w:highlight w:val="none"/>
        </w:rPr>
        <w:t>（加盖公章）</w:t>
      </w:r>
    </w:p>
    <w:p>
      <w:pPr>
        <w:spacing w:line="500" w:lineRule="exact"/>
        <w:ind w:firstLine="4528" w:firstLineChars="1600"/>
        <w:rPr>
          <w:rFonts w:ascii="仿宋" w:hAnsi="仿宋" w:eastAsia="仿宋" w:cs="仿宋"/>
          <w:color w:val="auto"/>
          <w:highlight w:val="none"/>
        </w:rPr>
      </w:pPr>
      <w:r>
        <w:rPr>
          <w:rFonts w:hint="eastAsia" w:ascii="仿宋" w:hAnsi="仿宋" w:eastAsia="仿宋" w:cs="仿宋"/>
          <w:color w:val="auto"/>
          <w:highlight w:val="none"/>
        </w:rPr>
        <w:t>日期：  年  月  日</w:t>
      </w:r>
    </w:p>
    <w:p>
      <w:pPr>
        <w:pStyle w:val="7"/>
        <w:rPr>
          <w:rFonts w:ascii="仿宋" w:hAnsi="仿宋" w:eastAsia="仿宋" w:cs="仿宋"/>
          <w:color w:val="auto"/>
          <w:highlight w:val="none"/>
        </w:rPr>
      </w:pPr>
    </w:p>
    <w:p>
      <w:pPr>
        <w:pStyle w:val="22"/>
        <w:wordWrap w:val="0"/>
        <w:spacing w:after="0" w:line="50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pStyle w:val="22"/>
        <w:numPr>
          <w:ilvl w:val="-1"/>
          <w:numId w:val="0"/>
        </w:numPr>
        <w:wordWrap w:val="0"/>
        <w:spacing w:after="0" w:line="400" w:lineRule="exact"/>
        <w:ind w:firstLine="426"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pStyle w:val="22"/>
        <w:numPr>
          <w:ilvl w:val="-1"/>
          <w:numId w:val="0"/>
        </w:numPr>
        <w:wordWrap w:val="0"/>
        <w:spacing w:after="0" w:line="400" w:lineRule="exact"/>
        <w:ind w:firstLine="426"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2.管理关系：是指不具有出资持股关系的其他单位之间存在的管理与被管理关系，如一些上下级关系的事业单位和团体组织。</w:t>
      </w:r>
    </w:p>
    <w:p>
      <w:pPr>
        <w:pStyle w:val="22"/>
        <w:wordWrap w:val="0"/>
        <w:spacing w:after="0" w:line="40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本表所指的控股</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关系仅限于直接控股</w:t>
      </w:r>
      <w:r>
        <w:rPr>
          <w:rFonts w:hint="eastAsia" w:ascii="宋体" w:hAnsi="宋体" w:eastAsia="宋体" w:cs="宋体"/>
          <w:color w:val="auto"/>
          <w:sz w:val="21"/>
          <w:szCs w:val="21"/>
          <w:highlight w:val="none"/>
          <w:lang w:eastAsia="zh-CN"/>
        </w:rPr>
        <w:t>、直接管理</w:t>
      </w:r>
      <w:r>
        <w:rPr>
          <w:rFonts w:hint="eastAsia" w:ascii="宋体" w:hAnsi="宋体" w:eastAsia="宋体" w:cs="宋体"/>
          <w:color w:val="auto"/>
          <w:sz w:val="21"/>
          <w:szCs w:val="21"/>
          <w:highlight w:val="none"/>
        </w:rPr>
        <w:t>关系，不包括间接的控股</w:t>
      </w:r>
      <w:r>
        <w:rPr>
          <w:rFonts w:hint="eastAsia" w:ascii="宋体" w:hAnsi="宋体" w:eastAsia="宋体" w:cs="宋体"/>
          <w:color w:val="auto"/>
          <w:sz w:val="21"/>
          <w:szCs w:val="21"/>
          <w:highlight w:val="none"/>
          <w:lang w:eastAsia="zh-CN"/>
        </w:rPr>
        <w:t>或管理</w:t>
      </w:r>
      <w:r>
        <w:rPr>
          <w:rFonts w:hint="eastAsia" w:ascii="宋体" w:hAnsi="宋体" w:eastAsia="宋体" w:cs="宋体"/>
          <w:color w:val="auto"/>
          <w:sz w:val="21"/>
          <w:szCs w:val="21"/>
          <w:highlight w:val="none"/>
        </w:rPr>
        <w:t>关系。公司实际控制人与公司之间的关系不属于本表所指的直接控股关系。</w:t>
      </w:r>
    </w:p>
    <w:p>
      <w:pPr>
        <w:pStyle w:val="22"/>
        <w:wordWrap w:val="0"/>
        <w:spacing w:after="0" w:line="400" w:lineRule="exact"/>
        <w:ind w:firstLine="426" w:firstLineChars="200"/>
        <w:rPr>
          <w:rFonts w:ascii="仿宋" w:hAnsi="仿宋" w:eastAsia="仿宋" w:cs="仿宋"/>
          <w:color w:val="auto"/>
          <w:highlight w:val="none"/>
        </w:rPr>
      </w:pPr>
      <w:r>
        <w:rPr>
          <w:rFonts w:hint="eastAsia" w:ascii="宋体" w:hAnsi="宋体" w:eastAsia="宋体" w:cs="宋体"/>
          <w:color w:val="auto"/>
          <w:sz w:val="21"/>
          <w:szCs w:val="21"/>
          <w:highlight w:val="none"/>
          <w:lang w:val="en-US" w:eastAsia="zh-CN"/>
        </w:rPr>
        <w:t>4.供应商</w:t>
      </w:r>
      <w:r>
        <w:rPr>
          <w:rFonts w:hint="eastAsia" w:ascii="宋体" w:hAnsi="宋体" w:eastAsia="宋体" w:cs="宋体"/>
          <w:color w:val="auto"/>
          <w:sz w:val="21"/>
          <w:szCs w:val="21"/>
          <w:highlight w:val="none"/>
          <w:lang w:eastAsia="zh-CN"/>
        </w:rPr>
        <w:t>如不存在直接控股股东的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则在“直接控股股东名称及出资比例”处</w:t>
      </w:r>
      <w:r>
        <w:rPr>
          <w:rFonts w:hint="eastAsia" w:ascii="宋体" w:hAnsi="宋体" w:eastAsia="宋体" w:cs="宋体"/>
          <w:color w:val="auto"/>
          <w:sz w:val="21"/>
          <w:szCs w:val="21"/>
          <w:highlight w:val="none"/>
        </w:rPr>
        <w:t>填写</w:t>
      </w:r>
      <w:r>
        <w:rPr>
          <w:rFonts w:hint="eastAsia" w:ascii="宋体" w:hAnsi="宋体" w:eastAsia="宋体" w:cs="宋体"/>
          <w:color w:val="auto"/>
          <w:sz w:val="21"/>
          <w:szCs w:val="21"/>
          <w:highlight w:val="none"/>
          <w:lang w:eastAsia="zh-CN"/>
        </w:rPr>
        <w:t>“无”或</w:t>
      </w:r>
      <w:r>
        <w:rPr>
          <w:rFonts w:hint="eastAsia" w:ascii="宋体" w:hAnsi="宋体" w:eastAsia="宋体" w:cs="宋体"/>
          <w:color w:val="auto"/>
          <w:sz w:val="21"/>
          <w:szCs w:val="21"/>
          <w:highlight w:val="none"/>
        </w:rPr>
        <w:t>“/”。供应商不存在直接管理关系的，则在“直接管理关系单位名称”中填“无”</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w:t>
      </w:r>
    </w:p>
    <w:p>
      <w:pPr>
        <w:spacing w:line="500" w:lineRule="exact"/>
        <w:outlineLvl w:val="2"/>
        <w:rPr>
          <w:rFonts w:ascii="仿宋" w:hAnsi="仿宋" w:eastAsia="仿宋" w:cs="仿宋"/>
          <w:b/>
          <w:bCs/>
          <w:color w:val="auto"/>
          <w:sz w:val="30"/>
          <w:szCs w:val="30"/>
          <w:highlight w:val="none"/>
        </w:rPr>
      </w:pPr>
      <w:bookmarkStart w:id="782" w:name="_Toc24547"/>
      <w:bookmarkStart w:id="783" w:name="_Toc10330"/>
      <w:bookmarkStart w:id="784" w:name="_Toc21910"/>
      <w:bookmarkStart w:id="785" w:name="_Toc18882"/>
      <w:bookmarkStart w:id="786" w:name="_Toc13961"/>
      <w:r>
        <w:rPr>
          <w:rFonts w:hint="eastAsia" w:ascii="仿宋" w:hAnsi="仿宋" w:eastAsia="仿宋" w:cs="仿宋"/>
          <w:b/>
          <w:bCs/>
          <w:color w:val="auto"/>
          <w:sz w:val="30"/>
          <w:szCs w:val="30"/>
          <w:highlight w:val="none"/>
        </w:rPr>
        <w:t>七、书面声明</w:t>
      </w:r>
      <w:bookmarkEnd w:id="782"/>
      <w:bookmarkEnd w:id="783"/>
      <w:bookmarkEnd w:id="784"/>
      <w:bookmarkEnd w:id="785"/>
      <w:bookmarkEnd w:id="786"/>
    </w:p>
    <w:p>
      <w:pPr>
        <w:spacing w:line="500" w:lineRule="exact"/>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书面声明（格式）</w:t>
      </w:r>
    </w:p>
    <w:p>
      <w:pPr>
        <w:spacing w:line="500" w:lineRule="exact"/>
        <w:rPr>
          <w:rFonts w:ascii="仿宋" w:hAnsi="仿宋" w:eastAsia="仿宋" w:cs="仿宋"/>
          <w:color w:val="auto"/>
          <w:highlight w:val="none"/>
        </w:rPr>
      </w:pPr>
      <w:r>
        <w:rPr>
          <w:rFonts w:hint="eastAsia" w:ascii="仿宋" w:hAnsi="仿宋" w:eastAsia="仿宋" w:cs="仿宋"/>
          <w:color w:val="auto"/>
          <w:highlight w:val="none"/>
        </w:rPr>
        <w:t>陕西省省级单位政府采购中心：</w:t>
      </w:r>
    </w:p>
    <w:p>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我方作为</w:t>
      </w:r>
      <w:r>
        <w:rPr>
          <w:rFonts w:hint="eastAsia" w:ascii="仿宋" w:hAnsi="仿宋" w:eastAsia="仿宋" w:cs="仿宋"/>
          <w:color w:val="auto"/>
          <w:highlight w:val="none"/>
          <w:u w:val="single"/>
        </w:rPr>
        <w:t>项目名称</w:t>
      </w:r>
      <w:r>
        <w:rPr>
          <w:rFonts w:hint="eastAsia" w:ascii="仿宋" w:hAnsi="仿宋" w:eastAsia="仿宋" w:cs="仿宋"/>
          <w:color w:val="auto"/>
          <w:highlight w:val="none"/>
        </w:rPr>
        <w:t>（项目编号：</w:t>
      </w:r>
      <w:r>
        <w:rPr>
          <w:rFonts w:hint="eastAsia" w:ascii="华文仿宋" w:hAnsi="华文仿宋" w:cs="华文仿宋"/>
          <w:color w:val="auto"/>
          <w:highlight w:val="none"/>
          <w:u w:val="single"/>
        </w:rPr>
        <w:t xml:space="preserve">    </w:t>
      </w:r>
      <w:r>
        <w:rPr>
          <w:rFonts w:hint="eastAsia" w:ascii="仿宋" w:hAnsi="仿宋" w:eastAsia="仿宋" w:cs="仿宋"/>
          <w:color w:val="auto"/>
          <w:highlight w:val="none"/>
        </w:rPr>
        <w:t>）第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标段的投标人，在此郑重声明：</w:t>
      </w:r>
    </w:p>
    <w:p>
      <w:pPr>
        <w:numPr>
          <w:ilvl w:val="0"/>
          <w:numId w:val="7"/>
        </w:num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我方具备履行合同所必须的设备和专业技术能力。</w:t>
      </w:r>
    </w:p>
    <w:p>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2、我方未为本项目提供整体设计、规范编制或者项目管理、监理、检测等服务。</w:t>
      </w:r>
    </w:p>
    <w:p>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如有不实，我方将无条件地退出本项目的采购活动，并遵照《政府采购法》有关“提供虚假材料的规定”接受处罚。</w:t>
      </w:r>
    </w:p>
    <w:p>
      <w:pPr>
        <w:spacing w:line="500" w:lineRule="exact"/>
        <w:rPr>
          <w:rFonts w:ascii="仿宋" w:hAnsi="仿宋" w:eastAsia="仿宋" w:cs="仿宋"/>
          <w:color w:val="auto"/>
          <w:highlight w:val="none"/>
        </w:rPr>
      </w:pPr>
      <w:r>
        <w:rPr>
          <w:rFonts w:hint="eastAsia" w:ascii="仿宋" w:hAnsi="仿宋" w:eastAsia="仿宋" w:cs="仿宋"/>
          <w:color w:val="auto"/>
          <w:highlight w:val="none"/>
        </w:rPr>
        <w:t>特此声明。</w:t>
      </w:r>
    </w:p>
    <w:p>
      <w:pPr>
        <w:spacing w:line="500" w:lineRule="exact"/>
        <w:ind w:firstLine="4528" w:firstLineChars="1600"/>
        <w:rPr>
          <w:rFonts w:ascii="仿宋" w:hAnsi="仿宋" w:eastAsia="仿宋" w:cs="仿宋"/>
          <w:color w:val="auto"/>
          <w:highlight w:val="none"/>
        </w:rPr>
      </w:pPr>
      <w:r>
        <w:rPr>
          <w:rFonts w:hint="eastAsia" w:ascii="仿宋" w:hAnsi="仿宋" w:eastAsia="仿宋" w:cs="仿宋"/>
          <w:color w:val="auto"/>
          <w:highlight w:val="none"/>
        </w:rPr>
        <w:t xml:space="preserve">投标人： </w:t>
      </w:r>
      <w:r>
        <w:rPr>
          <w:rFonts w:hint="eastAsia" w:ascii="仿宋" w:hAnsi="仿宋" w:eastAsia="仿宋" w:cs="仿宋"/>
          <w:color w:val="auto"/>
          <w:highlight w:val="none"/>
          <w:u w:val="single"/>
        </w:rPr>
        <w:t>名称</w:t>
      </w:r>
      <w:r>
        <w:rPr>
          <w:rFonts w:hint="eastAsia" w:ascii="仿宋" w:hAnsi="仿宋" w:eastAsia="仿宋" w:cs="仿宋"/>
          <w:color w:val="auto"/>
          <w:highlight w:val="none"/>
        </w:rPr>
        <w:t>（加盖公章）</w:t>
      </w:r>
    </w:p>
    <w:p>
      <w:pPr>
        <w:spacing w:line="500" w:lineRule="exact"/>
        <w:ind w:firstLine="4528" w:firstLineChars="1600"/>
        <w:rPr>
          <w:rFonts w:ascii="仿宋" w:hAnsi="仿宋" w:eastAsia="仿宋" w:cs="仿宋"/>
          <w:color w:val="auto"/>
          <w:highlight w:val="none"/>
        </w:rPr>
      </w:pPr>
      <w:r>
        <w:rPr>
          <w:rFonts w:hint="eastAsia" w:ascii="仿宋" w:hAnsi="仿宋" w:eastAsia="仿宋" w:cs="仿宋"/>
          <w:color w:val="auto"/>
          <w:highlight w:val="none"/>
        </w:rPr>
        <w:t>日期：  年  月  日</w:t>
      </w:r>
    </w:p>
    <w:p>
      <w:pPr>
        <w:pStyle w:val="7"/>
        <w:rPr>
          <w:rFonts w:ascii="仿宋" w:hAnsi="仿宋" w:eastAsia="仿宋" w:cs="仿宋"/>
          <w:color w:val="auto"/>
          <w:highlight w:val="none"/>
        </w:rPr>
      </w:pPr>
    </w:p>
    <w:p>
      <w:pPr>
        <w:pStyle w:val="7"/>
        <w:rPr>
          <w:rFonts w:ascii="仿宋" w:hAnsi="仿宋" w:eastAsia="仿宋" w:cs="仿宋"/>
          <w:color w:val="auto"/>
          <w:highlight w:val="none"/>
        </w:rPr>
      </w:pPr>
    </w:p>
    <w:p>
      <w:pPr>
        <w:spacing w:line="500" w:lineRule="exact"/>
        <w:rPr>
          <w:rFonts w:ascii="仿宋" w:hAnsi="仿宋" w:eastAsia="宋体" w:cs="仿宋"/>
          <w:b/>
          <w:bCs/>
          <w:color w:val="auto"/>
          <w:sz w:val="30"/>
          <w:szCs w:val="30"/>
          <w:highlight w:val="none"/>
        </w:rPr>
      </w:pPr>
      <w:r>
        <w:rPr>
          <w:rFonts w:hint="eastAsia" w:ascii="宋体" w:hAnsi="宋体" w:eastAsia="宋体" w:cs="宋体"/>
          <w:color w:val="auto"/>
          <w:sz w:val="21"/>
          <w:szCs w:val="21"/>
          <w:highlight w:val="none"/>
        </w:rPr>
        <w:t xml:space="preserve">备注：项目不分标段的，第标段空白处填写“/”。 </w:t>
      </w:r>
    </w:p>
    <w:p>
      <w:pPr>
        <w:pStyle w:val="42"/>
        <w:rPr>
          <w:rFonts w:cs="Times New Roman"/>
          <w:color w:val="auto"/>
          <w:highlight w:val="none"/>
        </w:rPr>
      </w:pPr>
      <w:r>
        <w:rPr>
          <w:rFonts w:hint="eastAsia" w:ascii="仿宋" w:hAnsi="仿宋" w:eastAsia="仿宋" w:cs="仿宋"/>
          <w:color w:val="auto"/>
          <w:highlight w:val="none"/>
        </w:rPr>
        <w:br w:type="page"/>
      </w:r>
      <w:bookmarkStart w:id="787" w:name="_Toc8498"/>
      <w:bookmarkStart w:id="788" w:name="_Toc23152"/>
      <w:bookmarkStart w:id="789" w:name="_Toc19370"/>
      <w:bookmarkStart w:id="790" w:name="_Toc21964"/>
      <w:bookmarkStart w:id="791" w:name="_Toc14500"/>
      <w:bookmarkStart w:id="792" w:name="_Toc16233"/>
      <w:bookmarkStart w:id="793" w:name="_Toc4405"/>
      <w:bookmarkStart w:id="794" w:name="_Toc23161"/>
      <w:bookmarkStart w:id="795" w:name="_Toc30400"/>
      <w:bookmarkStart w:id="796" w:name="_Toc8642"/>
      <w:bookmarkStart w:id="797" w:name="_Toc27365"/>
      <w:bookmarkStart w:id="798" w:name="_Toc30190"/>
      <w:bookmarkStart w:id="799" w:name="_Toc22384"/>
      <w:r>
        <w:rPr>
          <w:rFonts w:hint="eastAsia" w:cs="华文仿宋"/>
          <w:color w:val="auto"/>
          <w:sz w:val="30"/>
          <w:szCs w:val="30"/>
          <w:highlight w:val="none"/>
        </w:rPr>
        <w:t>八、法定代表人授权委托书</w:t>
      </w:r>
      <w:bookmarkEnd w:id="787"/>
      <w:bookmarkEnd w:id="788"/>
      <w:bookmarkEnd w:id="789"/>
      <w:bookmarkEnd w:id="790"/>
      <w:bookmarkEnd w:id="791"/>
      <w:bookmarkEnd w:id="792"/>
      <w:bookmarkEnd w:id="793"/>
      <w:bookmarkEnd w:id="794"/>
      <w:bookmarkEnd w:id="795"/>
      <w:bookmarkEnd w:id="796"/>
      <w:bookmarkEnd w:id="797"/>
      <w:bookmarkEnd w:id="798"/>
      <w:bookmarkEnd w:id="799"/>
    </w:p>
    <w:p>
      <w:pPr>
        <w:pStyle w:val="42"/>
        <w:keepNext/>
        <w:keepLines/>
        <w:pageBreakBefore w:val="0"/>
        <w:widowControl/>
        <w:kinsoku/>
        <w:wordWrap/>
        <w:overflowPunct/>
        <w:topLinePunct w:val="0"/>
        <w:autoSpaceDE/>
        <w:autoSpaceDN/>
        <w:bidi w:val="0"/>
        <w:adjustRightInd/>
        <w:snapToGrid/>
        <w:spacing w:line="500" w:lineRule="atLeast"/>
        <w:jc w:val="center"/>
        <w:textAlignment w:val="auto"/>
        <w:outlineLvl w:val="9"/>
        <w:rPr>
          <w:rFonts w:cs="Times New Roman"/>
          <w:color w:val="auto"/>
          <w:sz w:val="30"/>
          <w:szCs w:val="30"/>
          <w:highlight w:val="none"/>
        </w:rPr>
      </w:pPr>
      <w:bookmarkStart w:id="800" w:name="_Toc22011"/>
      <w:bookmarkStart w:id="801" w:name="_Toc23520"/>
      <w:bookmarkStart w:id="802" w:name="_Toc5073"/>
      <w:bookmarkStart w:id="803" w:name="_Toc22164"/>
      <w:bookmarkStart w:id="804" w:name="_Toc15591"/>
      <w:bookmarkStart w:id="805" w:name="_Toc13312"/>
      <w:bookmarkStart w:id="806" w:name="_Toc12408"/>
      <w:bookmarkStart w:id="807" w:name="_Toc19326"/>
      <w:bookmarkStart w:id="808" w:name="_Toc17482"/>
      <w:bookmarkStart w:id="809" w:name="_Toc17265"/>
      <w:bookmarkStart w:id="810" w:name="_Toc9004"/>
      <w:bookmarkStart w:id="811" w:name="_Toc31501"/>
      <w:bookmarkStart w:id="812" w:name="_Toc21050"/>
      <w:bookmarkStart w:id="813" w:name="_Toc18044"/>
      <w:r>
        <w:rPr>
          <w:rFonts w:hint="eastAsia" w:cs="华文仿宋"/>
          <w:color w:val="auto"/>
          <w:sz w:val="30"/>
          <w:szCs w:val="30"/>
          <w:highlight w:val="none"/>
        </w:rPr>
        <w:t>法定代表人授权委托书</w:t>
      </w:r>
      <w:r>
        <w:rPr>
          <w:rFonts w:hint="eastAsia" w:ascii="仿宋" w:hAnsi="仿宋" w:eastAsia="仿宋" w:cs="仿宋"/>
          <w:color w:val="auto"/>
          <w:sz w:val="30"/>
          <w:szCs w:val="30"/>
          <w:highlight w:val="none"/>
        </w:rPr>
        <w:t>（格式）</w:t>
      </w:r>
      <w:bookmarkEnd w:id="800"/>
      <w:bookmarkEnd w:id="801"/>
      <w:bookmarkEnd w:id="802"/>
      <w:bookmarkEnd w:id="803"/>
    </w:p>
    <w:p>
      <w:pPr>
        <w:snapToGrid w:val="0"/>
        <w:spacing w:line="500" w:lineRule="exact"/>
        <w:rPr>
          <w:rFonts w:ascii="华文仿宋" w:hAnsi="华文仿宋" w:cs="华文仿宋"/>
          <w:color w:val="auto"/>
          <w:highlight w:val="none"/>
        </w:rPr>
      </w:pPr>
      <w:r>
        <w:rPr>
          <w:rFonts w:hint="eastAsia" w:ascii="华文仿宋" w:hAnsi="华文仿宋" w:cs="华文仿宋"/>
          <w:color w:val="auto"/>
          <w:highlight w:val="none"/>
        </w:rPr>
        <w:t>陕西省省级单位政府采购中心：</w:t>
      </w:r>
    </w:p>
    <w:p>
      <w:pPr>
        <w:spacing w:line="460" w:lineRule="exact"/>
        <w:ind w:firstLine="566" w:firstLineChars="200"/>
        <w:rPr>
          <w:rFonts w:cs="Times New Roman"/>
          <w:color w:val="auto"/>
          <w:highlight w:val="none"/>
        </w:rPr>
      </w:pPr>
      <w:r>
        <w:rPr>
          <w:rFonts w:hint="eastAsia" w:cs="华文仿宋"/>
          <w:color w:val="auto"/>
          <w:highlight w:val="none"/>
        </w:rPr>
        <w:t>现委派（</w:t>
      </w:r>
      <w:r>
        <w:rPr>
          <w:rFonts w:hint="eastAsia" w:ascii="华文仿宋" w:hAnsi="华文仿宋" w:cs="华文仿宋"/>
          <w:color w:val="auto"/>
          <w:highlight w:val="none"/>
          <w:u w:val="single"/>
        </w:rPr>
        <w:t>被授权代表姓名</w:t>
      </w:r>
      <w:r>
        <w:rPr>
          <w:rFonts w:hint="eastAsia" w:cs="华文仿宋"/>
          <w:color w:val="auto"/>
          <w:highlight w:val="none"/>
        </w:rPr>
        <w:t>）（身份证号：</w:t>
      </w:r>
      <w:r>
        <w:rPr>
          <w:rFonts w:hint="eastAsia" w:cs="华文仿宋"/>
          <w:color w:val="auto"/>
          <w:highlight w:val="none"/>
          <w:u w:val="single"/>
        </w:rPr>
        <w:t xml:space="preserve">    </w:t>
      </w:r>
      <w:r>
        <w:rPr>
          <w:rFonts w:hint="eastAsia" w:cs="华文仿宋"/>
          <w:color w:val="auto"/>
          <w:highlight w:val="none"/>
        </w:rPr>
        <w:t>）为本公司的被授权代表，参加贵中心组织的《</w:t>
      </w:r>
      <w:r>
        <w:rPr>
          <w:rFonts w:hint="eastAsia" w:ascii="华文仿宋" w:hAnsi="华文仿宋" w:cs="华文仿宋"/>
          <w:color w:val="auto"/>
          <w:highlight w:val="none"/>
          <w:u w:val="single"/>
        </w:rPr>
        <w:t>项目名称</w:t>
      </w:r>
      <w:r>
        <w:rPr>
          <w:rFonts w:hint="eastAsia" w:cs="华文仿宋"/>
          <w:color w:val="auto"/>
          <w:highlight w:val="none"/>
        </w:rPr>
        <w:t>》</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w:t>
      </w:r>
      <w:r>
        <w:rPr>
          <w:rFonts w:hint="eastAsia" w:cs="华文仿宋"/>
          <w:color w:val="auto"/>
          <w:highlight w:val="none"/>
        </w:rPr>
        <w:t>政府采购活动，就该项目的投标及合同的执行和完成，以本公司的名义处理一切与之有关的事宜。本授权自开标之日起生效，有效期与投标文件有效期一致。</w:t>
      </w:r>
    </w:p>
    <w:p>
      <w:pPr>
        <w:keepNext w:val="0"/>
        <w:keepLines w:val="0"/>
        <w:pageBreakBefore w:val="0"/>
        <w:widowControl/>
        <w:tabs>
          <w:tab w:val="left" w:pos="5245"/>
        </w:tabs>
        <w:kinsoku/>
        <w:wordWrap/>
        <w:overflowPunct/>
        <w:topLinePunct w:val="0"/>
        <w:autoSpaceDE/>
        <w:autoSpaceDN/>
        <w:bidi w:val="0"/>
        <w:adjustRightInd/>
        <w:snapToGrid w:val="0"/>
        <w:spacing w:line="480" w:lineRule="exact"/>
        <w:ind w:firstLine="566" w:firstLineChars="200"/>
        <w:textAlignment w:val="auto"/>
        <w:rPr>
          <w:rFonts w:ascii="华文仿宋" w:cs="Times New Roman"/>
          <w:color w:val="auto"/>
          <w:highlight w:val="none"/>
        </w:rPr>
      </w:pPr>
      <w:r>
        <w:rPr>
          <w:rFonts w:hint="eastAsia" w:ascii="华文仿宋" w:hAnsi="华文仿宋" w:cs="华文仿宋"/>
          <w:color w:val="auto"/>
          <w:highlight w:val="none"/>
        </w:rPr>
        <w:t>被授权代表职务：</w:t>
      </w:r>
      <w:r>
        <w:rPr>
          <w:rFonts w:ascii="华文仿宋" w:hAnsi="华文仿宋" w:cs="华文仿宋"/>
          <w:color w:val="auto"/>
          <w:highlight w:val="none"/>
        </w:rPr>
        <w:t xml:space="preserve">________________   </w:t>
      </w:r>
      <w:r>
        <w:rPr>
          <w:rFonts w:hint="eastAsia" w:ascii="华文仿宋" w:hAnsi="华文仿宋" w:cs="华文仿宋"/>
          <w:color w:val="auto"/>
          <w:highlight w:val="none"/>
        </w:rPr>
        <w:t>性别：</w:t>
      </w:r>
      <w:r>
        <w:rPr>
          <w:rFonts w:ascii="华文仿宋" w:hAnsi="华文仿宋" w:cs="华文仿宋"/>
          <w:color w:val="auto"/>
          <w:highlight w:val="none"/>
        </w:rPr>
        <w:t>______</w:t>
      </w:r>
    </w:p>
    <w:p>
      <w:pPr>
        <w:keepNext w:val="0"/>
        <w:keepLines w:val="0"/>
        <w:pageBreakBefore w:val="0"/>
        <w:widowControl/>
        <w:tabs>
          <w:tab w:val="left" w:pos="5245"/>
        </w:tabs>
        <w:kinsoku/>
        <w:wordWrap/>
        <w:overflowPunct/>
        <w:topLinePunct w:val="0"/>
        <w:autoSpaceDE/>
        <w:autoSpaceDN/>
        <w:bidi w:val="0"/>
        <w:adjustRightInd/>
        <w:snapToGrid w:val="0"/>
        <w:spacing w:line="480" w:lineRule="exact"/>
        <w:ind w:firstLine="566" w:firstLineChars="200"/>
        <w:textAlignment w:val="auto"/>
        <w:rPr>
          <w:rFonts w:ascii="华文仿宋" w:cs="Times New Roman"/>
          <w:strike/>
          <w:color w:val="auto"/>
          <w:highlight w:val="none"/>
        </w:rPr>
      </w:pPr>
      <w:r>
        <w:rPr>
          <w:rFonts w:hint="eastAsia" w:ascii="华文仿宋" w:hAnsi="华文仿宋" w:cs="华文仿宋"/>
          <w:color w:val="auto"/>
          <w:highlight w:val="none"/>
        </w:rPr>
        <w:t>电话：</w:t>
      </w:r>
      <w:r>
        <w:rPr>
          <w:rFonts w:ascii="华文仿宋" w:hAnsi="华文仿宋" w:cs="华文仿宋"/>
          <w:color w:val="auto"/>
          <w:highlight w:val="none"/>
        </w:rPr>
        <w:t>________________</w:t>
      </w:r>
      <w:r>
        <w:rPr>
          <w:rFonts w:hint="eastAsia" w:ascii="华文仿宋" w:hAnsi="华文仿宋" w:cs="华文仿宋"/>
          <w:color w:val="auto"/>
          <w:highlight w:val="none"/>
        </w:rPr>
        <w:t xml:space="preserve">             通讯地址：</w:t>
      </w:r>
      <w:r>
        <w:rPr>
          <w:rFonts w:ascii="华文仿宋" w:hAnsi="华文仿宋" w:cs="华文仿宋"/>
          <w:color w:val="auto"/>
          <w:highlight w:val="none"/>
        </w:rPr>
        <w:t>__________</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noWrap/>
            <w:vAlign w:val="center"/>
          </w:tcPr>
          <w:p>
            <w:pPr>
              <w:keepNext w:val="0"/>
              <w:keepLines w:val="0"/>
              <w:pageBreakBefore w:val="0"/>
              <w:widowControl/>
              <w:kinsoku/>
              <w:wordWrap/>
              <w:overflowPunct/>
              <w:topLinePunct w:val="0"/>
              <w:autoSpaceDE/>
              <w:autoSpaceDN/>
              <w:bidi w:val="0"/>
              <w:adjustRightInd/>
              <w:snapToGrid/>
              <w:ind w:firstLine="8" w:firstLineChars="3"/>
              <w:jc w:val="center"/>
              <w:textAlignment w:val="auto"/>
              <w:rPr>
                <w:rFonts w:cs="Times New Roman"/>
                <w:color w:val="auto"/>
                <w:highlight w:val="none"/>
              </w:rPr>
            </w:pPr>
            <w:r>
              <w:rPr>
                <w:rFonts w:hint="eastAsia" w:cs="华文仿宋"/>
                <w:color w:val="auto"/>
                <w:highlight w:val="none"/>
              </w:rPr>
              <w:t>法定代表人身份证复印件</w:t>
            </w:r>
          </w:p>
          <w:p>
            <w:pPr>
              <w:keepNext w:val="0"/>
              <w:keepLines w:val="0"/>
              <w:pageBreakBefore w:val="0"/>
              <w:widowControl/>
              <w:kinsoku/>
              <w:wordWrap/>
              <w:overflowPunct/>
              <w:topLinePunct w:val="0"/>
              <w:autoSpaceDE/>
              <w:autoSpaceDN/>
              <w:bidi w:val="0"/>
              <w:adjustRightInd/>
              <w:snapToGrid/>
              <w:ind w:firstLine="8" w:firstLineChars="3"/>
              <w:jc w:val="center"/>
              <w:textAlignment w:val="auto"/>
              <w:rPr>
                <w:rFonts w:cs="Times New Roman"/>
                <w:color w:val="auto"/>
                <w:highlight w:val="none"/>
              </w:rPr>
            </w:pPr>
            <w:r>
              <w:rPr>
                <w:rFonts w:hint="eastAsia" w:cs="华文仿宋"/>
                <w:color w:val="auto"/>
                <w:highlight w:val="none"/>
              </w:rPr>
              <w:t>（有人像面）</w:t>
            </w:r>
          </w:p>
        </w:tc>
        <w:tc>
          <w:tcPr>
            <w:tcW w:w="4098" w:type="dxa"/>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auto"/>
                <w:highlight w:val="none"/>
              </w:rPr>
            </w:pPr>
            <w:r>
              <w:rPr>
                <w:rFonts w:hint="eastAsia" w:cs="华文仿宋"/>
                <w:color w:val="auto"/>
                <w:highlight w:val="none"/>
              </w:rPr>
              <w:t>被授权代表</w:t>
            </w:r>
          </w:p>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auto"/>
                <w:highlight w:val="none"/>
              </w:rPr>
            </w:pPr>
            <w:r>
              <w:rPr>
                <w:rFonts w:hint="eastAsia" w:cs="华文仿宋"/>
                <w:color w:val="auto"/>
                <w:highlight w:val="none"/>
              </w:rPr>
              <w:t>身份证复印件</w:t>
            </w:r>
          </w:p>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auto"/>
                <w:highlight w:val="none"/>
              </w:rPr>
            </w:pPr>
            <w:r>
              <w:rPr>
                <w:rFonts w:hint="eastAsia" w:cs="华文仿宋"/>
                <w:color w:val="auto"/>
                <w:highlight w:val="none"/>
              </w:rPr>
              <w:t>（有人像面）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auto"/>
                <w:highlight w:val="none"/>
              </w:rPr>
            </w:pPr>
            <w:r>
              <w:rPr>
                <w:rFonts w:hint="eastAsia" w:cs="华文仿宋"/>
                <w:color w:val="auto"/>
                <w:highlight w:val="none"/>
              </w:rPr>
              <w:t>法定代表人身份证复印件</w:t>
            </w:r>
          </w:p>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auto"/>
                <w:highlight w:val="none"/>
              </w:rPr>
            </w:pPr>
            <w:r>
              <w:rPr>
                <w:rFonts w:hint="eastAsia" w:cs="华文仿宋"/>
                <w:color w:val="auto"/>
                <w:highlight w:val="none"/>
              </w:rPr>
              <w:t>（有国徽面）</w:t>
            </w:r>
          </w:p>
        </w:tc>
        <w:tc>
          <w:tcPr>
            <w:tcW w:w="4098" w:type="dxa"/>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auto"/>
                <w:highlight w:val="none"/>
              </w:rPr>
            </w:pPr>
            <w:r>
              <w:rPr>
                <w:rFonts w:hint="eastAsia" w:cs="华文仿宋"/>
                <w:color w:val="auto"/>
                <w:highlight w:val="none"/>
              </w:rPr>
              <w:t>被授权代表</w:t>
            </w:r>
          </w:p>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auto"/>
                <w:highlight w:val="none"/>
              </w:rPr>
            </w:pPr>
            <w:r>
              <w:rPr>
                <w:rFonts w:hint="eastAsia" w:cs="华文仿宋"/>
                <w:color w:val="auto"/>
                <w:highlight w:val="none"/>
              </w:rPr>
              <w:t>身份证复印件</w:t>
            </w:r>
          </w:p>
          <w:p>
            <w:pPr>
              <w:keepNext w:val="0"/>
              <w:keepLines w:val="0"/>
              <w:pageBreakBefore w:val="0"/>
              <w:widowControl/>
              <w:kinsoku/>
              <w:wordWrap/>
              <w:overflowPunct/>
              <w:topLinePunct w:val="0"/>
              <w:autoSpaceDE/>
              <w:autoSpaceDN/>
              <w:bidi w:val="0"/>
              <w:adjustRightInd/>
              <w:snapToGrid/>
              <w:jc w:val="center"/>
              <w:textAlignment w:val="auto"/>
              <w:rPr>
                <w:rFonts w:cs="Times New Roman"/>
                <w:color w:val="auto"/>
                <w:highlight w:val="none"/>
              </w:rPr>
            </w:pPr>
            <w:r>
              <w:rPr>
                <w:rFonts w:hint="eastAsia" w:cs="华文仿宋"/>
                <w:color w:val="auto"/>
                <w:highlight w:val="none"/>
              </w:rPr>
              <w:t>（有国徽面）</w:t>
            </w:r>
          </w:p>
        </w:tc>
      </w:tr>
    </w:tbl>
    <w:p>
      <w:pPr>
        <w:tabs>
          <w:tab w:val="right" w:pos="8931"/>
        </w:tabs>
        <w:ind w:firstLine="566" w:firstLineChars="20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（加盖公章）法定代表人：（</w:t>
      </w:r>
      <w:r>
        <w:rPr>
          <w:rFonts w:hint="eastAsia" w:ascii="仿宋" w:hAnsi="仿宋" w:eastAsia="仿宋" w:cs="仿宋"/>
          <w:color w:val="auto"/>
          <w:highlight w:val="none"/>
        </w:rPr>
        <w:t>签字或</w:t>
      </w:r>
      <w:r>
        <w:rPr>
          <w:rFonts w:hint="eastAsia" w:cs="华文仿宋"/>
          <w:color w:val="auto"/>
          <w:highlight w:val="none"/>
        </w:rPr>
        <w:t>盖章）</w:t>
      </w:r>
    </w:p>
    <w:p>
      <w:pPr>
        <w:spacing w:line="440" w:lineRule="exact"/>
        <w:ind w:firstLine="5789" w:firstLineChars="2046"/>
        <w:rPr>
          <w:rFonts w:cs="Times New Roman"/>
          <w:color w:val="auto"/>
          <w:highlight w:val="none"/>
        </w:rPr>
      </w:pPr>
      <w:r>
        <w:rPr>
          <w:rFonts w:hint="eastAsia" w:cs="华文仿宋"/>
          <w:color w:val="auto"/>
          <w:highlight w:val="none"/>
        </w:rPr>
        <w:t>日期：　年　月　日</w:t>
      </w:r>
    </w:p>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备注：</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、项目不分标段的，第</w:t>
      </w:r>
      <w:r>
        <w:rPr>
          <w:rFonts w:ascii="宋体" w:hAnsi="宋体" w:eastAsia="宋体" w:cs="宋体"/>
          <w:color w:val="auto"/>
          <w:sz w:val="21"/>
          <w:szCs w:val="21"/>
          <w:highlight w:val="none"/>
        </w:rPr>
        <w:t>___</w:t>
      </w:r>
      <w:r>
        <w:rPr>
          <w:rFonts w:hint="eastAsia" w:ascii="宋体" w:hAnsi="宋体" w:eastAsia="宋体" w:cs="宋体"/>
          <w:color w:val="auto"/>
          <w:sz w:val="21"/>
          <w:szCs w:val="21"/>
          <w:highlight w:val="none"/>
        </w:rPr>
        <w:t>标段空白处填写“</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pPr>
        <w:pStyle w:val="22"/>
        <w:keepNext w:val="0"/>
        <w:keepLines w:val="0"/>
        <w:pageBreakBefore w:val="0"/>
        <w:widowControl/>
        <w:kinsoku/>
        <w:wordWrap/>
        <w:overflowPunct/>
        <w:topLinePunct w:val="0"/>
        <w:autoSpaceDE/>
        <w:autoSpaceDN/>
        <w:bidi w:val="0"/>
        <w:adjustRightInd/>
        <w:snapToGrid/>
        <w:spacing w:afterLines="0" w:line="360" w:lineRule="exact"/>
        <w:ind w:firstLine="639" w:firstLineChars="300"/>
        <w:textAlignment w:val="auto"/>
        <w:rPr>
          <w:rFonts w:ascii="宋体" w:hAnsi="宋体" w:eastAsia="宋体"/>
          <w:color w:val="auto"/>
          <w:sz w:val="21"/>
          <w:szCs w:val="21"/>
          <w:highlight w:val="none"/>
        </w:rPr>
      </w:pPr>
      <w:r>
        <w:rPr>
          <w:rFonts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t>、法定代表人亲自参加投标的，无需提供该委托授权书，但须提供法定代表人本人身份证（正反面）复印件，并在复印件中注明联系方式。</w:t>
      </w:r>
    </w:p>
    <w:p>
      <w:pPr>
        <w:pStyle w:val="22"/>
        <w:keepNext w:val="0"/>
        <w:keepLines w:val="0"/>
        <w:pageBreakBefore w:val="0"/>
        <w:widowControl/>
        <w:kinsoku/>
        <w:wordWrap/>
        <w:overflowPunct/>
        <w:topLinePunct w:val="0"/>
        <w:autoSpaceDE/>
        <w:autoSpaceDN/>
        <w:bidi w:val="0"/>
        <w:adjustRightInd/>
        <w:snapToGrid/>
        <w:spacing w:afterLines="0" w:line="360" w:lineRule="exact"/>
        <w:ind w:firstLine="639" w:firstLineChars="300"/>
        <w:textAlignment w:val="auto"/>
        <w:rPr>
          <w:rFonts w:ascii="宋体" w:hAnsi="宋体" w:eastAsia="宋体"/>
          <w:color w:val="auto"/>
          <w:sz w:val="21"/>
          <w:szCs w:val="21"/>
          <w:highlight w:val="none"/>
        </w:rPr>
      </w:pP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、法定代表人签字或盖章可采用纸质签字或盖章后，上传至电子投标文件，也可使用法定代表人</w:t>
      </w:r>
      <w:r>
        <w:rPr>
          <w:rFonts w:ascii="宋体" w:hAnsi="宋体" w:eastAsia="宋体" w:cs="宋体"/>
          <w:color w:val="auto"/>
          <w:sz w:val="21"/>
          <w:szCs w:val="21"/>
          <w:highlight w:val="none"/>
        </w:rPr>
        <w:t>CA</w:t>
      </w:r>
      <w:r>
        <w:rPr>
          <w:rFonts w:hint="eastAsia" w:ascii="宋体" w:hAnsi="宋体" w:eastAsia="宋体" w:cs="宋体"/>
          <w:color w:val="auto"/>
          <w:sz w:val="21"/>
          <w:szCs w:val="21"/>
          <w:highlight w:val="none"/>
        </w:rPr>
        <w:t>锁在电子投标文件制作软件中签章。</w:t>
      </w:r>
    </w:p>
    <w:bookmarkEnd w:id="752"/>
    <w:bookmarkEnd w:id="753"/>
    <w:bookmarkEnd w:id="759"/>
    <w:bookmarkEnd w:id="760"/>
    <w:bookmarkEnd w:id="761"/>
    <w:bookmarkEnd w:id="804"/>
    <w:bookmarkEnd w:id="805"/>
    <w:bookmarkEnd w:id="806"/>
    <w:bookmarkEnd w:id="807"/>
    <w:bookmarkEnd w:id="808"/>
    <w:bookmarkEnd w:id="809"/>
    <w:bookmarkEnd w:id="810"/>
    <w:bookmarkEnd w:id="811"/>
    <w:bookmarkEnd w:id="812"/>
    <w:bookmarkEnd w:id="813"/>
    <w:p>
      <w:pPr>
        <w:pStyle w:val="22"/>
        <w:keepNext w:val="0"/>
        <w:keepLines w:val="0"/>
        <w:pageBreakBefore w:val="0"/>
        <w:widowControl/>
        <w:kinsoku/>
        <w:wordWrap/>
        <w:overflowPunct/>
        <w:topLinePunct w:val="0"/>
        <w:autoSpaceDE/>
        <w:autoSpaceDN/>
        <w:bidi w:val="0"/>
        <w:adjustRightInd/>
        <w:snapToGrid/>
        <w:spacing w:afterLines="0" w:line="360" w:lineRule="exact"/>
        <w:ind w:firstLine="639" w:firstLineChars="300"/>
        <w:textAlignment w:val="auto"/>
        <w:rPr>
          <w:rFonts w:ascii="宋体" w:hAnsi="宋体" w:eastAsia="宋体"/>
          <w:color w:val="auto"/>
          <w:sz w:val="21"/>
          <w:szCs w:val="21"/>
          <w:highlight w:val="none"/>
        </w:rPr>
      </w:pPr>
      <w:bookmarkStart w:id="814" w:name="_Toc26876"/>
      <w:bookmarkStart w:id="815" w:name="_Toc15794"/>
      <w:bookmarkStart w:id="816" w:name="_Toc4050"/>
      <w:bookmarkStart w:id="817" w:name="_Toc2556"/>
      <w:bookmarkStart w:id="818" w:name="_Toc5624"/>
      <w:bookmarkStart w:id="819" w:name="_Toc7264"/>
      <w:bookmarkStart w:id="820" w:name="_Toc14776"/>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法人的</w:t>
      </w:r>
      <w:r>
        <w:rPr>
          <w:rFonts w:hint="eastAsia" w:ascii="宋体" w:hAnsi="宋体" w:eastAsia="宋体" w:cs="宋体"/>
          <w:color w:val="auto"/>
          <w:sz w:val="21"/>
          <w:szCs w:val="21"/>
          <w:highlight w:val="none"/>
        </w:rPr>
        <w:t>分支机构参与投标时，</w:t>
      </w:r>
      <w:r>
        <w:rPr>
          <w:rFonts w:hint="eastAsia" w:ascii="宋体" w:hAnsi="宋体" w:eastAsia="宋体" w:cs="宋体"/>
          <w:color w:val="auto"/>
          <w:sz w:val="21"/>
          <w:szCs w:val="21"/>
          <w:highlight w:val="none"/>
          <w:lang w:eastAsia="zh-CN"/>
        </w:rPr>
        <w:t>除提供《</w:t>
      </w:r>
      <w:r>
        <w:rPr>
          <w:rFonts w:hint="eastAsia" w:ascii="宋体" w:hAnsi="宋体" w:eastAsia="宋体" w:cs="宋体"/>
          <w:color w:val="auto"/>
          <w:sz w:val="21"/>
          <w:szCs w:val="21"/>
          <w:highlight w:val="none"/>
        </w:rPr>
        <w:t>法定代表人授权委托书</w:t>
      </w:r>
      <w:r>
        <w:rPr>
          <w:rFonts w:hint="eastAsia" w:ascii="宋体" w:hAnsi="宋体" w:eastAsia="宋体" w:cs="宋体"/>
          <w:color w:val="auto"/>
          <w:sz w:val="21"/>
          <w:szCs w:val="21"/>
          <w:highlight w:val="none"/>
          <w:lang w:eastAsia="zh-CN"/>
        </w:rPr>
        <w:t>》外，还须同时提供法人给分支机构</w:t>
      </w:r>
      <w:r>
        <w:rPr>
          <w:rFonts w:hint="eastAsia" w:ascii="宋体" w:hAnsi="宋体" w:eastAsia="宋体" w:cs="宋体"/>
          <w:color w:val="auto"/>
          <w:sz w:val="21"/>
          <w:szCs w:val="21"/>
          <w:highlight w:val="none"/>
        </w:rPr>
        <w:t>出具的授权书。</w:t>
      </w:r>
    </w:p>
    <w:p>
      <w:pPr>
        <w:spacing w:line="240" w:lineRule="auto"/>
        <w:outlineLvl w:val="2"/>
        <w:rPr>
          <w:rFonts w:cs="Times New Roman"/>
          <w:color w:val="auto"/>
          <w:highlight w:val="none"/>
        </w:rPr>
      </w:pPr>
      <w:r>
        <w:rPr>
          <w:rFonts w:hint="eastAsia" w:ascii="华文仿宋" w:hAnsi="华文仿宋" w:cs="华文仿宋"/>
          <w:color w:val="auto"/>
          <w:highlight w:val="none"/>
        </w:rPr>
        <w:br w:type="page"/>
      </w:r>
      <w:bookmarkEnd w:id="814"/>
      <w:bookmarkEnd w:id="815"/>
      <w:bookmarkEnd w:id="816"/>
      <w:bookmarkEnd w:id="817"/>
      <w:bookmarkEnd w:id="818"/>
      <w:bookmarkEnd w:id="819"/>
      <w:bookmarkStart w:id="821" w:name="_Toc20173"/>
      <w:bookmarkStart w:id="822" w:name="_Toc32069"/>
      <w:bookmarkStart w:id="823" w:name="_Toc9973"/>
      <w:bookmarkStart w:id="824" w:name="_Toc2465"/>
      <w:r>
        <w:rPr>
          <w:rFonts w:hint="eastAsia" w:cs="华文仿宋"/>
          <w:b/>
          <w:bCs/>
          <w:color w:val="auto"/>
          <w:sz w:val="30"/>
          <w:szCs w:val="30"/>
          <w:highlight w:val="none"/>
        </w:rPr>
        <w:t>九、</w:t>
      </w:r>
      <w:bookmarkEnd w:id="821"/>
      <w:bookmarkStart w:id="825" w:name="_Toc22488"/>
      <w:r>
        <w:rPr>
          <w:rFonts w:hint="eastAsia" w:cs="华文仿宋"/>
          <w:b/>
          <w:bCs/>
          <w:color w:val="auto"/>
          <w:sz w:val="30"/>
          <w:szCs w:val="30"/>
          <w:highlight w:val="none"/>
        </w:rPr>
        <w:t>本项目不接受联合体投标，不允许分包</w:t>
      </w:r>
      <w:bookmarkEnd w:id="822"/>
      <w:bookmarkEnd w:id="823"/>
      <w:bookmarkEnd w:id="824"/>
      <w:bookmarkEnd w:id="825"/>
    </w:p>
    <w:p>
      <w:pPr>
        <w:pStyle w:val="7"/>
        <w:jc w:val="center"/>
        <w:rPr>
          <w:rFonts w:ascii="华文仿宋" w:hAnsi="华文仿宋" w:cs="华文仿宋"/>
          <w:b/>
          <w:bCs/>
          <w:color w:val="auto"/>
          <w:highlight w:val="none"/>
        </w:rPr>
      </w:pPr>
      <w:r>
        <w:rPr>
          <w:rFonts w:hint="eastAsia" w:ascii="华文仿宋" w:hAnsi="华文仿宋" w:cs="华文仿宋"/>
          <w:b/>
          <w:bCs/>
          <w:color w:val="auto"/>
          <w:highlight w:val="none"/>
        </w:rPr>
        <w:t>非联合体不分包投标声明（格式）</w:t>
      </w:r>
    </w:p>
    <w:p>
      <w:pPr>
        <w:spacing w:line="500" w:lineRule="exact"/>
        <w:ind w:firstLine="566" w:firstLineChars="200"/>
        <w:rPr>
          <w:rFonts w:ascii="华文仿宋" w:hAnsi="华文仿宋" w:cs="华文仿宋"/>
          <w:color w:val="auto"/>
          <w:highlight w:val="none"/>
        </w:rPr>
      </w:pP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本单位郑重声明，参加陕西省省级单位政府采购中心的</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标段采购活动，为非联合体投标，本项目实施过程由本单位独立承担。</w:t>
      </w:r>
    </w:p>
    <w:p>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rPr>
        <w:t>本单位对上述声明的真实性负责。如有虚假，将依法承担相应责任。</w:t>
      </w:r>
    </w:p>
    <w:p>
      <w:pPr>
        <w:spacing w:line="500" w:lineRule="exact"/>
        <w:ind w:firstLine="566" w:firstLineChars="200"/>
        <w:jc w:val="left"/>
        <w:rPr>
          <w:rFonts w:ascii="华文仿宋" w:hAnsi="华文仿宋" w:cs="华文仿宋"/>
          <w:color w:val="auto"/>
          <w:highlight w:val="none"/>
        </w:rPr>
      </w:pPr>
    </w:p>
    <w:p>
      <w:pPr>
        <w:pStyle w:val="7"/>
        <w:rPr>
          <w:rFonts w:ascii="华文仿宋" w:hAnsi="华文仿宋" w:cs="华文仿宋"/>
          <w:color w:val="auto"/>
          <w:highlight w:val="none"/>
        </w:rPr>
      </w:pPr>
    </w:p>
    <w:p>
      <w:pPr>
        <w:spacing w:line="500" w:lineRule="exact"/>
        <w:ind w:firstLine="5094" w:firstLineChars="1800"/>
        <w:rPr>
          <w:rFonts w:ascii="华文仿宋" w:hAnsi="华文仿宋" w:cs="华文仿宋"/>
          <w:color w:val="auto"/>
          <w:highlight w:val="none"/>
        </w:rPr>
      </w:pPr>
      <w:r>
        <w:rPr>
          <w:rFonts w:hint="eastAsia" w:ascii="华文仿宋" w:hAnsi="华文仿宋" w:cs="华文仿宋"/>
          <w:color w:val="auto"/>
          <w:highlight w:val="none"/>
        </w:rPr>
        <w:t>投标人：</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pPr>
        <w:tabs>
          <w:tab w:val="left" w:pos="5670"/>
        </w:tabs>
        <w:spacing w:line="500" w:lineRule="exact"/>
        <w:ind w:firstLine="5377" w:firstLineChars="1900"/>
        <w:jc w:val="left"/>
        <w:rPr>
          <w:rFonts w:ascii="华文仿宋" w:hAnsi="华文仿宋" w:cs="华文仿宋"/>
          <w:color w:val="auto"/>
          <w:highlight w:val="none"/>
        </w:rPr>
      </w:pPr>
      <w:r>
        <w:rPr>
          <w:rFonts w:hint="eastAsia" w:ascii="华文仿宋" w:hAnsi="华文仿宋" w:cs="华文仿宋"/>
          <w:color w:val="auto"/>
          <w:highlight w:val="none"/>
        </w:rPr>
        <w:t>日期：　　年　月　日</w:t>
      </w:r>
    </w:p>
    <w:p>
      <w:pPr>
        <w:pStyle w:val="22"/>
        <w:spacing w:after="190"/>
        <w:ind w:firstLine="183"/>
        <w:rPr>
          <w:rFonts w:ascii="华文仿宋"/>
          <w:color w:val="auto"/>
          <w:highlight w:val="none"/>
        </w:rPr>
      </w:pPr>
    </w:p>
    <w:p>
      <w:pPr>
        <w:rPr>
          <w:rFonts w:ascii="华文仿宋" w:cs="Times New Roman"/>
          <w:color w:val="auto"/>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color w:val="auto"/>
          <w:sz w:val="21"/>
          <w:szCs w:val="21"/>
          <w:highlight w:val="none"/>
        </w:rPr>
        <w:t>项目不分标段的，第___标段空白处填写“/”。</w:t>
      </w:r>
    </w:p>
    <w:p>
      <w:pPr>
        <w:rPr>
          <w:rFonts w:ascii="华文仿宋" w:cs="Times New Roman"/>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183"/>
        <w:rPr>
          <w:rFonts w:ascii="华文仿宋"/>
          <w:color w:val="auto"/>
          <w:highlight w:val="none"/>
        </w:rPr>
      </w:pPr>
    </w:p>
    <w:p>
      <w:pPr>
        <w:pStyle w:val="22"/>
        <w:spacing w:after="190"/>
        <w:ind w:firstLine="0" w:firstLineChars="0"/>
        <w:rPr>
          <w:rFonts w:ascii="华文仿宋"/>
          <w:color w:val="auto"/>
          <w:highlight w:val="none"/>
        </w:rPr>
      </w:pPr>
    </w:p>
    <w:p>
      <w:pPr>
        <w:pStyle w:val="41"/>
        <w:rPr>
          <w:rFonts w:ascii="黑体" w:hAnsi="黑体" w:eastAsia="黑体" w:cs="Times New Roman"/>
          <w:b w:val="0"/>
          <w:bCs w:val="0"/>
          <w:color w:val="auto"/>
          <w:highlight w:val="none"/>
        </w:rPr>
      </w:pPr>
      <w:bookmarkStart w:id="826" w:name="_Toc26404"/>
      <w:bookmarkStart w:id="827" w:name="_Toc28788"/>
      <w:bookmarkStart w:id="828" w:name="_Toc30135"/>
      <w:bookmarkStart w:id="829" w:name="_Toc29332"/>
      <w:bookmarkStart w:id="830" w:name="_Toc23476"/>
      <w:bookmarkStart w:id="831" w:name="_Toc10876"/>
      <w:bookmarkStart w:id="832" w:name="_Toc25329"/>
      <w:bookmarkStart w:id="833" w:name="_Toc2952"/>
      <w:bookmarkStart w:id="834" w:name="_Toc15231"/>
      <w:r>
        <w:rPr>
          <w:rFonts w:hint="eastAsia" w:ascii="黑体" w:hAnsi="黑体" w:eastAsia="黑体" w:cs="黑体"/>
          <w:b w:val="0"/>
          <w:bCs w:val="0"/>
          <w:color w:val="auto"/>
          <w:highlight w:val="none"/>
        </w:rPr>
        <w:t>第二部分  符合性证明文件</w:t>
      </w:r>
      <w:bookmarkEnd w:id="820"/>
      <w:bookmarkEnd w:id="826"/>
      <w:bookmarkEnd w:id="827"/>
      <w:bookmarkEnd w:id="828"/>
      <w:bookmarkEnd w:id="829"/>
      <w:bookmarkEnd w:id="830"/>
      <w:bookmarkEnd w:id="831"/>
      <w:bookmarkEnd w:id="832"/>
      <w:bookmarkEnd w:id="833"/>
      <w:bookmarkEnd w:id="834"/>
    </w:p>
    <w:p>
      <w:pPr>
        <w:pStyle w:val="41"/>
        <w:jc w:val="both"/>
        <w:outlineLvl w:val="2"/>
        <w:rPr>
          <w:rFonts w:ascii="仿宋" w:hAnsi="仿宋" w:eastAsia="仿宋" w:cs="Times New Roman"/>
          <w:color w:val="auto"/>
          <w:highlight w:val="none"/>
        </w:rPr>
      </w:pPr>
      <w:bookmarkStart w:id="835" w:name="_Toc29952"/>
      <w:bookmarkStart w:id="836" w:name="_Toc14176"/>
      <w:bookmarkStart w:id="837" w:name="_Toc26378"/>
      <w:bookmarkStart w:id="838" w:name="_Toc28894"/>
      <w:bookmarkStart w:id="839" w:name="_Toc31044"/>
      <w:bookmarkStart w:id="840" w:name="_Toc25013"/>
      <w:bookmarkStart w:id="841" w:name="_Toc15939"/>
      <w:bookmarkStart w:id="842" w:name="_Toc32108"/>
      <w:bookmarkStart w:id="843" w:name="_Toc19939"/>
      <w:bookmarkStart w:id="844" w:name="_Toc4834"/>
      <w:bookmarkStart w:id="845" w:name="_Toc30414"/>
      <w:bookmarkStart w:id="846" w:name="_Toc23035"/>
      <w:bookmarkStart w:id="847" w:name="_Toc16590"/>
      <w:bookmarkStart w:id="848" w:name="_Toc32493"/>
      <w:bookmarkStart w:id="849" w:name="_Toc12655"/>
      <w:bookmarkStart w:id="850" w:name="_Toc26064"/>
      <w:bookmarkStart w:id="851" w:name="_Toc4366"/>
      <w:bookmarkStart w:id="852" w:name="_Toc5204"/>
      <w:bookmarkStart w:id="853" w:name="_Toc17687"/>
      <w:bookmarkStart w:id="854" w:name="_Toc1167"/>
      <w:bookmarkStart w:id="855" w:name="_Toc19165"/>
      <w:r>
        <w:rPr>
          <w:rFonts w:hint="eastAsia" w:ascii="仿宋" w:hAnsi="仿宋" w:eastAsia="仿宋" w:cs="仿宋"/>
          <w:color w:val="auto"/>
          <w:highlight w:val="none"/>
        </w:rPr>
        <w:t>一、投标函格式</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pPr>
        <w:pStyle w:val="41"/>
        <w:outlineLvl w:val="9"/>
        <w:rPr>
          <w:rFonts w:ascii="黑体" w:hAnsi="黑体" w:eastAsia="黑体" w:cs="Times New Roman"/>
          <w:b w:val="0"/>
          <w:bCs w:val="0"/>
          <w:color w:val="auto"/>
          <w:highlight w:val="none"/>
        </w:rPr>
      </w:pPr>
      <w:bookmarkStart w:id="856" w:name="_Toc2961"/>
      <w:bookmarkStart w:id="857" w:name="_Toc12888"/>
      <w:bookmarkStart w:id="858" w:name="_Toc4061"/>
      <w:bookmarkStart w:id="859" w:name="_Toc7906"/>
      <w:bookmarkStart w:id="860" w:name="_Toc18120"/>
      <w:bookmarkStart w:id="861" w:name="_Toc21850"/>
      <w:bookmarkStart w:id="862" w:name="_Toc18782"/>
      <w:bookmarkStart w:id="863" w:name="_Toc17151"/>
      <w:bookmarkStart w:id="864" w:name="_Toc17012"/>
      <w:bookmarkStart w:id="865" w:name="_Toc18135"/>
      <w:bookmarkStart w:id="866" w:name="_Toc19672"/>
      <w:bookmarkStart w:id="867" w:name="_Toc23615"/>
      <w:bookmarkStart w:id="868" w:name="_Toc528596088"/>
      <w:bookmarkStart w:id="869" w:name="_Toc2848"/>
      <w:bookmarkStart w:id="870" w:name="_Toc20547"/>
      <w:bookmarkStart w:id="871" w:name="_Toc16759"/>
      <w:bookmarkStart w:id="872" w:name="_Toc10866"/>
      <w:bookmarkStart w:id="873" w:name="_Toc22113"/>
      <w:bookmarkStart w:id="874" w:name="_Toc6798"/>
      <w:bookmarkStart w:id="875" w:name="_Toc29087"/>
      <w:bookmarkStart w:id="876" w:name="_Toc5467"/>
      <w:bookmarkStart w:id="877" w:name="_Toc12334"/>
      <w:bookmarkStart w:id="878" w:name="_Toc31185"/>
      <w:bookmarkStart w:id="879" w:name="_Toc23313"/>
      <w:bookmarkStart w:id="880" w:name="_Toc28267"/>
      <w:r>
        <w:rPr>
          <w:rFonts w:hint="eastAsia" w:ascii="黑体" w:hAnsi="黑体" w:eastAsia="黑体" w:cs="黑体"/>
          <w:b w:val="0"/>
          <w:bCs w:val="0"/>
          <w:color w:val="auto"/>
          <w:highlight w:val="none"/>
        </w:rPr>
        <w:t>投标函</w:t>
      </w:r>
      <w:bookmarkEnd w:id="856"/>
      <w:bookmarkEnd w:id="857"/>
      <w:bookmarkEnd w:id="858"/>
      <w:bookmarkEnd w:id="859"/>
    </w:p>
    <w:p>
      <w:pPr>
        <w:pStyle w:val="39"/>
        <w:spacing w:line="500" w:lineRule="exact"/>
        <w:ind w:firstLine="0" w:firstLineChars="0"/>
        <w:rPr>
          <w:rFonts w:ascii="仿宋" w:hAnsi="仿宋" w:eastAsia="仿宋" w:cs="Times New Roman"/>
          <w:color w:val="auto"/>
          <w:highlight w:val="none"/>
          <w:lang w:val="zh-CN"/>
        </w:rPr>
      </w:pPr>
      <w:r>
        <w:rPr>
          <w:rFonts w:hint="eastAsia" w:ascii="仿宋" w:hAnsi="仿宋" w:eastAsia="仿宋" w:cs="仿宋"/>
          <w:color w:val="auto"/>
          <w:highlight w:val="none"/>
        </w:rPr>
        <w:t>陕西省省级单位政府采购中心</w:t>
      </w:r>
      <w:r>
        <w:rPr>
          <w:rFonts w:hint="eastAsia" w:ascii="仿宋" w:hAnsi="仿宋" w:eastAsia="仿宋" w:cs="仿宋"/>
          <w:color w:val="auto"/>
          <w:highlight w:val="none"/>
          <w:lang w:val="zh-CN"/>
        </w:rPr>
        <w:t>：</w:t>
      </w:r>
    </w:p>
    <w:p>
      <w:pPr>
        <w:spacing w:line="500" w:lineRule="exact"/>
        <w:ind w:right="11" w:firstLine="566" w:firstLineChars="200"/>
        <w:rPr>
          <w:rFonts w:ascii="仿宋" w:hAnsi="仿宋" w:eastAsia="仿宋" w:cs="Times New Roman"/>
          <w:color w:val="auto"/>
          <w:highlight w:val="none"/>
        </w:rPr>
      </w:pPr>
      <w:r>
        <w:rPr>
          <w:rFonts w:hint="eastAsia" w:ascii="仿宋" w:hAnsi="仿宋" w:eastAsia="仿宋" w:cs="仿宋"/>
          <w:color w:val="auto"/>
          <w:highlight w:val="none"/>
        </w:rPr>
        <w:t>我方收到贵中心发布的</w:t>
      </w:r>
      <w:r>
        <w:rPr>
          <w:rFonts w:hint="eastAsia" w:ascii="华文仿宋" w:hAnsi="华文仿宋" w:cs="华文仿宋"/>
          <w:color w:val="auto"/>
          <w:highlight w:val="none"/>
        </w:rPr>
        <w:t>《</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w:t>
      </w:r>
      <w:r>
        <w:rPr>
          <w:rFonts w:hint="eastAsia" w:ascii="仿宋" w:hAnsi="仿宋" w:eastAsia="仿宋" w:cs="仿宋"/>
          <w:color w:val="auto"/>
          <w:highlight w:val="none"/>
        </w:rPr>
        <w:t>招标文件，经详细研究，我方决定参加该项目第</w:t>
      </w:r>
      <w:r>
        <w:rPr>
          <w:rFonts w:hint="eastAsia" w:ascii="华文仿宋" w:hAnsi="华文仿宋" w:cs="华文仿宋"/>
          <w:color w:val="auto"/>
          <w:highlight w:val="none"/>
          <w:u w:val="single"/>
        </w:rPr>
        <w:t xml:space="preserve">    </w:t>
      </w:r>
      <w:r>
        <w:rPr>
          <w:rFonts w:hint="eastAsia" w:ascii="仿宋" w:hAnsi="仿宋" w:eastAsia="仿宋" w:cs="仿宋"/>
          <w:color w:val="auto"/>
          <w:highlight w:val="none"/>
        </w:rPr>
        <w:t>标段招标活动。为此，我方郑重声明以下诸点，并负法律责任。</w:t>
      </w:r>
    </w:p>
    <w:p>
      <w:pPr>
        <w:pStyle w:val="39"/>
        <w:spacing w:line="500" w:lineRule="exact"/>
        <w:ind w:firstLine="567"/>
        <w:rPr>
          <w:rFonts w:cs="Times New Roman"/>
          <w:color w:val="auto"/>
          <w:highlight w:val="none"/>
        </w:rPr>
      </w:pPr>
      <w:r>
        <w:rPr>
          <w:rFonts w:hint="eastAsia" w:cs="华文仿宋"/>
          <w:color w:val="auto"/>
          <w:highlight w:val="none"/>
        </w:rPr>
        <w:t>一、我方已详细阅读了招标文件，完全理解并同意招标文件的所有事项及内容。</w:t>
      </w:r>
    </w:p>
    <w:p>
      <w:pPr>
        <w:pStyle w:val="39"/>
        <w:spacing w:line="500" w:lineRule="exact"/>
        <w:ind w:firstLine="567"/>
        <w:rPr>
          <w:rFonts w:ascii="仿宋" w:hAnsi="仿宋" w:eastAsia="仿宋" w:cs="Times New Roman"/>
          <w:color w:val="auto"/>
          <w:highlight w:val="none"/>
        </w:rPr>
      </w:pPr>
      <w:r>
        <w:rPr>
          <w:rFonts w:hint="eastAsia" w:ascii="仿宋" w:hAnsi="仿宋" w:eastAsia="仿宋" w:cs="仿宋"/>
          <w:color w:val="auto"/>
          <w:highlight w:val="none"/>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pPr>
        <w:pStyle w:val="39"/>
        <w:spacing w:line="500" w:lineRule="exact"/>
        <w:ind w:firstLine="567"/>
        <w:rPr>
          <w:rFonts w:cs="Times New Roman"/>
          <w:color w:val="auto"/>
          <w:highlight w:val="none"/>
        </w:rPr>
      </w:pPr>
      <w:r>
        <w:rPr>
          <w:rFonts w:hint="eastAsia" w:cs="华文仿宋"/>
          <w:color w:val="auto"/>
          <w:highlight w:val="none"/>
        </w:rPr>
        <w:t>三、</w:t>
      </w:r>
      <w:r>
        <w:rPr>
          <w:rFonts w:hint="eastAsia" w:ascii="仿宋" w:hAnsi="仿宋" w:eastAsia="仿宋" w:cs="仿宋"/>
          <w:color w:val="auto"/>
          <w:highlight w:val="none"/>
        </w:rPr>
        <w:t>我方</w:t>
      </w:r>
      <w:r>
        <w:rPr>
          <w:rFonts w:hint="eastAsia" w:cs="华文仿宋"/>
          <w:color w:val="auto"/>
          <w:highlight w:val="none"/>
        </w:rPr>
        <w:t>同意向贵方提供与本投标有关的任何证明材料，保证所提交的证明材料真实、合法、有效。我方理解最低价不是中标的唯一条件，并尊重评标委员会的评审结果。</w:t>
      </w:r>
    </w:p>
    <w:p>
      <w:pPr>
        <w:pStyle w:val="39"/>
        <w:spacing w:line="500" w:lineRule="exact"/>
        <w:ind w:firstLine="567"/>
        <w:rPr>
          <w:rFonts w:cs="Times New Roman"/>
          <w:color w:val="auto"/>
          <w:highlight w:val="none"/>
        </w:rPr>
      </w:pPr>
      <w:r>
        <w:rPr>
          <w:rFonts w:hint="eastAsia" w:cs="华文仿宋"/>
          <w:color w:val="auto"/>
          <w:highlight w:val="none"/>
        </w:rPr>
        <w:t>四、</w:t>
      </w:r>
      <w:r>
        <w:rPr>
          <w:rFonts w:hint="eastAsia" w:ascii="仿宋" w:hAnsi="仿宋" w:eastAsia="仿宋" w:cs="仿宋"/>
          <w:color w:val="auto"/>
          <w:highlight w:val="none"/>
        </w:rPr>
        <w:t>我方</w:t>
      </w:r>
      <w:r>
        <w:rPr>
          <w:rFonts w:hint="eastAsia" w:cs="华文仿宋"/>
          <w:color w:val="auto"/>
          <w:highlight w:val="none"/>
        </w:rPr>
        <w:t>愿意按照招标文件中的一切要求，完成本项目</w:t>
      </w:r>
      <w:r>
        <w:rPr>
          <w:rFonts w:hint="eastAsia" w:ascii="仿宋" w:hAnsi="仿宋" w:eastAsia="仿宋" w:cs="仿宋"/>
          <w:color w:val="auto"/>
          <w:highlight w:val="none"/>
        </w:rPr>
        <w:t>合同责任和义务</w:t>
      </w:r>
      <w:r>
        <w:rPr>
          <w:rFonts w:hint="eastAsia" w:cs="华文仿宋"/>
          <w:color w:val="auto"/>
          <w:highlight w:val="none"/>
        </w:rPr>
        <w:t>。</w:t>
      </w:r>
    </w:p>
    <w:p>
      <w:pPr>
        <w:pStyle w:val="20"/>
        <w:wordWrap w:val="0"/>
        <w:spacing w:beforeAutospacing="0" w:afterAutospacing="0" w:line="500" w:lineRule="exact"/>
        <w:ind w:firstLine="566" w:firstLineChars="200"/>
        <w:rPr>
          <w:rFonts w:cs="华文仿宋"/>
          <w:color w:val="auto"/>
          <w:kern w:val="2"/>
          <w:sz w:val="28"/>
          <w:szCs w:val="28"/>
          <w:highlight w:val="none"/>
        </w:rPr>
      </w:pPr>
      <w:r>
        <w:rPr>
          <w:rFonts w:hint="eastAsia" w:cs="华文仿宋"/>
          <w:color w:val="auto"/>
          <w:kern w:val="2"/>
          <w:sz w:val="28"/>
          <w:szCs w:val="28"/>
          <w:highlight w:val="none"/>
        </w:rPr>
        <w:t>五、按招标文件的规定，完成本项目采购内容并验收合格的投标报价以开标一览表为准。</w:t>
      </w:r>
    </w:p>
    <w:p>
      <w:pPr>
        <w:pStyle w:val="20"/>
        <w:wordWrap w:val="0"/>
        <w:spacing w:beforeAutospacing="0" w:afterAutospacing="0" w:line="500" w:lineRule="exact"/>
        <w:ind w:firstLine="566" w:firstLineChars="200"/>
        <w:rPr>
          <w:rFonts w:cs="Times New Roman"/>
          <w:color w:val="auto"/>
          <w:kern w:val="2"/>
          <w:sz w:val="28"/>
          <w:szCs w:val="28"/>
          <w:highlight w:val="none"/>
        </w:rPr>
      </w:pPr>
      <w:r>
        <w:rPr>
          <w:rFonts w:hint="eastAsia" w:cs="华文仿宋"/>
          <w:color w:val="auto"/>
          <w:kern w:val="2"/>
          <w:sz w:val="28"/>
          <w:szCs w:val="28"/>
          <w:highlight w:val="none"/>
        </w:rPr>
        <w:t>六、我方提交的</w:t>
      </w:r>
      <w:r>
        <w:rPr>
          <w:rFonts w:hint="eastAsia" w:cs="华文仿宋"/>
          <w:b/>
          <w:bCs/>
          <w:color w:val="auto"/>
          <w:kern w:val="2"/>
          <w:sz w:val="28"/>
          <w:szCs w:val="28"/>
          <w:highlight w:val="none"/>
        </w:rPr>
        <w:t>电子投标文件</w:t>
      </w:r>
      <w:r>
        <w:rPr>
          <w:rFonts w:hint="eastAsia" w:ascii="仿宋" w:hAnsi="仿宋" w:eastAsia="仿宋" w:cs="仿宋"/>
          <w:b/>
          <w:bCs/>
          <w:color w:val="auto"/>
          <w:kern w:val="2"/>
          <w:sz w:val="28"/>
          <w:szCs w:val="28"/>
          <w:highlight w:val="none"/>
          <w:u w:val="single"/>
        </w:rPr>
        <w:t>1</w:t>
      </w:r>
      <w:r>
        <w:rPr>
          <w:rFonts w:hint="eastAsia" w:cs="华文仿宋"/>
          <w:b/>
          <w:bCs/>
          <w:color w:val="auto"/>
          <w:kern w:val="2"/>
          <w:sz w:val="28"/>
          <w:szCs w:val="28"/>
          <w:highlight w:val="none"/>
        </w:rPr>
        <w:t>份。</w:t>
      </w:r>
    </w:p>
    <w:p>
      <w:pPr>
        <w:pStyle w:val="39"/>
        <w:spacing w:line="500" w:lineRule="exact"/>
        <w:ind w:firstLine="567"/>
        <w:rPr>
          <w:rFonts w:cs="Times New Roman"/>
          <w:color w:val="auto"/>
          <w:highlight w:val="none"/>
        </w:rPr>
      </w:pPr>
      <w:r>
        <w:rPr>
          <w:rFonts w:hint="eastAsia" w:cs="华文仿宋"/>
          <w:color w:val="auto"/>
          <w:highlight w:val="none"/>
        </w:rPr>
        <w:t>七、开标后在规定的投标有效期内撤回投标，我们愿接受政府采购的有关处罚决定。</w:t>
      </w:r>
    </w:p>
    <w:p>
      <w:pPr>
        <w:autoSpaceDE w:val="0"/>
        <w:autoSpaceDN w:val="0"/>
        <w:adjustRightInd w:val="0"/>
        <w:spacing w:line="500" w:lineRule="exact"/>
        <w:ind w:firstLine="566" w:firstLineChars="200"/>
        <w:rPr>
          <w:rFonts w:cs="Times New Roman"/>
          <w:color w:val="auto"/>
          <w:highlight w:val="none"/>
        </w:rPr>
      </w:pPr>
      <w:r>
        <w:rPr>
          <w:rFonts w:hint="eastAsia" w:cs="华文仿宋"/>
          <w:color w:val="auto"/>
          <w:highlight w:val="none"/>
        </w:rPr>
        <w:t>八、我方的投标文件在开标之日起</w:t>
      </w:r>
      <w:r>
        <w:rPr>
          <w:rFonts w:hint="eastAsia" w:ascii="仿宋" w:hAnsi="仿宋" w:eastAsia="仿宋" w:cs="仿宋"/>
          <w:b/>
          <w:bCs/>
          <w:color w:val="auto"/>
          <w:highlight w:val="none"/>
          <w:u w:val="single"/>
        </w:rPr>
        <w:t>90</w:t>
      </w:r>
      <w:r>
        <w:rPr>
          <w:rFonts w:hint="eastAsia" w:cs="华文仿宋"/>
          <w:color w:val="auto"/>
          <w:highlight w:val="none"/>
        </w:rPr>
        <w:t>个日历日内有效，如中标，延长至合同执行完毕时止。</w:t>
      </w:r>
    </w:p>
    <w:p>
      <w:pPr>
        <w:pStyle w:val="39"/>
        <w:spacing w:line="500" w:lineRule="exact"/>
        <w:ind w:firstLine="567"/>
        <w:rPr>
          <w:rFonts w:cs="Times New Roman"/>
          <w:color w:val="auto"/>
          <w:highlight w:val="none"/>
        </w:rPr>
      </w:pPr>
      <w:r>
        <w:rPr>
          <w:rFonts w:hint="eastAsia" w:cs="华文仿宋"/>
          <w:color w:val="auto"/>
          <w:highlight w:val="none"/>
        </w:rPr>
        <w:t>九、所有关于此次招标活动的函电，请按下列地址联系：</w:t>
      </w:r>
    </w:p>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Pr>
        <w:pStyle w:val="39"/>
        <w:spacing w:line="500" w:lineRule="exact"/>
        <w:ind w:firstLine="0" w:firstLineChars="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w:t>
      </w:r>
    </w:p>
    <w:p>
      <w:pPr>
        <w:pStyle w:val="39"/>
        <w:spacing w:line="500" w:lineRule="exact"/>
        <w:ind w:firstLine="567"/>
        <w:rPr>
          <w:rFonts w:cs="Times New Roman"/>
          <w:color w:val="auto"/>
          <w:highlight w:val="none"/>
        </w:rPr>
      </w:pPr>
      <w:r>
        <w:rPr>
          <w:rFonts w:hint="eastAsia" w:cs="华文仿宋"/>
          <w:color w:val="auto"/>
          <w:highlight w:val="none"/>
        </w:rPr>
        <w:t>地址：</w:t>
      </w:r>
    </w:p>
    <w:p>
      <w:pPr>
        <w:pStyle w:val="39"/>
        <w:spacing w:line="500" w:lineRule="exact"/>
        <w:ind w:firstLine="567"/>
        <w:rPr>
          <w:rFonts w:cs="Times New Roman"/>
          <w:color w:val="auto"/>
          <w:highlight w:val="none"/>
        </w:rPr>
      </w:pPr>
      <w:r>
        <w:rPr>
          <w:rFonts w:hint="eastAsia" w:cs="华文仿宋"/>
          <w:color w:val="auto"/>
          <w:highlight w:val="none"/>
        </w:rPr>
        <w:t>开户银行：</w:t>
      </w:r>
    </w:p>
    <w:p>
      <w:pPr>
        <w:pStyle w:val="39"/>
        <w:spacing w:line="500" w:lineRule="exact"/>
        <w:ind w:firstLine="567"/>
        <w:rPr>
          <w:rFonts w:cs="Times New Roman"/>
          <w:color w:val="auto"/>
          <w:highlight w:val="none"/>
        </w:rPr>
      </w:pPr>
      <w:r>
        <w:rPr>
          <w:rFonts w:hint="eastAsia" w:cs="华文仿宋"/>
          <w:color w:val="auto"/>
          <w:highlight w:val="none"/>
        </w:rPr>
        <w:t>账号：</w:t>
      </w:r>
    </w:p>
    <w:p>
      <w:pPr>
        <w:pStyle w:val="39"/>
        <w:spacing w:line="500" w:lineRule="exact"/>
        <w:ind w:firstLine="567"/>
        <w:rPr>
          <w:rFonts w:cs="Times New Roman"/>
          <w:color w:val="auto"/>
          <w:highlight w:val="none"/>
        </w:rPr>
      </w:pPr>
      <w:r>
        <w:rPr>
          <w:rFonts w:hint="eastAsia" w:cs="华文仿宋"/>
          <w:color w:val="auto"/>
          <w:highlight w:val="none"/>
        </w:rPr>
        <w:t>电话：</w:t>
      </w:r>
    </w:p>
    <w:p>
      <w:pPr>
        <w:pStyle w:val="39"/>
        <w:spacing w:line="500" w:lineRule="exact"/>
        <w:ind w:firstLine="567"/>
        <w:rPr>
          <w:rFonts w:cs="Times New Roman"/>
          <w:color w:val="auto"/>
          <w:highlight w:val="none"/>
        </w:rPr>
      </w:pPr>
      <w:r>
        <w:rPr>
          <w:rFonts w:hint="eastAsia" w:cs="华文仿宋"/>
          <w:color w:val="auto"/>
          <w:highlight w:val="none"/>
        </w:rPr>
        <w:t>传真：</w:t>
      </w:r>
    </w:p>
    <w:p>
      <w:pPr>
        <w:pStyle w:val="39"/>
        <w:spacing w:line="500" w:lineRule="exact"/>
        <w:ind w:firstLine="567"/>
        <w:rPr>
          <w:rFonts w:cs="Times New Roman"/>
          <w:color w:val="auto"/>
          <w:highlight w:val="none"/>
        </w:rPr>
      </w:pPr>
      <w:r>
        <w:rPr>
          <w:rFonts w:hint="eastAsia" w:cs="华文仿宋"/>
          <w:color w:val="auto"/>
          <w:highlight w:val="none"/>
        </w:rPr>
        <w:t>邮编：</w:t>
      </w:r>
    </w:p>
    <w:p>
      <w:pPr>
        <w:pStyle w:val="39"/>
        <w:spacing w:line="500" w:lineRule="exact"/>
        <w:ind w:firstLine="567"/>
        <w:rPr>
          <w:rFonts w:cs="Times New Roman"/>
          <w:color w:val="auto"/>
          <w:highlight w:val="none"/>
        </w:rPr>
      </w:pPr>
      <w:r>
        <w:rPr>
          <w:rFonts w:hint="eastAsia" w:cs="华文仿宋"/>
          <w:color w:val="auto"/>
          <w:highlight w:val="none"/>
        </w:rPr>
        <w:t>电子邮箱：</w:t>
      </w:r>
    </w:p>
    <w:p>
      <w:pPr>
        <w:pStyle w:val="39"/>
        <w:spacing w:line="500" w:lineRule="exact"/>
        <w:ind w:firstLine="567"/>
        <w:rPr>
          <w:rFonts w:cs="Times New Roman"/>
          <w:color w:val="auto"/>
          <w:highlight w:val="none"/>
        </w:rPr>
      </w:pPr>
      <w:r>
        <w:rPr>
          <w:rFonts w:hint="eastAsia" w:cs="华文仿宋"/>
          <w:color w:val="auto"/>
          <w:highlight w:val="none"/>
        </w:rPr>
        <w:t>日期：　　年　月　日</w:t>
      </w:r>
    </w:p>
    <w:p>
      <w:pPr>
        <w:pStyle w:val="39"/>
        <w:ind w:firstLine="0" w:firstLineChars="0"/>
        <w:rPr>
          <w:rFonts w:cs="Times New Roman"/>
          <w:color w:val="auto"/>
          <w:sz w:val="36"/>
          <w:szCs w:val="36"/>
          <w:highlight w:val="none"/>
        </w:rPr>
      </w:pPr>
    </w:p>
    <w:p>
      <w:pPr>
        <w:pStyle w:val="39"/>
        <w:ind w:firstLine="0" w:firstLineChars="0"/>
        <w:rPr>
          <w:rFonts w:cs="Times New Roman"/>
          <w:color w:val="auto"/>
          <w:sz w:val="36"/>
          <w:szCs w:val="36"/>
          <w:highlight w:val="none"/>
        </w:rPr>
      </w:pPr>
    </w:p>
    <w:p>
      <w:pPr>
        <w:pStyle w:val="39"/>
        <w:ind w:firstLine="0" w:firstLineChars="0"/>
        <w:rPr>
          <w:rFonts w:cs="Times New Roman"/>
          <w:color w:val="auto"/>
          <w:sz w:val="36"/>
          <w:szCs w:val="36"/>
          <w:highlight w:val="none"/>
        </w:rPr>
      </w:pPr>
    </w:p>
    <w:p>
      <w:pPr>
        <w:pStyle w:val="39"/>
        <w:ind w:firstLine="0" w:firstLineChars="0"/>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备注：</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、项目不分标段的，第</w:t>
      </w:r>
      <w:r>
        <w:rPr>
          <w:rFonts w:ascii="宋体" w:hAnsi="宋体" w:eastAsia="宋体" w:cs="宋体"/>
          <w:color w:val="auto"/>
          <w:sz w:val="21"/>
          <w:szCs w:val="21"/>
          <w:highlight w:val="none"/>
        </w:rPr>
        <w:t>___</w:t>
      </w:r>
      <w:r>
        <w:rPr>
          <w:rFonts w:hint="eastAsia" w:ascii="宋体" w:hAnsi="宋体" w:eastAsia="宋体" w:cs="宋体"/>
          <w:color w:val="auto"/>
          <w:sz w:val="21"/>
          <w:szCs w:val="21"/>
          <w:highlight w:val="none"/>
        </w:rPr>
        <w:t>标段空白处填写“</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pPr>
        <w:pStyle w:val="39"/>
        <w:ind w:firstLine="639" w:firstLineChars="300"/>
        <w:rPr>
          <w:rFonts w:ascii="宋体" w:hAnsi="宋体" w:eastAsia="宋体" w:cs="Times New Roman"/>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、除可填报项目外，对本投标函的任何实质性内容修改将被视为非实质性响应，在评审时将其视为无效响应。</w:t>
      </w:r>
    </w:p>
    <w:p>
      <w:pPr>
        <w:pStyle w:val="39"/>
        <w:ind w:firstLine="0" w:firstLineChars="0"/>
        <w:rPr>
          <w:rFonts w:ascii="黑体" w:hAnsi="黑体" w:eastAsia="黑体" w:cs="Times New Roman"/>
          <w:color w:val="auto"/>
          <w:sz w:val="32"/>
          <w:szCs w:val="32"/>
          <w:highlight w:val="none"/>
        </w:rPr>
      </w:pPr>
    </w:p>
    <w:p>
      <w:pPr>
        <w:pStyle w:val="39"/>
        <w:ind w:firstLine="0" w:firstLineChars="0"/>
        <w:rPr>
          <w:rFonts w:ascii="黑体" w:hAnsi="黑体" w:eastAsia="黑体" w:cs="Times New Roman"/>
          <w:color w:val="auto"/>
          <w:sz w:val="32"/>
          <w:szCs w:val="32"/>
          <w:highlight w:val="none"/>
        </w:rPr>
      </w:pPr>
    </w:p>
    <w:p>
      <w:pPr>
        <w:pStyle w:val="39"/>
        <w:ind w:firstLine="0" w:firstLineChars="0"/>
        <w:rPr>
          <w:rFonts w:ascii="黑体" w:hAnsi="黑体" w:eastAsia="黑体" w:cs="Times New Roman"/>
          <w:color w:val="auto"/>
          <w:sz w:val="32"/>
          <w:szCs w:val="32"/>
          <w:highlight w:val="none"/>
        </w:rPr>
      </w:pPr>
    </w:p>
    <w:p>
      <w:pPr>
        <w:pStyle w:val="39"/>
        <w:ind w:firstLine="0" w:firstLineChars="0"/>
        <w:rPr>
          <w:rFonts w:ascii="黑体" w:hAnsi="黑体" w:eastAsia="黑体" w:cs="Times New Roman"/>
          <w:color w:val="auto"/>
          <w:sz w:val="32"/>
          <w:szCs w:val="32"/>
          <w:highlight w:val="none"/>
        </w:rPr>
      </w:pPr>
    </w:p>
    <w:p>
      <w:pPr>
        <w:pStyle w:val="39"/>
        <w:ind w:firstLine="0" w:firstLineChars="0"/>
        <w:rPr>
          <w:rFonts w:ascii="黑体" w:hAnsi="黑体" w:eastAsia="黑体" w:cs="Times New Roman"/>
          <w:color w:val="auto"/>
          <w:sz w:val="32"/>
          <w:szCs w:val="32"/>
          <w:highlight w:val="none"/>
        </w:rPr>
      </w:pPr>
    </w:p>
    <w:p>
      <w:pPr>
        <w:pStyle w:val="39"/>
        <w:ind w:firstLine="0" w:firstLineChars="0"/>
        <w:rPr>
          <w:rFonts w:ascii="黑体" w:hAnsi="黑体" w:eastAsia="黑体" w:cs="Times New Roman"/>
          <w:color w:val="auto"/>
          <w:sz w:val="32"/>
          <w:szCs w:val="32"/>
          <w:highlight w:val="none"/>
        </w:rPr>
      </w:pPr>
    </w:p>
    <w:p>
      <w:pPr>
        <w:pStyle w:val="39"/>
        <w:ind w:firstLine="0" w:firstLineChars="0"/>
        <w:rPr>
          <w:rFonts w:ascii="黑体" w:hAnsi="黑体" w:eastAsia="黑体" w:cs="Times New Roman"/>
          <w:color w:val="auto"/>
          <w:sz w:val="32"/>
          <w:szCs w:val="32"/>
          <w:highlight w:val="none"/>
        </w:rPr>
      </w:pPr>
    </w:p>
    <w:p>
      <w:pPr>
        <w:rPr>
          <w:rFonts w:ascii="仿宋" w:hAnsi="仿宋" w:eastAsia="仿宋" w:cs="仿宋"/>
          <w:color w:val="auto"/>
          <w:highlight w:val="none"/>
        </w:rPr>
      </w:pPr>
      <w:bookmarkStart w:id="881" w:name="_Toc5247"/>
      <w:bookmarkStart w:id="882" w:name="_Toc26017"/>
      <w:bookmarkStart w:id="883" w:name="_Toc8061"/>
      <w:bookmarkStart w:id="884" w:name="_Toc28620"/>
      <w:bookmarkStart w:id="885" w:name="_Toc27965"/>
      <w:bookmarkStart w:id="886" w:name="_Toc28505"/>
      <w:bookmarkStart w:id="887" w:name="_Toc13551"/>
      <w:bookmarkStart w:id="888" w:name="_Toc12270"/>
      <w:bookmarkStart w:id="889" w:name="_Toc15271"/>
      <w:bookmarkStart w:id="890" w:name="_Toc5710"/>
      <w:bookmarkStart w:id="891" w:name="_Toc29376"/>
      <w:bookmarkStart w:id="892" w:name="_Toc5708"/>
      <w:bookmarkStart w:id="893" w:name="_Toc28261"/>
      <w:bookmarkStart w:id="894" w:name="_Toc23720"/>
      <w:bookmarkStart w:id="895" w:name="_Toc14393"/>
      <w:bookmarkStart w:id="896" w:name="_Toc6164"/>
      <w:bookmarkStart w:id="897" w:name="_Toc11189"/>
    </w:p>
    <w:p>
      <w:pPr>
        <w:pStyle w:val="41"/>
        <w:jc w:val="both"/>
        <w:outlineLvl w:val="2"/>
        <w:rPr>
          <w:rFonts w:ascii="仿宋" w:hAnsi="仿宋" w:eastAsia="仿宋" w:cs="Times New Roman"/>
          <w:color w:val="auto"/>
          <w:highlight w:val="none"/>
        </w:rPr>
      </w:pPr>
      <w:bookmarkStart w:id="898" w:name="_Toc2793"/>
      <w:r>
        <w:rPr>
          <w:rFonts w:hint="eastAsia" w:ascii="仿宋" w:hAnsi="仿宋" w:eastAsia="仿宋" w:cs="仿宋"/>
          <w:color w:val="auto"/>
          <w:highlight w:val="none"/>
        </w:rPr>
        <w:br w:type="page"/>
      </w:r>
      <w:bookmarkStart w:id="899" w:name="_Toc3862"/>
      <w:bookmarkStart w:id="900" w:name="_Toc10442"/>
      <w:bookmarkStart w:id="901" w:name="_Toc7804"/>
      <w:r>
        <w:rPr>
          <w:rFonts w:hint="eastAsia" w:ascii="仿宋" w:hAnsi="仿宋" w:eastAsia="仿宋" w:cs="仿宋"/>
          <w:color w:val="auto"/>
          <w:highlight w:val="none"/>
        </w:rPr>
        <w:t>二、开标一览表</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pPr>
        <w:spacing w:line="600" w:lineRule="exact"/>
        <w:jc w:val="left"/>
        <w:rPr>
          <w:rFonts w:cs="Times New Roman"/>
          <w:color w:val="auto"/>
          <w:highlight w:val="none"/>
        </w:rPr>
      </w:pPr>
      <w:r>
        <w:rPr>
          <w:rFonts w:hint="eastAsia" w:cs="华文仿宋"/>
          <w:color w:val="auto"/>
          <w:highlight w:val="none"/>
        </w:rPr>
        <w:t>项目编号：</w:t>
      </w:r>
    </w:p>
    <w:p>
      <w:pPr>
        <w:spacing w:line="600" w:lineRule="exact"/>
        <w:jc w:val="left"/>
        <w:rPr>
          <w:rFonts w:cs="Times New Roman"/>
          <w:color w:val="auto"/>
          <w:highlight w:val="none"/>
        </w:rPr>
      </w:pPr>
      <w:r>
        <w:rPr>
          <w:rFonts w:hint="eastAsia" w:cs="华文仿宋"/>
          <w:color w:val="auto"/>
          <w:highlight w:val="none"/>
        </w:rPr>
        <w:t>项目名称：</w:t>
      </w:r>
    </w:p>
    <w:p>
      <w:pPr>
        <w:spacing w:line="440" w:lineRule="exact"/>
        <w:ind w:right="560"/>
        <w:jc w:val="right"/>
        <w:rPr>
          <w:rFonts w:ascii="仿宋" w:hAnsi="仿宋" w:eastAsia="仿宋" w:cs="Times New Roman"/>
          <w:color w:val="auto"/>
          <w:sz w:val="24"/>
          <w:szCs w:val="24"/>
          <w:highlight w:val="none"/>
        </w:rPr>
      </w:pPr>
    </w:p>
    <w:tbl>
      <w:tblPr>
        <w:tblStyle w:val="2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65"/>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2865" w:type="dxa"/>
            <w:noWrap/>
            <w:vAlign w:val="center"/>
          </w:tcPr>
          <w:p>
            <w:pPr>
              <w:pStyle w:val="7"/>
              <w:spacing w:line="360" w:lineRule="auto"/>
              <w:ind w:firstLine="0"/>
              <w:jc w:val="center"/>
              <w:rPr>
                <w:rFonts w:ascii="宋体" w:eastAsia="宋体" w:cs="Times New Roman"/>
                <w:color w:val="auto"/>
                <w:highlight w:val="none"/>
              </w:rPr>
            </w:pPr>
          </w:p>
        </w:tc>
        <w:tc>
          <w:tcPr>
            <w:tcW w:w="5752" w:type="dxa"/>
            <w:noWrap/>
            <w:vAlign w:val="center"/>
          </w:tcPr>
          <w:p>
            <w:pPr>
              <w:autoSpaceDE w:val="0"/>
              <w:autoSpaceDN w:val="0"/>
              <w:spacing w:line="360" w:lineRule="auto"/>
              <w:jc w:val="center"/>
              <w:rPr>
                <w:rFonts w:ascii="宋体" w:eastAsia="宋体" w:cs="Times New Roman"/>
                <w:color w:val="auto"/>
                <w:kern w:val="0"/>
                <w:highlight w:val="none"/>
                <w:lang w:val="zh-CN"/>
              </w:rPr>
            </w:pPr>
            <w:r>
              <w:rPr>
                <w:rFonts w:hint="eastAsia" w:ascii="宋体" w:hAnsi="宋体" w:cs="华文仿宋"/>
                <w:color w:val="auto"/>
                <w:kern w:val="0"/>
                <w:highlight w:val="none"/>
                <w:lang w:val="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2865" w:type="dxa"/>
            <w:noWrap/>
            <w:vAlign w:val="center"/>
          </w:tcPr>
          <w:p>
            <w:pPr>
              <w:pStyle w:val="7"/>
              <w:spacing w:line="360" w:lineRule="auto"/>
              <w:ind w:firstLine="0"/>
              <w:jc w:val="center"/>
              <w:rPr>
                <w:rFonts w:ascii="宋体" w:eastAsia="宋体" w:cs="Times New Roman"/>
                <w:color w:val="auto"/>
                <w:highlight w:val="none"/>
              </w:rPr>
            </w:pPr>
            <w:r>
              <w:rPr>
                <w:rFonts w:hint="eastAsia" w:ascii="宋体" w:hAnsi="宋体" w:cs="华文仿宋"/>
                <w:color w:val="auto"/>
                <w:highlight w:val="none"/>
              </w:rPr>
              <w:t>投标报价</w:t>
            </w:r>
          </w:p>
        </w:tc>
        <w:tc>
          <w:tcPr>
            <w:tcW w:w="5752" w:type="dxa"/>
            <w:noWrap/>
            <w:vAlign w:val="center"/>
          </w:tcPr>
          <w:p>
            <w:pPr>
              <w:autoSpaceDE w:val="0"/>
              <w:autoSpaceDN w:val="0"/>
              <w:spacing w:line="360" w:lineRule="auto"/>
              <w:rPr>
                <w:rFonts w:ascii="宋体" w:hAnsi="宋体" w:cs="华文仿宋"/>
                <w:color w:val="auto"/>
                <w:kern w:val="0"/>
                <w:highlight w:val="none"/>
                <w:lang w:val="zh-CN"/>
              </w:rPr>
            </w:pPr>
          </w:p>
          <w:p>
            <w:pPr>
              <w:autoSpaceDE w:val="0"/>
              <w:autoSpaceDN w:val="0"/>
              <w:spacing w:line="360" w:lineRule="auto"/>
              <w:rPr>
                <w:rFonts w:ascii="宋体" w:eastAsia="宋体" w:cs="Times New Roman"/>
                <w:color w:val="auto"/>
                <w:kern w:val="0"/>
                <w:highlight w:val="none"/>
                <w:lang w:val="zh-CN"/>
              </w:rPr>
            </w:pPr>
            <w:r>
              <w:rPr>
                <w:rFonts w:hint="eastAsia" w:ascii="宋体" w:hAnsi="宋体" w:cs="华文仿宋"/>
                <w:color w:val="auto"/>
                <w:kern w:val="0"/>
                <w:highlight w:val="none"/>
                <w:lang w:val="zh-CN"/>
              </w:rPr>
              <w:t>小写：</w:t>
            </w:r>
          </w:p>
          <w:p>
            <w:pPr>
              <w:autoSpaceDE w:val="0"/>
              <w:autoSpaceDN w:val="0"/>
              <w:spacing w:line="360" w:lineRule="auto"/>
              <w:ind w:firstLine="2916" w:firstLineChars="1200"/>
              <w:rPr>
                <w:rFonts w:ascii="宋体" w:eastAsia="宋体" w:cs="Times New Roman"/>
                <w:color w:val="auto"/>
                <w:kern w:val="0"/>
                <w:highlight w:val="none"/>
                <w:lang w:val="zh-CN"/>
              </w:rPr>
            </w:pPr>
            <w:r>
              <w:rPr>
                <w:rFonts w:hint="eastAsia" w:ascii="仿宋" w:hAnsi="仿宋" w:eastAsia="仿宋" w:cs="仿宋"/>
                <w:color w:val="auto"/>
                <w:sz w:val="24"/>
                <w:szCs w:val="24"/>
                <w:highlight w:val="none"/>
              </w:rPr>
              <w:t>单位：元（</w:t>
            </w:r>
            <w:r>
              <w:rPr>
                <w:rFonts w:hint="eastAsia" w:ascii="华文仿宋" w:hAnsi="华文仿宋" w:eastAsia="仿宋" w:cs="仿宋"/>
                <w:color w:val="auto"/>
                <w:sz w:val="24"/>
                <w:szCs w:val="24"/>
                <w:highlight w:val="none"/>
              </w:rPr>
              <w:t>保留到元</w:t>
            </w:r>
            <w:r>
              <w:rPr>
                <w:rFonts w:hint="eastAsia" w:ascii="仿宋" w:hAnsi="仿宋" w:eastAsia="仿宋" w:cs="仿宋"/>
                <w:color w:val="auto"/>
                <w:sz w:val="24"/>
                <w:szCs w:val="24"/>
                <w:highlight w:val="none"/>
              </w:rPr>
              <w:t>）</w:t>
            </w:r>
          </w:p>
        </w:tc>
      </w:tr>
    </w:tbl>
    <w:p>
      <w:pPr>
        <w:autoSpaceDE w:val="0"/>
        <w:autoSpaceDN w:val="0"/>
        <w:spacing w:line="240" w:lineRule="auto"/>
        <w:ind w:firstLine="213" w:firstLineChars="100"/>
        <w:rPr>
          <w:rFonts w:ascii="宋体" w:hAnsi="宋体" w:eastAsia="宋体" w:cs="Times New Roman"/>
          <w:b/>
          <w:bCs/>
          <w:color w:val="auto"/>
          <w:kern w:val="0"/>
          <w:sz w:val="21"/>
          <w:szCs w:val="21"/>
          <w:highlight w:val="none"/>
        </w:rPr>
      </w:pPr>
      <w:r>
        <w:rPr>
          <w:rFonts w:hint="eastAsia" w:ascii="宋体" w:hAnsi="宋体" w:eastAsia="宋体" w:cs="宋体"/>
          <w:color w:val="auto"/>
          <w:kern w:val="0"/>
          <w:sz w:val="21"/>
          <w:szCs w:val="21"/>
          <w:highlight w:val="none"/>
        </w:rPr>
        <w:t>备注</w:t>
      </w:r>
      <w:r>
        <w:rPr>
          <w:rFonts w:hint="eastAsia" w:ascii="宋体" w:hAnsi="宋体" w:eastAsia="宋体" w:cs="宋体"/>
          <w:color w:val="auto"/>
          <w:kern w:val="0"/>
          <w:sz w:val="21"/>
          <w:szCs w:val="21"/>
          <w:highlight w:val="none"/>
          <w:lang w:val="zh-CN"/>
        </w:rPr>
        <w:t>：“投标报价”为</w:t>
      </w:r>
      <w:r>
        <w:rPr>
          <w:rFonts w:hint="eastAsia" w:ascii="宋体" w:hAnsi="宋体" w:eastAsia="宋体" w:cs="宋体"/>
          <w:color w:val="auto"/>
          <w:kern w:val="0"/>
          <w:sz w:val="21"/>
          <w:szCs w:val="21"/>
          <w:highlight w:val="none"/>
        </w:rPr>
        <w:t>投标总价</w:t>
      </w:r>
      <w:r>
        <w:rPr>
          <w:rFonts w:hint="eastAsia" w:ascii="宋体" w:hAnsi="宋体" w:eastAsia="宋体" w:cs="宋体"/>
          <w:color w:val="auto"/>
          <w:kern w:val="0"/>
          <w:sz w:val="21"/>
          <w:szCs w:val="21"/>
          <w:highlight w:val="none"/>
          <w:lang w:val="zh-CN"/>
        </w:rPr>
        <w:t>。</w:t>
      </w:r>
      <w:r>
        <w:rPr>
          <w:rFonts w:hint="eastAsia" w:ascii="宋体" w:hAnsi="宋体" w:eastAsia="宋体" w:cs="Times New Roman"/>
          <w:color w:val="auto"/>
          <w:sz w:val="21"/>
          <w:szCs w:val="21"/>
          <w:highlight w:val="none"/>
        </w:rPr>
        <w:t>投标</w:t>
      </w:r>
      <w:r>
        <w:rPr>
          <w:rFonts w:ascii="宋体" w:hAnsi="宋体" w:eastAsia="宋体" w:cs="宋体"/>
          <w:color w:val="auto"/>
          <w:kern w:val="0"/>
          <w:sz w:val="21"/>
          <w:szCs w:val="21"/>
          <w:highlight w:val="none"/>
          <w:lang w:val="zh-CN"/>
        </w:rPr>
        <w:t>报价必须包括</w:t>
      </w:r>
      <w:r>
        <w:rPr>
          <w:rFonts w:hint="eastAsia" w:ascii="宋体" w:hAnsi="宋体" w:eastAsia="宋体" w:cs="宋体"/>
          <w:color w:val="auto"/>
          <w:kern w:val="0"/>
          <w:sz w:val="21"/>
          <w:szCs w:val="21"/>
          <w:highlight w:val="none"/>
          <w:lang w:val="zh-CN"/>
        </w:rPr>
        <w:t>本项目所需</w:t>
      </w:r>
      <w:r>
        <w:rPr>
          <w:rFonts w:ascii="宋体" w:hAnsi="宋体" w:eastAsia="宋体" w:cs="宋体"/>
          <w:color w:val="auto"/>
          <w:kern w:val="0"/>
          <w:sz w:val="21"/>
          <w:szCs w:val="21"/>
          <w:highlight w:val="none"/>
          <w:lang w:val="zh-CN"/>
        </w:rPr>
        <w:t>全部费用</w:t>
      </w:r>
      <w:r>
        <w:rPr>
          <w:rFonts w:hint="eastAsia" w:ascii="宋体" w:hAnsi="宋体" w:eastAsia="宋体" w:cs="宋体"/>
          <w:color w:val="auto"/>
          <w:kern w:val="0"/>
          <w:sz w:val="21"/>
          <w:szCs w:val="21"/>
          <w:highlight w:val="none"/>
          <w:lang w:val="zh-CN"/>
        </w:rPr>
        <w:t>。</w:t>
      </w:r>
    </w:p>
    <w:p>
      <w:pPr>
        <w:autoSpaceDE w:val="0"/>
        <w:autoSpaceDN w:val="0"/>
        <w:spacing w:line="240" w:lineRule="auto"/>
        <w:rPr>
          <w:rFonts w:ascii="宋体" w:hAnsi="宋体" w:eastAsia="宋体" w:cs="Times New Roman"/>
          <w:b/>
          <w:bCs/>
          <w:color w:val="auto"/>
          <w:kern w:val="0"/>
          <w:sz w:val="21"/>
          <w:szCs w:val="21"/>
          <w:highlight w:val="none"/>
        </w:rPr>
      </w:pPr>
    </w:p>
    <w:p>
      <w:pPr>
        <w:autoSpaceDE w:val="0"/>
        <w:autoSpaceDN w:val="0"/>
        <w:spacing w:before="190" w:beforeLines="50" w:line="500" w:lineRule="exact"/>
        <w:ind w:firstLine="5377" w:firstLineChars="1900"/>
        <w:rPr>
          <w:rFonts w:ascii="华文仿宋" w:cs="Times New Roman"/>
          <w:color w:val="auto"/>
          <w:highlight w:val="none"/>
        </w:rPr>
      </w:pPr>
      <w:bookmarkStart w:id="902" w:name="_Toc5592"/>
      <w:r>
        <w:rPr>
          <w:rFonts w:hint="eastAsia" w:ascii="华文仿宋" w:hAnsi="华文仿宋" w:cs="华文仿宋"/>
          <w:color w:val="auto"/>
          <w:highlight w:val="none"/>
        </w:rPr>
        <w:t>投标人：</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pPr>
        <w:spacing w:line="500" w:lineRule="exact"/>
        <w:ind w:firstLine="5660" w:firstLineChars="2000"/>
        <w:rPr>
          <w:rFonts w:cs="Times New Roman"/>
          <w:color w:val="auto"/>
          <w:highlight w:val="none"/>
        </w:rPr>
      </w:pPr>
      <w:r>
        <w:rPr>
          <w:rFonts w:hint="eastAsia" w:cs="华文仿宋"/>
          <w:color w:val="auto"/>
          <w:highlight w:val="none"/>
        </w:rPr>
        <w:t>日期：　年　月　日</w:t>
      </w:r>
    </w:p>
    <w:p>
      <w:pPr>
        <w:autoSpaceDE w:val="0"/>
        <w:autoSpaceDN w:val="0"/>
        <w:spacing w:line="240" w:lineRule="auto"/>
        <w:rPr>
          <w:color w:val="auto"/>
          <w:highlight w:val="none"/>
        </w:rPr>
        <w:sectPr>
          <w:headerReference r:id="rId17" w:type="default"/>
          <w:footerReference r:id="rId18" w:type="default"/>
          <w:pgSz w:w="11906" w:h="16838"/>
          <w:pgMar w:top="1304" w:right="1417" w:bottom="1304" w:left="1417" w:header="850" w:footer="794" w:gutter="0"/>
          <w:pgNumType w:fmt="decimal" w:chapStyle="1"/>
          <w:cols w:space="720" w:num="1"/>
          <w:docGrid w:type="linesAndChars" w:linePitch="381" w:charSpace="704"/>
        </w:sectPr>
      </w:pPr>
    </w:p>
    <w:p>
      <w:pPr>
        <w:spacing w:before="190" w:beforeLines="50" w:after="190" w:afterLines="50" w:line="500" w:lineRule="exact"/>
        <w:jc w:val="center"/>
        <w:rPr>
          <w:rFonts w:ascii="华文仿宋" w:hAnsi="华文仿宋" w:cs="华文仿宋"/>
          <w:b/>
          <w:color w:val="auto"/>
          <w:highlight w:val="none"/>
        </w:rPr>
      </w:pPr>
      <w:r>
        <w:rPr>
          <w:rFonts w:hint="eastAsia" w:ascii="华文仿宋" w:hAnsi="华文仿宋" w:cs="华文仿宋"/>
          <w:b/>
          <w:color w:val="auto"/>
          <w:highlight w:val="none"/>
        </w:rPr>
        <w:t>分项报价表</w:t>
      </w:r>
    </w:p>
    <w:tbl>
      <w:tblPr>
        <w:tblStyle w:val="24"/>
        <w:tblW w:w="8863" w:type="dxa"/>
        <w:jc w:val="center"/>
        <w:tblLayout w:type="fixed"/>
        <w:tblCellMar>
          <w:top w:w="0" w:type="dxa"/>
          <w:left w:w="28" w:type="dxa"/>
          <w:bottom w:w="0" w:type="dxa"/>
          <w:right w:w="28" w:type="dxa"/>
        </w:tblCellMar>
      </w:tblPr>
      <w:tblGrid>
        <w:gridCol w:w="843"/>
        <w:gridCol w:w="1276"/>
        <w:gridCol w:w="1119"/>
        <w:gridCol w:w="1410"/>
        <w:gridCol w:w="1410"/>
        <w:gridCol w:w="780"/>
        <w:gridCol w:w="885"/>
        <w:gridCol w:w="1140"/>
      </w:tblGrid>
      <w:tr>
        <w:tblPrEx>
          <w:tblCellMar>
            <w:top w:w="0" w:type="dxa"/>
            <w:left w:w="28" w:type="dxa"/>
            <w:bottom w:w="0" w:type="dxa"/>
            <w:right w:w="28" w:type="dxa"/>
          </w:tblCellMar>
        </w:tblPrEx>
        <w:trPr>
          <w:trHeight w:val="683" w:hRule="atLeast"/>
          <w:jc w:val="center"/>
        </w:trPr>
        <w:tc>
          <w:tcPr>
            <w:tcW w:w="843" w:type="dxa"/>
            <w:tcBorders>
              <w:top w:val="single" w:color="000000" w:sz="8" w:space="0"/>
              <w:left w:val="single" w:color="000000" w:sz="8" w:space="0"/>
              <w:bottom w:val="single" w:color="000000" w:sz="6" w:space="0"/>
              <w:right w:val="single" w:color="000000" w:sz="6" w:space="0"/>
            </w:tcBorders>
            <w:noWrap w:val="0"/>
            <w:vAlign w:val="center"/>
          </w:tcPr>
          <w:p>
            <w:pPr>
              <w:autoSpaceDE w:val="0"/>
              <w:autoSpaceDN w:val="0"/>
              <w:spacing w:line="300" w:lineRule="exact"/>
              <w:jc w:val="center"/>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序号</w:t>
            </w:r>
          </w:p>
        </w:tc>
        <w:tc>
          <w:tcPr>
            <w:tcW w:w="1276"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300" w:lineRule="exact"/>
              <w:jc w:val="center"/>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产品</w:t>
            </w:r>
          </w:p>
          <w:p>
            <w:pPr>
              <w:autoSpaceDE w:val="0"/>
              <w:autoSpaceDN w:val="0"/>
              <w:spacing w:line="300" w:lineRule="exact"/>
              <w:jc w:val="center"/>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名称</w:t>
            </w:r>
          </w:p>
        </w:tc>
        <w:tc>
          <w:tcPr>
            <w:tcW w:w="1119"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300" w:lineRule="exact"/>
              <w:jc w:val="center"/>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品牌</w:t>
            </w:r>
          </w:p>
        </w:tc>
        <w:tc>
          <w:tcPr>
            <w:tcW w:w="1410"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300" w:lineRule="exact"/>
              <w:jc w:val="center"/>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规格型号</w:t>
            </w:r>
          </w:p>
        </w:tc>
        <w:tc>
          <w:tcPr>
            <w:tcW w:w="1410"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300" w:lineRule="exact"/>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制造商</w:t>
            </w:r>
          </w:p>
        </w:tc>
        <w:tc>
          <w:tcPr>
            <w:tcW w:w="780"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300" w:lineRule="exact"/>
              <w:jc w:val="center"/>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数量</w:t>
            </w:r>
          </w:p>
        </w:tc>
        <w:tc>
          <w:tcPr>
            <w:tcW w:w="885" w:type="dxa"/>
            <w:tcBorders>
              <w:top w:val="single" w:color="000000" w:sz="8" w:space="0"/>
              <w:left w:val="single" w:color="000000" w:sz="6" w:space="0"/>
              <w:bottom w:val="single" w:color="000000" w:sz="6" w:space="0"/>
              <w:right w:val="single" w:color="000000" w:sz="6" w:space="0"/>
            </w:tcBorders>
            <w:noWrap w:val="0"/>
            <w:vAlign w:val="center"/>
          </w:tcPr>
          <w:p>
            <w:pPr>
              <w:autoSpaceDE w:val="0"/>
              <w:autoSpaceDN w:val="0"/>
              <w:spacing w:line="300" w:lineRule="exact"/>
              <w:jc w:val="center"/>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单价</w:t>
            </w:r>
          </w:p>
        </w:tc>
        <w:tc>
          <w:tcPr>
            <w:tcW w:w="1140" w:type="dxa"/>
            <w:tcBorders>
              <w:top w:val="single" w:color="000000" w:sz="8" w:space="0"/>
              <w:left w:val="single" w:color="000000" w:sz="6" w:space="0"/>
              <w:bottom w:val="single" w:color="000000" w:sz="6" w:space="0"/>
              <w:right w:val="single" w:color="000000" w:sz="8" w:space="0"/>
            </w:tcBorders>
            <w:noWrap w:val="0"/>
            <w:vAlign w:val="center"/>
          </w:tcPr>
          <w:p>
            <w:pPr>
              <w:autoSpaceDE w:val="0"/>
              <w:autoSpaceDN w:val="0"/>
              <w:spacing w:line="3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金额</w:t>
            </w:r>
          </w:p>
        </w:tc>
      </w:tr>
      <w:tr>
        <w:tblPrEx>
          <w:tblCellMar>
            <w:top w:w="0" w:type="dxa"/>
            <w:left w:w="28" w:type="dxa"/>
            <w:bottom w:w="0" w:type="dxa"/>
            <w:right w:w="28" w:type="dxa"/>
          </w:tblCellMar>
        </w:tblPrEx>
        <w:trPr>
          <w:trHeight w:val="375" w:hRule="atLeast"/>
          <w:jc w:val="center"/>
        </w:trPr>
        <w:tc>
          <w:tcPr>
            <w:tcW w:w="843"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1</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41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41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7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8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140" w:type="dxa"/>
            <w:tcBorders>
              <w:top w:val="single" w:color="000000" w:sz="6" w:space="0"/>
              <w:left w:val="single" w:color="000000" w:sz="6" w:space="0"/>
              <w:bottom w:val="single" w:color="000000" w:sz="6" w:space="0"/>
              <w:right w:val="single" w:color="000000" w:sz="8"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r>
      <w:tr>
        <w:tblPrEx>
          <w:tblCellMar>
            <w:top w:w="0" w:type="dxa"/>
            <w:left w:w="28" w:type="dxa"/>
            <w:bottom w:w="0" w:type="dxa"/>
            <w:right w:w="28" w:type="dxa"/>
          </w:tblCellMar>
        </w:tblPrEx>
        <w:trPr>
          <w:trHeight w:val="375" w:hRule="atLeast"/>
          <w:jc w:val="center"/>
        </w:trPr>
        <w:tc>
          <w:tcPr>
            <w:tcW w:w="843"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r>
              <w:rPr>
                <w:rFonts w:ascii="仿宋" w:hAnsi="仿宋" w:eastAsia="仿宋" w:cs="仿宋"/>
                <w:color w:val="auto"/>
                <w:kern w:val="0"/>
                <w:sz w:val="24"/>
                <w:szCs w:val="24"/>
                <w:highlight w:val="none"/>
                <w:lang w:val="zh-CN"/>
              </w:rPr>
              <w:t>2</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41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41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7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8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140" w:type="dxa"/>
            <w:tcBorders>
              <w:top w:val="single" w:color="000000" w:sz="6" w:space="0"/>
              <w:left w:val="single" w:color="000000" w:sz="6" w:space="0"/>
              <w:bottom w:val="single" w:color="000000" w:sz="6" w:space="0"/>
              <w:right w:val="single" w:color="000000" w:sz="8"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r>
      <w:tr>
        <w:tblPrEx>
          <w:tblCellMar>
            <w:top w:w="0" w:type="dxa"/>
            <w:left w:w="28" w:type="dxa"/>
            <w:bottom w:w="0" w:type="dxa"/>
            <w:right w:w="28" w:type="dxa"/>
          </w:tblCellMar>
        </w:tblPrEx>
        <w:trPr>
          <w:trHeight w:val="375" w:hRule="atLeast"/>
          <w:jc w:val="center"/>
        </w:trPr>
        <w:tc>
          <w:tcPr>
            <w:tcW w:w="843" w:type="dxa"/>
            <w:tcBorders>
              <w:top w:val="single" w:color="000000" w:sz="6" w:space="0"/>
              <w:left w:val="single" w:color="000000" w:sz="8"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11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41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41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78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88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c>
          <w:tcPr>
            <w:tcW w:w="1140" w:type="dxa"/>
            <w:tcBorders>
              <w:top w:val="single" w:color="000000" w:sz="6" w:space="0"/>
              <w:left w:val="single" w:color="000000" w:sz="6" w:space="0"/>
              <w:bottom w:val="single" w:color="000000" w:sz="6" w:space="0"/>
              <w:right w:val="single" w:color="000000" w:sz="8" w:space="0"/>
            </w:tcBorders>
            <w:noWrap w:val="0"/>
            <w:vAlign w:val="center"/>
          </w:tcPr>
          <w:p>
            <w:pPr>
              <w:autoSpaceDE w:val="0"/>
              <w:autoSpaceDN w:val="0"/>
              <w:spacing w:line="240" w:lineRule="auto"/>
              <w:jc w:val="center"/>
              <w:rPr>
                <w:rFonts w:ascii="仿宋" w:hAnsi="仿宋" w:eastAsia="仿宋" w:cs="仿宋"/>
                <w:color w:val="auto"/>
                <w:kern w:val="0"/>
                <w:sz w:val="24"/>
                <w:szCs w:val="24"/>
                <w:highlight w:val="none"/>
                <w:lang w:val="zh-CN"/>
              </w:rPr>
            </w:pPr>
          </w:p>
        </w:tc>
      </w:tr>
      <w:tr>
        <w:tblPrEx>
          <w:tblCellMar>
            <w:top w:w="0" w:type="dxa"/>
            <w:left w:w="28" w:type="dxa"/>
            <w:bottom w:w="0" w:type="dxa"/>
            <w:right w:w="28" w:type="dxa"/>
          </w:tblCellMar>
        </w:tblPrEx>
        <w:trPr>
          <w:trHeight w:val="755" w:hRule="atLeast"/>
          <w:jc w:val="center"/>
        </w:trPr>
        <w:tc>
          <w:tcPr>
            <w:tcW w:w="8863" w:type="dxa"/>
            <w:gridSpan w:val="8"/>
            <w:tcBorders>
              <w:top w:val="single" w:color="000000" w:sz="6" w:space="0"/>
              <w:left w:val="single" w:color="000000" w:sz="8" w:space="0"/>
              <w:bottom w:val="single" w:color="000000" w:sz="8" w:space="0"/>
              <w:right w:val="single" w:color="000000" w:sz="8" w:space="0"/>
            </w:tcBorders>
            <w:noWrap w:val="0"/>
            <w:vAlign w:val="center"/>
          </w:tcPr>
          <w:p>
            <w:pPr>
              <w:autoSpaceDE w:val="0"/>
              <w:autoSpaceDN w:val="0"/>
              <w:spacing w:line="240" w:lineRule="auto"/>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合计（元）：</w:t>
            </w:r>
          </w:p>
        </w:tc>
      </w:tr>
      <w:tr>
        <w:tblPrEx>
          <w:tblCellMar>
            <w:top w:w="0" w:type="dxa"/>
            <w:left w:w="28" w:type="dxa"/>
            <w:bottom w:w="0" w:type="dxa"/>
            <w:right w:w="28" w:type="dxa"/>
          </w:tblCellMar>
        </w:tblPrEx>
        <w:trPr>
          <w:trHeight w:val="1448" w:hRule="atLeast"/>
          <w:jc w:val="center"/>
        </w:trPr>
        <w:tc>
          <w:tcPr>
            <w:tcW w:w="2119" w:type="dxa"/>
            <w:gridSpan w:val="2"/>
            <w:tcBorders>
              <w:top w:val="single" w:color="000000" w:sz="6" w:space="0"/>
              <w:left w:val="single" w:color="000000" w:sz="8" w:space="0"/>
              <w:bottom w:val="single" w:color="000000" w:sz="8" w:space="0"/>
              <w:right w:val="single" w:color="000000" w:sz="6" w:space="0"/>
            </w:tcBorders>
            <w:noWrap w:val="0"/>
            <w:vAlign w:val="center"/>
          </w:tcPr>
          <w:p>
            <w:pPr>
              <w:autoSpaceDE w:val="0"/>
              <w:autoSpaceDN w:val="0"/>
              <w:spacing w:line="240" w:lineRule="auto"/>
              <w:jc w:val="center"/>
              <w:rPr>
                <w:rFonts w:ascii="仿宋" w:hAnsi="仿宋" w:eastAsia="仿宋"/>
                <w:color w:val="auto"/>
                <w:kern w:val="0"/>
                <w:sz w:val="24"/>
                <w:szCs w:val="24"/>
                <w:highlight w:val="none"/>
                <w:lang w:val="zh-CN"/>
              </w:rPr>
            </w:pPr>
            <w:r>
              <w:rPr>
                <w:rFonts w:hint="eastAsia" w:ascii="仿宋" w:hAnsi="仿宋" w:eastAsia="仿宋" w:cs="仿宋"/>
                <w:color w:val="auto"/>
                <w:kern w:val="0"/>
                <w:sz w:val="24"/>
                <w:szCs w:val="24"/>
                <w:highlight w:val="none"/>
              </w:rPr>
              <w:t>投标</w:t>
            </w:r>
            <w:r>
              <w:rPr>
                <w:rFonts w:hint="eastAsia" w:ascii="仿宋" w:hAnsi="仿宋" w:eastAsia="仿宋" w:cs="仿宋"/>
                <w:color w:val="auto"/>
                <w:kern w:val="0"/>
                <w:sz w:val="24"/>
                <w:szCs w:val="24"/>
                <w:highlight w:val="none"/>
                <w:lang w:val="zh-CN"/>
              </w:rPr>
              <w:t>报价</w:t>
            </w:r>
          </w:p>
        </w:tc>
        <w:tc>
          <w:tcPr>
            <w:tcW w:w="6744" w:type="dxa"/>
            <w:gridSpan w:val="6"/>
            <w:tcBorders>
              <w:top w:val="single" w:color="000000" w:sz="6" w:space="0"/>
              <w:left w:val="single" w:color="000000" w:sz="6" w:space="0"/>
              <w:bottom w:val="single" w:color="000000" w:sz="8" w:space="0"/>
              <w:right w:val="single" w:color="000000" w:sz="8" w:space="0"/>
            </w:tcBorders>
            <w:noWrap w:val="0"/>
            <w:vAlign w:val="center"/>
          </w:tcPr>
          <w:p>
            <w:pPr>
              <w:autoSpaceDE w:val="0"/>
              <w:autoSpaceDN w:val="0"/>
              <w:spacing w:line="240" w:lineRule="auto"/>
              <w:rPr>
                <w:rFonts w:ascii="仿宋" w:hAnsi="仿宋" w:eastAsia="仿宋" w:cs="仿宋"/>
                <w:color w:val="auto"/>
                <w:highlight w:val="none"/>
                <w:lang w:val="zh-CN"/>
              </w:rPr>
            </w:pPr>
          </w:p>
          <w:p>
            <w:pPr>
              <w:autoSpaceDE w:val="0"/>
              <w:autoSpaceDN w:val="0"/>
              <w:spacing w:line="240" w:lineRule="auto"/>
              <w:rPr>
                <w:rFonts w:ascii="仿宋" w:hAnsi="仿宋" w:eastAsia="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小写：</w:t>
            </w:r>
          </w:p>
          <w:p>
            <w:pPr>
              <w:autoSpaceDE w:val="0"/>
              <w:autoSpaceDN w:val="0"/>
              <w:spacing w:line="240" w:lineRule="auto"/>
              <w:jc w:val="right"/>
              <w:rPr>
                <w:rFonts w:ascii="仿宋" w:hAnsi="仿宋" w:eastAsia="仿宋" w:cs="仿宋"/>
                <w:color w:val="auto"/>
                <w:sz w:val="24"/>
                <w:szCs w:val="24"/>
                <w:highlight w:val="none"/>
              </w:rPr>
            </w:pPr>
            <w:r>
              <w:rPr>
                <w:rFonts w:ascii="仿宋" w:hAnsi="仿宋" w:eastAsia="仿宋" w:cs="仿宋"/>
                <w:color w:val="auto"/>
                <w:sz w:val="24"/>
                <w:szCs w:val="24"/>
                <w:highlight w:val="none"/>
              </w:rPr>
              <w:t>单位：元（</w:t>
            </w:r>
            <w:r>
              <w:rPr>
                <w:rFonts w:hint="eastAsia" w:ascii="仿宋" w:hAnsi="仿宋" w:eastAsia="仿宋" w:cs="仿宋"/>
                <w:color w:val="auto"/>
                <w:sz w:val="24"/>
                <w:szCs w:val="24"/>
                <w:highlight w:val="none"/>
              </w:rPr>
              <w:t>保留到元</w:t>
            </w:r>
            <w:r>
              <w:rPr>
                <w:rFonts w:ascii="仿宋" w:hAnsi="仿宋" w:eastAsia="仿宋" w:cs="仿宋"/>
                <w:color w:val="auto"/>
                <w:sz w:val="24"/>
                <w:szCs w:val="24"/>
                <w:highlight w:val="none"/>
              </w:rPr>
              <w:t>）</w:t>
            </w:r>
          </w:p>
        </w:tc>
      </w:tr>
    </w:tbl>
    <w:p>
      <w:pPr>
        <w:tabs>
          <w:tab w:val="right" w:pos="9072"/>
        </w:tabs>
        <w:ind w:firstLine="426" w:firstLineChars="200"/>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备注：</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、本表“投标报价”金额应与“开标一览表”中的“投标报价”一致；</w:t>
      </w:r>
    </w:p>
    <w:p>
      <w:pPr>
        <w:tabs>
          <w:tab w:val="right" w:pos="9072"/>
        </w:tabs>
        <w:ind w:firstLine="1065" w:firstLineChars="500"/>
        <w:rPr>
          <w:rFonts w:ascii="华文仿宋" w:cs="Times New Roman"/>
          <w:color w:val="auto"/>
          <w:sz w:val="24"/>
          <w:szCs w:val="24"/>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、本表为样表，仅供参考，投标人根据项目实际需求进行填写。</w:t>
      </w:r>
    </w:p>
    <w:p>
      <w:pPr>
        <w:pStyle w:val="2"/>
        <w:spacing w:after="190"/>
        <w:rPr>
          <w:rFonts w:eastAsia="宋体"/>
          <w:color w:val="auto"/>
          <w:highlight w:val="none"/>
        </w:rPr>
      </w:pPr>
    </w:p>
    <w:p>
      <w:pPr>
        <w:spacing w:line="500" w:lineRule="exact"/>
        <w:ind w:firstLine="4811" w:firstLineChars="1700"/>
        <w:jc w:val="right"/>
        <w:rPr>
          <w:rFonts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名称</w:t>
      </w:r>
      <w:r>
        <w:rPr>
          <w:rFonts w:hint="eastAsia" w:ascii="仿宋" w:hAnsi="仿宋" w:eastAsia="仿宋" w:cs="仿宋"/>
          <w:color w:val="auto"/>
          <w:highlight w:val="none"/>
        </w:rPr>
        <w:t xml:space="preserve">（加盖公章）                                    </w:t>
      </w:r>
    </w:p>
    <w:p>
      <w:pPr>
        <w:ind w:firstLine="5094" w:firstLineChars="1800"/>
        <w:jc w:val="center"/>
        <w:rPr>
          <w:rFonts w:cs="Times New Roman"/>
          <w:color w:val="auto"/>
          <w:highlight w:val="none"/>
        </w:rPr>
        <w:sectPr>
          <w:footerReference r:id="rId19" w:type="default"/>
          <w:pgSz w:w="11906" w:h="16838"/>
          <w:pgMar w:top="1304" w:right="1417" w:bottom="1304" w:left="1417" w:header="850" w:footer="992" w:gutter="0"/>
          <w:pgNumType w:fmt="decimal" w:chapStyle="1"/>
          <w:cols w:space="720" w:num="1"/>
          <w:docGrid w:type="linesAndChars" w:linePitch="381" w:charSpace="704"/>
        </w:sectPr>
      </w:pPr>
      <w:r>
        <w:rPr>
          <w:rFonts w:hint="eastAsia" w:ascii="仿宋" w:hAnsi="仿宋" w:eastAsia="仿宋" w:cs="仿宋"/>
          <w:color w:val="auto"/>
          <w:highlight w:val="none"/>
        </w:rPr>
        <w:t xml:space="preserve">    日期：　　年　月　日</w:t>
      </w:r>
    </w:p>
    <w:bookmarkEnd w:id="902"/>
    <w:p>
      <w:pPr>
        <w:pStyle w:val="41"/>
        <w:spacing w:line="500" w:lineRule="exact"/>
        <w:jc w:val="left"/>
        <w:outlineLvl w:val="2"/>
        <w:rPr>
          <w:rFonts w:ascii="仿宋" w:hAnsi="仿宋" w:eastAsia="仿宋" w:cs="Times New Roman"/>
          <w:color w:val="auto"/>
          <w:highlight w:val="none"/>
        </w:rPr>
      </w:pPr>
      <w:bookmarkStart w:id="903" w:name="_Toc8261"/>
      <w:bookmarkStart w:id="904" w:name="_Toc24858"/>
      <w:bookmarkStart w:id="905" w:name="_Toc14671"/>
      <w:bookmarkStart w:id="906" w:name="_Toc17971"/>
      <w:bookmarkStart w:id="907" w:name="_Toc7134"/>
      <w:bookmarkStart w:id="908" w:name="_Toc17458"/>
      <w:bookmarkStart w:id="909" w:name="_Toc28017"/>
      <w:bookmarkStart w:id="910" w:name="_Toc20205"/>
      <w:bookmarkStart w:id="911" w:name="_Toc1699"/>
      <w:bookmarkStart w:id="912" w:name="_Toc26160"/>
      <w:bookmarkStart w:id="913" w:name="_Toc13111"/>
      <w:bookmarkStart w:id="914" w:name="_Toc15616"/>
      <w:bookmarkStart w:id="915" w:name="_Toc31637"/>
      <w:bookmarkStart w:id="916" w:name="_Toc10363"/>
      <w:bookmarkStart w:id="917" w:name="_Toc24803"/>
      <w:bookmarkStart w:id="918" w:name="_Toc24777"/>
      <w:bookmarkStart w:id="919" w:name="_Toc14400"/>
      <w:bookmarkStart w:id="920" w:name="_Toc254"/>
      <w:r>
        <w:rPr>
          <w:rFonts w:hint="eastAsia" w:ascii="仿宋" w:hAnsi="仿宋" w:eastAsia="仿宋" w:cs="仿宋"/>
          <w:color w:val="auto"/>
          <w:highlight w:val="none"/>
        </w:rPr>
        <w:t>三、</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Start w:id="921" w:name="_Toc10991"/>
      <w:bookmarkStart w:id="922" w:name="_Toc20450"/>
      <w:bookmarkStart w:id="923" w:name="_Toc27481"/>
      <w:bookmarkStart w:id="924" w:name="_Toc32030"/>
      <w:bookmarkStart w:id="925" w:name="_Toc25612"/>
      <w:bookmarkStart w:id="926" w:name="_Toc29248"/>
      <w:bookmarkStart w:id="927" w:name="_Toc12032"/>
      <w:bookmarkStart w:id="928" w:name="_Toc21044"/>
      <w:bookmarkStart w:id="929" w:name="_Toc28430"/>
      <w:bookmarkStart w:id="930" w:name="_Toc27127"/>
      <w:bookmarkStart w:id="931" w:name="_Toc30708"/>
      <w:bookmarkStart w:id="932" w:name="_Toc6005"/>
      <w:bookmarkStart w:id="933" w:name="_Toc9028"/>
      <w:bookmarkStart w:id="934" w:name="_Toc26656"/>
      <w:r>
        <w:rPr>
          <w:rFonts w:hint="eastAsia" w:ascii="仿宋" w:hAnsi="仿宋" w:eastAsia="仿宋" w:cs="仿宋"/>
          <w:color w:val="auto"/>
          <w:highlight w:val="none"/>
        </w:rPr>
        <w:t>供应商承诺书</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spacing w:line="500" w:lineRule="exact"/>
        <w:ind w:firstLine="566" w:firstLineChars="200"/>
        <w:rPr>
          <w:rFonts w:cs="Times New Roman"/>
          <w:color w:val="auto"/>
          <w:highlight w:val="none"/>
        </w:rPr>
      </w:pPr>
      <w:r>
        <w:rPr>
          <w:rFonts w:hint="eastAsia" w:cs="华文仿宋"/>
          <w:color w:val="auto"/>
          <w:highlight w:val="none"/>
        </w:rPr>
        <w:t>未签署下列承诺书的，其责任由投标人自行承担。</w:t>
      </w:r>
    </w:p>
    <w:p>
      <w:pPr>
        <w:spacing w:line="500" w:lineRule="exact"/>
        <w:ind w:firstLine="566" w:firstLineChars="200"/>
        <w:rPr>
          <w:rFonts w:cs="Times New Roman"/>
          <w:b/>
          <w:bCs/>
          <w:color w:val="auto"/>
          <w:highlight w:val="none"/>
        </w:rPr>
      </w:pPr>
      <w:r>
        <w:rPr>
          <w:rFonts w:hint="eastAsia" w:cs="华文仿宋"/>
          <w:b/>
          <w:bCs/>
          <w:color w:val="auto"/>
          <w:highlight w:val="none"/>
        </w:rPr>
        <w:t>（一）质量安全责任承诺书</w:t>
      </w:r>
    </w:p>
    <w:p>
      <w:pPr>
        <w:spacing w:line="500" w:lineRule="exact"/>
        <w:ind w:firstLine="566" w:firstLineChars="200"/>
        <w:rPr>
          <w:rFonts w:cs="Times New Roman"/>
          <w:color w:val="auto"/>
          <w:highlight w:val="none"/>
        </w:rPr>
      </w:pPr>
      <w:r>
        <w:rPr>
          <w:rFonts w:hint="eastAsia" w:cs="华文仿宋"/>
          <w:color w:val="auto"/>
          <w:highlight w:val="none"/>
        </w:rPr>
        <w:t>为保证本采购项目顺利进行，作为投标人，现郑重承诺：</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1、</w:t>
      </w:r>
      <w:r>
        <w:rPr>
          <w:rFonts w:hint="eastAsia" w:cs="华文仿宋"/>
          <w:color w:val="auto"/>
          <w:highlight w:val="none"/>
        </w:rPr>
        <w:t>我方投标产品的生产（包括设计、制造、安装、改造、维修等）、投入使用的材料等均完全符合国家现行质量、安全、环保标准和要求。</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2、</w:t>
      </w:r>
      <w:r>
        <w:rPr>
          <w:rFonts w:hint="eastAsia" w:cs="华文仿宋"/>
          <w:color w:val="auto"/>
          <w:highlight w:val="none"/>
        </w:rPr>
        <w:t>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3、</w:t>
      </w:r>
      <w:r>
        <w:rPr>
          <w:rFonts w:hint="eastAsia" w:cs="华文仿宋"/>
          <w:color w:val="auto"/>
          <w:highlight w:val="none"/>
        </w:rPr>
        <w:t>对于因产品生产质量以及储存、运输、安装调试、服务、施工等过程中产生的任何安全事故，我方承担全部责任。</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4、</w:t>
      </w:r>
      <w:r>
        <w:rPr>
          <w:rFonts w:hint="eastAsia" w:cs="华文仿宋"/>
          <w:color w:val="auto"/>
          <w:highlight w:val="none"/>
        </w:rPr>
        <w:t>我方提供的货物、工程、服务等符合现行的国家、行业、地区、企业标准及要求，标准不一致的，以更为严格的为准，我方对提供的货物、工程、服务等的质量、安全、环保等承担全部责任。</w:t>
      </w:r>
    </w:p>
    <w:p>
      <w:pPr>
        <w:spacing w:line="500" w:lineRule="exact"/>
        <w:ind w:firstLine="566" w:firstLineChars="200"/>
        <w:rPr>
          <w:rFonts w:cs="Times New Roman"/>
          <w:color w:val="auto"/>
          <w:highlight w:val="none"/>
        </w:rPr>
      </w:pPr>
    </w:p>
    <w:p>
      <w:pPr>
        <w:spacing w:line="500" w:lineRule="exact"/>
        <w:ind w:firstLine="5094" w:firstLineChars="180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w:t>
      </w:r>
    </w:p>
    <w:p>
      <w:pPr>
        <w:spacing w:line="500" w:lineRule="exact"/>
        <w:ind w:firstLine="5377" w:firstLineChars="1900"/>
        <w:rPr>
          <w:rFonts w:cs="Times New Roman"/>
          <w:color w:val="auto"/>
          <w:highlight w:val="none"/>
        </w:rPr>
      </w:pPr>
      <w:r>
        <w:rPr>
          <w:rFonts w:hint="eastAsia" w:cs="华文仿宋"/>
          <w:color w:val="auto"/>
          <w:highlight w:val="none"/>
        </w:rPr>
        <w:t>日期：　年　月　日</w:t>
      </w:r>
    </w:p>
    <w:p>
      <w:pPr>
        <w:spacing w:line="500" w:lineRule="exact"/>
        <w:rPr>
          <w:rFonts w:cs="Times New Roman"/>
          <w:color w:val="auto"/>
          <w:highlight w:val="none"/>
        </w:rPr>
      </w:pPr>
    </w:p>
    <w:p>
      <w:pPr>
        <w:spacing w:line="500" w:lineRule="exact"/>
        <w:rPr>
          <w:rFonts w:cs="Times New Roman"/>
          <w:color w:val="auto"/>
          <w:highlight w:val="none"/>
        </w:rPr>
      </w:pPr>
    </w:p>
    <w:p>
      <w:pPr>
        <w:spacing w:line="500" w:lineRule="exact"/>
        <w:rPr>
          <w:rFonts w:cs="Times New Roman"/>
          <w:color w:val="auto"/>
          <w:highlight w:val="none"/>
        </w:rPr>
      </w:pPr>
    </w:p>
    <w:p>
      <w:pPr>
        <w:spacing w:line="500" w:lineRule="exact"/>
        <w:rPr>
          <w:rFonts w:cs="Times New Roman"/>
          <w:color w:val="auto"/>
          <w:highlight w:val="none"/>
        </w:rPr>
      </w:pPr>
    </w:p>
    <w:p>
      <w:pPr>
        <w:spacing w:line="500" w:lineRule="exact"/>
        <w:rPr>
          <w:rFonts w:cs="Times New Roman"/>
          <w:color w:val="auto"/>
          <w:highlight w:val="none"/>
        </w:rPr>
      </w:pPr>
    </w:p>
    <w:p>
      <w:pPr>
        <w:pStyle w:val="22"/>
        <w:spacing w:after="190"/>
        <w:ind w:firstLine="183"/>
        <w:rPr>
          <w:color w:val="auto"/>
          <w:highlight w:val="none"/>
        </w:rPr>
      </w:pPr>
    </w:p>
    <w:p>
      <w:pPr>
        <w:pStyle w:val="22"/>
        <w:spacing w:after="190"/>
        <w:ind w:firstLine="183"/>
        <w:rPr>
          <w:color w:val="auto"/>
          <w:highlight w:val="none"/>
        </w:rPr>
      </w:pPr>
    </w:p>
    <w:p>
      <w:pPr>
        <w:spacing w:line="500" w:lineRule="exact"/>
        <w:rPr>
          <w:rFonts w:cs="Times New Roman"/>
          <w:color w:val="auto"/>
          <w:highlight w:val="none"/>
        </w:rPr>
      </w:pPr>
    </w:p>
    <w:p>
      <w:pPr>
        <w:pStyle w:val="22"/>
        <w:spacing w:after="190"/>
        <w:ind w:firstLine="183"/>
        <w:rPr>
          <w:color w:val="auto"/>
          <w:highlight w:val="none"/>
        </w:rPr>
      </w:pPr>
    </w:p>
    <w:p>
      <w:pPr>
        <w:spacing w:before="190" w:beforeLines="50" w:line="500" w:lineRule="exact"/>
        <w:ind w:firstLine="566" w:firstLineChars="200"/>
        <w:rPr>
          <w:rFonts w:cs="Times New Roman"/>
          <w:b/>
          <w:bCs/>
          <w:color w:val="auto"/>
          <w:highlight w:val="none"/>
        </w:rPr>
      </w:pPr>
    </w:p>
    <w:p>
      <w:pPr>
        <w:spacing w:before="190" w:beforeLines="50" w:line="500" w:lineRule="exact"/>
        <w:ind w:firstLine="566" w:firstLineChars="200"/>
        <w:rPr>
          <w:rFonts w:cs="Times New Roman"/>
          <w:b/>
          <w:bCs/>
          <w:color w:val="auto"/>
          <w:highlight w:val="none"/>
        </w:rPr>
      </w:pPr>
      <w:r>
        <w:rPr>
          <w:rFonts w:hint="eastAsia" w:cs="华文仿宋"/>
          <w:b/>
          <w:bCs/>
          <w:color w:val="auto"/>
          <w:highlight w:val="none"/>
        </w:rPr>
        <w:t>（二）拒绝政府采购领域商业贿赂承诺书</w:t>
      </w:r>
    </w:p>
    <w:p>
      <w:pPr>
        <w:overflowPunct w:val="0"/>
        <w:topLinePunct/>
        <w:spacing w:line="440" w:lineRule="exact"/>
        <w:jc w:val="center"/>
        <w:rPr>
          <w:rFonts w:cs="Times New Roman"/>
          <w:color w:val="auto"/>
          <w:highlight w:val="none"/>
        </w:rPr>
      </w:pPr>
      <w:r>
        <w:rPr>
          <w:rFonts w:hint="eastAsia" w:cs="华文仿宋"/>
          <w:color w:val="auto"/>
          <w:highlight w:val="none"/>
        </w:rPr>
        <w:t>（执行陕财办采管</w:t>
      </w:r>
      <w:r>
        <w:rPr>
          <w:rFonts w:ascii="仿宋" w:hAnsi="仿宋" w:eastAsia="仿宋" w:cs="仿宋"/>
          <w:color w:val="auto"/>
          <w:highlight w:val="none"/>
        </w:rPr>
        <w:t>[2006]21</w:t>
      </w:r>
      <w:r>
        <w:rPr>
          <w:rFonts w:hint="eastAsia" w:cs="华文仿宋"/>
          <w:color w:val="auto"/>
          <w:highlight w:val="none"/>
        </w:rPr>
        <w:t>号文件）</w:t>
      </w:r>
    </w:p>
    <w:p>
      <w:pPr>
        <w:spacing w:line="500" w:lineRule="exact"/>
        <w:ind w:firstLine="566" w:firstLineChars="200"/>
        <w:rPr>
          <w:rFonts w:cs="Times New Roman"/>
          <w:color w:val="auto"/>
          <w:highlight w:val="none"/>
        </w:rPr>
      </w:pPr>
      <w:r>
        <w:rPr>
          <w:rFonts w:hint="eastAsia" w:cs="华文仿宋"/>
          <w:color w:val="auto"/>
          <w:highlight w:val="none"/>
        </w:rPr>
        <w:t>为响应党中央、国务院关于治理政府采购领域商业贿赂行为的号召，我公司在此庄严承诺：</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1、</w:t>
      </w:r>
      <w:r>
        <w:rPr>
          <w:rFonts w:hint="eastAsia" w:cs="华文仿宋"/>
          <w:color w:val="auto"/>
          <w:highlight w:val="none"/>
        </w:rPr>
        <w:t>在参与政府采购活动中遵纪守法、诚信经营、公平竞标。</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2、</w:t>
      </w:r>
      <w:r>
        <w:rPr>
          <w:rFonts w:hint="eastAsia" w:cs="华文仿宋"/>
          <w:color w:val="auto"/>
          <w:highlight w:val="none"/>
        </w:rPr>
        <w:t>不向政府采购人、采购代理机构和政府采购评审专家进行任何形式的商业贿赂以谋取交易机会。</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3、</w:t>
      </w:r>
      <w:r>
        <w:rPr>
          <w:rFonts w:hint="eastAsia" w:cs="华文仿宋"/>
          <w:color w:val="auto"/>
          <w:highlight w:val="none"/>
        </w:rPr>
        <w:t>不向政府采购代理机构和采购人提供虚假资质文件或采用虚假应标方式参与政府采购市场竞争并谋取中标、成交。</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4、</w:t>
      </w:r>
      <w:r>
        <w:rPr>
          <w:rFonts w:hint="eastAsia" w:cs="华文仿宋"/>
          <w:color w:val="auto"/>
          <w:highlight w:val="none"/>
        </w:rPr>
        <w:t>不采取“围标、陪标”等商业欺诈手段获得政府采购定单。</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5、</w:t>
      </w:r>
      <w:r>
        <w:rPr>
          <w:rFonts w:hint="eastAsia" w:cs="华文仿宋"/>
          <w:color w:val="auto"/>
          <w:highlight w:val="none"/>
        </w:rPr>
        <w:t>不采取不正当手段诋毁、排挤其他投标人。</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6、</w:t>
      </w:r>
      <w:r>
        <w:rPr>
          <w:rFonts w:hint="eastAsia" w:cs="华文仿宋"/>
          <w:color w:val="auto"/>
          <w:highlight w:val="none"/>
        </w:rPr>
        <w:t>不在提供商品和服务时“偷梁换柱、以次充好”损害采购人的合法权益。</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7、</w:t>
      </w:r>
      <w:r>
        <w:rPr>
          <w:rFonts w:hint="eastAsia" w:cs="华文仿宋"/>
          <w:color w:val="auto"/>
          <w:highlight w:val="none"/>
        </w:rPr>
        <w:t>不与采购人、采购代理机构政府采购评审专家或其它投标人恶意串通，进行质疑和投诉，维护政府采购市场秩序。</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8、</w:t>
      </w:r>
      <w:r>
        <w:rPr>
          <w:rFonts w:hint="eastAsia" w:cs="华文仿宋"/>
          <w:color w:val="auto"/>
          <w:highlight w:val="none"/>
        </w:rPr>
        <w:t>尊重和接受政府采购监督管理部门的监督和政府采购代理机构招标采购要求，承担因违约行为给采购人造成的损失。</w:t>
      </w:r>
    </w:p>
    <w:p>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9、</w:t>
      </w:r>
      <w:r>
        <w:rPr>
          <w:rFonts w:hint="eastAsia" w:cs="华文仿宋"/>
          <w:color w:val="auto"/>
          <w:highlight w:val="none"/>
        </w:rPr>
        <w:t>不发生其他有悖于政府采购公开、公平、公正和诚信原则的行为。</w:t>
      </w:r>
    </w:p>
    <w:p>
      <w:pPr>
        <w:spacing w:line="500" w:lineRule="exact"/>
        <w:rPr>
          <w:rFonts w:cs="Times New Roman"/>
          <w:color w:val="auto"/>
          <w:highlight w:val="none"/>
        </w:rPr>
      </w:pPr>
    </w:p>
    <w:p>
      <w:pPr>
        <w:spacing w:line="500" w:lineRule="exact"/>
        <w:ind w:firstLine="5094" w:firstLineChars="180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w:t>
      </w:r>
    </w:p>
    <w:p>
      <w:pPr>
        <w:spacing w:line="500" w:lineRule="exact"/>
        <w:ind w:firstLine="5377" w:firstLineChars="1900"/>
        <w:rPr>
          <w:rFonts w:cs="Times New Roman"/>
          <w:color w:val="auto"/>
          <w:highlight w:val="none"/>
        </w:rPr>
      </w:pPr>
      <w:r>
        <w:rPr>
          <w:rFonts w:hint="eastAsia" w:cs="华文仿宋"/>
          <w:color w:val="auto"/>
          <w:highlight w:val="none"/>
        </w:rPr>
        <w:t>日期：　年　月　日</w:t>
      </w:r>
    </w:p>
    <w:p>
      <w:pPr>
        <w:spacing w:line="500" w:lineRule="exact"/>
        <w:jc w:val="left"/>
        <w:outlineLvl w:val="2"/>
        <w:rPr>
          <w:rFonts w:ascii="仿宋" w:hAnsi="仿宋" w:eastAsia="仿宋" w:cs="仿宋"/>
          <w:b/>
          <w:bCs/>
          <w:color w:val="auto"/>
          <w:sz w:val="32"/>
          <w:szCs w:val="32"/>
          <w:highlight w:val="none"/>
        </w:rPr>
      </w:pPr>
      <w:r>
        <w:rPr>
          <w:rFonts w:cs="Times New Roman"/>
          <w:color w:val="auto"/>
          <w:highlight w:val="none"/>
        </w:rPr>
        <w:br w:type="page"/>
      </w:r>
      <w:bookmarkStart w:id="935" w:name="_Toc29995"/>
      <w:bookmarkStart w:id="936" w:name="_Toc28398"/>
      <w:bookmarkStart w:id="937" w:name="_Toc1596"/>
      <w:bookmarkStart w:id="938" w:name="_Toc14522"/>
      <w:bookmarkStart w:id="939" w:name="_Toc17794"/>
      <w:bookmarkStart w:id="940" w:name="_Toc9339"/>
      <w:bookmarkStart w:id="941" w:name="_Toc11343"/>
      <w:r>
        <w:rPr>
          <w:rFonts w:hint="eastAsia" w:ascii="仿宋" w:hAnsi="仿宋" w:eastAsia="仿宋" w:cs="仿宋"/>
          <w:b/>
          <w:bCs/>
          <w:color w:val="auto"/>
          <w:sz w:val="32"/>
          <w:szCs w:val="32"/>
          <w:highlight w:val="none"/>
        </w:rPr>
        <w:t>四、</w:t>
      </w:r>
      <w:bookmarkEnd w:id="935"/>
      <w:bookmarkEnd w:id="936"/>
      <w:bookmarkEnd w:id="937"/>
      <w:r>
        <w:rPr>
          <w:rFonts w:hint="eastAsia" w:ascii="仿宋" w:hAnsi="仿宋" w:eastAsia="仿宋" w:cs="仿宋"/>
          <w:b/>
          <w:bCs/>
          <w:color w:val="auto"/>
          <w:sz w:val="32"/>
          <w:szCs w:val="32"/>
          <w:highlight w:val="none"/>
        </w:rPr>
        <w:t>技术服务偏差表</w:t>
      </w:r>
      <w:bookmarkEnd w:id="938"/>
      <w:bookmarkEnd w:id="939"/>
      <w:bookmarkEnd w:id="940"/>
      <w:bookmarkEnd w:id="941"/>
    </w:p>
    <w:p>
      <w:pPr>
        <w:pStyle w:val="43"/>
        <w:spacing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（一）实质性条款响应表</w:t>
      </w:r>
    </w:p>
    <w:tbl>
      <w:tblPr>
        <w:tblStyle w:val="24"/>
        <w:tblW w:w="47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249"/>
        <w:gridCol w:w="3113"/>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40" w:type="pct"/>
            <w:shd w:val="clear" w:color="auto" w:fill="D8D8D8"/>
            <w:noWrap w:val="0"/>
            <w:vAlign w:val="center"/>
          </w:tcPr>
          <w:p>
            <w:pPr>
              <w:spacing w:line="500" w:lineRule="exact"/>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序号</w:t>
            </w:r>
          </w:p>
        </w:tc>
        <w:tc>
          <w:tcPr>
            <w:tcW w:w="1838" w:type="pct"/>
            <w:shd w:val="clear" w:color="auto" w:fill="D8D8D8"/>
            <w:noWrap w:val="0"/>
            <w:vAlign w:val="center"/>
          </w:tcPr>
          <w:p>
            <w:pPr>
              <w:spacing w:line="500" w:lineRule="exact"/>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招标文件实质性条款</w:t>
            </w:r>
          </w:p>
        </w:tc>
        <w:tc>
          <w:tcPr>
            <w:tcW w:w="1761" w:type="pct"/>
            <w:shd w:val="clear" w:color="auto" w:fill="D8D8D8"/>
            <w:noWrap w:val="0"/>
            <w:vAlign w:val="center"/>
          </w:tcPr>
          <w:p>
            <w:pPr>
              <w:spacing w:line="500" w:lineRule="exact"/>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投标文件响应条款</w:t>
            </w:r>
          </w:p>
        </w:tc>
        <w:tc>
          <w:tcPr>
            <w:tcW w:w="960" w:type="pct"/>
            <w:shd w:val="clear" w:color="auto" w:fill="D8D8D8"/>
            <w:noWrap w:val="0"/>
            <w:vAlign w:val="center"/>
          </w:tcPr>
          <w:p>
            <w:pPr>
              <w:spacing w:line="500" w:lineRule="exact"/>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noWrap w:val="0"/>
            <w:vAlign w:val="center"/>
          </w:tcPr>
          <w:p>
            <w:pPr>
              <w:spacing w:line="5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p>
        </w:tc>
        <w:tc>
          <w:tcPr>
            <w:tcW w:w="1838" w:type="pct"/>
            <w:noWrap w:val="0"/>
            <w:vAlign w:val="center"/>
          </w:tcPr>
          <w:p>
            <w:pPr>
              <w:spacing w:line="500" w:lineRule="exact"/>
              <w:rPr>
                <w:rFonts w:ascii="仿宋" w:hAnsi="仿宋" w:eastAsia="仿宋" w:cs="仿宋"/>
                <w:color w:val="auto"/>
                <w:sz w:val="24"/>
                <w:szCs w:val="24"/>
                <w:highlight w:val="none"/>
              </w:rPr>
            </w:pPr>
          </w:p>
        </w:tc>
        <w:tc>
          <w:tcPr>
            <w:tcW w:w="1761" w:type="pct"/>
            <w:noWrap w:val="0"/>
            <w:vAlign w:val="center"/>
          </w:tcPr>
          <w:p>
            <w:pPr>
              <w:spacing w:line="500" w:lineRule="exact"/>
              <w:rPr>
                <w:rFonts w:ascii="仿宋" w:hAnsi="仿宋" w:eastAsia="仿宋" w:cs="仿宋"/>
                <w:color w:val="auto"/>
                <w:sz w:val="24"/>
                <w:szCs w:val="24"/>
                <w:highlight w:val="none"/>
              </w:rPr>
            </w:pPr>
          </w:p>
        </w:tc>
        <w:tc>
          <w:tcPr>
            <w:tcW w:w="960" w:type="pct"/>
            <w:noWrap w:val="0"/>
            <w:vAlign w:val="center"/>
          </w:tcPr>
          <w:p>
            <w:pPr>
              <w:spacing w:line="500" w:lineRule="exac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noWrap w:val="0"/>
            <w:vAlign w:val="center"/>
          </w:tcPr>
          <w:p>
            <w:pPr>
              <w:spacing w:line="5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w:t>
            </w:r>
          </w:p>
        </w:tc>
        <w:tc>
          <w:tcPr>
            <w:tcW w:w="1838" w:type="pct"/>
            <w:noWrap w:val="0"/>
            <w:vAlign w:val="center"/>
          </w:tcPr>
          <w:p>
            <w:pPr>
              <w:spacing w:line="500" w:lineRule="exact"/>
              <w:rPr>
                <w:rFonts w:ascii="仿宋" w:hAnsi="仿宋" w:eastAsia="仿宋" w:cs="仿宋"/>
                <w:color w:val="auto"/>
                <w:sz w:val="24"/>
                <w:szCs w:val="24"/>
                <w:highlight w:val="none"/>
              </w:rPr>
            </w:pPr>
          </w:p>
        </w:tc>
        <w:tc>
          <w:tcPr>
            <w:tcW w:w="1761" w:type="pct"/>
            <w:noWrap w:val="0"/>
            <w:vAlign w:val="center"/>
          </w:tcPr>
          <w:p>
            <w:pPr>
              <w:spacing w:line="500" w:lineRule="exact"/>
              <w:rPr>
                <w:rFonts w:ascii="仿宋" w:hAnsi="仿宋" w:eastAsia="仿宋" w:cs="仿宋"/>
                <w:color w:val="auto"/>
                <w:sz w:val="24"/>
                <w:szCs w:val="24"/>
                <w:highlight w:val="none"/>
              </w:rPr>
            </w:pPr>
          </w:p>
        </w:tc>
        <w:tc>
          <w:tcPr>
            <w:tcW w:w="960" w:type="pct"/>
            <w:noWrap w:val="0"/>
            <w:vAlign w:val="center"/>
          </w:tcPr>
          <w:p>
            <w:pPr>
              <w:spacing w:line="500" w:lineRule="exac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noWrap w:val="0"/>
            <w:vAlign w:val="center"/>
          </w:tcPr>
          <w:p>
            <w:pPr>
              <w:spacing w:line="5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3</w:t>
            </w:r>
          </w:p>
        </w:tc>
        <w:tc>
          <w:tcPr>
            <w:tcW w:w="1838" w:type="pct"/>
            <w:noWrap w:val="0"/>
            <w:vAlign w:val="center"/>
          </w:tcPr>
          <w:p>
            <w:pPr>
              <w:spacing w:line="500" w:lineRule="exact"/>
              <w:rPr>
                <w:rFonts w:ascii="仿宋" w:hAnsi="仿宋" w:eastAsia="仿宋" w:cs="仿宋"/>
                <w:color w:val="auto"/>
                <w:sz w:val="24"/>
                <w:szCs w:val="24"/>
                <w:highlight w:val="none"/>
              </w:rPr>
            </w:pPr>
          </w:p>
        </w:tc>
        <w:tc>
          <w:tcPr>
            <w:tcW w:w="1761" w:type="pct"/>
            <w:noWrap w:val="0"/>
            <w:vAlign w:val="center"/>
          </w:tcPr>
          <w:p>
            <w:pPr>
              <w:spacing w:line="500" w:lineRule="exact"/>
              <w:rPr>
                <w:rFonts w:ascii="仿宋" w:hAnsi="仿宋" w:eastAsia="仿宋" w:cs="仿宋"/>
                <w:color w:val="auto"/>
                <w:sz w:val="24"/>
                <w:szCs w:val="24"/>
                <w:highlight w:val="none"/>
              </w:rPr>
            </w:pPr>
          </w:p>
        </w:tc>
        <w:tc>
          <w:tcPr>
            <w:tcW w:w="960" w:type="pct"/>
            <w:noWrap w:val="0"/>
            <w:vAlign w:val="center"/>
          </w:tcPr>
          <w:p>
            <w:pPr>
              <w:spacing w:line="500" w:lineRule="exac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noWrap w:val="0"/>
            <w:vAlign w:val="center"/>
          </w:tcPr>
          <w:p>
            <w:pPr>
              <w:spacing w:line="5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4</w:t>
            </w:r>
          </w:p>
        </w:tc>
        <w:tc>
          <w:tcPr>
            <w:tcW w:w="1838" w:type="pct"/>
            <w:noWrap w:val="0"/>
            <w:vAlign w:val="center"/>
          </w:tcPr>
          <w:p>
            <w:pPr>
              <w:spacing w:line="500" w:lineRule="exact"/>
              <w:rPr>
                <w:rFonts w:ascii="仿宋" w:hAnsi="仿宋" w:eastAsia="仿宋" w:cs="仿宋"/>
                <w:color w:val="auto"/>
                <w:sz w:val="24"/>
                <w:szCs w:val="24"/>
                <w:highlight w:val="none"/>
              </w:rPr>
            </w:pPr>
          </w:p>
        </w:tc>
        <w:tc>
          <w:tcPr>
            <w:tcW w:w="1761" w:type="pct"/>
            <w:noWrap w:val="0"/>
            <w:vAlign w:val="center"/>
          </w:tcPr>
          <w:p>
            <w:pPr>
              <w:spacing w:line="500" w:lineRule="exact"/>
              <w:rPr>
                <w:rFonts w:ascii="仿宋" w:hAnsi="仿宋" w:eastAsia="仿宋" w:cs="仿宋"/>
                <w:color w:val="auto"/>
                <w:sz w:val="24"/>
                <w:szCs w:val="24"/>
                <w:highlight w:val="none"/>
              </w:rPr>
            </w:pPr>
          </w:p>
        </w:tc>
        <w:tc>
          <w:tcPr>
            <w:tcW w:w="960" w:type="pct"/>
            <w:noWrap w:val="0"/>
            <w:vAlign w:val="center"/>
          </w:tcPr>
          <w:p>
            <w:pPr>
              <w:spacing w:line="500" w:lineRule="exac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noWrap w:val="0"/>
            <w:vAlign w:val="center"/>
          </w:tcPr>
          <w:p>
            <w:pPr>
              <w:spacing w:line="5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5</w:t>
            </w:r>
          </w:p>
        </w:tc>
        <w:tc>
          <w:tcPr>
            <w:tcW w:w="1838" w:type="pct"/>
            <w:noWrap w:val="0"/>
            <w:vAlign w:val="center"/>
          </w:tcPr>
          <w:p>
            <w:pPr>
              <w:spacing w:line="500" w:lineRule="exact"/>
              <w:rPr>
                <w:rFonts w:ascii="仿宋" w:hAnsi="仿宋" w:eastAsia="仿宋" w:cs="仿宋"/>
                <w:color w:val="auto"/>
                <w:sz w:val="24"/>
                <w:szCs w:val="24"/>
                <w:highlight w:val="none"/>
              </w:rPr>
            </w:pPr>
          </w:p>
        </w:tc>
        <w:tc>
          <w:tcPr>
            <w:tcW w:w="1761" w:type="pct"/>
            <w:noWrap w:val="0"/>
            <w:vAlign w:val="center"/>
          </w:tcPr>
          <w:p>
            <w:pPr>
              <w:spacing w:line="500" w:lineRule="exact"/>
              <w:rPr>
                <w:rFonts w:ascii="仿宋" w:hAnsi="仿宋" w:eastAsia="仿宋" w:cs="仿宋"/>
                <w:color w:val="auto"/>
                <w:sz w:val="24"/>
                <w:szCs w:val="24"/>
                <w:highlight w:val="none"/>
              </w:rPr>
            </w:pPr>
          </w:p>
        </w:tc>
        <w:tc>
          <w:tcPr>
            <w:tcW w:w="960" w:type="pct"/>
            <w:noWrap w:val="0"/>
            <w:vAlign w:val="center"/>
          </w:tcPr>
          <w:p>
            <w:pPr>
              <w:spacing w:line="500" w:lineRule="exac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noWrap w:val="0"/>
            <w:vAlign w:val="center"/>
          </w:tcPr>
          <w:p>
            <w:pPr>
              <w:spacing w:line="500" w:lineRule="exact"/>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6</w:t>
            </w:r>
          </w:p>
        </w:tc>
        <w:tc>
          <w:tcPr>
            <w:tcW w:w="1838" w:type="pct"/>
            <w:noWrap w:val="0"/>
            <w:vAlign w:val="center"/>
          </w:tcPr>
          <w:p>
            <w:pPr>
              <w:spacing w:line="500" w:lineRule="exact"/>
              <w:rPr>
                <w:rFonts w:ascii="仿宋" w:hAnsi="仿宋" w:eastAsia="仿宋" w:cs="仿宋"/>
                <w:color w:val="auto"/>
                <w:sz w:val="24"/>
                <w:szCs w:val="24"/>
                <w:highlight w:val="none"/>
              </w:rPr>
            </w:pPr>
          </w:p>
        </w:tc>
        <w:tc>
          <w:tcPr>
            <w:tcW w:w="1761" w:type="pct"/>
            <w:noWrap w:val="0"/>
            <w:vAlign w:val="center"/>
          </w:tcPr>
          <w:p>
            <w:pPr>
              <w:spacing w:line="500" w:lineRule="exact"/>
              <w:rPr>
                <w:rFonts w:ascii="仿宋" w:hAnsi="仿宋" w:eastAsia="仿宋" w:cs="仿宋"/>
                <w:color w:val="auto"/>
                <w:sz w:val="24"/>
                <w:szCs w:val="24"/>
                <w:highlight w:val="none"/>
              </w:rPr>
            </w:pPr>
          </w:p>
        </w:tc>
        <w:tc>
          <w:tcPr>
            <w:tcW w:w="960" w:type="pct"/>
            <w:noWrap w:val="0"/>
            <w:vAlign w:val="center"/>
          </w:tcPr>
          <w:p>
            <w:pPr>
              <w:spacing w:line="500" w:lineRule="exact"/>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0" w:type="pct"/>
            <w:noWrap w:val="0"/>
            <w:vAlign w:val="center"/>
          </w:tcPr>
          <w:p>
            <w:pPr>
              <w:spacing w:line="500" w:lineRule="exac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w:t>
            </w:r>
          </w:p>
        </w:tc>
        <w:tc>
          <w:tcPr>
            <w:tcW w:w="1838" w:type="pct"/>
            <w:noWrap w:val="0"/>
            <w:vAlign w:val="center"/>
          </w:tcPr>
          <w:p>
            <w:pPr>
              <w:spacing w:line="500" w:lineRule="exact"/>
              <w:rPr>
                <w:rFonts w:ascii="仿宋" w:hAnsi="仿宋" w:eastAsia="仿宋" w:cs="Times New Roman"/>
                <w:color w:val="auto"/>
                <w:sz w:val="24"/>
                <w:szCs w:val="24"/>
                <w:highlight w:val="none"/>
              </w:rPr>
            </w:pPr>
          </w:p>
        </w:tc>
        <w:tc>
          <w:tcPr>
            <w:tcW w:w="1761" w:type="pct"/>
            <w:noWrap w:val="0"/>
            <w:vAlign w:val="center"/>
          </w:tcPr>
          <w:p>
            <w:pPr>
              <w:spacing w:line="500" w:lineRule="exact"/>
              <w:rPr>
                <w:rFonts w:ascii="仿宋" w:hAnsi="仿宋" w:eastAsia="仿宋" w:cs="Times New Roman"/>
                <w:color w:val="auto"/>
                <w:sz w:val="24"/>
                <w:szCs w:val="24"/>
                <w:highlight w:val="none"/>
              </w:rPr>
            </w:pPr>
          </w:p>
        </w:tc>
        <w:tc>
          <w:tcPr>
            <w:tcW w:w="960" w:type="pct"/>
            <w:noWrap w:val="0"/>
            <w:vAlign w:val="center"/>
          </w:tcPr>
          <w:p>
            <w:pPr>
              <w:spacing w:line="500" w:lineRule="exact"/>
              <w:rPr>
                <w:rFonts w:ascii="仿宋" w:hAnsi="仿宋" w:eastAsia="仿宋" w:cs="Times New Roman"/>
                <w:color w:val="auto"/>
                <w:sz w:val="24"/>
                <w:szCs w:val="24"/>
                <w:highlight w:val="none"/>
              </w:rPr>
            </w:pPr>
          </w:p>
        </w:tc>
      </w:tr>
    </w:tbl>
    <w:p>
      <w:pPr>
        <w:widowControl w:val="0"/>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widowControl w:val="0"/>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1、上表填写以第四章“招标内容及采购要求”中“★”内容项为基本响应要求，须逐条响应，未逐条响应、有缺漏将被视为无效投标。</w:t>
      </w:r>
    </w:p>
    <w:p>
      <w:pPr>
        <w:widowControl w:val="0"/>
        <w:ind w:firstLine="426" w:firstLineChars="200"/>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2、“是否完全响应”一栏根据“投标文件响应条款”与招标文件逐项对照的结果填写，填写“是”或者“否”（如填写“否”将被视为无效投标）。</w:t>
      </w:r>
    </w:p>
    <w:p>
      <w:pPr>
        <w:pStyle w:val="2"/>
        <w:spacing w:after="190" w:line="500" w:lineRule="exact"/>
        <w:rPr>
          <w:rFonts w:ascii="华文仿宋" w:hAnsi="华文仿宋" w:cs="华文仿宋"/>
          <w:color w:val="auto"/>
          <w:highlight w:val="none"/>
        </w:rPr>
      </w:pPr>
    </w:p>
    <w:p>
      <w:pPr>
        <w:pStyle w:val="2"/>
        <w:spacing w:after="190" w:line="500" w:lineRule="exact"/>
        <w:ind w:firstLine="5377" w:firstLineChars="1900"/>
        <w:jc w:val="right"/>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rPr>
        <w:t>投标人：</w:t>
      </w:r>
      <w:r>
        <w:rPr>
          <w:rFonts w:hint="eastAsia" w:ascii="华文仿宋" w:hAnsi="华文仿宋" w:cs="华文仿宋"/>
          <w:color w:val="auto"/>
          <w:sz w:val="28"/>
          <w:szCs w:val="28"/>
          <w:highlight w:val="none"/>
          <w:u w:val="single"/>
        </w:rPr>
        <w:t>名称</w:t>
      </w:r>
      <w:r>
        <w:rPr>
          <w:rFonts w:hint="eastAsia" w:ascii="华文仿宋" w:hAnsi="华文仿宋" w:cs="华文仿宋"/>
          <w:color w:val="auto"/>
          <w:sz w:val="28"/>
          <w:szCs w:val="28"/>
          <w:highlight w:val="none"/>
        </w:rPr>
        <w:t>（加盖公章）</w:t>
      </w:r>
    </w:p>
    <w:p>
      <w:pPr>
        <w:tabs>
          <w:tab w:val="right" w:pos="9070"/>
        </w:tabs>
        <w:spacing w:line="500" w:lineRule="exact"/>
        <w:ind w:firstLine="5660" w:firstLineChars="2000"/>
        <w:jc w:val="right"/>
        <w:rPr>
          <w:rFonts w:ascii="仿宋" w:hAnsi="仿宋" w:eastAsia="仿宋" w:cs="Times New Roman"/>
          <w:color w:val="auto"/>
          <w:highlight w:val="none"/>
        </w:rPr>
      </w:pPr>
      <w:r>
        <w:rPr>
          <w:rFonts w:hint="eastAsia" w:ascii="华文仿宋" w:hAnsi="华文仿宋" w:cs="华文仿宋"/>
          <w:color w:val="auto"/>
          <w:highlight w:val="none"/>
        </w:rPr>
        <w:t>日期：　年　月　</w:t>
      </w:r>
      <w:r>
        <w:rPr>
          <w:rFonts w:hint="eastAsia" w:ascii="华文仿宋" w:hAnsi="华文仿宋" w:cs="华文仿宋"/>
          <w:color w:val="auto"/>
          <w:sz w:val="24"/>
          <w:szCs w:val="24"/>
          <w:highlight w:val="none"/>
        </w:rPr>
        <w:t>日</w:t>
      </w:r>
      <w:r>
        <w:rPr>
          <w:rFonts w:ascii="仿宋" w:hAnsi="仿宋" w:eastAsia="仿宋" w:cs="Times New Roman"/>
          <w:color w:val="auto"/>
          <w:highlight w:val="none"/>
        </w:rPr>
        <w:tab/>
      </w:r>
    </w:p>
    <w:p>
      <w:pPr>
        <w:tabs>
          <w:tab w:val="right" w:pos="9070"/>
        </w:tabs>
        <w:spacing w:line="500" w:lineRule="exact"/>
        <w:ind w:firstLine="566" w:firstLineChars="200"/>
        <w:rPr>
          <w:rFonts w:ascii="仿宋" w:hAnsi="仿宋" w:eastAsia="仿宋" w:cs="Times New Roman"/>
          <w:color w:val="auto"/>
          <w:highlight w:val="none"/>
        </w:rPr>
      </w:pPr>
    </w:p>
    <w:p>
      <w:pPr>
        <w:pStyle w:val="2"/>
        <w:spacing w:after="190"/>
        <w:rPr>
          <w:color w:val="auto"/>
          <w:highlight w:val="none"/>
        </w:rPr>
      </w:pPr>
    </w:p>
    <w:p>
      <w:pPr>
        <w:pStyle w:val="2"/>
        <w:numPr>
          <w:ilvl w:val="0"/>
          <w:numId w:val="8"/>
        </w:numPr>
        <w:spacing w:after="190" w:line="50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其他材料</w:t>
      </w:r>
    </w:p>
    <w:p>
      <w:pPr>
        <w:tabs>
          <w:tab w:val="right" w:pos="9070"/>
        </w:tabs>
        <w:spacing w:line="500" w:lineRule="exact"/>
        <w:ind w:firstLine="566" w:firstLineChars="200"/>
        <w:rPr>
          <w:rFonts w:ascii="仿宋" w:hAnsi="仿宋" w:eastAsia="仿宋" w:cs="仿宋"/>
          <w:b/>
          <w:bCs/>
          <w:color w:val="auto"/>
          <w:highlight w:val="none"/>
        </w:rPr>
      </w:pPr>
      <w:r>
        <w:rPr>
          <w:rFonts w:hint="eastAsia" w:ascii="华文仿宋" w:hAnsi="华文仿宋" w:cs="华文仿宋"/>
          <w:color w:val="auto"/>
          <w:highlight w:val="none"/>
        </w:rPr>
        <w:t>根据招标文件要求，若“★”内容项须附相关证明材料，则投标人应将相关证明材料附至此处，如未按要求提供相关证明材料，将被视为无效投标。</w:t>
      </w:r>
    </w:p>
    <w:p>
      <w:pPr>
        <w:tabs>
          <w:tab w:val="right" w:pos="9070"/>
        </w:tabs>
        <w:spacing w:line="500" w:lineRule="exact"/>
        <w:rPr>
          <w:rFonts w:ascii="仿宋" w:hAnsi="仿宋" w:eastAsia="仿宋" w:cs="Times New Roman"/>
          <w:color w:val="auto"/>
          <w:highlight w:val="none"/>
        </w:rPr>
      </w:pPr>
    </w:p>
    <w:p>
      <w:pPr>
        <w:spacing w:line="500" w:lineRule="exact"/>
        <w:outlineLvl w:val="2"/>
        <w:rPr>
          <w:rFonts w:ascii="仿宋" w:hAnsi="仿宋" w:eastAsia="仿宋" w:cs="Times New Roman"/>
          <w:b/>
          <w:bCs/>
          <w:color w:val="auto"/>
          <w:sz w:val="32"/>
          <w:szCs w:val="32"/>
          <w:highlight w:val="none"/>
        </w:rPr>
      </w:pPr>
      <w:bookmarkStart w:id="942" w:name="_Toc30952"/>
      <w:bookmarkStart w:id="943" w:name="_Toc19208"/>
      <w:bookmarkStart w:id="944" w:name="_Toc15287"/>
      <w:bookmarkStart w:id="945" w:name="_Toc3769"/>
      <w:r>
        <w:rPr>
          <w:rFonts w:hint="eastAsia" w:ascii="仿宋" w:hAnsi="仿宋" w:eastAsia="仿宋" w:cs="仿宋"/>
          <w:b/>
          <w:bCs/>
          <w:color w:val="auto"/>
          <w:sz w:val="32"/>
          <w:szCs w:val="32"/>
          <w:highlight w:val="none"/>
        </w:rPr>
        <w:br w:type="page"/>
      </w:r>
      <w:bookmarkStart w:id="946" w:name="_Toc25217"/>
      <w:bookmarkStart w:id="947" w:name="_Toc28328"/>
      <w:bookmarkStart w:id="948" w:name="_Toc19498"/>
      <w:r>
        <w:rPr>
          <w:rFonts w:hint="eastAsia" w:ascii="仿宋" w:hAnsi="仿宋" w:eastAsia="仿宋" w:cs="仿宋"/>
          <w:b/>
          <w:bCs/>
          <w:color w:val="auto"/>
          <w:sz w:val="32"/>
          <w:szCs w:val="32"/>
          <w:highlight w:val="none"/>
        </w:rPr>
        <w:t>五、合同基本条款响应</w:t>
      </w:r>
      <w:bookmarkEnd w:id="942"/>
      <w:bookmarkEnd w:id="943"/>
      <w:bookmarkEnd w:id="944"/>
      <w:bookmarkEnd w:id="945"/>
      <w:bookmarkEnd w:id="946"/>
      <w:bookmarkEnd w:id="947"/>
      <w:bookmarkEnd w:id="948"/>
    </w:p>
    <w:p>
      <w:pPr>
        <w:spacing w:line="500" w:lineRule="exact"/>
        <w:ind w:firstLine="566" w:firstLineChars="200"/>
        <w:rPr>
          <w:rFonts w:cs="Times New Roman"/>
          <w:color w:val="auto"/>
          <w:highlight w:val="none"/>
        </w:rPr>
      </w:pPr>
      <w:r>
        <w:rPr>
          <w:rFonts w:hint="eastAsia" w:cs="华文仿宋"/>
          <w:color w:val="auto"/>
          <w:highlight w:val="none"/>
        </w:rPr>
        <w:t>完全理解并接受招标文件中“合同基本条款”要求。</w:t>
      </w:r>
    </w:p>
    <w:p>
      <w:pPr>
        <w:spacing w:line="500" w:lineRule="exact"/>
        <w:ind w:firstLine="4811" w:firstLineChars="1700"/>
        <w:rPr>
          <w:rFonts w:ascii="仿宋" w:hAnsi="仿宋" w:eastAsia="仿宋" w:cs="Times New Roman"/>
          <w:color w:val="auto"/>
          <w:highlight w:val="none"/>
        </w:rPr>
      </w:pPr>
    </w:p>
    <w:p>
      <w:pPr>
        <w:pStyle w:val="2"/>
        <w:spacing w:after="190"/>
        <w:rPr>
          <w:rFonts w:cs="Times New Roman"/>
          <w:color w:val="auto"/>
          <w:highlight w:val="none"/>
        </w:rPr>
      </w:pPr>
    </w:p>
    <w:p>
      <w:pPr>
        <w:pStyle w:val="2"/>
        <w:spacing w:after="190" w:line="500" w:lineRule="exact"/>
        <w:ind w:firstLine="5377" w:firstLineChars="1900"/>
        <w:rPr>
          <w:rFonts w:ascii="仿宋" w:hAnsi="仿宋" w:eastAsia="仿宋" w:cs="Times New Roman"/>
          <w:color w:val="auto"/>
          <w:highlight w:val="none"/>
        </w:rPr>
      </w:pPr>
      <w:r>
        <w:rPr>
          <w:rFonts w:hint="eastAsia" w:ascii="华文仿宋" w:hAnsi="华文仿宋" w:cs="华文仿宋"/>
          <w:color w:val="auto"/>
          <w:sz w:val="28"/>
          <w:szCs w:val="28"/>
          <w:highlight w:val="none"/>
        </w:rPr>
        <w:t>投标人：</w:t>
      </w:r>
      <w:r>
        <w:rPr>
          <w:rFonts w:hint="eastAsia" w:ascii="华文仿宋" w:hAnsi="华文仿宋" w:cs="华文仿宋"/>
          <w:color w:val="auto"/>
          <w:sz w:val="28"/>
          <w:szCs w:val="28"/>
          <w:highlight w:val="none"/>
          <w:u w:val="single"/>
        </w:rPr>
        <w:t>名称</w:t>
      </w:r>
      <w:r>
        <w:rPr>
          <w:rFonts w:hint="eastAsia" w:ascii="华文仿宋" w:hAnsi="华文仿宋" w:cs="华文仿宋"/>
          <w:color w:val="auto"/>
          <w:sz w:val="28"/>
          <w:szCs w:val="28"/>
          <w:highlight w:val="none"/>
        </w:rPr>
        <w:t>（加盖公章）</w:t>
      </w:r>
      <w:r>
        <w:rPr>
          <w:rFonts w:ascii="仿宋" w:hAnsi="仿宋" w:eastAsia="仿宋" w:cs="Times New Roman"/>
          <w:color w:val="auto"/>
          <w:highlight w:val="none"/>
        </w:rPr>
        <w:tab/>
      </w:r>
    </w:p>
    <w:p>
      <w:pPr>
        <w:pStyle w:val="22"/>
        <w:spacing w:after="190" w:line="500" w:lineRule="exact"/>
        <w:ind w:firstLine="5660" w:firstLineChars="2000"/>
        <w:rPr>
          <w:rFonts w:ascii="华文仿宋"/>
          <w:color w:val="auto"/>
          <w:sz w:val="28"/>
          <w:szCs w:val="28"/>
          <w:highlight w:val="none"/>
        </w:rPr>
      </w:pPr>
      <w:r>
        <w:rPr>
          <w:rFonts w:hint="eastAsia" w:ascii="华文仿宋" w:hAnsi="华文仿宋" w:cs="华文仿宋"/>
          <w:color w:val="auto"/>
          <w:sz w:val="28"/>
          <w:szCs w:val="28"/>
          <w:highlight w:val="none"/>
        </w:rPr>
        <w:t>日期：　年　月　日</w:t>
      </w: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22"/>
        <w:spacing w:after="190"/>
        <w:ind w:firstLine="183"/>
        <w:rPr>
          <w:rFonts w:ascii="仿宋" w:hAnsi="仿宋" w:eastAsia="仿宋"/>
          <w:color w:val="auto"/>
          <w:highlight w:val="none"/>
        </w:rPr>
      </w:pPr>
    </w:p>
    <w:p>
      <w:pPr>
        <w:pStyle w:val="41"/>
        <w:rPr>
          <w:rFonts w:ascii="黑体" w:hAnsi="黑体" w:eastAsia="黑体" w:cs="Times New Roman"/>
          <w:b w:val="0"/>
          <w:bCs w:val="0"/>
          <w:color w:val="auto"/>
          <w:highlight w:val="none"/>
        </w:rPr>
      </w:pPr>
      <w:bookmarkStart w:id="949" w:name="_Toc4046"/>
      <w:bookmarkStart w:id="950" w:name="_Toc4325"/>
      <w:bookmarkStart w:id="951" w:name="_Toc20524"/>
      <w:bookmarkStart w:id="952" w:name="_Toc22107"/>
      <w:bookmarkStart w:id="953" w:name="_Toc27461"/>
      <w:bookmarkStart w:id="954" w:name="_Toc17213"/>
      <w:bookmarkStart w:id="955" w:name="_Toc13676"/>
      <w:r>
        <w:rPr>
          <w:rFonts w:hint="eastAsia" w:ascii="黑体" w:hAnsi="黑体" w:eastAsia="黑体" w:cs="黑体"/>
          <w:b w:val="0"/>
          <w:bCs w:val="0"/>
          <w:color w:val="auto"/>
          <w:highlight w:val="none"/>
        </w:rPr>
        <w:br w:type="page"/>
      </w:r>
      <w:bookmarkStart w:id="956" w:name="_Toc1304"/>
      <w:bookmarkStart w:id="957" w:name="_Toc32479"/>
      <w:bookmarkStart w:id="958" w:name="_Toc31794"/>
      <w:r>
        <w:rPr>
          <w:rFonts w:hint="eastAsia" w:ascii="黑体" w:hAnsi="黑体" w:eastAsia="黑体" w:cs="黑体"/>
          <w:b w:val="0"/>
          <w:bCs w:val="0"/>
          <w:color w:val="auto"/>
          <w:highlight w:val="none"/>
        </w:rPr>
        <w:t>第三部分  投标方案</w:t>
      </w:r>
      <w:bookmarkEnd w:id="949"/>
      <w:bookmarkEnd w:id="950"/>
      <w:bookmarkEnd w:id="951"/>
      <w:bookmarkEnd w:id="952"/>
      <w:bookmarkEnd w:id="953"/>
      <w:bookmarkEnd w:id="954"/>
      <w:bookmarkEnd w:id="955"/>
      <w:bookmarkEnd w:id="956"/>
      <w:bookmarkEnd w:id="957"/>
      <w:bookmarkEnd w:id="958"/>
    </w:p>
    <w:p>
      <w:pPr>
        <w:pStyle w:val="41"/>
        <w:jc w:val="both"/>
        <w:outlineLvl w:val="2"/>
        <w:rPr>
          <w:rFonts w:ascii="仿宋" w:hAnsi="仿宋" w:eastAsia="仿宋" w:cs="Times New Roman"/>
          <w:color w:val="auto"/>
          <w:highlight w:val="none"/>
        </w:rPr>
      </w:pPr>
      <w:bookmarkStart w:id="959" w:name="_Toc26684"/>
      <w:bookmarkStart w:id="960" w:name="_Toc18774"/>
      <w:bookmarkStart w:id="961" w:name="_Toc28654"/>
      <w:bookmarkStart w:id="962" w:name="_Toc10558"/>
      <w:bookmarkStart w:id="963" w:name="_Toc22283"/>
      <w:bookmarkStart w:id="964" w:name="_Toc2323"/>
      <w:bookmarkStart w:id="965" w:name="_Toc11480"/>
      <w:bookmarkStart w:id="966" w:name="_Toc5596"/>
      <w:bookmarkStart w:id="967" w:name="_Toc30676"/>
      <w:bookmarkStart w:id="968" w:name="_Toc32512"/>
      <w:bookmarkStart w:id="969" w:name="_Toc23944"/>
      <w:bookmarkStart w:id="970" w:name="_Toc28418"/>
      <w:bookmarkStart w:id="971" w:name="_Toc9535"/>
      <w:bookmarkStart w:id="972" w:name="_Toc26478"/>
      <w:bookmarkStart w:id="973" w:name="_Toc11877"/>
      <w:bookmarkStart w:id="974" w:name="_Toc22123"/>
      <w:bookmarkStart w:id="975" w:name="_Toc27714"/>
      <w:bookmarkStart w:id="976" w:name="_Toc31882"/>
      <w:bookmarkStart w:id="977" w:name="_Toc21184"/>
      <w:bookmarkStart w:id="978" w:name="_Toc9566"/>
      <w:bookmarkStart w:id="979" w:name="_Toc4666"/>
      <w:bookmarkStart w:id="980" w:name="_Toc9795"/>
      <w:bookmarkStart w:id="981" w:name="_Toc7814"/>
      <w:r>
        <w:rPr>
          <w:rFonts w:hint="eastAsia" w:ascii="仿宋" w:hAnsi="仿宋" w:eastAsia="仿宋" w:cs="仿宋"/>
          <w:color w:val="auto"/>
          <w:highlight w:val="none"/>
        </w:rPr>
        <w:t>一、投标人性质及概况</w:t>
      </w:r>
      <w:bookmarkEnd w:id="959"/>
      <w:bookmarkEnd w:id="960"/>
      <w:bookmarkEnd w:id="961"/>
      <w:bookmarkEnd w:id="962"/>
      <w:bookmarkEnd w:id="963"/>
      <w:bookmarkEnd w:id="964"/>
    </w:p>
    <w:p>
      <w:pPr>
        <w:spacing w:line="500" w:lineRule="exact"/>
        <w:ind w:firstLine="566" w:firstLineChars="200"/>
        <w:jc w:val="left"/>
        <w:rPr>
          <w:rFonts w:cs="Times New Roman"/>
          <w:b/>
          <w:bCs/>
          <w:color w:val="auto"/>
          <w:highlight w:val="none"/>
        </w:rPr>
      </w:pPr>
      <w:r>
        <w:rPr>
          <w:rFonts w:hint="eastAsia" w:cs="华文仿宋"/>
          <w:b/>
          <w:bCs/>
          <w:color w:val="auto"/>
          <w:highlight w:val="none"/>
        </w:rPr>
        <w:t>（一）投标人性质</w:t>
      </w:r>
    </w:p>
    <w:p>
      <w:pPr>
        <w:spacing w:line="500" w:lineRule="exact"/>
        <w:ind w:firstLine="566" w:firstLineChars="200"/>
        <w:rPr>
          <w:color w:val="auto"/>
          <w:highlight w:val="none"/>
        </w:rPr>
      </w:pPr>
      <w:r>
        <w:rPr>
          <w:rFonts w:hint="eastAsia"/>
          <w:color w:val="auto"/>
          <w:highlight w:val="none"/>
        </w:rPr>
        <w:t>本项目采购标的对应的中小企业划分标准所属行业为</w:t>
      </w:r>
      <w:r>
        <w:rPr>
          <w:rFonts w:hint="eastAsia"/>
          <w:b/>
          <w:bCs/>
          <w:color w:val="auto"/>
          <w:highlight w:val="none"/>
          <w:u w:val="single"/>
        </w:rPr>
        <w:t>工业</w:t>
      </w:r>
      <w:r>
        <w:rPr>
          <w:rFonts w:hint="eastAsia"/>
          <w:color w:val="auto"/>
          <w:highlight w:val="none"/>
        </w:rPr>
        <w:t>。</w:t>
      </w:r>
    </w:p>
    <w:p>
      <w:pPr>
        <w:pStyle w:val="42"/>
        <w:spacing w:line="500" w:lineRule="exact"/>
        <w:ind w:firstLine="566" w:firstLineChars="200"/>
        <w:jc w:val="both"/>
        <w:outlineLvl w:val="9"/>
        <w:rPr>
          <w:rFonts w:cs="华文仿宋"/>
          <w:b w:val="0"/>
          <w:bCs w:val="0"/>
          <w:color w:val="auto"/>
          <w:sz w:val="28"/>
          <w:szCs w:val="28"/>
          <w:highlight w:val="none"/>
        </w:rPr>
      </w:pPr>
      <w:bookmarkStart w:id="982" w:name="_Toc10647"/>
      <w:bookmarkStart w:id="983" w:name="_Toc26030"/>
      <w:bookmarkStart w:id="984" w:name="_Toc13874"/>
      <w:bookmarkStart w:id="985" w:name="_Toc14293"/>
      <w:bookmarkStart w:id="986" w:name="_Toc25473"/>
      <w:bookmarkStart w:id="987" w:name="_Toc1257"/>
      <w:bookmarkStart w:id="988" w:name="_Toc1789"/>
      <w:bookmarkStart w:id="989" w:name="_Toc14796"/>
      <w:bookmarkStart w:id="990" w:name="_Toc3414"/>
      <w:bookmarkStart w:id="991" w:name="_Toc4808"/>
      <w:bookmarkStart w:id="992" w:name="_Toc23652"/>
      <w:bookmarkStart w:id="993" w:name="_Toc22967"/>
      <w:bookmarkStart w:id="994" w:name="_Toc1655"/>
      <w:r>
        <w:rPr>
          <w:rFonts w:hint="eastAsia" w:cs="华文仿宋"/>
          <w:b w:val="0"/>
          <w:bCs w:val="0"/>
          <w:color w:val="auto"/>
          <w:sz w:val="28"/>
          <w:szCs w:val="28"/>
          <w:highlight w:val="none"/>
        </w:rPr>
        <w:t>投标人所投产品的制造商为中型、小型、微型企业的，提供《中小企业声明函》，且中型、小型、微型企业的划分标准所属行业为</w:t>
      </w:r>
      <w:r>
        <w:rPr>
          <w:rFonts w:hint="eastAsia" w:ascii="华文仿宋" w:hAnsi="华文仿宋" w:cs="华文仿宋"/>
          <w:color w:val="auto"/>
          <w:sz w:val="28"/>
          <w:szCs w:val="28"/>
          <w:highlight w:val="none"/>
          <w:u w:val="single"/>
        </w:rPr>
        <w:t>工业</w:t>
      </w:r>
      <w:r>
        <w:rPr>
          <w:rFonts w:hint="eastAsia" w:cs="华文仿宋"/>
          <w:b w:val="0"/>
          <w:bCs w:val="0"/>
          <w:color w:val="auto"/>
          <w:sz w:val="28"/>
          <w:szCs w:val="28"/>
          <w:highlight w:val="none"/>
        </w:rPr>
        <w:t>；投标人所投产品的制造商为监狱企业的，应提供监狱企业的证明文件；投标人所投产品的制造商为残疾人福利性单位的，应提供《残疾人福利性单位声明函》。未提供相关证明文件的不能享受招标文件规定的价格扣除。</w:t>
      </w:r>
      <w:bookmarkEnd w:id="982"/>
      <w:bookmarkEnd w:id="983"/>
      <w:bookmarkEnd w:id="984"/>
      <w:bookmarkEnd w:id="985"/>
      <w:bookmarkEnd w:id="986"/>
      <w:bookmarkEnd w:id="987"/>
      <w:bookmarkEnd w:id="988"/>
      <w:bookmarkEnd w:id="989"/>
      <w:bookmarkEnd w:id="990"/>
      <w:bookmarkEnd w:id="991"/>
      <w:bookmarkEnd w:id="992"/>
      <w:bookmarkEnd w:id="993"/>
      <w:bookmarkEnd w:id="994"/>
    </w:p>
    <w:p>
      <w:pPr>
        <w:spacing w:line="500" w:lineRule="exact"/>
        <w:ind w:firstLine="566" w:firstLineChars="200"/>
        <w:rPr>
          <w:rFonts w:cs="Times New Roman"/>
          <w:color w:val="auto"/>
          <w:highlight w:val="none"/>
        </w:rPr>
      </w:pPr>
      <w:r>
        <w:rPr>
          <w:rFonts w:hint="eastAsia" w:cs="华文仿宋"/>
          <w:color w:val="auto"/>
          <w:highlight w:val="none"/>
        </w:rPr>
        <w:t>招标文件允许联合体投标的，组成联合体的投标人应提供《联合体协议》及《中小企业声明函》；招标文件允许分包的，拟分包的投标人提供《分包意向协议》及《中小企业声明函》，满足</w:t>
      </w:r>
      <w:r>
        <w:rPr>
          <w:rFonts w:hint="eastAsia" w:ascii="华文仿宋" w:hAnsi="华文仿宋" w:cs="华文仿宋"/>
          <w:color w:val="auto"/>
          <w:highlight w:val="none"/>
        </w:rPr>
        <w:t>第二章《投标人须知》（五）落实的政府采购政策要求的，将</w:t>
      </w:r>
      <w:r>
        <w:rPr>
          <w:rFonts w:hint="eastAsia" w:cs="华文仿宋"/>
          <w:color w:val="auto"/>
          <w:highlight w:val="none"/>
        </w:rPr>
        <w:t>享受招标文件规定的价格扣除。</w:t>
      </w:r>
    </w:p>
    <w:p>
      <w:pPr>
        <w:spacing w:line="500" w:lineRule="exact"/>
        <w:ind w:firstLine="566" w:firstLineChars="200"/>
        <w:rPr>
          <w:rFonts w:cs="华文仿宋"/>
          <w:b/>
          <w:bCs/>
          <w:color w:val="auto"/>
          <w:highlight w:val="none"/>
        </w:rPr>
      </w:pPr>
      <w:r>
        <w:rPr>
          <w:rFonts w:hint="eastAsia" w:cs="华文仿宋"/>
          <w:b/>
          <w:bCs/>
          <w:color w:val="auto"/>
          <w:highlight w:val="none"/>
        </w:rPr>
        <w:t>非中小企业、残疾人福利性单位、监狱企业，也无联合体及分包情况的，可不提供此项内容。</w:t>
      </w:r>
    </w:p>
    <w:p>
      <w:pPr>
        <w:spacing w:line="500" w:lineRule="exact"/>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各投标人可根据企业从业人员、营业收入、资产总额等指标，按照招标文件约定的采购标的对应的中小企业划分标准所属行业和《中小企业划型标准规定》（工信部联企业〔2011〕300号）进行自测，判断属于中型、小型还是微型企业。也可在微信小程序中搜索中小企业规模类型自测小程序进行测算。</w:t>
      </w:r>
    </w:p>
    <w:p>
      <w:pPr>
        <w:spacing w:line="500" w:lineRule="exact"/>
        <w:ind w:firstLine="426" w:firstLineChars="200"/>
        <w:rPr>
          <w:rFonts w:ascii="宋体" w:hAnsi="宋体" w:eastAsia="宋体" w:cs="宋体"/>
          <w:color w:val="auto"/>
          <w:sz w:val="21"/>
          <w:szCs w:val="21"/>
          <w:highlight w:val="none"/>
        </w:rPr>
      </w:pPr>
    </w:p>
    <w:p>
      <w:pPr>
        <w:spacing w:line="500" w:lineRule="exact"/>
        <w:ind w:firstLine="566" w:firstLineChars="200"/>
        <w:rPr>
          <w:rFonts w:cs="Times New Roman"/>
          <w:b/>
          <w:bCs/>
          <w:color w:val="auto"/>
          <w:highlight w:val="none"/>
        </w:rPr>
      </w:pPr>
      <w:r>
        <w:rPr>
          <w:rFonts w:hint="eastAsia" w:cs="华文仿宋"/>
          <w:b/>
          <w:bCs/>
          <w:color w:val="auto"/>
          <w:highlight w:val="none"/>
        </w:rPr>
        <w:t>特别提醒：中标人享受中小企业扶持政策的，中标</w:t>
      </w:r>
      <w:r>
        <w:rPr>
          <w:rFonts w:hint="eastAsia" w:cs="华文仿宋"/>
          <w:b/>
          <w:bCs/>
          <w:color w:val="auto"/>
          <w:highlight w:val="none"/>
          <w:lang w:eastAsia="zh-CN"/>
        </w:rPr>
        <w:t>人</w:t>
      </w:r>
      <w:r>
        <w:rPr>
          <w:rFonts w:hint="eastAsia" w:cs="华文仿宋"/>
          <w:b/>
          <w:bCs/>
          <w:color w:val="auto"/>
          <w:highlight w:val="none"/>
        </w:rPr>
        <w:t>的《中小企业声明函》、</w:t>
      </w:r>
      <w:r>
        <w:rPr>
          <w:rFonts w:hint="eastAsia" w:ascii="华文仿宋" w:hAnsi="华文仿宋" w:cs="华文仿宋"/>
          <w:b/>
          <w:bCs/>
          <w:color w:val="auto"/>
          <w:highlight w:val="none"/>
        </w:rPr>
        <w:t>《残疾人福利性单位声明函》</w:t>
      </w:r>
      <w:r>
        <w:rPr>
          <w:rFonts w:hint="eastAsia" w:cs="华文仿宋"/>
          <w:b/>
          <w:bCs/>
          <w:color w:val="auto"/>
          <w:highlight w:val="none"/>
        </w:rPr>
        <w:t>或监狱企业证明文件将随中标结果公告一同公布，接受社会监督。</w:t>
      </w:r>
    </w:p>
    <w:p>
      <w:pPr>
        <w:spacing w:before="190" w:beforeLines="50" w:after="190" w:afterLines="50" w:line="500" w:lineRule="exact"/>
        <w:jc w:val="center"/>
        <w:rPr>
          <w:rFonts w:ascii="华文仿宋" w:hAnsi="华文仿宋" w:cs="华文仿宋"/>
          <w:b/>
          <w:color w:val="auto"/>
          <w:kern w:val="0"/>
          <w:highlight w:val="none"/>
        </w:rPr>
      </w:pPr>
      <w:r>
        <w:rPr>
          <w:rFonts w:hint="eastAsia" w:ascii="华文仿宋" w:hAnsi="华文仿宋" w:cs="华文仿宋"/>
          <w:b/>
          <w:color w:val="auto"/>
          <w:kern w:val="0"/>
          <w:highlight w:val="none"/>
        </w:rPr>
        <w:br w:type="page"/>
      </w:r>
      <w:r>
        <w:rPr>
          <w:rFonts w:hint="eastAsia" w:ascii="华文仿宋" w:hAnsi="华文仿宋" w:cs="华文仿宋"/>
          <w:b/>
          <w:color w:val="auto"/>
          <w:kern w:val="0"/>
          <w:highlight w:val="none"/>
        </w:rPr>
        <w:t>中小企业声明函</w:t>
      </w:r>
    </w:p>
    <w:p>
      <w:pPr>
        <w:spacing w:line="44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kern w:val="0"/>
          <w:highlight w:val="none"/>
        </w:rPr>
        <w:t>本公司郑重声明，根据《政府采购促进中小企业发展管理办法》（财库</w:t>
      </w:r>
      <w:r>
        <w:rPr>
          <w:rFonts w:hint="eastAsia" w:ascii="仿宋" w:hAnsi="仿宋" w:eastAsia="仿宋" w:cs="仿宋"/>
          <w:color w:val="auto"/>
          <w:kern w:val="0"/>
          <w:highlight w:val="none"/>
        </w:rPr>
        <w:t>﹝2020﹞46</w:t>
      </w:r>
      <w:r>
        <w:rPr>
          <w:rFonts w:hint="eastAsia" w:ascii="华文仿宋" w:hAnsi="华文仿宋" w:cs="华文仿宋"/>
          <w:color w:val="auto"/>
          <w:kern w:val="0"/>
          <w:highlight w:val="none"/>
        </w:rPr>
        <w:t>号）的规定，本公司参加</w:t>
      </w:r>
      <w:r>
        <w:rPr>
          <w:rFonts w:hint="eastAsia" w:ascii="华文仿宋" w:hAnsi="华文仿宋" w:cs="华文仿宋"/>
          <w:color w:val="auto"/>
          <w:kern w:val="0"/>
          <w:highlight w:val="none"/>
          <w:u w:val="single"/>
        </w:rPr>
        <w:t>陕西省省级单位政府采购中心</w:t>
      </w:r>
      <w:r>
        <w:rPr>
          <w:rFonts w:hint="eastAsia" w:ascii="华文仿宋" w:hAnsi="华文仿宋" w:cs="华文仿宋"/>
          <w:color w:val="auto"/>
          <w:kern w:val="0"/>
          <w:highlight w:val="none"/>
        </w:rPr>
        <w:t>组织的</w:t>
      </w:r>
      <w:r>
        <w:rPr>
          <w:rFonts w:hint="eastAsia" w:ascii="华文仿宋" w:hAnsi="华文仿宋" w:cs="华文仿宋"/>
          <w:color w:val="auto"/>
          <w:kern w:val="0"/>
          <w:highlight w:val="none"/>
          <w:u w:val="single"/>
        </w:rPr>
        <w:t>（项目名称）</w:t>
      </w:r>
      <w:r>
        <w:rPr>
          <w:rFonts w:hint="eastAsia" w:ascii="华文仿宋" w:hAnsi="华文仿宋" w:cs="华文仿宋"/>
          <w:color w:val="auto"/>
          <w:kern w:val="0"/>
          <w:highlight w:val="none"/>
        </w:rPr>
        <w:t>采购活动，提供的货物全部由符合政策要求的中小企业制造。相关企业的具体情况如下：</w:t>
      </w:r>
    </w:p>
    <w:p>
      <w:pPr>
        <w:spacing w:line="44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1、</w:t>
      </w:r>
      <w:r>
        <w:rPr>
          <w:rFonts w:hint="eastAsia" w:ascii="华文仿宋" w:hAnsi="华文仿宋" w:cs="华文仿宋"/>
          <w:color w:val="auto"/>
          <w:kern w:val="0"/>
          <w:highlight w:val="none"/>
          <w:u w:val="single"/>
        </w:rPr>
        <w:t>（标的名称）</w:t>
      </w:r>
      <w:r>
        <w:rPr>
          <w:rFonts w:hint="eastAsia" w:ascii="华文仿宋" w:hAnsi="华文仿宋" w:cs="华文仿宋"/>
          <w:color w:val="auto"/>
          <w:kern w:val="0"/>
          <w:highlight w:val="none"/>
        </w:rPr>
        <w:t>，属于</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（招标文件中明确的所属行业）；制造商为</w:t>
      </w:r>
      <w:r>
        <w:rPr>
          <w:rFonts w:hint="eastAsia" w:ascii="华文仿宋" w:hAnsi="华文仿宋" w:cs="华文仿宋"/>
          <w:color w:val="auto"/>
          <w:kern w:val="0"/>
          <w:highlight w:val="none"/>
          <w:u w:val="single"/>
        </w:rPr>
        <w:t>（企业名称）</w:t>
      </w:r>
      <w:r>
        <w:rPr>
          <w:rFonts w:hint="eastAsia" w:ascii="华文仿宋" w:hAnsi="华文仿宋" w:cs="华文仿宋"/>
          <w:color w:val="auto"/>
          <w:kern w:val="0"/>
          <w:highlight w:val="none"/>
        </w:rPr>
        <w:t>，从业人员</w:t>
      </w:r>
      <w:r>
        <w:rPr>
          <w:rFonts w:hint="eastAsia" w:ascii="华文仿宋" w:hAnsi="华文仿宋" w:cs="华文仿宋"/>
          <w:color w:val="auto"/>
          <w:highlight w:val="none"/>
          <w:u w:val="single"/>
        </w:rPr>
        <w:t xml:space="preserve">     </w:t>
      </w:r>
      <w:r>
        <w:rPr>
          <w:rFonts w:hint="eastAsia" w:ascii="华文仿宋" w:hAnsi="华文仿宋" w:cs="华文仿宋"/>
          <w:color w:val="auto"/>
          <w:kern w:val="0"/>
          <w:highlight w:val="none"/>
        </w:rPr>
        <w:t>人，营业收入为</w:t>
      </w:r>
      <w:r>
        <w:rPr>
          <w:rFonts w:hint="eastAsia" w:ascii="华文仿宋" w:hAnsi="华文仿宋" w:cs="华文仿宋"/>
          <w:color w:val="auto"/>
          <w:highlight w:val="none"/>
          <w:u w:val="single"/>
        </w:rPr>
        <w:t xml:space="preserve">     </w:t>
      </w:r>
      <w:r>
        <w:rPr>
          <w:rFonts w:hint="eastAsia" w:ascii="华文仿宋" w:hAnsi="华文仿宋" w:cs="华文仿宋"/>
          <w:color w:val="auto"/>
          <w:kern w:val="0"/>
          <w:highlight w:val="none"/>
        </w:rPr>
        <w:t>万元，资产总额为</w:t>
      </w:r>
      <w:r>
        <w:rPr>
          <w:rFonts w:hint="eastAsia" w:ascii="华文仿宋" w:hAnsi="华文仿宋" w:cs="华文仿宋"/>
          <w:color w:val="auto"/>
          <w:highlight w:val="none"/>
          <w:u w:val="single"/>
        </w:rPr>
        <w:t xml:space="preserve">    </w:t>
      </w:r>
      <w:r>
        <w:rPr>
          <w:rFonts w:hint="eastAsia" w:ascii="华文仿宋" w:hAnsi="华文仿宋" w:cs="华文仿宋"/>
          <w:color w:val="auto"/>
          <w:kern w:val="0"/>
          <w:highlight w:val="none"/>
        </w:rPr>
        <w:t>万元，属于</w:t>
      </w:r>
      <w:r>
        <w:rPr>
          <w:rFonts w:hint="eastAsia" w:ascii="华文仿宋" w:hAnsi="华文仿宋" w:cs="华文仿宋"/>
          <w:color w:val="auto"/>
          <w:highlight w:val="none"/>
          <w:u w:val="single"/>
        </w:rPr>
        <w:t xml:space="preserve">      </w:t>
      </w:r>
      <w:r>
        <w:rPr>
          <w:rFonts w:hint="eastAsia" w:ascii="华文仿宋" w:hAnsi="华文仿宋" w:cs="华文仿宋"/>
          <w:color w:val="auto"/>
          <w:kern w:val="0"/>
          <w:highlight w:val="none"/>
        </w:rPr>
        <w:t>（小型企业、微型企业）。</w:t>
      </w:r>
    </w:p>
    <w:p>
      <w:pPr>
        <w:spacing w:line="44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2、</w:t>
      </w:r>
      <w:r>
        <w:rPr>
          <w:rFonts w:hint="eastAsia" w:ascii="华文仿宋" w:hAnsi="华文仿宋" w:cs="华文仿宋"/>
          <w:color w:val="auto"/>
          <w:kern w:val="0"/>
          <w:highlight w:val="none"/>
          <w:u w:val="single"/>
        </w:rPr>
        <w:t>（标的名称）</w:t>
      </w:r>
      <w:r>
        <w:rPr>
          <w:rFonts w:hint="eastAsia" w:ascii="华文仿宋" w:hAnsi="华文仿宋" w:cs="华文仿宋"/>
          <w:color w:val="auto"/>
          <w:kern w:val="0"/>
          <w:highlight w:val="none"/>
        </w:rPr>
        <w:t>，属于</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招标文件中明确的所属行业）；制造商为</w:t>
      </w:r>
      <w:r>
        <w:rPr>
          <w:rFonts w:hint="eastAsia" w:ascii="华文仿宋" w:hAnsi="华文仿宋" w:cs="华文仿宋"/>
          <w:color w:val="auto"/>
          <w:kern w:val="0"/>
          <w:highlight w:val="none"/>
          <w:u w:val="single"/>
        </w:rPr>
        <w:t>（企业名称）</w:t>
      </w:r>
      <w:r>
        <w:rPr>
          <w:rFonts w:hint="eastAsia" w:ascii="华文仿宋" w:hAnsi="华文仿宋" w:cs="华文仿宋"/>
          <w:color w:val="auto"/>
          <w:kern w:val="0"/>
          <w:highlight w:val="none"/>
        </w:rPr>
        <w:t>，从业人员</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人，营业收入为</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万元，资产总额为</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万元，属于</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（小型企业、微型企业）。</w:t>
      </w:r>
    </w:p>
    <w:p>
      <w:pPr>
        <w:pStyle w:val="14"/>
        <w:spacing w:line="440" w:lineRule="exact"/>
        <w:ind w:firstLine="566" w:firstLineChars="200"/>
        <w:rPr>
          <w:color w:val="auto"/>
          <w:highlight w:val="none"/>
        </w:rPr>
      </w:pPr>
      <w:r>
        <w:rPr>
          <w:rFonts w:hint="eastAsia" w:ascii="华文仿宋" w:hAnsi="华文仿宋" w:cs="华文仿宋"/>
          <w:color w:val="auto"/>
          <w:sz w:val="28"/>
          <w:szCs w:val="28"/>
          <w:highlight w:val="none"/>
        </w:rPr>
        <w:t>3、....</w:t>
      </w:r>
    </w:p>
    <w:p>
      <w:pPr>
        <w:spacing w:line="44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以上企业，不属于大企业的分支机构，不存在控股股东为大企业的情形，也不存在与大企业的负责人为同一人的情形。</w:t>
      </w:r>
    </w:p>
    <w:p>
      <w:pPr>
        <w:spacing w:line="44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kern w:val="0"/>
          <w:highlight w:val="none"/>
        </w:rPr>
        <w:t>本企业对上述声明内容的真实性负责。如有虚假，将依法承担相应责任。</w:t>
      </w:r>
    </w:p>
    <w:p>
      <w:pPr>
        <w:pStyle w:val="2"/>
        <w:spacing w:after="190" w:line="400" w:lineRule="exact"/>
        <w:ind w:firstLine="4811" w:firstLineChars="1700"/>
        <w:rPr>
          <w:rFonts w:ascii="仿宋" w:hAnsi="仿宋" w:eastAsia="仿宋" w:cs="Times New Roman"/>
          <w:color w:val="auto"/>
          <w:highlight w:val="none"/>
        </w:rPr>
      </w:pPr>
      <w:r>
        <w:rPr>
          <w:rFonts w:hint="eastAsia" w:ascii="华文仿宋" w:hAnsi="华文仿宋" w:cs="华文仿宋"/>
          <w:color w:val="auto"/>
          <w:sz w:val="28"/>
          <w:szCs w:val="28"/>
          <w:highlight w:val="none"/>
        </w:rPr>
        <w:t>投标人：</w:t>
      </w:r>
      <w:r>
        <w:rPr>
          <w:rFonts w:hint="eastAsia" w:ascii="华文仿宋" w:hAnsi="华文仿宋" w:cs="华文仿宋"/>
          <w:color w:val="auto"/>
          <w:sz w:val="28"/>
          <w:szCs w:val="28"/>
          <w:highlight w:val="none"/>
          <w:u w:val="single"/>
        </w:rPr>
        <w:t>名称</w:t>
      </w:r>
      <w:r>
        <w:rPr>
          <w:rFonts w:hint="eastAsia" w:ascii="华文仿宋" w:hAnsi="华文仿宋" w:cs="华文仿宋"/>
          <w:color w:val="auto"/>
          <w:sz w:val="28"/>
          <w:szCs w:val="28"/>
          <w:highlight w:val="none"/>
        </w:rPr>
        <w:t>（加盖公章）</w:t>
      </w:r>
      <w:r>
        <w:rPr>
          <w:rFonts w:ascii="仿宋" w:hAnsi="仿宋" w:eastAsia="仿宋" w:cs="Times New Roman"/>
          <w:color w:val="auto"/>
          <w:highlight w:val="none"/>
        </w:rPr>
        <w:tab/>
      </w:r>
    </w:p>
    <w:p>
      <w:pPr>
        <w:ind w:firstLine="5094" w:firstLineChars="1800"/>
        <w:jc w:val="left"/>
        <w:rPr>
          <w:color w:val="auto"/>
          <w:highlight w:val="none"/>
        </w:rPr>
      </w:pPr>
      <w:r>
        <w:rPr>
          <w:rFonts w:hint="eastAsia" w:ascii="华文仿宋" w:hAnsi="华文仿宋" w:cs="华文仿宋"/>
          <w:color w:val="auto"/>
          <w:highlight w:val="none"/>
        </w:rPr>
        <w:t>日期：　年　月　日</w:t>
      </w:r>
    </w:p>
    <w:p>
      <w:pPr>
        <w:spacing w:line="500" w:lineRule="exact"/>
        <w:ind w:firstLine="5660" w:firstLineChars="2000"/>
        <w:jc w:val="left"/>
        <w:rPr>
          <w:rFonts w:ascii="华文仿宋" w:hAnsi="华文仿宋" w:cs="华文仿宋"/>
          <w:color w:val="auto"/>
          <w:highlight w:val="none"/>
        </w:rPr>
      </w:pPr>
    </w:p>
    <w:p>
      <w:pPr>
        <w:tabs>
          <w:tab w:val="left" w:pos="5670"/>
        </w:tabs>
        <w:spacing w:line="360" w:lineRule="exact"/>
        <w:ind w:firstLine="426" w:firstLineChars="200"/>
        <w:jc w:val="left"/>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pStyle w:val="22"/>
        <w:spacing w:afterLines="0" w:line="36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pPr>
        <w:pStyle w:val="22"/>
        <w:spacing w:afterLines="0" w:line="360" w:lineRule="exact"/>
        <w:ind w:firstLine="426"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若投标人所投产品中不是由小微企业制造，则不能享受相应的价格扣除，同时也不用填写此表。</w:t>
      </w:r>
    </w:p>
    <w:p>
      <w:pPr>
        <w:tabs>
          <w:tab w:val="left" w:pos="5670"/>
        </w:tabs>
        <w:spacing w:line="36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根据《工业和信息化部、国家统计局、国家发展和改革委员会、财政部关于印发中小企业划型标准规定的通知》（工信部联企业[2011]300号），本项目所属行业中小企业划型标准具体如下：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5670"/>
        </w:tabs>
        <w:spacing w:after="190" w:afterLines="50" w:line="500" w:lineRule="exact"/>
        <w:jc w:val="center"/>
        <w:rPr>
          <w:rFonts w:cs="Times New Roman"/>
          <w:b/>
          <w:bCs/>
          <w:color w:val="auto"/>
          <w:sz w:val="30"/>
          <w:szCs w:val="30"/>
          <w:highlight w:val="none"/>
        </w:rPr>
      </w:pPr>
      <w:r>
        <w:rPr>
          <w:rFonts w:hint="eastAsia" w:cs="华文仿宋"/>
          <w:b/>
          <w:bCs/>
          <w:color w:val="auto"/>
          <w:sz w:val="30"/>
          <w:szCs w:val="30"/>
          <w:highlight w:val="none"/>
        </w:rPr>
        <w:br w:type="page"/>
      </w:r>
      <w:r>
        <w:rPr>
          <w:rFonts w:hint="eastAsia" w:cs="华文仿宋"/>
          <w:b/>
          <w:bCs/>
          <w:color w:val="auto"/>
          <w:sz w:val="30"/>
          <w:szCs w:val="30"/>
          <w:highlight w:val="none"/>
        </w:rPr>
        <w:t>监狱企业证明函</w:t>
      </w:r>
    </w:p>
    <w:p>
      <w:pPr>
        <w:spacing w:line="500" w:lineRule="exact"/>
        <w:ind w:firstLine="566" w:firstLineChars="200"/>
        <w:jc w:val="left"/>
        <w:rPr>
          <w:rFonts w:cs="Times New Roman"/>
          <w:color w:val="auto"/>
          <w:highlight w:val="none"/>
        </w:rPr>
      </w:pPr>
      <w:r>
        <w:rPr>
          <w:rFonts w:hint="eastAsia" w:cs="华文仿宋"/>
          <w:color w:val="auto"/>
          <w:highlight w:val="none"/>
        </w:rPr>
        <w:t>根据财政部、司法部《关于政府采购支持监狱企业发展有关问题的通知》（财库</w:t>
      </w:r>
      <w:r>
        <w:rPr>
          <w:rFonts w:hint="eastAsia" w:ascii="仿宋" w:hAnsi="仿宋" w:eastAsia="仿宋" w:cs="仿宋"/>
          <w:color w:val="auto"/>
          <w:highlight w:val="none"/>
        </w:rPr>
        <w:t>〔</w:t>
      </w:r>
      <w:r>
        <w:rPr>
          <w:rFonts w:ascii="仿宋" w:hAnsi="仿宋" w:eastAsia="仿宋" w:cs="仿宋"/>
          <w:color w:val="auto"/>
          <w:highlight w:val="none"/>
        </w:rPr>
        <w:t>2014</w:t>
      </w:r>
      <w:r>
        <w:rPr>
          <w:rFonts w:hint="eastAsia" w:ascii="仿宋" w:hAnsi="仿宋" w:eastAsia="仿宋" w:cs="仿宋"/>
          <w:color w:val="auto"/>
          <w:highlight w:val="none"/>
        </w:rPr>
        <w:t>〕</w:t>
      </w:r>
      <w:r>
        <w:rPr>
          <w:rFonts w:ascii="仿宋" w:hAnsi="仿宋" w:eastAsia="仿宋" w:cs="仿宋"/>
          <w:color w:val="auto"/>
          <w:highlight w:val="none"/>
        </w:rPr>
        <w:t>68</w:t>
      </w:r>
      <w:r>
        <w:rPr>
          <w:rFonts w:hint="eastAsia" w:cs="华文仿宋"/>
          <w:color w:val="auto"/>
          <w:highlight w:val="none"/>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66" w:firstLineChars="200"/>
        <w:jc w:val="left"/>
        <w:rPr>
          <w:rFonts w:hint="eastAsia" w:cs="华文仿宋"/>
          <w:color w:val="auto"/>
          <w:highlight w:val="none"/>
        </w:rPr>
      </w:pPr>
      <w:r>
        <w:rPr>
          <w:rFonts w:hint="eastAsia" w:cs="华文仿宋"/>
          <w:color w:val="auto"/>
          <w:highlight w:val="none"/>
        </w:rPr>
        <w:t>监狱企业参加政府采购活动时，应当提供由省级以上监狱管理局、戒毒管理局（含新疆生产建设兵团）出具的属于监狱企业的证明文件。</w:t>
      </w:r>
    </w:p>
    <w:p>
      <w:pPr>
        <w:spacing w:line="500" w:lineRule="exact"/>
        <w:ind w:firstLine="566" w:firstLineChars="200"/>
        <w:jc w:val="center"/>
        <w:rPr>
          <w:rFonts w:cs="Times New Roman"/>
          <w:b/>
          <w:bCs/>
          <w:color w:val="auto"/>
          <w:sz w:val="30"/>
          <w:szCs w:val="30"/>
          <w:highlight w:val="none"/>
        </w:rPr>
      </w:pPr>
      <w:r>
        <w:rPr>
          <w:rFonts w:hint="eastAsia" w:cs="华文仿宋"/>
          <w:color w:val="auto"/>
          <w:highlight w:val="none"/>
        </w:rPr>
        <w:br w:type="page"/>
      </w:r>
      <w:r>
        <w:rPr>
          <w:rFonts w:hint="eastAsia" w:cs="华文仿宋"/>
          <w:b/>
          <w:bCs/>
          <w:color w:val="auto"/>
          <w:sz w:val="30"/>
          <w:szCs w:val="30"/>
          <w:highlight w:val="none"/>
        </w:rPr>
        <w:t>残疾人福利性单位声明函</w:t>
      </w:r>
      <w:r>
        <w:rPr>
          <w:rFonts w:hint="eastAsia"/>
          <w:b/>
          <w:color w:val="auto"/>
          <w:sz w:val="30"/>
          <w:szCs w:val="30"/>
          <w:highlight w:val="none"/>
        </w:rPr>
        <w:t>（格式）</w:t>
      </w:r>
    </w:p>
    <w:p>
      <w:pPr>
        <w:spacing w:line="500" w:lineRule="exact"/>
        <w:ind w:firstLine="566" w:firstLineChars="200"/>
        <w:jc w:val="left"/>
        <w:rPr>
          <w:rFonts w:cs="Times New Roman"/>
          <w:color w:val="auto"/>
          <w:highlight w:val="none"/>
        </w:rPr>
      </w:pPr>
      <w:r>
        <w:rPr>
          <w:rFonts w:hint="eastAsia" w:cs="华文仿宋"/>
          <w:color w:val="auto"/>
          <w:highlight w:val="none"/>
        </w:rPr>
        <w:t>本单位郑重声明，根据《财政部民政部中国残疾人联合会关于促进残疾人就业政府采购政策的通知》（财库</w:t>
      </w:r>
      <w:r>
        <w:rPr>
          <w:rFonts w:hint="eastAsia" w:ascii="仿宋" w:hAnsi="仿宋" w:eastAsia="仿宋" w:cs="仿宋"/>
          <w:color w:val="auto"/>
          <w:highlight w:val="none"/>
        </w:rPr>
        <w:t>〔</w:t>
      </w:r>
      <w:r>
        <w:rPr>
          <w:rFonts w:ascii="仿宋" w:hAnsi="仿宋" w:eastAsia="仿宋" w:cs="仿宋"/>
          <w:color w:val="auto"/>
          <w:highlight w:val="none"/>
        </w:rPr>
        <w:t>2017</w:t>
      </w:r>
      <w:r>
        <w:rPr>
          <w:rFonts w:hint="eastAsia" w:ascii="仿宋" w:hAnsi="仿宋" w:eastAsia="仿宋" w:cs="仿宋"/>
          <w:color w:val="auto"/>
          <w:highlight w:val="none"/>
        </w:rPr>
        <w:t>〕</w:t>
      </w:r>
      <w:r>
        <w:rPr>
          <w:rFonts w:ascii="仿宋" w:hAnsi="仿宋" w:eastAsia="仿宋" w:cs="仿宋"/>
          <w:color w:val="auto"/>
          <w:highlight w:val="none"/>
        </w:rPr>
        <w:t>141</w:t>
      </w:r>
      <w:r>
        <w:rPr>
          <w:rFonts w:hint="eastAsia" w:cs="华文仿宋"/>
          <w:color w:val="auto"/>
          <w:highlight w:val="none"/>
        </w:rPr>
        <w:t>号）的规定，本单位为符合条件的残疾人福利性单位，且本单位参加</w:t>
      </w:r>
      <w:r>
        <w:rPr>
          <w:rFonts w:hint="eastAsia" w:cs="华文仿宋"/>
          <w:color w:val="auto"/>
          <w:highlight w:val="none"/>
          <w:u w:val="single"/>
        </w:rPr>
        <w:t>项目名称</w:t>
      </w:r>
      <w:r>
        <w:rPr>
          <w:rFonts w:hint="eastAsia" w:cs="华文仿宋"/>
          <w:color w:val="auto"/>
          <w:highlight w:val="none"/>
        </w:rPr>
        <w:t>（项目编号：</w:t>
      </w:r>
      <w:r>
        <w:rPr>
          <w:rFonts w:hint="eastAsia" w:ascii="华文仿宋" w:hAnsi="华文仿宋" w:cs="华文仿宋"/>
          <w:color w:val="auto"/>
          <w:highlight w:val="none"/>
          <w:u w:val="single"/>
        </w:rPr>
        <w:t xml:space="preserve">    </w:t>
      </w:r>
      <w:r>
        <w:rPr>
          <w:rFonts w:hint="eastAsia" w:cs="华文仿宋"/>
          <w:color w:val="auto"/>
          <w:highlight w:val="none"/>
        </w:rPr>
        <w:t>）</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w:t>
      </w:r>
      <w:r>
        <w:rPr>
          <w:rFonts w:hint="eastAsia" w:cs="华文仿宋"/>
          <w:color w:val="auto"/>
          <w:highlight w:val="none"/>
        </w:rPr>
        <w:t>采购活动提供本单位制造的货物（由本单位承担工程</w:t>
      </w:r>
      <w:r>
        <w:rPr>
          <w:color w:val="auto"/>
          <w:highlight w:val="none"/>
        </w:rPr>
        <w:t>/</w:t>
      </w:r>
      <w:r>
        <w:rPr>
          <w:rFonts w:hint="eastAsia" w:cs="华文仿宋"/>
          <w:color w:val="auto"/>
          <w:highlight w:val="none"/>
        </w:rPr>
        <w:t>提供服务），或者提供其他残疾人福利性单位制造的货物（不包括使用非残疾人福利性单位注册商标的货物）。</w:t>
      </w:r>
    </w:p>
    <w:p>
      <w:pPr>
        <w:spacing w:line="500" w:lineRule="exact"/>
        <w:ind w:firstLine="566" w:firstLineChars="200"/>
        <w:jc w:val="left"/>
        <w:rPr>
          <w:rFonts w:cs="Times New Roman"/>
          <w:color w:val="auto"/>
          <w:highlight w:val="none"/>
        </w:rPr>
      </w:pPr>
      <w:r>
        <w:rPr>
          <w:rFonts w:hint="eastAsia" w:cs="华文仿宋"/>
          <w:color w:val="auto"/>
          <w:highlight w:val="none"/>
        </w:rPr>
        <w:t>本单位对上述声明的真实性负责。如有虚假，将依法承担相应责任。</w:t>
      </w:r>
    </w:p>
    <w:p>
      <w:pPr>
        <w:spacing w:line="500" w:lineRule="exact"/>
        <w:ind w:firstLine="566" w:firstLineChars="200"/>
        <w:jc w:val="left"/>
        <w:rPr>
          <w:rFonts w:cs="Times New Roman"/>
          <w:color w:val="auto"/>
          <w:highlight w:val="none"/>
        </w:rPr>
      </w:pPr>
    </w:p>
    <w:p>
      <w:pPr>
        <w:tabs>
          <w:tab w:val="left" w:pos="5670"/>
        </w:tabs>
        <w:spacing w:line="500" w:lineRule="exact"/>
        <w:ind w:firstLine="5094" w:firstLineChars="1800"/>
        <w:jc w:val="left"/>
        <w:rPr>
          <w:rFonts w:cs="Times New Roman"/>
          <w:color w:val="auto"/>
          <w:highlight w:val="none"/>
        </w:rPr>
      </w:pPr>
      <w:r>
        <w:rPr>
          <w:rFonts w:hint="eastAsia" w:ascii="华文仿宋" w:hAnsi="华文仿宋" w:cs="华文仿宋"/>
          <w:color w:val="auto"/>
          <w:highlight w:val="none"/>
        </w:rPr>
        <w:t>投标人</w:t>
      </w:r>
      <w:r>
        <w:rPr>
          <w:rFonts w:hint="eastAsia" w:cs="华文仿宋"/>
          <w:color w:val="auto"/>
          <w:highlight w:val="none"/>
        </w:rPr>
        <w:t>：</w:t>
      </w:r>
      <w:r>
        <w:rPr>
          <w:rFonts w:hint="eastAsia" w:cs="华文仿宋"/>
          <w:color w:val="auto"/>
          <w:highlight w:val="none"/>
          <w:u w:val="single"/>
        </w:rPr>
        <w:t>名称</w:t>
      </w:r>
      <w:r>
        <w:rPr>
          <w:rFonts w:hint="eastAsia" w:cs="华文仿宋"/>
          <w:color w:val="auto"/>
          <w:highlight w:val="none"/>
        </w:rPr>
        <w:t>（加盖公章）</w:t>
      </w:r>
    </w:p>
    <w:p>
      <w:pPr>
        <w:tabs>
          <w:tab w:val="left" w:pos="5670"/>
        </w:tabs>
        <w:spacing w:line="500" w:lineRule="exact"/>
        <w:ind w:firstLine="5377" w:firstLineChars="1900"/>
        <w:jc w:val="left"/>
        <w:rPr>
          <w:rFonts w:cs="Times New Roman"/>
          <w:color w:val="auto"/>
          <w:highlight w:val="none"/>
        </w:rPr>
      </w:pPr>
      <w:r>
        <w:rPr>
          <w:rFonts w:hint="eastAsia" w:cs="华文仿宋"/>
          <w:color w:val="auto"/>
          <w:highlight w:val="none"/>
        </w:rPr>
        <w:t>日期：　　年　月　日</w:t>
      </w:r>
    </w:p>
    <w:p>
      <w:pPr>
        <w:tabs>
          <w:tab w:val="left" w:pos="5670"/>
        </w:tabs>
        <w:spacing w:line="240" w:lineRule="auto"/>
        <w:ind w:firstLine="566"/>
        <w:jc w:val="left"/>
        <w:rPr>
          <w:rFonts w:ascii="宋体" w:hAnsi="宋体" w:eastAsia="宋体" w:cs="宋体"/>
          <w:b/>
          <w:bCs/>
          <w:color w:val="auto"/>
          <w:sz w:val="21"/>
          <w:szCs w:val="21"/>
          <w:highlight w:val="none"/>
        </w:rPr>
      </w:pPr>
    </w:p>
    <w:p>
      <w:pPr>
        <w:tabs>
          <w:tab w:val="left" w:pos="5670"/>
        </w:tabs>
        <w:spacing w:line="240" w:lineRule="auto"/>
        <w:ind w:firstLine="566"/>
        <w:jc w:val="left"/>
        <w:rPr>
          <w:rFonts w:ascii="宋体" w:hAnsi="宋体" w:eastAsia="宋体" w:cs="宋体"/>
          <w:b/>
          <w:bCs/>
          <w:color w:val="auto"/>
          <w:sz w:val="21"/>
          <w:szCs w:val="21"/>
          <w:highlight w:val="none"/>
        </w:rPr>
      </w:pPr>
    </w:p>
    <w:p>
      <w:pPr>
        <w:ind w:firstLine="426"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备注：</w:t>
      </w:r>
      <w:r>
        <w:rPr>
          <w:rFonts w:hint="eastAsia" w:ascii="宋体" w:hAnsi="宋体" w:eastAsia="宋体" w:cs="宋体"/>
          <w:b/>
          <w:bCs/>
          <w:color w:val="auto"/>
          <w:sz w:val="21"/>
          <w:szCs w:val="21"/>
          <w:highlight w:val="none"/>
          <w:lang w:val="en-US" w:eastAsia="zh-CN"/>
        </w:rPr>
        <w:t>非残疾人福利性单位不用填写此声明函。</w:t>
      </w:r>
    </w:p>
    <w:p>
      <w:pPr>
        <w:tabs>
          <w:tab w:val="left" w:pos="5670"/>
        </w:tabs>
        <w:spacing w:line="240" w:lineRule="auto"/>
        <w:ind w:firstLine="566"/>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项目不分标段的，第</w:t>
      </w:r>
      <w:r>
        <w:rPr>
          <w:rFonts w:ascii="宋体" w:hAnsi="宋体" w:eastAsia="宋体" w:cs="宋体"/>
          <w:color w:val="auto"/>
          <w:sz w:val="21"/>
          <w:szCs w:val="21"/>
          <w:highlight w:val="none"/>
        </w:rPr>
        <w:t>___</w:t>
      </w:r>
      <w:r>
        <w:rPr>
          <w:rFonts w:hint="eastAsia" w:ascii="宋体" w:hAnsi="宋体" w:eastAsia="宋体" w:cs="宋体"/>
          <w:color w:val="auto"/>
          <w:sz w:val="21"/>
          <w:szCs w:val="21"/>
          <w:highlight w:val="none"/>
        </w:rPr>
        <w:t>标段空白处填写“</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pPr>
        <w:tabs>
          <w:tab w:val="left" w:pos="5670"/>
        </w:tabs>
        <w:spacing w:line="240" w:lineRule="auto"/>
        <w:ind w:firstLine="566"/>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根据《财政部民政部中国残疾人联合会关于促进残疾人就业政府采购政策的通知》（财库〔</w:t>
      </w:r>
      <w:r>
        <w:rPr>
          <w:rFonts w:ascii="宋体" w:hAnsi="宋体" w:eastAsia="宋体" w:cs="宋体"/>
          <w:color w:val="auto"/>
          <w:sz w:val="21"/>
          <w:szCs w:val="21"/>
          <w:highlight w:val="none"/>
        </w:rPr>
        <w:t>2017</w:t>
      </w: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141</w:t>
      </w:r>
      <w:r>
        <w:rPr>
          <w:rFonts w:hint="eastAsia" w:ascii="宋体" w:hAnsi="宋体" w:eastAsia="宋体" w:cs="宋体"/>
          <w:color w:val="auto"/>
          <w:sz w:val="21"/>
          <w:szCs w:val="21"/>
          <w:highlight w:val="none"/>
        </w:rPr>
        <w:t>号）的规定：</w:t>
      </w:r>
    </w:p>
    <w:p>
      <w:pPr>
        <w:tabs>
          <w:tab w:val="left" w:pos="5670"/>
        </w:tabs>
        <w:spacing w:line="240" w:lineRule="auto"/>
        <w:ind w:firstLine="566"/>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一、享受政府采购支持政策的残疾人福利性单位应当同时满足以下条件：</w:t>
      </w:r>
    </w:p>
    <w:p>
      <w:pPr>
        <w:tabs>
          <w:tab w:val="left" w:pos="5670"/>
        </w:tabs>
        <w:spacing w:line="240" w:lineRule="auto"/>
        <w:ind w:firstLine="566"/>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（一）安置的残疾人占本单位在职职工人数的比例不低于</w:t>
      </w:r>
      <w:r>
        <w:rPr>
          <w:rFonts w:ascii="宋体" w:hAnsi="宋体" w:eastAsia="宋体" w:cs="宋体"/>
          <w:color w:val="auto"/>
          <w:sz w:val="21"/>
          <w:szCs w:val="21"/>
          <w:highlight w:val="none"/>
        </w:rPr>
        <w:t>25%</w:t>
      </w:r>
      <w:r>
        <w:rPr>
          <w:rFonts w:hint="eastAsia" w:ascii="宋体" w:hAnsi="宋体" w:eastAsia="宋体" w:cs="宋体"/>
          <w:color w:val="auto"/>
          <w:sz w:val="21"/>
          <w:szCs w:val="21"/>
          <w:highlight w:val="none"/>
        </w:rPr>
        <w:t>（含</w:t>
      </w:r>
      <w:r>
        <w:rPr>
          <w:rFonts w:ascii="宋体" w:hAnsi="宋体" w:eastAsia="宋体" w:cs="宋体"/>
          <w:color w:val="auto"/>
          <w:sz w:val="21"/>
          <w:szCs w:val="21"/>
          <w:highlight w:val="none"/>
        </w:rPr>
        <w:t>25%</w:t>
      </w:r>
      <w:r>
        <w:rPr>
          <w:rFonts w:hint="eastAsia" w:ascii="宋体" w:hAnsi="宋体" w:eastAsia="宋体" w:cs="宋体"/>
          <w:color w:val="auto"/>
          <w:sz w:val="21"/>
          <w:szCs w:val="21"/>
          <w:highlight w:val="none"/>
        </w:rPr>
        <w:t>），并且安置的残疾人人数不少于</w:t>
      </w:r>
      <w:r>
        <w:rPr>
          <w:rFonts w:ascii="宋体" w:hAnsi="宋体" w:eastAsia="宋体" w:cs="宋体"/>
          <w:color w:val="auto"/>
          <w:sz w:val="21"/>
          <w:szCs w:val="21"/>
          <w:highlight w:val="none"/>
        </w:rPr>
        <w:t>10</w:t>
      </w:r>
      <w:r>
        <w:rPr>
          <w:rFonts w:hint="eastAsia" w:ascii="宋体" w:hAnsi="宋体" w:eastAsia="宋体" w:cs="宋体"/>
          <w:color w:val="auto"/>
          <w:sz w:val="21"/>
          <w:szCs w:val="21"/>
          <w:highlight w:val="none"/>
        </w:rPr>
        <w:t>人（含</w:t>
      </w:r>
      <w:r>
        <w:rPr>
          <w:rFonts w:ascii="宋体" w:hAnsi="宋体" w:eastAsia="宋体" w:cs="宋体"/>
          <w:color w:val="auto"/>
          <w:sz w:val="21"/>
          <w:szCs w:val="21"/>
          <w:highlight w:val="none"/>
        </w:rPr>
        <w:t>10</w:t>
      </w:r>
      <w:r>
        <w:rPr>
          <w:rFonts w:hint="eastAsia" w:ascii="宋体" w:hAnsi="宋体" w:eastAsia="宋体" w:cs="宋体"/>
          <w:color w:val="auto"/>
          <w:sz w:val="21"/>
          <w:szCs w:val="21"/>
          <w:highlight w:val="none"/>
        </w:rPr>
        <w:t>人）；</w:t>
      </w:r>
    </w:p>
    <w:p>
      <w:pPr>
        <w:tabs>
          <w:tab w:val="left" w:pos="5670"/>
        </w:tabs>
        <w:spacing w:line="240" w:lineRule="auto"/>
        <w:ind w:firstLine="566"/>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（二）依法与安置的每位残疾人签订了一年以上（含一年）的劳动合同或服务协议；</w:t>
      </w:r>
    </w:p>
    <w:p>
      <w:pPr>
        <w:tabs>
          <w:tab w:val="left" w:pos="5670"/>
        </w:tabs>
        <w:spacing w:line="240" w:lineRule="auto"/>
        <w:ind w:firstLine="566"/>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（三）为安置的每位残疾人按月足额缴纳了基本养老保险、基本医疗保险、失业保险、工伤保险和生育保险等社会保险费；</w:t>
      </w:r>
    </w:p>
    <w:p>
      <w:pPr>
        <w:tabs>
          <w:tab w:val="left" w:pos="5670"/>
        </w:tabs>
        <w:spacing w:line="240" w:lineRule="auto"/>
        <w:ind w:firstLine="566"/>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（四）通过银行等金融机构向安置的每位残疾人，按月支付了不低于单位所在区县适用的经省级人民政府批准的月最低工资标准的工资；</w:t>
      </w:r>
    </w:p>
    <w:p>
      <w:pPr>
        <w:tabs>
          <w:tab w:val="left" w:pos="5670"/>
        </w:tabs>
        <w:spacing w:line="240" w:lineRule="auto"/>
        <w:ind w:firstLine="566"/>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（五）提供本单位制造的货物、承担的工程或者服务（以下简称产品），或者提供其他残疾人福利性单位制造的货物（不包括使用非残疾人福利性单位注册商标的货物）。</w:t>
      </w:r>
    </w:p>
    <w:p>
      <w:pPr>
        <w:tabs>
          <w:tab w:val="left" w:pos="5670"/>
        </w:tabs>
        <w:spacing w:line="240" w:lineRule="auto"/>
        <w:ind w:firstLine="566"/>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至</w:t>
      </w:r>
      <w:r>
        <w:rPr>
          <w:rFonts w:ascii="宋体" w:hAnsi="宋体" w:eastAsia="宋体" w:cs="宋体"/>
          <w:color w:val="auto"/>
          <w:sz w:val="21"/>
          <w:szCs w:val="21"/>
          <w:highlight w:val="none"/>
        </w:rPr>
        <w:t>8</w:t>
      </w:r>
      <w:r>
        <w:rPr>
          <w:rFonts w:hint="eastAsia" w:ascii="宋体" w:hAnsi="宋体" w:eastAsia="宋体" w:cs="宋体"/>
          <w:color w:val="auto"/>
          <w:sz w:val="21"/>
          <w:szCs w:val="21"/>
          <w:highlight w:val="none"/>
        </w:rPr>
        <w:t>级）》的自然人，包括具有劳动条件和劳动意愿的精神残疾人。在职职工人数是指与残疾人福利性单位建立劳动关系并依法签订劳动合同或者服务协议的雇员人数。</w:t>
      </w:r>
    </w:p>
    <w:p>
      <w:pPr>
        <w:tabs>
          <w:tab w:val="left" w:pos="5670"/>
        </w:tabs>
        <w:spacing w:line="240" w:lineRule="auto"/>
        <w:ind w:firstLine="426" w:firstLineChars="200"/>
        <w:jc w:val="lef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二、中标、成交供应商为残疾人福利性单位的，采购人或者其委托的采购代理机构应当随中标、成交结果同时公告其《残疾人福利性单位声明函》，接受社会监督。</w:t>
      </w:r>
    </w:p>
    <w:p>
      <w:pPr>
        <w:spacing w:line="500" w:lineRule="exact"/>
        <w:ind w:firstLine="566" w:firstLineChars="200"/>
        <w:rPr>
          <w:rFonts w:cs="Times New Roman"/>
          <w:color w:val="auto"/>
          <w:highlight w:val="none"/>
        </w:rPr>
      </w:pPr>
      <w:r>
        <w:rPr>
          <w:rFonts w:hint="eastAsia" w:cs="Times New Roman"/>
          <w:color w:val="auto"/>
          <w:highlight w:val="none"/>
        </w:rPr>
        <w:br w:type="page"/>
      </w:r>
      <w:r>
        <w:rPr>
          <w:rFonts w:hint="eastAsia" w:cs="Times New Roman"/>
          <w:b/>
          <w:bCs/>
          <w:color w:val="auto"/>
          <w:highlight w:val="none"/>
        </w:rPr>
        <w:t>（二）投标人概况</w:t>
      </w:r>
    </w:p>
    <w:p>
      <w:pPr>
        <w:spacing w:line="500" w:lineRule="exact"/>
        <w:ind w:firstLine="566" w:firstLineChars="200"/>
        <w:rPr>
          <w:rFonts w:cs="华文仿宋"/>
          <w:color w:val="auto"/>
          <w:highlight w:val="none"/>
        </w:rPr>
      </w:pPr>
      <w:r>
        <w:rPr>
          <w:rFonts w:hint="eastAsia" w:cs="Times New Roman"/>
          <w:color w:val="auto"/>
          <w:highlight w:val="none"/>
        </w:rPr>
        <w:t>包括但不限于成立时间、经营范围、股权变更、总公司分公司分布及经营状况、管理制度、人员配备、用户评价、正在实施的项目、评优获奖情况、以及投标人认为有利于本次中标的其他情况等说明。</w:t>
      </w:r>
    </w:p>
    <w:p>
      <w:pPr>
        <w:spacing w:line="500" w:lineRule="exact"/>
        <w:ind w:firstLine="566" w:firstLineChars="200"/>
        <w:jc w:val="left"/>
        <w:rPr>
          <w:rFonts w:cs="华文仿宋"/>
          <w:color w:val="auto"/>
          <w:highlight w:val="none"/>
        </w:rPr>
      </w:pPr>
    </w:p>
    <w:p>
      <w:pPr>
        <w:spacing w:line="500" w:lineRule="exact"/>
        <w:rPr>
          <w:rFonts w:cs="Times New Roman"/>
          <w:b/>
          <w:bCs/>
          <w:color w:val="auto"/>
          <w:highlight w:val="none"/>
        </w:rPr>
      </w:pPr>
    </w:p>
    <w:p>
      <w:pPr>
        <w:spacing w:line="500" w:lineRule="exact"/>
        <w:rPr>
          <w:rFonts w:cs="Times New Roman"/>
          <w:b/>
          <w:bCs/>
          <w:color w:val="auto"/>
          <w:highlight w:val="none"/>
        </w:rPr>
      </w:pPr>
    </w:p>
    <w:p>
      <w:pPr>
        <w:spacing w:line="500" w:lineRule="exact"/>
        <w:rPr>
          <w:rFonts w:cs="Times New Roman"/>
          <w:b/>
          <w:bCs/>
          <w:color w:val="auto"/>
          <w:highlight w:val="none"/>
        </w:rPr>
      </w:pPr>
    </w:p>
    <w:p>
      <w:pPr>
        <w:spacing w:line="500" w:lineRule="exact"/>
        <w:rPr>
          <w:rFonts w:cs="Times New Roman"/>
          <w:b/>
          <w:bCs/>
          <w:color w:val="auto"/>
          <w:highlight w:val="none"/>
        </w:rPr>
      </w:pPr>
    </w:p>
    <w:p>
      <w:pPr>
        <w:spacing w:line="500" w:lineRule="exact"/>
        <w:rPr>
          <w:rFonts w:cs="Times New Roman"/>
          <w:b/>
          <w:bCs/>
          <w:color w:val="auto"/>
          <w:highlight w:val="none"/>
        </w:rPr>
      </w:pPr>
    </w:p>
    <w:p>
      <w:pPr>
        <w:spacing w:line="500" w:lineRule="exact"/>
        <w:rPr>
          <w:rFonts w:cs="Times New Roman"/>
          <w:b/>
          <w:bCs/>
          <w:color w:val="auto"/>
          <w:highlight w:val="none"/>
        </w:rPr>
      </w:pPr>
    </w:p>
    <w:p>
      <w:pPr>
        <w:spacing w:line="500" w:lineRule="exact"/>
        <w:rPr>
          <w:rFonts w:cs="Times New Roman"/>
          <w:b/>
          <w:bCs/>
          <w:color w:val="auto"/>
          <w:highlight w:val="none"/>
        </w:rPr>
      </w:pPr>
    </w:p>
    <w:p>
      <w:pPr>
        <w:spacing w:line="500" w:lineRule="exact"/>
        <w:rPr>
          <w:rFonts w:cs="Times New Roman"/>
          <w:b/>
          <w:bCs/>
          <w:color w:val="auto"/>
          <w:highlight w:val="none"/>
        </w:rPr>
      </w:pPr>
    </w:p>
    <w:p>
      <w:pPr>
        <w:spacing w:line="500" w:lineRule="exact"/>
        <w:rPr>
          <w:rFonts w:cs="Times New Roman"/>
          <w:b/>
          <w:bCs/>
          <w:color w:val="auto"/>
          <w:highlight w:val="none"/>
        </w:rPr>
      </w:pPr>
    </w:p>
    <w:p>
      <w:pPr>
        <w:spacing w:line="500" w:lineRule="exact"/>
        <w:rPr>
          <w:rFonts w:cs="Times New Roman"/>
          <w:b/>
          <w:bCs/>
          <w:color w:val="auto"/>
          <w:highlight w:val="none"/>
        </w:rPr>
      </w:pPr>
    </w:p>
    <w:p>
      <w:pPr>
        <w:spacing w:line="500" w:lineRule="exact"/>
        <w:jc w:val="center"/>
        <w:rPr>
          <w:rFonts w:cs="Times New Roman"/>
          <w:b/>
          <w:bCs/>
          <w:color w:val="auto"/>
          <w:highlight w:val="none"/>
        </w:rPr>
      </w:pPr>
    </w:p>
    <w:p>
      <w:pPr>
        <w:spacing w:line="500" w:lineRule="exact"/>
        <w:outlineLvl w:val="2"/>
        <w:rPr>
          <w:rFonts w:ascii="华文仿宋" w:cs="Times New Roman"/>
          <w:color w:val="auto"/>
          <w:highlight w:val="none"/>
        </w:rPr>
      </w:pPr>
      <w:r>
        <w:rPr>
          <w:rFonts w:ascii="华文仿宋" w:cs="Times New Roman"/>
          <w:b/>
          <w:bCs/>
          <w:color w:val="auto"/>
          <w:sz w:val="32"/>
          <w:szCs w:val="32"/>
          <w:highlight w:val="none"/>
        </w:rPr>
        <w:br w:type="page"/>
      </w:r>
      <w:bookmarkStart w:id="995" w:name="_Toc6405"/>
      <w:bookmarkStart w:id="996" w:name="_Toc24226"/>
      <w:bookmarkStart w:id="997" w:name="_Toc2826"/>
      <w:bookmarkStart w:id="998" w:name="_Toc12342"/>
      <w:bookmarkStart w:id="999" w:name="_Toc13262"/>
      <w:bookmarkStart w:id="1000" w:name="_Toc16462"/>
      <w:bookmarkStart w:id="1001" w:name="_Toc15509"/>
      <w:bookmarkStart w:id="1002" w:name="_Toc1568"/>
      <w:bookmarkStart w:id="1003" w:name="_Toc3411"/>
      <w:bookmarkStart w:id="1004" w:name="_Toc9336"/>
      <w:bookmarkStart w:id="1005" w:name="_Toc14867"/>
      <w:bookmarkStart w:id="1006" w:name="_Toc4295"/>
      <w:bookmarkStart w:id="1007" w:name="_Toc17436"/>
      <w:bookmarkStart w:id="1008" w:name="_Toc3010"/>
      <w:bookmarkStart w:id="1009" w:name="_Toc8096"/>
      <w:bookmarkStart w:id="1010" w:name="_Toc26403"/>
      <w:bookmarkStart w:id="1011" w:name="_Toc603"/>
      <w:r>
        <w:rPr>
          <w:rFonts w:hint="eastAsia" w:ascii="华文仿宋" w:hAnsi="华文仿宋" w:cs="华文仿宋"/>
          <w:b/>
          <w:bCs/>
          <w:color w:val="auto"/>
          <w:sz w:val="32"/>
          <w:szCs w:val="32"/>
          <w:highlight w:val="none"/>
        </w:rPr>
        <w:t>二、投标方案</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spacing w:line="500" w:lineRule="exact"/>
        <w:ind w:firstLine="566" w:firstLineChars="200"/>
        <w:rPr>
          <w:bCs/>
          <w:color w:val="auto"/>
          <w:highlight w:val="none"/>
        </w:rPr>
      </w:pPr>
      <w:r>
        <w:rPr>
          <w:rFonts w:hint="eastAsia" w:cs="华文仿宋"/>
          <w:color w:val="auto"/>
          <w:highlight w:val="none"/>
        </w:rPr>
        <w:t>参照招标文件第二章第八项《组织评标》各条款的要求，</w:t>
      </w:r>
      <w:r>
        <w:rPr>
          <w:bCs/>
          <w:color w:val="auto"/>
          <w:highlight w:val="none"/>
        </w:rPr>
        <w:t>结合第</w:t>
      </w:r>
      <w:r>
        <w:rPr>
          <w:rFonts w:hint="eastAsia"/>
          <w:bCs/>
          <w:color w:val="auto"/>
          <w:highlight w:val="none"/>
        </w:rPr>
        <w:t>四</w:t>
      </w:r>
      <w:r>
        <w:rPr>
          <w:bCs/>
          <w:color w:val="auto"/>
          <w:highlight w:val="none"/>
        </w:rPr>
        <w:t>章</w:t>
      </w:r>
      <w:r>
        <w:rPr>
          <w:rFonts w:hint="eastAsia" w:ascii="华文仿宋" w:hAnsi="华文仿宋" w:cs="华文仿宋"/>
          <w:color w:val="auto"/>
          <w:highlight w:val="none"/>
        </w:rPr>
        <w:t>“招标内容及采购要求”中</w:t>
      </w:r>
      <w:r>
        <w:rPr>
          <w:bCs/>
          <w:color w:val="auto"/>
          <w:highlight w:val="none"/>
        </w:rPr>
        <w:t>《</w:t>
      </w:r>
      <w:r>
        <w:rPr>
          <w:rFonts w:hint="eastAsia"/>
          <w:bCs/>
          <w:color w:val="auto"/>
          <w:highlight w:val="none"/>
        </w:rPr>
        <w:t>技术参数表</w:t>
      </w:r>
      <w:r>
        <w:rPr>
          <w:bCs/>
          <w:color w:val="auto"/>
          <w:highlight w:val="none"/>
        </w:rPr>
        <w:t>》</w:t>
      </w:r>
      <w:r>
        <w:rPr>
          <w:rFonts w:hint="eastAsia"/>
          <w:bCs/>
          <w:color w:val="auto"/>
          <w:highlight w:val="none"/>
        </w:rPr>
        <w:t>填写下表</w:t>
      </w:r>
      <w:r>
        <w:rPr>
          <w:bCs/>
          <w:color w:val="auto"/>
          <w:highlight w:val="none"/>
        </w:rPr>
        <w:t>。</w:t>
      </w:r>
    </w:p>
    <w:p>
      <w:pPr>
        <w:spacing w:line="500" w:lineRule="exact"/>
        <w:ind w:firstLine="283" w:firstLineChars="100"/>
        <w:rPr>
          <w:b/>
          <w:color w:val="auto"/>
          <w:highlight w:val="none"/>
        </w:rPr>
      </w:pPr>
      <w:r>
        <w:rPr>
          <w:rFonts w:hint="eastAsia"/>
          <w:b/>
          <w:color w:val="auto"/>
          <w:highlight w:val="none"/>
        </w:rPr>
        <w:t>（一）技术参数响应表</w:t>
      </w:r>
    </w:p>
    <w:tbl>
      <w:tblPr>
        <w:tblStyle w:val="24"/>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415"/>
        <w:gridCol w:w="2706"/>
        <w:gridCol w:w="1194"/>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59" w:type="dxa"/>
            <w:shd w:val="clear" w:color="auto" w:fill="BEBEBE"/>
            <w:noWrap w:val="0"/>
            <w:vAlign w:val="center"/>
          </w:tcPr>
          <w:p>
            <w:pPr>
              <w:spacing w:line="500" w:lineRule="exact"/>
              <w:jc w:val="center"/>
              <w:rPr>
                <w:rFonts w:ascii="仿宋" w:hAnsi="仿宋" w:eastAsia="仿宋"/>
                <w:b/>
                <w:color w:val="auto"/>
                <w:sz w:val="24"/>
                <w:szCs w:val="24"/>
                <w:highlight w:val="none"/>
              </w:rPr>
            </w:pPr>
            <w:r>
              <w:rPr>
                <w:rFonts w:ascii="仿宋" w:hAnsi="仿宋" w:eastAsia="仿宋"/>
                <w:b/>
                <w:color w:val="auto"/>
                <w:sz w:val="24"/>
                <w:szCs w:val="24"/>
                <w:highlight w:val="none"/>
              </w:rPr>
              <w:t>序号</w:t>
            </w:r>
          </w:p>
        </w:tc>
        <w:tc>
          <w:tcPr>
            <w:tcW w:w="2415" w:type="dxa"/>
            <w:shd w:val="clear" w:color="auto" w:fill="BEBEBE"/>
            <w:noWrap w:val="0"/>
            <w:vAlign w:val="center"/>
          </w:tcPr>
          <w:p>
            <w:pPr>
              <w:spacing w:line="500" w:lineRule="exact"/>
              <w:jc w:val="center"/>
              <w:rPr>
                <w:rFonts w:ascii="仿宋" w:hAnsi="仿宋" w:eastAsia="仿宋"/>
                <w:b/>
                <w:color w:val="auto"/>
                <w:sz w:val="24"/>
                <w:szCs w:val="24"/>
                <w:highlight w:val="none"/>
              </w:rPr>
            </w:pPr>
            <w:r>
              <w:rPr>
                <w:rFonts w:ascii="仿宋" w:hAnsi="仿宋" w:eastAsia="仿宋"/>
                <w:b/>
                <w:color w:val="auto"/>
                <w:sz w:val="24"/>
                <w:szCs w:val="24"/>
                <w:highlight w:val="none"/>
              </w:rPr>
              <w:t>招标文件</w:t>
            </w:r>
            <w:r>
              <w:rPr>
                <w:rFonts w:hint="eastAsia" w:ascii="仿宋" w:hAnsi="仿宋" w:eastAsia="仿宋"/>
                <w:b/>
                <w:color w:val="auto"/>
                <w:sz w:val="24"/>
                <w:szCs w:val="24"/>
                <w:highlight w:val="none"/>
              </w:rPr>
              <w:t>要求</w:t>
            </w:r>
          </w:p>
        </w:tc>
        <w:tc>
          <w:tcPr>
            <w:tcW w:w="2706" w:type="dxa"/>
            <w:shd w:val="clear" w:color="auto" w:fill="BEBEBE"/>
            <w:noWrap w:val="0"/>
            <w:vAlign w:val="center"/>
          </w:tcPr>
          <w:p>
            <w:pPr>
              <w:spacing w:line="500" w:lineRule="exact"/>
              <w:jc w:val="center"/>
              <w:rPr>
                <w:rFonts w:ascii="仿宋" w:hAnsi="仿宋" w:eastAsia="仿宋"/>
                <w:b/>
                <w:color w:val="auto"/>
                <w:sz w:val="24"/>
                <w:szCs w:val="24"/>
                <w:highlight w:val="none"/>
              </w:rPr>
            </w:pPr>
            <w:r>
              <w:rPr>
                <w:rFonts w:ascii="仿宋" w:hAnsi="仿宋" w:eastAsia="仿宋"/>
                <w:b/>
                <w:color w:val="auto"/>
                <w:sz w:val="24"/>
                <w:szCs w:val="24"/>
                <w:highlight w:val="none"/>
              </w:rPr>
              <w:t>投标文件</w:t>
            </w:r>
            <w:r>
              <w:rPr>
                <w:rFonts w:hint="eastAsia" w:ascii="仿宋" w:hAnsi="仿宋" w:eastAsia="仿宋"/>
                <w:b/>
                <w:color w:val="auto"/>
                <w:sz w:val="24"/>
                <w:szCs w:val="24"/>
                <w:highlight w:val="none"/>
              </w:rPr>
              <w:t>响应</w:t>
            </w:r>
            <w:r>
              <w:rPr>
                <w:rFonts w:ascii="仿宋" w:hAnsi="仿宋" w:eastAsia="仿宋"/>
                <w:b/>
                <w:color w:val="auto"/>
                <w:sz w:val="24"/>
                <w:szCs w:val="24"/>
                <w:highlight w:val="none"/>
              </w:rPr>
              <w:t>条款</w:t>
            </w:r>
          </w:p>
        </w:tc>
        <w:tc>
          <w:tcPr>
            <w:tcW w:w="1194" w:type="dxa"/>
            <w:shd w:val="clear" w:color="auto" w:fill="BEBEBE"/>
            <w:noWrap w:val="0"/>
            <w:vAlign w:val="center"/>
          </w:tcPr>
          <w:p>
            <w:pPr>
              <w:spacing w:line="500" w:lineRule="exact"/>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偏离程度</w:t>
            </w:r>
          </w:p>
        </w:tc>
        <w:tc>
          <w:tcPr>
            <w:tcW w:w="1896" w:type="dxa"/>
            <w:shd w:val="clear" w:color="auto" w:fill="BEBEBE"/>
            <w:noWrap w:val="0"/>
            <w:vAlign w:val="center"/>
          </w:tcPr>
          <w:p>
            <w:pPr>
              <w:spacing w:line="500" w:lineRule="exact"/>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9"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2415" w:type="dxa"/>
            <w:noWrap w:val="0"/>
            <w:vAlign w:val="center"/>
          </w:tcPr>
          <w:p>
            <w:pPr>
              <w:spacing w:line="500" w:lineRule="exact"/>
              <w:rPr>
                <w:rFonts w:ascii="仿宋" w:hAnsi="仿宋" w:eastAsia="仿宋"/>
                <w:color w:val="auto"/>
                <w:sz w:val="24"/>
                <w:szCs w:val="24"/>
                <w:highlight w:val="none"/>
              </w:rPr>
            </w:pPr>
          </w:p>
        </w:tc>
        <w:tc>
          <w:tcPr>
            <w:tcW w:w="2706" w:type="dxa"/>
            <w:noWrap w:val="0"/>
            <w:vAlign w:val="center"/>
          </w:tcPr>
          <w:p>
            <w:pPr>
              <w:spacing w:line="500" w:lineRule="exact"/>
              <w:rPr>
                <w:rFonts w:ascii="仿宋" w:hAnsi="仿宋" w:eastAsia="仿宋"/>
                <w:color w:val="auto"/>
                <w:sz w:val="24"/>
                <w:szCs w:val="24"/>
                <w:highlight w:val="none"/>
              </w:rPr>
            </w:pPr>
          </w:p>
        </w:tc>
        <w:tc>
          <w:tcPr>
            <w:tcW w:w="1194" w:type="dxa"/>
            <w:noWrap w:val="0"/>
            <w:vAlign w:val="center"/>
          </w:tcPr>
          <w:p>
            <w:pPr>
              <w:spacing w:line="500" w:lineRule="exact"/>
              <w:rPr>
                <w:rFonts w:ascii="仿宋" w:hAnsi="仿宋" w:eastAsia="仿宋"/>
                <w:color w:val="auto"/>
                <w:sz w:val="24"/>
                <w:szCs w:val="24"/>
                <w:highlight w:val="none"/>
              </w:rPr>
            </w:pPr>
          </w:p>
        </w:tc>
        <w:tc>
          <w:tcPr>
            <w:tcW w:w="1896" w:type="dxa"/>
            <w:noWrap w:val="0"/>
            <w:vAlign w:val="center"/>
          </w:tcPr>
          <w:p>
            <w:pPr>
              <w:spacing w:line="500" w:lineRule="exact"/>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9"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2415" w:type="dxa"/>
            <w:noWrap w:val="0"/>
            <w:vAlign w:val="center"/>
          </w:tcPr>
          <w:p>
            <w:pPr>
              <w:spacing w:line="500" w:lineRule="exact"/>
              <w:rPr>
                <w:rFonts w:ascii="仿宋" w:hAnsi="仿宋" w:eastAsia="仿宋"/>
                <w:color w:val="auto"/>
                <w:sz w:val="24"/>
                <w:szCs w:val="24"/>
                <w:highlight w:val="none"/>
              </w:rPr>
            </w:pPr>
          </w:p>
        </w:tc>
        <w:tc>
          <w:tcPr>
            <w:tcW w:w="2706" w:type="dxa"/>
            <w:noWrap w:val="0"/>
            <w:vAlign w:val="center"/>
          </w:tcPr>
          <w:p>
            <w:pPr>
              <w:spacing w:line="500" w:lineRule="exact"/>
              <w:rPr>
                <w:rFonts w:ascii="仿宋" w:hAnsi="仿宋" w:eastAsia="仿宋"/>
                <w:color w:val="auto"/>
                <w:sz w:val="24"/>
                <w:szCs w:val="24"/>
                <w:highlight w:val="none"/>
              </w:rPr>
            </w:pPr>
          </w:p>
        </w:tc>
        <w:tc>
          <w:tcPr>
            <w:tcW w:w="1194" w:type="dxa"/>
            <w:noWrap w:val="0"/>
            <w:vAlign w:val="center"/>
          </w:tcPr>
          <w:p>
            <w:pPr>
              <w:spacing w:line="500" w:lineRule="exact"/>
              <w:rPr>
                <w:rFonts w:ascii="仿宋" w:hAnsi="仿宋" w:eastAsia="仿宋"/>
                <w:color w:val="auto"/>
                <w:sz w:val="24"/>
                <w:szCs w:val="24"/>
                <w:highlight w:val="none"/>
              </w:rPr>
            </w:pPr>
          </w:p>
        </w:tc>
        <w:tc>
          <w:tcPr>
            <w:tcW w:w="1896" w:type="dxa"/>
            <w:noWrap w:val="0"/>
            <w:vAlign w:val="center"/>
          </w:tcPr>
          <w:p>
            <w:pPr>
              <w:spacing w:line="500" w:lineRule="exact"/>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9" w:type="dxa"/>
            <w:noWrap w:val="0"/>
            <w:vAlign w:val="center"/>
          </w:tcPr>
          <w:p>
            <w:pPr>
              <w:spacing w:line="5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2415" w:type="dxa"/>
            <w:noWrap w:val="0"/>
            <w:vAlign w:val="center"/>
          </w:tcPr>
          <w:p>
            <w:pPr>
              <w:spacing w:line="500" w:lineRule="exact"/>
              <w:rPr>
                <w:rFonts w:ascii="仿宋" w:hAnsi="仿宋" w:eastAsia="仿宋"/>
                <w:color w:val="auto"/>
                <w:sz w:val="24"/>
                <w:szCs w:val="24"/>
                <w:highlight w:val="none"/>
              </w:rPr>
            </w:pPr>
          </w:p>
        </w:tc>
        <w:tc>
          <w:tcPr>
            <w:tcW w:w="2706" w:type="dxa"/>
            <w:noWrap w:val="0"/>
            <w:vAlign w:val="center"/>
          </w:tcPr>
          <w:p>
            <w:pPr>
              <w:spacing w:line="500" w:lineRule="exact"/>
              <w:rPr>
                <w:rFonts w:ascii="仿宋" w:hAnsi="仿宋" w:eastAsia="仿宋"/>
                <w:color w:val="auto"/>
                <w:sz w:val="24"/>
                <w:szCs w:val="24"/>
                <w:highlight w:val="none"/>
              </w:rPr>
            </w:pPr>
          </w:p>
        </w:tc>
        <w:tc>
          <w:tcPr>
            <w:tcW w:w="1194" w:type="dxa"/>
            <w:noWrap w:val="0"/>
            <w:vAlign w:val="center"/>
          </w:tcPr>
          <w:p>
            <w:pPr>
              <w:spacing w:line="500" w:lineRule="exact"/>
              <w:rPr>
                <w:rFonts w:ascii="仿宋" w:hAnsi="仿宋" w:eastAsia="仿宋"/>
                <w:color w:val="auto"/>
                <w:sz w:val="24"/>
                <w:szCs w:val="24"/>
                <w:highlight w:val="none"/>
              </w:rPr>
            </w:pPr>
          </w:p>
        </w:tc>
        <w:tc>
          <w:tcPr>
            <w:tcW w:w="1896" w:type="dxa"/>
            <w:noWrap w:val="0"/>
            <w:vAlign w:val="center"/>
          </w:tcPr>
          <w:p>
            <w:pPr>
              <w:spacing w:line="500" w:lineRule="exact"/>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9" w:type="dxa"/>
            <w:noWrap w:val="0"/>
            <w:vAlign w:val="center"/>
          </w:tcPr>
          <w:p>
            <w:pPr>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w:t>
            </w:r>
          </w:p>
        </w:tc>
        <w:tc>
          <w:tcPr>
            <w:tcW w:w="2415" w:type="dxa"/>
            <w:noWrap w:val="0"/>
            <w:vAlign w:val="center"/>
          </w:tcPr>
          <w:p>
            <w:pPr>
              <w:spacing w:line="500" w:lineRule="exact"/>
              <w:rPr>
                <w:rFonts w:ascii="仿宋" w:hAnsi="仿宋" w:eastAsia="仿宋"/>
                <w:color w:val="auto"/>
                <w:sz w:val="24"/>
                <w:szCs w:val="24"/>
                <w:highlight w:val="none"/>
              </w:rPr>
            </w:pPr>
          </w:p>
        </w:tc>
        <w:tc>
          <w:tcPr>
            <w:tcW w:w="2706" w:type="dxa"/>
            <w:noWrap w:val="0"/>
            <w:vAlign w:val="center"/>
          </w:tcPr>
          <w:p>
            <w:pPr>
              <w:spacing w:line="500" w:lineRule="exact"/>
              <w:rPr>
                <w:rFonts w:ascii="仿宋" w:hAnsi="仿宋" w:eastAsia="仿宋"/>
                <w:color w:val="auto"/>
                <w:sz w:val="24"/>
                <w:szCs w:val="24"/>
                <w:highlight w:val="none"/>
              </w:rPr>
            </w:pPr>
          </w:p>
        </w:tc>
        <w:tc>
          <w:tcPr>
            <w:tcW w:w="1194" w:type="dxa"/>
            <w:noWrap w:val="0"/>
            <w:vAlign w:val="center"/>
          </w:tcPr>
          <w:p>
            <w:pPr>
              <w:spacing w:line="500" w:lineRule="exact"/>
              <w:rPr>
                <w:rFonts w:ascii="仿宋" w:hAnsi="仿宋" w:eastAsia="仿宋"/>
                <w:color w:val="auto"/>
                <w:sz w:val="24"/>
                <w:szCs w:val="24"/>
                <w:highlight w:val="none"/>
              </w:rPr>
            </w:pPr>
          </w:p>
        </w:tc>
        <w:tc>
          <w:tcPr>
            <w:tcW w:w="1896" w:type="dxa"/>
            <w:noWrap w:val="0"/>
            <w:vAlign w:val="center"/>
          </w:tcPr>
          <w:p>
            <w:pPr>
              <w:spacing w:line="500" w:lineRule="exact"/>
              <w:rPr>
                <w:rFonts w:ascii="仿宋" w:hAnsi="仿宋" w:eastAsia="仿宋"/>
                <w:color w:val="auto"/>
                <w:sz w:val="24"/>
                <w:szCs w:val="24"/>
                <w:highlight w:val="none"/>
              </w:rPr>
            </w:pPr>
          </w:p>
        </w:tc>
      </w:tr>
    </w:tbl>
    <w:p>
      <w:pPr>
        <w:widowControl w:val="0"/>
        <w:ind w:firstLine="426"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widowControl w:val="0"/>
        <w:ind w:firstLine="426" w:firstLineChars="200"/>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1、填写此表时以第四章“招标内容及采购要求”中“技术参数表”的所有条款为基本响应要求，如未按要求响应，将影响评分。</w:t>
      </w:r>
    </w:p>
    <w:p>
      <w:pPr>
        <w:widowControl w:val="0"/>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2、“投标文件响应条款”必须与投标文件中提供的证明材料的响应情况相一致，若不一致，将影响评分。</w:t>
      </w:r>
    </w:p>
    <w:p>
      <w:pPr>
        <w:widowControl w:val="0"/>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3、“偏离程度”满足招标文件要求的填写“0”，无需填写“偏离简述”；超出招标文件要求的填写“+”，不满足招标文件要求的填写“-”；“+”或“-”均须在“偏离简述”做出详细说明。</w:t>
      </w:r>
    </w:p>
    <w:p>
      <w:pPr>
        <w:spacing w:line="500" w:lineRule="exact"/>
        <w:ind w:firstLine="5094" w:firstLineChars="180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w:t>
      </w:r>
    </w:p>
    <w:p>
      <w:pPr>
        <w:spacing w:line="500" w:lineRule="exact"/>
        <w:ind w:firstLine="5377" w:firstLineChars="1900"/>
        <w:rPr>
          <w:rFonts w:cs="Times New Roman"/>
          <w:color w:val="auto"/>
          <w:highlight w:val="none"/>
        </w:rPr>
      </w:pPr>
      <w:r>
        <w:rPr>
          <w:rFonts w:hint="eastAsia" w:cs="华文仿宋"/>
          <w:color w:val="auto"/>
          <w:highlight w:val="none"/>
        </w:rPr>
        <w:t>日期：　年　月　日</w:t>
      </w:r>
    </w:p>
    <w:p>
      <w:pPr>
        <w:widowControl w:val="0"/>
        <w:ind w:firstLine="426" w:firstLineChars="200"/>
        <w:rPr>
          <w:rFonts w:ascii="宋体" w:hAnsi="宋体" w:eastAsia="宋体" w:cs="宋体"/>
          <w:b/>
          <w:bCs/>
          <w:color w:val="auto"/>
          <w:sz w:val="21"/>
          <w:szCs w:val="21"/>
          <w:highlight w:val="none"/>
        </w:rPr>
      </w:pPr>
    </w:p>
    <w:p>
      <w:pPr>
        <w:keepNext/>
        <w:keepLines/>
        <w:rPr>
          <w:color w:val="auto"/>
          <w:highlight w:val="none"/>
        </w:rPr>
      </w:pPr>
    </w:p>
    <w:p>
      <w:pPr>
        <w:spacing w:line="500" w:lineRule="exact"/>
        <w:ind w:firstLine="566" w:firstLineChars="200"/>
        <w:rPr>
          <w:rFonts w:ascii="仿宋" w:hAnsi="仿宋" w:eastAsia="仿宋" w:cs="Calibri"/>
          <w:b/>
          <w:color w:val="auto"/>
          <w:highlight w:val="none"/>
        </w:rPr>
      </w:pPr>
      <w:r>
        <w:rPr>
          <w:rFonts w:hint="eastAsia" w:ascii="仿宋" w:hAnsi="仿宋" w:eastAsia="仿宋" w:cs="Calibri"/>
          <w:b/>
          <w:color w:val="auto"/>
          <w:highlight w:val="none"/>
        </w:rPr>
        <w:t>（二）其他材料</w:t>
      </w:r>
    </w:p>
    <w:p>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根据招标文件要求，若第三章《评审要素及分值一览表》中“</w:t>
      </w:r>
      <w:r>
        <w:rPr>
          <w:rFonts w:hint="eastAsia" w:ascii="华文仿宋" w:hAnsi="华文仿宋" w:cs="华文仿宋"/>
          <w:b/>
          <w:bCs/>
          <w:color w:val="auto"/>
          <w:highlight w:val="none"/>
        </w:rPr>
        <w:t>技术参数响应</w:t>
      </w:r>
      <w:r>
        <w:rPr>
          <w:rFonts w:hint="eastAsia" w:ascii="华文仿宋" w:hAnsi="华文仿宋" w:cs="华文仿宋"/>
          <w:color w:val="auto"/>
          <w:highlight w:val="none"/>
        </w:rPr>
        <w:t>”内容须附相关证明材料，则投标人应将相关证明材料附至此处，如未按要求提供相关证明材料，将影响评分。</w:t>
      </w:r>
    </w:p>
    <w:p>
      <w:pPr>
        <w:rPr>
          <w:rFonts w:ascii="华文仿宋" w:hAnsi="华文仿宋" w:cs="华文仿宋"/>
          <w:b/>
          <w:bCs/>
          <w:color w:val="auto"/>
          <w:sz w:val="32"/>
          <w:szCs w:val="32"/>
          <w:highlight w:val="none"/>
        </w:rPr>
      </w:pPr>
    </w:p>
    <w:p>
      <w:pPr>
        <w:outlineLvl w:val="2"/>
        <w:rPr>
          <w:rFonts w:ascii="华文仿宋" w:cs="Times New Roman"/>
          <w:b/>
          <w:bCs/>
          <w:color w:val="auto"/>
          <w:sz w:val="32"/>
          <w:szCs w:val="32"/>
          <w:highlight w:val="none"/>
        </w:rPr>
      </w:pPr>
      <w:r>
        <w:rPr>
          <w:rFonts w:hint="eastAsia" w:ascii="华文仿宋" w:hAnsi="华文仿宋" w:cs="华文仿宋"/>
          <w:b/>
          <w:bCs/>
          <w:color w:val="auto"/>
          <w:sz w:val="32"/>
          <w:szCs w:val="32"/>
          <w:highlight w:val="none"/>
        </w:rPr>
        <w:br w:type="page"/>
      </w:r>
      <w:bookmarkStart w:id="1012" w:name="_Toc20792"/>
      <w:bookmarkStart w:id="1013" w:name="_Toc12931"/>
      <w:bookmarkStart w:id="1014" w:name="_Toc11196"/>
      <w:r>
        <w:rPr>
          <w:rFonts w:hint="eastAsia" w:ascii="华文仿宋" w:hAnsi="华文仿宋" w:cs="华文仿宋"/>
          <w:b/>
          <w:bCs/>
          <w:color w:val="auto"/>
          <w:sz w:val="32"/>
          <w:szCs w:val="32"/>
          <w:highlight w:val="none"/>
        </w:rPr>
        <w:t>三、参考样表</w:t>
      </w:r>
      <w:bookmarkEnd w:id="1012"/>
      <w:bookmarkEnd w:id="1013"/>
      <w:bookmarkEnd w:id="1014"/>
    </w:p>
    <w:p>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（一）业绩合同样表（仅供参考）</w:t>
      </w:r>
    </w:p>
    <w:tbl>
      <w:tblPr>
        <w:tblStyle w:val="2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0"/>
            <w:vAlign w:val="center"/>
          </w:tcPr>
          <w:p>
            <w:pPr>
              <w:widowControl w:val="0"/>
              <w:adjustRightInd w:val="0"/>
              <w:snapToGrid w:val="0"/>
              <w:spacing w:line="440" w:lineRule="exact"/>
              <w:jc w:val="center"/>
              <w:rPr>
                <w:rFonts w:ascii="宋体" w:cs="Times New Roman"/>
                <w:b/>
                <w:bCs/>
                <w:color w:val="auto"/>
                <w:sz w:val="24"/>
                <w:szCs w:val="24"/>
                <w:highlight w:val="none"/>
              </w:rPr>
            </w:pPr>
            <w:r>
              <w:rPr>
                <w:rFonts w:hint="eastAsia" w:ascii="宋体" w:cs="华文仿宋"/>
                <w:b/>
                <w:bCs/>
                <w:color w:val="auto"/>
                <w:sz w:val="24"/>
                <w:szCs w:val="24"/>
                <w:highlight w:val="none"/>
              </w:rPr>
              <w:t>序号</w:t>
            </w:r>
          </w:p>
        </w:tc>
        <w:tc>
          <w:tcPr>
            <w:tcW w:w="1736" w:type="dxa"/>
            <w:noWrap w:val="0"/>
            <w:vAlign w:val="center"/>
          </w:tcPr>
          <w:p>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采购单位名称</w:t>
            </w:r>
          </w:p>
        </w:tc>
        <w:tc>
          <w:tcPr>
            <w:tcW w:w="1701" w:type="dxa"/>
            <w:noWrap w:val="0"/>
            <w:vAlign w:val="center"/>
          </w:tcPr>
          <w:p>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合同名称</w:t>
            </w:r>
          </w:p>
        </w:tc>
        <w:tc>
          <w:tcPr>
            <w:tcW w:w="2557" w:type="dxa"/>
            <w:noWrap w:val="0"/>
            <w:vAlign w:val="center"/>
          </w:tcPr>
          <w:p>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合同起止时间</w:t>
            </w:r>
          </w:p>
        </w:tc>
        <w:tc>
          <w:tcPr>
            <w:tcW w:w="1984" w:type="dxa"/>
            <w:noWrap w:val="0"/>
            <w:vAlign w:val="center"/>
          </w:tcPr>
          <w:p>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0"/>
            <w:vAlign w:val="center"/>
          </w:tcPr>
          <w:p>
            <w:pPr>
              <w:widowControl w:val="0"/>
              <w:spacing w:line="440" w:lineRule="exact"/>
              <w:jc w:val="center"/>
              <w:rPr>
                <w:rFonts w:ascii="宋体" w:eastAsia="宋体" w:cs="Times New Roman"/>
                <w:color w:val="auto"/>
                <w:sz w:val="24"/>
                <w:szCs w:val="24"/>
                <w:highlight w:val="none"/>
              </w:rPr>
            </w:pPr>
          </w:p>
        </w:tc>
        <w:tc>
          <w:tcPr>
            <w:tcW w:w="1736" w:type="dxa"/>
            <w:noWrap w:val="0"/>
            <w:vAlign w:val="center"/>
          </w:tcPr>
          <w:p>
            <w:pPr>
              <w:widowControl w:val="0"/>
              <w:spacing w:line="440" w:lineRule="exact"/>
              <w:jc w:val="center"/>
              <w:rPr>
                <w:rFonts w:ascii="宋体" w:eastAsia="宋体" w:cs="Times New Roman"/>
                <w:color w:val="auto"/>
                <w:sz w:val="24"/>
                <w:szCs w:val="24"/>
                <w:highlight w:val="none"/>
              </w:rPr>
            </w:pPr>
          </w:p>
        </w:tc>
        <w:tc>
          <w:tcPr>
            <w:tcW w:w="1701" w:type="dxa"/>
            <w:noWrap w:val="0"/>
            <w:vAlign w:val="center"/>
          </w:tcPr>
          <w:p>
            <w:pPr>
              <w:widowControl w:val="0"/>
              <w:spacing w:line="440" w:lineRule="exact"/>
              <w:jc w:val="center"/>
              <w:rPr>
                <w:rFonts w:ascii="宋体" w:eastAsia="宋体" w:cs="Times New Roman"/>
                <w:color w:val="auto"/>
                <w:sz w:val="24"/>
                <w:szCs w:val="24"/>
                <w:highlight w:val="none"/>
              </w:rPr>
            </w:pPr>
          </w:p>
        </w:tc>
        <w:tc>
          <w:tcPr>
            <w:tcW w:w="2557" w:type="dxa"/>
            <w:noWrap w:val="0"/>
            <w:vAlign w:val="center"/>
          </w:tcPr>
          <w:p>
            <w:pPr>
              <w:widowControl w:val="0"/>
              <w:spacing w:line="440" w:lineRule="exact"/>
              <w:jc w:val="center"/>
              <w:rPr>
                <w:rFonts w:ascii="宋体" w:eastAsia="宋体" w:cs="Times New Roman"/>
                <w:color w:val="auto"/>
                <w:sz w:val="24"/>
                <w:szCs w:val="24"/>
                <w:highlight w:val="none"/>
              </w:rPr>
            </w:pPr>
          </w:p>
        </w:tc>
        <w:tc>
          <w:tcPr>
            <w:tcW w:w="1984" w:type="dxa"/>
            <w:noWrap w:val="0"/>
            <w:vAlign w:val="center"/>
          </w:tcPr>
          <w:p>
            <w:pPr>
              <w:widowControl w:val="0"/>
              <w:spacing w:line="440" w:lineRule="exact"/>
              <w:jc w:val="center"/>
              <w:rPr>
                <w:rFonts w:asci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0"/>
            <w:vAlign w:val="center"/>
          </w:tcPr>
          <w:p>
            <w:pPr>
              <w:widowControl w:val="0"/>
              <w:spacing w:line="440" w:lineRule="exact"/>
              <w:jc w:val="center"/>
              <w:rPr>
                <w:rFonts w:ascii="宋体" w:eastAsia="宋体" w:cs="Times New Roman"/>
                <w:color w:val="auto"/>
                <w:sz w:val="24"/>
                <w:szCs w:val="24"/>
                <w:highlight w:val="none"/>
              </w:rPr>
            </w:pPr>
            <w:r>
              <w:rPr>
                <w:rFonts w:hint="eastAsia" w:ascii="宋体" w:eastAsia="宋体" w:cs="宋体"/>
                <w:color w:val="auto"/>
                <w:sz w:val="24"/>
                <w:szCs w:val="24"/>
                <w:highlight w:val="none"/>
              </w:rPr>
              <w:t>……</w:t>
            </w:r>
          </w:p>
        </w:tc>
        <w:tc>
          <w:tcPr>
            <w:tcW w:w="1736" w:type="dxa"/>
            <w:noWrap w:val="0"/>
            <w:vAlign w:val="center"/>
          </w:tcPr>
          <w:p>
            <w:pPr>
              <w:widowControl w:val="0"/>
              <w:spacing w:line="440" w:lineRule="exact"/>
              <w:jc w:val="center"/>
              <w:rPr>
                <w:rFonts w:ascii="宋体" w:eastAsia="宋体" w:cs="Times New Roman"/>
                <w:color w:val="auto"/>
                <w:sz w:val="24"/>
                <w:szCs w:val="24"/>
                <w:highlight w:val="none"/>
              </w:rPr>
            </w:pPr>
          </w:p>
        </w:tc>
        <w:tc>
          <w:tcPr>
            <w:tcW w:w="1701" w:type="dxa"/>
            <w:noWrap w:val="0"/>
            <w:vAlign w:val="center"/>
          </w:tcPr>
          <w:p>
            <w:pPr>
              <w:widowControl w:val="0"/>
              <w:spacing w:line="440" w:lineRule="exact"/>
              <w:jc w:val="center"/>
              <w:rPr>
                <w:rFonts w:ascii="宋体" w:eastAsia="宋体" w:cs="Times New Roman"/>
                <w:color w:val="auto"/>
                <w:sz w:val="24"/>
                <w:szCs w:val="24"/>
                <w:highlight w:val="none"/>
              </w:rPr>
            </w:pPr>
          </w:p>
        </w:tc>
        <w:tc>
          <w:tcPr>
            <w:tcW w:w="2557" w:type="dxa"/>
            <w:noWrap w:val="0"/>
            <w:vAlign w:val="center"/>
          </w:tcPr>
          <w:p>
            <w:pPr>
              <w:widowControl w:val="0"/>
              <w:spacing w:line="440" w:lineRule="exact"/>
              <w:jc w:val="center"/>
              <w:rPr>
                <w:rFonts w:ascii="宋体" w:eastAsia="宋体" w:cs="Times New Roman"/>
                <w:color w:val="auto"/>
                <w:sz w:val="24"/>
                <w:szCs w:val="24"/>
                <w:highlight w:val="none"/>
              </w:rPr>
            </w:pPr>
          </w:p>
        </w:tc>
        <w:tc>
          <w:tcPr>
            <w:tcW w:w="1984" w:type="dxa"/>
            <w:noWrap w:val="0"/>
            <w:vAlign w:val="center"/>
          </w:tcPr>
          <w:p>
            <w:pPr>
              <w:widowControl w:val="0"/>
              <w:spacing w:line="440" w:lineRule="exact"/>
              <w:jc w:val="center"/>
              <w:rPr>
                <w:rFonts w:asci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noWrap w:val="0"/>
            <w:vAlign w:val="center"/>
          </w:tcPr>
          <w:p>
            <w:pPr>
              <w:widowControl w:val="0"/>
              <w:spacing w:line="440" w:lineRule="exact"/>
              <w:jc w:val="left"/>
              <w:rPr>
                <w:rFonts w:ascii="宋体" w:eastAsia="宋体" w:cs="Times New Roman"/>
                <w:color w:val="auto"/>
                <w:sz w:val="24"/>
                <w:szCs w:val="24"/>
                <w:highlight w:val="none"/>
              </w:rPr>
            </w:pPr>
            <w:r>
              <w:rPr>
                <w:rFonts w:hint="eastAsia" w:ascii="仿宋" w:hAnsi="仿宋" w:eastAsia="仿宋" w:cs="仿宋"/>
                <w:b/>
                <w:bCs/>
                <w:color w:val="auto"/>
                <w:sz w:val="24"/>
                <w:szCs w:val="24"/>
                <w:highlight w:val="none"/>
              </w:rPr>
              <w:t>数量合计（个）</w:t>
            </w:r>
            <w:r>
              <w:rPr>
                <w:rFonts w:hint="eastAsia" w:ascii="宋体" w:hAnsi="宋体" w:cs="华文仿宋"/>
                <w:color w:val="auto"/>
                <w:sz w:val="24"/>
                <w:szCs w:val="24"/>
                <w:highlight w:val="none"/>
              </w:rPr>
              <w:t>：</w:t>
            </w:r>
          </w:p>
        </w:tc>
      </w:tr>
    </w:tbl>
    <w:p>
      <w:pPr>
        <w:tabs>
          <w:tab w:val="right" w:pos="9070"/>
        </w:tabs>
        <w:snapToGrid w:val="0"/>
        <w:spacing w:line="240" w:lineRule="auto"/>
        <w:rPr>
          <w:rFonts w:ascii="华文仿宋" w:cs="Times New Roman"/>
          <w:b/>
          <w:bCs/>
          <w:color w:val="auto"/>
          <w:highlight w:val="none"/>
        </w:rPr>
      </w:pPr>
      <w:r>
        <w:rPr>
          <w:rFonts w:hint="eastAsia" w:cs="华文仿宋"/>
          <w:color w:val="auto"/>
          <w:sz w:val="24"/>
          <w:szCs w:val="24"/>
          <w:highlight w:val="none"/>
        </w:rPr>
        <w:t>注：</w:t>
      </w:r>
      <w:r>
        <w:rPr>
          <w:rFonts w:hint="eastAsia" w:ascii="仿宋" w:hAnsi="仿宋" w:eastAsia="仿宋" w:cs="仿宋"/>
          <w:color w:val="auto"/>
          <w:sz w:val="24"/>
          <w:szCs w:val="24"/>
          <w:highlight w:val="none"/>
        </w:rPr>
        <w:t>投标人须提供</w:t>
      </w:r>
      <w:r>
        <w:rPr>
          <w:rFonts w:hint="eastAsia" w:ascii="仿宋" w:hAnsi="仿宋" w:eastAsia="仿宋" w:cs="仿宋"/>
          <w:color w:val="auto"/>
          <w:sz w:val="24"/>
          <w:szCs w:val="24"/>
          <w:highlight w:val="none"/>
          <w:shd w:val="clear"/>
        </w:rPr>
        <w:t>20</w:t>
      </w:r>
      <w:r>
        <w:rPr>
          <w:rFonts w:hint="eastAsia" w:ascii="仿宋" w:hAnsi="仿宋" w:eastAsia="仿宋" w:cs="仿宋"/>
          <w:color w:val="auto"/>
          <w:sz w:val="24"/>
          <w:szCs w:val="24"/>
          <w:highlight w:val="none"/>
          <w:shd w:val="clear"/>
          <w:lang w:val="en-US" w:eastAsia="zh-CN"/>
        </w:rPr>
        <w:t>20</w:t>
      </w:r>
      <w:r>
        <w:rPr>
          <w:rFonts w:hint="eastAsia" w:ascii="仿宋" w:hAnsi="仿宋" w:eastAsia="仿宋" w:cs="仿宋"/>
          <w:color w:val="auto"/>
          <w:sz w:val="24"/>
          <w:szCs w:val="24"/>
          <w:highlight w:val="none"/>
          <w:shd w:val="clear"/>
        </w:rPr>
        <w:t>年1月1日以来</w:t>
      </w:r>
      <w:r>
        <w:rPr>
          <w:rFonts w:hint="eastAsia" w:ascii="仿宋" w:hAnsi="仿宋" w:eastAsia="仿宋" w:cs="仿宋"/>
          <w:color w:val="auto"/>
          <w:sz w:val="24"/>
          <w:szCs w:val="24"/>
          <w:highlight w:val="none"/>
        </w:rPr>
        <w:t>类似项目合同业绩</w:t>
      </w:r>
      <w:r>
        <w:rPr>
          <w:rFonts w:hint="eastAsia" w:ascii="仿宋" w:hAnsi="仿宋" w:eastAsia="仿宋" w:cs="仿宋"/>
          <w:color w:val="auto"/>
          <w:sz w:val="24"/>
          <w:szCs w:val="24"/>
          <w:highlight w:val="none"/>
          <w:lang w:val="en-US" w:eastAsia="zh-CN"/>
        </w:rPr>
        <w:t>及对应的货款发票复印件</w:t>
      </w:r>
      <w:r>
        <w:rPr>
          <w:rFonts w:hint="eastAsia" w:ascii="仿宋" w:hAnsi="仿宋" w:eastAsia="仿宋" w:cs="仿宋"/>
          <w:color w:val="auto"/>
          <w:sz w:val="24"/>
          <w:szCs w:val="24"/>
          <w:highlight w:val="none"/>
        </w:rPr>
        <w:t>以加盖投标人公章的完整合同复印件为计分依据。</w:t>
      </w:r>
    </w:p>
    <w:p>
      <w:pPr>
        <w:tabs>
          <w:tab w:val="right" w:pos="9070"/>
        </w:tabs>
        <w:snapToGrid w:val="0"/>
        <w:spacing w:line="500" w:lineRule="exact"/>
        <w:ind w:left="566" w:leftChars="200"/>
        <w:rPr>
          <w:rFonts w:ascii="Calibri" w:hAnsi="Calibri" w:cs="Calibri"/>
          <w:color w:val="auto"/>
          <w:highlight w:val="none"/>
        </w:rPr>
      </w:pPr>
      <w:r>
        <w:rPr>
          <w:rFonts w:hint="eastAsia" w:ascii="华文仿宋" w:hAnsi="华文仿宋" w:cs="华文仿宋"/>
          <w:b/>
          <w:bCs/>
          <w:color w:val="auto"/>
          <w:highlight w:val="none"/>
        </w:rPr>
        <w:t>（二）</w:t>
      </w:r>
      <w:r>
        <w:rPr>
          <w:rFonts w:hint="eastAsia" w:ascii="Calibri" w:hAnsi="Calibri" w:cs="华文仿宋"/>
          <w:b/>
          <w:bCs/>
          <w:color w:val="auto"/>
          <w:highlight w:val="none"/>
        </w:rPr>
        <w:t>项目团队样表（仅供参考）</w:t>
      </w:r>
    </w:p>
    <w:p>
      <w:pPr>
        <w:tabs>
          <w:tab w:val="right" w:pos="9070"/>
        </w:tabs>
        <w:spacing w:line="480" w:lineRule="exact"/>
        <w:ind w:firstLine="566" w:firstLineChars="200"/>
        <w:rPr>
          <w:rFonts w:ascii="Calibri" w:hAnsi="Calibri" w:cs="Calibri"/>
          <w:color w:val="auto"/>
          <w:highlight w:val="none"/>
        </w:rPr>
      </w:pPr>
      <w:r>
        <w:rPr>
          <w:rFonts w:ascii="Calibri" w:hAnsi="Calibri" w:cs="Calibri"/>
          <w:color w:val="auto"/>
          <w:highlight w:val="none"/>
        </w:rPr>
        <w:t>1</w:t>
      </w:r>
      <w:r>
        <w:rPr>
          <w:rFonts w:hint="eastAsia" w:ascii="Calibri" w:hAnsi="Calibri" w:cs="华文仿宋"/>
          <w:color w:val="auto"/>
          <w:highlight w:val="none"/>
        </w:rPr>
        <w:t>、项目团队情况概述</w:t>
      </w:r>
    </w:p>
    <w:p>
      <w:pPr>
        <w:tabs>
          <w:tab w:val="right" w:pos="9070"/>
        </w:tabs>
        <w:spacing w:line="480" w:lineRule="exact"/>
        <w:ind w:firstLine="566" w:firstLineChars="200"/>
        <w:rPr>
          <w:rFonts w:ascii="Calibri" w:hAnsi="Calibri" w:cs="Calibri"/>
          <w:color w:val="auto"/>
          <w:highlight w:val="none"/>
        </w:rPr>
      </w:pPr>
      <w:r>
        <w:rPr>
          <w:rFonts w:hint="eastAsia" w:ascii="Calibri" w:hAnsi="Calibri" w:cs="华文仿宋"/>
          <w:color w:val="auto"/>
          <w:highlight w:val="none"/>
        </w:rPr>
        <w:t>概述内容包括但不限于为本项目提供货物服务的团队整体情况、团队负责人、联系人基本情况、背景、能力介绍等，具体内容自行编制。</w:t>
      </w:r>
    </w:p>
    <w:p>
      <w:pPr>
        <w:tabs>
          <w:tab w:val="right" w:pos="9070"/>
        </w:tabs>
        <w:spacing w:line="500" w:lineRule="exact"/>
        <w:ind w:firstLine="566" w:firstLineChars="200"/>
        <w:rPr>
          <w:rFonts w:ascii="Calibri" w:hAnsi="Calibri" w:cs="Calibri"/>
          <w:color w:val="auto"/>
          <w:highlight w:val="none"/>
        </w:rPr>
      </w:pPr>
      <w:r>
        <w:rPr>
          <w:rFonts w:hint="eastAsia" w:ascii="仿宋" w:hAnsi="仿宋" w:eastAsia="仿宋" w:cs="仿宋"/>
          <w:color w:val="auto"/>
          <w:highlight w:val="none"/>
        </w:rPr>
        <w:t>2、</w:t>
      </w:r>
      <w:r>
        <w:rPr>
          <w:rFonts w:hint="eastAsia" w:ascii="Calibri" w:hAnsi="Calibri" w:cs="华文仿宋"/>
          <w:color w:val="auto"/>
          <w:highlight w:val="none"/>
        </w:rPr>
        <w:t>项目团队人员清单</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、项目负责人</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姓名</w:t>
            </w:r>
          </w:p>
        </w:tc>
        <w:tc>
          <w:tcPr>
            <w:tcW w:w="969" w:type="dxa"/>
            <w:tcBorders>
              <w:left w:val="single" w:color="auto" w:sz="6" w:space="0"/>
            </w:tcBorders>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年龄</w:t>
            </w:r>
          </w:p>
        </w:tc>
        <w:tc>
          <w:tcPr>
            <w:tcW w:w="1260" w:type="dxa"/>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资格</w:t>
            </w:r>
          </w:p>
        </w:tc>
        <w:tc>
          <w:tcPr>
            <w:tcW w:w="1387" w:type="dxa"/>
            <w:gridSpan w:val="2"/>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职称</w:t>
            </w:r>
          </w:p>
        </w:tc>
        <w:tc>
          <w:tcPr>
            <w:tcW w:w="1604" w:type="dxa"/>
            <w:gridSpan w:val="3"/>
            <w:noWrap w:val="0"/>
            <w:vAlign w:val="center"/>
          </w:tcPr>
          <w:p>
            <w:pPr>
              <w:spacing w:line="28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在本行业从业工作年限</w:t>
            </w:r>
          </w:p>
        </w:tc>
        <w:tc>
          <w:tcPr>
            <w:tcW w:w="1740" w:type="dxa"/>
            <w:tcBorders>
              <w:right w:val="single" w:color="auto" w:sz="2" w:space="0"/>
            </w:tcBorders>
            <w:noWrap w:val="0"/>
            <w:vAlign w:val="center"/>
          </w:tcPr>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主要工作</w:t>
            </w:r>
          </w:p>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业绩和经历</w:t>
            </w:r>
          </w:p>
        </w:tc>
        <w:tc>
          <w:tcPr>
            <w:tcW w:w="1091" w:type="dxa"/>
            <w:gridSpan w:val="2"/>
            <w:tcBorders>
              <w:left w:val="single" w:color="auto" w:sz="2" w:space="0"/>
              <w:right w:val="single" w:color="auto" w:sz="12" w:space="0"/>
            </w:tcBorders>
            <w:noWrap w:val="0"/>
            <w:vAlign w:val="center"/>
          </w:tcPr>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当前</w:t>
            </w:r>
          </w:p>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rPr>
                <w:rFonts w:ascii="仿宋" w:hAnsi="仿宋" w:eastAsia="仿宋" w:cs="Times New Roman"/>
                <w:color w:val="auto"/>
                <w:sz w:val="24"/>
                <w:szCs w:val="24"/>
                <w:highlight w:val="none"/>
              </w:rPr>
            </w:pPr>
          </w:p>
        </w:tc>
        <w:tc>
          <w:tcPr>
            <w:tcW w:w="969" w:type="dxa"/>
            <w:tcBorders>
              <w:left w:val="single" w:color="auto" w:sz="6" w:space="0"/>
            </w:tcBorders>
            <w:noWrap w:val="0"/>
            <w:vAlign w:val="center"/>
          </w:tcPr>
          <w:p>
            <w:pPr>
              <w:rPr>
                <w:rFonts w:ascii="仿宋" w:hAnsi="仿宋" w:eastAsia="仿宋" w:cs="Times New Roman"/>
                <w:color w:val="auto"/>
                <w:sz w:val="24"/>
                <w:szCs w:val="24"/>
                <w:highlight w:val="none"/>
              </w:rPr>
            </w:pPr>
          </w:p>
        </w:tc>
        <w:tc>
          <w:tcPr>
            <w:tcW w:w="1260" w:type="dxa"/>
            <w:noWrap w:val="0"/>
            <w:vAlign w:val="center"/>
          </w:tcPr>
          <w:p>
            <w:pPr>
              <w:rPr>
                <w:rFonts w:ascii="仿宋" w:hAnsi="仿宋" w:eastAsia="仿宋" w:cs="Times New Roman"/>
                <w:color w:val="auto"/>
                <w:sz w:val="24"/>
                <w:szCs w:val="24"/>
                <w:highlight w:val="none"/>
              </w:rPr>
            </w:pPr>
          </w:p>
        </w:tc>
        <w:tc>
          <w:tcPr>
            <w:tcW w:w="1387" w:type="dxa"/>
            <w:gridSpan w:val="2"/>
            <w:noWrap w:val="0"/>
            <w:vAlign w:val="center"/>
          </w:tcPr>
          <w:p>
            <w:pPr>
              <w:rPr>
                <w:rFonts w:ascii="仿宋" w:hAnsi="仿宋" w:eastAsia="仿宋" w:cs="Times New Roman"/>
                <w:color w:val="auto"/>
                <w:sz w:val="24"/>
                <w:szCs w:val="24"/>
                <w:highlight w:val="none"/>
              </w:rPr>
            </w:pPr>
          </w:p>
        </w:tc>
        <w:tc>
          <w:tcPr>
            <w:tcW w:w="1604" w:type="dxa"/>
            <w:gridSpan w:val="3"/>
            <w:noWrap w:val="0"/>
            <w:vAlign w:val="center"/>
          </w:tcPr>
          <w:p>
            <w:pPr>
              <w:rPr>
                <w:rFonts w:ascii="仿宋" w:hAnsi="仿宋" w:eastAsia="仿宋" w:cs="Times New Roman"/>
                <w:color w:val="auto"/>
                <w:sz w:val="24"/>
                <w:szCs w:val="24"/>
                <w:highlight w:val="none"/>
              </w:rPr>
            </w:pPr>
          </w:p>
        </w:tc>
        <w:tc>
          <w:tcPr>
            <w:tcW w:w="1740" w:type="dxa"/>
            <w:tcBorders>
              <w:right w:val="single" w:color="auto" w:sz="2" w:space="0"/>
            </w:tcBorders>
            <w:noWrap w:val="0"/>
            <w:vAlign w:val="center"/>
          </w:tcPr>
          <w:p>
            <w:pPr>
              <w:rPr>
                <w:rFonts w:ascii="仿宋" w:hAnsi="仿宋" w:eastAsia="仿宋" w:cs="Times New Roman"/>
                <w:color w:val="auto"/>
                <w:sz w:val="24"/>
                <w:szCs w:val="24"/>
                <w:highlight w:val="none"/>
              </w:rPr>
            </w:pPr>
          </w:p>
        </w:tc>
        <w:tc>
          <w:tcPr>
            <w:tcW w:w="1091" w:type="dxa"/>
            <w:gridSpan w:val="2"/>
            <w:tcBorders>
              <w:left w:val="single" w:color="auto" w:sz="2" w:space="0"/>
              <w:right w:val="single" w:color="auto" w:sz="12" w:space="0"/>
            </w:tcBorders>
            <w:noWrap w:val="0"/>
            <w:vAlign w:val="center"/>
          </w:tcPr>
          <w:p>
            <w:pPr>
              <w:rPr>
                <w:rFonts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rPr>
                <w:rFonts w:ascii="仿宋" w:hAnsi="仿宋" w:eastAsia="仿宋" w:cs="Times New Roman"/>
                <w:color w:val="auto"/>
                <w:sz w:val="24"/>
                <w:szCs w:val="24"/>
                <w:highlight w:val="none"/>
              </w:rPr>
            </w:pPr>
          </w:p>
        </w:tc>
        <w:tc>
          <w:tcPr>
            <w:tcW w:w="969" w:type="dxa"/>
            <w:tcBorders>
              <w:left w:val="single" w:color="auto" w:sz="6" w:space="0"/>
            </w:tcBorders>
            <w:noWrap w:val="0"/>
            <w:vAlign w:val="center"/>
          </w:tcPr>
          <w:p>
            <w:pPr>
              <w:rPr>
                <w:rFonts w:ascii="仿宋" w:hAnsi="仿宋" w:eastAsia="仿宋" w:cs="Times New Roman"/>
                <w:color w:val="auto"/>
                <w:sz w:val="24"/>
                <w:szCs w:val="24"/>
                <w:highlight w:val="none"/>
              </w:rPr>
            </w:pPr>
          </w:p>
        </w:tc>
        <w:tc>
          <w:tcPr>
            <w:tcW w:w="1260" w:type="dxa"/>
            <w:noWrap w:val="0"/>
            <w:vAlign w:val="center"/>
          </w:tcPr>
          <w:p>
            <w:pPr>
              <w:rPr>
                <w:rFonts w:ascii="仿宋" w:hAnsi="仿宋" w:eastAsia="仿宋" w:cs="Times New Roman"/>
                <w:color w:val="auto"/>
                <w:sz w:val="24"/>
                <w:szCs w:val="24"/>
                <w:highlight w:val="none"/>
              </w:rPr>
            </w:pPr>
          </w:p>
        </w:tc>
        <w:tc>
          <w:tcPr>
            <w:tcW w:w="1387" w:type="dxa"/>
            <w:gridSpan w:val="2"/>
            <w:noWrap w:val="0"/>
            <w:vAlign w:val="center"/>
          </w:tcPr>
          <w:p>
            <w:pPr>
              <w:rPr>
                <w:rFonts w:ascii="仿宋" w:hAnsi="仿宋" w:eastAsia="仿宋" w:cs="Times New Roman"/>
                <w:color w:val="auto"/>
                <w:sz w:val="24"/>
                <w:szCs w:val="24"/>
                <w:highlight w:val="none"/>
              </w:rPr>
            </w:pPr>
          </w:p>
        </w:tc>
        <w:tc>
          <w:tcPr>
            <w:tcW w:w="1604" w:type="dxa"/>
            <w:gridSpan w:val="3"/>
            <w:noWrap w:val="0"/>
            <w:vAlign w:val="center"/>
          </w:tcPr>
          <w:p>
            <w:pPr>
              <w:rPr>
                <w:rFonts w:ascii="仿宋" w:hAnsi="仿宋" w:eastAsia="仿宋" w:cs="Times New Roman"/>
                <w:color w:val="auto"/>
                <w:sz w:val="24"/>
                <w:szCs w:val="24"/>
                <w:highlight w:val="none"/>
              </w:rPr>
            </w:pPr>
          </w:p>
        </w:tc>
        <w:tc>
          <w:tcPr>
            <w:tcW w:w="1740" w:type="dxa"/>
            <w:tcBorders>
              <w:right w:val="single" w:color="auto" w:sz="2" w:space="0"/>
            </w:tcBorders>
            <w:noWrap w:val="0"/>
            <w:vAlign w:val="center"/>
          </w:tcPr>
          <w:p>
            <w:pPr>
              <w:rPr>
                <w:rFonts w:ascii="仿宋" w:hAnsi="仿宋" w:eastAsia="仿宋" w:cs="Times New Roman"/>
                <w:color w:val="auto"/>
                <w:sz w:val="24"/>
                <w:szCs w:val="24"/>
                <w:highlight w:val="none"/>
              </w:rPr>
            </w:pPr>
          </w:p>
        </w:tc>
        <w:tc>
          <w:tcPr>
            <w:tcW w:w="1091" w:type="dxa"/>
            <w:gridSpan w:val="2"/>
            <w:tcBorders>
              <w:left w:val="single" w:color="auto" w:sz="2" w:space="0"/>
              <w:right w:val="single" w:color="auto" w:sz="12" w:space="0"/>
            </w:tcBorders>
            <w:noWrap w:val="0"/>
            <w:vAlign w:val="center"/>
          </w:tcPr>
          <w:p>
            <w:pPr>
              <w:rPr>
                <w:rFonts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rPr>
                <w:rFonts w:ascii="仿宋" w:hAnsi="仿宋" w:eastAsia="仿宋" w:cs="Times New Roman"/>
                <w:color w:val="auto"/>
                <w:sz w:val="24"/>
                <w:szCs w:val="24"/>
                <w:highlight w:val="none"/>
              </w:rPr>
            </w:pPr>
          </w:p>
        </w:tc>
        <w:tc>
          <w:tcPr>
            <w:tcW w:w="969" w:type="dxa"/>
            <w:tcBorders>
              <w:left w:val="single" w:color="auto" w:sz="6" w:space="0"/>
            </w:tcBorders>
            <w:noWrap w:val="0"/>
            <w:vAlign w:val="center"/>
          </w:tcPr>
          <w:p>
            <w:pPr>
              <w:rPr>
                <w:rFonts w:ascii="仿宋" w:hAnsi="仿宋" w:eastAsia="仿宋" w:cs="Times New Roman"/>
                <w:color w:val="auto"/>
                <w:sz w:val="24"/>
                <w:szCs w:val="24"/>
                <w:highlight w:val="none"/>
              </w:rPr>
            </w:pPr>
          </w:p>
        </w:tc>
        <w:tc>
          <w:tcPr>
            <w:tcW w:w="1260" w:type="dxa"/>
            <w:noWrap w:val="0"/>
            <w:vAlign w:val="center"/>
          </w:tcPr>
          <w:p>
            <w:pPr>
              <w:rPr>
                <w:rFonts w:ascii="仿宋" w:hAnsi="仿宋" w:eastAsia="仿宋" w:cs="Times New Roman"/>
                <w:color w:val="auto"/>
                <w:sz w:val="24"/>
                <w:szCs w:val="24"/>
                <w:highlight w:val="none"/>
              </w:rPr>
            </w:pPr>
          </w:p>
        </w:tc>
        <w:tc>
          <w:tcPr>
            <w:tcW w:w="1387" w:type="dxa"/>
            <w:gridSpan w:val="2"/>
            <w:noWrap w:val="0"/>
            <w:vAlign w:val="center"/>
          </w:tcPr>
          <w:p>
            <w:pPr>
              <w:rPr>
                <w:rFonts w:ascii="仿宋" w:hAnsi="仿宋" w:eastAsia="仿宋" w:cs="Times New Roman"/>
                <w:color w:val="auto"/>
                <w:sz w:val="24"/>
                <w:szCs w:val="24"/>
                <w:highlight w:val="none"/>
              </w:rPr>
            </w:pPr>
          </w:p>
        </w:tc>
        <w:tc>
          <w:tcPr>
            <w:tcW w:w="1604" w:type="dxa"/>
            <w:gridSpan w:val="3"/>
            <w:noWrap w:val="0"/>
            <w:vAlign w:val="center"/>
          </w:tcPr>
          <w:p>
            <w:pPr>
              <w:rPr>
                <w:rFonts w:ascii="仿宋" w:hAnsi="仿宋" w:eastAsia="仿宋" w:cs="Times New Roman"/>
                <w:color w:val="auto"/>
                <w:sz w:val="24"/>
                <w:szCs w:val="24"/>
                <w:highlight w:val="none"/>
              </w:rPr>
            </w:pPr>
          </w:p>
        </w:tc>
        <w:tc>
          <w:tcPr>
            <w:tcW w:w="1740" w:type="dxa"/>
            <w:tcBorders>
              <w:right w:val="single" w:color="auto" w:sz="2" w:space="0"/>
            </w:tcBorders>
            <w:noWrap w:val="0"/>
            <w:vAlign w:val="center"/>
          </w:tcPr>
          <w:p>
            <w:pPr>
              <w:rPr>
                <w:rFonts w:ascii="仿宋" w:hAnsi="仿宋" w:eastAsia="仿宋" w:cs="Times New Roman"/>
                <w:color w:val="auto"/>
                <w:sz w:val="24"/>
                <w:szCs w:val="24"/>
                <w:highlight w:val="none"/>
              </w:rPr>
            </w:pPr>
          </w:p>
        </w:tc>
        <w:tc>
          <w:tcPr>
            <w:tcW w:w="1091" w:type="dxa"/>
            <w:gridSpan w:val="2"/>
            <w:tcBorders>
              <w:left w:val="single" w:color="auto" w:sz="2" w:space="0"/>
              <w:right w:val="single" w:color="auto" w:sz="12" w:space="0"/>
            </w:tcBorders>
            <w:noWrap w:val="0"/>
            <w:vAlign w:val="center"/>
          </w:tcPr>
          <w:p>
            <w:pPr>
              <w:rPr>
                <w:rFonts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姓名</w:t>
            </w:r>
          </w:p>
        </w:tc>
        <w:tc>
          <w:tcPr>
            <w:tcW w:w="969" w:type="dxa"/>
            <w:tcBorders>
              <w:left w:val="single" w:color="auto" w:sz="6" w:space="0"/>
            </w:tcBorders>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年龄</w:t>
            </w:r>
          </w:p>
        </w:tc>
        <w:tc>
          <w:tcPr>
            <w:tcW w:w="1260" w:type="dxa"/>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资格</w:t>
            </w:r>
          </w:p>
        </w:tc>
        <w:tc>
          <w:tcPr>
            <w:tcW w:w="1404" w:type="dxa"/>
            <w:gridSpan w:val="3"/>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职称</w:t>
            </w:r>
          </w:p>
        </w:tc>
        <w:tc>
          <w:tcPr>
            <w:tcW w:w="1587" w:type="dxa"/>
            <w:gridSpan w:val="2"/>
            <w:noWrap w:val="0"/>
            <w:vAlign w:val="center"/>
          </w:tcPr>
          <w:p>
            <w:pPr>
              <w:spacing w:line="28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在本行业从业工作年限</w:t>
            </w:r>
          </w:p>
        </w:tc>
        <w:tc>
          <w:tcPr>
            <w:tcW w:w="1782" w:type="dxa"/>
            <w:gridSpan w:val="2"/>
            <w:noWrap w:val="0"/>
            <w:vAlign w:val="center"/>
          </w:tcPr>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主要工作</w:t>
            </w:r>
          </w:p>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业绩和经历</w:t>
            </w:r>
          </w:p>
        </w:tc>
        <w:tc>
          <w:tcPr>
            <w:tcW w:w="1049" w:type="dxa"/>
            <w:tcBorders>
              <w:right w:val="single" w:color="auto" w:sz="12" w:space="0"/>
            </w:tcBorders>
            <w:noWrap w:val="0"/>
            <w:vAlign w:val="center"/>
          </w:tcPr>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当前</w:t>
            </w:r>
          </w:p>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rPr>
                <w:rFonts w:ascii="仿宋" w:hAnsi="仿宋" w:eastAsia="仿宋" w:cs="Times New Roman"/>
                <w:color w:val="auto"/>
                <w:sz w:val="24"/>
                <w:szCs w:val="24"/>
                <w:highlight w:val="none"/>
              </w:rPr>
            </w:pPr>
          </w:p>
        </w:tc>
        <w:tc>
          <w:tcPr>
            <w:tcW w:w="969" w:type="dxa"/>
            <w:tcBorders>
              <w:left w:val="single" w:color="auto" w:sz="6" w:space="0"/>
            </w:tcBorders>
            <w:noWrap w:val="0"/>
            <w:vAlign w:val="center"/>
          </w:tcPr>
          <w:p>
            <w:pPr>
              <w:rPr>
                <w:rFonts w:ascii="仿宋" w:hAnsi="仿宋" w:eastAsia="仿宋" w:cs="Times New Roman"/>
                <w:color w:val="auto"/>
                <w:sz w:val="24"/>
                <w:szCs w:val="24"/>
                <w:highlight w:val="none"/>
              </w:rPr>
            </w:pPr>
          </w:p>
        </w:tc>
        <w:tc>
          <w:tcPr>
            <w:tcW w:w="1260" w:type="dxa"/>
            <w:noWrap w:val="0"/>
            <w:vAlign w:val="center"/>
          </w:tcPr>
          <w:p>
            <w:pPr>
              <w:rPr>
                <w:rFonts w:ascii="仿宋" w:hAnsi="仿宋" w:eastAsia="仿宋" w:cs="Times New Roman"/>
                <w:color w:val="auto"/>
                <w:sz w:val="24"/>
                <w:szCs w:val="24"/>
                <w:highlight w:val="none"/>
              </w:rPr>
            </w:pPr>
          </w:p>
        </w:tc>
        <w:tc>
          <w:tcPr>
            <w:tcW w:w="1404" w:type="dxa"/>
            <w:gridSpan w:val="3"/>
            <w:noWrap w:val="0"/>
            <w:vAlign w:val="center"/>
          </w:tcPr>
          <w:p>
            <w:pPr>
              <w:rPr>
                <w:rFonts w:ascii="仿宋" w:hAnsi="仿宋" w:eastAsia="仿宋" w:cs="Times New Roman"/>
                <w:color w:val="auto"/>
                <w:sz w:val="24"/>
                <w:szCs w:val="24"/>
                <w:highlight w:val="none"/>
              </w:rPr>
            </w:pPr>
          </w:p>
        </w:tc>
        <w:tc>
          <w:tcPr>
            <w:tcW w:w="1587" w:type="dxa"/>
            <w:gridSpan w:val="2"/>
            <w:noWrap w:val="0"/>
            <w:vAlign w:val="center"/>
          </w:tcPr>
          <w:p>
            <w:pPr>
              <w:rPr>
                <w:rFonts w:ascii="仿宋" w:hAnsi="仿宋" w:eastAsia="仿宋" w:cs="Times New Roman"/>
                <w:color w:val="auto"/>
                <w:sz w:val="24"/>
                <w:szCs w:val="24"/>
                <w:highlight w:val="none"/>
              </w:rPr>
            </w:pPr>
          </w:p>
        </w:tc>
        <w:tc>
          <w:tcPr>
            <w:tcW w:w="1782" w:type="dxa"/>
            <w:gridSpan w:val="2"/>
            <w:noWrap w:val="0"/>
            <w:vAlign w:val="center"/>
          </w:tcPr>
          <w:p>
            <w:pPr>
              <w:rPr>
                <w:rFonts w:ascii="仿宋" w:hAnsi="仿宋" w:eastAsia="仿宋" w:cs="Times New Roman"/>
                <w:color w:val="auto"/>
                <w:sz w:val="24"/>
                <w:szCs w:val="24"/>
                <w:highlight w:val="none"/>
              </w:rPr>
            </w:pPr>
          </w:p>
        </w:tc>
        <w:tc>
          <w:tcPr>
            <w:tcW w:w="1049" w:type="dxa"/>
            <w:tcBorders>
              <w:right w:val="single" w:color="auto" w:sz="12" w:space="0"/>
            </w:tcBorders>
            <w:noWrap w:val="0"/>
            <w:vAlign w:val="center"/>
          </w:tcPr>
          <w:p>
            <w:pPr>
              <w:rPr>
                <w:rFonts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rPr>
                <w:rFonts w:ascii="仿宋" w:hAnsi="仿宋" w:eastAsia="仿宋" w:cs="Times New Roman"/>
                <w:color w:val="auto"/>
                <w:sz w:val="24"/>
                <w:szCs w:val="24"/>
                <w:highlight w:val="none"/>
              </w:rPr>
            </w:pPr>
          </w:p>
        </w:tc>
        <w:tc>
          <w:tcPr>
            <w:tcW w:w="969" w:type="dxa"/>
            <w:tcBorders>
              <w:left w:val="single" w:color="auto" w:sz="6" w:space="0"/>
            </w:tcBorders>
            <w:noWrap w:val="0"/>
            <w:vAlign w:val="center"/>
          </w:tcPr>
          <w:p>
            <w:pPr>
              <w:rPr>
                <w:rFonts w:ascii="仿宋" w:hAnsi="仿宋" w:eastAsia="仿宋" w:cs="Times New Roman"/>
                <w:color w:val="auto"/>
                <w:sz w:val="24"/>
                <w:szCs w:val="24"/>
                <w:highlight w:val="none"/>
              </w:rPr>
            </w:pPr>
          </w:p>
        </w:tc>
        <w:tc>
          <w:tcPr>
            <w:tcW w:w="1260" w:type="dxa"/>
            <w:noWrap w:val="0"/>
            <w:vAlign w:val="center"/>
          </w:tcPr>
          <w:p>
            <w:pPr>
              <w:rPr>
                <w:rFonts w:ascii="仿宋" w:hAnsi="仿宋" w:eastAsia="仿宋" w:cs="Times New Roman"/>
                <w:color w:val="auto"/>
                <w:sz w:val="24"/>
                <w:szCs w:val="24"/>
                <w:highlight w:val="none"/>
              </w:rPr>
            </w:pPr>
          </w:p>
        </w:tc>
        <w:tc>
          <w:tcPr>
            <w:tcW w:w="1404" w:type="dxa"/>
            <w:gridSpan w:val="3"/>
            <w:noWrap w:val="0"/>
            <w:vAlign w:val="center"/>
          </w:tcPr>
          <w:p>
            <w:pPr>
              <w:rPr>
                <w:rFonts w:ascii="仿宋" w:hAnsi="仿宋" w:eastAsia="仿宋" w:cs="Times New Roman"/>
                <w:color w:val="auto"/>
                <w:sz w:val="24"/>
                <w:szCs w:val="24"/>
                <w:highlight w:val="none"/>
              </w:rPr>
            </w:pPr>
          </w:p>
        </w:tc>
        <w:tc>
          <w:tcPr>
            <w:tcW w:w="1587" w:type="dxa"/>
            <w:gridSpan w:val="2"/>
            <w:noWrap w:val="0"/>
            <w:vAlign w:val="center"/>
          </w:tcPr>
          <w:p>
            <w:pPr>
              <w:rPr>
                <w:rFonts w:ascii="仿宋" w:hAnsi="仿宋" w:eastAsia="仿宋" w:cs="Times New Roman"/>
                <w:color w:val="auto"/>
                <w:sz w:val="24"/>
                <w:szCs w:val="24"/>
                <w:highlight w:val="none"/>
              </w:rPr>
            </w:pPr>
          </w:p>
        </w:tc>
        <w:tc>
          <w:tcPr>
            <w:tcW w:w="1782" w:type="dxa"/>
            <w:gridSpan w:val="2"/>
            <w:noWrap w:val="0"/>
            <w:vAlign w:val="center"/>
          </w:tcPr>
          <w:p>
            <w:pPr>
              <w:rPr>
                <w:rFonts w:ascii="仿宋" w:hAnsi="仿宋" w:eastAsia="仿宋" w:cs="Times New Roman"/>
                <w:color w:val="auto"/>
                <w:sz w:val="24"/>
                <w:szCs w:val="24"/>
                <w:highlight w:val="none"/>
              </w:rPr>
            </w:pPr>
          </w:p>
        </w:tc>
        <w:tc>
          <w:tcPr>
            <w:tcW w:w="1049" w:type="dxa"/>
            <w:tcBorders>
              <w:right w:val="single" w:color="auto" w:sz="12" w:space="0"/>
            </w:tcBorders>
            <w:noWrap w:val="0"/>
            <w:vAlign w:val="center"/>
          </w:tcPr>
          <w:p>
            <w:pPr>
              <w:rPr>
                <w:rFonts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rPr>
                <w:rFonts w:ascii="仿宋" w:hAnsi="仿宋" w:eastAsia="仿宋" w:cs="Times New Roman"/>
                <w:color w:val="auto"/>
                <w:sz w:val="24"/>
                <w:szCs w:val="24"/>
                <w:highlight w:val="none"/>
              </w:rPr>
            </w:pPr>
          </w:p>
        </w:tc>
        <w:tc>
          <w:tcPr>
            <w:tcW w:w="969" w:type="dxa"/>
            <w:tcBorders>
              <w:left w:val="single" w:color="auto" w:sz="6" w:space="0"/>
            </w:tcBorders>
            <w:noWrap w:val="0"/>
            <w:vAlign w:val="center"/>
          </w:tcPr>
          <w:p>
            <w:pPr>
              <w:rPr>
                <w:rFonts w:ascii="仿宋" w:hAnsi="仿宋" w:eastAsia="仿宋" w:cs="Times New Roman"/>
                <w:color w:val="auto"/>
                <w:sz w:val="24"/>
                <w:szCs w:val="24"/>
                <w:highlight w:val="none"/>
              </w:rPr>
            </w:pPr>
          </w:p>
        </w:tc>
        <w:tc>
          <w:tcPr>
            <w:tcW w:w="1260" w:type="dxa"/>
            <w:noWrap w:val="0"/>
            <w:vAlign w:val="center"/>
          </w:tcPr>
          <w:p>
            <w:pPr>
              <w:rPr>
                <w:rFonts w:ascii="仿宋" w:hAnsi="仿宋" w:eastAsia="仿宋" w:cs="Times New Roman"/>
                <w:color w:val="auto"/>
                <w:sz w:val="24"/>
                <w:szCs w:val="24"/>
                <w:highlight w:val="none"/>
              </w:rPr>
            </w:pPr>
          </w:p>
        </w:tc>
        <w:tc>
          <w:tcPr>
            <w:tcW w:w="1404" w:type="dxa"/>
            <w:gridSpan w:val="3"/>
            <w:noWrap w:val="0"/>
            <w:vAlign w:val="center"/>
          </w:tcPr>
          <w:p>
            <w:pPr>
              <w:rPr>
                <w:rFonts w:ascii="仿宋" w:hAnsi="仿宋" w:eastAsia="仿宋" w:cs="Times New Roman"/>
                <w:color w:val="auto"/>
                <w:sz w:val="24"/>
                <w:szCs w:val="24"/>
                <w:highlight w:val="none"/>
              </w:rPr>
            </w:pPr>
          </w:p>
        </w:tc>
        <w:tc>
          <w:tcPr>
            <w:tcW w:w="1587" w:type="dxa"/>
            <w:gridSpan w:val="2"/>
            <w:noWrap w:val="0"/>
            <w:vAlign w:val="center"/>
          </w:tcPr>
          <w:p>
            <w:pPr>
              <w:rPr>
                <w:rFonts w:ascii="仿宋" w:hAnsi="仿宋" w:eastAsia="仿宋" w:cs="Times New Roman"/>
                <w:color w:val="auto"/>
                <w:sz w:val="24"/>
                <w:szCs w:val="24"/>
                <w:highlight w:val="none"/>
              </w:rPr>
            </w:pPr>
          </w:p>
        </w:tc>
        <w:tc>
          <w:tcPr>
            <w:tcW w:w="1782" w:type="dxa"/>
            <w:gridSpan w:val="2"/>
            <w:noWrap w:val="0"/>
            <w:vAlign w:val="center"/>
          </w:tcPr>
          <w:p>
            <w:pPr>
              <w:rPr>
                <w:rFonts w:ascii="仿宋" w:hAnsi="仿宋" w:eastAsia="仿宋" w:cs="Times New Roman"/>
                <w:color w:val="auto"/>
                <w:sz w:val="24"/>
                <w:szCs w:val="24"/>
                <w:highlight w:val="none"/>
              </w:rPr>
            </w:pPr>
          </w:p>
        </w:tc>
        <w:tc>
          <w:tcPr>
            <w:tcW w:w="1049" w:type="dxa"/>
            <w:tcBorders>
              <w:right w:val="single" w:color="auto" w:sz="12" w:space="0"/>
            </w:tcBorders>
            <w:noWrap w:val="0"/>
            <w:vAlign w:val="center"/>
          </w:tcPr>
          <w:p>
            <w:pPr>
              <w:rPr>
                <w:rFonts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姓名</w:t>
            </w:r>
          </w:p>
        </w:tc>
        <w:tc>
          <w:tcPr>
            <w:tcW w:w="969" w:type="dxa"/>
            <w:tcBorders>
              <w:left w:val="single" w:color="auto" w:sz="6" w:space="0"/>
            </w:tcBorders>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年龄</w:t>
            </w:r>
          </w:p>
        </w:tc>
        <w:tc>
          <w:tcPr>
            <w:tcW w:w="1284" w:type="dxa"/>
            <w:gridSpan w:val="2"/>
            <w:tcBorders>
              <w:right w:val="single" w:color="auto" w:sz="2" w:space="0"/>
            </w:tcBorders>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学历</w:t>
            </w:r>
          </w:p>
        </w:tc>
        <w:tc>
          <w:tcPr>
            <w:tcW w:w="1386" w:type="dxa"/>
            <w:gridSpan w:val="3"/>
            <w:tcBorders>
              <w:left w:val="single" w:color="auto" w:sz="2" w:space="0"/>
            </w:tcBorders>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职称</w:t>
            </w:r>
          </w:p>
        </w:tc>
        <w:tc>
          <w:tcPr>
            <w:tcW w:w="1581" w:type="dxa"/>
            <w:noWrap w:val="0"/>
            <w:vAlign w:val="center"/>
          </w:tcPr>
          <w:p>
            <w:pPr>
              <w:spacing w:line="28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从事类似项目工作年限</w:t>
            </w:r>
          </w:p>
        </w:tc>
        <w:tc>
          <w:tcPr>
            <w:tcW w:w="1782" w:type="dxa"/>
            <w:gridSpan w:val="2"/>
            <w:noWrap w:val="0"/>
            <w:vAlign w:val="center"/>
          </w:tcPr>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主要工作</w:t>
            </w:r>
          </w:p>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业绩和经历</w:t>
            </w:r>
          </w:p>
        </w:tc>
        <w:tc>
          <w:tcPr>
            <w:tcW w:w="1049" w:type="dxa"/>
            <w:tcBorders>
              <w:right w:val="single" w:color="auto" w:sz="12" w:space="0"/>
            </w:tcBorders>
            <w:noWrap w:val="0"/>
            <w:vAlign w:val="center"/>
          </w:tcPr>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当前</w:t>
            </w:r>
          </w:p>
          <w:p>
            <w:pPr>
              <w:spacing w:line="240" w:lineRule="exact"/>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rPr>
                <w:rFonts w:ascii="仿宋" w:hAnsi="仿宋" w:eastAsia="仿宋" w:cs="Times New Roman"/>
                <w:color w:val="auto"/>
                <w:sz w:val="24"/>
                <w:szCs w:val="24"/>
                <w:highlight w:val="none"/>
              </w:rPr>
            </w:pPr>
          </w:p>
        </w:tc>
        <w:tc>
          <w:tcPr>
            <w:tcW w:w="969" w:type="dxa"/>
            <w:tcBorders>
              <w:left w:val="single" w:color="auto" w:sz="6" w:space="0"/>
            </w:tcBorders>
            <w:noWrap w:val="0"/>
            <w:vAlign w:val="center"/>
          </w:tcPr>
          <w:p>
            <w:pPr>
              <w:rPr>
                <w:rFonts w:ascii="仿宋" w:hAnsi="仿宋" w:eastAsia="仿宋" w:cs="Times New Roman"/>
                <w:color w:val="auto"/>
                <w:sz w:val="24"/>
                <w:szCs w:val="24"/>
                <w:highlight w:val="none"/>
              </w:rPr>
            </w:pPr>
          </w:p>
        </w:tc>
        <w:tc>
          <w:tcPr>
            <w:tcW w:w="1284" w:type="dxa"/>
            <w:gridSpan w:val="2"/>
            <w:tcBorders>
              <w:right w:val="single" w:color="auto" w:sz="2" w:space="0"/>
            </w:tcBorders>
            <w:noWrap w:val="0"/>
            <w:vAlign w:val="center"/>
          </w:tcPr>
          <w:p>
            <w:pPr>
              <w:rPr>
                <w:rFonts w:ascii="仿宋" w:hAnsi="仿宋" w:eastAsia="仿宋" w:cs="Times New Roman"/>
                <w:color w:val="auto"/>
                <w:sz w:val="24"/>
                <w:szCs w:val="24"/>
                <w:highlight w:val="none"/>
              </w:rPr>
            </w:pPr>
          </w:p>
        </w:tc>
        <w:tc>
          <w:tcPr>
            <w:tcW w:w="1386" w:type="dxa"/>
            <w:gridSpan w:val="3"/>
            <w:tcBorders>
              <w:left w:val="single" w:color="auto" w:sz="2" w:space="0"/>
            </w:tcBorders>
            <w:noWrap w:val="0"/>
            <w:vAlign w:val="center"/>
          </w:tcPr>
          <w:p>
            <w:pPr>
              <w:rPr>
                <w:rFonts w:ascii="仿宋" w:hAnsi="仿宋" w:eastAsia="仿宋" w:cs="Times New Roman"/>
                <w:color w:val="auto"/>
                <w:sz w:val="24"/>
                <w:szCs w:val="24"/>
                <w:highlight w:val="none"/>
              </w:rPr>
            </w:pPr>
          </w:p>
        </w:tc>
        <w:tc>
          <w:tcPr>
            <w:tcW w:w="1581" w:type="dxa"/>
            <w:noWrap w:val="0"/>
            <w:vAlign w:val="center"/>
          </w:tcPr>
          <w:p>
            <w:pPr>
              <w:rPr>
                <w:rFonts w:ascii="仿宋" w:hAnsi="仿宋" w:eastAsia="仿宋" w:cs="Times New Roman"/>
                <w:color w:val="auto"/>
                <w:sz w:val="24"/>
                <w:szCs w:val="24"/>
                <w:highlight w:val="none"/>
              </w:rPr>
            </w:pPr>
          </w:p>
        </w:tc>
        <w:tc>
          <w:tcPr>
            <w:tcW w:w="1782" w:type="dxa"/>
            <w:gridSpan w:val="2"/>
            <w:noWrap w:val="0"/>
            <w:vAlign w:val="center"/>
          </w:tcPr>
          <w:p>
            <w:pPr>
              <w:rPr>
                <w:rFonts w:ascii="仿宋" w:hAnsi="仿宋" w:eastAsia="仿宋" w:cs="Times New Roman"/>
                <w:color w:val="auto"/>
                <w:sz w:val="24"/>
                <w:szCs w:val="24"/>
                <w:highlight w:val="none"/>
              </w:rPr>
            </w:pPr>
          </w:p>
        </w:tc>
        <w:tc>
          <w:tcPr>
            <w:tcW w:w="1049" w:type="dxa"/>
            <w:tcBorders>
              <w:right w:val="single" w:color="auto" w:sz="12" w:space="0"/>
            </w:tcBorders>
            <w:noWrap w:val="0"/>
            <w:vAlign w:val="center"/>
          </w:tcPr>
          <w:p>
            <w:pPr>
              <w:rPr>
                <w:rFonts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rPr>
                <w:rFonts w:ascii="仿宋" w:hAnsi="仿宋" w:eastAsia="仿宋" w:cs="Times New Roman"/>
                <w:color w:val="auto"/>
                <w:sz w:val="24"/>
                <w:szCs w:val="24"/>
                <w:highlight w:val="none"/>
              </w:rPr>
            </w:pPr>
          </w:p>
        </w:tc>
        <w:tc>
          <w:tcPr>
            <w:tcW w:w="969" w:type="dxa"/>
            <w:tcBorders>
              <w:left w:val="single" w:color="auto" w:sz="6" w:space="0"/>
            </w:tcBorders>
            <w:noWrap w:val="0"/>
            <w:vAlign w:val="center"/>
          </w:tcPr>
          <w:p>
            <w:pPr>
              <w:rPr>
                <w:rFonts w:ascii="仿宋" w:hAnsi="仿宋" w:eastAsia="仿宋" w:cs="Times New Roman"/>
                <w:color w:val="auto"/>
                <w:sz w:val="24"/>
                <w:szCs w:val="24"/>
                <w:highlight w:val="none"/>
              </w:rPr>
            </w:pPr>
          </w:p>
        </w:tc>
        <w:tc>
          <w:tcPr>
            <w:tcW w:w="1284" w:type="dxa"/>
            <w:gridSpan w:val="2"/>
            <w:tcBorders>
              <w:right w:val="single" w:color="auto" w:sz="2" w:space="0"/>
            </w:tcBorders>
            <w:noWrap w:val="0"/>
            <w:vAlign w:val="center"/>
          </w:tcPr>
          <w:p>
            <w:pPr>
              <w:rPr>
                <w:rFonts w:ascii="仿宋" w:hAnsi="仿宋" w:eastAsia="仿宋" w:cs="Times New Roman"/>
                <w:color w:val="auto"/>
                <w:sz w:val="24"/>
                <w:szCs w:val="24"/>
                <w:highlight w:val="none"/>
              </w:rPr>
            </w:pPr>
          </w:p>
        </w:tc>
        <w:tc>
          <w:tcPr>
            <w:tcW w:w="1386" w:type="dxa"/>
            <w:gridSpan w:val="3"/>
            <w:tcBorders>
              <w:left w:val="single" w:color="auto" w:sz="2" w:space="0"/>
            </w:tcBorders>
            <w:noWrap w:val="0"/>
            <w:vAlign w:val="center"/>
          </w:tcPr>
          <w:p>
            <w:pPr>
              <w:rPr>
                <w:rFonts w:ascii="仿宋" w:hAnsi="仿宋" w:eastAsia="仿宋" w:cs="Times New Roman"/>
                <w:color w:val="auto"/>
                <w:sz w:val="24"/>
                <w:szCs w:val="24"/>
                <w:highlight w:val="none"/>
              </w:rPr>
            </w:pPr>
          </w:p>
        </w:tc>
        <w:tc>
          <w:tcPr>
            <w:tcW w:w="1581" w:type="dxa"/>
            <w:noWrap w:val="0"/>
            <w:vAlign w:val="center"/>
          </w:tcPr>
          <w:p>
            <w:pPr>
              <w:rPr>
                <w:rFonts w:ascii="仿宋" w:hAnsi="仿宋" w:eastAsia="仿宋" w:cs="Times New Roman"/>
                <w:color w:val="auto"/>
                <w:sz w:val="24"/>
                <w:szCs w:val="24"/>
                <w:highlight w:val="none"/>
              </w:rPr>
            </w:pPr>
          </w:p>
        </w:tc>
        <w:tc>
          <w:tcPr>
            <w:tcW w:w="1782" w:type="dxa"/>
            <w:gridSpan w:val="2"/>
            <w:noWrap w:val="0"/>
            <w:vAlign w:val="center"/>
          </w:tcPr>
          <w:p>
            <w:pPr>
              <w:rPr>
                <w:rFonts w:ascii="仿宋" w:hAnsi="仿宋" w:eastAsia="仿宋" w:cs="Times New Roman"/>
                <w:color w:val="auto"/>
                <w:sz w:val="24"/>
                <w:szCs w:val="24"/>
                <w:highlight w:val="none"/>
              </w:rPr>
            </w:pPr>
          </w:p>
        </w:tc>
        <w:tc>
          <w:tcPr>
            <w:tcW w:w="1049" w:type="dxa"/>
            <w:tcBorders>
              <w:right w:val="single" w:color="auto" w:sz="12" w:space="0"/>
            </w:tcBorders>
            <w:noWrap w:val="0"/>
            <w:vAlign w:val="center"/>
          </w:tcPr>
          <w:p>
            <w:pPr>
              <w:rPr>
                <w:rFonts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rPr>
                <w:rFonts w:ascii="仿宋" w:hAnsi="仿宋" w:eastAsia="仿宋" w:cs="Times New Roman"/>
                <w:color w:val="auto"/>
                <w:sz w:val="24"/>
                <w:szCs w:val="24"/>
                <w:highlight w:val="none"/>
              </w:rPr>
            </w:pPr>
          </w:p>
        </w:tc>
        <w:tc>
          <w:tcPr>
            <w:tcW w:w="969" w:type="dxa"/>
            <w:tcBorders>
              <w:left w:val="single" w:color="auto" w:sz="6" w:space="0"/>
            </w:tcBorders>
            <w:noWrap w:val="0"/>
            <w:vAlign w:val="center"/>
          </w:tcPr>
          <w:p>
            <w:pPr>
              <w:rPr>
                <w:rFonts w:ascii="仿宋" w:hAnsi="仿宋" w:eastAsia="仿宋" w:cs="Times New Roman"/>
                <w:color w:val="auto"/>
                <w:sz w:val="24"/>
                <w:szCs w:val="24"/>
                <w:highlight w:val="none"/>
              </w:rPr>
            </w:pPr>
          </w:p>
        </w:tc>
        <w:tc>
          <w:tcPr>
            <w:tcW w:w="1284" w:type="dxa"/>
            <w:gridSpan w:val="2"/>
            <w:tcBorders>
              <w:right w:val="single" w:color="auto" w:sz="2" w:space="0"/>
            </w:tcBorders>
            <w:noWrap w:val="0"/>
            <w:vAlign w:val="center"/>
          </w:tcPr>
          <w:p>
            <w:pPr>
              <w:rPr>
                <w:rFonts w:ascii="仿宋" w:hAnsi="仿宋" w:eastAsia="仿宋" w:cs="Times New Roman"/>
                <w:color w:val="auto"/>
                <w:sz w:val="24"/>
                <w:szCs w:val="24"/>
                <w:highlight w:val="none"/>
              </w:rPr>
            </w:pPr>
          </w:p>
        </w:tc>
        <w:tc>
          <w:tcPr>
            <w:tcW w:w="1386" w:type="dxa"/>
            <w:gridSpan w:val="3"/>
            <w:tcBorders>
              <w:left w:val="single" w:color="auto" w:sz="2" w:space="0"/>
            </w:tcBorders>
            <w:noWrap w:val="0"/>
            <w:vAlign w:val="center"/>
          </w:tcPr>
          <w:p>
            <w:pPr>
              <w:rPr>
                <w:rFonts w:ascii="仿宋" w:hAnsi="仿宋" w:eastAsia="仿宋" w:cs="Times New Roman"/>
                <w:color w:val="auto"/>
                <w:sz w:val="24"/>
                <w:szCs w:val="24"/>
                <w:highlight w:val="none"/>
              </w:rPr>
            </w:pPr>
          </w:p>
        </w:tc>
        <w:tc>
          <w:tcPr>
            <w:tcW w:w="1581" w:type="dxa"/>
            <w:noWrap w:val="0"/>
            <w:vAlign w:val="center"/>
          </w:tcPr>
          <w:p>
            <w:pPr>
              <w:rPr>
                <w:rFonts w:ascii="仿宋" w:hAnsi="仿宋" w:eastAsia="仿宋" w:cs="Times New Roman"/>
                <w:color w:val="auto"/>
                <w:sz w:val="24"/>
                <w:szCs w:val="24"/>
                <w:highlight w:val="none"/>
              </w:rPr>
            </w:pPr>
          </w:p>
        </w:tc>
        <w:tc>
          <w:tcPr>
            <w:tcW w:w="1782" w:type="dxa"/>
            <w:gridSpan w:val="2"/>
            <w:noWrap w:val="0"/>
            <w:vAlign w:val="center"/>
          </w:tcPr>
          <w:p>
            <w:pPr>
              <w:rPr>
                <w:rFonts w:ascii="仿宋" w:hAnsi="仿宋" w:eastAsia="仿宋" w:cs="Times New Roman"/>
                <w:color w:val="auto"/>
                <w:sz w:val="24"/>
                <w:szCs w:val="24"/>
                <w:highlight w:val="none"/>
              </w:rPr>
            </w:pPr>
          </w:p>
        </w:tc>
        <w:tc>
          <w:tcPr>
            <w:tcW w:w="1049" w:type="dxa"/>
            <w:tcBorders>
              <w:right w:val="single" w:color="auto" w:sz="12" w:space="0"/>
            </w:tcBorders>
            <w:noWrap w:val="0"/>
            <w:vAlign w:val="center"/>
          </w:tcPr>
          <w:p>
            <w:pPr>
              <w:rPr>
                <w:rFonts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jc w:val="cente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备注</w:t>
            </w:r>
          </w:p>
        </w:tc>
        <w:tc>
          <w:tcPr>
            <w:tcW w:w="8051" w:type="dxa"/>
            <w:gridSpan w:val="10"/>
            <w:tcBorders>
              <w:left w:val="single" w:color="auto" w:sz="6" w:space="0"/>
              <w:bottom w:val="single" w:color="auto" w:sz="12" w:space="0"/>
              <w:right w:val="single" w:color="auto" w:sz="12" w:space="0"/>
            </w:tcBorders>
            <w:noWrap w:val="0"/>
            <w:vAlign w:val="center"/>
          </w:tcPr>
          <w:p>
            <w:pPr>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表格空间不足时请自行扩展。</w:t>
            </w:r>
          </w:p>
        </w:tc>
      </w:t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tbl>
    <w:p>
      <w:pPr>
        <w:rPr>
          <w:color w:val="auto"/>
          <w:highlight w:val="none"/>
        </w:rPr>
      </w:pPr>
    </w:p>
    <w:sectPr>
      <w:footerReference r:id="rId20" w:type="default"/>
      <w:pgSz w:w="11906" w:h="16838"/>
      <w:pgMar w:top="1304" w:right="1418" w:bottom="1304" w:left="1418" w:header="851" w:footer="794" w:gutter="0"/>
      <w:pgNumType w:fmt="decimal" w:chapStyle="1"/>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szCs w:val="21"/>
      </w:rP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1"/>
        <w:szCs w:val="21"/>
      </w:rPr>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96"/>
        <w:tab w:val="left" w:pos="5882"/>
      </w:tabs>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sz w:val="21"/>
        <w:szCs w:val="21"/>
      </w:rPr>
      <w:tab/>
    </w:r>
    <w:r>
      <w:rPr>
        <w:rFonts w:hint="eastAsia"/>
        <w:sz w:val="21"/>
        <w:szCs w:val="21"/>
      </w:rPr>
      <w:tab/>
    </w:r>
    <w:r>
      <w:rPr>
        <w:rFonts w:hint="eastAsia"/>
        <w:sz w:val="21"/>
        <w:szCs w:val="21"/>
      </w:rPr>
      <w:tab/>
    </w:r>
    <w:r>
      <w:rPr>
        <w:rFonts w:hint="eastAsia"/>
        <w:sz w:val="21"/>
        <w:szCs w:val="21"/>
      </w:rPr>
      <w:tab/>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p>
    <w:pPr>
      <w:pStyle w:val="14"/>
      <w:tabs>
        <w:tab w:val="clear" w:pos="4153"/>
        <w:tab w:val="clear" w:pos="8306"/>
      </w:tabs>
      <w:ind w:right="-2"/>
      <w:jc w:val="both"/>
      <w:rPr>
        <w:rFonts w:ascii="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p>
    <w:pPr>
      <w:pStyle w:val="14"/>
      <w:tabs>
        <w:tab w:val="clear" w:pos="4153"/>
        <w:tab w:val="clear" w:pos="8306"/>
      </w:tabs>
      <w:ind w:right="-2"/>
      <w:jc w:val="both"/>
      <w:rPr>
        <w:rFonts w:ascii="宋体"/>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p>
    <w:pPr>
      <w:pStyle w:val="14"/>
      <w:tabs>
        <w:tab w:val="clear" w:pos="4153"/>
        <w:tab w:val="clear" w:pos="8306"/>
      </w:tabs>
      <w:ind w:right="-2"/>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ascii="宋体" w:eastAsia="宋体"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rFonts w:ascii="华文仿宋" w:hAnsi="华文仿宋" w:eastAsia="华文仿宋" w:cs="华文仿宋"/>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rPr>
        <w:rFonts w:hint="eastAsia" w:ascii="仿宋" w:hAnsi="仿宋" w:eastAsia="仿宋_GB2312" w:cs="仿宋"/>
        <w:sz w:val="24"/>
        <w:szCs w:val="24"/>
        <w:lang w:eastAsia="zh-CN"/>
      </w:rPr>
    </w:pPr>
    <w:r>
      <w:rPr>
        <w:rFonts w:hint="eastAsia" w:ascii="仿宋_GB2312" w:hAnsi="仿宋_GB2312" w:eastAsia="仿宋_GB2312" w:cs="仿宋_GB2312"/>
        <w:sz w:val="21"/>
        <w:szCs w:val="21"/>
        <w:lang w:eastAsia="zh-CN"/>
      </w:rPr>
      <w:t>陕西铁路工程职业技术学院高新校区学生公寓空调采购项目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陕西铁路工程职业技术学院高新校区学生公寓空调采购项目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6"/>
      <w:numFmt w:val="chineseCounting"/>
      <w:suff w:val="nothing"/>
      <w:lvlText w:val="%1、"/>
      <w:lvlJc w:val="left"/>
      <w:rPr>
        <w:rFonts w:hint="eastAsia"/>
      </w:rPr>
    </w:lvl>
  </w:abstractNum>
  <w:abstractNum w:abstractNumId="1">
    <w:nsid w:val="00000004"/>
    <w:multiLevelType w:val="singleLevel"/>
    <w:tmpl w:val="00000004"/>
    <w:lvl w:ilvl="0" w:tentative="0">
      <w:start w:val="2"/>
      <w:numFmt w:val="chineseCounting"/>
      <w:suff w:val="nothing"/>
      <w:lvlText w:val="%1、"/>
      <w:lvlJc w:val="left"/>
      <w:rPr>
        <w:rFonts w:hint="eastAsia"/>
      </w:rPr>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00000006"/>
    <w:multiLevelType w:val="singleLevel"/>
    <w:tmpl w:val="00000006"/>
    <w:lvl w:ilvl="0" w:tentative="0">
      <w:start w:val="2"/>
      <w:numFmt w:val="decimal"/>
      <w:suff w:val="nothing"/>
      <w:lvlText w:val="%1、"/>
      <w:lvlJc w:val="left"/>
    </w:lvl>
  </w:abstractNum>
  <w:abstractNum w:abstractNumId="4">
    <w:nsid w:val="00000007"/>
    <w:multiLevelType w:val="singleLevel"/>
    <w:tmpl w:val="00000007"/>
    <w:lvl w:ilvl="0" w:tentative="0">
      <w:start w:val="1"/>
      <w:numFmt w:val="chineseCounting"/>
      <w:suff w:val="nothing"/>
      <w:lvlText w:val="%1、"/>
      <w:lvlJc w:val="left"/>
      <w:rPr>
        <w:rFonts w:hint="eastAsia"/>
      </w:rPr>
    </w:lvl>
  </w:abstractNum>
  <w:abstractNum w:abstractNumId="5">
    <w:nsid w:val="00000008"/>
    <w:multiLevelType w:val="singleLevel"/>
    <w:tmpl w:val="00000008"/>
    <w:lvl w:ilvl="0" w:tentative="0">
      <w:start w:val="2"/>
      <w:numFmt w:val="chineseCounting"/>
      <w:suff w:val="nothing"/>
      <w:lvlText w:val="（%1）"/>
      <w:lvlJc w:val="left"/>
      <w:rPr>
        <w:rFonts w:hint="eastAsia"/>
      </w:rPr>
    </w:lvl>
  </w:abstractNum>
  <w:abstractNum w:abstractNumId="6">
    <w:nsid w:val="0000000C"/>
    <w:multiLevelType w:val="multilevel"/>
    <w:tmpl w:val="0000000C"/>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57AC316F"/>
    <w:multiLevelType w:val="singleLevel"/>
    <w:tmpl w:val="57AC316F"/>
    <w:lvl w:ilvl="0" w:tentative="0">
      <w:start w:val="5"/>
      <w:numFmt w:val="chineseCounting"/>
      <w:suff w:val="nothing"/>
      <w:lvlText w:val="（%1）"/>
      <w:lvlJc w:val="left"/>
      <w:rPr>
        <w:rFonts w:hint="eastAsia"/>
      </w:rPr>
    </w:lvl>
  </w:abstractNum>
  <w:num w:numId="1">
    <w:abstractNumId w:val="6"/>
  </w:num>
  <w:num w:numId="2">
    <w:abstractNumId w:val="4"/>
  </w:num>
  <w:num w:numId="3">
    <w:abstractNumId w:val="3"/>
  </w:num>
  <w:num w:numId="4">
    <w:abstractNumId w:val="7"/>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MzRkN2IwMDgzZGEzY2E0NWJmOTMyZjZkMjhjNTAifQ=="/>
  </w:docVars>
  <w:rsids>
    <w:rsidRoot w:val="00692EAE"/>
    <w:rsid w:val="00014E92"/>
    <w:rsid w:val="00065D43"/>
    <w:rsid w:val="00073BB2"/>
    <w:rsid w:val="0009534E"/>
    <w:rsid w:val="000A7059"/>
    <w:rsid w:val="001475E5"/>
    <w:rsid w:val="0018052B"/>
    <w:rsid w:val="001A2E8D"/>
    <w:rsid w:val="001E1327"/>
    <w:rsid w:val="001E3EB8"/>
    <w:rsid w:val="0027334D"/>
    <w:rsid w:val="002A216D"/>
    <w:rsid w:val="002B44FD"/>
    <w:rsid w:val="002F7DC1"/>
    <w:rsid w:val="00332D2C"/>
    <w:rsid w:val="003D4D7A"/>
    <w:rsid w:val="0044098B"/>
    <w:rsid w:val="00464C0B"/>
    <w:rsid w:val="00465BBD"/>
    <w:rsid w:val="004B77AD"/>
    <w:rsid w:val="004C7FF8"/>
    <w:rsid w:val="004E68E8"/>
    <w:rsid w:val="00532B0B"/>
    <w:rsid w:val="005563CB"/>
    <w:rsid w:val="00585353"/>
    <w:rsid w:val="0059791F"/>
    <w:rsid w:val="005F0F64"/>
    <w:rsid w:val="005F765D"/>
    <w:rsid w:val="00655102"/>
    <w:rsid w:val="00692EAE"/>
    <w:rsid w:val="0075573B"/>
    <w:rsid w:val="0076232D"/>
    <w:rsid w:val="00767AC4"/>
    <w:rsid w:val="007B4982"/>
    <w:rsid w:val="00857A2D"/>
    <w:rsid w:val="008E4665"/>
    <w:rsid w:val="00903331"/>
    <w:rsid w:val="00A57F30"/>
    <w:rsid w:val="00A65ED7"/>
    <w:rsid w:val="00AC791D"/>
    <w:rsid w:val="00AD5045"/>
    <w:rsid w:val="00AE5B21"/>
    <w:rsid w:val="00B9653C"/>
    <w:rsid w:val="00BB255E"/>
    <w:rsid w:val="00BC6751"/>
    <w:rsid w:val="00C347BF"/>
    <w:rsid w:val="00D835D3"/>
    <w:rsid w:val="00DD674B"/>
    <w:rsid w:val="00DE42F9"/>
    <w:rsid w:val="00E8375A"/>
    <w:rsid w:val="00E973CF"/>
    <w:rsid w:val="00EB1E59"/>
    <w:rsid w:val="00EB49E3"/>
    <w:rsid w:val="00EF5331"/>
    <w:rsid w:val="00F05259"/>
    <w:rsid w:val="00F134FF"/>
    <w:rsid w:val="00F243A8"/>
    <w:rsid w:val="00F326A4"/>
    <w:rsid w:val="00F4497D"/>
    <w:rsid w:val="00F47026"/>
    <w:rsid w:val="019125FC"/>
    <w:rsid w:val="01987FE8"/>
    <w:rsid w:val="01A77037"/>
    <w:rsid w:val="01B70CC2"/>
    <w:rsid w:val="02005B8D"/>
    <w:rsid w:val="02303DD4"/>
    <w:rsid w:val="02486813"/>
    <w:rsid w:val="029512D4"/>
    <w:rsid w:val="02963DFC"/>
    <w:rsid w:val="02B667DD"/>
    <w:rsid w:val="02C1356F"/>
    <w:rsid w:val="02CB1CF7"/>
    <w:rsid w:val="02D5625F"/>
    <w:rsid w:val="02F036FA"/>
    <w:rsid w:val="03443858"/>
    <w:rsid w:val="036B5288"/>
    <w:rsid w:val="037979A5"/>
    <w:rsid w:val="039842CF"/>
    <w:rsid w:val="039E431A"/>
    <w:rsid w:val="03E219EE"/>
    <w:rsid w:val="041C56B0"/>
    <w:rsid w:val="044704D0"/>
    <w:rsid w:val="045F4DED"/>
    <w:rsid w:val="04A10F62"/>
    <w:rsid w:val="04C50E82"/>
    <w:rsid w:val="04D806FC"/>
    <w:rsid w:val="05067755"/>
    <w:rsid w:val="05421C37"/>
    <w:rsid w:val="054229B7"/>
    <w:rsid w:val="055F3D0E"/>
    <w:rsid w:val="05C3315A"/>
    <w:rsid w:val="05C6234C"/>
    <w:rsid w:val="060B06C8"/>
    <w:rsid w:val="060F2843"/>
    <w:rsid w:val="061439B5"/>
    <w:rsid w:val="071A5F0E"/>
    <w:rsid w:val="071B7BAD"/>
    <w:rsid w:val="073B6F6F"/>
    <w:rsid w:val="07520C39"/>
    <w:rsid w:val="075D53D7"/>
    <w:rsid w:val="07B31723"/>
    <w:rsid w:val="07CB36FF"/>
    <w:rsid w:val="083F3B30"/>
    <w:rsid w:val="087D1CE6"/>
    <w:rsid w:val="08803584"/>
    <w:rsid w:val="089112ED"/>
    <w:rsid w:val="08935065"/>
    <w:rsid w:val="08C65134"/>
    <w:rsid w:val="096A04BC"/>
    <w:rsid w:val="0A051A16"/>
    <w:rsid w:val="0A466107"/>
    <w:rsid w:val="0A782765"/>
    <w:rsid w:val="0A8D0153"/>
    <w:rsid w:val="0AB1211B"/>
    <w:rsid w:val="0AE34A90"/>
    <w:rsid w:val="0B2621C1"/>
    <w:rsid w:val="0B2B5A29"/>
    <w:rsid w:val="0B440899"/>
    <w:rsid w:val="0B770C6E"/>
    <w:rsid w:val="0BDE0CED"/>
    <w:rsid w:val="0C28767C"/>
    <w:rsid w:val="0C3923C8"/>
    <w:rsid w:val="0C6311F3"/>
    <w:rsid w:val="0C801DA5"/>
    <w:rsid w:val="0CB212DF"/>
    <w:rsid w:val="0CD36378"/>
    <w:rsid w:val="0CE157B5"/>
    <w:rsid w:val="0CE560AB"/>
    <w:rsid w:val="0D116EA1"/>
    <w:rsid w:val="0D1B387B"/>
    <w:rsid w:val="0D1F336B"/>
    <w:rsid w:val="0DA675E9"/>
    <w:rsid w:val="0DFF319D"/>
    <w:rsid w:val="0E26072A"/>
    <w:rsid w:val="0E3E5A73"/>
    <w:rsid w:val="0E401CB6"/>
    <w:rsid w:val="0E9F20E3"/>
    <w:rsid w:val="0EEC3721"/>
    <w:rsid w:val="0F024CF3"/>
    <w:rsid w:val="0F451D76"/>
    <w:rsid w:val="0FD22917"/>
    <w:rsid w:val="10015A45"/>
    <w:rsid w:val="10101691"/>
    <w:rsid w:val="10240C99"/>
    <w:rsid w:val="104B4477"/>
    <w:rsid w:val="104D30C3"/>
    <w:rsid w:val="10645539"/>
    <w:rsid w:val="108312FE"/>
    <w:rsid w:val="108C51BC"/>
    <w:rsid w:val="10F1501F"/>
    <w:rsid w:val="11357601"/>
    <w:rsid w:val="11630A00"/>
    <w:rsid w:val="11A93C7D"/>
    <w:rsid w:val="122447BE"/>
    <w:rsid w:val="12AF4946"/>
    <w:rsid w:val="12B46A47"/>
    <w:rsid w:val="12FB4B4E"/>
    <w:rsid w:val="13021765"/>
    <w:rsid w:val="13285B03"/>
    <w:rsid w:val="13347445"/>
    <w:rsid w:val="13712447"/>
    <w:rsid w:val="1423262E"/>
    <w:rsid w:val="146B6E96"/>
    <w:rsid w:val="147621EA"/>
    <w:rsid w:val="14D7277E"/>
    <w:rsid w:val="14E761DD"/>
    <w:rsid w:val="150C1BA5"/>
    <w:rsid w:val="15100313"/>
    <w:rsid w:val="15F508CB"/>
    <w:rsid w:val="16227A29"/>
    <w:rsid w:val="162E2871"/>
    <w:rsid w:val="164368D5"/>
    <w:rsid w:val="166B7621"/>
    <w:rsid w:val="167950A5"/>
    <w:rsid w:val="16EA144D"/>
    <w:rsid w:val="17654110"/>
    <w:rsid w:val="178A3AD7"/>
    <w:rsid w:val="17B172B6"/>
    <w:rsid w:val="17E175E6"/>
    <w:rsid w:val="17FA6EAF"/>
    <w:rsid w:val="183C19FE"/>
    <w:rsid w:val="184C6FDF"/>
    <w:rsid w:val="18E92A80"/>
    <w:rsid w:val="190B50EC"/>
    <w:rsid w:val="191B4526"/>
    <w:rsid w:val="194B77F9"/>
    <w:rsid w:val="196D2878"/>
    <w:rsid w:val="19A03A86"/>
    <w:rsid w:val="19A077D8"/>
    <w:rsid w:val="19EE47F1"/>
    <w:rsid w:val="1A037B71"/>
    <w:rsid w:val="1A110F8D"/>
    <w:rsid w:val="1A14446F"/>
    <w:rsid w:val="1A344F03"/>
    <w:rsid w:val="1A404921"/>
    <w:rsid w:val="1A45329D"/>
    <w:rsid w:val="1A654388"/>
    <w:rsid w:val="1A714BAB"/>
    <w:rsid w:val="1A853D17"/>
    <w:rsid w:val="1AF56AE4"/>
    <w:rsid w:val="1AFB5181"/>
    <w:rsid w:val="1AFD4FCD"/>
    <w:rsid w:val="1AFE425A"/>
    <w:rsid w:val="1B171298"/>
    <w:rsid w:val="1B261D69"/>
    <w:rsid w:val="1B7538D9"/>
    <w:rsid w:val="1BAB226E"/>
    <w:rsid w:val="1BF53518"/>
    <w:rsid w:val="1C2C33AF"/>
    <w:rsid w:val="1CC565E8"/>
    <w:rsid w:val="1D29146A"/>
    <w:rsid w:val="1D3F35B6"/>
    <w:rsid w:val="1D715330"/>
    <w:rsid w:val="1D721295"/>
    <w:rsid w:val="1E0F417C"/>
    <w:rsid w:val="1ED32208"/>
    <w:rsid w:val="1EE435CB"/>
    <w:rsid w:val="1EEA4F4F"/>
    <w:rsid w:val="1F257CB7"/>
    <w:rsid w:val="1F3D58D3"/>
    <w:rsid w:val="1F7C7944"/>
    <w:rsid w:val="1FB8741A"/>
    <w:rsid w:val="1FB931AC"/>
    <w:rsid w:val="20500551"/>
    <w:rsid w:val="2074045F"/>
    <w:rsid w:val="20B61DE1"/>
    <w:rsid w:val="20B9542D"/>
    <w:rsid w:val="20CF0E3E"/>
    <w:rsid w:val="21004E0A"/>
    <w:rsid w:val="21090163"/>
    <w:rsid w:val="22165591"/>
    <w:rsid w:val="2242206E"/>
    <w:rsid w:val="22431452"/>
    <w:rsid w:val="224376A4"/>
    <w:rsid w:val="22525D60"/>
    <w:rsid w:val="22874F67"/>
    <w:rsid w:val="228F6446"/>
    <w:rsid w:val="22AA3280"/>
    <w:rsid w:val="22DF73CD"/>
    <w:rsid w:val="22EA18E2"/>
    <w:rsid w:val="230A2EA2"/>
    <w:rsid w:val="237733D9"/>
    <w:rsid w:val="247B4ED4"/>
    <w:rsid w:val="24802AEC"/>
    <w:rsid w:val="24CE5459"/>
    <w:rsid w:val="24E0567E"/>
    <w:rsid w:val="25006BE0"/>
    <w:rsid w:val="256C0CC0"/>
    <w:rsid w:val="25F767DC"/>
    <w:rsid w:val="26A526DC"/>
    <w:rsid w:val="26A56376"/>
    <w:rsid w:val="26CF59AB"/>
    <w:rsid w:val="26D7485F"/>
    <w:rsid w:val="27764078"/>
    <w:rsid w:val="277735CB"/>
    <w:rsid w:val="278247CB"/>
    <w:rsid w:val="27F51DBA"/>
    <w:rsid w:val="27FE77F3"/>
    <w:rsid w:val="28180C8B"/>
    <w:rsid w:val="28245882"/>
    <w:rsid w:val="28796405"/>
    <w:rsid w:val="289B1FE8"/>
    <w:rsid w:val="28C13FB4"/>
    <w:rsid w:val="28E27C5A"/>
    <w:rsid w:val="290556B4"/>
    <w:rsid w:val="29130C1E"/>
    <w:rsid w:val="293715E5"/>
    <w:rsid w:val="294C6E3F"/>
    <w:rsid w:val="29C235A5"/>
    <w:rsid w:val="29C41D34"/>
    <w:rsid w:val="29F02881"/>
    <w:rsid w:val="29F7267F"/>
    <w:rsid w:val="2A3C3357"/>
    <w:rsid w:val="2A5A3A8E"/>
    <w:rsid w:val="2A7F1496"/>
    <w:rsid w:val="2AA762F6"/>
    <w:rsid w:val="2AAB228B"/>
    <w:rsid w:val="2ABA427C"/>
    <w:rsid w:val="2AF02E62"/>
    <w:rsid w:val="2B6A39AF"/>
    <w:rsid w:val="2BAA613D"/>
    <w:rsid w:val="2C19528B"/>
    <w:rsid w:val="2C2C2F57"/>
    <w:rsid w:val="2C6C2ACA"/>
    <w:rsid w:val="2D263E4A"/>
    <w:rsid w:val="2D572256"/>
    <w:rsid w:val="2D636E4D"/>
    <w:rsid w:val="2DA41B2C"/>
    <w:rsid w:val="2DE0049D"/>
    <w:rsid w:val="2E1819E5"/>
    <w:rsid w:val="2E316D24"/>
    <w:rsid w:val="2E9410A5"/>
    <w:rsid w:val="2EC20A5B"/>
    <w:rsid w:val="2EE10029"/>
    <w:rsid w:val="2F0E3FE2"/>
    <w:rsid w:val="2F940A8D"/>
    <w:rsid w:val="303869B6"/>
    <w:rsid w:val="30512BB9"/>
    <w:rsid w:val="3069477A"/>
    <w:rsid w:val="307B26FD"/>
    <w:rsid w:val="308415B4"/>
    <w:rsid w:val="309612E7"/>
    <w:rsid w:val="30980BBB"/>
    <w:rsid w:val="30BC6003"/>
    <w:rsid w:val="30DD0957"/>
    <w:rsid w:val="31B639EF"/>
    <w:rsid w:val="32427031"/>
    <w:rsid w:val="328238D1"/>
    <w:rsid w:val="32C07C5C"/>
    <w:rsid w:val="32EC2A98"/>
    <w:rsid w:val="334A0A90"/>
    <w:rsid w:val="334B1737"/>
    <w:rsid w:val="33833DA5"/>
    <w:rsid w:val="33C46C09"/>
    <w:rsid w:val="33E02FA5"/>
    <w:rsid w:val="3459484B"/>
    <w:rsid w:val="34640A9B"/>
    <w:rsid w:val="34685268"/>
    <w:rsid w:val="34F7125B"/>
    <w:rsid w:val="34FC0CD6"/>
    <w:rsid w:val="34FD36E3"/>
    <w:rsid w:val="354D6418"/>
    <w:rsid w:val="35550D69"/>
    <w:rsid w:val="35652963"/>
    <w:rsid w:val="35954D78"/>
    <w:rsid w:val="360F1920"/>
    <w:rsid w:val="36304799"/>
    <w:rsid w:val="36620EB9"/>
    <w:rsid w:val="36A90322"/>
    <w:rsid w:val="36D603B0"/>
    <w:rsid w:val="36E035D0"/>
    <w:rsid w:val="36EC3A0F"/>
    <w:rsid w:val="36F31241"/>
    <w:rsid w:val="370A0339"/>
    <w:rsid w:val="37242836"/>
    <w:rsid w:val="378F54A1"/>
    <w:rsid w:val="379F4F25"/>
    <w:rsid w:val="37AD4195"/>
    <w:rsid w:val="38044D88"/>
    <w:rsid w:val="38635F53"/>
    <w:rsid w:val="389A2EE0"/>
    <w:rsid w:val="38F414F3"/>
    <w:rsid w:val="39113C01"/>
    <w:rsid w:val="39203E44"/>
    <w:rsid w:val="393416B5"/>
    <w:rsid w:val="39D87F40"/>
    <w:rsid w:val="39DB2ABE"/>
    <w:rsid w:val="3A8521B0"/>
    <w:rsid w:val="3A970136"/>
    <w:rsid w:val="3AC23405"/>
    <w:rsid w:val="3AE710BD"/>
    <w:rsid w:val="3B143534"/>
    <w:rsid w:val="3B237CA5"/>
    <w:rsid w:val="3B3140E6"/>
    <w:rsid w:val="3B5C79AA"/>
    <w:rsid w:val="3B8A5337"/>
    <w:rsid w:val="3C12216A"/>
    <w:rsid w:val="3C477FA0"/>
    <w:rsid w:val="3C641C6B"/>
    <w:rsid w:val="3C7C5F26"/>
    <w:rsid w:val="3CA07630"/>
    <w:rsid w:val="3CD6475B"/>
    <w:rsid w:val="3CF30E96"/>
    <w:rsid w:val="3D314871"/>
    <w:rsid w:val="3D347629"/>
    <w:rsid w:val="3D6267D9"/>
    <w:rsid w:val="3D635D45"/>
    <w:rsid w:val="3D973607"/>
    <w:rsid w:val="3DB334D8"/>
    <w:rsid w:val="3E0C4997"/>
    <w:rsid w:val="3E2A5F3B"/>
    <w:rsid w:val="3E4928E7"/>
    <w:rsid w:val="3E6F3966"/>
    <w:rsid w:val="3ECF0E18"/>
    <w:rsid w:val="3F230B85"/>
    <w:rsid w:val="3F2A5A1C"/>
    <w:rsid w:val="3F373C95"/>
    <w:rsid w:val="3F3B5533"/>
    <w:rsid w:val="3F454604"/>
    <w:rsid w:val="3F47037C"/>
    <w:rsid w:val="3F4C3EB3"/>
    <w:rsid w:val="3FC11602"/>
    <w:rsid w:val="3FEC2CD2"/>
    <w:rsid w:val="409F4234"/>
    <w:rsid w:val="40BF2194"/>
    <w:rsid w:val="412C52F3"/>
    <w:rsid w:val="41433130"/>
    <w:rsid w:val="41523008"/>
    <w:rsid w:val="41577625"/>
    <w:rsid w:val="41BE5A2A"/>
    <w:rsid w:val="423746D8"/>
    <w:rsid w:val="423A7D24"/>
    <w:rsid w:val="42701998"/>
    <w:rsid w:val="42714333"/>
    <w:rsid w:val="433A4E46"/>
    <w:rsid w:val="43814017"/>
    <w:rsid w:val="43A454CB"/>
    <w:rsid w:val="43DA778D"/>
    <w:rsid w:val="440C3942"/>
    <w:rsid w:val="44713C2D"/>
    <w:rsid w:val="450B56AF"/>
    <w:rsid w:val="4517259F"/>
    <w:rsid w:val="451B591F"/>
    <w:rsid w:val="456A4DC4"/>
    <w:rsid w:val="45D4223E"/>
    <w:rsid w:val="463B406B"/>
    <w:rsid w:val="469061E6"/>
    <w:rsid w:val="47040901"/>
    <w:rsid w:val="47092E80"/>
    <w:rsid w:val="47DE30EE"/>
    <w:rsid w:val="484E2F2D"/>
    <w:rsid w:val="48DD4734"/>
    <w:rsid w:val="48EF0FBD"/>
    <w:rsid w:val="492B03C7"/>
    <w:rsid w:val="495676F9"/>
    <w:rsid w:val="498945F3"/>
    <w:rsid w:val="498A77E3"/>
    <w:rsid w:val="4A0D21C2"/>
    <w:rsid w:val="4A3B0ADD"/>
    <w:rsid w:val="4A511191"/>
    <w:rsid w:val="4AC530D5"/>
    <w:rsid w:val="4B1A05AF"/>
    <w:rsid w:val="4B2C6678"/>
    <w:rsid w:val="4BBA6677"/>
    <w:rsid w:val="4C6A7458"/>
    <w:rsid w:val="4C765DFD"/>
    <w:rsid w:val="4CDB2104"/>
    <w:rsid w:val="4D0B5494"/>
    <w:rsid w:val="4DC132E9"/>
    <w:rsid w:val="4DF56905"/>
    <w:rsid w:val="4E044CDD"/>
    <w:rsid w:val="4E2F0959"/>
    <w:rsid w:val="4E5D3917"/>
    <w:rsid w:val="4E683E6B"/>
    <w:rsid w:val="4E9C5F37"/>
    <w:rsid w:val="4EDE5EDB"/>
    <w:rsid w:val="4F0A7F11"/>
    <w:rsid w:val="4F6D5265"/>
    <w:rsid w:val="4F870F2C"/>
    <w:rsid w:val="4F9667B6"/>
    <w:rsid w:val="4FE614EB"/>
    <w:rsid w:val="4FE74C35"/>
    <w:rsid w:val="4FEB08B0"/>
    <w:rsid w:val="5076286F"/>
    <w:rsid w:val="50865970"/>
    <w:rsid w:val="50BB3C42"/>
    <w:rsid w:val="50BD049E"/>
    <w:rsid w:val="50BD0822"/>
    <w:rsid w:val="50F11EF6"/>
    <w:rsid w:val="510065DD"/>
    <w:rsid w:val="514A2AE5"/>
    <w:rsid w:val="516721B8"/>
    <w:rsid w:val="51E27A91"/>
    <w:rsid w:val="51F6353C"/>
    <w:rsid w:val="520E7A70"/>
    <w:rsid w:val="52140B6F"/>
    <w:rsid w:val="521C11F4"/>
    <w:rsid w:val="52280C18"/>
    <w:rsid w:val="522B6124"/>
    <w:rsid w:val="52410C5B"/>
    <w:rsid w:val="527D5223"/>
    <w:rsid w:val="52CC0A7E"/>
    <w:rsid w:val="53397B84"/>
    <w:rsid w:val="534A6130"/>
    <w:rsid w:val="53634C01"/>
    <w:rsid w:val="53AE0572"/>
    <w:rsid w:val="54947768"/>
    <w:rsid w:val="54CE6FC8"/>
    <w:rsid w:val="54D13CF2"/>
    <w:rsid w:val="54E63D3C"/>
    <w:rsid w:val="55083CB2"/>
    <w:rsid w:val="55124B31"/>
    <w:rsid w:val="55370F91"/>
    <w:rsid w:val="55FA1193"/>
    <w:rsid w:val="56551179"/>
    <w:rsid w:val="568630E0"/>
    <w:rsid w:val="576F0CDA"/>
    <w:rsid w:val="57832EB9"/>
    <w:rsid w:val="57D32355"/>
    <w:rsid w:val="57FE5D87"/>
    <w:rsid w:val="581D7A74"/>
    <w:rsid w:val="587F24DD"/>
    <w:rsid w:val="589E5122"/>
    <w:rsid w:val="58BB464A"/>
    <w:rsid w:val="58F472E4"/>
    <w:rsid w:val="590101F7"/>
    <w:rsid w:val="592828CF"/>
    <w:rsid w:val="59301A29"/>
    <w:rsid w:val="59831B59"/>
    <w:rsid w:val="59975605"/>
    <w:rsid w:val="59A3044D"/>
    <w:rsid w:val="5A217462"/>
    <w:rsid w:val="5A2C0443"/>
    <w:rsid w:val="5A715E56"/>
    <w:rsid w:val="5A8570CB"/>
    <w:rsid w:val="5A9D6C4B"/>
    <w:rsid w:val="5AB83A84"/>
    <w:rsid w:val="5AEE14F7"/>
    <w:rsid w:val="5AFF7905"/>
    <w:rsid w:val="5B2B24A8"/>
    <w:rsid w:val="5B743E4F"/>
    <w:rsid w:val="5B7A5300"/>
    <w:rsid w:val="5B955B74"/>
    <w:rsid w:val="5BD112A2"/>
    <w:rsid w:val="5C074CC3"/>
    <w:rsid w:val="5C451BB4"/>
    <w:rsid w:val="5C7560D1"/>
    <w:rsid w:val="5CF40D09"/>
    <w:rsid w:val="5D335644"/>
    <w:rsid w:val="5D891708"/>
    <w:rsid w:val="5D95186C"/>
    <w:rsid w:val="5DA86B86"/>
    <w:rsid w:val="5DC60CCB"/>
    <w:rsid w:val="5E4D0988"/>
    <w:rsid w:val="5E714676"/>
    <w:rsid w:val="5EC82AC9"/>
    <w:rsid w:val="5ECC2E36"/>
    <w:rsid w:val="5F9E7F0F"/>
    <w:rsid w:val="5FAF1AD7"/>
    <w:rsid w:val="5FEC2A61"/>
    <w:rsid w:val="60213E7A"/>
    <w:rsid w:val="60BD0047"/>
    <w:rsid w:val="613D534D"/>
    <w:rsid w:val="615D4BA4"/>
    <w:rsid w:val="615F2EAC"/>
    <w:rsid w:val="617050B9"/>
    <w:rsid w:val="61810030"/>
    <w:rsid w:val="619D39D4"/>
    <w:rsid w:val="61A3723C"/>
    <w:rsid w:val="620D6DAC"/>
    <w:rsid w:val="626B6509"/>
    <w:rsid w:val="627E6A8C"/>
    <w:rsid w:val="628E1815"/>
    <w:rsid w:val="62CC27C3"/>
    <w:rsid w:val="62CC631F"/>
    <w:rsid w:val="62D0090A"/>
    <w:rsid w:val="62F92E8C"/>
    <w:rsid w:val="62FE04A2"/>
    <w:rsid w:val="631919A6"/>
    <w:rsid w:val="63612F0B"/>
    <w:rsid w:val="637864A7"/>
    <w:rsid w:val="637F5A87"/>
    <w:rsid w:val="63F83144"/>
    <w:rsid w:val="63F975E8"/>
    <w:rsid w:val="64012139"/>
    <w:rsid w:val="640512B4"/>
    <w:rsid w:val="64123BE1"/>
    <w:rsid w:val="64151F48"/>
    <w:rsid w:val="645B2050"/>
    <w:rsid w:val="648D5F82"/>
    <w:rsid w:val="64A15589"/>
    <w:rsid w:val="64B21544"/>
    <w:rsid w:val="64C24383"/>
    <w:rsid w:val="64CF20F6"/>
    <w:rsid w:val="6524315E"/>
    <w:rsid w:val="653F727C"/>
    <w:rsid w:val="65534AD5"/>
    <w:rsid w:val="659A6BA8"/>
    <w:rsid w:val="65C73FC8"/>
    <w:rsid w:val="65CE23AE"/>
    <w:rsid w:val="65ED6CD8"/>
    <w:rsid w:val="66236B9E"/>
    <w:rsid w:val="66644AC0"/>
    <w:rsid w:val="667D0CBC"/>
    <w:rsid w:val="66A51361"/>
    <w:rsid w:val="66C13AC4"/>
    <w:rsid w:val="66CB3AE0"/>
    <w:rsid w:val="66D460EA"/>
    <w:rsid w:val="66DD6313"/>
    <w:rsid w:val="67332E10"/>
    <w:rsid w:val="675C2E38"/>
    <w:rsid w:val="676236F6"/>
    <w:rsid w:val="67713939"/>
    <w:rsid w:val="67746F85"/>
    <w:rsid w:val="67900263"/>
    <w:rsid w:val="67E66203"/>
    <w:rsid w:val="68336E40"/>
    <w:rsid w:val="683B6A9B"/>
    <w:rsid w:val="685017A0"/>
    <w:rsid w:val="685446F2"/>
    <w:rsid w:val="688B219F"/>
    <w:rsid w:val="68E5013A"/>
    <w:rsid w:val="691C6E3B"/>
    <w:rsid w:val="696C43B8"/>
    <w:rsid w:val="698755FD"/>
    <w:rsid w:val="69F756F6"/>
    <w:rsid w:val="6A235682"/>
    <w:rsid w:val="6A927E4E"/>
    <w:rsid w:val="6AF723A7"/>
    <w:rsid w:val="6B6C069F"/>
    <w:rsid w:val="6B6E1680"/>
    <w:rsid w:val="6B855C05"/>
    <w:rsid w:val="6B9570A0"/>
    <w:rsid w:val="6BAA566B"/>
    <w:rsid w:val="6BB64010"/>
    <w:rsid w:val="6C546284"/>
    <w:rsid w:val="6C9205D9"/>
    <w:rsid w:val="6C97799E"/>
    <w:rsid w:val="6CC62031"/>
    <w:rsid w:val="6CE07597"/>
    <w:rsid w:val="6D7E0B5E"/>
    <w:rsid w:val="6DB27330"/>
    <w:rsid w:val="6DDB4F06"/>
    <w:rsid w:val="6DDC27CA"/>
    <w:rsid w:val="6DEC2A36"/>
    <w:rsid w:val="6E0A419F"/>
    <w:rsid w:val="6E0B62EE"/>
    <w:rsid w:val="6E317473"/>
    <w:rsid w:val="6E5722FA"/>
    <w:rsid w:val="6EB00E33"/>
    <w:rsid w:val="6FE318ED"/>
    <w:rsid w:val="70271038"/>
    <w:rsid w:val="703379DD"/>
    <w:rsid w:val="705B5186"/>
    <w:rsid w:val="71755DD4"/>
    <w:rsid w:val="71A1306D"/>
    <w:rsid w:val="71C33BCF"/>
    <w:rsid w:val="720F447A"/>
    <w:rsid w:val="72444124"/>
    <w:rsid w:val="727644F9"/>
    <w:rsid w:val="72A03F75"/>
    <w:rsid w:val="72B312A9"/>
    <w:rsid w:val="72B850FB"/>
    <w:rsid w:val="73355D12"/>
    <w:rsid w:val="74281823"/>
    <w:rsid w:val="74432492"/>
    <w:rsid w:val="7479207F"/>
    <w:rsid w:val="74D01C2F"/>
    <w:rsid w:val="74FD65DB"/>
    <w:rsid w:val="750616C5"/>
    <w:rsid w:val="7512691F"/>
    <w:rsid w:val="75436EF0"/>
    <w:rsid w:val="75BD1F5F"/>
    <w:rsid w:val="75FA780A"/>
    <w:rsid w:val="76595CC4"/>
    <w:rsid w:val="76854D0B"/>
    <w:rsid w:val="76CA077B"/>
    <w:rsid w:val="76F30AB4"/>
    <w:rsid w:val="77334767"/>
    <w:rsid w:val="773806C9"/>
    <w:rsid w:val="775A4198"/>
    <w:rsid w:val="776D3468"/>
    <w:rsid w:val="77771465"/>
    <w:rsid w:val="778D20C9"/>
    <w:rsid w:val="77DA2E34"/>
    <w:rsid w:val="77DA4BE2"/>
    <w:rsid w:val="78236589"/>
    <w:rsid w:val="785E73E8"/>
    <w:rsid w:val="78770683"/>
    <w:rsid w:val="788E22F0"/>
    <w:rsid w:val="78E139A5"/>
    <w:rsid w:val="791365FE"/>
    <w:rsid w:val="7973342A"/>
    <w:rsid w:val="799F7F8D"/>
    <w:rsid w:val="79F521A7"/>
    <w:rsid w:val="7A0379A5"/>
    <w:rsid w:val="7A130F5D"/>
    <w:rsid w:val="7AFB559C"/>
    <w:rsid w:val="7B091563"/>
    <w:rsid w:val="7B096372"/>
    <w:rsid w:val="7B2F16E9"/>
    <w:rsid w:val="7B4E03F5"/>
    <w:rsid w:val="7B670E83"/>
    <w:rsid w:val="7B6802EF"/>
    <w:rsid w:val="7C030BAC"/>
    <w:rsid w:val="7C1467FD"/>
    <w:rsid w:val="7C2B0102"/>
    <w:rsid w:val="7C611D76"/>
    <w:rsid w:val="7C727ADF"/>
    <w:rsid w:val="7C811DE5"/>
    <w:rsid w:val="7CBC30EB"/>
    <w:rsid w:val="7CF16C56"/>
    <w:rsid w:val="7D0746CC"/>
    <w:rsid w:val="7D425704"/>
    <w:rsid w:val="7D8E26F7"/>
    <w:rsid w:val="7D943A85"/>
    <w:rsid w:val="7DD96A9D"/>
    <w:rsid w:val="7E0806FB"/>
    <w:rsid w:val="7F1C1F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35"/>
    <w:qFormat/>
    <w:uiPriority w:val="99"/>
    <w:pPr>
      <w:keepNext/>
      <w:keepLines/>
      <w:spacing w:line="240" w:lineRule="auto"/>
      <w:jc w:val="center"/>
      <w:outlineLvl w:val="0"/>
    </w:pPr>
    <w:rPr>
      <w:rFonts w:eastAsia="仿宋"/>
      <w:b/>
      <w:bCs/>
      <w:color w:val="000000"/>
      <w:kern w:val="44"/>
      <w:sz w:val="36"/>
      <w:szCs w:val="36"/>
    </w:rPr>
  </w:style>
  <w:style w:type="paragraph" w:styleId="4">
    <w:name w:val="heading 2"/>
    <w:basedOn w:val="1"/>
    <w:next w:val="1"/>
    <w:qFormat/>
    <w:uiPriority w:val="99"/>
    <w:pPr>
      <w:keepNext/>
      <w:keepLines/>
      <w:spacing w:line="240" w:lineRule="auto"/>
      <w:outlineLvl w:val="1"/>
    </w:pPr>
    <w:rPr>
      <w:rFonts w:ascii="Calibri" w:hAnsi="Calibri" w:cs="Calibri"/>
      <w:b/>
      <w:bCs/>
      <w:sz w:val="32"/>
      <w:szCs w:val="32"/>
    </w:rPr>
  </w:style>
  <w:style w:type="paragraph" w:styleId="5">
    <w:name w:val="heading 3"/>
    <w:basedOn w:val="1"/>
    <w:next w:val="1"/>
    <w:qFormat/>
    <w:uiPriority w:val="99"/>
    <w:pPr>
      <w:keepNext/>
      <w:keepLines/>
      <w:spacing w:line="400" w:lineRule="atLeast"/>
      <w:jc w:val="center"/>
      <w:outlineLvl w:val="2"/>
    </w:pPr>
    <w:rPr>
      <w:b/>
      <w:bCs/>
      <w:sz w:val="32"/>
      <w:szCs w:val="32"/>
      <w:u w:val="double"/>
    </w:rPr>
  </w:style>
  <w:style w:type="paragraph" w:styleId="6">
    <w:name w:val="heading 4"/>
    <w:basedOn w:val="1"/>
    <w:next w:val="1"/>
    <w:qFormat/>
    <w:uiPriority w:val="99"/>
    <w:pPr>
      <w:keepNext/>
      <w:keepLines/>
      <w:spacing w:before="280" w:after="290" w:line="376" w:lineRule="atLeast"/>
      <w:outlineLvl w:val="3"/>
    </w:pPr>
    <w:rPr>
      <w:rFonts w:ascii="Calibri" w:hAnsi="Calibri" w:cs="Calibri"/>
      <w:b/>
      <w:bCs/>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99"/>
    <w:pPr>
      <w:spacing w:afterLines="50" w:line="360" w:lineRule="auto"/>
    </w:pPr>
    <w:rPr>
      <w:rFonts w:ascii="宋体" w:hAnsi="宋体" w:cs="宋体"/>
      <w:color w:val="000000"/>
      <w:sz w:val="24"/>
      <w:szCs w:val="24"/>
    </w:rPr>
  </w:style>
  <w:style w:type="paragraph" w:styleId="7">
    <w:name w:val="Normal Indent"/>
    <w:basedOn w:val="1"/>
    <w:next w:val="8"/>
    <w:qFormat/>
    <w:uiPriority w:val="99"/>
    <w:pPr>
      <w:ind w:firstLine="420"/>
    </w:pPr>
  </w:style>
  <w:style w:type="paragraph" w:styleId="8">
    <w:name w:val="toc 4"/>
    <w:basedOn w:val="1"/>
    <w:next w:val="1"/>
    <w:qFormat/>
    <w:uiPriority w:val="39"/>
    <w:pPr>
      <w:spacing w:line="240" w:lineRule="auto"/>
      <w:ind w:left="1260" w:leftChars="600"/>
    </w:p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link w:val="36"/>
    <w:qFormat/>
    <w:uiPriority w:val="0"/>
    <w:pPr>
      <w:jc w:val="left"/>
    </w:pPr>
  </w:style>
  <w:style w:type="paragraph" w:styleId="11">
    <w:name w:val="Body Text Indent"/>
    <w:basedOn w:val="1"/>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Balloon Text"/>
    <w:basedOn w:val="1"/>
    <w:link w:val="37"/>
    <w:qFormat/>
    <w:uiPriority w:val="0"/>
    <w:pPr>
      <w:spacing w:line="240" w:lineRule="auto"/>
    </w:pPr>
    <w:rPr>
      <w:sz w:val="18"/>
      <w:szCs w:val="18"/>
    </w:rPr>
  </w:style>
  <w:style w:type="paragraph" w:styleId="14">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15">
    <w:name w:val="header"/>
    <w:basedOn w:val="1"/>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16">
    <w:name w:val="toc 1"/>
    <w:basedOn w:val="1"/>
    <w:next w:val="1"/>
    <w:qFormat/>
    <w:uiPriority w:val="99"/>
  </w:style>
  <w:style w:type="paragraph" w:styleId="17">
    <w:name w:val="toc 2"/>
    <w:basedOn w:val="1"/>
    <w:next w:val="1"/>
    <w:qFormat/>
    <w:uiPriority w:val="99"/>
    <w:pPr>
      <w:ind w:left="420" w:leftChars="200"/>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HTML Preformatted"/>
    <w:basedOn w:val="1"/>
    <w:qFormat/>
    <w:uiPriority w:val="99"/>
    <w:pPr>
      <w:jc w:val="left"/>
    </w:pPr>
    <w:rPr>
      <w:rFonts w:ascii="Arial" w:hAnsi="Arial" w:cs="Arial"/>
      <w:kern w:val="0"/>
      <w:sz w:val="24"/>
      <w:szCs w:val="24"/>
    </w:rPr>
  </w:style>
  <w:style w:type="paragraph" w:styleId="20">
    <w:name w:val="Normal (Web)"/>
    <w:basedOn w:val="1"/>
    <w:qFormat/>
    <w:uiPriority w:val="99"/>
    <w:pPr>
      <w:spacing w:beforeAutospacing="1" w:afterAutospacing="1"/>
      <w:jc w:val="left"/>
    </w:pPr>
    <w:rPr>
      <w:kern w:val="0"/>
      <w:sz w:val="24"/>
      <w:szCs w:val="24"/>
    </w:rPr>
  </w:style>
  <w:style w:type="paragraph" w:styleId="21">
    <w:name w:val="annotation subject"/>
    <w:basedOn w:val="10"/>
    <w:next w:val="10"/>
    <w:link w:val="38"/>
    <w:qFormat/>
    <w:uiPriority w:val="0"/>
    <w:rPr>
      <w:b/>
      <w:bCs/>
    </w:rPr>
  </w:style>
  <w:style w:type="paragraph" w:styleId="22">
    <w:name w:val="Body Text First Indent"/>
    <w:basedOn w:val="2"/>
    <w:next w:val="23"/>
    <w:qFormat/>
    <w:uiPriority w:val="99"/>
    <w:pPr>
      <w:spacing w:line="240" w:lineRule="auto"/>
      <w:ind w:firstLine="420" w:firstLineChars="100"/>
    </w:pPr>
    <w:rPr>
      <w:rFonts w:ascii="Times New Roman" w:hAnsi="Times New Roman" w:cs="Times New Roman"/>
      <w:color w:val="auto"/>
      <w:sz w:val="18"/>
      <w:szCs w:val="18"/>
    </w:rPr>
  </w:style>
  <w:style w:type="paragraph" w:styleId="23">
    <w:name w:val="Body Text First Indent 2"/>
    <w:basedOn w:val="11"/>
    <w:next w:val="1"/>
    <w:qFormat/>
    <w:uiPriority w:val="0"/>
    <w:pPr>
      <w:tabs>
        <w:tab w:val="left" w:pos="0"/>
      </w:tabs>
      <w:spacing w:line="240" w:lineRule="auto"/>
      <w:ind w:firstLine="420" w:firstLineChars="200"/>
    </w:pPr>
    <w:rPr>
      <w:rFonts w:eastAsia="楷体_GB2312"/>
      <w:b/>
      <w:szCs w:val="24"/>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Emphasis"/>
    <w:qFormat/>
    <w:uiPriority w:val="0"/>
    <w:rPr>
      <w:i/>
      <w:iCs/>
    </w:rPr>
  </w:style>
  <w:style w:type="character" w:styleId="28">
    <w:name w:val="Hyperlink"/>
    <w:qFormat/>
    <w:uiPriority w:val="99"/>
    <w:rPr>
      <w:color w:val="000000"/>
      <w:sz w:val="18"/>
      <w:szCs w:val="18"/>
      <w:u w:val="none"/>
    </w:rPr>
  </w:style>
  <w:style w:type="character" w:styleId="29">
    <w:name w:val="annotation reference"/>
    <w:qFormat/>
    <w:uiPriority w:val="0"/>
    <w:rPr>
      <w:sz w:val="21"/>
      <w:szCs w:val="21"/>
    </w:rPr>
  </w:style>
  <w:style w:type="paragraph" w:customStyle="1" w:styleId="30">
    <w:name w:val="BodyText1I"/>
    <w:basedOn w:val="31"/>
    <w:next w:val="32"/>
    <w:qFormat/>
    <w:uiPriority w:val="0"/>
    <w:pPr>
      <w:widowControl/>
      <w:spacing w:line="240" w:lineRule="auto"/>
      <w:ind w:firstLine="420" w:firstLineChars="100"/>
      <w:jc w:val="both"/>
      <w:textAlignment w:val="baseline"/>
    </w:pPr>
    <w:rPr>
      <w:rFonts w:ascii="Times New Roman" w:hAnsi="Times New Roman" w:eastAsia="华文仿宋"/>
      <w:color w:val="000000"/>
      <w:kern w:val="2"/>
      <w:sz w:val="18"/>
      <w:szCs w:val="18"/>
      <w:lang w:val="en-US" w:eastAsia="zh-CN" w:bidi="ar-SA"/>
    </w:rPr>
  </w:style>
  <w:style w:type="paragraph" w:customStyle="1" w:styleId="31">
    <w:name w:val="BodyText"/>
    <w:basedOn w:val="1"/>
    <w:next w:val="1"/>
    <w:qFormat/>
    <w:uiPriority w:val="0"/>
    <w:pPr>
      <w:spacing w:after="156" w:line="360" w:lineRule="auto"/>
      <w:textAlignment w:val="baseline"/>
    </w:pPr>
    <w:rPr>
      <w:rFonts w:ascii="宋体" w:hAnsi="宋体"/>
      <w:color w:val="000000"/>
      <w:sz w:val="24"/>
    </w:rPr>
  </w:style>
  <w:style w:type="paragraph" w:customStyle="1" w:styleId="32">
    <w:name w:val="BodyText1I2"/>
    <w:basedOn w:val="33"/>
    <w:next w:val="1"/>
    <w:qFormat/>
    <w:uiPriority w:val="0"/>
    <w:pPr>
      <w:widowControl/>
      <w:tabs>
        <w:tab w:val="left" w:pos="0"/>
      </w:tabs>
      <w:spacing w:after="120" w:line="240" w:lineRule="auto"/>
      <w:ind w:left="420" w:leftChars="200" w:firstLine="420" w:firstLineChars="200"/>
      <w:jc w:val="both"/>
      <w:textAlignment w:val="baseline"/>
    </w:pPr>
    <w:rPr>
      <w:rFonts w:eastAsia="楷体_GB2312"/>
      <w:b/>
      <w:szCs w:val="24"/>
    </w:rPr>
  </w:style>
  <w:style w:type="paragraph" w:customStyle="1" w:styleId="33">
    <w:name w:val="BodyTextIndent"/>
    <w:basedOn w:val="1"/>
    <w:qFormat/>
    <w:uiPriority w:val="0"/>
    <w:pPr>
      <w:widowControl/>
      <w:spacing w:after="120" w:line="400" w:lineRule="exact"/>
      <w:ind w:left="420" w:leftChars="200"/>
      <w:jc w:val="both"/>
      <w:textAlignment w:val="baseline"/>
    </w:pPr>
  </w:style>
  <w:style w:type="character" w:customStyle="1" w:styleId="34">
    <w:name w:val="正文文本 Char"/>
    <w:link w:val="2"/>
    <w:qFormat/>
    <w:uiPriority w:val="99"/>
    <w:rPr>
      <w:rFonts w:ascii="宋体" w:hAnsi="宋体" w:eastAsia="华文仿宋" w:cs="宋体"/>
      <w:color w:val="000000"/>
      <w:kern w:val="2"/>
      <w:sz w:val="24"/>
      <w:szCs w:val="24"/>
    </w:rPr>
  </w:style>
  <w:style w:type="character" w:customStyle="1" w:styleId="35">
    <w:name w:val="标题 1 Char"/>
    <w:link w:val="3"/>
    <w:qFormat/>
    <w:uiPriority w:val="9"/>
    <w:rPr>
      <w:rFonts w:eastAsia="仿宋"/>
      <w:b/>
      <w:bCs/>
      <w:color w:val="000000"/>
      <w:kern w:val="44"/>
      <w:sz w:val="36"/>
      <w:szCs w:val="36"/>
    </w:rPr>
  </w:style>
  <w:style w:type="character" w:customStyle="1" w:styleId="36">
    <w:name w:val="批注文字 Char"/>
    <w:link w:val="10"/>
    <w:qFormat/>
    <w:uiPriority w:val="0"/>
    <w:rPr>
      <w:rFonts w:ascii="Calibri Light" w:hAnsi="Calibri Light" w:eastAsia="华文仿宋" w:cs="Calibri Light"/>
      <w:kern w:val="2"/>
      <w:sz w:val="28"/>
      <w:szCs w:val="28"/>
    </w:rPr>
  </w:style>
  <w:style w:type="character" w:customStyle="1" w:styleId="37">
    <w:name w:val="批注框文本 Char"/>
    <w:link w:val="13"/>
    <w:qFormat/>
    <w:uiPriority w:val="0"/>
    <w:rPr>
      <w:rFonts w:ascii="Calibri Light" w:hAnsi="Calibri Light" w:eastAsia="华文仿宋" w:cs="Calibri Light"/>
      <w:kern w:val="2"/>
      <w:sz w:val="18"/>
      <w:szCs w:val="18"/>
    </w:rPr>
  </w:style>
  <w:style w:type="character" w:customStyle="1" w:styleId="38">
    <w:name w:val="批注主题 Char"/>
    <w:link w:val="21"/>
    <w:qFormat/>
    <w:uiPriority w:val="0"/>
  </w:style>
  <w:style w:type="paragraph" w:customStyle="1" w:styleId="39">
    <w:name w:val="正文（缩进 2 字符）"/>
    <w:basedOn w:val="1"/>
    <w:qFormat/>
    <w:uiPriority w:val="99"/>
    <w:pPr>
      <w:ind w:firstLine="200" w:firstLineChars="200"/>
    </w:pPr>
  </w:style>
  <w:style w:type="paragraph" w:customStyle="1" w:styleId="40">
    <w:name w:val="正文（缩进 4 字符）"/>
    <w:basedOn w:val="1"/>
    <w:qFormat/>
    <w:uiPriority w:val="99"/>
    <w:pPr>
      <w:ind w:firstLine="1134" w:firstLineChars="400"/>
    </w:pPr>
  </w:style>
  <w:style w:type="paragraph" w:customStyle="1" w:styleId="41">
    <w:name w:val="标题 2（投标文件）"/>
    <w:basedOn w:val="4"/>
    <w:qFormat/>
    <w:uiPriority w:val="99"/>
    <w:pPr>
      <w:jc w:val="center"/>
    </w:pPr>
  </w:style>
  <w:style w:type="paragraph" w:customStyle="1" w:styleId="42">
    <w:name w:val="标题 3（投标文件）"/>
    <w:basedOn w:val="5"/>
    <w:qFormat/>
    <w:uiPriority w:val="99"/>
    <w:pPr>
      <w:jc w:val="left"/>
    </w:pPr>
    <w:rPr>
      <w:u w:val="none"/>
    </w:rPr>
  </w:style>
  <w:style w:type="paragraph" w:customStyle="1" w:styleId="43">
    <w:name w:val="正文文本 31"/>
    <w:basedOn w:val="1"/>
    <w:qFormat/>
    <w:uiPriority w:val="0"/>
    <w:rPr>
      <w:sz w:val="16"/>
      <w:szCs w:val="16"/>
    </w:rPr>
  </w:style>
  <w:style w:type="paragraph" w:customStyle="1" w:styleId="44">
    <w:name w:val="Default"/>
    <w:next w:val="1"/>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5">
    <w:name w:val="Table Paragraph"/>
    <w:basedOn w:val="1"/>
    <w:qFormat/>
    <w:uiPriority w:val="99"/>
    <w:pPr>
      <w:autoSpaceDE w:val="0"/>
      <w:autoSpaceDN w:val="0"/>
      <w:jc w:val="left"/>
    </w:pPr>
    <w:rPr>
      <w:rFonts w:ascii="宋体" w:hAnsi="宋体" w:cs="宋体"/>
      <w:kern w:val="0"/>
      <w:sz w:val="22"/>
      <w:szCs w:val="22"/>
      <w:lang w:eastAsia="en-US"/>
    </w:rPr>
  </w:style>
  <w:style w:type="paragraph" w:customStyle="1" w:styleId="46">
    <w:name w:val="列出段落1"/>
    <w:basedOn w:val="1"/>
    <w:qFormat/>
    <w:uiPriority w:val="34"/>
    <w:pPr>
      <w:ind w:firstLine="420" w:firstLineChars="200"/>
    </w:pPr>
    <w:rPr>
      <w:rFonts w:ascii="Times New Roman" w:hAnsi="Times New Roman"/>
    </w:rPr>
  </w:style>
  <w:style w:type="paragraph" w:customStyle="1" w:styleId="47">
    <w:name w:val="标题 5（有编号）（绿盟科技）"/>
    <w:basedOn w:val="1"/>
    <w:next w:val="1"/>
    <w:qFormat/>
    <w:uiPriority w:val="0"/>
    <w:pPr>
      <w:keepNext/>
      <w:keepLines/>
      <w:numPr>
        <w:ilvl w:val="4"/>
        <w:numId w:val="1"/>
      </w:numPr>
      <w:tabs>
        <w:tab w:val="left" w:pos="0"/>
      </w:tabs>
      <w:spacing w:before="280" w:after="156" w:line="377" w:lineRule="auto"/>
      <w:outlineLvl w:val="4"/>
    </w:pPr>
    <w:rPr>
      <w:rFonts w:ascii="Arial" w:hAnsi="Arial" w:eastAsia="黑体"/>
      <w:b/>
      <w:kern w:val="0"/>
    </w:rPr>
  </w:style>
  <w:style w:type="paragraph" w:customStyle="1" w:styleId="48">
    <w:name w:val="样式4"/>
    <w:basedOn w:val="1"/>
    <w:qFormat/>
    <w:uiPriority w:val="0"/>
    <w:pPr>
      <w:widowControl w:val="0"/>
      <w:autoSpaceDE w:val="0"/>
      <w:autoSpaceDN w:val="0"/>
      <w:spacing w:line="360" w:lineRule="auto"/>
      <w:ind w:firstLine="480" w:firstLineChars="200"/>
    </w:pPr>
    <w:rPr>
      <w:rFonts w:hint="eastAsia" w:ascii="宋体" w:hAnsi="宋体" w:eastAsia="等线" w:cs="Times New Roman"/>
      <w:color w:val="000000"/>
      <w:kern w:val="0"/>
      <w:sz w:val="24"/>
      <w:szCs w:val="24"/>
    </w:rPr>
  </w:style>
  <w:style w:type="paragraph" w:styleId="49">
    <w:name w:val="List Paragraph"/>
    <w:basedOn w:val="1"/>
    <w:qFormat/>
    <w:uiPriority w:val="34"/>
    <w:pPr>
      <w:ind w:firstLine="420" w:firstLineChars="200"/>
    </w:pPr>
    <w:rPr>
      <w:szCs w:val="22"/>
    </w:rPr>
  </w:style>
  <w:style w:type="paragraph" w:customStyle="1" w:styleId="50">
    <w:name w:val="正文首行缩进两字符"/>
    <w:basedOn w:val="1"/>
    <w:qFormat/>
    <w:uiPriority w:val="0"/>
    <w:pPr>
      <w:spacing w:line="360" w:lineRule="auto"/>
      <w:ind w:firstLine="200" w:firstLineChars="200"/>
    </w:pPr>
    <w:rPr>
      <w:rFonts w:cs="Times New Roman"/>
      <w:kern w:val="0"/>
      <w:sz w:val="24"/>
      <w:szCs w:val="20"/>
    </w:rPr>
  </w:style>
  <w:style w:type="character" w:customStyle="1" w:styleId="51">
    <w:name w:val="NormalCharacter"/>
    <w:qFormat/>
    <w:uiPriority w:val="0"/>
    <w:rPr>
      <w:rFonts w:ascii="Calibri Light" w:hAnsi="Calibri Light" w:eastAsia="华文仿宋" w:cs="Calibri Light"/>
      <w:kern w:val="2"/>
      <w:sz w:val="28"/>
      <w:szCs w:val="28"/>
      <w:lang w:val="en-US" w:eastAsia="zh-CN" w:bidi="ar-SA"/>
    </w:rPr>
  </w:style>
  <w:style w:type="table" w:customStyle="1" w:styleId="52">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69</Pages>
  <Words>34119</Words>
  <Characters>35517</Characters>
  <Lines>288</Lines>
  <Paragraphs>81</Paragraphs>
  <TotalTime>78</TotalTime>
  <ScaleCrop>false</ScaleCrop>
  <LinksUpToDate>false</LinksUpToDate>
  <CharactersWithSpaces>35950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2022-11-01T07:08:00Z</dcterms:created>
  <dc:creator>一颗糖豆</dc:creator>
  <cp:lastModifiedBy>信仰 ぺ solar</cp:lastModifiedBy>
  <cp:lastPrinted>2022-08-17T08:16:00Z</cp:lastPrinted>
  <dcterms:modified xsi:type="dcterms:W3CDTF">2023-05-19T01:57:35Z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332422C7B6934C73BC6D4096C6FA7270_13</vt:lpwstr>
  </property>
</Properties>
</file>