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ascii="宋体" w:hAnsi="宋体" w:eastAsia="宋体" w:cs="宋体"/>
          <w:b/>
          <w:sz w:val="44"/>
          <w:szCs w:val="44"/>
          <w:lang w:val="en-US" w:eastAsia="zh-CN"/>
        </w:rPr>
      </w:pPr>
      <w:bookmarkStart w:id="0" w:name="OLE_LINK9"/>
      <w:r>
        <w:rPr>
          <w:rFonts w:hint="eastAsia" w:ascii="宋体" w:hAnsi="宋体" w:cs="宋体"/>
          <w:b/>
          <w:sz w:val="28"/>
          <w:szCs w:val="28"/>
        </w:rPr>
        <w:t>政府采购项目</w:t>
      </w:r>
      <w:r>
        <w:rPr>
          <w:rFonts w:hint="eastAsia" w:ascii="宋体" w:hAnsi="宋体" w:cs="宋体"/>
          <w:b/>
          <w:sz w:val="28"/>
          <w:szCs w:val="28"/>
          <w:lang w:val="en-US" w:eastAsia="zh-CN"/>
        </w:rPr>
        <w:t xml:space="preserve">                     </w:t>
      </w:r>
      <w:r>
        <w:rPr>
          <w:rFonts w:hint="eastAsia" w:ascii="宋体" w:hAnsi="宋体" w:cs="宋体"/>
          <w:b/>
          <w:sz w:val="28"/>
          <w:szCs w:val="28"/>
        </w:rPr>
        <w:t>项目编号：SXYS-2023-0</w:t>
      </w:r>
      <w:r>
        <w:rPr>
          <w:rFonts w:hint="eastAsia" w:ascii="宋体" w:hAnsi="宋体" w:cs="宋体"/>
          <w:b/>
          <w:sz w:val="28"/>
          <w:szCs w:val="28"/>
          <w:lang w:val="en-US" w:eastAsia="zh-CN"/>
        </w:rPr>
        <w:t>24-1</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color w:val="auto"/>
          <w:kern w:val="0"/>
          <w:sz w:val="32"/>
          <w:szCs w:val="32"/>
          <w:u w:val="none"/>
          <w:shd w:val="clear" w:color="auto" w:fill="auto"/>
          <w:lang w:val="en-US" w:eastAsia="zh-CN" w:bidi="ar"/>
        </w:rPr>
      </w:pPr>
    </w:p>
    <w:p>
      <w:pPr>
        <w:jc w:val="center"/>
        <w:rPr>
          <w:rFonts w:ascii="宋体" w:hAnsi="宋体" w:cs="宋体"/>
          <w:b/>
          <w:sz w:val="48"/>
          <w:szCs w:val="48"/>
        </w:rPr>
      </w:pPr>
      <w:r>
        <w:rPr>
          <w:rFonts w:hint="eastAsia" w:ascii="宋体" w:hAnsi="宋体" w:cs="宋体"/>
          <w:b/>
          <w:bCs/>
          <w:color w:val="auto"/>
          <w:kern w:val="0"/>
          <w:sz w:val="28"/>
          <w:szCs w:val="28"/>
          <w:u w:val="none"/>
          <w:shd w:val="clear" w:color="auto" w:fill="auto"/>
          <w:lang w:val="en-US" w:eastAsia="zh-CN" w:bidi="ar"/>
        </w:rPr>
        <w:t>延安大学附属医院医疗废物处置及感染性废物处置项目（二次）</w:t>
      </w:r>
    </w:p>
    <w:p>
      <w:pPr>
        <w:pStyle w:val="2"/>
      </w:pPr>
    </w:p>
    <w:p>
      <w:pPr>
        <w:rPr>
          <w:rFonts w:ascii="宋体" w:hAnsi="宋体" w:cs="宋体"/>
        </w:rPr>
      </w:pPr>
    </w:p>
    <w:p>
      <w:pPr>
        <w:pStyle w:val="2"/>
        <w:rPr>
          <w:rFonts w:ascii="宋体" w:hAnsi="宋体" w:cs="宋体"/>
        </w:rPr>
      </w:pPr>
    </w:p>
    <w:p>
      <w:pPr>
        <w:rPr>
          <w:rFonts w:ascii="宋体" w:hAnsi="宋体" w:cs="宋体"/>
        </w:rPr>
      </w:pPr>
    </w:p>
    <w:p>
      <w:pPr>
        <w:pStyle w:val="2"/>
      </w:pPr>
    </w:p>
    <w:p>
      <w:pPr>
        <w:tabs>
          <w:tab w:val="left" w:pos="0"/>
        </w:tabs>
        <w:adjustRightInd w:val="0"/>
        <w:snapToGrid w:val="0"/>
        <w:spacing w:line="360" w:lineRule="auto"/>
        <w:jc w:val="center"/>
        <w:rPr>
          <w:rFonts w:ascii="宋体" w:hAnsi="宋体" w:cs="宋体"/>
          <w:b/>
          <w:sz w:val="96"/>
          <w:szCs w:val="96"/>
        </w:rPr>
      </w:pPr>
      <w:r>
        <w:rPr>
          <w:rFonts w:hint="eastAsia" w:ascii="宋体" w:hAnsi="宋体" w:cs="宋体"/>
          <w:b/>
          <w:sz w:val="96"/>
          <w:szCs w:val="96"/>
        </w:rPr>
        <w:t>公开招标文件</w:t>
      </w:r>
    </w:p>
    <w:p>
      <w:pPr>
        <w:adjustRightInd w:val="0"/>
        <w:snapToGrid w:val="0"/>
        <w:spacing w:line="360" w:lineRule="auto"/>
        <w:jc w:val="center"/>
        <w:rPr>
          <w:rFonts w:ascii="宋体" w:hAnsi="宋体" w:cs="宋体"/>
          <w:b/>
          <w:sz w:val="32"/>
          <w:szCs w:val="32"/>
        </w:rPr>
      </w:pPr>
    </w:p>
    <w:p>
      <w:pPr>
        <w:pStyle w:val="30"/>
      </w:pPr>
    </w:p>
    <w:p>
      <w:pPr>
        <w:adjustRightInd w:val="0"/>
        <w:snapToGrid w:val="0"/>
        <w:spacing w:line="360" w:lineRule="auto"/>
        <w:rPr>
          <w:rFonts w:ascii="宋体" w:hAnsi="宋体" w:cs="宋体"/>
          <w:b/>
          <w:sz w:val="32"/>
          <w:szCs w:val="32"/>
        </w:rPr>
      </w:pPr>
    </w:p>
    <w:p>
      <w:pPr>
        <w:pStyle w:val="2"/>
        <w:rPr>
          <w:rFonts w:ascii="宋体" w:hAnsi="宋体" w:cs="宋体"/>
          <w:b/>
          <w:sz w:val="32"/>
          <w:szCs w:val="32"/>
        </w:rPr>
      </w:pPr>
    </w:p>
    <w:p/>
    <w:p>
      <w:pPr>
        <w:widowControl/>
        <w:spacing w:line="720" w:lineRule="auto"/>
        <w:ind w:firstLine="361" w:firstLineChars="100"/>
        <w:jc w:val="left"/>
        <w:rPr>
          <w:rFonts w:ascii="仿宋" w:hAnsi="仿宋" w:eastAsia="仿宋" w:cs="仿宋"/>
          <w:b/>
          <w:sz w:val="36"/>
          <w:szCs w:val="36"/>
        </w:rPr>
      </w:pPr>
      <w:r>
        <w:rPr>
          <w:rFonts w:hint="eastAsia" w:ascii="仿宋" w:hAnsi="仿宋" w:eastAsia="仿宋" w:cs="仿宋"/>
          <w:b/>
          <w:sz w:val="36"/>
          <w:szCs w:val="36"/>
        </w:rPr>
        <w:t>采 购 单 位：延安大学附属医院</w:t>
      </w:r>
    </w:p>
    <w:p>
      <w:pPr>
        <w:pStyle w:val="30"/>
      </w:pPr>
    </w:p>
    <w:p>
      <w:pPr>
        <w:tabs>
          <w:tab w:val="left" w:pos="525"/>
        </w:tabs>
        <w:spacing w:line="720" w:lineRule="auto"/>
        <w:jc w:val="center"/>
        <w:rPr>
          <w:rFonts w:ascii="仿宋" w:hAnsi="仿宋" w:eastAsia="仿宋" w:cs="仿宋"/>
          <w:b/>
          <w:sz w:val="36"/>
          <w:szCs w:val="36"/>
        </w:rPr>
        <w:sectPr>
          <w:footerReference r:id="rId5" w:type="first"/>
          <w:headerReference r:id="rId3" w:type="default"/>
          <w:footerReference r:id="rId4" w:type="even"/>
          <w:pgSz w:w="11906" w:h="16838"/>
          <w:pgMar w:top="1440" w:right="1800" w:bottom="1440" w:left="1800" w:header="851" w:footer="992" w:gutter="0"/>
          <w:pgNumType w:fmt="decimalFullWidth" w:start="0"/>
          <w:cols w:space="720" w:num="1"/>
          <w:titlePg/>
          <w:docGrid w:type="lines" w:linePitch="312" w:charSpace="0"/>
        </w:sectPr>
      </w:pPr>
      <w:r>
        <w:rPr>
          <w:rFonts w:hint="eastAsia" w:ascii="仿宋" w:hAnsi="仿宋" w:eastAsia="仿宋" w:cs="仿宋"/>
          <w:b/>
          <w:sz w:val="36"/>
          <w:szCs w:val="36"/>
        </w:rPr>
        <w:t>采购代理机构: 陕西延审工程项目管理有限公司</w:t>
      </w:r>
      <w:r>
        <w:rPr>
          <w:rFonts w:hint="eastAsia" w:ascii="仿宋" w:hAnsi="仿宋" w:eastAsia="仿宋" w:cs="仿宋"/>
          <w:b/>
          <w:bCs/>
          <w:sz w:val="44"/>
        </w:rPr>
        <w:t xml:space="preserve">             </w:t>
      </w:r>
      <w:r>
        <w:rPr>
          <w:rFonts w:hint="eastAsia" w:ascii="仿宋" w:hAnsi="仿宋" w:eastAsia="仿宋" w:cs="仿宋"/>
          <w:sz w:val="44"/>
        </w:rPr>
        <w:t xml:space="preserve">    </w:t>
      </w:r>
      <w:r>
        <w:rPr>
          <w:rFonts w:hint="eastAsia" w:ascii="仿宋" w:hAnsi="仿宋" w:eastAsia="仿宋" w:cs="仿宋"/>
          <w:b/>
          <w:bCs/>
          <w:sz w:val="30"/>
          <w:szCs w:val="30"/>
        </w:rPr>
        <w:t>2023年</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月</w:t>
      </w:r>
    </w:p>
    <w:p>
      <w:pPr>
        <w:pStyle w:val="22"/>
        <w:tabs>
          <w:tab w:val="right" w:leader="dot" w:pos="8306"/>
        </w:tabs>
        <w:spacing w:line="360" w:lineRule="auto"/>
        <w:jc w:val="center"/>
        <w:rPr>
          <w:rFonts w:ascii="宋体" w:hAnsi="宋体" w:cs="宋体"/>
          <w:b/>
          <w:bCs/>
          <w:sz w:val="24"/>
          <w:szCs w:val="24"/>
        </w:rPr>
      </w:pPr>
      <w:r>
        <w:rPr>
          <w:rFonts w:hint="eastAsia" w:ascii="宋体" w:hAnsi="宋体" w:cs="宋体"/>
          <w:b/>
          <w:bCs/>
          <w:sz w:val="24"/>
          <w:szCs w:val="24"/>
        </w:rPr>
        <w:t>目 录</w:t>
      </w:r>
    </w:p>
    <w:p>
      <w:pPr>
        <w:pStyle w:val="22"/>
        <w:tabs>
          <w:tab w:val="right" w:leader="dot" w:pos="8306"/>
        </w:tabs>
      </w:pPr>
      <w:r>
        <w:rPr>
          <w:rFonts w:hint="eastAsia" w:ascii="宋体" w:hAnsi="宋体" w:cs="宋体"/>
          <w:sz w:val="20"/>
          <w:szCs w:val="20"/>
        </w:rPr>
        <w:fldChar w:fldCharType="begin"/>
      </w:r>
      <w:r>
        <w:rPr>
          <w:rFonts w:hint="eastAsia" w:ascii="宋体" w:hAnsi="宋体" w:cs="宋体"/>
          <w:sz w:val="20"/>
          <w:szCs w:val="20"/>
        </w:rPr>
        <w:instrText xml:space="preserve">TOC \o "1-2" \h \u </w:instrText>
      </w:r>
      <w:r>
        <w:rPr>
          <w:rFonts w:hint="eastAsia" w:ascii="宋体" w:hAnsi="宋体" w:cs="宋体"/>
          <w:sz w:val="20"/>
          <w:szCs w:val="20"/>
        </w:rPr>
        <w:fldChar w:fldCharType="separate"/>
      </w:r>
      <w:r>
        <w:rPr>
          <w:rFonts w:hint="eastAsia" w:ascii="宋体" w:hAnsi="宋体" w:cs="宋体"/>
          <w:szCs w:val="20"/>
        </w:rPr>
        <w:fldChar w:fldCharType="begin"/>
      </w:r>
      <w:r>
        <w:rPr>
          <w:rFonts w:hint="eastAsia" w:ascii="宋体" w:hAnsi="宋体" w:cs="宋体"/>
          <w:szCs w:val="20"/>
        </w:rPr>
        <w:instrText xml:space="preserve"> HYPERLINK \l _Toc27258 </w:instrText>
      </w:r>
      <w:r>
        <w:rPr>
          <w:rFonts w:hint="eastAsia" w:ascii="宋体" w:hAnsi="宋体" w:cs="宋体"/>
          <w:szCs w:val="20"/>
        </w:rPr>
        <w:fldChar w:fldCharType="separate"/>
      </w:r>
      <w:r>
        <w:rPr>
          <w:rFonts w:hint="eastAsia" w:ascii="宋体" w:hAnsi="宋体" w:cs="宋体"/>
          <w:szCs w:val="36"/>
        </w:rPr>
        <w:t>第一部分  公开招标公告</w:t>
      </w:r>
      <w:r>
        <w:tab/>
      </w:r>
      <w:r>
        <w:fldChar w:fldCharType="begin"/>
      </w:r>
      <w:r>
        <w:instrText xml:space="preserve"> PAGEREF _Toc27258 \h </w:instrText>
      </w:r>
      <w:r>
        <w:fldChar w:fldCharType="separate"/>
      </w:r>
      <w:r>
        <w:t>3</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t xml:space="preserve">第二部分  </w:t>
      </w:r>
      <w:r>
        <w:rPr>
          <w:rFonts w:hint="eastAsia" w:ascii="宋体" w:hAnsi="宋体" w:cs="宋体"/>
          <w:szCs w:val="20"/>
          <w:lang w:eastAsia="zh-CN"/>
        </w:rPr>
        <w:t>投标人</w:t>
      </w:r>
      <w:r>
        <w:rPr>
          <w:rFonts w:hint="eastAsia" w:ascii="宋体" w:hAnsi="宋体" w:cs="宋体"/>
          <w:szCs w:val="20"/>
        </w:rPr>
        <w:t>须知前附表</w:t>
      </w:r>
      <w:r>
        <w:rPr>
          <w:rFonts w:hint="eastAsia" w:ascii="宋体" w:hAnsi="宋体" w:cs="宋体"/>
          <w:szCs w:val="20"/>
        </w:rPr>
        <w:fldChar w:fldCharType="begin"/>
      </w:r>
      <w:r>
        <w:rPr>
          <w:rFonts w:hint="eastAsia" w:ascii="宋体" w:hAnsi="宋体" w:cs="宋体"/>
          <w:szCs w:val="20"/>
        </w:rPr>
        <w:instrText xml:space="preserve"> HYPERLINK \l _Toc27258 </w:instrText>
      </w:r>
      <w:r>
        <w:rPr>
          <w:rFonts w:hint="eastAsia" w:ascii="宋体" w:hAnsi="宋体" w:cs="宋体"/>
          <w:szCs w:val="20"/>
        </w:rPr>
        <w:fldChar w:fldCharType="separate"/>
      </w:r>
      <w:r>
        <w:tab/>
      </w:r>
      <w:r>
        <w:rPr>
          <w:rFonts w:hint="eastAsia"/>
          <w:lang w:val="en-US" w:eastAsia="zh-CN"/>
        </w:rPr>
        <w:t>8</w:t>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_Toc8113 </w:instrText>
      </w:r>
      <w:r>
        <w:rPr>
          <w:rFonts w:hint="eastAsia" w:ascii="宋体" w:hAnsi="宋体" w:cs="宋体"/>
          <w:szCs w:val="20"/>
        </w:rPr>
        <w:fldChar w:fldCharType="separate"/>
      </w:r>
      <w:r>
        <w:rPr>
          <w:rFonts w:hint="eastAsia" w:ascii="宋体" w:hAnsi="宋体" w:cs="宋体"/>
          <w:szCs w:val="36"/>
        </w:rPr>
        <w:t xml:space="preserve">第三部分  </w:t>
      </w:r>
      <w:r>
        <w:rPr>
          <w:rFonts w:hint="eastAsia" w:ascii="宋体" w:hAnsi="宋体" w:cs="宋体"/>
          <w:szCs w:val="36"/>
          <w:lang w:eastAsia="zh-CN"/>
        </w:rPr>
        <w:t>投标人</w:t>
      </w:r>
      <w:r>
        <w:rPr>
          <w:rFonts w:hint="eastAsia" w:ascii="宋体" w:hAnsi="宋体" w:cs="宋体"/>
          <w:szCs w:val="36"/>
        </w:rPr>
        <w:t>须知</w:t>
      </w:r>
      <w:r>
        <w:tab/>
      </w:r>
      <w:r>
        <w:fldChar w:fldCharType="begin"/>
      </w:r>
      <w:r>
        <w:instrText xml:space="preserve"> PAGEREF _Toc8113 \h </w:instrText>
      </w:r>
      <w:r>
        <w:fldChar w:fldCharType="separate"/>
      </w:r>
      <w:r>
        <w:t>14</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_Toc26135 </w:instrText>
      </w:r>
      <w:r>
        <w:rPr>
          <w:rFonts w:hint="eastAsia" w:ascii="宋体" w:hAnsi="宋体" w:cs="宋体"/>
          <w:szCs w:val="20"/>
        </w:rPr>
        <w:fldChar w:fldCharType="separate"/>
      </w:r>
      <w:r>
        <w:rPr>
          <w:rFonts w:hint="eastAsia" w:ascii="宋体" w:hAnsi="宋体" w:cs="宋体"/>
        </w:rPr>
        <w:t>一、总 则</w:t>
      </w:r>
      <w:r>
        <w:tab/>
      </w:r>
      <w:r>
        <w:fldChar w:fldCharType="begin"/>
      </w:r>
      <w:r>
        <w:instrText xml:space="preserve"> PAGEREF _Toc26135 \h </w:instrText>
      </w:r>
      <w:r>
        <w:fldChar w:fldCharType="separate"/>
      </w:r>
      <w:r>
        <w:t>14</w:t>
      </w:r>
      <w:r>
        <w:fldChar w:fldCharType="end"/>
      </w:r>
      <w:r>
        <w:rPr>
          <w:rFonts w:hint="eastAsia" w:ascii="宋体" w:hAnsi="宋体" w:cs="宋体"/>
          <w:szCs w:val="20"/>
        </w:rPr>
        <w:fldChar w:fldCharType="end"/>
      </w:r>
    </w:p>
    <w:p>
      <w:pPr>
        <w:pStyle w:val="23"/>
        <w:tabs>
          <w:tab w:val="right" w:leader="dot" w:pos="8306"/>
        </w:tabs>
        <w:rPr>
          <w:rFonts w:hint="eastAsia" w:ascii="宋体" w:hAnsi="宋体" w:cs="宋体"/>
          <w:szCs w:val="20"/>
        </w:rPr>
      </w:pPr>
      <w:r>
        <w:rPr>
          <w:rFonts w:hint="eastAsia" w:ascii="宋体" w:hAnsi="宋体" w:cs="宋体"/>
          <w:szCs w:val="20"/>
        </w:rPr>
        <w:fldChar w:fldCharType="begin"/>
      </w:r>
      <w:r>
        <w:rPr>
          <w:rFonts w:hint="eastAsia" w:ascii="宋体" w:hAnsi="宋体" w:cs="宋体"/>
          <w:szCs w:val="20"/>
        </w:rPr>
        <w:instrText xml:space="preserve"> HYPERLINK \l _Toc15609 </w:instrText>
      </w:r>
      <w:r>
        <w:rPr>
          <w:rFonts w:hint="eastAsia" w:ascii="宋体" w:hAnsi="宋体" w:cs="宋体"/>
          <w:szCs w:val="20"/>
        </w:rPr>
        <w:fldChar w:fldCharType="separate"/>
      </w:r>
      <w:r>
        <w:rPr>
          <w:rFonts w:hint="eastAsia" w:ascii="宋体" w:hAnsi="宋体" w:cs="宋体"/>
          <w:szCs w:val="28"/>
        </w:rPr>
        <w:t>二、 招标文件</w:t>
      </w:r>
      <w:r>
        <w:tab/>
      </w:r>
      <w:r>
        <w:fldChar w:fldCharType="begin"/>
      </w:r>
      <w:r>
        <w:instrText xml:space="preserve"> PAGEREF _Toc15609 \h </w:instrText>
      </w:r>
      <w:r>
        <w:fldChar w:fldCharType="separate"/>
      </w:r>
      <w:r>
        <w:t>16</w:t>
      </w:r>
      <w:r>
        <w:fldChar w:fldCharType="end"/>
      </w:r>
      <w:r>
        <w:rPr>
          <w:rFonts w:hint="eastAsia" w:ascii="宋体" w:hAnsi="宋体" w:cs="宋体"/>
          <w:szCs w:val="20"/>
        </w:rPr>
        <w:fldChar w:fldCharType="end"/>
      </w:r>
    </w:p>
    <w:p>
      <w:pPr>
        <w:ind w:firstLine="420" w:firstLineChars="200"/>
        <w:rPr>
          <w:rFonts w:hint="default" w:eastAsia="宋体"/>
          <w:lang w:val="en-US" w:eastAsia="zh-CN"/>
        </w:rPr>
      </w:pPr>
      <w:r>
        <w:rPr>
          <w:rFonts w:hint="eastAsia"/>
          <w:lang w:val="en-US" w:eastAsia="zh-CN"/>
        </w:rPr>
        <w:t>三、</w:t>
      </w:r>
      <w:r>
        <w:rPr>
          <w:rFonts w:hint="eastAsia"/>
        </w:rPr>
        <w:t>投标文件</w:t>
      </w:r>
      <w:r>
        <w:rPr>
          <w:rFonts w:hint="eastAsia"/>
          <w:u w:val="dotted"/>
          <w:lang w:val="en-US" w:eastAsia="zh-CN"/>
        </w:rPr>
        <w:t xml:space="preserve">                                                             </w:t>
      </w:r>
      <w:r>
        <w:rPr>
          <w:rFonts w:hint="eastAsia"/>
          <w:lang w:val="en-US" w:eastAsia="zh-CN"/>
        </w:rPr>
        <w:t>20</w:t>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_Toc8694 </w:instrText>
      </w:r>
      <w:r>
        <w:rPr>
          <w:rFonts w:hint="eastAsia" w:ascii="宋体" w:hAnsi="宋体" w:cs="宋体"/>
          <w:szCs w:val="20"/>
        </w:rPr>
        <w:fldChar w:fldCharType="separate"/>
      </w:r>
      <w:r>
        <w:rPr>
          <w:rFonts w:hint="eastAsia" w:ascii="宋体" w:hAnsi="宋体" w:cs="宋体"/>
          <w:bCs/>
          <w:kern w:val="0"/>
          <w:szCs w:val="28"/>
        </w:rPr>
        <w:t>四、投标文件的递交</w:t>
      </w:r>
      <w:r>
        <w:tab/>
      </w:r>
      <w:r>
        <w:fldChar w:fldCharType="begin"/>
      </w:r>
      <w:r>
        <w:instrText xml:space="preserve"> PAGEREF _Toc8694 \h </w:instrText>
      </w:r>
      <w:r>
        <w:fldChar w:fldCharType="separate"/>
      </w:r>
      <w:r>
        <w:t>22</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_Toc20821 </w:instrText>
      </w:r>
      <w:r>
        <w:rPr>
          <w:rFonts w:hint="eastAsia" w:ascii="宋体" w:hAnsi="宋体" w:cs="宋体"/>
          <w:szCs w:val="20"/>
        </w:rPr>
        <w:fldChar w:fldCharType="separate"/>
      </w:r>
      <w:r>
        <w:rPr>
          <w:rFonts w:hint="eastAsia" w:ascii="宋体" w:hAnsi="宋体" w:cs="宋体"/>
          <w:bCs/>
          <w:kern w:val="0"/>
          <w:szCs w:val="28"/>
        </w:rPr>
        <w:t>五、 开标、评审、定标</w:t>
      </w:r>
      <w:r>
        <w:tab/>
      </w:r>
      <w:r>
        <w:fldChar w:fldCharType="begin"/>
      </w:r>
      <w:r>
        <w:instrText xml:space="preserve"> PAGEREF _Toc20821 \h </w:instrText>
      </w:r>
      <w:r>
        <w:fldChar w:fldCharType="separate"/>
      </w:r>
      <w:r>
        <w:t>23</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_Toc16468 </w:instrText>
      </w:r>
      <w:r>
        <w:rPr>
          <w:rFonts w:hint="eastAsia" w:ascii="宋体" w:hAnsi="宋体" w:cs="宋体"/>
          <w:szCs w:val="20"/>
        </w:rPr>
        <w:fldChar w:fldCharType="separate"/>
      </w:r>
      <w:r>
        <w:rPr>
          <w:rFonts w:hint="eastAsia" w:ascii="宋体" w:hAnsi="宋体" w:cs="宋体"/>
          <w:bCs/>
          <w:kern w:val="0"/>
          <w:szCs w:val="28"/>
        </w:rPr>
        <w:t>六、签订合同</w:t>
      </w:r>
      <w:r>
        <w:tab/>
      </w:r>
      <w:r>
        <w:fldChar w:fldCharType="begin"/>
      </w:r>
      <w:r>
        <w:instrText xml:space="preserve"> PAGEREF _Toc16468 \h </w:instrText>
      </w:r>
      <w:r>
        <w:fldChar w:fldCharType="separate"/>
      </w:r>
      <w:r>
        <w:t>26</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_Toc14962 </w:instrText>
      </w:r>
      <w:r>
        <w:rPr>
          <w:rFonts w:hint="eastAsia" w:ascii="宋体" w:hAnsi="宋体" w:cs="宋体"/>
          <w:szCs w:val="20"/>
        </w:rPr>
        <w:fldChar w:fldCharType="separate"/>
      </w:r>
      <w:r>
        <w:rPr>
          <w:rFonts w:hint="eastAsia" w:ascii="宋体" w:hAnsi="宋体" w:cs="宋体"/>
          <w:bCs/>
          <w:kern w:val="0"/>
          <w:szCs w:val="28"/>
        </w:rPr>
        <w:t>七、质疑和投诉</w:t>
      </w:r>
      <w:r>
        <w:tab/>
      </w:r>
      <w:r>
        <w:fldChar w:fldCharType="begin"/>
      </w:r>
      <w:r>
        <w:instrText xml:space="preserve"> PAGEREF _Toc14962 \h </w:instrText>
      </w:r>
      <w:r>
        <w:fldChar w:fldCharType="separate"/>
      </w:r>
      <w:r>
        <w:t>26</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_Toc31610 </w:instrText>
      </w:r>
      <w:r>
        <w:rPr>
          <w:rFonts w:hint="eastAsia" w:ascii="宋体" w:hAnsi="宋体" w:cs="宋体"/>
          <w:szCs w:val="20"/>
        </w:rPr>
        <w:fldChar w:fldCharType="separate"/>
      </w:r>
      <w:r>
        <w:rPr>
          <w:rFonts w:hint="eastAsia" w:ascii="宋体" w:hAnsi="宋体" w:cs="宋体"/>
          <w:szCs w:val="36"/>
        </w:rPr>
        <w:t>第四部分 评标方法</w:t>
      </w:r>
      <w:r>
        <w:tab/>
      </w:r>
      <w:r>
        <w:fldChar w:fldCharType="begin"/>
      </w:r>
      <w:r>
        <w:instrText xml:space="preserve"> PAGEREF _Toc31610 \h </w:instrText>
      </w:r>
      <w:r>
        <w:fldChar w:fldCharType="separate"/>
      </w:r>
      <w:r>
        <w:t>28</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_Toc23592 </w:instrText>
      </w:r>
      <w:r>
        <w:rPr>
          <w:rFonts w:hint="eastAsia" w:ascii="宋体" w:hAnsi="宋体" w:cs="宋体"/>
          <w:szCs w:val="20"/>
        </w:rPr>
        <w:fldChar w:fldCharType="separate"/>
      </w:r>
      <w:r>
        <w:rPr>
          <w:rFonts w:hint="eastAsia" w:ascii="Calibri" w:hAnsi="Calibri"/>
          <w:bCs/>
          <w:kern w:val="44"/>
          <w:szCs w:val="36"/>
        </w:rPr>
        <w:t xml:space="preserve">第五部分 </w:t>
      </w:r>
      <w:r>
        <w:rPr>
          <w:rFonts w:hint="eastAsia" w:ascii="宋体" w:hAnsi="宋体" w:cs="宋体"/>
          <w:bCs/>
          <w:kern w:val="2"/>
          <w:szCs w:val="36"/>
        </w:rPr>
        <w:t>采购要求</w:t>
      </w:r>
      <w:r>
        <w:tab/>
      </w:r>
      <w:r>
        <w:fldChar w:fldCharType="begin"/>
      </w:r>
      <w:r>
        <w:instrText xml:space="preserve"> PAGEREF _Toc23592 \h </w:instrText>
      </w:r>
      <w:r>
        <w:fldChar w:fldCharType="separate"/>
      </w:r>
      <w:r>
        <w:t>35</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_Toc30976 </w:instrText>
      </w:r>
      <w:r>
        <w:rPr>
          <w:rFonts w:hint="eastAsia" w:ascii="宋体" w:hAnsi="宋体" w:cs="宋体"/>
          <w:szCs w:val="20"/>
        </w:rPr>
        <w:fldChar w:fldCharType="separate"/>
      </w:r>
      <w:r>
        <w:rPr>
          <w:rFonts w:hint="eastAsia" w:ascii="宋体" w:hAnsi="宋体" w:cs="宋体"/>
          <w:bCs/>
          <w:szCs w:val="36"/>
        </w:rPr>
        <w:t>第六部分 合同条款</w:t>
      </w:r>
      <w:r>
        <w:tab/>
      </w:r>
      <w:r>
        <w:fldChar w:fldCharType="begin"/>
      </w:r>
      <w:r>
        <w:instrText xml:space="preserve"> PAGEREF _Toc30976 \h </w:instrText>
      </w:r>
      <w:r>
        <w:fldChar w:fldCharType="separate"/>
      </w:r>
      <w:r>
        <w:t>36</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_Toc10050 </w:instrText>
      </w:r>
      <w:r>
        <w:rPr>
          <w:rFonts w:hint="eastAsia" w:ascii="宋体" w:hAnsi="宋体" w:cs="宋体"/>
          <w:szCs w:val="20"/>
        </w:rPr>
        <w:fldChar w:fldCharType="separate"/>
      </w:r>
      <w:r>
        <w:rPr>
          <w:rFonts w:hint="eastAsia" w:ascii="宋体" w:hAnsi="宋体" w:cs="宋体"/>
          <w:szCs w:val="36"/>
        </w:rPr>
        <w:t>第七部分  投标文件格式</w:t>
      </w:r>
      <w:r>
        <w:tab/>
      </w:r>
      <w:r>
        <w:fldChar w:fldCharType="begin"/>
      </w:r>
      <w:r>
        <w:instrText xml:space="preserve"> PAGEREF _Toc10050 \h </w:instrText>
      </w:r>
      <w:r>
        <w:fldChar w:fldCharType="separate"/>
      </w:r>
      <w:r>
        <w:t>39</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_Toc2507 </w:instrText>
      </w:r>
      <w:r>
        <w:rPr>
          <w:rFonts w:hint="eastAsia" w:ascii="宋体" w:hAnsi="宋体" w:cs="宋体"/>
          <w:szCs w:val="20"/>
        </w:rPr>
        <w:fldChar w:fldCharType="separate"/>
      </w:r>
      <w:r>
        <w:rPr>
          <w:rFonts w:hint="eastAsia" w:ascii="宋体" w:hAnsi="宋体" w:cs="宋体"/>
          <w:szCs w:val="36"/>
        </w:rPr>
        <w:t>第一部分  投标函</w:t>
      </w:r>
      <w:r>
        <w:tab/>
      </w:r>
      <w:r>
        <w:fldChar w:fldCharType="begin"/>
      </w:r>
      <w:r>
        <w:instrText xml:space="preserve"> PAGEREF _Toc2507 \h </w:instrText>
      </w:r>
      <w:r>
        <w:fldChar w:fldCharType="separate"/>
      </w:r>
      <w:r>
        <w:t>41</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_Toc6430 </w:instrText>
      </w:r>
      <w:r>
        <w:rPr>
          <w:rFonts w:hint="eastAsia" w:ascii="宋体" w:hAnsi="宋体" w:cs="宋体"/>
          <w:szCs w:val="20"/>
        </w:rPr>
        <w:fldChar w:fldCharType="separate"/>
      </w:r>
      <w:r>
        <w:rPr>
          <w:rFonts w:hint="eastAsia" w:ascii="宋体" w:hAnsi="宋体" w:cs="宋体"/>
          <w:szCs w:val="36"/>
        </w:rPr>
        <w:t>第二部分 报价一览表</w:t>
      </w:r>
      <w:r>
        <w:tab/>
      </w:r>
      <w:r>
        <w:fldChar w:fldCharType="begin"/>
      </w:r>
      <w:r>
        <w:instrText xml:space="preserve"> PAGEREF _Toc6430 \h </w:instrText>
      </w:r>
      <w:r>
        <w:fldChar w:fldCharType="separate"/>
      </w:r>
      <w:r>
        <w:t>42</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_Toc22888 </w:instrText>
      </w:r>
      <w:r>
        <w:rPr>
          <w:rFonts w:hint="eastAsia" w:ascii="宋体" w:hAnsi="宋体" w:cs="宋体"/>
          <w:szCs w:val="20"/>
        </w:rPr>
        <w:fldChar w:fldCharType="separate"/>
      </w:r>
      <w:r>
        <w:rPr>
          <w:rFonts w:hint="eastAsia" w:ascii="宋体" w:hAnsi="宋体" w:cs="宋体"/>
        </w:rPr>
        <w:t>第三部分</w:t>
      </w:r>
      <w:r>
        <w:rPr>
          <w:rFonts w:hint="eastAsia" w:ascii="宋体" w:hAnsi="宋体" w:cs="宋体"/>
          <w:szCs w:val="36"/>
        </w:rPr>
        <w:t xml:space="preserve">  </w:t>
      </w:r>
      <w:r>
        <w:rPr>
          <w:rFonts w:hint="eastAsia" w:ascii="宋体" w:hAnsi="宋体" w:cs="宋体"/>
        </w:rPr>
        <w:t>商务及技术偏离表</w:t>
      </w:r>
      <w:r>
        <w:tab/>
      </w:r>
      <w:r>
        <w:fldChar w:fldCharType="begin"/>
      </w:r>
      <w:r>
        <w:instrText xml:space="preserve"> PAGEREF _Toc22888 \h </w:instrText>
      </w:r>
      <w:r>
        <w:fldChar w:fldCharType="separate"/>
      </w:r>
      <w:r>
        <w:t>43</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_Toc14622 </w:instrText>
      </w:r>
      <w:r>
        <w:rPr>
          <w:rFonts w:hint="eastAsia" w:ascii="宋体" w:hAnsi="宋体" w:cs="宋体"/>
          <w:szCs w:val="20"/>
        </w:rPr>
        <w:fldChar w:fldCharType="separate"/>
      </w:r>
      <w:r>
        <w:rPr>
          <w:rFonts w:hint="eastAsia" w:ascii="宋体" w:hAnsi="宋体" w:cs="宋体"/>
          <w:szCs w:val="36"/>
        </w:rPr>
        <w:t xml:space="preserve">第四部分  </w:t>
      </w:r>
      <w:r>
        <w:rPr>
          <w:rFonts w:hint="eastAsia" w:ascii="宋体" w:hAnsi="宋体" w:cs="宋体"/>
          <w:szCs w:val="36"/>
          <w:lang w:eastAsia="zh-CN"/>
        </w:rPr>
        <w:t>投标人</w:t>
      </w:r>
      <w:r>
        <w:rPr>
          <w:rFonts w:hint="eastAsia" w:ascii="宋体" w:hAnsi="宋体" w:cs="宋体"/>
          <w:szCs w:val="36"/>
        </w:rPr>
        <w:t>资格要求</w:t>
      </w:r>
      <w:r>
        <w:tab/>
      </w:r>
      <w:r>
        <w:fldChar w:fldCharType="begin"/>
      </w:r>
      <w:r>
        <w:instrText xml:space="preserve"> PAGEREF _Toc14622 \h </w:instrText>
      </w:r>
      <w:r>
        <w:fldChar w:fldCharType="separate"/>
      </w:r>
      <w:r>
        <w:t>44</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_Toc4139 </w:instrText>
      </w:r>
      <w:r>
        <w:rPr>
          <w:rFonts w:hint="eastAsia" w:ascii="宋体" w:hAnsi="宋体" w:cs="宋体"/>
          <w:szCs w:val="20"/>
        </w:rPr>
        <w:fldChar w:fldCharType="separate"/>
      </w:r>
      <w:r>
        <w:rPr>
          <w:rFonts w:hint="eastAsia" w:ascii="宋体" w:hAnsi="宋体" w:cs="宋体"/>
          <w:szCs w:val="36"/>
        </w:rPr>
        <w:t>第五部分 服务方案</w:t>
      </w:r>
      <w:r>
        <w:tab/>
      </w:r>
      <w:r>
        <w:fldChar w:fldCharType="begin"/>
      </w:r>
      <w:r>
        <w:instrText xml:space="preserve"> PAGEREF _Toc4139 \h </w:instrText>
      </w:r>
      <w:r>
        <w:fldChar w:fldCharType="separate"/>
      </w:r>
      <w:r>
        <w:t>50</w:t>
      </w:r>
      <w:r>
        <w:fldChar w:fldCharType="end"/>
      </w:r>
      <w:r>
        <w:rPr>
          <w:rFonts w:hint="eastAsia" w:ascii="宋体" w:hAnsi="宋体" w:cs="宋体"/>
          <w:szCs w:val="20"/>
        </w:rPr>
        <w:fldChar w:fldCharType="end"/>
      </w:r>
    </w:p>
    <w:p>
      <w:pPr>
        <w:pStyle w:val="23"/>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_Toc24739 </w:instrText>
      </w:r>
      <w:r>
        <w:rPr>
          <w:rFonts w:hint="eastAsia" w:ascii="宋体" w:hAnsi="宋体" w:cs="宋体"/>
          <w:szCs w:val="20"/>
        </w:rPr>
        <w:fldChar w:fldCharType="separate"/>
      </w:r>
      <w:r>
        <w:rPr>
          <w:rFonts w:hint="eastAsia" w:ascii="宋体" w:hAnsi="宋体" w:cs="宋体"/>
          <w:bCs/>
          <w:szCs w:val="36"/>
        </w:rPr>
        <w:t>第</w:t>
      </w:r>
      <w:r>
        <w:rPr>
          <w:rFonts w:hint="eastAsia" w:ascii="宋体" w:hAnsi="宋体" w:cs="宋体"/>
          <w:bCs/>
          <w:szCs w:val="36"/>
          <w:lang w:val="en-US" w:eastAsia="zh-CN"/>
        </w:rPr>
        <w:t>七</w:t>
      </w:r>
      <w:r>
        <w:rPr>
          <w:rFonts w:hint="eastAsia" w:ascii="宋体" w:hAnsi="宋体" w:cs="宋体"/>
          <w:bCs/>
          <w:szCs w:val="36"/>
        </w:rPr>
        <w:t>部分</w:t>
      </w:r>
      <w:r>
        <w:rPr>
          <w:rFonts w:hint="eastAsia" w:ascii="宋体" w:hAnsi="宋体" w:cs="宋体"/>
          <w:szCs w:val="36"/>
        </w:rPr>
        <w:t xml:space="preserve">  </w:t>
      </w:r>
      <w:r>
        <w:rPr>
          <w:rFonts w:hint="eastAsia" w:ascii="宋体" w:hAnsi="宋体" w:cs="宋体"/>
          <w:szCs w:val="36"/>
          <w:lang w:eastAsia="zh-CN"/>
        </w:rPr>
        <w:t>投标人</w:t>
      </w:r>
      <w:r>
        <w:rPr>
          <w:rFonts w:hint="eastAsia" w:ascii="宋体" w:hAnsi="宋体" w:cs="宋体"/>
          <w:szCs w:val="36"/>
        </w:rPr>
        <w:t>认为有必要说明的其他问题</w:t>
      </w:r>
      <w:r>
        <w:tab/>
      </w:r>
      <w:r>
        <w:fldChar w:fldCharType="begin"/>
      </w:r>
      <w:r>
        <w:instrText xml:space="preserve"> PAGEREF _Toc24739 \h </w:instrText>
      </w:r>
      <w:r>
        <w:fldChar w:fldCharType="separate"/>
      </w:r>
      <w:r>
        <w:t>52</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_Toc1488 </w:instrText>
      </w:r>
      <w:r>
        <w:rPr>
          <w:rFonts w:hint="eastAsia" w:ascii="宋体" w:hAnsi="宋体" w:cs="宋体"/>
          <w:szCs w:val="20"/>
        </w:rPr>
        <w:fldChar w:fldCharType="separate"/>
      </w:r>
      <w:r>
        <w:rPr>
          <w:rFonts w:hint="eastAsia" w:ascii="宋体" w:hAnsi="宋体"/>
          <w:szCs w:val="28"/>
        </w:rPr>
        <w:t>附件1：《中小企业声明函》</w:t>
      </w:r>
      <w:r>
        <w:tab/>
      </w:r>
      <w:r>
        <w:fldChar w:fldCharType="begin"/>
      </w:r>
      <w:r>
        <w:instrText xml:space="preserve"> PAGEREF _Toc1488 \h </w:instrText>
      </w:r>
      <w:r>
        <w:fldChar w:fldCharType="separate"/>
      </w:r>
      <w:r>
        <w:t>53</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_Toc19521 </w:instrText>
      </w:r>
      <w:r>
        <w:rPr>
          <w:rFonts w:hint="eastAsia" w:ascii="宋体" w:hAnsi="宋体" w:cs="宋体"/>
          <w:szCs w:val="20"/>
        </w:rPr>
        <w:fldChar w:fldCharType="separate"/>
      </w:r>
      <w:r>
        <w:rPr>
          <w:rFonts w:hint="eastAsia" w:ascii="宋体" w:hAnsi="宋体" w:cs="宋体"/>
          <w:bCs/>
          <w:kern w:val="0"/>
          <w:szCs w:val="28"/>
        </w:rPr>
        <w:t>附件2：《残疾人福利性单位声明函》（若是）</w:t>
      </w:r>
      <w:r>
        <w:tab/>
      </w:r>
      <w:r>
        <w:fldChar w:fldCharType="begin"/>
      </w:r>
      <w:r>
        <w:instrText xml:space="preserve"> PAGEREF _Toc19521 \h </w:instrText>
      </w:r>
      <w:r>
        <w:fldChar w:fldCharType="separate"/>
      </w:r>
      <w:r>
        <w:t>54</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_Toc10740 </w:instrText>
      </w:r>
      <w:r>
        <w:rPr>
          <w:rFonts w:hint="eastAsia" w:ascii="宋体" w:hAnsi="宋体" w:cs="宋体"/>
          <w:szCs w:val="20"/>
        </w:rPr>
        <w:fldChar w:fldCharType="separate"/>
      </w:r>
      <w:r>
        <w:rPr>
          <w:rFonts w:hint="eastAsia" w:ascii="宋体" w:hAnsi="宋体" w:cs="宋体"/>
          <w:spacing w:val="6"/>
          <w:szCs w:val="32"/>
        </w:rPr>
        <w:t>残疾人福利性单位声明函</w:t>
      </w:r>
      <w:r>
        <w:tab/>
      </w:r>
      <w:r>
        <w:fldChar w:fldCharType="begin"/>
      </w:r>
      <w:r>
        <w:instrText xml:space="preserve"> PAGEREF _Toc10740 \h </w:instrText>
      </w:r>
      <w:r>
        <w:fldChar w:fldCharType="separate"/>
      </w:r>
      <w:r>
        <w:t>54</w:t>
      </w:r>
      <w:r>
        <w:fldChar w:fldCharType="end"/>
      </w:r>
      <w:r>
        <w:rPr>
          <w:rFonts w:hint="eastAsia" w:ascii="宋体" w:hAnsi="宋体" w:cs="宋体"/>
          <w:szCs w:val="20"/>
        </w:rPr>
        <w:fldChar w:fldCharType="end"/>
      </w:r>
    </w:p>
    <w:p>
      <w:pPr>
        <w:pStyle w:val="22"/>
        <w:tabs>
          <w:tab w:val="right" w:leader="dot" w:pos="8306"/>
        </w:tabs>
      </w:pPr>
      <w:r>
        <w:rPr>
          <w:rFonts w:hint="eastAsia" w:ascii="宋体" w:hAnsi="宋体" w:cs="宋体"/>
          <w:szCs w:val="20"/>
        </w:rPr>
        <w:fldChar w:fldCharType="begin"/>
      </w:r>
      <w:r>
        <w:rPr>
          <w:rFonts w:hint="eastAsia" w:ascii="宋体" w:hAnsi="宋体" w:cs="宋体"/>
          <w:szCs w:val="20"/>
        </w:rPr>
        <w:instrText xml:space="preserve"> HYPERLINK \l _Toc17651 </w:instrText>
      </w:r>
      <w:r>
        <w:rPr>
          <w:rFonts w:hint="eastAsia" w:ascii="宋体" w:hAnsi="宋体" w:cs="宋体"/>
          <w:szCs w:val="20"/>
        </w:rPr>
        <w:fldChar w:fldCharType="separate"/>
      </w:r>
      <w:r>
        <w:rPr>
          <w:rFonts w:hint="eastAsia" w:ascii="宋体" w:hAnsi="宋体"/>
          <w:szCs w:val="28"/>
        </w:rPr>
        <w:t>附件3：《监狱企业声明函》及证明文件（若是）</w:t>
      </w:r>
      <w:r>
        <w:tab/>
      </w:r>
      <w:r>
        <w:fldChar w:fldCharType="begin"/>
      </w:r>
      <w:r>
        <w:instrText xml:space="preserve"> PAGEREF _Toc17651 \h </w:instrText>
      </w:r>
      <w:r>
        <w:fldChar w:fldCharType="separate"/>
      </w:r>
      <w:r>
        <w:t>55</w:t>
      </w:r>
      <w:r>
        <w:fldChar w:fldCharType="end"/>
      </w:r>
      <w:r>
        <w:rPr>
          <w:rFonts w:hint="eastAsia" w:ascii="宋体" w:hAnsi="宋体" w:cs="宋体"/>
          <w:szCs w:val="20"/>
        </w:rPr>
        <w:fldChar w:fldCharType="end"/>
      </w:r>
    </w:p>
    <w:p>
      <w:pPr>
        <w:pStyle w:val="23"/>
        <w:tabs>
          <w:tab w:val="right" w:leader="dot" w:pos="8306"/>
        </w:tabs>
        <w:ind w:left="0" w:leftChars="0" w:firstLine="0" w:firstLineChars="0"/>
      </w:pPr>
      <w:r>
        <w:rPr>
          <w:rFonts w:hint="eastAsia" w:ascii="宋体" w:hAnsi="宋体" w:cs="宋体"/>
          <w:szCs w:val="20"/>
        </w:rPr>
        <w:fldChar w:fldCharType="begin"/>
      </w:r>
      <w:r>
        <w:rPr>
          <w:rFonts w:hint="eastAsia" w:ascii="宋体" w:hAnsi="宋体" w:cs="宋体"/>
          <w:szCs w:val="20"/>
        </w:rPr>
        <w:instrText xml:space="preserve"> HYPERLINK \l _Toc16927 </w:instrText>
      </w:r>
      <w:r>
        <w:rPr>
          <w:rFonts w:hint="eastAsia" w:ascii="宋体" w:hAnsi="宋体" w:cs="宋体"/>
          <w:szCs w:val="20"/>
        </w:rPr>
        <w:fldChar w:fldCharType="separate"/>
      </w:r>
      <w:r>
        <w:rPr>
          <w:rFonts w:hint="eastAsia" w:ascii="宋体" w:hAnsi="宋体" w:cs="宋体"/>
        </w:rPr>
        <w:t>附件一、封袋正面标识式样</w:t>
      </w:r>
      <w:r>
        <w:tab/>
      </w:r>
      <w:r>
        <w:fldChar w:fldCharType="begin"/>
      </w:r>
      <w:r>
        <w:instrText xml:space="preserve"> PAGEREF _Toc16927 \h </w:instrText>
      </w:r>
      <w:r>
        <w:fldChar w:fldCharType="separate"/>
      </w:r>
      <w:r>
        <w:t>56</w:t>
      </w:r>
      <w:r>
        <w:fldChar w:fldCharType="end"/>
      </w:r>
      <w:r>
        <w:rPr>
          <w:rFonts w:hint="eastAsia" w:ascii="宋体" w:hAnsi="宋体" w:cs="宋体"/>
          <w:szCs w:val="20"/>
        </w:rPr>
        <w:fldChar w:fldCharType="end"/>
      </w:r>
    </w:p>
    <w:p>
      <w:pPr>
        <w:pStyle w:val="3"/>
        <w:spacing w:line="240" w:lineRule="auto"/>
        <w:rPr>
          <w:rFonts w:ascii="宋体" w:hAnsi="宋体" w:cs="宋体"/>
          <w:b w:val="0"/>
          <w:sz w:val="20"/>
          <w:szCs w:val="20"/>
        </w:rPr>
        <w:sectPr>
          <w:headerReference r:id="rId6" w:type="default"/>
          <w:footerReference r:id="rId7" w:type="default"/>
          <w:pgSz w:w="11906" w:h="16838"/>
          <w:pgMar w:top="1440" w:right="1800" w:bottom="1440" w:left="1800" w:header="851" w:footer="992" w:gutter="0"/>
          <w:pgNumType w:start="2"/>
          <w:cols w:space="720" w:num="1"/>
          <w:docGrid w:type="lines" w:linePitch="312" w:charSpace="0"/>
        </w:sectPr>
      </w:pPr>
      <w:r>
        <w:rPr>
          <w:rFonts w:hint="eastAsia" w:ascii="宋体" w:hAnsi="宋体" w:cs="宋体"/>
          <w:szCs w:val="20"/>
        </w:rPr>
        <w:fldChar w:fldCharType="end"/>
      </w:r>
    </w:p>
    <w:p>
      <w:pPr>
        <w:pStyle w:val="3"/>
        <w:spacing w:before="312" w:beforeLines="100" w:after="468" w:afterLines="150" w:line="600" w:lineRule="exact"/>
        <w:rPr>
          <w:rFonts w:ascii="宋体" w:hAnsi="宋体" w:cs="宋体"/>
          <w:sz w:val="36"/>
          <w:szCs w:val="36"/>
        </w:rPr>
      </w:pPr>
      <w:bookmarkStart w:id="1" w:name="_Toc26575"/>
      <w:bookmarkStart w:id="2" w:name="_Toc27258"/>
      <w:r>
        <w:rPr>
          <w:rFonts w:hint="eastAsia" w:ascii="宋体" w:hAnsi="宋体" w:cs="宋体"/>
          <w:sz w:val="36"/>
          <w:szCs w:val="36"/>
        </w:rPr>
        <w:t>第一部分  公开招标公告</w:t>
      </w:r>
      <w:bookmarkEnd w:id="1"/>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cs="宋体"/>
          <w:b/>
          <w:bCs/>
          <w:color w:val="auto"/>
          <w:kern w:val="0"/>
          <w:sz w:val="28"/>
          <w:szCs w:val="28"/>
          <w:u w:val="none"/>
          <w:shd w:val="clear" w:color="auto" w:fill="auto"/>
          <w:lang w:val="en-US" w:eastAsia="zh-CN" w:bidi="ar"/>
        </w:rPr>
      </w:pPr>
      <w:bookmarkStart w:id="3" w:name="_Toc30089"/>
      <w:bookmarkStart w:id="4" w:name="_Toc438048787"/>
      <w:r>
        <w:rPr>
          <w:rFonts w:hint="eastAsia" w:ascii="宋体" w:hAnsi="宋体" w:cs="宋体"/>
          <w:b/>
          <w:bCs/>
          <w:color w:val="auto"/>
          <w:kern w:val="0"/>
          <w:sz w:val="28"/>
          <w:szCs w:val="28"/>
          <w:u w:val="none"/>
          <w:shd w:val="clear" w:color="auto" w:fill="auto"/>
          <w:lang w:val="en-US" w:eastAsia="zh-CN" w:bidi="ar"/>
        </w:rPr>
        <w:t>延安大学附属医院医疗废物处置及感染性废物处置项目（二次）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2"/>
          <w:szCs w:val="32"/>
          <w:u w:val="none"/>
          <w:shd w:val="clear" w:color="auto" w:fill="auto"/>
        </w:rPr>
      </w:pPr>
      <w:r>
        <w:rPr>
          <w:rFonts w:ascii="宋体" w:hAnsi="宋体" w:eastAsia="宋体" w:cs="宋体"/>
          <w:b/>
          <w:bCs/>
          <w:color w:val="auto"/>
          <w:kern w:val="0"/>
          <w:sz w:val="32"/>
          <w:szCs w:val="32"/>
          <w:u w:val="none"/>
          <w:shd w:val="clear" w:color="auto" w:fill="auto"/>
          <w:lang w:val="en-US" w:eastAsia="zh-CN" w:bidi="ar"/>
        </w:rPr>
        <w:t>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u w:val="none"/>
          <w:shd w:val="clear" w:color="auto" w:fill="auto"/>
        </w:rPr>
      </w:pPr>
      <w:r>
        <w:rPr>
          <w:rStyle w:val="34"/>
          <w:b/>
          <w:bCs/>
          <w:i w:val="0"/>
          <w:iCs w:val="0"/>
          <w:caps w:val="0"/>
          <w:color w:val="auto"/>
          <w:spacing w:val="0"/>
          <w:sz w:val="21"/>
          <w:szCs w:val="21"/>
          <w:u w:val="none"/>
          <w:shd w:val="clear" w:color="auto" w:fill="auto"/>
        </w:rPr>
        <w:t>项目概况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医疗废物处置及感染性废物处置项目(二次)招标项目的潜在投标人应在延安市新区嘉宁万兴花园写字楼21层获取招标文件，并于 2023年08月10日 14时30分 （北京时间）前递交投标文件。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jc w:val="both"/>
        <w:rPr>
          <w:rFonts w:hint="eastAsia" w:ascii="微软雅黑" w:hAnsi="微软雅黑" w:eastAsia="微软雅黑" w:cs="微软雅黑"/>
          <w:b/>
          <w:bCs/>
          <w:i w:val="0"/>
          <w:iCs w:val="0"/>
          <w:caps w:val="0"/>
          <w:color w:val="auto"/>
          <w:spacing w:val="0"/>
          <w:sz w:val="21"/>
          <w:szCs w:val="21"/>
          <w:u w:val="none"/>
          <w:shd w:val="clear" w:color="auto" w:fill="auto"/>
        </w:rPr>
      </w:pPr>
      <w:r>
        <w:rPr>
          <w:rFonts w:hint="eastAsia" w:ascii="微软雅黑" w:hAnsi="微软雅黑" w:eastAsia="微软雅黑" w:cs="微软雅黑"/>
          <w:b/>
          <w:bCs/>
          <w:i w:val="0"/>
          <w:iCs w:val="0"/>
          <w:caps w:val="0"/>
          <w:color w:val="auto"/>
          <w:spacing w:val="0"/>
          <w:sz w:val="21"/>
          <w:szCs w:val="21"/>
          <w:u w:val="none"/>
          <w:shd w:val="clear" w:color="auto" w:fill="auto"/>
        </w:rPr>
        <w:t>一、项目基本情况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项目编号：SXYS-2023-024-1</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项目名称：医疗废物处置及感染性废物处置项目(二次)</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采购方式：公开招标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预算金额：3,200,000.00元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采购需求：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合同包1(延安大学附属医院医疗废物处置及感染性废物处置项目):</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合同包预算金额：3,200,000.00元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合同包最高限价：3,200,000.00元</w:t>
      </w:r>
    </w:p>
    <w:tbl>
      <w:tblPr>
        <w:tblStyle w:val="31"/>
        <w:tblW w:w="9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7"/>
        <w:gridCol w:w="1975"/>
        <w:gridCol w:w="1626"/>
        <w:gridCol w:w="733"/>
        <w:gridCol w:w="1216"/>
        <w:gridCol w:w="1510"/>
        <w:gridCol w:w="15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6" w:hRule="atLeast"/>
          <w:tblHeader/>
        </w:trPr>
        <w:tc>
          <w:tcPr>
            <w:tcW w:w="5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品目号</w:t>
            </w:r>
          </w:p>
        </w:tc>
        <w:tc>
          <w:tcPr>
            <w:tcW w:w="2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品目名称</w:t>
            </w:r>
          </w:p>
        </w:tc>
        <w:tc>
          <w:tcPr>
            <w:tcW w:w="2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采购标的</w:t>
            </w:r>
          </w:p>
        </w:tc>
        <w:tc>
          <w:tcPr>
            <w:tcW w:w="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数量（单位）</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技术规格、参数及要求</w:t>
            </w:r>
          </w:p>
        </w:tc>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品目预算(元)</w:t>
            </w:r>
          </w:p>
        </w:tc>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b/>
                <w:bCs/>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医疗和药物废弃物治理服务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3200000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tLeast"/>
              <w:ind w:left="0" w:right="0"/>
              <w:jc w:val="center"/>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3,200,000.00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tLeast"/>
              <w:ind w:left="0" w:right="0"/>
              <w:jc w:val="right"/>
              <w:rPr>
                <w:color w:val="auto"/>
                <w:sz w:val="21"/>
                <w:szCs w:val="21"/>
                <w:u w:val="none"/>
                <w:shd w:val="clear" w:color="auto" w:fill="auto"/>
              </w:rPr>
            </w:pPr>
            <w:r>
              <w:rPr>
                <w:rFonts w:ascii="宋体" w:hAnsi="宋体" w:eastAsia="宋体" w:cs="宋体"/>
                <w:b/>
                <w:bCs/>
                <w:color w:val="auto"/>
                <w:kern w:val="0"/>
                <w:sz w:val="21"/>
                <w:szCs w:val="21"/>
                <w:u w:val="none"/>
                <w:shd w:val="clear" w:color="auto" w:fill="auto"/>
                <w:lang w:val="en-US" w:eastAsia="zh-CN" w:bidi="ar"/>
              </w:rPr>
              <w:t>3,200,000.00</w:t>
            </w:r>
          </w:p>
        </w:tc>
      </w:tr>
    </w:tbl>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本合同包不接受联合体投标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合同履行期限：一年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二、申请人的资格要求：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1.满足《中华人民共和国政府采购法》第二十二条规定;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2.落实政府采购政策需满足的资格要求：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合同包1(延安大学附属医院医疗废物处置及感染性废物处置项目)落实政府采购政策需满足的资格要求如下: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1、政府采购促进中小企业发展管理办法--财库[2020]46号；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4、节能产品政府采购实施意见--财库[2004]185号；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5、环境标志产品政府采购实施的意见--财库[2006]90号；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6、关于促进残疾人就业政府采购政策的通知--财库[2017]141号；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7、陕西省中小企业政府采购信用融资办法-陕财办采〔2018〕23号；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8、陕西省财政厅关于加快推进我省中小企业政府采购信用融资工作的通知-陕财办采〔2020〕15号。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9、财政部 发展改革委 生态环境部 市场监管总局关于调整优化节能产品、环境标志产品政府采购执行机制的通知--（财库〔2019〕9 号）；</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10、财政部 国务院扶贫办关于运用政府采购政策支持脱贫攻坚的通知--（财库〔2019〕27 号）等文件规定；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3.本项目的特定资格要求：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合同包1(延安大学附属医院医疗废物处置及感染性废物处置项目)特定资格要求如下: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（1）具有独立承担民事责任能力的法人、其他组织或自然人，提供合法有效的统一社会信用代码营业执照附年检报告（事业单位提供事业单位法人证书，自然人应提供身份证）；</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（2）法定代表人授权书（附法定代表人身份证复印件）及被授权人身份证（法定代表人直接参加须提供法定代表人身份证明及法定代表人身份证复印件）；</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（3）投标人需具有道路运输经营许可证（经营范围：危险货物运输）和医疗废物经营许可证（核准经营类别：医疗废物：包括感染性废物、损伤性废物、病理性废物、化学性废物、药物性废物）；</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（4）财务状况证明：提供2022年度经审计完整的财务审计报告（成立时间至提交投标文件截止时间不足一年的可提供成立后任意时段的资产负债表）或其基本存款账户开户银行出具的资信证明；</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（5）税收缴纳证明：提供截止开标时间近三个月内缴费凭据（依法免税的</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应提供相关文件证明）；</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（6）社会保障资金缴纳证明：提供截止开标时间近三个月内的社保缴费凭据或社保机构开具的社会保险参保缴费情况证明（依法不需要缴纳社会保障资金的</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应提供相关证明）； </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（7）具有履行合同所必需的设备和专业技术能力的书面声明；</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（8）</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未被列入“信用中国”网站中严重主体失信名单和经营异常名单、“中国执行信息公开网”网站失信被执行人、中国政府采购网政府采购严重违法失信行为记录名单中被财政部门禁止参加政府采购活动的</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（提供查询结果网页截图并加盖</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公章）；参加政府采购活动近三年内，在经营活动中没有重大违法记录声明函；</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（9）本项目专门面向中小企业采购，</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为中型、小型、微型企业的需提供《中小企业声明函》（采购标的对应所属行业为其他未列明行业，声明函格式按照《政府采购促进中小企业发展管理办法》（财库〔2020〕46号）要求提供）；</w:t>
      </w:r>
      <w:r>
        <w:rPr>
          <w:rFonts w:hint="eastAsia" w:ascii="微软雅黑" w:hAnsi="微软雅黑" w:eastAsia="微软雅黑" w:cs="微软雅黑"/>
          <w:i w:val="0"/>
          <w:iCs w:val="0"/>
          <w:caps w:val="0"/>
          <w:color w:val="auto"/>
          <w:spacing w:val="0"/>
          <w:sz w:val="21"/>
          <w:szCs w:val="21"/>
          <w:u w:val="none"/>
          <w:shd w:val="clear" w:color="auto" w:fill="auto"/>
        </w:rPr>
        <w:br w:type="textWrapping"/>
      </w:r>
      <w:r>
        <w:rPr>
          <w:rFonts w:hint="eastAsia" w:ascii="微软雅黑" w:hAnsi="微软雅黑" w:eastAsia="微软雅黑" w:cs="微软雅黑"/>
          <w:i w:val="0"/>
          <w:iCs w:val="0"/>
          <w:caps w:val="0"/>
          <w:color w:val="auto"/>
          <w:spacing w:val="0"/>
          <w:sz w:val="21"/>
          <w:szCs w:val="21"/>
          <w:u w:val="none"/>
          <w:shd w:val="clear" w:color="auto" w:fill="auto"/>
        </w:rPr>
        <w:t>（10）提供投标保证金交纳凭证。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三、获取招标文件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ascii="微软雅黑" w:hAnsi="微软雅黑" w:eastAsia="微软雅黑" w:cs="微软雅黑"/>
          <w:i w:val="0"/>
          <w:iCs w:val="0"/>
          <w:caps w:val="0"/>
          <w:color w:val="333333"/>
          <w:spacing w:val="0"/>
          <w:sz w:val="21"/>
          <w:szCs w:val="21"/>
          <w:shd w:val="clear" w:color="auto" w:fill="auto"/>
        </w:rPr>
      </w:pPr>
      <w:r>
        <w:rPr>
          <w:rFonts w:hint="eastAsia" w:ascii="微软雅黑" w:hAnsi="微软雅黑" w:eastAsia="微软雅黑" w:cs="微软雅黑"/>
          <w:i w:val="0"/>
          <w:iCs w:val="0"/>
          <w:caps w:val="0"/>
          <w:color w:val="333333"/>
          <w:spacing w:val="0"/>
          <w:sz w:val="21"/>
          <w:szCs w:val="21"/>
          <w:shd w:val="clear" w:color="auto" w:fill="auto"/>
          <w:vertAlign w:val="baseline"/>
        </w:rPr>
        <w:t>时间： 2023年07月21日 至 2023年07月27日 ，每天上午 09:00:00 至 12:00:00 ，下午 14:00:00 至 18:00:00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auto"/>
        </w:rPr>
      </w:pPr>
      <w:r>
        <w:rPr>
          <w:rFonts w:hint="eastAsia" w:ascii="微软雅黑" w:hAnsi="微软雅黑" w:eastAsia="微软雅黑" w:cs="微软雅黑"/>
          <w:i w:val="0"/>
          <w:iCs w:val="0"/>
          <w:caps w:val="0"/>
          <w:color w:val="333333"/>
          <w:spacing w:val="0"/>
          <w:sz w:val="21"/>
          <w:szCs w:val="21"/>
          <w:shd w:val="clear" w:color="auto" w:fill="auto"/>
          <w:vertAlign w:val="baseline"/>
        </w:rPr>
        <w:t>途径：延安市新区嘉宁万兴花园写字楼21层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auto"/>
        </w:rPr>
      </w:pPr>
      <w:r>
        <w:rPr>
          <w:rFonts w:hint="eastAsia" w:ascii="微软雅黑" w:hAnsi="微软雅黑" w:eastAsia="微软雅黑" w:cs="微软雅黑"/>
          <w:i w:val="0"/>
          <w:iCs w:val="0"/>
          <w:caps w:val="0"/>
          <w:color w:val="333333"/>
          <w:spacing w:val="0"/>
          <w:sz w:val="21"/>
          <w:szCs w:val="21"/>
          <w:shd w:val="clear" w:color="auto" w:fill="auto"/>
          <w:vertAlign w:val="baseline"/>
        </w:rPr>
        <w:t>方式：现场获取</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shd w:val="clear" w:color="auto" w:fill="auto"/>
        </w:rPr>
      </w:pPr>
      <w:r>
        <w:rPr>
          <w:rFonts w:hint="eastAsia" w:ascii="微软雅黑" w:hAnsi="微软雅黑" w:eastAsia="微软雅黑" w:cs="微软雅黑"/>
          <w:i w:val="0"/>
          <w:iCs w:val="0"/>
          <w:caps w:val="0"/>
          <w:color w:val="333333"/>
          <w:spacing w:val="0"/>
          <w:sz w:val="21"/>
          <w:szCs w:val="21"/>
          <w:shd w:val="clear" w:color="auto" w:fill="auto"/>
          <w:vertAlign w:val="baseline"/>
        </w:rPr>
        <w:t>售价： 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四、提交投标文件截止时间、开标时间和地点</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vertAlign w:val="baseline"/>
        </w:rPr>
        <w:t>时间： 2023年08月10日 14时30分00秒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vertAlign w:val="baseline"/>
        </w:rPr>
        <w:t>提交投标文件地点：延安市新区嘉宁万兴花园写字楼21层会议室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vertAlign w:val="baseline"/>
        </w:rPr>
        <w:t>开标地点：延安市新区嘉宁万兴花园写字楼21层会议室</w:t>
      </w:r>
      <w:bookmarkStart w:id="117" w:name="_GoBack"/>
      <w:bookmarkEnd w:id="117"/>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五、公告期限</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自本公告发布之日起5个工作日。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六、其他补充事宜</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1.获取</w:t>
      </w:r>
      <w:r>
        <w:rPr>
          <w:rFonts w:hint="eastAsia" w:ascii="微软雅黑" w:hAnsi="微软雅黑" w:eastAsia="微软雅黑" w:cs="微软雅黑"/>
          <w:i w:val="0"/>
          <w:iCs w:val="0"/>
          <w:caps w:val="0"/>
          <w:color w:val="auto"/>
          <w:spacing w:val="0"/>
          <w:sz w:val="21"/>
          <w:szCs w:val="21"/>
          <w:u w:val="none"/>
          <w:shd w:val="clear" w:color="auto" w:fill="auto"/>
          <w:lang w:val="en-US" w:eastAsia="zh-CN"/>
        </w:rPr>
        <w:t>招标</w:t>
      </w:r>
      <w:r>
        <w:rPr>
          <w:rFonts w:hint="eastAsia" w:ascii="微软雅黑" w:hAnsi="微软雅黑" w:eastAsia="微软雅黑" w:cs="微软雅黑"/>
          <w:i w:val="0"/>
          <w:iCs w:val="0"/>
          <w:caps w:val="0"/>
          <w:color w:val="auto"/>
          <w:spacing w:val="0"/>
          <w:sz w:val="21"/>
          <w:szCs w:val="21"/>
          <w:u w:val="none"/>
          <w:shd w:val="clear" w:color="auto" w:fill="auto"/>
        </w:rPr>
        <w:t>文件请携带单位介绍信原件、经办人合法有效的身份证原件及加盖公章的复印件，现场购买，谢绝邮寄，售后不退。</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2.请</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按照陕西省财政厅关于政府采购</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注册登记有关事项的通知中的要求，通过陕西省政府采购网注册登记加入陕西省政府采购</w:t>
      </w:r>
      <w:r>
        <w:rPr>
          <w:rFonts w:hint="eastAsia" w:ascii="微软雅黑" w:hAnsi="微软雅黑" w:eastAsia="微软雅黑" w:cs="微软雅黑"/>
          <w:i w:val="0"/>
          <w:iCs w:val="0"/>
          <w:caps w:val="0"/>
          <w:color w:val="auto"/>
          <w:spacing w:val="0"/>
          <w:sz w:val="21"/>
          <w:szCs w:val="21"/>
          <w:u w:val="none"/>
          <w:shd w:val="clear" w:color="auto" w:fill="auto"/>
          <w:lang w:eastAsia="zh-CN"/>
        </w:rPr>
        <w:t>投标人</w:t>
      </w:r>
      <w:r>
        <w:rPr>
          <w:rFonts w:hint="eastAsia" w:ascii="微软雅黑" w:hAnsi="微软雅黑" w:eastAsia="微软雅黑" w:cs="微软雅黑"/>
          <w:i w:val="0"/>
          <w:iCs w:val="0"/>
          <w:caps w:val="0"/>
          <w:color w:val="auto"/>
          <w:spacing w:val="0"/>
          <w:sz w:val="21"/>
          <w:szCs w:val="21"/>
          <w:u w:val="none"/>
          <w:shd w:val="clear" w:color="auto" w:fill="auto"/>
        </w:rPr>
        <w:t>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u w:val="none"/>
          <w:shd w:val="clear" w:color="auto" w:fill="auto"/>
        </w:rPr>
      </w:pPr>
      <w:r>
        <w:rPr>
          <w:rStyle w:val="34"/>
          <w:rFonts w:hint="eastAsia" w:ascii="微软雅黑" w:hAnsi="微软雅黑" w:eastAsia="微软雅黑" w:cs="微软雅黑"/>
          <w:b/>
          <w:bCs/>
          <w:i w:val="0"/>
          <w:iCs w:val="0"/>
          <w:caps w:val="0"/>
          <w:color w:val="auto"/>
          <w:spacing w:val="0"/>
          <w:sz w:val="21"/>
          <w:szCs w:val="21"/>
          <w:u w:val="none"/>
          <w:shd w:val="clear" w:color="auto" w:fill="auto"/>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0" w:lineRule="atLeast"/>
        <w:ind w:left="0" w:right="0"/>
        <w:jc w:val="left"/>
        <w:rPr>
          <w:b w:val="0"/>
          <w:bCs w:val="0"/>
          <w:color w:val="auto"/>
          <w:sz w:val="21"/>
          <w:szCs w:val="21"/>
          <w:u w:val="none"/>
          <w:shd w:val="clear" w:color="auto" w:fill="auto"/>
        </w:rPr>
      </w:pPr>
      <w:r>
        <w:rPr>
          <w:b w:val="0"/>
          <w:bCs w:val="0"/>
          <w:i w:val="0"/>
          <w:iCs w:val="0"/>
          <w:caps w:val="0"/>
          <w:color w:val="auto"/>
          <w:spacing w:val="0"/>
          <w:sz w:val="21"/>
          <w:szCs w:val="21"/>
          <w:u w:val="none"/>
          <w:shd w:val="clear" w:color="auto" w:fill="auto"/>
        </w:rPr>
        <w:t>1.采购人信息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名称：延安大学附属医院</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地址：陕西省延安市宝塔区北大街43号延安大学附属医院</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联系方式：0911-2881326</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u w:val="none"/>
          <w:shd w:val="clear" w:color="auto" w:fill="auto"/>
        </w:rPr>
      </w:pPr>
      <w:r>
        <w:rPr>
          <w:b w:val="0"/>
          <w:bCs w:val="0"/>
          <w:i w:val="0"/>
          <w:iCs w:val="0"/>
          <w:caps w:val="0"/>
          <w:color w:val="auto"/>
          <w:spacing w:val="0"/>
          <w:sz w:val="21"/>
          <w:szCs w:val="21"/>
          <w:u w:val="none"/>
          <w:shd w:val="clear" w:color="auto" w:fill="auto"/>
        </w:rPr>
        <w:t>2.采购代理机构信息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名称：陕西延审工程项目管理有限公司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地址：延安市新区嘉宁万兴花园写字楼21层</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联系方式：0911-2114641</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u w:val="none"/>
          <w:shd w:val="clear" w:color="auto" w:fill="auto"/>
        </w:rPr>
      </w:pPr>
      <w:r>
        <w:rPr>
          <w:b w:val="0"/>
          <w:bCs w:val="0"/>
          <w:i w:val="0"/>
          <w:iCs w:val="0"/>
          <w:caps w:val="0"/>
          <w:color w:val="auto"/>
          <w:spacing w:val="0"/>
          <w:sz w:val="21"/>
          <w:szCs w:val="21"/>
          <w:u w:val="none"/>
          <w:shd w:val="clear" w:color="auto" w:fill="auto"/>
        </w:rPr>
        <w:t>3.项目联系方式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项目联系人：郝小艳</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r>
        <w:rPr>
          <w:rFonts w:hint="eastAsia" w:ascii="微软雅黑" w:hAnsi="微软雅黑" w:eastAsia="微软雅黑" w:cs="微软雅黑"/>
          <w:i w:val="0"/>
          <w:iCs w:val="0"/>
          <w:caps w:val="0"/>
          <w:color w:val="auto"/>
          <w:spacing w:val="0"/>
          <w:sz w:val="21"/>
          <w:szCs w:val="21"/>
          <w:u w:val="none"/>
          <w:shd w:val="clear" w:color="auto" w:fill="auto"/>
        </w:rPr>
        <w:t>电话：19929659892</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auto"/>
          <w:spacing w:val="0"/>
          <w:sz w:val="21"/>
          <w:szCs w:val="21"/>
          <w:u w:val="none"/>
          <w:shd w:val="clear" w:color="auto" w:fill="auto"/>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center"/>
        <w:rPr>
          <w:rFonts w:ascii="宋体" w:hAnsi="宋体" w:cs="宋体"/>
          <w:b/>
          <w:bCs/>
          <w:sz w:val="36"/>
          <w:szCs w:val="36"/>
        </w:rPr>
      </w:pPr>
      <w:r>
        <w:rPr>
          <w:rFonts w:hint="eastAsia" w:ascii="宋体" w:hAnsi="宋体" w:cs="宋体"/>
          <w:b/>
          <w:bCs/>
          <w:sz w:val="36"/>
          <w:szCs w:val="36"/>
        </w:rPr>
        <w:t xml:space="preserve">第二部分  </w:t>
      </w:r>
      <w:r>
        <w:rPr>
          <w:rFonts w:hint="eastAsia" w:cs="宋体"/>
          <w:b/>
          <w:bCs/>
          <w:sz w:val="36"/>
          <w:szCs w:val="36"/>
          <w:lang w:eastAsia="zh-CN"/>
        </w:rPr>
        <w:t>投标人</w:t>
      </w:r>
      <w:r>
        <w:rPr>
          <w:rFonts w:hint="eastAsia" w:ascii="宋体" w:hAnsi="宋体" w:cs="宋体"/>
          <w:b/>
          <w:bCs/>
          <w:sz w:val="36"/>
          <w:szCs w:val="36"/>
        </w:rPr>
        <w:t>须知前附表</w:t>
      </w:r>
      <w:bookmarkEnd w:id="3"/>
      <w:bookmarkEnd w:id="4"/>
    </w:p>
    <w:tbl>
      <w:tblPr>
        <w:tblStyle w:val="31"/>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pPr>
            <w:r>
              <w:rPr>
                <w:rFonts w:hint="eastAsia"/>
              </w:rPr>
              <w:t>1.满足《中华人民共和国政府采购法》第二十二条规定;</w:t>
            </w:r>
          </w:p>
          <w:p>
            <w:pPr>
              <w:spacing w:line="360" w:lineRule="auto"/>
            </w:pPr>
            <w:r>
              <w:rPr>
                <w:rFonts w:hint="eastAsia"/>
              </w:rPr>
              <w:t>2.落实政府采购政策需满足的资格要求：</w:t>
            </w:r>
          </w:p>
          <w:p>
            <w:pPr>
              <w:spacing w:line="360" w:lineRule="auto"/>
            </w:pPr>
            <w:r>
              <w:rPr>
                <w:rFonts w:hint="eastAsia"/>
              </w:rPr>
              <w:t>合同包1(延安大学附属医院互联网医院项目)落实政府采购政策需满足的资格要求如下:</w:t>
            </w:r>
          </w:p>
          <w:p>
            <w:pPr>
              <w:spacing w:line="360" w:lineRule="auto"/>
            </w:pPr>
            <w:r>
              <w:rPr>
                <w:rFonts w:hint="eastAsia"/>
              </w:rPr>
              <w:t>1、政府采购促进中小企业发展管理办法--财库[2020]46号；</w:t>
            </w:r>
          </w:p>
          <w:p>
            <w:pPr>
              <w:spacing w:line="360" w:lineRule="auto"/>
            </w:pPr>
            <w:r>
              <w:rPr>
                <w:rFonts w:hint="eastAsia"/>
              </w:rPr>
              <w:t>2、财政部司法部关于政府采购支持监狱企业发展有关问题的通知--财库[2014]68号；</w:t>
            </w:r>
          </w:p>
          <w:p>
            <w:pPr>
              <w:spacing w:line="360" w:lineRule="auto"/>
            </w:pPr>
            <w:r>
              <w:rPr>
                <w:rFonts w:hint="eastAsia"/>
              </w:rPr>
              <w:t>3、国务院办公厅关于建立政府强制采购节能产品制度的通知--国办发[2007]51号；</w:t>
            </w:r>
          </w:p>
          <w:p>
            <w:pPr>
              <w:spacing w:line="360" w:lineRule="auto"/>
            </w:pPr>
            <w:r>
              <w:rPr>
                <w:rFonts w:hint="eastAsia"/>
              </w:rPr>
              <w:t>4、节能产品政府采购实施意见--财库[2004]185号；</w:t>
            </w:r>
          </w:p>
          <w:p>
            <w:pPr>
              <w:spacing w:line="360" w:lineRule="auto"/>
            </w:pPr>
            <w:r>
              <w:rPr>
                <w:rFonts w:hint="eastAsia"/>
              </w:rPr>
              <w:t>5、环境标志产品政府采购实施的意见--财库[2006]90号；</w:t>
            </w:r>
          </w:p>
          <w:p>
            <w:pPr>
              <w:spacing w:line="360" w:lineRule="auto"/>
            </w:pPr>
            <w:r>
              <w:rPr>
                <w:rFonts w:hint="eastAsia"/>
              </w:rPr>
              <w:t>6、关于促进残疾人就业政府采购政策的通知--财库[2017]141号；</w:t>
            </w:r>
          </w:p>
          <w:p>
            <w:pPr>
              <w:spacing w:line="360" w:lineRule="auto"/>
            </w:pPr>
            <w:r>
              <w:rPr>
                <w:rFonts w:hint="eastAsia"/>
              </w:rPr>
              <w:t>7、陕西省中小企业政府采购信用融资办法-陕财办采〔2018〕23号；</w:t>
            </w:r>
          </w:p>
          <w:p>
            <w:pPr>
              <w:spacing w:line="360" w:lineRule="auto"/>
            </w:pPr>
            <w:r>
              <w:rPr>
                <w:rFonts w:hint="eastAsia"/>
              </w:rPr>
              <w:t>8、陕西省财政厅关于加快推进我省中小企业政府采购信用融资工作的通知-陕财办采〔2020〕15号。</w:t>
            </w:r>
          </w:p>
          <w:p>
            <w:pPr>
              <w:spacing w:line="360" w:lineRule="auto"/>
            </w:pPr>
            <w:r>
              <w:rPr>
                <w:rFonts w:hint="eastAsia"/>
              </w:rPr>
              <w:t>9、财政部 发展改革委 生态环境部 市场监管总局关于调整优化节能产品、环境标志产品政府采购执行机制的通知--（财库〔2019〕9 号）；</w:t>
            </w:r>
          </w:p>
          <w:p>
            <w:pPr>
              <w:spacing w:line="360" w:lineRule="auto"/>
            </w:pPr>
            <w:r>
              <w:rPr>
                <w:rFonts w:hint="eastAsia"/>
              </w:rPr>
              <w:t>10、财政部 国务院扶贫办关于运用政府采购政策支持脱贫攻坚的通知--（财库〔2019〕27 号）等文件规定；</w:t>
            </w:r>
          </w:p>
          <w:p>
            <w:pPr>
              <w:spacing w:line="360" w:lineRule="auto"/>
            </w:pPr>
            <w:r>
              <w:rPr>
                <w:rFonts w:hint="eastAsia"/>
              </w:rPr>
              <w:t>3.本项目的特定资格要求：</w:t>
            </w:r>
          </w:p>
          <w:p>
            <w:pPr>
              <w:spacing w:line="360" w:lineRule="auto"/>
            </w:pPr>
            <w:r>
              <w:rPr>
                <w:rFonts w:hint="eastAsia"/>
              </w:rPr>
              <w:t>合同包1(延安大学附属医院医疗废物处置及感染性废物处置项目)特定资格要求如下:</w:t>
            </w:r>
          </w:p>
          <w:p>
            <w:pPr>
              <w:spacing w:line="360" w:lineRule="auto"/>
              <w:rPr>
                <w:rFonts w:hint="eastAsia"/>
              </w:rPr>
            </w:pPr>
            <w:r>
              <w:rPr>
                <w:rFonts w:hint="eastAsia"/>
              </w:rPr>
              <w:t>（1）具有独立承担民事责任能力的法人、其他组织或自然人，提供合法有效的统一社会信用代码营业执照附年检报告（事业单位提供事业单位法人证书，自然人应提供身份证）；</w:t>
            </w:r>
          </w:p>
          <w:p>
            <w:pPr>
              <w:spacing w:line="360" w:lineRule="auto"/>
              <w:rPr>
                <w:rFonts w:hint="eastAsia"/>
              </w:rPr>
            </w:pPr>
            <w:r>
              <w:rPr>
                <w:rFonts w:hint="eastAsia"/>
              </w:rPr>
              <w:t>（2）法定代表人授权书（附法定代表人身份证复印件）及被授权人身份证（法定代表人直接参加须提供法定代表人身份证明及法定代表人身份证复印件）；</w:t>
            </w:r>
          </w:p>
          <w:p>
            <w:pPr>
              <w:spacing w:line="360" w:lineRule="auto"/>
              <w:rPr>
                <w:rFonts w:hint="eastAsia"/>
              </w:rPr>
            </w:pPr>
            <w:r>
              <w:rPr>
                <w:rFonts w:hint="eastAsia"/>
              </w:rPr>
              <w:t>（3）投标人需具有道路运输经营许可证（经营范围：危险货物运输）和医疗废物经营许可证（核准经营类别：医疗废物：包括感染性废物、损伤性废物、病理性废物、化学性废物、药物性废物）；</w:t>
            </w:r>
          </w:p>
          <w:p>
            <w:pPr>
              <w:spacing w:line="360" w:lineRule="auto"/>
              <w:rPr>
                <w:rFonts w:hint="eastAsia"/>
              </w:rPr>
            </w:pPr>
            <w:r>
              <w:rPr>
                <w:rFonts w:hint="eastAsia"/>
              </w:rPr>
              <w:t>（4）财务状况证明：提供2022年度经审计完整的财务审计报告（成立时间至提交投标文件截止时间不足一年的可提供成立后任意时段的资产负债表）或其基本存款账户开户银行出具的资信证明；</w:t>
            </w:r>
          </w:p>
          <w:p>
            <w:pPr>
              <w:spacing w:line="360" w:lineRule="auto"/>
              <w:rPr>
                <w:rFonts w:hint="eastAsia"/>
              </w:rPr>
            </w:pPr>
            <w:r>
              <w:rPr>
                <w:rFonts w:hint="eastAsia"/>
              </w:rPr>
              <w:t>（5）税收缴纳证明：提供截止开标时间近三个月内缴费凭据（依法免税的</w:t>
            </w:r>
            <w:r>
              <w:rPr>
                <w:rFonts w:hint="eastAsia"/>
                <w:lang w:eastAsia="zh-CN"/>
              </w:rPr>
              <w:t>投标人</w:t>
            </w:r>
            <w:r>
              <w:rPr>
                <w:rFonts w:hint="eastAsia"/>
              </w:rPr>
              <w:t>应提供相关文件证明）；</w:t>
            </w:r>
          </w:p>
          <w:p>
            <w:pPr>
              <w:spacing w:line="360" w:lineRule="auto"/>
              <w:rPr>
                <w:rFonts w:hint="eastAsia"/>
              </w:rPr>
            </w:pPr>
            <w:r>
              <w:rPr>
                <w:rFonts w:hint="eastAsia"/>
              </w:rPr>
              <w:t>（6）社会保障资金缴纳证明：提供截止开标时间近三个月内的社保缴费凭据或社保机构开具的社会保险参保缴费情况证明（依法不需要缴纳社会保障资金的</w:t>
            </w:r>
            <w:r>
              <w:rPr>
                <w:rFonts w:hint="eastAsia"/>
                <w:lang w:eastAsia="zh-CN"/>
              </w:rPr>
              <w:t>投标人</w:t>
            </w:r>
            <w:r>
              <w:rPr>
                <w:rFonts w:hint="eastAsia"/>
              </w:rPr>
              <w:t>应提供相关证明）； </w:t>
            </w:r>
          </w:p>
          <w:p>
            <w:pPr>
              <w:spacing w:line="360" w:lineRule="auto"/>
              <w:rPr>
                <w:rFonts w:hint="eastAsia"/>
              </w:rPr>
            </w:pPr>
            <w:r>
              <w:rPr>
                <w:rFonts w:hint="eastAsia"/>
              </w:rPr>
              <w:t>（7）具有履行合同所必需的设备和专业技术能力的书面声明；</w:t>
            </w:r>
          </w:p>
          <w:p>
            <w:pPr>
              <w:spacing w:line="360" w:lineRule="auto"/>
              <w:rPr>
                <w:rFonts w:hint="eastAsia"/>
              </w:rPr>
            </w:pPr>
            <w:r>
              <w:rPr>
                <w:rFonts w:hint="eastAsia"/>
              </w:rPr>
              <w:t>（8）</w:t>
            </w:r>
            <w:r>
              <w:rPr>
                <w:rFonts w:hint="eastAsia"/>
                <w:lang w:eastAsia="zh-CN"/>
              </w:rPr>
              <w:t>投标人</w:t>
            </w:r>
            <w:r>
              <w:rPr>
                <w:rFonts w:hint="eastAsia"/>
              </w:rPr>
              <w:t>未被列入“信用中国”网站中严重主体失信名单和经营异常名单、“中国执行信息公开网”网站失信被执行人、中国政府采购网政府采购严重违法失信行为记录名单中被财政部门禁止参加政府采购活动的</w:t>
            </w:r>
            <w:r>
              <w:rPr>
                <w:rFonts w:hint="eastAsia"/>
                <w:lang w:eastAsia="zh-CN"/>
              </w:rPr>
              <w:t>投标人</w:t>
            </w:r>
            <w:r>
              <w:rPr>
                <w:rFonts w:hint="eastAsia"/>
              </w:rPr>
              <w:t>（提供查询结果网页截图并加盖</w:t>
            </w:r>
            <w:r>
              <w:rPr>
                <w:rFonts w:hint="eastAsia"/>
                <w:lang w:eastAsia="zh-CN"/>
              </w:rPr>
              <w:t>投标人</w:t>
            </w:r>
            <w:r>
              <w:rPr>
                <w:rFonts w:hint="eastAsia"/>
              </w:rPr>
              <w:t>公章）；参加政府采购活动近三年内，在经营活动中没有重大违法记录声明函；</w:t>
            </w:r>
          </w:p>
          <w:p>
            <w:pPr>
              <w:spacing w:line="360" w:lineRule="auto"/>
              <w:rPr>
                <w:rFonts w:hint="eastAsia"/>
              </w:rPr>
            </w:pPr>
            <w:r>
              <w:rPr>
                <w:rFonts w:hint="eastAsia"/>
              </w:rPr>
              <w:t>（9）本项目专门面向中小企业采购，</w:t>
            </w:r>
            <w:r>
              <w:rPr>
                <w:rFonts w:hint="eastAsia"/>
                <w:lang w:eastAsia="zh-CN"/>
              </w:rPr>
              <w:t>投标人</w:t>
            </w:r>
            <w:r>
              <w:rPr>
                <w:rFonts w:hint="eastAsia"/>
              </w:rPr>
              <w:t>为中型、小型、微型企业的需提供《中小企业声明函》（采购标的对应所属行业为其他未列明行业，声明函格式按照《政府采购促进中小企业发展管理办法》（财库〔2020〕46号）要求提供）；</w:t>
            </w:r>
          </w:p>
          <w:p>
            <w:pPr>
              <w:spacing w:line="360" w:lineRule="auto"/>
              <w:rPr>
                <w:rFonts w:hint="eastAsia"/>
              </w:rPr>
            </w:pPr>
            <w:r>
              <w:rPr>
                <w:rFonts w:hint="eastAsia"/>
              </w:rPr>
              <w:t>（10）提供投标保证金交纳凭证。</w:t>
            </w:r>
          </w:p>
          <w:p>
            <w:pPr>
              <w:spacing w:line="360" w:lineRule="auto"/>
              <w:ind w:firstLine="420" w:firstLineChars="200"/>
              <w:rPr>
                <w:rFonts w:hint="eastAsia"/>
              </w:rPr>
            </w:pPr>
            <w:r>
              <w:rPr>
                <w:rFonts w:hint="eastAsia"/>
              </w:rPr>
              <w:t>以上项为资格审查必备资质。投标文件的正本和全部副本必须附上述资格证明文件，缺少其中一项或某项达不到公开招标要求，其投标文件按无效文件处理。</w:t>
            </w:r>
          </w:p>
          <w:p>
            <w:pPr>
              <w:pStyle w:val="2"/>
            </w:pPr>
            <w:r>
              <w:rPr>
                <w:rFonts w:hint="eastAsia" w:ascii="Times New Roman" w:hAnsi="Times New Roman" w:eastAsia="宋体" w:cs="Times New Roman"/>
                <w:color w:val="auto"/>
                <w:kern w:val="2"/>
                <w:sz w:val="21"/>
                <w:szCs w:val="22"/>
                <w:lang w:val="en-US" w:eastAsia="zh-CN" w:bidi="ar-SA"/>
              </w:rPr>
              <w:t>注：法定代表人授权书（附法定代表人身份证复印件）及被授权人身份证原件及复印件（法定代表人直接参加只须提供法定代表人身份证明及身份证原件）。（手持现场查验）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219" w:type="dxa"/>
          </w:tcPr>
          <w:p>
            <w:pPr>
              <w:widowControl/>
              <w:spacing w:line="360" w:lineRule="auto"/>
              <w:jc w:val="left"/>
              <w:textAlignment w:val="auto"/>
              <w:rPr>
                <w:rFonts w:hint="eastAsia" w:ascii="Times New Roman" w:hAnsi="Times New Roman" w:cs="Times New Roman"/>
                <w:kern w:val="2"/>
                <w:sz w:val="21"/>
                <w:lang w:bidi="ar"/>
              </w:rPr>
            </w:pPr>
            <w:r>
              <w:rPr>
                <w:rFonts w:hint="eastAsia" w:ascii="Times New Roman" w:hAnsi="Times New Roman" w:cs="Times New Roman"/>
                <w:sz w:val="21"/>
                <w:szCs w:val="22"/>
              </w:rPr>
              <w:t>1、服务期：</w:t>
            </w:r>
            <w:r>
              <w:rPr>
                <w:rFonts w:hint="eastAsia" w:cs="Times New Roman"/>
                <w:kern w:val="2"/>
                <w:sz w:val="21"/>
                <w:lang w:val="en-US" w:eastAsia="zh-CN" w:bidi="ar"/>
              </w:rPr>
              <w:t>一</w:t>
            </w:r>
            <w:r>
              <w:rPr>
                <w:rFonts w:hint="eastAsia" w:ascii="Times New Roman" w:hAnsi="Times New Roman" w:cs="Times New Roman"/>
                <w:kern w:val="2"/>
                <w:sz w:val="21"/>
                <w:lang w:bidi="ar"/>
              </w:rPr>
              <w:t>年</w:t>
            </w:r>
          </w:p>
          <w:p>
            <w:pPr>
              <w:spacing w:line="360" w:lineRule="auto"/>
              <w:jc w:val="left"/>
              <w:rPr>
                <w:rFonts w:hint="eastAsia" w:ascii="Times New Roman" w:hAnsi="Times New Roman" w:cs="Times New Roman"/>
                <w:kern w:val="2"/>
                <w:sz w:val="21"/>
                <w:lang w:bidi="ar"/>
              </w:rPr>
            </w:pPr>
            <w:r>
              <w:rPr>
                <w:rFonts w:hint="eastAsia" w:ascii="Times New Roman" w:hAnsi="Times New Roman" w:cs="Times New Roman"/>
                <w:sz w:val="21"/>
                <w:szCs w:val="22"/>
              </w:rPr>
              <w:t>2、服务地点：延安大学附属医院</w:t>
            </w:r>
            <w:r>
              <w:rPr>
                <w:rFonts w:hint="eastAsia" w:cs="Times New Roman"/>
                <w:sz w:val="21"/>
                <w:szCs w:val="22"/>
                <w:lang w:val="en-US" w:eastAsia="zh-CN"/>
              </w:rPr>
              <w:t>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投标保证金</w:t>
            </w:r>
          </w:p>
          <w:p>
            <w:pPr>
              <w:spacing w:line="360" w:lineRule="auto"/>
              <w:jc w:val="center"/>
              <w:rPr>
                <w:rFonts w:hint="eastAsia" w:ascii="宋体" w:hAnsi="宋体" w:cs="宋体"/>
                <w:sz w:val="24"/>
                <w:szCs w:val="24"/>
              </w:rPr>
            </w:pPr>
            <w:r>
              <w:rPr>
                <w:rFonts w:hint="eastAsia" w:ascii="宋体" w:hAnsi="宋体" w:cs="宋体"/>
                <w:sz w:val="24"/>
                <w:szCs w:val="24"/>
              </w:rPr>
              <w:t>缴纳</w:t>
            </w:r>
          </w:p>
        </w:tc>
        <w:tc>
          <w:tcPr>
            <w:tcW w:w="7219" w:type="dxa"/>
          </w:tcPr>
          <w:p>
            <w:pPr>
              <w:rPr>
                <w:rFonts w:hint="eastAsia" w:ascii="Times New Roman" w:hAnsi="Times New Roman" w:cs="Times New Roman"/>
                <w:sz w:val="21"/>
                <w:szCs w:val="22"/>
              </w:rPr>
            </w:pPr>
            <w:r>
              <w:rPr>
                <w:rFonts w:hint="eastAsia" w:ascii="Times New Roman" w:hAnsi="Times New Roman" w:cs="Times New Roman"/>
                <w:sz w:val="21"/>
                <w:szCs w:val="22"/>
              </w:rPr>
              <w:t>1、保证金的缴纳：人民币</w:t>
            </w:r>
            <w:r>
              <w:rPr>
                <w:rFonts w:hint="eastAsia" w:cs="Times New Roman"/>
                <w:sz w:val="21"/>
                <w:szCs w:val="22"/>
                <w:lang w:val="en-US" w:eastAsia="zh-CN"/>
              </w:rPr>
              <w:t>叁万元整</w:t>
            </w:r>
            <w:r>
              <w:rPr>
                <w:rFonts w:hint="eastAsia" w:ascii="Times New Roman" w:hAnsi="Times New Roman" w:cs="Times New Roman"/>
                <w:sz w:val="21"/>
                <w:szCs w:val="22"/>
              </w:rPr>
              <w:t>（</w:t>
            </w:r>
            <w:r>
              <w:rPr>
                <w:rFonts w:hint="eastAsia" w:cs="Times New Roman"/>
                <w:sz w:val="21"/>
                <w:szCs w:val="22"/>
                <w:lang w:val="en-US" w:eastAsia="zh-CN"/>
              </w:rPr>
              <w:t>3</w:t>
            </w:r>
            <w:r>
              <w:rPr>
                <w:rFonts w:hint="eastAsia" w:ascii="Times New Roman" w:hAnsi="Times New Roman" w:cs="Times New Roman"/>
                <w:sz w:val="21"/>
                <w:szCs w:val="22"/>
              </w:rPr>
              <w:t>0000.00元）</w:t>
            </w:r>
          </w:p>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2、投标保证金的提交形式：</w:t>
            </w:r>
            <w:r>
              <w:rPr>
                <w:rFonts w:hint="eastAsia" w:cs="Times New Roman"/>
                <w:sz w:val="21"/>
                <w:szCs w:val="22"/>
                <w:lang w:eastAsia="zh-CN"/>
              </w:rPr>
              <w:t>投标人</w:t>
            </w:r>
            <w:r>
              <w:rPr>
                <w:rFonts w:hint="eastAsia" w:ascii="Times New Roman" w:hAnsi="Times New Roman" w:cs="Times New Roman"/>
                <w:sz w:val="21"/>
                <w:szCs w:val="22"/>
              </w:rPr>
              <w:t>必须由基本账户以电汇或转账等非现金形式在投标截止时间前提交（备注项目编号投标保证金以便查询）。</w:t>
            </w:r>
          </w:p>
          <w:p>
            <w:pPr>
              <w:spacing w:line="360" w:lineRule="auto"/>
              <w:rPr>
                <w:rFonts w:hint="eastAsia"/>
              </w:rPr>
            </w:pPr>
            <w:r>
              <w:rPr>
                <w:rFonts w:hint="eastAsia" w:ascii="Times New Roman" w:hAnsi="Times New Roman" w:cs="Times New Roman"/>
                <w:sz w:val="21"/>
                <w:szCs w:val="22"/>
              </w:rPr>
              <w:t>3、投标保证金账户信息：</w:t>
            </w:r>
          </w:p>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户    名：陕西延审工程项目管理有限公司</w:t>
            </w:r>
          </w:p>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开户银行：中国工商银行股份有限公司西安太华路支行</w:t>
            </w:r>
          </w:p>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行    号：102791000074</w:t>
            </w:r>
          </w:p>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账    号：3700023919200266054</w:t>
            </w:r>
          </w:p>
          <w:p>
            <w:pPr>
              <w:spacing w:line="360" w:lineRule="auto"/>
              <w:rPr>
                <w:rFonts w:hint="eastAsia" w:ascii="Times New Roman" w:hAnsi="Times New Roman" w:cs="Times New Roman"/>
                <w:kern w:val="2"/>
              </w:rPr>
            </w:pPr>
            <w:r>
              <w:rPr>
                <w:rFonts w:hint="eastAsia" w:ascii="Times New Roman" w:hAnsi="Times New Roman" w:cs="Times New Roman"/>
                <w:kern w:val="2"/>
              </w:rPr>
              <w:t>4、投标保证金递交须知：</w:t>
            </w:r>
          </w:p>
          <w:p>
            <w:pPr>
              <w:spacing w:line="360" w:lineRule="auto"/>
              <w:rPr>
                <w:rFonts w:hint="eastAsia" w:ascii="Times New Roman" w:hAnsi="Times New Roman" w:cs="Times New Roman"/>
                <w:kern w:val="2"/>
              </w:rPr>
            </w:pPr>
            <w:r>
              <w:rPr>
                <w:rFonts w:hint="eastAsia" w:ascii="Times New Roman" w:hAnsi="Times New Roman" w:cs="Times New Roman"/>
                <w:kern w:val="2"/>
              </w:rPr>
              <w:t>（1）从基本账户以电汇或转账方式提交保证金，且保证金单位名称必须与</w:t>
            </w:r>
            <w:r>
              <w:rPr>
                <w:rFonts w:hint="eastAsia" w:cs="Times New Roman"/>
                <w:kern w:val="2"/>
                <w:lang w:eastAsia="zh-CN"/>
              </w:rPr>
              <w:t>投标人</w:t>
            </w:r>
            <w:r>
              <w:rPr>
                <w:rFonts w:hint="eastAsia" w:ascii="Times New Roman" w:hAnsi="Times New Roman" w:cs="Times New Roman"/>
                <w:kern w:val="2"/>
              </w:rPr>
              <w:t>登记的单位名称一致。</w:t>
            </w:r>
          </w:p>
          <w:p>
            <w:pPr>
              <w:spacing w:line="360" w:lineRule="auto"/>
              <w:rPr>
                <w:rFonts w:hint="eastAsia" w:ascii="Times New Roman" w:hAnsi="Times New Roman" w:cs="Times New Roman"/>
                <w:kern w:val="2"/>
              </w:rPr>
            </w:pPr>
            <w:r>
              <w:rPr>
                <w:rFonts w:hint="eastAsia" w:ascii="Times New Roman" w:hAnsi="Times New Roman" w:cs="Times New Roman"/>
                <w:kern w:val="2"/>
              </w:rPr>
              <w:t>（2）因不能在规定时间前核实到达指定账户的，导致投标无效的后果由</w:t>
            </w:r>
            <w:r>
              <w:rPr>
                <w:rFonts w:hint="eastAsia" w:cs="Times New Roman"/>
                <w:kern w:val="2"/>
                <w:lang w:eastAsia="zh-CN"/>
              </w:rPr>
              <w:t>投标人</w:t>
            </w:r>
            <w:r>
              <w:rPr>
                <w:rFonts w:hint="eastAsia" w:ascii="Times New Roman" w:hAnsi="Times New Roman" w:cs="Times New Roman"/>
                <w:kern w:val="2"/>
              </w:rPr>
              <w:t>自行承担。</w:t>
            </w:r>
          </w:p>
          <w:p>
            <w:pPr>
              <w:spacing w:line="360" w:lineRule="auto"/>
              <w:rPr>
                <w:rFonts w:hint="eastAsia" w:ascii="Times New Roman" w:hAnsi="Times New Roman" w:cs="Times New Roman"/>
                <w:kern w:val="2"/>
              </w:rPr>
            </w:pPr>
            <w:r>
              <w:rPr>
                <w:rFonts w:hint="eastAsia" w:ascii="Times New Roman" w:hAnsi="Times New Roman" w:cs="Times New Roman"/>
                <w:kern w:val="2"/>
              </w:rPr>
              <w:t>5、自成交通知书发出之日起5个工作日内退还未成交人的投标保证金；自采购合同（提供扫描件）签订之日起5个工作日内退还成交人的投标保证金。</w:t>
            </w:r>
          </w:p>
          <w:p>
            <w:pPr>
              <w:spacing w:line="360" w:lineRule="auto"/>
              <w:rPr>
                <w:rFonts w:hint="eastAsia" w:ascii="Times New Roman" w:hAnsi="Times New Roman" w:cs="Times New Roman"/>
                <w:kern w:val="2"/>
              </w:rPr>
            </w:pPr>
            <w:r>
              <w:rPr>
                <w:rFonts w:hint="eastAsia" w:ascii="Times New Roman" w:hAnsi="Times New Roman" w:cs="Times New Roman"/>
                <w:kern w:val="2"/>
              </w:rPr>
              <w:t>（温馨提示：由于转账当天不一定能够到账，为避免因保证金未到账或延迟到账而导致投标文件被拒绝，建议至少提前1个工作日到账；如提交保函，建议至少提前一个工作日将保函正本送至采购代理机构，保函须由财政部门认可的政府采购专业担保机构出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备选方案</w:t>
            </w:r>
          </w:p>
        </w:tc>
        <w:tc>
          <w:tcPr>
            <w:tcW w:w="7219" w:type="dxa"/>
            <w:vAlign w:val="center"/>
          </w:tcPr>
          <w:p>
            <w:pPr>
              <w:spacing w:line="360" w:lineRule="auto"/>
              <w:jc w:val="left"/>
              <w:rPr>
                <w:rFonts w:hint="eastAsia" w:ascii="Times New Roman" w:hAnsi="Times New Roman" w:cs="Times New Roman"/>
                <w:sz w:val="21"/>
                <w:szCs w:val="22"/>
              </w:rPr>
            </w:pPr>
            <w:r>
              <w:rPr>
                <w:rFonts w:hint="eastAsia" w:ascii="Times New Roman" w:hAnsi="Times New Roman" w:cs="Times New Roman"/>
                <w:sz w:val="21"/>
                <w:szCs w:val="22"/>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联合体</w:t>
            </w:r>
          </w:p>
        </w:tc>
        <w:tc>
          <w:tcPr>
            <w:tcW w:w="7219" w:type="dxa"/>
            <w:vAlign w:val="center"/>
          </w:tcPr>
          <w:p>
            <w:pPr>
              <w:spacing w:line="360" w:lineRule="auto"/>
              <w:rPr>
                <w:rFonts w:hint="eastAsia" w:ascii="Times New Roman" w:hAnsi="Times New Roman" w:cs="Times New Roman"/>
                <w:sz w:val="21"/>
                <w:szCs w:val="22"/>
              </w:rPr>
            </w:pPr>
            <w:r>
              <w:rPr>
                <w:rFonts w:hint="eastAsia" w:ascii="Times New Roman" w:hAnsi="Times New Roman" w:cs="Times New Roman"/>
                <w:sz w:val="21"/>
                <w:szCs w:val="22"/>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w:t>
            </w:r>
          </w:p>
          <w:p>
            <w:pPr>
              <w:spacing w:line="360" w:lineRule="auto"/>
              <w:jc w:val="center"/>
              <w:rPr>
                <w:rFonts w:hint="eastAsia" w:ascii="宋体" w:hAnsi="宋体" w:cs="宋体"/>
                <w:sz w:val="24"/>
                <w:szCs w:val="24"/>
              </w:rPr>
            </w:pPr>
            <w:r>
              <w:rPr>
                <w:rFonts w:hint="eastAsia" w:ascii="宋体" w:hAnsi="宋体" w:cs="宋体"/>
                <w:sz w:val="24"/>
                <w:szCs w:val="24"/>
              </w:rPr>
              <w:t>有效期</w:t>
            </w:r>
          </w:p>
        </w:tc>
        <w:tc>
          <w:tcPr>
            <w:tcW w:w="7219" w:type="dxa"/>
            <w:vAlign w:val="center"/>
          </w:tcPr>
          <w:p>
            <w:pPr>
              <w:spacing w:line="360" w:lineRule="auto"/>
              <w:rPr>
                <w:rFonts w:hint="eastAsia" w:ascii="Times New Roman" w:hAnsi="Times New Roman" w:cs="Times New Roman"/>
                <w:sz w:val="21"/>
                <w:szCs w:val="22"/>
              </w:rPr>
            </w:pPr>
            <w:r>
              <w:rPr>
                <w:rFonts w:hint="eastAsia" w:ascii="Times New Roman" w:hAnsi="Times New Roman" w:cs="Times New Roman"/>
                <w:b w:val="0"/>
                <w:bCs w:val="0"/>
                <w:sz w:val="21"/>
                <w:szCs w:val="22"/>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投标货币及报价</w:t>
            </w:r>
          </w:p>
        </w:tc>
        <w:tc>
          <w:tcPr>
            <w:tcW w:w="7219" w:type="dxa"/>
            <w:vAlign w:val="center"/>
          </w:tcPr>
          <w:p>
            <w:pPr>
              <w:numPr>
                <w:ilvl w:val="0"/>
                <w:numId w:val="2"/>
              </w:numPr>
              <w:spacing w:line="360" w:lineRule="auto"/>
              <w:ind w:firstLine="0"/>
              <w:jc w:val="left"/>
              <w:rPr>
                <w:rFonts w:hint="eastAsia" w:ascii="宋体" w:hAnsi="宋体" w:cs="宋体"/>
                <w:sz w:val="24"/>
                <w:szCs w:val="24"/>
              </w:rPr>
            </w:pPr>
            <w:r>
              <w:rPr>
                <w:rFonts w:hint="eastAsia" w:ascii="宋体" w:hAnsi="宋体" w:cs="宋体"/>
                <w:b/>
                <w:bCs/>
                <w:sz w:val="24"/>
                <w:szCs w:val="24"/>
                <w:lang w:eastAsia="zh-CN"/>
              </w:rPr>
              <w:t>投标人</w:t>
            </w:r>
            <w:r>
              <w:rPr>
                <w:rFonts w:hint="eastAsia" w:ascii="宋体" w:hAnsi="宋体" w:cs="宋体"/>
                <w:b/>
                <w:bCs/>
                <w:sz w:val="24"/>
                <w:szCs w:val="24"/>
              </w:rPr>
              <w:t>应当根据招标文件的要求和范围，以人民币为货币，以元为报价单位</w:t>
            </w:r>
            <w:r>
              <w:rPr>
                <w:rFonts w:hint="eastAsia" w:ascii="宋体" w:hAnsi="宋体" w:cs="宋体"/>
                <w:sz w:val="24"/>
                <w:szCs w:val="24"/>
              </w:rPr>
              <w:t>。</w:t>
            </w:r>
          </w:p>
          <w:p>
            <w:pPr>
              <w:numPr>
                <w:ilvl w:val="0"/>
                <w:numId w:val="2"/>
              </w:numPr>
              <w:spacing w:line="360" w:lineRule="auto"/>
              <w:ind w:firstLine="0"/>
              <w:jc w:val="left"/>
              <w:rPr>
                <w:rFonts w:hint="eastAsia" w:ascii="宋体" w:hAnsi="宋体" w:cs="宋体"/>
                <w:sz w:val="24"/>
                <w:szCs w:val="24"/>
              </w:rPr>
            </w:pPr>
            <w:r>
              <w:rPr>
                <w:rFonts w:hint="eastAsia" w:ascii="宋体" w:hAnsi="宋体" w:cs="宋体"/>
                <w:sz w:val="24"/>
                <w:szCs w:val="24"/>
              </w:rPr>
              <w:t>不接受备选投标方案和多个报价。投标报价：投标人应 在投标报价表中标明完成本次招标所要求的服务且验收合格的所有费用。本次报价按总价报价，</w:t>
            </w:r>
            <w:r>
              <w:rPr>
                <w:rFonts w:hint="eastAsia" w:ascii="宋体" w:hAnsi="宋体" w:cs="宋体"/>
                <w:sz w:val="24"/>
                <w:szCs w:val="24"/>
                <w:lang w:val="en-US" w:eastAsia="zh-CN"/>
              </w:rPr>
              <w:t>任</w:t>
            </w:r>
            <w:r>
              <w:rPr>
                <w:rFonts w:hint="eastAsia" w:ascii="宋体" w:hAnsi="宋体" w:cs="宋体"/>
                <w:sz w:val="24"/>
                <w:szCs w:val="24"/>
              </w:rPr>
              <w:t>何有选择的报价将不予接受，否则按无效投标处理。</w:t>
            </w:r>
          </w:p>
          <w:p>
            <w:pPr>
              <w:numPr>
                <w:ilvl w:val="0"/>
                <w:numId w:val="2"/>
              </w:numPr>
              <w:spacing w:line="360" w:lineRule="auto"/>
              <w:ind w:firstLine="0"/>
              <w:jc w:val="left"/>
              <w:rPr>
                <w:rFonts w:hint="eastAsia"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应在投标文件中的开标一览表上按招标文件规定要求填写，并由法定代表人或被授权人代表签署；任何有选择的报价不予接受。</w:t>
            </w:r>
          </w:p>
          <w:p>
            <w:pPr>
              <w:numPr>
                <w:ilvl w:val="0"/>
                <w:numId w:val="2"/>
              </w:numPr>
              <w:spacing w:line="360" w:lineRule="auto"/>
              <w:ind w:firstLine="0"/>
              <w:jc w:val="left"/>
              <w:rPr>
                <w:rFonts w:hint="eastAsia" w:ascii="宋体" w:hAnsi="宋体" w:cs="宋体"/>
                <w:sz w:val="24"/>
                <w:szCs w:val="24"/>
              </w:rPr>
            </w:pPr>
            <w:r>
              <w:rPr>
                <w:rFonts w:hint="eastAsia" w:ascii="宋体" w:hAnsi="宋体" w:cs="宋体"/>
                <w:sz w:val="24"/>
                <w:szCs w:val="24"/>
              </w:rPr>
              <w:t>开标一览表与分项报价表中的价格，在合同执行过程中，均不得以任何理由变更。</w:t>
            </w:r>
          </w:p>
          <w:p>
            <w:pPr>
              <w:numPr>
                <w:ilvl w:val="0"/>
                <w:numId w:val="2"/>
              </w:numPr>
              <w:spacing w:line="360" w:lineRule="auto"/>
              <w:ind w:firstLine="0"/>
              <w:jc w:val="left"/>
              <w:rPr>
                <w:rFonts w:hint="eastAsia" w:ascii="宋体" w:hAnsi="宋体" w:cs="宋体"/>
                <w:sz w:val="24"/>
                <w:szCs w:val="24"/>
              </w:rPr>
            </w:pPr>
            <w:r>
              <w:rPr>
                <w:rFonts w:hint="eastAsia" w:ascii="宋体" w:hAnsi="宋体" w:cs="宋体"/>
                <w:sz w:val="24"/>
                <w:szCs w:val="24"/>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投标文件份数及装订要求</w:t>
            </w:r>
          </w:p>
        </w:tc>
        <w:tc>
          <w:tcPr>
            <w:tcW w:w="7219" w:type="dxa"/>
            <w:vAlign w:val="center"/>
          </w:tcPr>
          <w:p>
            <w:pPr>
              <w:numPr>
                <w:ilvl w:val="0"/>
                <w:numId w:val="3"/>
              </w:numPr>
              <w:spacing w:line="360" w:lineRule="auto"/>
              <w:ind w:firstLine="0"/>
              <w:jc w:val="left"/>
              <w:rPr>
                <w:rFonts w:hint="eastAsia" w:ascii="宋体" w:hAnsi="宋体" w:cs="宋体"/>
                <w:sz w:val="24"/>
                <w:szCs w:val="24"/>
              </w:rPr>
            </w:pPr>
            <w:r>
              <w:rPr>
                <w:rFonts w:hint="eastAsia" w:ascii="宋体" w:hAnsi="宋体" w:cs="宋体"/>
                <w:sz w:val="24"/>
                <w:szCs w:val="24"/>
              </w:rPr>
              <w:t>投标文件正本壹份、副本贰份、开标一览表壹份、电子文档叁份；</w:t>
            </w:r>
          </w:p>
          <w:p>
            <w:pPr>
              <w:numPr>
                <w:ilvl w:val="0"/>
                <w:numId w:val="3"/>
              </w:numPr>
              <w:spacing w:line="360" w:lineRule="auto"/>
              <w:ind w:firstLine="0"/>
              <w:jc w:val="left"/>
              <w:rPr>
                <w:rFonts w:hint="eastAsia" w:ascii="宋体" w:hAnsi="宋体" w:cs="宋体"/>
                <w:sz w:val="24"/>
                <w:szCs w:val="24"/>
              </w:rPr>
            </w:pPr>
            <w:r>
              <w:rPr>
                <w:rFonts w:hint="eastAsia" w:ascii="宋体" w:hAnsi="宋体" w:cs="宋体"/>
                <w:sz w:val="24"/>
                <w:szCs w:val="24"/>
              </w:rPr>
              <w:t>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numPr>
                <w:ilvl w:val="0"/>
                <w:numId w:val="3"/>
              </w:numPr>
              <w:spacing w:line="360" w:lineRule="auto"/>
              <w:ind w:firstLine="0"/>
              <w:jc w:val="left"/>
              <w:rPr>
                <w:rFonts w:hint="eastAsia"/>
              </w:rPr>
            </w:pPr>
            <w:r>
              <w:rPr>
                <w:rFonts w:hint="eastAsia" w:ascii="宋体" w:hAnsi="宋体" w:cs="宋体"/>
                <w:sz w:val="24"/>
                <w:szCs w:val="24"/>
              </w:rPr>
              <w:t>投标文件所有内容均需加盖公章</w:t>
            </w:r>
            <w:r>
              <w:rPr>
                <w:rFonts w:hint="eastAsia" w:ascii="宋体" w:hAnsi="宋体" w:cs="宋体"/>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投标文件的签署</w:t>
            </w:r>
          </w:p>
        </w:tc>
        <w:tc>
          <w:tcPr>
            <w:tcW w:w="7219" w:type="dxa"/>
            <w:vAlign w:val="center"/>
          </w:tcPr>
          <w:p>
            <w:pPr>
              <w:spacing w:line="360" w:lineRule="auto"/>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在投标文件中指定的页面的落款处，按招标文件要求由</w:t>
            </w:r>
            <w:r>
              <w:rPr>
                <w:rFonts w:hint="eastAsia" w:ascii="宋体" w:hAnsi="宋体" w:cs="宋体"/>
                <w:sz w:val="24"/>
                <w:szCs w:val="24"/>
                <w:lang w:eastAsia="zh-CN"/>
              </w:rPr>
              <w:t>投标人</w:t>
            </w:r>
            <w:r>
              <w:rPr>
                <w:rFonts w:hint="eastAsia" w:ascii="宋体" w:hAnsi="宋体" w:cs="宋体"/>
                <w:sz w:val="24"/>
                <w:szCs w:val="24"/>
              </w:rPr>
              <w:t>的法定代表人或其授权代表在规定的签章处签字或盖章。</w:t>
            </w:r>
          </w:p>
          <w:p>
            <w:pPr>
              <w:spacing w:line="360" w:lineRule="auto"/>
              <w:jc w:val="left"/>
              <w:rPr>
                <w:rFonts w:hint="eastAsia" w:ascii="宋体" w:hAnsi="宋体" w:cs="宋体"/>
                <w:sz w:val="24"/>
                <w:szCs w:val="24"/>
              </w:rPr>
            </w:pPr>
            <w:r>
              <w:rPr>
                <w:rFonts w:hint="eastAsia" w:ascii="宋体" w:hAnsi="宋体" w:cs="宋体"/>
                <w:sz w:val="24"/>
                <w:szCs w:val="24"/>
              </w:rPr>
              <w:t>2、投标文件应字迹清楚、内容齐全、不得涂改或增删。如有修改和增删，必须有</w:t>
            </w:r>
            <w:r>
              <w:rPr>
                <w:rFonts w:hint="eastAsia" w:ascii="宋体" w:hAnsi="宋体" w:cs="宋体"/>
                <w:sz w:val="24"/>
                <w:szCs w:val="24"/>
                <w:lang w:eastAsia="zh-CN"/>
              </w:rPr>
              <w:t>投标人</w:t>
            </w:r>
            <w:r>
              <w:rPr>
                <w:rFonts w:hint="eastAsia" w:ascii="宋体" w:hAnsi="宋体" w:cs="宋体"/>
                <w:sz w:val="24"/>
                <w:szCs w:val="24"/>
              </w:rPr>
              <w:t>公章及法定代表人或其授权的</w:t>
            </w:r>
            <w:r>
              <w:rPr>
                <w:rFonts w:hint="eastAsia" w:ascii="宋体" w:hAnsi="宋体" w:cs="宋体"/>
                <w:sz w:val="24"/>
                <w:szCs w:val="24"/>
                <w:lang w:eastAsia="zh-CN"/>
              </w:rPr>
              <w:t>投标人</w:t>
            </w:r>
            <w:r>
              <w:rPr>
                <w:rFonts w:hint="eastAsia" w:ascii="宋体" w:hAnsi="宋体" w:cs="宋体"/>
                <w:sz w:val="24"/>
                <w:szCs w:val="24"/>
              </w:rPr>
              <w:t>代表签字。</w:t>
            </w:r>
          </w:p>
          <w:p>
            <w:pPr>
              <w:spacing w:line="360" w:lineRule="auto"/>
              <w:jc w:val="left"/>
              <w:rPr>
                <w:rFonts w:hint="eastAsia" w:ascii="宋体" w:hAnsi="宋体" w:cs="宋体"/>
                <w:b/>
                <w:bCs/>
                <w:color w:val="000000"/>
                <w:sz w:val="24"/>
                <w:szCs w:val="24"/>
              </w:rPr>
            </w:pPr>
            <w:r>
              <w:rPr>
                <w:rFonts w:hint="eastAsia" w:ascii="宋体" w:hAnsi="宋体" w:cs="宋体"/>
                <w:sz w:val="24"/>
                <w:szCs w:val="24"/>
              </w:rPr>
              <w:t>因投标文件字迹潦草或表达不清所引起的不利后果由</w:t>
            </w:r>
            <w:r>
              <w:rPr>
                <w:rFonts w:hint="eastAsia" w:ascii="宋体" w:hAnsi="宋体" w:cs="宋体"/>
                <w:sz w:val="24"/>
                <w:szCs w:val="24"/>
                <w:lang w:eastAsia="zh-CN"/>
              </w:rPr>
              <w:t>投标人</w:t>
            </w:r>
            <w:r>
              <w:rPr>
                <w:rFonts w:hint="eastAsia" w:ascii="宋体" w:hAnsi="宋体" w:cs="宋体"/>
                <w:sz w:val="24"/>
                <w:szCs w:val="24"/>
              </w:rPr>
              <w:t>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投标文件的密封</w:t>
            </w:r>
          </w:p>
        </w:tc>
        <w:tc>
          <w:tcPr>
            <w:tcW w:w="7219" w:type="dxa"/>
            <w:vAlign w:val="center"/>
          </w:tcPr>
          <w:p>
            <w:pPr>
              <w:pStyle w:val="66"/>
              <w:spacing w:line="360" w:lineRule="auto"/>
              <w:rPr>
                <w:rFonts w:hint="eastAsia"/>
                <w:kern w:val="2"/>
              </w:rPr>
            </w:pPr>
            <w:r>
              <w:rPr>
                <w:rFonts w:hint="eastAsia"/>
                <w:kern w:val="2"/>
              </w:rPr>
              <w:t>1、密封要求：</w:t>
            </w:r>
          </w:p>
          <w:p>
            <w:pPr>
              <w:pStyle w:val="66"/>
              <w:spacing w:line="360" w:lineRule="auto"/>
              <w:rPr>
                <w:rFonts w:hint="eastAsia"/>
                <w:kern w:val="2"/>
              </w:rPr>
            </w:pPr>
            <w:r>
              <w:rPr>
                <w:rFonts w:hint="eastAsia"/>
                <w:kern w:val="2"/>
              </w:rPr>
              <w:t>开标一览表单独密封递交，</w:t>
            </w:r>
          </w:p>
          <w:p>
            <w:pPr>
              <w:pStyle w:val="66"/>
              <w:spacing w:line="360" w:lineRule="auto"/>
              <w:rPr>
                <w:rFonts w:hint="eastAsia"/>
                <w:kern w:val="2"/>
              </w:rPr>
            </w:pPr>
            <w:r>
              <w:rPr>
                <w:rFonts w:hint="eastAsia"/>
                <w:kern w:val="2"/>
              </w:rPr>
              <w:t>电子文档密封于正本封袋内。</w:t>
            </w:r>
          </w:p>
          <w:p>
            <w:pPr>
              <w:spacing w:line="360" w:lineRule="auto"/>
              <w:ind w:right="158" w:rightChars="75"/>
              <w:rPr>
                <w:rFonts w:hint="eastAsia" w:ascii="宋体" w:hAnsi="宋体" w:cs="宋体"/>
                <w:sz w:val="24"/>
                <w:szCs w:val="24"/>
              </w:rPr>
            </w:pPr>
            <w:r>
              <w:rPr>
                <w:rFonts w:hint="eastAsia" w:ascii="宋体" w:hAnsi="宋体" w:cs="宋体"/>
                <w:sz w:val="24"/>
                <w:szCs w:val="24"/>
              </w:rPr>
              <w:t>所有正本单独密封递交，也可分册密封递交；</w:t>
            </w:r>
          </w:p>
          <w:p>
            <w:pPr>
              <w:spacing w:line="360" w:lineRule="auto"/>
              <w:ind w:right="158" w:rightChars="75"/>
              <w:rPr>
                <w:rFonts w:hint="eastAsia" w:ascii="宋体" w:hAnsi="宋体" w:cs="宋体"/>
                <w:sz w:val="24"/>
                <w:szCs w:val="24"/>
                <w:lang w:val="en-US"/>
              </w:rPr>
            </w:pPr>
            <w:r>
              <w:rPr>
                <w:rFonts w:hint="eastAsia" w:ascii="宋体" w:hAnsi="宋体" w:cs="宋体"/>
                <w:sz w:val="24"/>
                <w:szCs w:val="24"/>
              </w:rPr>
              <w:t>所有副本一起密封递交，</w:t>
            </w:r>
            <w:r>
              <w:rPr>
                <w:rFonts w:hint="eastAsia" w:ascii="宋体" w:hAnsi="宋体" w:cs="宋体"/>
                <w:sz w:val="24"/>
                <w:szCs w:val="24"/>
                <w:lang w:val="en-US"/>
              </w:rPr>
              <w:t>也可分册</w:t>
            </w:r>
            <w:r>
              <w:rPr>
                <w:rFonts w:hint="eastAsia" w:ascii="宋体" w:hAnsi="宋体" w:cs="宋体"/>
                <w:sz w:val="24"/>
                <w:szCs w:val="24"/>
              </w:rPr>
              <w:t>密封递交</w:t>
            </w:r>
            <w:r>
              <w:rPr>
                <w:rFonts w:hint="eastAsia" w:ascii="宋体" w:hAnsi="宋体" w:cs="宋体"/>
                <w:sz w:val="24"/>
                <w:szCs w:val="24"/>
                <w:lang w:val="en-US"/>
              </w:rPr>
              <w:t>；</w:t>
            </w:r>
          </w:p>
          <w:p>
            <w:pPr>
              <w:spacing w:line="360" w:lineRule="auto"/>
              <w:jc w:val="left"/>
              <w:rPr>
                <w:rFonts w:hint="eastAsia" w:ascii="宋体" w:hAnsi="宋体" w:cs="宋体"/>
                <w:sz w:val="24"/>
                <w:szCs w:val="24"/>
              </w:rPr>
            </w:pPr>
            <w:r>
              <w:rPr>
                <w:rFonts w:hint="eastAsia" w:ascii="宋体" w:hAnsi="宋体" w:cs="宋体"/>
                <w:sz w:val="24"/>
                <w:szCs w:val="24"/>
              </w:rPr>
              <w:t>2、在封袋正面标明“正本”“副本”“开标一览表”字样。封袋应密封完整，封袋正面要粘贴</w:t>
            </w:r>
            <w:r>
              <w:rPr>
                <w:rFonts w:hint="eastAsia" w:ascii="宋体" w:hAnsi="宋体" w:cs="宋体"/>
                <w:sz w:val="24"/>
                <w:szCs w:val="24"/>
                <w:lang w:eastAsia="zh-CN"/>
              </w:rPr>
              <w:t>投标人</w:t>
            </w:r>
            <w:r>
              <w:rPr>
                <w:rFonts w:hint="eastAsia" w:ascii="宋体" w:hAnsi="宋体" w:cs="宋体"/>
                <w:sz w:val="24"/>
                <w:szCs w:val="24"/>
              </w:rPr>
              <w:t>全称、项目名称、编号、包号等标识、且投标文件袋上应加盖</w:t>
            </w:r>
            <w:r>
              <w:rPr>
                <w:rFonts w:hint="eastAsia" w:ascii="宋体" w:hAnsi="宋体" w:cs="宋体"/>
                <w:sz w:val="24"/>
                <w:szCs w:val="24"/>
                <w:lang w:eastAsia="zh-CN"/>
              </w:rPr>
              <w:t>投标人</w:t>
            </w:r>
            <w:r>
              <w:rPr>
                <w:rFonts w:hint="eastAsia" w:ascii="宋体" w:hAnsi="宋体" w:cs="宋体"/>
                <w:sz w:val="24"/>
                <w:szCs w:val="24"/>
              </w:rPr>
              <w:t>公章（封面标识见招标文件附件一）如果未按上述规定进行密封，</w:t>
            </w:r>
            <w:r>
              <w:rPr>
                <w:rFonts w:hint="eastAsia" w:ascii="宋体" w:hAnsi="宋体" w:cs="宋体"/>
                <w:sz w:val="24"/>
                <w:szCs w:val="24"/>
                <w:lang w:eastAsia="zh-CN"/>
              </w:rPr>
              <w:t>投标人</w:t>
            </w:r>
            <w:r>
              <w:rPr>
                <w:rFonts w:hint="eastAsia" w:ascii="宋体" w:hAnsi="宋体" w:cs="宋体"/>
                <w:sz w:val="24"/>
                <w:szCs w:val="24"/>
              </w:rPr>
              <w:t>的投标文件有权被拒绝。</w:t>
            </w:r>
          </w:p>
          <w:p>
            <w:pPr>
              <w:spacing w:line="360" w:lineRule="auto"/>
              <w:jc w:val="left"/>
              <w:rPr>
                <w:rFonts w:hint="eastAsia" w:ascii="宋体" w:hAnsi="宋体" w:cs="宋体"/>
                <w:sz w:val="24"/>
                <w:szCs w:val="24"/>
              </w:rPr>
            </w:pPr>
            <w:r>
              <w:rPr>
                <w:rFonts w:hint="eastAsia" w:ascii="宋体" w:hAnsi="宋体" w:cs="宋体"/>
                <w:sz w:val="24"/>
                <w:szCs w:val="24"/>
              </w:rPr>
              <w:t>3、如果</w:t>
            </w:r>
            <w:r>
              <w:rPr>
                <w:rFonts w:hint="eastAsia" w:ascii="宋体" w:hAnsi="宋体" w:cs="宋体"/>
                <w:sz w:val="24"/>
                <w:szCs w:val="24"/>
                <w:lang w:eastAsia="zh-CN"/>
              </w:rPr>
              <w:t>投标人</w:t>
            </w:r>
            <w:r>
              <w:rPr>
                <w:rFonts w:hint="eastAsia" w:ascii="宋体" w:hAnsi="宋体" w:cs="宋体"/>
                <w:sz w:val="24"/>
                <w:szCs w:val="24"/>
              </w:rPr>
              <w:t>未按上述要求密封及加写标记，误投或过早启封的投标文件，将自行承担其投标文件被视为无效投标文件的风险。</w:t>
            </w:r>
          </w:p>
          <w:p>
            <w:pPr>
              <w:spacing w:line="360" w:lineRule="auto"/>
              <w:jc w:val="left"/>
              <w:rPr>
                <w:rFonts w:hint="eastAsia" w:ascii="宋体" w:hAnsi="宋体" w:cs="宋体"/>
                <w:sz w:val="24"/>
                <w:szCs w:val="24"/>
              </w:rPr>
            </w:pPr>
            <w:r>
              <w:rPr>
                <w:rFonts w:hint="eastAsia" w:ascii="宋体" w:hAnsi="宋体" w:cs="宋体"/>
                <w:sz w:val="24"/>
                <w:szCs w:val="24"/>
              </w:rPr>
              <w:t>4、本次招标只接受简体中文文字的投标文件；如投标文件中出现外文资料，必须配以中文译文。否则，由此引发的一切责任由</w:t>
            </w:r>
            <w:r>
              <w:rPr>
                <w:rFonts w:hint="eastAsia" w:ascii="宋体" w:hAnsi="宋体" w:cs="宋体"/>
                <w:sz w:val="24"/>
                <w:szCs w:val="24"/>
                <w:lang w:eastAsia="zh-CN"/>
              </w:rPr>
              <w:t>投标人</w:t>
            </w:r>
            <w:r>
              <w:rPr>
                <w:rFonts w:hint="eastAsia" w:ascii="宋体" w:hAnsi="宋体" w:cs="宋体"/>
                <w:sz w:val="24"/>
                <w:szCs w:val="24"/>
              </w:rPr>
              <w:t>自负。</w:t>
            </w:r>
          </w:p>
          <w:p>
            <w:pPr>
              <w:spacing w:line="360" w:lineRule="auto"/>
              <w:jc w:val="left"/>
              <w:rPr>
                <w:rFonts w:hint="eastAsia" w:ascii="宋体" w:hAnsi="宋体" w:cs="宋体"/>
                <w:color w:val="FF0000"/>
                <w:sz w:val="24"/>
                <w:szCs w:val="24"/>
              </w:rPr>
            </w:pPr>
            <w:r>
              <w:rPr>
                <w:rFonts w:hint="eastAsia" w:ascii="宋体" w:hAnsi="宋体" w:cs="宋体"/>
                <w:sz w:val="24"/>
                <w:szCs w:val="24"/>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11</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hint="eastAsia"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12</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是否采购进口产品</w:t>
            </w:r>
          </w:p>
        </w:tc>
        <w:tc>
          <w:tcPr>
            <w:tcW w:w="7219" w:type="dxa"/>
            <w:vAlign w:val="center"/>
          </w:tcPr>
          <w:p>
            <w:pPr>
              <w:spacing w:line="360" w:lineRule="auto"/>
              <w:rPr>
                <w:rFonts w:hint="eastAsia"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现场勘查</w:t>
            </w:r>
          </w:p>
        </w:tc>
        <w:tc>
          <w:tcPr>
            <w:tcW w:w="7219" w:type="dxa"/>
            <w:vAlign w:val="center"/>
          </w:tcPr>
          <w:p>
            <w:pPr>
              <w:spacing w:line="360" w:lineRule="auto"/>
              <w:rPr>
                <w:rFonts w:hint="eastAsia"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49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hint="eastAsia"/>
              </w:rPr>
            </w:pPr>
            <w:r>
              <w:rPr>
                <w:rFonts w:hint="eastAsia" w:ascii="宋体" w:hAnsi="宋体" w:cs="宋体"/>
                <w:sz w:val="24"/>
                <w:szCs w:val="24"/>
              </w:rPr>
              <w:t xml:space="preserve"> 采购代理服务费：本项目采购代理服务费按《招标代理服务收费管理暂行办法》（计价格〔2002〕1980号）、《国家发展改革委关于降低部分建设项目收费标准规范收费行为等有关问题的通知》(发改价格〔2011〕534号)标准计算，由中标</w:t>
            </w:r>
            <w:r>
              <w:rPr>
                <w:rFonts w:hint="eastAsia" w:ascii="宋体" w:hAnsi="宋体" w:cs="宋体"/>
                <w:sz w:val="24"/>
                <w:szCs w:val="24"/>
                <w:lang w:eastAsia="zh-CN"/>
              </w:rPr>
              <w:t>投标人</w:t>
            </w:r>
            <w:r>
              <w:rPr>
                <w:rFonts w:hint="eastAsia" w:ascii="宋体" w:hAnsi="宋体" w:cs="宋体"/>
                <w:sz w:val="24"/>
                <w:szCs w:val="24"/>
              </w:rPr>
              <w:t>在领取中标通知书时向采购代理机构一次性付清。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494"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项目属性</w:t>
            </w:r>
          </w:p>
        </w:tc>
        <w:tc>
          <w:tcPr>
            <w:tcW w:w="7219" w:type="dxa"/>
            <w:vAlign w:val="center"/>
          </w:tcPr>
          <w:p>
            <w:pPr>
              <w:pStyle w:val="22"/>
              <w:rPr>
                <w:rFonts w:hint="eastAsia" w:ascii="仿宋" w:hAnsi="仿宋" w:cs="Courier New"/>
                <w:color w:val="000000"/>
                <w:sz w:val="24"/>
                <w:szCs w:val="24"/>
              </w:rPr>
            </w:pPr>
            <w:r>
              <w:rPr>
                <w:rFonts w:hint="eastAsia" w:ascii="仿宋" w:hAnsi="仿宋" w:cs="Courier New"/>
                <w:color w:val="000000"/>
                <w:sz w:val="24"/>
                <w:szCs w:val="24"/>
              </w:rPr>
              <w:t>服务招标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494" w:type="dxa"/>
            <w:vAlign w:val="center"/>
          </w:tcPr>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投标人</w:t>
            </w:r>
          </w:p>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提出质疑的时间、形式</w:t>
            </w:r>
          </w:p>
        </w:tc>
        <w:tc>
          <w:tcPr>
            <w:tcW w:w="7219" w:type="dxa"/>
            <w:vAlign w:val="center"/>
          </w:tcPr>
          <w:p>
            <w:pPr>
              <w:spacing w:line="360" w:lineRule="auto"/>
              <w:jc w:val="left"/>
              <w:rPr>
                <w:rFonts w:hint="eastAsia" w:ascii="宋体" w:hAnsi="宋体" w:cs="宋体"/>
                <w:sz w:val="24"/>
                <w:szCs w:val="24"/>
                <w:lang w:val="en-US"/>
              </w:rPr>
            </w:pPr>
            <w:r>
              <w:rPr>
                <w:rFonts w:hint="eastAsia" w:ascii="宋体" w:hAnsi="宋体" w:cs="宋体"/>
                <w:sz w:val="24"/>
                <w:szCs w:val="24"/>
                <w:lang w:val="en-US"/>
              </w:rPr>
              <w:t>时间：</w:t>
            </w:r>
            <w:r>
              <w:rPr>
                <w:rFonts w:hint="eastAsia" w:ascii="宋体" w:hAnsi="宋体" w:cs="宋体"/>
                <w:sz w:val="24"/>
                <w:szCs w:val="24"/>
                <w:lang w:val="en-US" w:eastAsia="zh-CN"/>
              </w:rPr>
              <w:t>投标人</w:t>
            </w:r>
            <w:r>
              <w:rPr>
                <w:rFonts w:hint="eastAsia" w:ascii="宋体" w:hAnsi="宋体" w:cs="宋体"/>
                <w:sz w:val="24"/>
                <w:szCs w:val="24"/>
                <w:lang w:val="en-US"/>
              </w:rPr>
              <w:t>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hint="eastAsia" w:ascii="宋体" w:hAnsi="宋体" w:cs="宋体"/>
                <w:sz w:val="24"/>
                <w:szCs w:val="24"/>
                <w:lang w:val="en-US"/>
              </w:rPr>
            </w:pPr>
            <w:r>
              <w:rPr>
                <w:rFonts w:hint="eastAsia" w:ascii="宋体" w:hAnsi="宋体" w:cs="宋体"/>
                <w:sz w:val="24"/>
                <w:szCs w:val="24"/>
                <w:lang w:val="en-US"/>
              </w:rPr>
              <w:t>形式：书面；</w:t>
            </w:r>
          </w:p>
          <w:p>
            <w:pPr>
              <w:spacing w:line="360" w:lineRule="auto"/>
              <w:jc w:val="left"/>
              <w:rPr>
                <w:rFonts w:hint="eastAsia"/>
              </w:rPr>
            </w:pPr>
            <w:r>
              <w:rPr>
                <w:rFonts w:hint="eastAsia" w:ascii="宋体" w:hAnsi="宋体" w:cs="宋体"/>
                <w:sz w:val="24"/>
                <w:szCs w:val="24"/>
              </w:rPr>
              <w:t>环节：</w:t>
            </w:r>
            <w:r>
              <w:rPr>
                <w:rFonts w:hint="eastAsia" w:ascii="宋体" w:hAnsi="宋体" w:cs="宋体"/>
                <w:sz w:val="24"/>
                <w:szCs w:val="24"/>
                <w:lang w:val="en-US" w:eastAsia="zh-CN"/>
              </w:rPr>
              <w:t>投标人</w:t>
            </w:r>
            <w:r>
              <w:rPr>
                <w:rFonts w:hint="eastAsia" w:ascii="宋体" w:hAnsi="宋体" w:cs="宋体"/>
                <w:sz w:val="24"/>
                <w:szCs w:val="24"/>
                <w:lang w:val="en-US"/>
              </w:rPr>
              <w:t>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7</w:t>
            </w:r>
          </w:p>
        </w:tc>
        <w:tc>
          <w:tcPr>
            <w:tcW w:w="1494" w:type="dxa"/>
            <w:vAlign w:val="center"/>
          </w:tcPr>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对投标人提出质疑</w:t>
            </w:r>
          </w:p>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答复时间、形式</w:t>
            </w:r>
          </w:p>
        </w:tc>
        <w:tc>
          <w:tcPr>
            <w:tcW w:w="7219" w:type="dxa"/>
            <w:vAlign w:val="center"/>
          </w:tcPr>
          <w:p>
            <w:pPr>
              <w:spacing w:line="360" w:lineRule="auto"/>
              <w:jc w:val="left"/>
              <w:rPr>
                <w:rFonts w:hint="eastAsia" w:ascii="宋体" w:hAnsi="宋体" w:cs="宋体"/>
                <w:sz w:val="24"/>
                <w:szCs w:val="24"/>
                <w:lang w:val="en-US"/>
              </w:rPr>
            </w:pPr>
            <w:r>
              <w:rPr>
                <w:rFonts w:hint="eastAsia" w:ascii="宋体" w:hAnsi="宋体" w:cs="宋体"/>
                <w:sz w:val="24"/>
                <w:szCs w:val="24"/>
                <w:lang w:val="en-US"/>
              </w:rPr>
              <w:t>时间：自收到</w:t>
            </w:r>
            <w:r>
              <w:rPr>
                <w:rFonts w:hint="eastAsia" w:ascii="宋体" w:hAnsi="宋体" w:cs="宋体"/>
                <w:sz w:val="24"/>
                <w:szCs w:val="24"/>
                <w:lang w:val="en-US" w:eastAsia="zh-CN"/>
              </w:rPr>
              <w:t>投标人</w:t>
            </w:r>
            <w:r>
              <w:rPr>
                <w:rFonts w:hint="eastAsia" w:ascii="宋体" w:hAnsi="宋体" w:cs="宋体"/>
                <w:sz w:val="24"/>
                <w:szCs w:val="24"/>
                <w:lang w:val="en-US"/>
              </w:rPr>
              <w:t>质疑函之日起7个工作日内</w:t>
            </w:r>
          </w:p>
          <w:p>
            <w:pPr>
              <w:spacing w:line="360" w:lineRule="auto"/>
              <w:jc w:val="left"/>
              <w:rPr>
                <w:rFonts w:hint="eastAsia" w:ascii="宋体" w:hAnsi="宋体" w:cs="宋体"/>
                <w:sz w:val="24"/>
                <w:szCs w:val="24"/>
                <w:lang w:val="en-US"/>
              </w:rPr>
            </w:pPr>
            <w:r>
              <w:rPr>
                <w:rFonts w:hint="eastAsia" w:ascii="宋体" w:hAnsi="宋体" w:cs="宋体"/>
                <w:sz w:val="24"/>
                <w:szCs w:val="24"/>
                <w:lang w:val="en-US"/>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8</w:t>
            </w:r>
          </w:p>
        </w:tc>
        <w:tc>
          <w:tcPr>
            <w:tcW w:w="1494" w:type="dxa"/>
            <w:vAlign w:val="center"/>
          </w:tcPr>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投标人信用信息</w:t>
            </w:r>
          </w:p>
          <w:p>
            <w:pPr>
              <w:spacing w:line="360" w:lineRule="auto"/>
              <w:jc w:val="center"/>
              <w:rPr>
                <w:rFonts w:hint="eastAsia" w:ascii="宋体" w:hAnsi="宋体" w:cs="宋体"/>
                <w:sz w:val="24"/>
                <w:szCs w:val="24"/>
                <w:lang w:val="zh-CN"/>
              </w:rPr>
            </w:pPr>
            <w:r>
              <w:rPr>
                <w:rFonts w:hint="eastAsia" w:ascii="宋体" w:hAnsi="宋体" w:cs="宋体"/>
                <w:sz w:val="24"/>
                <w:szCs w:val="24"/>
                <w:lang w:val="zh-CN"/>
              </w:rPr>
              <w:t>查询截止时点</w:t>
            </w:r>
          </w:p>
        </w:tc>
        <w:tc>
          <w:tcPr>
            <w:tcW w:w="7219" w:type="dxa"/>
            <w:vAlign w:val="center"/>
          </w:tcPr>
          <w:p>
            <w:pPr>
              <w:spacing w:line="360" w:lineRule="auto"/>
              <w:rPr>
                <w:rFonts w:hint="eastAsia" w:ascii="宋体" w:hAnsi="宋体" w:cs="宋体"/>
                <w:sz w:val="24"/>
                <w:szCs w:val="24"/>
                <w:lang w:val="en-US"/>
              </w:rPr>
            </w:pPr>
            <w:r>
              <w:rPr>
                <w:rFonts w:hint="eastAsia" w:ascii="宋体" w:hAnsi="宋体" w:cs="宋体"/>
                <w:sz w:val="24"/>
                <w:szCs w:val="24"/>
              </w:rPr>
              <w:t>投标文件递交截止日。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494" w:type="dxa"/>
            <w:vAlign w:val="center"/>
          </w:tcPr>
          <w:p>
            <w:pPr>
              <w:pStyle w:val="15"/>
              <w:spacing w:line="336" w:lineRule="auto"/>
              <w:jc w:val="center"/>
              <w:rPr>
                <w:rFonts w:hint="eastAsia" w:hAnsi="宋体" w:cs="宋体"/>
                <w:sz w:val="24"/>
                <w:szCs w:val="24"/>
                <w:lang w:val="en-US"/>
              </w:rPr>
            </w:pPr>
            <w:r>
              <w:rPr>
                <w:rFonts w:hint="eastAsia" w:ascii="仿宋" w:hAnsi="仿宋"/>
                <w:color w:val="000000"/>
                <w:sz w:val="24"/>
                <w:szCs w:val="24"/>
              </w:rPr>
              <w:t>其他</w:t>
            </w:r>
          </w:p>
        </w:tc>
        <w:tc>
          <w:tcPr>
            <w:tcW w:w="7219" w:type="dxa"/>
            <w:vAlign w:val="center"/>
          </w:tcPr>
          <w:p>
            <w:pPr>
              <w:pStyle w:val="15"/>
              <w:spacing w:line="336" w:lineRule="auto"/>
              <w:jc w:val="left"/>
              <w:rPr>
                <w:highlight w:val="yellow"/>
                <w:lang w:val="zh-CN"/>
              </w:rPr>
            </w:pPr>
            <w:r>
              <w:rPr>
                <w:rFonts w:hint="eastAsia" w:hAnsi="宋体" w:cs="宋体"/>
                <w:sz w:val="24"/>
                <w:szCs w:val="24"/>
              </w:rPr>
              <w:t>采购文件与媒体发布的采购公告不一致时，以公告为准，正文与前附表表述不一致时，以</w:t>
            </w:r>
            <w:r>
              <w:rPr>
                <w:rFonts w:hint="eastAsia" w:hAnsi="宋体" w:cs="宋体"/>
                <w:sz w:val="24"/>
                <w:szCs w:val="24"/>
                <w:lang w:eastAsia="zh-CN"/>
              </w:rPr>
              <w:t>投标人</w:t>
            </w:r>
            <w:r>
              <w:rPr>
                <w:rFonts w:hint="eastAsia" w:hAnsi="宋体" w:cs="宋体"/>
                <w:sz w:val="24"/>
                <w:szCs w:val="24"/>
              </w:rPr>
              <w:t>须知前附表为准，</w:t>
            </w:r>
          </w:p>
        </w:tc>
      </w:tr>
    </w:tbl>
    <w:p>
      <w:pPr>
        <w:pStyle w:val="3"/>
        <w:keepLines w:val="0"/>
        <w:spacing w:before="312" w:beforeLines="100" w:after="312" w:afterLines="100" w:line="500" w:lineRule="exact"/>
        <w:rPr>
          <w:rFonts w:ascii="宋体" w:hAnsi="宋体" w:cs="宋体"/>
          <w:sz w:val="36"/>
          <w:szCs w:val="36"/>
        </w:rPr>
        <w:sectPr>
          <w:footerReference r:id="rId8" w:type="default"/>
          <w:pgSz w:w="11906" w:h="16838"/>
          <w:pgMar w:top="1440" w:right="1706" w:bottom="1440" w:left="1800" w:header="851" w:footer="992" w:gutter="0"/>
          <w:cols w:space="720" w:num="1"/>
          <w:docGrid w:type="lines" w:linePitch="312" w:charSpace="0"/>
        </w:sectPr>
      </w:pPr>
      <w:bookmarkStart w:id="5" w:name="_Toc19272"/>
    </w:p>
    <w:p>
      <w:pPr>
        <w:pStyle w:val="3"/>
        <w:keepLines w:val="0"/>
        <w:spacing w:before="312" w:beforeLines="100" w:after="312" w:afterLines="100" w:line="500" w:lineRule="exact"/>
        <w:rPr>
          <w:rFonts w:ascii="宋体" w:hAnsi="宋体" w:cs="宋体"/>
          <w:sz w:val="36"/>
          <w:szCs w:val="36"/>
        </w:rPr>
      </w:pPr>
      <w:bookmarkStart w:id="6" w:name="_Toc8113"/>
      <w:r>
        <w:rPr>
          <w:rFonts w:hint="eastAsia" w:ascii="宋体" w:hAnsi="宋体" w:cs="宋体"/>
          <w:sz w:val="36"/>
          <w:szCs w:val="36"/>
        </w:rPr>
        <w:t xml:space="preserve">第三部分  </w:t>
      </w:r>
      <w:r>
        <w:rPr>
          <w:rFonts w:hint="eastAsia" w:ascii="宋体" w:hAnsi="宋体" w:cs="宋体"/>
          <w:sz w:val="36"/>
          <w:szCs w:val="36"/>
          <w:lang w:eastAsia="zh-CN"/>
        </w:rPr>
        <w:t>投标人</w:t>
      </w:r>
      <w:r>
        <w:rPr>
          <w:rFonts w:hint="eastAsia" w:ascii="宋体" w:hAnsi="宋体" w:cs="宋体"/>
          <w:sz w:val="36"/>
          <w:szCs w:val="36"/>
        </w:rPr>
        <w:t>须知</w:t>
      </w:r>
      <w:bookmarkEnd w:id="5"/>
      <w:bookmarkEnd w:id="6"/>
    </w:p>
    <w:p>
      <w:pPr>
        <w:pStyle w:val="4"/>
        <w:ind w:firstLine="562" w:firstLineChars="200"/>
        <w:jc w:val="center"/>
        <w:rPr>
          <w:rFonts w:ascii="宋体" w:hAnsi="宋体" w:cs="宋体"/>
        </w:rPr>
      </w:pPr>
      <w:bookmarkStart w:id="7" w:name="_Toc26135"/>
      <w:bookmarkStart w:id="8" w:name="_Toc26739"/>
      <w:r>
        <w:rPr>
          <w:rFonts w:hint="eastAsia" w:ascii="宋体" w:hAnsi="宋体" w:cs="宋体"/>
        </w:rPr>
        <w:t>一、总 则</w:t>
      </w:r>
      <w:bookmarkEnd w:id="7"/>
      <w:bookmarkEnd w:id="8"/>
    </w:p>
    <w:p>
      <w:pPr>
        <w:pStyle w:val="5"/>
        <w:numPr>
          <w:ilvl w:val="0"/>
          <w:numId w:val="4"/>
        </w:numPr>
        <w:spacing w:line="500" w:lineRule="exact"/>
        <w:ind w:firstLine="562" w:firstLineChars="200"/>
        <w:rPr>
          <w:rFonts w:ascii="宋体" w:hAnsi="宋体" w:cs="宋体"/>
          <w:szCs w:val="28"/>
        </w:rPr>
      </w:pPr>
      <w:bookmarkStart w:id="9" w:name="_Toc380336725"/>
      <w:bookmarkStart w:id="10" w:name="_Toc358364319"/>
      <w:bookmarkStart w:id="11" w:name="_Toc6742"/>
      <w:bookmarkStart w:id="12" w:name="_Toc9257"/>
      <w:r>
        <w:rPr>
          <w:rFonts w:hint="eastAsia" w:ascii="宋体" w:hAnsi="宋体" w:cs="宋体"/>
          <w:szCs w:val="28"/>
        </w:rPr>
        <w:t>适用范围</w:t>
      </w:r>
      <w:bookmarkEnd w:id="9"/>
      <w:bookmarkEnd w:id="10"/>
      <w:bookmarkEnd w:id="11"/>
      <w:bookmarkEnd w:id="12"/>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w:t>
      </w:r>
      <w:r>
        <w:rPr>
          <w:rFonts w:hint="eastAsia" w:ascii="宋体" w:hAnsi="宋体" w:cs="宋体"/>
          <w:kern w:val="0"/>
          <w:sz w:val="24"/>
          <w:szCs w:val="24"/>
          <w:lang w:eastAsia="zh-CN"/>
        </w:rPr>
        <w:t>投标人</w:t>
      </w:r>
      <w:r>
        <w:rPr>
          <w:rFonts w:hint="eastAsia" w:ascii="宋体" w:hAnsi="宋体" w:cs="宋体"/>
          <w:kern w:val="0"/>
          <w:sz w:val="24"/>
          <w:szCs w:val="24"/>
        </w:rPr>
        <w:t>、评标委员会的相关行为均受《中华人民共和国政府采购法》及实施条例、财政部规章及政府采购项目所在地有关法规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4"/>
        </w:numPr>
        <w:spacing w:line="500" w:lineRule="exact"/>
        <w:ind w:firstLine="562" w:firstLineChars="200"/>
        <w:rPr>
          <w:rFonts w:ascii="宋体" w:hAnsi="宋体" w:cs="宋体"/>
          <w:szCs w:val="28"/>
        </w:rPr>
      </w:pPr>
      <w:bookmarkStart w:id="13" w:name="_Toc380336727"/>
      <w:bookmarkStart w:id="14" w:name="_Toc358364321"/>
      <w:bookmarkStart w:id="15" w:name="_Toc23781"/>
      <w:bookmarkStart w:id="16" w:name="_Toc17676"/>
      <w:r>
        <w:rPr>
          <w:rFonts w:hint="eastAsia" w:ascii="宋体" w:hAnsi="宋体" w:cs="宋体"/>
          <w:szCs w:val="28"/>
        </w:rPr>
        <w:t>合格的</w:t>
      </w:r>
      <w:bookmarkEnd w:id="13"/>
      <w:bookmarkEnd w:id="14"/>
      <w:bookmarkEnd w:id="15"/>
      <w:bookmarkEnd w:id="16"/>
      <w:r>
        <w:rPr>
          <w:rFonts w:hint="eastAsia" w:ascii="宋体" w:hAnsi="宋体" w:cs="宋体"/>
          <w:szCs w:val="28"/>
          <w:lang w:eastAsia="zh-CN"/>
        </w:rPr>
        <w:t>投标人</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lang w:eastAsia="zh-CN"/>
        </w:rPr>
        <w:t>投标人</w:t>
      </w:r>
      <w:r>
        <w:rPr>
          <w:rFonts w:hint="eastAsia" w:ascii="宋体" w:hAnsi="宋体" w:cs="宋体"/>
          <w:sz w:val="24"/>
          <w:szCs w:val="24"/>
        </w:rPr>
        <w:t>应遵守有关的国家法律、法规和条例，具备《中华人民共和国政府采购法》和本文件中规定的条件：</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5"/>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2.2单位负责人为同一人或者存在直接控股、管理关系的不同投标人，不得参加同 一合同项目下的政府采购活动，除单一来源采购项目外。为采购项目整体提供设计、规范编制或者项目管理、监理、检测等服务的投标人，不得再参加采购项目的其他采购活动。</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w:t>
      </w:r>
      <w:r>
        <w:rPr>
          <w:rFonts w:hint="eastAsia" w:ascii="宋体" w:hAnsi="宋体" w:cs="宋体"/>
          <w:kern w:val="0"/>
          <w:sz w:val="24"/>
          <w:szCs w:val="24"/>
          <w:lang w:eastAsia="zh-CN"/>
        </w:rPr>
        <w:t>投标人</w:t>
      </w:r>
      <w:r>
        <w:rPr>
          <w:rFonts w:hint="eastAsia" w:ascii="宋体" w:hAnsi="宋体" w:cs="宋体"/>
          <w:kern w:val="0"/>
          <w:sz w:val="24"/>
          <w:szCs w:val="24"/>
        </w:rPr>
        <w:t>存在下列情形之一，其投标文件按无效文件处理。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w:t>
      </w:r>
      <w:r>
        <w:rPr>
          <w:rFonts w:hint="eastAsia" w:ascii="宋体" w:hAnsi="宋体" w:cs="宋体"/>
          <w:kern w:val="0"/>
          <w:sz w:val="24"/>
          <w:szCs w:val="24"/>
          <w:lang w:eastAsia="zh-CN"/>
        </w:rPr>
        <w:t>投标人</w:t>
      </w:r>
      <w:r>
        <w:rPr>
          <w:rFonts w:hint="eastAsia" w:ascii="宋体" w:hAnsi="宋体" w:cs="宋体"/>
          <w:kern w:val="0"/>
          <w:sz w:val="24"/>
          <w:szCs w:val="24"/>
        </w:rPr>
        <w:t>的法定代表人（或者负责人）为同一人，或者与其他</w:t>
      </w:r>
      <w:r>
        <w:rPr>
          <w:rFonts w:hint="eastAsia" w:ascii="宋体" w:hAnsi="宋体" w:cs="宋体"/>
          <w:kern w:val="0"/>
          <w:sz w:val="24"/>
          <w:szCs w:val="24"/>
          <w:lang w:eastAsia="zh-CN"/>
        </w:rPr>
        <w:t>投标人</w:t>
      </w:r>
      <w:r>
        <w:rPr>
          <w:rFonts w:hint="eastAsia" w:ascii="宋体" w:hAnsi="宋体" w:cs="宋体"/>
          <w:kern w:val="0"/>
          <w:sz w:val="24"/>
          <w:szCs w:val="24"/>
        </w:rPr>
        <w:t>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w:t>
      </w:r>
      <w:r>
        <w:rPr>
          <w:rFonts w:hint="eastAsia" w:ascii="宋体" w:hAnsi="宋体" w:cs="宋体"/>
          <w:color w:val="000000"/>
          <w:sz w:val="24"/>
          <w:szCs w:val="24"/>
          <w:lang w:eastAsia="zh-CN"/>
        </w:rPr>
        <w:t>投标人</w:t>
      </w:r>
      <w:r>
        <w:rPr>
          <w:rFonts w:hint="eastAsia" w:ascii="宋体" w:hAnsi="宋体" w:cs="宋体"/>
          <w:color w:val="000000"/>
          <w:sz w:val="24"/>
          <w:szCs w:val="24"/>
        </w:rPr>
        <w:t>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（4）在投标截止日前被列入失信被执行人、重大税收违法案件当事人名单、政府采购严重违法失信行为记录名单（处罚期限届满的除外）（以信用中国网中国政府采购网查询结果为准。</w:t>
      </w:r>
    </w:p>
    <w:p>
      <w:pPr>
        <w:pStyle w:val="5"/>
        <w:numPr>
          <w:ilvl w:val="0"/>
          <w:numId w:val="4"/>
        </w:numPr>
        <w:spacing w:line="500" w:lineRule="exact"/>
        <w:ind w:firstLine="562" w:firstLineChars="200"/>
        <w:rPr>
          <w:rFonts w:ascii="宋体" w:hAnsi="宋体" w:cs="宋体"/>
          <w:szCs w:val="28"/>
        </w:rPr>
      </w:pPr>
      <w:bookmarkStart w:id="17" w:name="_Toc540"/>
      <w:bookmarkStart w:id="18" w:name="_Toc358364322"/>
      <w:bookmarkStart w:id="19" w:name="_Toc380336728"/>
      <w:bookmarkStart w:id="20" w:name="_Toc22444"/>
      <w:r>
        <w:rPr>
          <w:rFonts w:hint="eastAsia" w:ascii="宋体" w:hAnsi="宋体" w:cs="宋体"/>
          <w:szCs w:val="28"/>
        </w:rPr>
        <w:t>费用</w:t>
      </w:r>
      <w:bookmarkEnd w:id="17"/>
      <w:bookmarkEnd w:id="18"/>
      <w:bookmarkEnd w:id="19"/>
      <w:bookmarkEnd w:id="20"/>
    </w:p>
    <w:p>
      <w:pPr>
        <w:widowControl/>
        <w:spacing w:line="500" w:lineRule="exact"/>
        <w:ind w:firstLine="480" w:firstLineChars="200"/>
        <w:jc w:val="left"/>
        <w:rPr>
          <w:rFonts w:ascii="宋体" w:hAnsi="宋体" w:cs="宋体"/>
          <w:sz w:val="24"/>
          <w:szCs w:val="24"/>
        </w:rPr>
      </w:pPr>
      <w:bookmarkStart w:id="21" w:name="_Toc5801"/>
      <w:bookmarkStart w:id="22" w:name="_Toc17817"/>
      <w:r>
        <w:rPr>
          <w:rFonts w:hint="eastAsia" w:ascii="宋体" w:hAnsi="宋体" w:cs="宋体"/>
          <w:sz w:val="24"/>
          <w:szCs w:val="24"/>
          <w:lang w:eastAsia="zh-CN"/>
        </w:rPr>
        <w:t>投标人</w:t>
      </w:r>
      <w:r>
        <w:rPr>
          <w:rFonts w:hint="eastAsia" w:ascii="宋体" w:hAnsi="宋体" w:cs="宋体"/>
          <w:sz w:val="24"/>
          <w:szCs w:val="24"/>
        </w:rPr>
        <w:t>必须从代理机构购买招标文件，</w:t>
      </w:r>
      <w:r>
        <w:rPr>
          <w:rFonts w:hint="eastAsia" w:ascii="宋体" w:hAnsi="宋体" w:cs="宋体"/>
          <w:sz w:val="24"/>
          <w:szCs w:val="24"/>
          <w:lang w:eastAsia="zh-CN"/>
        </w:rPr>
        <w:t>投标人</w:t>
      </w:r>
      <w:r>
        <w:rPr>
          <w:rFonts w:hint="eastAsia" w:ascii="宋体" w:hAnsi="宋体" w:cs="宋体"/>
          <w:sz w:val="24"/>
          <w:szCs w:val="24"/>
        </w:rPr>
        <w:t>自行转让或复制招标文件视为无效。招标文件一经售出，一律不退，仅作为本次采购使用。</w:t>
      </w:r>
    </w:p>
    <w:p>
      <w:pPr>
        <w:spacing w:line="360" w:lineRule="auto"/>
        <w:ind w:firstLine="480" w:firstLineChars="200"/>
        <w:jc w:val="left"/>
        <w:rPr>
          <w:rFonts w:ascii="宋体" w:hAnsi="宋体" w:cs="宋体"/>
          <w:sz w:val="24"/>
        </w:rPr>
      </w:pPr>
      <w:r>
        <w:rPr>
          <w:rFonts w:hint="eastAsia" w:ascii="宋体" w:hAnsi="宋体" w:cs="宋体"/>
          <w:sz w:val="24"/>
        </w:rPr>
        <w:t>无论投标过程和结果如何，</w:t>
      </w:r>
      <w:r>
        <w:rPr>
          <w:rFonts w:hint="eastAsia" w:ascii="宋体" w:hAnsi="宋体" w:cs="宋体"/>
          <w:sz w:val="24"/>
          <w:lang w:eastAsia="zh-CN"/>
        </w:rPr>
        <w:t>投标人</w:t>
      </w:r>
      <w:r>
        <w:rPr>
          <w:rFonts w:hint="eastAsia" w:ascii="宋体" w:hAnsi="宋体" w:cs="宋体"/>
          <w:sz w:val="24"/>
        </w:rPr>
        <w:t>自行承担与投标有关的全部费用。</w:t>
      </w:r>
    </w:p>
    <w:p>
      <w:pPr>
        <w:pStyle w:val="5"/>
        <w:numPr>
          <w:ilvl w:val="0"/>
          <w:numId w:val="4"/>
        </w:numPr>
        <w:spacing w:line="500" w:lineRule="exact"/>
        <w:ind w:firstLine="562" w:firstLineChars="200"/>
        <w:rPr>
          <w:rFonts w:ascii="宋体" w:hAnsi="宋体" w:cs="宋体"/>
          <w:szCs w:val="28"/>
        </w:rPr>
      </w:pPr>
      <w:r>
        <w:rPr>
          <w:rFonts w:hint="eastAsia" w:ascii="宋体" w:hAnsi="宋体" w:cs="宋体"/>
          <w:szCs w:val="28"/>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投标文件应当对招标文件实质性要求和条件作出满足性或有利于采购人的响应，否则，</w:t>
      </w:r>
      <w:r>
        <w:rPr>
          <w:rFonts w:hint="eastAsia" w:ascii="宋体" w:hAnsi="宋体" w:cs="宋体"/>
          <w:sz w:val="24"/>
          <w:szCs w:val="24"/>
          <w:lang w:eastAsia="zh-CN"/>
        </w:rPr>
        <w:t>投标人</w:t>
      </w:r>
      <w:r>
        <w:rPr>
          <w:rFonts w:hint="eastAsia" w:ascii="宋体" w:hAnsi="宋体" w:cs="宋体"/>
          <w:sz w:val="24"/>
          <w:szCs w:val="24"/>
        </w:rPr>
        <w:t>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除法律、法规和招标文件规定的其他投标无效情形外，招标文件中实质性要求和条件，投标文件对其中任何一条的偏离，为实质性偏离，其投标无效。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投标文件对招标文件的全部偏离，均应在投标文件商务条款偏离表和技术参数偏离表中列明，除列明的内容外，视为</w:t>
      </w:r>
      <w:r>
        <w:rPr>
          <w:rFonts w:hint="eastAsia" w:ascii="宋体" w:hAnsi="宋体" w:cs="宋体"/>
          <w:sz w:val="24"/>
          <w:szCs w:val="24"/>
          <w:lang w:eastAsia="zh-CN"/>
        </w:rPr>
        <w:t>投标人</w:t>
      </w:r>
      <w:r>
        <w:rPr>
          <w:rFonts w:hint="eastAsia" w:ascii="宋体" w:hAnsi="宋体" w:cs="宋体"/>
          <w:sz w:val="24"/>
          <w:szCs w:val="24"/>
        </w:rPr>
        <w:t>响应招标文件的全部要求。</w:t>
      </w:r>
    </w:p>
    <w:p>
      <w:pPr>
        <w:pStyle w:val="5"/>
        <w:numPr>
          <w:ilvl w:val="0"/>
          <w:numId w:val="4"/>
        </w:numPr>
        <w:spacing w:line="500" w:lineRule="exact"/>
        <w:ind w:firstLine="562" w:firstLineChars="200"/>
        <w:rPr>
          <w:rFonts w:ascii="宋体" w:hAnsi="宋体" w:cs="宋体"/>
          <w:szCs w:val="28"/>
        </w:rPr>
      </w:pPr>
      <w:bookmarkStart w:id="23" w:name="_Toc217446047"/>
      <w:r>
        <w:rPr>
          <w:rFonts w:hint="eastAsia" w:ascii="宋体" w:hAnsi="宋体" w:cs="宋体"/>
          <w:szCs w:val="28"/>
        </w:rPr>
        <w:t>知识产权</w:t>
      </w:r>
      <w:bookmarkEnd w:id="23"/>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应当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sz w:val="24"/>
          <w:szCs w:val="24"/>
          <w:lang w:eastAsia="zh-CN"/>
        </w:rPr>
        <w:t>投标人</w:t>
      </w:r>
      <w:r>
        <w:rPr>
          <w:rFonts w:hint="eastAsia" w:ascii="宋体" w:hAnsi="宋体" w:cs="宋体"/>
          <w:sz w:val="24"/>
          <w:szCs w:val="24"/>
        </w:rPr>
        <w:t>承担所有相关责任。</w:t>
      </w:r>
    </w:p>
    <w:p>
      <w:pPr>
        <w:pStyle w:val="13"/>
        <w:spacing w:line="360" w:lineRule="auto"/>
        <w:ind w:left="0" w:leftChars="0" w:firstLine="480" w:firstLineChars="200"/>
        <w:rPr>
          <w:rFonts w:ascii="宋体" w:hAnsi="宋体" w:cs="宋体"/>
          <w:sz w:val="24"/>
          <w:szCs w:val="24"/>
        </w:rPr>
      </w:pPr>
      <w:r>
        <w:rPr>
          <w:rFonts w:hint="eastAsia" w:ascii="宋体" w:hAnsi="宋体" w:cs="宋体"/>
          <w:sz w:val="24"/>
          <w:szCs w:val="24"/>
        </w:rPr>
        <w:t>采购人享有本项目实施过程中产生的知识成果及知识产权。</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如欲在项目实施过程中采用自有知识成果，需在投标文件中声明，并提供相关知识产权证明文件。使用该知识成果后，</w:t>
      </w:r>
      <w:r>
        <w:rPr>
          <w:rFonts w:hint="eastAsia" w:ascii="宋体" w:hAnsi="宋体" w:cs="宋体"/>
          <w:sz w:val="24"/>
          <w:szCs w:val="24"/>
          <w:lang w:eastAsia="zh-CN"/>
        </w:rPr>
        <w:t>投标人</w:t>
      </w:r>
      <w:r>
        <w:rPr>
          <w:rFonts w:hint="eastAsia" w:ascii="宋体" w:hAnsi="宋体" w:cs="宋体"/>
          <w:sz w:val="24"/>
          <w:szCs w:val="24"/>
        </w:rPr>
        <w:t>需提供开发接口和开发手册等技术文档，并承诺提供无限期技术支持，采购人享有永久使用权。</w:t>
      </w:r>
    </w:p>
    <w:p>
      <w:pPr>
        <w:spacing w:line="360" w:lineRule="auto"/>
        <w:ind w:firstLine="480" w:firstLineChars="200"/>
        <w:rPr>
          <w:rFonts w:ascii="宋体" w:hAnsi="宋体" w:cs="宋体"/>
        </w:rPr>
      </w:pPr>
      <w:r>
        <w:rPr>
          <w:rFonts w:hint="eastAsia" w:ascii="宋体" w:hAnsi="宋体" w:cs="宋体"/>
          <w:sz w:val="24"/>
          <w:szCs w:val="24"/>
        </w:rPr>
        <w:t>如采用</w:t>
      </w:r>
      <w:r>
        <w:rPr>
          <w:rFonts w:hint="eastAsia" w:ascii="宋体" w:hAnsi="宋体" w:cs="宋体"/>
          <w:sz w:val="24"/>
          <w:szCs w:val="24"/>
          <w:lang w:eastAsia="zh-CN"/>
        </w:rPr>
        <w:t>投标人</w:t>
      </w:r>
      <w:r>
        <w:rPr>
          <w:rFonts w:hint="eastAsia" w:ascii="宋体" w:hAnsi="宋体" w:cs="宋体"/>
          <w:sz w:val="24"/>
          <w:szCs w:val="24"/>
        </w:rPr>
        <w:t>所不拥有的知识产权，则在投标报价中必须包括合法获取该知识产权的相关费用。</w:t>
      </w:r>
      <w:bookmarkEnd w:id="21"/>
      <w:bookmarkEnd w:id="22"/>
      <w:bookmarkStart w:id="24" w:name="_Toc7144"/>
    </w:p>
    <w:p>
      <w:pPr>
        <w:pStyle w:val="4"/>
        <w:numPr>
          <w:ilvl w:val="0"/>
          <w:numId w:val="6"/>
        </w:numPr>
        <w:jc w:val="center"/>
        <w:rPr>
          <w:rFonts w:ascii="宋体" w:hAnsi="宋体" w:cs="宋体"/>
          <w:sz w:val="36"/>
          <w:szCs w:val="28"/>
        </w:rPr>
      </w:pPr>
      <w:bookmarkStart w:id="25" w:name="_Toc15609"/>
      <w:r>
        <w:rPr>
          <w:rFonts w:hint="eastAsia" w:ascii="宋体" w:hAnsi="宋体" w:cs="宋体"/>
          <w:sz w:val="36"/>
          <w:szCs w:val="28"/>
        </w:rPr>
        <w:t>招标文件</w:t>
      </w:r>
      <w:bookmarkEnd w:id="24"/>
      <w:bookmarkEnd w:id="25"/>
    </w:p>
    <w:p>
      <w:pPr>
        <w:pStyle w:val="5"/>
        <w:keepNext w:val="0"/>
        <w:keepLines w:val="0"/>
        <w:numPr>
          <w:ilvl w:val="0"/>
          <w:numId w:val="7"/>
        </w:numPr>
        <w:spacing w:line="500" w:lineRule="exact"/>
        <w:ind w:firstLine="562" w:firstLineChars="200"/>
        <w:rPr>
          <w:rFonts w:ascii="宋体" w:hAnsi="宋体" w:cs="宋体"/>
          <w:szCs w:val="28"/>
        </w:rPr>
      </w:pPr>
      <w:r>
        <w:rPr>
          <w:rFonts w:hint="eastAsia" w:ascii="宋体" w:hAnsi="宋体" w:cs="宋体"/>
          <w:szCs w:val="28"/>
        </w:rPr>
        <w:t>招标文件的构成</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w:t>
      </w:r>
      <w:r>
        <w:rPr>
          <w:rFonts w:hint="eastAsia" w:ascii="宋体" w:hAnsi="宋体" w:cs="宋体"/>
          <w:sz w:val="24"/>
          <w:szCs w:val="24"/>
          <w:lang w:eastAsia="zh-CN"/>
        </w:rPr>
        <w:t>投标人</w:t>
      </w:r>
      <w:r>
        <w:rPr>
          <w:rFonts w:hint="eastAsia" w:ascii="宋体" w:hAnsi="宋体" w:cs="宋体"/>
          <w:sz w:val="24"/>
          <w:szCs w:val="24"/>
        </w:rPr>
        <w:t>准备投标文件和参加投标的依据，同时也是评标的重要依据，具有准法律文件性质。本招标文件包括以下内容：</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须知前附表；</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须知；</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pPr>
        <w:numPr>
          <w:ilvl w:val="0"/>
          <w:numId w:val="8"/>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lang w:eastAsia="zh-CN"/>
        </w:rPr>
        <w:t>投标人</w:t>
      </w:r>
      <w:r>
        <w:rPr>
          <w:rFonts w:hint="eastAsia" w:ascii="宋体" w:hAnsi="宋体" w:cs="宋体"/>
          <w:sz w:val="24"/>
          <w:szCs w:val="24"/>
        </w:rPr>
        <w:t>应认真阅读招标文件中所有的条款、事项、格式和技术规范、参数及要求等。</w:t>
      </w:r>
      <w:r>
        <w:rPr>
          <w:rFonts w:hint="eastAsia" w:ascii="宋体" w:hAnsi="宋体" w:cs="宋体"/>
          <w:sz w:val="24"/>
          <w:szCs w:val="24"/>
          <w:lang w:eastAsia="zh-CN"/>
        </w:rPr>
        <w:t>投标人</w:t>
      </w:r>
      <w:r>
        <w:rPr>
          <w:rFonts w:hint="eastAsia" w:ascii="宋体" w:hAnsi="宋体" w:cs="宋体"/>
          <w:sz w:val="24"/>
          <w:szCs w:val="24"/>
        </w:rPr>
        <w:t>没有按照招标文件要求提交全部资料，或者没有对招标文件在各方面都作出实质性响应，将导致其投标被拒绝或被认定为无效投标。</w:t>
      </w:r>
    </w:p>
    <w:p>
      <w:pPr>
        <w:pStyle w:val="5"/>
        <w:keepNext w:val="0"/>
        <w:keepLines w:val="0"/>
        <w:numPr>
          <w:ilvl w:val="0"/>
          <w:numId w:val="7"/>
        </w:numPr>
        <w:spacing w:line="500" w:lineRule="exact"/>
        <w:ind w:firstLine="562" w:firstLineChars="200"/>
        <w:rPr>
          <w:rFonts w:ascii="宋体" w:hAnsi="宋体" w:cs="宋体"/>
          <w:szCs w:val="28"/>
        </w:rPr>
      </w:pPr>
      <w:bookmarkStart w:id="26" w:name="_Toc19797"/>
      <w:r>
        <w:rPr>
          <w:rFonts w:hint="eastAsia" w:ascii="宋体" w:hAnsi="宋体" w:cs="宋体"/>
          <w:szCs w:val="28"/>
        </w:rPr>
        <w:t>招标文件的澄清</w:t>
      </w:r>
      <w:bookmarkEnd w:id="26"/>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投标人</w:t>
      </w:r>
      <w:r>
        <w:rPr>
          <w:rFonts w:hint="eastAsia" w:ascii="宋体" w:hAnsi="宋体" w:cs="宋体"/>
          <w:sz w:val="24"/>
          <w:szCs w:val="24"/>
        </w:rPr>
        <w:t>应认真阅读和充分理解招标文件中所有的事项，如有问题或疑义请及时函告。否则，视为同意招标文件的一切条款和要求并承担由此引起的一切法律责任。凡因</w:t>
      </w:r>
      <w:r>
        <w:rPr>
          <w:rFonts w:hint="eastAsia" w:ascii="宋体" w:hAnsi="宋体" w:cs="宋体"/>
          <w:sz w:val="24"/>
          <w:szCs w:val="24"/>
          <w:lang w:eastAsia="zh-CN"/>
        </w:rPr>
        <w:t>投标人</w:t>
      </w:r>
      <w:r>
        <w:rPr>
          <w:rFonts w:hint="eastAsia" w:ascii="宋体" w:hAnsi="宋体" w:cs="宋体"/>
          <w:sz w:val="24"/>
          <w:szCs w:val="24"/>
        </w:rPr>
        <w:t>对招标文件阅读不深、理解不透、误解、疏漏、或因市场行情了解不清造成的后果和风险均由</w:t>
      </w:r>
      <w:r>
        <w:rPr>
          <w:rFonts w:hint="eastAsia" w:ascii="宋体" w:hAnsi="宋体" w:cs="宋体"/>
          <w:sz w:val="24"/>
          <w:szCs w:val="24"/>
          <w:lang w:eastAsia="zh-CN"/>
        </w:rPr>
        <w:t>投标人</w:t>
      </w:r>
      <w:r>
        <w:rPr>
          <w:rFonts w:hint="eastAsia" w:ascii="宋体" w:hAnsi="宋体" w:cs="宋体"/>
          <w:sz w:val="24"/>
          <w:szCs w:val="24"/>
        </w:rPr>
        <w:t>自行承担。</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任何对招标文件进行询问或要求进行澄清的</w:t>
      </w:r>
      <w:r>
        <w:rPr>
          <w:rFonts w:hint="eastAsia" w:ascii="宋体" w:hAnsi="宋体" w:cs="宋体"/>
          <w:sz w:val="24"/>
          <w:szCs w:val="24"/>
          <w:lang w:eastAsia="zh-CN"/>
        </w:rPr>
        <w:t>投标人</w:t>
      </w:r>
      <w:r>
        <w:rPr>
          <w:rFonts w:hint="eastAsia" w:ascii="宋体" w:hAnsi="宋体" w:cs="宋体"/>
          <w:sz w:val="24"/>
          <w:szCs w:val="24"/>
        </w:rPr>
        <w:t>，均应在收到招标文件后七个工作日内按公开招标文件中的通讯地址以书面形式递交代理机构，采购人或代理机构对收到的任何询问或澄清要求将作出书面答复。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7"/>
        </w:numPr>
        <w:spacing w:line="500" w:lineRule="exact"/>
        <w:ind w:firstLine="562" w:firstLineChars="200"/>
        <w:rPr>
          <w:rFonts w:ascii="宋体" w:hAnsi="宋体" w:cs="宋体"/>
          <w:szCs w:val="28"/>
        </w:rPr>
      </w:pPr>
      <w:bookmarkStart w:id="27" w:name="_Toc6390"/>
      <w:r>
        <w:rPr>
          <w:rFonts w:hint="eastAsia" w:ascii="宋体" w:hAnsi="宋体" w:cs="宋体"/>
          <w:szCs w:val="28"/>
        </w:rPr>
        <w:t>招标文件的修改</w:t>
      </w:r>
      <w:bookmarkEnd w:id="27"/>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w:t>
      </w:r>
      <w:r>
        <w:rPr>
          <w:rFonts w:hint="eastAsia" w:ascii="宋体" w:hAnsi="宋体" w:cs="宋体"/>
          <w:sz w:val="24"/>
          <w:szCs w:val="24"/>
          <w:lang w:eastAsia="zh-CN"/>
        </w:rPr>
        <w:t>投标人</w:t>
      </w:r>
      <w:r>
        <w:rPr>
          <w:rFonts w:hint="eastAsia" w:ascii="宋体" w:hAnsi="宋体" w:cs="宋体"/>
          <w:sz w:val="24"/>
          <w:szCs w:val="24"/>
        </w:rPr>
        <w:t>提出的澄清问题时，对招标文件进行修改。招标文件的澄清和修改将以书面形式通知所有</w:t>
      </w:r>
      <w:r>
        <w:rPr>
          <w:rFonts w:hint="eastAsia" w:ascii="宋体" w:hAnsi="宋体" w:cs="宋体"/>
          <w:sz w:val="24"/>
          <w:szCs w:val="24"/>
          <w:lang w:eastAsia="zh-CN"/>
        </w:rPr>
        <w:t>投标人</w:t>
      </w:r>
      <w:r>
        <w:rPr>
          <w:rFonts w:hint="eastAsia" w:ascii="宋体" w:hAnsi="宋体" w:cs="宋体"/>
          <w:sz w:val="24"/>
          <w:szCs w:val="24"/>
        </w:rPr>
        <w:t>，并作为招标文件的补充，与其具有同等法律效力。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w:t>
      </w:r>
      <w:r>
        <w:rPr>
          <w:rFonts w:hint="eastAsia" w:ascii="宋体" w:hAnsi="宋体" w:cs="宋体"/>
          <w:sz w:val="24"/>
          <w:szCs w:val="24"/>
          <w:lang w:eastAsia="zh-CN"/>
        </w:rPr>
        <w:t>投标人</w:t>
      </w:r>
      <w:r>
        <w:rPr>
          <w:rFonts w:hint="eastAsia" w:ascii="宋体" w:hAnsi="宋体" w:cs="宋体"/>
          <w:sz w:val="24"/>
          <w:szCs w:val="24"/>
        </w:rPr>
        <w:t>对招标文件修改或澄清内容有充分的时间进行补充修改，代理机构可适当延长投标截止时间和开标时间，在招标文件要求提交投标文件的截止日期前，将变更时间书面通知所有购买招标文件的</w:t>
      </w:r>
      <w:r>
        <w:rPr>
          <w:rFonts w:hint="eastAsia" w:ascii="宋体" w:hAnsi="宋体" w:cs="宋体"/>
          <w:sz w:val="24"/>
          <w:szCs w:val="24"/>
          <w:lang w:eastAsia="zh-CN"/>
        </w:rPr>
        <w:t>投标人</w:t>
      </w:r>
      <w:r>
        <w:rPr>
          <w:rFonts w:hint="eastAsia" w:ascii="宋体" w:hAnsi="宋体" w:cs="宋体"/>
          <w:sz w:val="24"/>
          <w:szCs w:val="24"/>
        </w:rPr>
        <w:t>。</w:t>
      </w:r>
    </w:p>
    <w:p>
      <w:pPr>
        <w:pStyle w:val="5"/>
        <w:numPr>
          <w:ilvl w:val="0"/>
          <w:numId w:val="7"/>
        </w:numPr>
        <w:spacing w:line="500" w:lineRule="exact"/>
        <w:ind w:firstLine="562" w:firstLineChars="200"/>
        <w:rPr>
          <w:rFonts w:ascii="宋体" w:hAnsi="宋体" w:cs="宋体"/>
          <w:szCs w:val="28"/>
        </w:rPr>
      </w:pPr>
      <w:bookmarkStart w:id="28" w:name="_Toc5095"/>
      <w:r>
        <w:rPr>
          <w:rFonts w:hint="eastAsia" w:ascii="宋体" w:hAnsi="宋体" w:cs="宋体"/>
          <w:szCs w:val="28"/>
        </w:rPr>
        <w:t>招标文件的解释权归代理机构</w:t>
      </w:r>
      <w:bookmarkEnd w:id="28"/>
    </w:p>
    <w:p>
      <w:pPr>
        <w:pStyle w:val="5"/>
        <w:numPr>
          <w:ilvl w:val="0"/>
          <w:numId w:val="7"/>
        </w:numPr>
        <w:spacing w:line="360" w:lineRule="auto"/>
        <w:ind w:firstLine="562" w:firstLineChars="200"/>
        <w:rPr>
          <w:rFonts w:ascii="宋体" w:hAnsi="宋体" w:cs="宋体"/>
          <w:szCs w:val="28"/>
        </w:rPr>
      </w:pPr>
      <w:r>
        <w:rPr>
          <w:rFonts w:hint="eastAsia" w:ascii="宋体" w:hAnsi="宋体" w:cs="宋体"/>
          <w:szCs w:val="28"/>
        </w:rPr>
        <w:t>落实的政府采购政策</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1、政府采购促进中小企业发展管理办法--财库[2020]46号；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2、财政部司法部关于政府采购支持监狱企业发展有关问题的通知--财库[2014]68号；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3、国务院办公厅关于建立政府强制采购节能产品制度的通知--国办发[2007]51号；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4、节能产品政府采购实施意见--财库[2004]185号；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5、环境标志产品政府采购实施的意见--财库[2006]90号；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6、关于促进残疾人就业政府采购政策的通知--财库[2017]141号；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7、陕西省中小企业政府采购信用融资办法-陕财办采〔2018〕23号；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8、陕西省财政厅关于加快推进我省中小企业政府采购信用融资工作的通知-陕财办采〔2020〕15号。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9、财政部 发展改革委 生态环境部 市场监管总局关于调整优化节能产品、环境标志产品政府采购执行机制的通知--（财库〔2019〕9 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10、财政部 国务院扶贫办关于运用政府采购政策支持脱贫攻坚的通知--（财库〔2019〕27 号）等文件规定；</w:t>
      </w:r>
    </w:p>
    <w:p/>
    <w:p>
      <w:pPr>
        <w:pStyle w:val="2"/>
      </w:pPr>
    </w:p>
    <w:p/>
    <w:p>
      <w:pPr>
        <w:pStyle w:val="2"/>
      </w:pPr>
    </w:p>
    <w:p/>
    <w:p>
      <w:pPr>
        <w:pStyle w:val="2"/>
      </w:pPr>
    </w:p>
    <w:p/>
    <w:p/>
    <w:p>
      <w:pPr>
        <w:tabs>
          <w:tab w:val="left" w:pos="0"/>
        </w:tabs>
        <w:adjustRightInd w:val="0"/>
        <w:snapToGrid w:val="0"/>
        <w:spacing w:line="500" w:lineRule="exact"/>
        <w:ind w:firstLine="723" w:firstLineChars="200"/>
        <w:jc w:val="center"/>
        <w:rPr>
          <w:rFonts w:hint="eastAsia" w:ascii="宋体" w:hAnsi="宋体" w:cs="宋体"/>
          <w:b/>
          <w:bCs/>
          <w:sz w:val="36"/>
          <w:szCs w:val="28"/>
        </w:rPr>
      </w:pPr>
      <w:bookmarkStart w:id="29" w:name="_Toc15601"/>
    </w:p>
    <w:p>
      <w:pPr>
        <w:tabs>
          <w:tab w:val="left" w:pos="0"/>
        </w:tabs>
        <w:adjustRightInd w:val="0"/>
        <w:snapToGrid w:val="0"/>
        <w:spacing w:line="500" w:lineRule="exact"/>
        <w:ind w:firstLine="723" w:firstLineChars="200"/>
        <w:jc w:val="center"/>
        <w:rPr>
          <w:rFonts w:hint="eastAsia" w:ascii="宋体" w:hAnsi="宋体" w:cs="宋体"/>
          <w:b/>
          <w:bCs/>
          <w:sz w:val="36"/>
          <w:szCs w:val="28"/>
        </w:rPr>
      </w:pPr>
    </w:p>
    <w:p>
      <w:pPr>
        <w:tabs>
          <w:tab w:val="left" w:pos="0"/>
        </w:tabs>
        <w:adjustRightInd w:val="0"/>
        <w:snapToGrid w:val="0"/>
        <w:spacing w:line="500" w:lineRule="exact"/>
        <w:ind w:firstLine="723" w:firstLineChars="200"/>
        <w:jc w:val="center"/>
        <w:rPr>
          <w:rFonts w:ascii="宋体" w:hAnsi="宋体" w:cs="宋体"/>
          <w:b/>
          <w:bCs/>
          <w:sz w:val="36"/>
          <w:szCs w:val="28"/>
        </w:rPr>
      </w:pPr>
      <w:r>
        <w:rPr>
          <w:rFonts w:hint="eastAsia" w:ascii="宋体" w:hAnsi="宋体" w:cs="宋体"/>
          <w:b/>
          <w:bCs/>
          <w:sz w:val="36"/>
          <w:szCs w:val="28"/>
        </w:rPr>
        <w:t>三、投标文件</w:t>
      </w:r>
      <w:bookmarkEnd w:id="29"/>
    </w:p>
    <w:p>
      <w:pPr>
        <w:pStyle w:val="5"/>
        <w:numPr>
          <w:ilvl w:val="0"/>
          <w:numId w:val="9"/>
        </w:numPr>
        <w:spacing w:line="500" w:lineRule="exact"/>
        <w:ind w:firstLine="562" w:firstLineChars="200"/>
        <w:rPr>
          <w:rFonts w:ascii="宋体" w:hAnsi="宋体" w:cs="宋体"/>
          <w:szCs w:val="28"/>
        </w:rPr>
      </w:pPr>
      <w:bookmarkStart w:id="30" w:name="_Toc17549"/>
      <w:r>
        <w:rPr>
          <w:rFonts w:hint="eastAsia" w:ascii="宋体" w:hAnsi="宋体" w:cs="宋体"/>
          <w:szCs w:val="28"/>
        </w:rPr>
        <w:t>投标文件的编制</w:t>
      </w:r>
      <w:bookmarkEnd w:id="30"/>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投标人</w:t>
      </w:r>
      <w:r>
        <w:rPr>
          <w:rFonts w:hint="eastAsia" w:ascii="宋体" w:hAnsi="宋体" w:cs="宋体"/>
          <w:sz w:val="24"/>
          <w:szCs w:val="24"/>
        </w:rPr>
        <w:t>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w:t>
      </w:r>
      <w:r>
        <w:rPr>
          <w:rFonts w:hint="eastAsia" w:ascii="宋体" w:hAnsi="宋体" w:cs="宋体"/>
          <w:sz w:val="24"/>
          <w:szCs w:val="24"/>
          <w:lang w:eastAsia="zh-CN"/>
        </w:rPr>
        <w:t>投标人</w:t>
      </w:r>
      <w:r>
        <w:rPr>
          <w:rFonts w:hint="eastAsia" w:ascii="宋体" w:hAnsi="宋体" w:cs="宋体"/>
          <w:sz w:val="24"/>
          <w:szCs w:val="24"/>
        </w:rPr>
        <w:t>承担。装订必须采用胶装形式，不得采用活页装订，必须编排页码。</w:t>
      </w:r>
    </w:p>
    <w:p>
      <w:pPr>
        <w:pStyle w:val="5"/>
        <w:numPr>
          <w:ilvl w:val="0"/>
          <w:numId w:val="9"/>
        </w:numPr>
        <w:spacing w:line="500" w:lineRule="exact"/>
        <w:ind w:firstLine="482" w:firstLineChars="200"/>
        <w:rPr>
          <w:rFonts w:ascii="宋体" w:hAnsi="宋体" w:cs="宋体"/>
          <w:sz w:val="24"/>
          <w:szCs w:val="24"/>
        </w:rPr>
      </w:pPr>
      <w:bookmarkStart w:id="31" w:name="_Toc27646"/>
      <w:bookmarkStart w:id="32" w:name="_Toc1311"/>
      <w:r>
        <w:rPr>
          <w:rFonts w:hint="eastAsia" w:ascii="宋体" w:hAnsi="宋体" w:cs="宋体"/>
          <w:sz w:val="24"/>
          <w:szCs w:val="24"/>
        </w:rPr>
        <w:t>投标报价</w:t>
      </w:r>
      <w:bookmarkEnd w:id="31"/>
    </w:p>
    <w:p>
      <w:pPr>
        <w:spacing w:line="360" w:lineRule="auto"/>
        <w:ind w:firstLine="482" w:firstLineChars="200"/>
        <w:rPr>
          <w:rFonts w:ascii="宋体" w:hAnsi="宋体" w:cs="宋体"/>
        </w:rPr>
      </w:pPr>
      <w:r>
        <w:rPr>
          <w:rFonts w:hint="eastAsia" w:ascii="宋体" w:hAnsi="宋体" w:cs="宋体"/>
          <w:b/>
          <w:bCs/>
          <w:sz w:val="24"/>
          <w:szCs w:val="24"/>
        </w:rPr>
        <w:t>详见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pStyle w:val="5"/>
        <w:numPr>
          <w:ilvl w:val="0"/>
          <w:numId w:val="9"/>
        </w:numPr>
        <w:spacing w:line="500" w:lineRule="exact"/>
        <w:ind w:firstLine="482" w:firstLineChars="200"/>
        <w:rPr>
          <w:rFonts w:ascii="宋体" w:hAnsi="宋体" w:cs="宋体"/>
          <w:sz w:val="24"/>
          <w:szCs w:val="24"/>
        </w:rPr>
      </w:pPr>
      <w:bookmarkStart w:id="33" w:name="_Toc29200"/>
      <w:r>
        <w:rPr>
          <w:rFonts w:hint="eastAsia" w:ascii="宋体" w:hAnsi="宋体" w:cs="宋体"/>
          <w:sz w:val="24"/>
          <w:szCs w:val="24"/>
        </w:rPr>
        <w:t>投标货币</w:t>
      </w:r>
      <w:bookmarkEnd w:id="33"/>
    </w:p>
    <w:p>
      <w:pPr>
        <w:spacing w:line="360" w:lineRule="auto"/>
        <w:ind w:firstLine="482" w:firstLineChars="200"/>
        <w:rPr>
          <w:rFonts w:ascii="宋体" w:hAnsi="宋体" w:cs="宋体"/>
        </w:rPr>
      </w:pPr>
      <w:r>
        <w:rPr>
          <w:rFonts w:hint="eastAsia" w:ascii="宋体" w:hAnsi="宋体" w:cs="宋体"/>
          <w:b/>
          <w:bCs/>
          <w:sz w:val="24"/>
          <w:szCs w:val="24"/>
        </w:rPr>
        <w:t>详见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pStyle w:val="5"/>
        <w:numPr>
          <w:ilvl w:val="0"/>
          <w:numId w:val="9"/>
        </w:numPr>
        <w:spacing w:line="500" w:lineRule="exact"/>
        <w:ind w:firstLine="562" w:firstLineChars="200"/>
        <w:rPr>
          <w:rFonts w:ascii="宋体" w:hAnsi="宋体" w:cs="宋体"/>
          <w:szCs w:val="28"/>
        </w:rPr>
      </w:pPr>
      <w:r>
        <w:rPr>
          <w:rFonts w:hint="eastAsia" w:ascii="宋体" w:hAnsi="宋体" w:cs="宋体"/>
          <w:szCs w:val="28"/>
        </w:rPr>
        <w:t>投标保证金</w:t>
      </w:r>
      <w:bookmarkEnd w:id="32"/>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w:t>
      </w:r>
      <w:r>
        <w:rPr>
          <w:rFonts w:hint="eastAsia" w:ascii="宋体" w:hAnsi="宋体" w:cs="宋体"/>
          <w:sz w:val="24"/>
          <w:szCs w:val="24"/>
          <w:lang w:eastAsia="zh-CN"/>
        </w:rPr>
        <w:t>投标人</w:t>
      </w:r>
      <w:r>
        <w:rPr>
          <w:rFonts w:hint="eastAsia" w:ascii="宋体" w:hAnsi="宋体" w:cs="宋体"/>
          <w:sz w:val="24"/>
          <w:szCs w:val="24"/>
        </w:rPr>
        <w:t>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w:t>
      </w:r>
      <w:r>
        <w:rPr>
          <w:rFonts w:hint="eastAsia" w:ascii="宋体" w:hAnsi="宋体" w:cs="宋体"/>
          <w:sz w:val="24"/>
          <w:szCs w:val="24"/>
          <w:lang w:eastAsia="zh-CN"/>
        </w:rPr>
        <w:t>投标人</w:t>
      </w:r>
      <w:r>
        <w:rPr>
          <w:rFonts w:hint="eastAsia" w:ascii="宋体" w:hAnsi="宋体" w:cs="宋体"/>
          <w:sz w:val="24"/>
          <w:szCs w:val="24"/>
        </w:rPr>
        <w:t>的投标保证金，在中标通知书发出后5个工作日内无息退还；中标</w:t>
      </w:r>
      <w:r>
        <w:rPr>
          <w:rFonts w:hint="eastAsia" w:ascii="宋体" w:hAnsi="宋体" w:cs="宋体"/>
          <w:sz w:val="24"/>
          <w:szCs w:val="24"/>
          <w:lang w:eastAsia="zh-CN"/>
        </w:rPr>
        <w:t>投标人</w:t>
      </w:r>
      <w:r>
        <w:rPr>
          <w:rFonts w:hint="eastAsia" w:ascii="宋体" w:hAnsi="宋体" w:cs="宋体"/>
          <w:sz w:val="24"/>
          <w:szCs w:val="24"/>
        </w:rPr>
        <w:t>的投标保证金在合同签订后5个工作日内无息退还（需向代理机构出具采购合同扫描件）。</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w:t>
      </w:r>
      <w:r>
        <w:rPr>
          <w:rFonts w:hint="eastAsia" w:ascii="宋体" w:hAnsi="宋体" w:cs="宋体"/>
          <w:sz w:val="24"/>
          <w:szCs w:val="24"/>
          <w:lang w:eastAsia="zh-CN"/>
        </w:rPr>
        <w:t>投标人</w:t>
      </w:r>
      <w:r>
        <w:rPr>
          <w:rFonts w:hint="eastAsia" w:ascii="宋体" w:hAnsi="宋体" w:cs="宋体"/>
          <w:sz w:val="24"/>
          <w:szCs w:val="24"/>
        </w:rPr>
        <w:t>缴纳的投标保证金：</w:t>
      </w:r>
    </w:p>
    <w:p>
      <w:pPr>
        <w:numPr>
          <w:ilvl w:val="0"/>
          <w:numId w:val="10"/>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w:t>
      </w:r>
      <w:r>
        <w:rPr>
          <w:rFonts w:hint="eastAsia" w:ascii="宋体" w:hAnsi="宋体" w:cs="宋体"/>
          <w:sz w:val="24"/>
          <w:szCs w:val="24"/>
          <w:lang w:eastAsia="zh-CN"/>
        </w:rPr>
        <w:t>投标人</w:t>
      </w:r>
      <w:r>
        <w:rPr>
          <w:rFonts w:hint="eastAsia" w:ascii="宋体" w:hAnsi="宋体" w:cs="宋体"/>
          <w:sz w:val="24"/>
          <w:szCs w:val="24"/>
        </w:rPr>
        <w:t>撤销其所投投标文件的；</w:t>
      </w:r>
    </w:p>
    <w:p>
      <w:pPr>
        <w:numPr>
          <w:ilvl w:val="0"/>
          <w:numId w:val="10"/>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pPr>
        <w:numPr>
          <w:ilvl w:val="0"/>
          <w:numId w:val="10"/>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企图影响开标、评标的任何活动，将导致投标被拒绝，并由其承担相应的法律责任；</w:t>
      </w:r>
    </w:p>
    <w:p>
      <w:pPr>
        <w:numPr>
          <w:ilvl w:val="0"/>
          <w:numId w:val="10"/>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w:t>
      </w:r>
      <w:r>
        <w:rPr>
          <w:rFonts w:hint="eastAsia" w:ascii="宋体" w:hAnsi="宋体" w:cs="宋体"/>
          <w:kern w:val="0"/>
          <w:sz w:val="24"/>
          <w:szCs w:val="24"/>
          <w:lang w:eastAsia="zh-CN"/>
        </w:rPr>
        <w:t>投标人</w:t>
      </w:r>
      <w:r>
        <w:rPr>
          <w:rFonts w:hint="eastAsia" w:ascii="宋体" w:hAnsi="宋体" w:cs="宋体"/>
          <w:sz w:val="24"/>
          <w:szCs w:val="24"/>
        </w:rPr>
        <w:t>不与采购人签订合同的；</w:t>
      </w:r>
    </w:p>
    <w:p>
      <w:pPr>
        <w:numPr>
          <w:ilvl w:val="0"/>
          <w:numId w:val="10"/>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由于中标人原因未能按照招标文件的规定缴纳履约保证金；</w:t>
      </w:r>
    </w:p>
    <w:p>
      <w:pPr>
        <w:numPr>
          <w:ilvl w:val="0"/>
          <w:numId w:val="10"/>
        </w:numPr>
        <w:adjustRightInd w:val="0"/>
        <w:snapToGrid w:val="0"/>
        <w:spacing w:line="500" w:lineRule="exact"/>
        <w:rPr>
          <w:rFonts w:ascii="宋体" w:hAnsi="宋体" w:cs="宋体"/>
          <w:sz w:val="24"/>
          <w:szCs w:val="24"/>
        </w:rPr>
      </w:pPr>
      <w:r>
        <w:rPr>
          <w:rFonts w:hint="eastAsia" w:ascii="宋体" w:hAnsi="宋体" w:cs="宋体"/>
          <w:sz w:val="24"/>
          <w:szCs w:val="24"/>
        </w:rPr>
        <w:t>投标有效期内，</w:t>
      </w:r>
      <w:r>
        <w:rPr>
          <w:rFonts w:hint="eastAsia" w:ascii="宋体" w:hAnsi="宋体" w:cs="宋体"/>
          <w:sz w:val="24"/>
          <w:szCs w:val="24"/>
          <w:lang w:eastAsia="zh-CN"/>
        </w:rPr>
        <w:t>投标人</w:t>
      </w:r>
      <w:r>
        <w:rPr>
          <w:rFonts w:hint="eastAsia" w:ascii="宋体" w:hAnsi="宋体" w:cs="宋体"/>
          <w:sz w:val="24"/>
          <w:szCs w:val="24"/>
        </w:rPr>
        <w:t>在政府采购活动中有违法、违规、违纪行为；</w:t>
      </w:r>
    </w:p>
    <w:p>
      <w:pPr>
        <w:numPr>
          <w:ilvl w:val="0"/>
          <w:numId w:val="10"/>
        </w:numPr>
        <w:adjustRightInd w:val="0"/>
        <w:snapToGrid w:val="0"/>
        <w:spacing w:line="500" w:lineRule="exact"/>
        <w:rPr>
          <w:rFonts w:ascii="宋体" w:hAnsi="宋体" w:cs="宋体"/>
          <w:sz w:val="24"/>
          <w:szCs w:val="24"/>
        </w:rPr>
      </w:pPr>
      <w:r>
        <w:rPr>
          <w:rFonts w:hint="eastAsia" w:ascii="宋体" w:hAnsi="宋体" w:cs="宋体"/>
          <w:sz w:val="24"/>
          <w:szCs w:val="24"/>
        </w:rPr>
        <w:t xml:space="preserve">中标人与采购人订立背离合同实质性内容的其它协议； </w:t>
      </w:r>
    </w:p>
    <w:p>
      <w:pPr>
        <w:numPr>
          <w:ilvl w:val="0"/>
          <w:numId w:val="10"/>
        </w:numPr>
        <w:adjustRightInd w:val="0"/>
        <w:snapToGrid w:val="0"/>
        <w:spacing w:line="500" w:lineRule="exact"/>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未按招标文件规定和合同约定履行义务的。</w:t>
      </w:r>
    </w:p>
    <w:p>
      <w:pPr>
        <w:pStyle w:val="5"/>
        <w:numPr>
          <w:ilvl w:val="0"/>
          <w:numId w:val="9"/>
        </w:numPr>
        <w:spacing w:line="500" w:lineRule="exact"/>
        <w:ind w:firstLine="562" w:firstLineChars="200"/>
        <w:rPr>
          <w:rFonts w:ascii="宋体" w:hAnsi="宋体" w:cs="宋体"/>
          <w:szCs w:val="28"/>
        </w:rPr>
      </w:pPr>
      <w:bookmarkStart w:id="34" w:name="_Toc19668"/>
      <w:r>
        <w:rPr>
          <w:rFonts w:hint="eastAsia" w:ascii="宋体" w:hAnsi="宋体" w:cs="宋体"/>
          <w:szCs w:val="28"/>
        </w:rPr>
        <w:t>投标有效期</w:t>
      </w:r>
      <w:bookmarkEnd w:id="34"/>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w:t>
      </w:r>
      <w:r>
        <w:rPr>
          <w:rFonts w:hint="eastAsia" w:ascii="宋体" w:hAnsi="宋体" w:cs="宋体"/>
          <w:sz w:val="24"/>
          <w:szCs w:val="24"/>
          <w:lang w:eastAsia="zh-CN"/>
        </w:rPr>
        <w:t>投标人</w:t>
      </w:r>
      <w:r>
        <w:rPr>
          <w:rFonts w:hint="eastAsia" w:ascii="宋体" w:hAnsi="宋体" w:cs="宋体"/>
          <w:sz w:val="24"/>
          <w:szCs w:val="24"/>
        </w:rPr>
        <w:t>须知前附表，无投标有效期或投标有效期短于此规定期限的投标文件，视为无效文件，其投标将被拒绝。</w:t>
      </w:r>
    </w:p>
    <w:p>
      <w:pPr>
        <w:pStyle w:val="5"/>
        <w:numPr>
          <w:ilvl w:val="0"/>
          <w:numId w:val="9"/>
        </w:numPr>
        <w:spacing w:line="500" w:lineRule="exact"/>
        <w:ind w:firstLine="562" w:firstLineChars="200"/>
        <w:rPr>
          <w:rFonts w:ascii="宋体" w:hAnsi="宋体" w:cs="宋体"/>
          <w:szCs w:val="28"/>
        </w:rPr>
      </w:pPr>
      <w:bookmarkStart w:id="35" w:name="_Toc24827"/>
      <w:r>
        <w:rPr>
          <w:rFonts w:hint="eastAsia" w:ascii="宋体" w:hAnsi="宋体" w:cs="宋体"/>
          <w:szCs w:val="28"/>
        </w:rPr>
        <w:t>投标文件的装订、签署和</w:t>
      </w:r>
      <w:bookmarkEnd w:id="35"/>
      <w:r>
        <w:rPr>
          <w:rFonts w:hint="eastAsia" w:ascii="宋体" w:hAnsi="宋体" w:cs="宋体"/>
          <w:szCs w:val="28"/>
        </w:rPr>
        <w:t>密封</w:t>
      </w:r>
    </w:p>
    <w:p>
      <w:pPr>
        <w:tabs>
          <w:tab w:val="left" w:pos="0"/>
        </w:tabs>
        <w:spacing w:line="500" w:lineRule="exact"/>
        <w:ind w:firstLine="480" w:firstLineChars="200"/>
        <w:rPr>
          <w:rFonts w:ascii="宋体" w:hAnsi="宋体" w:cs="宋体"/>
          <w:sz w:val="24"/>
          <w:szCs w:val="24"/>
        </w:rPr>
      </w:pPr>
      <w:bookmarkStart w:id="36" w:name="_Toc22752"/>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w:t>
      </w:r>
      <w:r>
        <w:rPr>
          <w:rFonts w:hint="eastAsia" w:ascii="宋体" w:hAnsi="宋体" w:cs="宋体"/>
          <w:b/>
          <w:bCs/>
          <w:sz w:val="24"/>
          <w:szCs w:val="24"/>
          <w:lang w:eastAsia="zh-CN"/>
        </w:rPr>
        <w:t>投标人</w:t>
      </w:r>
      <w:r>
        <w:rPr>
          <w:rFonts w:hint="eastAsia" w:ascii="宋体" w:hAnsi="宋体" w:cs="宋体"/>
          <w:b/>
          <w:bCs/>
          <w:sz w:val="24"/>
          <w:szCs w:val="24"/>
        </w:rPr>
        <w:t>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w:t>
      </w:r>
      <w:r>
        <w:rPr>
          <w:rFonts w:hint="eastAsia" w:ascii="宋体" w:hAnsi="宋体" w:cs="宋体"/>
          <w:b/>
          <w:bCs/>
          <w:sz w:val="24"/>
          <w:szCs w:val="24"/>
          <w:lang w:eastAsia="zh-CN"/>
        </w:rPr>
        <w:t>投标人</w:t>
      </w:r>
      <w:r>
        <w:rPr>
          <w:rFonts w:hint="eastAsia" w:ascii="宋体" w:hAnsi="宋体" w:cs="宋体"/>
          <w:b/>
          <w:bCs/>
          <w:sz w:val="24"/>
          <w:szCs w:val="24"/>
        </w:rPr>
        <w:t>须知前附表。</w:t>
      </w:r>
    </w:p>
    <w:bookmarkEnd w:id="36"/>
    <w:p>
      <w:pPr>
        <w:widowControl/>
        <w:numPr>
          <w:ilvl w:val="0"/>
          <w:numId w:val="11"/>
        </w:numPr>
        <w:spacing w:line="500" w:lineRule="exact"/>
        <w:ind w:firstLine="482" w:firstLineChars="200"/>
        <w:jc w:val="center"/>
        <w:outlineLvl w:val="1"/>
        <w:rPr>
          <w:rFonts w:ascii="宋体" w:hAnsi="宋体" w:cs="宋体"/>
          <w:b/>
          <w:bCs/>
          <w:kern w:val="0"/>
          <w:sz w:val="24"/>
          <w:szCs w:val="24"/>
        </w:rPr>
        <w:sectPr>
          <w:footerReference r:id="rId9" w:type="default"/>
          <w:pgSz w:w="11906" w:h="16838"/>
          <w:pgMar w:top="1440" w:right="1706" w:bottom="1440" w:left="1800" w:header="851" w:footer="992" w:gutter="0"/>
          <w:cols w:space="720" w:num="1"/>
          <w:docGrid w:type="lines" w:linePitch="312" w:charSpace="0"/>
        </w:sectPr>
      </w:pPr>
      <w:bookmarkStart w:id="37" w:name="_Toc3736"/>
    </w:p>
    <w:p>
      <w:pPr>
        <w:widowControl/>
        <w:spacing w:before="159" w:beforeLines="50" w:after="159" w:afterLines="50" w:line="500" w:lineRule="exact"/>
        <w:jc w:val="center"/>
        <w:outlineLvl w:val="1"/>
        <w:rPr>
          <w:rFonts w:ascii="宋体" w:hAnsi="宋体" w:cs="宋体"/>
          <w:b/>
          <w:bCs/>
          <w:kern w:val="0"/>
          <w:sz w:val="32"/>
          <w:szCs w:val="28"/>
        </w:rPr>
      </w:pPr>
      <w:bookmarkStart w:id="38" w:name="_Toc3565"/>
      <w:bookmarkStart w:id="39" w:name="_Toc8694"/>
      <w:r>
        <w:rPr>
          <w:rFonts w:hint="eastAsia" w:ascii="宋体" w:hAnsi="宋体" w:cs="宋体"/>
          <w:b/>
          <w:bCs/>
          <w:kern w:val="0"/>
          <w:sz w:val="32"/>
          <w:szCs w:val="28"/>
        </w:rPr>
        <w:t>四、投标文件的递交</w:t>
      </w:r>
      <w:bookmarkEnd w:id="38"/>
      <w:bookmarkEnd w:id="39"/>
    </w:p>
    <w:bookmarkEnd w:id="37"/>
    <w:p>
      <w:pPr>
        <w:pStyle w:val="5"/>
        <w:keepNext w:val="0"/>
        <w:keepLines w:val="0"/>
        <w:numPr>
          <w:ilvl w:val="0"/>
          <w:numId w:val="12"/>
        </w:numPr>
        <w:spacing w:line="500" w:lineRule="exact"/>
        <w:ind w:firstLine="562" w:firstLineChars="200"/>
        <w:rPr>
          <w:rFonts w:ascii="宋体" w:hAnsi="宋体" w:cs="宋体"/>
          <w:szCs w:val="28"/>
        </w:rPr>
      </w:pPr>
      <w:bookmarkStart w:id="40" w:name="_Toc3685"/>
      <w:r>
        <w:rPr>
          <w:rFonts w:hint="eastAsia" w:ascii="宋体" w:hAnsi="宋体" w:cs="宋体"/>
          <w:szCs w:val="28"/>
        </w:rPr>
        <w:t>投标文件递交</w:t>
      </w:r>
      <w:bookmarkEnd w:id="40"/>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1.1 </w:t>
      </w:r>
      <w:r>
        <w:rPr>
          <w:rFonts w:hint="eastAsia" w:ascii="宋体" w:hAnsi="宋体" w:cs="宋体"/>
          <w:sz w:val="24"/>
          <w:szCs w:val="24"/>
          <w:lang w:eastAsia="zh-CN"/>
        </w:rPr>
        <w:t>投标人</w:t>
      </w:r>
      <w:r>
        <w:rPr>
          <w:rFonts w:hint="eastAsia" w:ascii="宋体" w:hAnsi="宋体" w:cs="宋体"/>
          <w:sz w:val="24"/>
          <w:szCs w:val="24"/>
        </w:rPr>
        <w:t>应当在招标文件要求提交投标文件的截止时间前，将投标文件密封送达投标地点。采购代理机构收到投标文件后，应当如实记载投标文件的送达时间和密封情况，签收保存，并向</w:t>
      </w:r>
      <w:r>
        <w:rPr>
          <w:rFonts w:hint="eastAsia" w:ascii="宋体" w:hAnsi="宋体" w:cs="宋体"/>
          <w:sz w:val="24"/>
          <w:szCs w:val="24"/>
          <w:lang w:eastAsia="zh-CN"/>
        </w:rPr>
        <w:t>投标人</w:t>
      </w:r>
      <w:r>
        <w:rPr>
          <w:rFonts w:hint="eastAsia" w:ascii="宋体" w:hAnsi="宋体" w:cs="宋体"/>
          <w:sz w:val="24"/>
          <w:szCs w:val="24"/>
        </w:rPr>
        <w:t>出具签收回执。任何单位和个人不得在开标前开启投标文件。代理机构项目承办人在招标文件规定的投标文件递交截止时间前，只负责投标文件的接收、清点、造册登记工作，并请</w:t>
      </w:r>
      <w:r>
        <w:rPr>
          <w:rFonts w:hint="eastAsia" w:ascii="宋体" w:hAnsi="宋体" w:cs="宋体"/>
          <w:sz w:val="24"/>
          <w:szCs w:val="24"/>
          <w:lang w:eastAsia="zh-CN"/>
        </w:rPr>
        <w:t>投标人</w:t>
      </w:r>
      <w:r>
        <w:rPr>
          <w:rFonts w:hint="eastAsia" w:ascii="宋体" w:hAnsi="宋体" w:cs="宋体"/>
          <w:sz w:val="24"/>
          <w:szCs w:val="24"/>
        </w:rPr>
        <w:t>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w:t>
      </w:r>
      <w:r>
        <w:rPr>
          <w:rFonts w:hint="eastAsia" w:ascii="宋体" w:hAnsi="宋体" w:cs="宋体"/>
          <w:sz w:val="24"/>
          <w:szCs w:val="24"/>
          <w:lang w:eastAsia="zh-CN"/>
        </w:rPr>
        <w:t>投标人</w:t>
      </w:r>
      <w:r>
        <w:rPr>
          <w:rFonts w:hint="eastAsia" w:ascii="宋体" w:hAnsi="宋体" w:cs="宋体"/>
          <w:sz w:val="24"/>
          <w:szCs w:val="24"/>
        </w:rPr>
        <w:t>中标与否，其投标文件恕不退还。</w:t>
      </w:r>
    </w:p>
    <w:p>
      <w:pPr>
        <w:pStyle w:val="5"/>
        <w:keepNext w:val="0"/>
        <w:keepLines w:val="0"/>
        <w:numPr>
          <w:ilvl w:val="0"/>
          <w:numId w:val="12"/>
        </w:numPr>
        <w:spacing w:line="500" w:lineRule="exact"/>
        <w:ind w:firstLine="562" w:firstLineChars="200"/>
        <w:rPr>
          <w:rFonts w:ascii="宋体" w:hAnsi="宋体" w:cs="宋体"/>
          <w:szCs w:val="28"/>
        </w:rPr>
      </w:pPr>
      <w:bookmarkStart w:id="41" w:name="_Toc12741"/>
      <w:r>
        <w:rPr>
          <w:rFonts w:hint="eastAsia" w:ascii="宋体" w:hAnsi="宋体" w:cs="宋体"/>
          <w:szCs w:val="28"/>
        </w:rPr>
        <w:t>投标文件的修改和撤回</w:t>
      </w:r>
      <w:bookmarkEnd w:id="41"/>
    </w:p>
    <w:p>
      <w:pPr>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投标人</w:t>
      </w:r>
      <w:r>
        <w:rPr>
          <w:rFonts w:hint="eastAsia" w:ascii="宋体" w:hAnsi="宋体" w:cs="宋体"/>
          <w:sz w:val="24"/>
          <w:szCs w:val="24"/>
        </w:rPr>
        <w:t>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xml:space="preserve">2.2 </w:t>
      </w:r>
      <w:r>
        <w:rPr>
          <w:rFonts w:hint="eastAsia" w:ascii="宋体" w:hAnsi="宋体" w:cs="宋体"/>
          <w:sz w:val="24"/>
          <w:szCs w:val="24"/>
          <w:lang w:eastAsia="zh-CN"/>
        </w:rPr>
        <w:t>投标人</w:t>
      </w:r>
      <w:r>
        <w:rPr>
          <w:rFonts w:hint="eastAsia" w:ascii="宋体" w:hAnsi="宋体" w:cs="宋体"/>
          <w:sz w:val="24"/>
          <w:szCs w:val="24"/>
        </w:rPr>
        <w:t>撤回投标的要求应由</w:t>
      </w:r>
      <w:r>
        <w:rPr>
          <w:rFonts w:hint="eastAsia" w:ascii="宋体" w:hAnsi="宋体" w:cs="宋体"/>
          <w:sz w:val="24"/>
          <w:szCs w:val="24"/>
          <w:lang w:eastAsia="zh-CN"/>
        </w:rPr>
        <w:t>投标人</w:t>
      </w:r>
      <w:r>
        <w:rPr>
          <w:rFonts w:hint="eastAsia" w:ascii="宋体" w:hAnsi="宋体" w:cs="宋体"/>
          <w:sz w:val="24"/>
          <w:szCs w:val="24"/>
        </w:rPr>
        <w:t>法定代表人或</w:t>
      </w:r>
      <w:r>
        <w:rPr>
          <w:rFonts w:hint="eastAsia" w:ascii="宋体" w:hAnsi="宋体" w:cs="宋体"/>
          <w:sz w:val="24"/>
          <w:szCs w:val="24"/>
          <w:lang w:eastAsia="zh-CN"/>
        </w:rPr>
        <w:t>投标人</w:t>
      </w:r>
      <w:r>
        <w:rPr>
          <w:rFonts w:hint="eastAsia" w:ascii="宋体" w:hAnsi="宋体" w:cs="宋体"/>
          <w:sz w:val="24"/>
          <w:szCs w:val="24"/>
        </w:rPr>
        <w:t>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w:t>
      </w:r>
      <w:r>
        <w:rPr>
          <w:rFonts w:hint="eastAsia" w:ascii="宋体" w:hAnsi="宋体" w:cs="宋体"/>
          <w:sz w:val="24"/>
          <w:szCs w:val="24"/>
          <w:lang w:eastAsia="zh-CN"/>
        </w:rPr>
        <w:t>投标人</w:t>
      </w:r>
      <w:r>
        <w:rPr>
          <w:rFonts w:hint="eastAsia" w:ascii="宋体" w:hAnsi="宋体" w:cs="宋体"/>
          <w:sz w:val="24"/>
          <w:szCs w:val="24"/>
        </w:rPr>
        <w:t>不得对其投标文件进行补充、修改或撤回。</w:t>
      </w:r>
    </w:p>
    <w:p>
      <w:pPr>
        <w:widowControl/>
        <w:spacing w:before="159" w:beforeLines="50" w:after="159" w:afterLines="50" w:line="500" w:lineRule="exact"/>
        <w:jc w:val="center"/>
        <w:outlineLvl w:val="1"/>
        <w:rPr>
          <w:rFonts w:hint="eastAsia" w:ascii="宋体" w:hAnsi="宋体" w:cs="宋体"/>
          <w:b/>
          <w:bCs/>
          <w:kern w:val="0"/>
          <w:sz w:val="32"/>
          <w:szCs w:val="28"/>
        </w:rPr>
      </w:pPr>
      <w:bookmarkStart w:id="42" w:name="_Toc14415"/>
      <w:bookmarkStart w:id="43" w:name="_Toc27066"/>
    </w:p>
    <w:p>
      <w:pPr>
        <w:widowControl/>
        <w:spacing w:before="159" w:beforeLines="50" w:after="159" w:afterLines="50" w:line="500" w:lineRule="exact"/>
        <w:jc w:val="center"/>
        <w:outlineLvl w:val="1"/>
        <w:rPr>
          <w:rFonts w:hint="eastAsia" w:ascii="宋体" w:hAnsi="宋体" w:cs="宋体"/>
          <w:b/>
          <w:bCs/>
          <w:kern w:val="0"/>
          <w:sz w:val="32"/>
          <w:szCs w:val="28"/>
        </w:rPr>
      </w:pPr>
    </w:p>
    <w:p>
      <w:pPr>
        <w:widowControl/>
        <w:spacing w:before="159" w:beforeLines="50" w:after="159" w:afterLines="50" w:line="500" w:lineRule="exact"/>
        <w:jc w:val="center"/>
        <w:outlineLvl w:val="1"/>
        <w:rPr>
          <w:rFonts w:hint="eastAsia" w:ascii="宋体" w:hAnsi="宋体" w:cs="宋体"/>
          <w:b/>
          <w:bCs/>
          <w:kern w:val="0"/>
          <w:sz w:val="32"/>
          <w:szCs w:val="28"/>
        </w:rPr>
      </w:pPr>
    </w:p>
    <w:p>
      <w:pPr>
        <w:widowControl/>
        <w:spacing w:before="159" w:beforeLines="50" w:after="159" w:afterLines="50" w:line="500" w:lineRule="exact"/>
        <w:jc w:val="center"/>
        <w:outlineLvl w:val="1"/>
        <w:rPr>
          <w:rFonts w:hint="eastAsia" w:ascii="宋体" w:hAnsi="宋体" w:cs="宋体"/>
          <w:b/>
          <w:bCs/>
          <w:kern w:val="0"/>
          <w:sz w:val="32"/>
          <w:szCs w:val="28"/>
        </w:rPr>
      </w:pPr>
    </w:p>
    <w:p>
      <w:pPr>
        <w:widowControl/>
        <w:spacing w:before="159" w:beforeLines="50" w:after="159" w:afterLines="50" w:line="500" w:lineRule="exact"/>
        <w:jc w:val="center"/>
        <w:outlineLvl w:val="1"/>
        <w:rPr>
          <w:rFonts w:hint="eastAsia" w:ascii="宋体" w:hAnsi="宋体" w:cs="宋体"/>
          <w:b/>
          <w:bCs/>
          <w:kern w:val="0"/>
          <w:sz w:val="32"/>
          <w:szCs w:val="28"/>
        </w:rPr>
      </w:pPr>
    </w:p>
    <w:p>
      <w:pPr>
        <w:pStyle w:val="2"/>
        <w:rPr>
          <w:rFonts w:hint="eastAsia" w:ascii="宋体" w:hAnsi="宋体" w:cs="宋体"/>
          <w:b/>
          <w:bCs/>
          <w:kern w:val="0"/>
          <w:sz w:val="32"/>
          <w:szCs w:val="28"/>
        </w:rPr>
      </w:pPr>
    </w:p>
    <w:p>
      <w:pPr>
        <w:rPr>
          <w:rFonts w:hint="eastAsia" w:ascii="宋体" w:hAnsi="宋体" w:cs="宋体"/>
          <w:b/>
          <w:bCs/>
          <w:kern w:val="0"/>
          <w:sz w:val="32"/>
          <w:szCs w:val="28"/>
        </w:rPr>
      </w:pPr>
    </w:p>
    <w:p>
      <w:pPr>
        <w:pStyle w:val="2"/>
        <w:rPr>
          <w:rFonts w:hint="eastAsia" w:ascii="宋体" w:hAnsi="宋体" w:cs="宋体"/>
          <w:b/>
          <w:bCs/>
          <w:kern w:val="0"/>
          <w:sz w:val="32"/>
          <w:szCs w:val="28"/>
        </w:rPr>
      </w:pPr>
    </w:p>
    <w:p>
      <w:pPr>
        <w:rPr>
          <w:rFonts w:hint="eastAsia"/>
        </w:rPr>
      </w:pPr>
    </w:p>
    <w:p>
      <w:pPr>
        <w:widowControl/>
        <w:spacing w:before="159" w:beforeLines="50" w:after="159" w:afterLines="50" w:line="500" w:lineRule="exact"/>
        <w:jc w:val="center"/>
        <w:outlineLvl w:val="1"/>
        <w:rPr>
          <w:rFonts w:ascii="宋体" w:hAnsi="宋体" w:cs="宋体"/>
          <w:b/>
          <w:bCs/>
          <w:kern w:val="0"/>
          <w:sz w:val="32"/>
          <w:szCs w:val="28"/>
        </w:rPr>
      </w:pPr>
      <w:bookmarkStart w:id="44" w:name="_Toc20821"/>
      <w:r>
        <w:rPr>
          <w:rFonts w:hint="eastAsia" w:ascii="宋体" w:hAnsi="宋体" w:cs="宋体"/>
          <w:b/>
          <w:bCs/>
          <w:kern w:val="0"/>
          <w:sz w:val="32"/>
          <w:szCs w:val="28"/>
        </w:rPr>
        <w:t>五、 开标、评审、定标</w:t>
      </w:r>
      <w:bookmarkEnd w:id="42"/>
      <w:bookmarkEnd w:id="43"/>
      <w:bookmarkEnd w:id="44"/>
    </w:p>
    <w:p>
      <w:pPr>
        <w:pStyle w:val="5"/>
        <w:keepNext w:val="0"/>
        <w:keepLines w:val="0"/>
        <w:numPr>
          <w:ilvl w:val="0"/>
          <w:numId w:val="13"/>
        </w:numPr>
        <w:spacing w:line="500" w:lineRule="exact"/>
        <w:ind w:firstLine="562"/>
        <w:rPr>
          <w:rFonts w:ascii="宋体" w:hAnsi="宋体" w:cs="宋体"/>
          <w:szCs w:val="28"/>
        </w:rPr>
      </w:pPr>
      <w:bookmarkStart w:id="45" w:name="_Toc27216"/>
      <w:r>
        <w:rPr>
          <w:rFonts w:hint="eastAsia" w:ascii="宋体" w:hAnsi="宋体" w:cs="宋体"/>
          <w:szCs w:val="28"/>
        </w:rPr>
        <w:t>开标</w:t>
      </w:r>
      <w:bookmarkEnd w:id="45"/>
    </w:p>
    <w:p>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w:t>
      </w:r>
      <w:r>
        <w:rPr>
          <w:rFonts w:hint="eastAsia" w:ascii="宋体" w:hAnsi="宋体" w:cs="宋体"/>
          <w:sz w:val="24"/>
          <w:szCs w:val="24"/>
          <w:lang w:eastAsia="zh-CN"/>
        </w:rPr>
        <w:t>投标人</w:t>
      </w:r>
      <w:r>
        <w:rPr>
          <w:rFonts w:hint="eastAsia" w:ascii="宋体" w:hAnsi="宋体" w:cs="宋体"/>
          <w:sz w:val="24"/>
          <w:szCs w:val="24"/>
        </w:rPr>
        <w:t>递交的投标文件，主持开标会议，邀请</w:t>
      </w:r>
      <w:r>
        <w:rPr>
          <w:rFonts w:hint="eastAsia" w:ascii="宋体" w:hAnsi="宋体" w:cs="宋体"/>
          <w:sz w:val="24"/>
          <w:szCs w:val="24"/>
          <w:lang w:eastAsia="zh-CN"/>
        </w:rPr>
        <w:t>投标人</w:t>
      </w:r>
      <w:r>
        <w:rPr>
          <w:rFonts w:hint="eastAsia" w:ascii="宋体" w:hAnsi="宋体" w:cs="宋体"/>
          <w:sz w:val="24"/>
          <w:szCs w:val="24"/>
        </w:rPr>
        <w:t>参加</w:t>
      </w:r>
      <w:r>
        <w:rPr>
          <w:rFonts w:hint="eastAsia" w:ascii="宋体" w:hAnsi="宋体" w:cs="宋体"/>
          <w:color w:val="000000"/>
          <w:sz w:val="24"/>
          <w:szCs w:val="24"/>
        </w:rPr>
        <w:t>，评标委员会成员不得参加开标活动。</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w:t>
      </w:r>
      <w:r>
        <w:rPr>
          <w:rFonts w:hint="eastAsia" w:ascii="宋体" w:hAnsi="宋体" w:cs="宋体"/>
          <w:sz w:val="24"/>
          <w:szCs w:val="24"/>
          <w:lang w:eastAsia="zh-CN"/>
        </w:rPr>
        <w:t>投标人</w:t>
      </w:r>
      <w:r>
        <w:rPr>
          <w:rFonts w:hint="eastAsia" w:ascii="宋体" w:hAnsi="宋体" w:cs="宋体"/>
          <w:sz w:val="24"/>
          <w:szCs w:val="24"/>
        </w:rPr>
        <w:t>或者其推选的代表检查投标文件的密封情况；经确认无误后，由采购代理机构工作人员当众拆封，宣布</w:t>
      </w:r>
      <w:r>
        <w:rPr>
          <w:rFonts w:hint="eastAsia" w:ascii="宋体" w:hAnsi="宋体" w:cs="宋体"/>
          <w:sz w:val="24"/>
          <w:szCs w:val="24"/>
          <w:lang w:eastAsia="zh-CN"/>
        </w:rPr>
        <w:t>投标人</w:t>
      </w:r>
      <w:r>
        <w:rPr>
          <w:rFonts w:hint="eastAsia" w:ascii="宋体" w:hAnsi="宋体" w:cs="宋体"/>
          <w:sz w:val="24"/>
          <w:szCs w:val="24"/>
        </w:rPr>
        <w:t>名称、投标价格和招标文件规定的需要宣布的其他内容。代理机构指定专人负责将</w:t>
      </w:r>
      <w:r>
        <w:rPr>
          <w:rFonts w:hint="eastAsia" w:ascii="宋体" w:hAnsi="宋体" w:cs="宋体"/>
          <w:sz w:val="24"/>
          <w:szCs w:val="24"/>
          <w:lang w:eastAsia="zh-CN"/>
        </w:rPr>
        <w:t>投标人</w:t>
      </w:r>
      <w:r>
        <w:rPr>
          <w:rFonts w:hint="eastAsia" w:ascii="宋体" w:hAnsi="宋体" w:cs="宋体"/>
          <w:sz w:val="24"/>
          <w:szCs w:val="24"/>
        </w:rPr>
        <w:t>的名称、投标项目名称、投标价格等进行记录，并存档备案；所有投标唱标完毕，如</w:t>
      </w:r>
      <w:r>
        <w:rPr>
          <w:rFonts w:hint="eastAsia" w:ascii="宋体" w:hAnsi="宋体" w:cs="宋体"/>
          <w:sz w:val="24"/>
          <w:szCs w:val="24"/>
          <w:lang w:eastAsia="zh-CN"/>
        </w:rPr>
        <w:t>投标人</w:t>
      </w:r>
      <w:r>
        <w:rPr>
          <w:rFonts w:hint="eastAsia" w:ascii="宋体" w:hAnsi="宋体" w:cs="宋体"/>
          <w:sz w:val="24"/>
          <w:szCs w:val="24"/>
        </w:rPr>
        <w:t>代表对宣读的“报价一览表”上的内容有异议的，应在获得开标会议主持人同意后当场提出。如确实属于唱标人员宣读错误，经</w:t>
      </w:r>
      <w:r>
        <w:rPr>
          <w:rFonts w:hint="eastAsia" w:ascii="宋体" w:hAnsi="宋体" w:cs="宋体"/>
          <w:sz w:val="24"/>
          <w:szCs w:val="24"/>
          <w:lang w:eastAsia="zh-CN"/>
        </w:rPr>
        <w:t>投标人</w:t>
      </w:r>
      <w:r>
        <w:rPr>
          <w:rFonts w:hint="eastAsia" w:ascii="宋体" w:hAnsi="宋体" w:cs="宋体"/>
          <w:sz w:val="24"/>
          <w:szCs w:val="24"/>
        </w:rPr>
        <w:t>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总价金额与按单价汇总金额不一致的，以单价金额计算结果为准；报价金额精确到小数点后两位，不进行四舍五入；  </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4"/>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w:t>
      </w:r>
      <w:r>
        <w:rPr>
          <w:rFonts w:hint="eastAsia" w:ascii="宋体" w:hAnsi="宋体" w:cs="宋体"/>
          <w:kern w:val="0"/>
          <w:sz w:val="24"/>
          <w:szCs w:val="24"/>
          <w:lang w:eastAsia="zh-CN"/>
        </w:rPr>
        <w:t>投标人</w:t>
      </w:r>
      <w:r>
        <w:rPr>
          <w:rFonts w:hint="eastAsia" w:ascii="宋体" w:hAnsi="宋体" w:cs="宋体"/>
          <w:kern w:val="0"/>
          <w:sz w:val="24"/>
          <w:szCs w:val="24"/>
        </w:rPr>
        <w:t>确认后产生约束力，</w:t>
      </w:r>
      <w:r>
        <w:rPr>
          <w:rFonts w:hint="eastAsia" w:ascii="宋体" w:hAnsi="宋体" w:cs="宋体"/>
          <w:kern w:val="0"/>
          <w:sz w:val="24"/>
          <w:szCs w:val="24"/>
          <w:lang w:eastAsia="zh-CN"/>
        </w:rPr>
        <w:t>投标人</w:t>
      </w:r>
      <w:r>
        <w:rPr>
          <w:rFonts w:hint="eastAsia" w:ascii="宋体" w:hAnsi="宋体" w:cs="宋体"/>
          <w:kern w:val="0"/>
          <w:sz w:val="24"/>
          <w:szCs w:val="24"/>
        </w:rPr>
        <w:t>不确认的，其投标无效。</w:t>
      </w:r>
    </w:p>
    <w:p>
      <w:pPr>
        <w:pStyle w:val="5"/>
        <w:keepNext w:val="0"/>
        <w:keepLines w:val="0"/>
        <w:numPr>
          <w:ilvl w:val="0"/>
          <w:numId w:val="13"/>
        </w:numPr>
        <w:spacing w:line="500" w:lineRule="exact"/>
        <w:ind w:firstLine="562"/>
        <w:rPr>
          <w:rFonts w:ascii="宋体" w:hAnsi="宋体" w:cs="宋体"/>
          <w:szCs w:val="28"/>
        </w:rPr>
      </w:pPr>
      <w:bookmarkStart w:id="46" w:name="_Toc801"/>
      <w:bookmarkStart w:id="47" w:name="_Toc358364344"/>
      <w:bookmarkStart w:id="48" w:name="_Toc20569"/>
      <w:bookmarkStart w:id="49" w:name="_Toc380336750"/>
      <w:r>
        <w:rPr>
          <w:rFonts w:hint="eastAsia" w:ascii="宋体" w:hAnsi="宋体" w:cs="宋体"/>
          <w:szCs w:val="28"/>
        </w:rPr>
        <w:t>评标委员会</w:t>
      </w:r>
      <w:bookmarkEnd w:id="46"/>
      <w:bookmarkEnd w:id="47"/>
      <w:bookmarkEnd w:id="48"/>
      <w:bookmarkEnd w:id="49"/>
    </w:p>
    <w:p>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2.1.1遵纪守法，客观、公正、认真负责地履行职责，审查投标文件是否符合招标文件的要求，并作出评价；</w:t>
      </w:r>
    </w:p>
    <w:p>
      <w:pPr>
        <w:spacing w:line="360" w:lineRule="auto"/>
        <w:ind w:left="420"/>
        <w:jc w:val="left"/>
        <w:rPr>
          <w:rFonts w:ascii="宋体" w:hAnsi="宋体" w:cs="宋体"/>
          <w:sz w:val="24"/>
          <w:szCs w:val="24"/>
        </w:rPr>
      </w:pPr>
      <w:r>
        <w:rPr>
          <w:rFonts w:hint="eastAsia" w:ascii="宋体" w:hAnsi="宋体" w:cs="宋体"/>
          <w:sz w:val="24"/>
          <w:szCs w:val="24"/>
        </w:rPr>
        <w:t>2.1.2要求</w:t>
      </w:r>
      <w:r>
        <w:rPr>
          <w:rFonts w:hint="eastAsia" w:ascii="宋体" w:hAnsi="宋体" w:cs="宋体"/>
          <w:sz w:val="24"/>
          <w:szCs w:val="24"/>
          <w:lang w:eastAsia="zh-CN"/>
        </w:rPr>
        <w:t>投标人</w:t>
      </w:r>
      <w:r>
        <w:rPr>
          <w:rFonts w:hint="eastAsia" w:ascii="宋体" w:hAnsi="宋体" w:cs="宋体"/>
          <w:sz w:val="24"/>
          <w:szCs w:val="24"/>
        </w:rPr>
        <w:t>对投标文件有关事项作出解释或澄清；</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pPr>
        <w:spacing w:line="360" w:lineRule="auto"/>
        <w:ind w:left="420"/>
        <w:jc w:val="left"/>
        <w:rPr>
          <w:rFonts w:ascii="宋体" w:hAnsi="宋体" w:cs="宋体"/>
          <w:sz w:val="24"/>
          <w:szCs w:val="24"/>
        </w:rPr>
      </w:pPr>
      <w:r>
        <w:rPr>
          <w:rFonts w:hint="eastAsia" w:ascii="宋体" w:hAnsi="宋体" w:cs="宋体"/>
          <w:sz w:val="24"/>
          <w:szCs w:val="24"/>
        </w:rPr>
        <w:t>2.1.4对评标过程和结果以及</w:t>
      </w:r>
      <w:r>
        <w:rPr>
          <w:rFonts w:hint="eastAsia" w:ascii="宋体" w:hAnsi="宋体" w:cs="宋体"/>
          <w:sz w:val="24"/>
          <w:szCs w:val="24"/>
          <w:lang w:eastAsia="zh-CN"/>
        </w:rPr>
        <w:t>投标人</w:t>
      </w:r>
      <w:r>
        <w:rPr>
          <w:rFonts w:hint="eastAsia" w:ascii="宋体" w:hAnsi="宋体" w:cs="宋体"/>
          <w:sz w:val="24"/>
          <w:szCs w:val="24"/>
        </w:rPr>
        <w:t>的商业秘密保密；</w:t>
      </w:r>
    </w:p>
    <w:p>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w:t>
      </w:r>
      <w:r>
        <w:rPr>
          <w:rFonts w:hint="eastAsia" w:ascii="宋体" w:hAnsi="宋体" w:cs="宋体"/>
          <w:sz w:val="24"/>
          <w:szCs w:val="24"/>
          <w:lang w:eastAsia="zh-CN"/>
        </w:rPr>
        <w:t>投标人</w:t>
      </w:r>
      <w:r>
        <w:rPr>
          <w:rFonts w:hint="eastAsia" w:ascii="宋体" w:hAnsi="宋体" w:cs="宋体"/>
          <w:sz w:val="24"/>
          <w:szCs w:val="24"/>
        </w:rPr>
        <w:t>提出的质疑；</w:t>
      </w:r>
    </w:p>
    <w:p>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pPr>
        <w:pStyle w:val="5"/>
        <w:numPr>
          <w:ilvl w:val="0"/>
          <w:numId w:val="13"/>
        </w:numPr>
        <w:spacing w:line="500" w:lineRule="exact"/>
        <w:ind w:firstLine="562"/>
        <w:rPr>
          <w:rFonts w:ascii="宋体" w:hAnsi="宋体" w:cs="宋体"/>
          <w:szCs w:val="28"/>
        </w:rPr>
      </w:pPr>
      <w:bookmarkStart w:id="50" w:name="_Toc386129876"/>
      <w:bookmarkStart w:id="51" w:name="_Toc28085"/>
      <w:bookmarkStart w:id="52" w:name="_Toc27940"/>
      <w:bookmarkStart w:id="53" w:name="_Toc385958808"/>
      <w:r>
        <w:rPr>
          <w:rFonts w:hint="eastAsia" w:ascii="宋体" w:hAnsi="宋体" w:cs="宋体"/>
          <w:szCs w:val="28"/>
        </w:rPr>
        <w:t>投标文件初审</w:t>
      </w:r>
      <w:bookmarkEnd w:id="50"/>
      <w:bookmarkEnd w:id="51"/>
      <w:bookmarkEnd w:id="52"/>
      <w:bookmarkEnd w:id="53"/>
    </w:p>
    <w:p>
      <w:pPr>
        <w:overflowPunct w:val="0"/>
        <w:adjustRightInd w:val="0"/>
        <w:snapToGrid w:val="0"/>
        <w:spacing w:line="500" w:lineRule="exact"/>
        <w:ind w:left="420"/>
        <w:rPr>
          <w:rFonts w:ascii="宋体" w:hAnsi="宋体" w:cs="宋体"/>
          <w:kern w:val="0"/>
          <w:sz w:val="24"/>
          <w:szCs w:val="24"/>
        </w:rPr>
      </w:pPr>
      <w:r>
        <w:rPr>
          <w:rFonts w:hint="eastAsia" w:ascii="宋体" w:hAnsi="宋体" w:cs="宋体"/>
          <w:kern w:val="0"/>
          <w:sz w:val="24"/>
          <w:szCs w:val="24"/>
        </w:rPr>
        <w:t xml:space="preserve"> 3.1 </w:t>
      </w:r>
      <w:r>
        <w:rPr>
          <w:rFonts w:hint="eastAsia" w:ascii="宋体" w:hAnsi="宋体" w:cs="宋体"/>
          <w:kern w:val="0"/>
          <w:sz w:val="24"/>
          <w:szCs w:val="24"/>
          <w:lang w:eastAsia="zh-CN"/>
        </w:rPr>
        <w:t>投标人</w:t>
      </w:r>
      <w:r>
        <w:rPr>
          <w:rFonts w:hint="eastAsia" w:ascii="宋体" w:hAnsi="宋体" w:cs="宋体"/>
          <w:kern w:val="0"/>
          <w:sz w:val="24"/>
          <w:szCs w:val="24"/>
        </w:rPr>
        <w:t>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w:t>
      </w:r>
      <w:r>
        <w:rPr>
          <w:rFonts w:hint="eastAsia" w:ascii="宋体" w:hAnsi="宋体" w:cs="宋体"/>
          <w:color w:val="000000"/>
          <w:kern w:val="0"/>
          <w:sz w:val="24"/>
          <w:szCs w:val="24"/>
        </w:rPr>
        <w:t>定，由采购人或代理机构对</w:t>
      </w:r>
      <w:r>
        <w:rPr>
          <w:rFonts w:hint="eastAsia" w:ascii="宋体" w:hAnsi="宋体" w:cs="宋体"/>
          <w:color w:val="000000"/>
          <w:kern w:val="0"/>
          <w:sz w:val="24"/>
          <w:szCs w:val="24"/>
          <w:lang w:eastAsia="zh-CN"/>
        </w:rPr>
        <w:t>投标人</w:t>
      </w:r>
      <w:r>
        <w:rPr>
          <w:rFonts w:hint="eastAsia" w:ascii="宋体" w:hAnsi="宋体" w:cs="宋体"/>
          <w:color w:val="000000"/>
          <w:kern w:val="0"/>
          <w:sz w:val="24"/>
          <w:szCs w:val="24"/>
        </w:rPr>
        <w:t>的</w:t>
      </w:r>
      <w:r>
        <w:rPr>
          <w:rFonts w:hint="eastAsia" w:ascii="宋体" w:hAnsi="宋体" w:cs="宋体"/>
          <w:kern w:val="0"/>
          <w:sz w:val="24"/>
          <w:szCs w:val="24"/>
        </w:rPr>
        <w:t>资格证明文件进行审查，以确保</w:t>
      </w:r>
      <w:r>
        <w:rPr>
          <w:rFonts w:hint="eastAsia" w:ascii="宋体" w:hAnsi="宋体" w:cs="宋体"/>
          <w:kern w:val="0"/>
          <w:sz w:val="24"/>
          <w:szCs w:val="24"/>
          <w:lang w:eastAsia="zh-CN"/>
        </w:rPr>
        <w:t>投标人</w:t>
      </w:r>
      <w:r>
        <w:rPr>
          <w:rFonts w:hint="eastAsia" w:ascii="宋体" w:hAnsi="宋体" w:cs="宋体"/>
          <w:kern w:val="0"/>
          <w:sz w:val="24"/>
          <w:szCs w:val="24"/>
        </w:rPr>
        <w:t>是否具备相应资格，资格审查内容详见</w:t>
      </w:r>
      <w:r>
        <w:rPr>
          <w:rFonts w:hint="eastAsia" w:ascii="宋体" w:hAnsi="宋体" w:cs="宋体"/>
          <w:kern w:val="0"/>
          <w:sz w:val="24"/>
          <w:szCs w:val="24"/>
          <w:lang w:eastAsia="zh-CN"/>
        </w:rPr>
        <w:t>投标人</w:t>
      </w:r>
      <w:r>
        <w:rPr>
          <w:rFonts w:hint="eastAsia" w:ascii="宋体" w:hAnsi="宋体" w:cs="宋体"/>
          <w:kern w:val="0"/>
          <w:sz w:val="24"/>
          <w:szCs w:val="24"/>
        </w:rPr>
        <w:t>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pStyle w:val="15"/>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w:t>
      </w:r>
      <w:r>
        <w:rPr>
          <w:rFonts w:hint="eastAsia" w:hAnsi="宋体" w:cs="宋体"/>
          <w:color w:val="000000"/>
          <w:kern w:val="0"/>
          <w:sz w:val="24"/>
          <w:szCs w:val="24"/>
          <w:lang w:eastAsia="zh-CN"/>
        </w:rPr>
        <w:t>投标人</w:t>
      </w:r>
      <w:r>
        <w:rPr>
          <w:rFonts w:hint="eastAsia" w:hAnsi="宋体" w:cs="宋体"/>
          <w:color w:val="000000"/>
          <w:kern w:val="0"/>
          <w:sz w:val="24"/>
          <w:szCs w:val="24"/>
        </w:rPr>
        <w:t>的投标文件进行符合性审查，以确定其是否满足招标文件的实质性要求。符合性审查内容详见</w:t>
      </w:r>
      <w:r>
        <w:rPr>
          <w:rFonts w:hint="eastAsia" w:hAnsi="宋体" w:cs="宋体"/>
          <w:color w:val="000000"/>
          <w:kern w:val="0"/>
          <w:sz w:val="24"/>
          <w:szCs w:val="24"/>
          <w:lang w:eastAsia="zh-CN"/>
        </w:rPr>
        <w:t>投标人</w:t>
      </w:r>
      <w:r>
        <w:rPr>
          <w:rFonts w:hint="eastAsia" w:hAnsi="宋体" w:cs="宋体"/>
          <w:color w:val="000000"/>
          <w:kern w:val="0"/>
          <w:sz w:val="24"/>
          <w:szCs w:val="24"/>
        </w:rPr>
        <w:t>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3.3有下列情形之一的，视为</w:t>
      </w:r>
      <w:r>
        <w:rPr>
          <w:rFonts w:hint="eastAsia" w:ascii="宋体" w:hAnsi="宋体" w:cs="宋体"/>
          <w:kern w:val="0"/>
          <w:sz w:val="24"/>
          <w:szCs w:val="24"/>
          <w:lang w:eastAsia="zh-CN"/>
        </w:rPr>
        <w:t>投标人</w:t>
      </w:r>
      <w:r>
        <w:rPr>
          <w:rFonts w:hint="eastAsia" w:ascii="宋体" w:hAnsi="宋体" w:cs="宋体"/>
          <w:kern w:val="0"/>
          <w:sz w:val="24"/>
          <w:szCs w:val="24"/>
        </w:rPr>
        <w:t>串通投标，其投标无效：</w:t>
      </w:r>
    </w:p>
    <w:p>
      <w:pPr>
        <w:pStyle w:val="26"/>
        <w:spacing w:after="210" w:afterAutospacing="0" w:line="27" w:lineRule="atLeast"/>
        <w:jc w:val="both"/>
      </w:pPr>
      <w:r>
        <w:rPr>
          <w:rFonts w:hint="eastAsia"/>
        </w:rPr>
        <w:t>　　（一）不同</w:t>
      </w:r>
      <w:r>
        <w:rPr>
          <w:rFonts w:hint="eastAsia"/>
          <w:lang w:eastAsia="zh-CN"/>
        </w:rPr>
        <w:t>投标人</w:t>
      </w:r>
      <w:r>
        <w:rPr>
          <w:rFonts w:hint="eastAsia"/>
        </w:rPr>
        <w:t>的投标文件由同一单位或者个人编制；</w:t>
      </w:r>
    </w:p>
    <w:p>
      <w:pPr>
        <w:pStyle w:val="26"/>
        <w:spacing w:after="210" w:afterAutospacing="0" w:line="27" w:lineRule="atLeast"/>
        <w:jc w:val="both"/>
      </w:pPr>
      <w:r>
        <w:rPr>
          <w:rFonts w:hint="eastAsia"/>
        </w:rPr>
        <w:t>　　（二）不同</w:t>
      </w:r>
      <w:r>
        <w:rPr>
          <w:rFonts w:hint="eastAsia"/>
          <w:lang w:eastAsia="zh-CN"/>
        </w:rPr>
        <w:t>投标人</w:t>
      </w:r>
      <w:r>
        <w:rPr>
          <w:rFonts w:hint="eastAsia"/>
        </w:rPr>
        <w:t>委托同一单位或者个人办理投标事宜；</w:t>
      </w:r>
    </w:p>
    <w:p>
      <w:pPr>
        <w:pStyle w:val="26"/>
        <w:spacing w:after="210" w:afterAutospacing="0" w:line="27" w:lineRule="atLeast"/>
        <w:jc w:val="both"/>
      </w:pPr>
      <w:r>
        <w:rPr>
          <w:rFonts w:hint="eastAsia"/>
        </w:rPr>
        <w:t>　　（三）不同</w:t>
      </w:r>
      <w:r>
        <w:rPr>
          <w:rFonts w:hint="eastAsia"/>
          <w:lang w:eastAsia="zh-CN"/>
        </w:rPr>
        <w:t>投标人</w:t>
      </w:r>
      <w:r>
        <w:rPr>
          <w:rFonts w:hint="eastAsia"/>
        </w:rPr>
        <w:t>的投标文件载明的项目管理成员或者联系人员为同一人；</w:t>
      </w:r>
    </w:p>
    <w:p>
      <w:pPr>
        <w:pStyle w:val="26"/>
        <w:spacing w:after="210" w:afterAutospacing="0" w:line="27" w:lineRule="atLeast"/>
        <w:jc w:val="both"/>
      </w:pPr>
      <w:r>
        <w:rPr>
          <w:rFonts w:hint="eastAsia"/>
        </w:rPr>
        <w:t>　　（四）不同</w:t>
      </w:r>
      <w:r>
        <w:rPr>
          <w:rFonts w:hint="eastAsia"/>
          <w:lang w:eastAsia="zh-CN"/>
        </w:rPr>
        <w:t>投标人</w:t>
      </w:r>
      <w:r>
        <w:rPr>
          <w:rFonts w:hint="eastAsia"/>
        </w:rPr>
        <w:t>的投标文件异常一致或者投标报价呈规律性差异；</w:t>
      </w:r>
    </w:p>
    <w:p>
      <w:pPr>
        <w:pStyle w:val="26"/>
        <w:spacing w:after="210" w:afterAutospacing="0" w:line="27" w:lineRule="atLeast"/>
        <w:jc w:val="both"/>
      </w:pPr>
      <w:r>
        <w:rPr>
          <w:rFonts w:hint="eastAsia"/>
        </w:rPr>
        <w:t>　　（五）不同</w:t>
      </w:r>
      <w:r>
        <w:rPr>
          <w:rFonts w:hint="eastAsia"/>
          <w:lang w:eastAsia="zh-CN"/>
        </w:rPr>
        <w:t>投标人</w:t>
      </w:r>
      <w:r>
        <w:rPr>
          <w:rFonts w:hint="eastAsia"/>
        </w:rPr>
        <w:t>的投标文件相互混装；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w:t>
      </w:r>
      <w:r>
        <w:rPr>
          <w:rFonts w:hint="eastAsia" w:ascii="宋体" w:hAnsi="宋体" w:cs="宋体"/>
          <w:sz w:val="24"/>
          <w:szCs w:val="24"/>
          <w:lang w:eastAsia="zh-CN"/>
        </w:rPr>
        <w:t>投标人</w:t>
      </w:r>
      <w:r>
        <w:rPr>
          <w:rFonts w:hint="eastAsia" w:ascii="宋体" w:hAnsi="宋体" w:cs="宋体"/>
          <w:sz w:val="24"/>
          <w:szCs w:val="24"/>
        </w:rPr>
        <w:t>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3.4对通过审查的，被认为其投标文件完整、合格，投标有效，可进入下阶段的评标。</w:t>
      </w:r>
    </w:p>
    <w:p>
      <w:pPr>
        <w:pStyle w:val="5"/>
        <w:numPr>
          <w:ilvl w:val="0"/>
          <w:numId w:val="13"/>
        </w:numPr>
        <w:spacing w:line="500" w:lineRule="exact"/>
        <w:ind w:firstLine="562"/>
        <w:rPr>
          <w:rFonts w:ascii="宋体" w:hAnsi="宋体" w:cs="宋体"/>
          <w:szCs w:val="28"/>
        </w:rPr>
      </w:pPr>
      <w:bookmarkStart w:id="54" w:name="_Toc17705"/>
      <w:r>
        <w:rPr>
          <w:rFonts w:hint="eastAsia" w:ascii="宋体" w:hAnsi="宋体" w:cs="宋体"/>
          <w:szCs w:val="28"/>
        </w:rPr>
        <w:t>投标文件澄清</w:t>
      </w:r>
      <w:bookmarkEnd w:id="54"/>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w:t>
      </w:r>
      <w:r>
        <w:rPr>
          <w:rFonts w:hint="eastAsia" w:ascii="宋体" w:hAnsi="宋体" w:cs="宋体"/>
          <w:sz w:val="24"/>
          <w:szCs w:val="24"/>
          <w:lang w:eastAsia="zh-CN"/>
        </w:rPr>
        <w:t>投标人</w:t>
      </w:r>
      <w:r>
        <w:rPr>
          <w:rFonts w:hint="eastAsia" w:ascii="宋体" w:hAnsi="宋体" w:cs="宋体"/>
          <w:sz w:val="24"/>
          <w:szCs w:val="24"/>
        </w:rPr>
        <w:t>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w:t>
      </w:r>
      <w:r>
        <w:rPr>
          <w:rFonts w:hint="eastAsia" w:ascii="宋体" w:hAnsi="宋体" w:cs="宋体"/>
          <w:kern w:val="0"/>
          <w:sz w:val="24"/>
          <w:szCs w:val="24"/>
          <w:lang w:eastAsia="zh-CN"/>
        </w:rPr>
        <w:t>投标人</w:t>
      </w:r>
      <w:r>
        <w:rPr>
          <w:rFonts w:hint="eastAsia" w:ascii="宋体" w:hAnsi="宋体" w:cs="宋体"/>
          <w:kern w:val="0"/>
          <w:sz w:val="24"/>
          <w:szCs w:val="24"/>
        </w:rPr>
        <w:t>必须按照评标委员会通知的内容和时间作出书面答复，该答复经法定代表人或</w:t>
      </w:r>
      <w:r>
        <w:rPr>
          <w:rFonts w:hint="eastAsia" w:ascii="宋体" w:hAnsi="宋体" w:cs="宋体"/>
          <w:kern w:val="0"/>
          <w:sz w:val="24"/>
          <w:szCs w:val="24"/>
          <w:lang w:eastAsia="zh-CN"/>
        </w:rPr>
        <w:t>投标人</w:t>
      </w:r>
      <w:r>
        <w:rPr>
          <w:rFonts w:hint="eastAsia" w:ascii="宋体" w:hAnsi="宋体" w:cs="宋体"/>
          <w:kern w:val="0"/>
          <w:sz w:val="24"/>
          <w:szCs w:val="24"/>
        </w:rPr>
        <w:t>代表的签字认可，将作为投标文件内容的一部分。澄清、说明或者补正不得超出投标文件的范围或者改变投标文件的实质性内容。</w:t>
      </w:r>
      <w:r>
        <w:rPr>
          <w:rFonts w:hint="eastAsia" w:ascii="宋体" w:hAnsi="宋体" w:cs="宋体"/>
          <w:kern w:val="0"/>
          <w:sz w:val="24"/>
          <w:szCs w:val="24"/>
          <w:lang w:eastAsia="zh-CN"/>
        </w:rPr>
        <w:t>投标人</w:t>
      </w:r>
      <w:r>
        <w:rPr>
          <w:rFonts w:hint="eastAsia" w:ascii="宋体" w:hAnsi="宋体" w:cs="宋体"/>
          <w:kern w:val="0"/>
          <w:sz w:val="24"/>
          <w:szCs w:val="24"/>
        </w:rPr>
        <w:t>拒不按照要求对投标文件进行澄清、说明或者补正的，</w:t>
      </w:r>
      <w:r>
        <w:rPr>
          <w:rFonts w:hint="eastAsia" w:ascii="宋体" w:hAnsi="宋体" w:cs="宋体"/>
          <w:kern w:val="0"/>
          <w:sz w:val="24"/>
          <w:szCs w:val="24"/>
          <w:lang w:eastAsia="zh-CN"/>
        </w:rPr>
        <w:t>投标人</w:t>
      </w:r>
      <w:r>
        <w:rPr>
          <w:rFonts w:hint="eastAsia" w:ascii="宋体" w:hAnsi="宋体" w:cs="宋体"/>
          <w:kern w:val="0"/>
          <w:sz w:val="24"/>
          <w:szCs w:val="24"/>
        </w:rPr>
        <w:t xml:space="preserve">将自行承担评标委员会视其投标无效的风险。 </w:t>
      </w:r>
    </w:p>
    <w:p>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w:t>
      </w:r>
      <w:r>
        <w:rPr>
          <w:rFonts w:hint="eastAsia" w:ascii="宋体" w:hAnsi="宋体" w:cs="宋体"/>
          <w:color w:val="000000"/>
          <w:kern w:val="0"/>
          <w:sz w:val="24"/>
          <w:szCs w:val="24"/>
          <w:lang w:eastAsia="zh-CN"/>
        </w:rPr>
        <w:t>投标人</w:t>
      </w:r>
      <w:r>
        <w:rPr>
          <w:rFonts w:hint="eastAsia" w:ascii="宋体" w:hAnsi="宋体" w:cs="宋体"/>
          <w:color w:val="000000"/>
          <w:kern w:val="0"/>
          <w:sz w:val="24"/>
          <w:szCs w:val="24"/>
        </w:rPr>
        <w:t>的报价明显低于</w:t>
      </w:r>
      <w:r>
        <w:rPr>
          <w:rFonts w:hint="eastAsia" w:ascii="宋体" w:hAnsi="宋体" w:cs="宋体"/>
          <w:color w:val="000000"/>
          <w:sz w:val="24"/>
          <w:szCs w:val="24"/>
        </w:rPr>
        <w:t>其他通过符合性审查</w:t>
      </w:r>
      <w:r>
        <w:rPr>
          <w:rFonts w:hint="eastAsia" w:ascii="宋体" w:hAnsi="宋体" w:cs="宋体"/>
          <w:color w:val="000000"/>
          <w:sz w:val="24"/>
          <w:szCs w:val="24"/>
          <w:lang w:eastAsia="zh-CN"/>
        </w:rPr>
        <w:t>投标人</w:t>
      </w:r>
      <w:r>
        <w:rPr>
          <w:rFonts w:hint="eastAsia" w:ascii="宋体" w:hAnsi="宋体" w:cs="宋体"/>
          <w:color w:val="000000"/>
          <w:sz w:val="24"/>
          <w:szCs w:val="24"/>
        </w:rPr>
        <w:t>的报价，有可能影响产品质量或者不能诚信履约的，将要求该</w:t>
      </w:r>
      <w:r>
        <w:rPr>
          <w:rFonts w:hint="eastAsia" w:ascii="宋体" w:hAnsi="宋体" w:cs="宋体"/>
          <w:color w:val="000000"/>
          <w:sz w:val="24"/>
          <w:szCs w:val="24"/>
          <w:lang w:eastAsia="zh-CN"/>
        </w:rPr>
        <w:t>投标人</w:t>
      </w:r>
      <w:r>
        <w:rPr>
          <w:rFonts w:hint="eastAsia" w:ascii="宋体" w:hAnsi="宋体" w:cs="宋体"/>
          <w:color w:val="000000"/>
          <w:sz w:val="24"/>
          <w:szCs w:val="24"/>
        </w:rPr>
        <w:t>在评标现场合理的时间内提供书面说明，必要时提交相关证明材料；</w:t>
      </w:r>
      <w:r>
        <w:rPr>
          <w:rFonts w:hint="eastAsia" w:ascii="宋体" w:hAnsi="宋体" w:cs="宋体"/>
          <w:color w:val="000000"/>
          <w:sz w:val="24"/>
          <w:szCs w:val="24"/>
          <w:lang w:eastAsia="zh-CN"/>
        </w:rPr>
        <w:t>投标人</w:t>
      </w:r>
      <w:r>
        <w:rPr>
          <w:rFonts w:hint="eastAsia" w:ascii="宋体" w:hAnsi="宋体" w:cs="宋体"/>
          <w:color w:val="000000"/>
          <w:sz w:val="24"/>
          <w:szCs w:val="24"/>
        </w:rPr>
        <w:t>不能证明其报价合理性的，评标委员会应当将其作为无效投标处理。</w:t>
      </w:r>
    </w:p>
    <w:p>
      <w:pPr>
        <w:pStyle w:val="5"/>
        <w:numPr>
          <w:ilvl w:val="0"/>
          <w:numId w:val="13"/>
        </w:numPr>
        <w:spacing w:line="500" w:lineRule="exact"/>
        <w:ind w:firstLine="562"/>
        <w:rPr>
          <w:rFonts w:ascii="宋体" w:hAnsi="宋体" w:cs="宋体"/>
          <w:szCs w:val="28"/>
        </w:rPr>
      </w:pPr>
      <w:bookmarkStart w:id="55" w:name="_Toc8353"/>
      <w:r>
        <w:rPr>
          <w:rFonts w:hint="eastAsia" w:ascii="宋体" w:hAnsi="宋体" w:cs="宋体"/>
          <w:szCs w:val="28"/>
        </w:rPr>
        <w:t>评标</w:t>
      </w:r>
      <w:bookmarkEnd w:id="55"/>
    </w:p>
    <w:p>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w:t>
      </w:r>
      <w:r>
        <w:rPr>
          <w:rFonts w:hint="eastAsia" w:ascii="宋体" w:hAnsi="宋体" w:cs="宋体"/>
          <w:sz w:val="24"/>
          <w:szCs w:val="24"/>
          <w:lang w:eastAsia="zh-CN"/>
        </w:rPr>
        <w:t>投标人</w:t>
      </w:r>
      <w:r>
        <w:rPr>
          <w:rFonts w:hint="eastAsia" w:ascii="宋体" w:hAnsi="宋体" w:cs="宋体"/>
          <w:sz w:val="24"/>
          <w:szCs w:val="24"/>
        </w:rPr>
        <w:t>由评标委员会按照公开招标文件中第四部分评分标准规定的各项因素进行比较、自主打分、综合评审。评标委员会将评审得分汇总后，按评标总得分由高到低汇总排序，推荐1～3名中标候选人；若有两个或两个以上</w:t>
      </w:r>
      <w:r>
        <w:rPr>
          <w:rFonts w:hint="eastAsia" w:ascii="宋体" w:hAnsi="宋体" w:cs="宋体"/>
          <w:sz w:val="24"/>
          <w:szCs w:val="24"/>
          <w:lang w:eastAsia="zh-CN"/>
        </w:rPr>
        <w:t>投标人</w:t>
      </w:r>
      <w:r>
        <w:rPr>
          <w:rFonts w:hint="eastAsia" w:ascii="宋体" w:hAnsi="宋体" w:cs="宋体"/>
          <w:sz w:val="24"/>
          <w:szCs w:val="24"/>
        </w:rPr>
        <w:t>得分相同，</w:t>
      </w:r>
      <w:r>
        <w:rPr>
          <w:rFonts w:hint="eastAsia" w:ascii="宋体" w:hAnsi="宋体" w:cs="宋体"/>
          <w:sz w:val="24"/>
          <w:szCs w:val="24"/>
          <w:lang w:eastAsia="zh-CN"/>
        </w:rPr>
        <w:t>投标人</w:t>
      </w:r>
      <w:r>
        <w:rPr>
          <w:rFonts w:hint="eastAsia" w:ascii="宋体" w:hAnsi="宋体" w:cs="宋体"/>
          <w:sz w:val="24"/>
          <w:szCs w:val="24"/>
        </w:rPr>
        <w:t>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根据《政府采购货物和服务招标投标管理办法》相关规定，单一产品采购项目提供相同品牌产品或非单一产品采购项目多家</w:t>
      </w:r>
      <w:r>
        <w:rPr>
          <w:rFonts w:hint="eastAsia" w:ascii="宋体" w:hAnsi="宋体" w:cs="宋体"/>
          <w:sz w:val="24"/>
          <w:szCs w:val="24"/>
          <w:lang w:eastAsia="zh-CN"/>
        </w:rPr>
        <w:t>投标人</w:t>
      </w:r>
      <w:r>
        <w:rPr>
          <w:rFonts w:hint="eastAsia" w:ascii="宋体" w:hAnsi="宋体" w:cs="宋体"/>
          <w:sz w:val="24"/>
          <w:szCs w:val="24"/>
        </w:rPr>
        <w:t>提供的核心产品品牌完全相同的且通过资格审查、符合性审查的不同</w:t>
      </w:r>
      <w:r>
        <w:rPr>
          <w:rFonts w:hint="eastAsia" w:ascii="宋体" w:hAnsi="宋体" w:cs="宋体"/>
          <w:sz w:val="24"/>
          <w:szCs w:val="24"/>
          <w:lang w:eastAsia="zh-CN"/>
        </w:rPr>
        <w:t>投标人</w:t>
      </w:r>
      <w:r>
        <w:rPr>
          <w:rFonts w:hint="eastAsia" w:ascii="宋体" w:hAnsi="宋体" w:cs="宋体"/>
          <w:sz w:val="24"/>
          <w:szCs w:val="24"/>
        </w:rPr>
        <w:t>参加同一合同项下投标的，按一家</w:t>
      </w:r>
      <w:r>
        <w:rPr>
          <w:rFonts w:hint="eastAsia" w:ascii="宋体" w:hAnsi="宋体" w:cs="宋体"/>
          <w:sz w:val="24"/>
          <w:szCs w:val="24"/>
          <w:lang w:eastAsia="zh-CN"/>
        </w:rPr>
        <w:t>投标人</w:t>
      </w:r>
      <w:r>
        <w:rPr>
          <w:rFonts w:hint="eastAsia" w:ascii="宋体" w:hAnsi="宋体" w:cs="宋体"/>
          <w:sz w:val="24"/>
          <w:szCs w:val="24"/>
        </w:rPr>
        <w:t>计算，评审后得分最高的同品牌</w:t>
      </w:r>
      <w:r>
        <w:rPr>
          <w:rFonts w:hint="eastAsia" w:ascii="宋体" w:hAnsi="宋体" w:cs="宋体"/>
          <w:sz w:val="24"/>
          <w:szCs w:val="24"/>
          <w:lang w:eastAsia="zh-CN"/>
        </w:rPr>
        <w:t>投标人</w:t>
      </w:r>
      <w:r>
        <w:rPr>
          <w:rFonts w:hint="eastAsia" w:ascii="宋体" w:hAnsi="宋体" w:cs="宋体"/>
          <w:sz w:val="24"/>
          <w:szCs w:val="24"/>
        </w:rPr>
        <w:t>获得中标</w:t>
      </w:r>
      <w:r>
        <w:rPr>
          <w:rFonts w:hint="eastAsia" w:ascii="宋体" w:hAnsi="宋体" w:cs="宋体"/>
          <w:sz w:val="24"/>
          <w:szCs w:val="24"/>
          <w:lang w:eastAsia="zh-CN"/>
        </w:rPr>
        <w:t>投标人</w:t>
      </w:r>
      <w:r>
        <w:rPr>
          <w:rFonts w:hint="eastAsia" w:ascii="宋体" w:hAnsi="宋体" w:cs="宋体"/>
          <w:sz w:val="24"/>
          <w:szCs w:val="24"/>
        </w:rPr>
        <w:t>推荐资格；评审得分相同的，由采购人或者采购人委托评标委员会按照报价得分最高的方式确定一个</w:t>
      </w:r>
      <w:r>
        <w:rPr>
          <w:rFonts w:hint="eastAsia" w:ascii="宋体" w:hAnsi="宋体" w:cs="宋体"/>
          <w:sz w:val="24"/>
          <w:szCs w:val="24"/>
          <w:lang w:eastAsia="zh-CN"/>
        </w:rPr>
        <w:t>投标人</w:t>
      </w:r>
      <w:r>
        <w:rPr>
          <w:rFonts w:hint="eastAsia" w:ascii="宋体" w:hAnsi="宋体" w:cs="宋体"/>
          <w:sz w:val="24"/>
          <w:szCs w:val="24"/>
        </w:rPr>
        <w:t>获得中标</w:t>
      </w:r>
      <w:r>
        <w:rPr>
          <w:rFonts w:hint="eastAsia" w:ascii="宋体" w:hAnsi="宋体" w:cs="宋体"/>
          <w:sz w:val="24"/>
          <w:szCs w:val="24"/>
          <w:lang w:eastAsia="zh-CN"/>
        </w:rPr>
        <w:t>投标人</w:t>
      </w:r>
      <w:r>
        <w:rPr>
          <w:rFonts w:hint="eastAsia" w:ascii="宋体" w:hAnsi="宋体" w:cs="宋体"/>
          <w:sz w:val="24"/>
          <w:szCs w:val="24"/>
        </w:rPr>
        <w:t>推荐资格。</w:t>
      </w:r>
    </w:p>
    <w:p>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3"/>
        </w:numPr>
        <w:spacing w:line="500" w:lineRule="exact"/>
        <w:ind w:firstLine="562"/>
        <w:rPr>
          <w:rFonts w:ascii="宋体" w:hAnsi="宋体" w:cs="宋体"/>
          <w:szCs w:val="28"/>
        </w:rPr>
      </w:pPr>
      <w:bookmarkStart w:id="56" w:name="_Toc12947"/>
      <w:r>
        <w:rPr>
          <w:rFonts w:hint="eastAsia" w:ascii="宋体" w:hAnsi="宋体" w:cs="宋体"/>
          <w:szCs w:val="28"/>
        </w:rPr>
        <w:t>定标</w:t>
      </w:r>
      <w:bookmarkEnd w:id="56"/>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kern w:val="0"/>
          <w:sz w:val="32"/>
          <w:szCs w:val="28"/>
        </w:rPr>
      </w:pPr>
      <w:bookmarkStart w:id="57" w:name="_Toc19972"/>
      <w:bookmarkStart w:id="58" w:name="_Toc16468"/>
      <w:bookmarkStart w:id="59" w:name="_Toc25308"/>
      <w:r>
        <w:rPr>
          <w:rFonts w:hint="eastAsia" w:ascii="宋体" w:hAnsi="宋体" w:cs="宋体"/>
          <w:b/>
          <w:bCs/>
          <w:kern w:val="0"/>
          <w:sz w:val="32"/>
          <w:szCs w:val="28"/>
        </w:rPr>
        <w:t>六、签订合同</w:t>
      </w:r>
      <w:bookmarkEnd w:id="57"/>
      <w:bookmarkEnd w:id="58"/>
      <w:bookmarkEnd w:id="59"/>
    </w:p>
    <w:p>
      <w:pPr>
        <w:pStyle w:val="9"/>
        <w:spacing w:line="360" w:lineRule="auto"/>
        <w:rPr>
          <w:rFonts w:ascii="宋体" w:hAnsi="宋体" w:cs="宋体"/>
          <w:sz w:val="24"/>
          <w:szCs w:val="24"/>
        </w:rPr>
      </w:pPr>
      <w:r>
        <w:rPr>
          <w:rFonts w:hint="eastAsia" w:ascii="宋体" w:hAnsi="宋体" w:cs="宋体"/>
          <w:sz w:val="24"/>
          <w:szCs w:val="24"/>
        </w:rPr>
        <w:t>采购人与中标、成交</w:t>
      </w:r>
      <w:r>
        <w:rPr>
          <w:rFonts w:hint="eastAsia" w:ascii="宋体" w:hAnsi="宋体" w:cs="宋体"/>
          <w:sz w:val="24"/>
          <w:szCs w:val="24"/>
          <w:lang w:eastAsia="zh-CN"/>
        </w:rPr>
        <w:t>投标人</w:t>
      </w:r>
      <w:r>
        <w:rPr>
          <w:rFonts w:hint="eastAsia" w:ascii="宋体" w:hAnsi="宋体" w:cs="宋体"/>
          <w:sz w:val="24"/>
          <w:szCs w:val="24"/>
        </w:rPr>
        <w:t>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kern w:val="0"/>
          <w:sz w:val="32"/>
          <w:szCs w:val="28"/>
        </w:rPr>
      </w:pPr>
      <w:bookmarkStart w:id="60" w:name="_Toc14962"/>
      <w:r>
        <w:rPr>
          <w:rFonts w:hint="eastAsia" w:ascii="宋体" w:hAnsi="宋体" w:cs="宋体"/>
          <w:b/>
          <w:bCs/>
          <w:kern w:val="0"/>
          <w:sz w:val="32"/>
          <w:szCs w:val="28"/>
        </w:rPr>
        <w:t>七、质疑和投诉</w:t>
      </w:r>
      <w:bookmarkEnd w:id="60"/>
    </w:p>
    <w:p>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w:t>
      </w:r>
      <w:r>
        <w:rPr>
          <w:rFonts w:hint="eastAsia" w:ascii="宋体" w:hAnsi="宋体" w:cs="宋体"/>
          <w:sz w:val="24"/>
          <w:szCs w:val="24"/>
          <w:lang w:eastAsia="zh-CN"/>
        </w:rPr>
        <w:t>投标人</w:t>
      </w:r>
      <w:r>
        <w:rPr>
          <w:rFonts w:hint="eastAsia" w:ascii="宋体" w:hAnsi="宋体" w:cs="宋体"/>
          <w:sz w:val="24"/>
          <w:szCs w:val="24"/>
        </w:rPr>
        <w:t>投诉受理审查工作的通知》等的相关规定办理。</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认为采购文件、采购过程和中标、成交结果使自己的权益受到损害的，可以在知道或者应知其权益受到损害之日起七个工作日内，以书面形式向采购人或采购代理机构提出质疑，逾期质疑无效。</w:t>
      </w:r>
      <w:r>
        <w:rPr>
          <w:rFonts w:hint="eastAsia" w:ascii="宋体" w:hAnsi="宋体" w:cs="宋体"/>
          <w:sz w:val="24"/>
          <w:szCs w:val="24"/>
          <w:lang w:eastAsia="zh-CN"/>
        </w:rPr>
        <w:t>投标人</w:t>
      </w:r>
      <w:r>
        <w:rPr>
          <w:rFonts w:hint="eastAsia" w:ascii="宋体" w:hAnsi="宋体" w:cs="宋体"/>
          <w:sz w:val="24"/>
          <w:szCs w:val="24"/>
        </w:rPr>
        <w:t>应知其权益受到损害之日，是指：</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投标人</w:t>
      </w:r>
      <w:r>
        <w:rPr>
          <w:rFonts w:hint="eastAsia" w:ascii="宋体" w:hAnsi="宋体" w:cs="宋体"/>
          <w:sz w:val="24"/>
          <w:szCs w:val="24"/>
        </w:rPr>
        <w:t>应当在法定质疑期内一次性提出针对同一采购程序环节的质疑。</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 、质疑函应当包括下列主要内容：</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投标人</w:t>
      </w:r>
      <w:r>
        <w:rPr>
          <w:rFonts w:hint="eastAsia" w:ascii="宋体" w:hAnsi="宋体" w:cs="宋体"/>
          <w:sz w:val="24"/>
          <w:szCs w:val="24"/>
        </w:rPr>
        <w:t>的姓名或者名称、地址、邮编、联系人及联系电话；</w:t>
      </w:r>
    </w:p>
    <w:p>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投标人</w:t>
      </w:r>
      <w:r>
        <w:rPr>
          <w:rFonts w:hint="eastAsia" w:ascii="宋体" w:hAnsi="宋体" w:cs="宋体"/>
          <w:sz w:val="24"/>
          <w:szCs w:val="24"/>
        </w:rPr>
        <w:t>可以委托代理人进行质疑和投诉。其授权委托书应当载明代理人的姓名或者名称、代理事项、具体权限、期限和相关事项。</w:t>
      </w:r>
      <w:r>
        <w:rPr>
          <w:rFonts w:hint="eastAsia" w:ascii="宋体" w:hAnsi="宋体" w:cs="宋体"/>
          <w:sz w:val="24"/>
          <w:szCs w:val="24"/>
          <w:lang w:eastAsia="zh-CN"/>
        </w:rPr>
        <w:t>投标人</w:t>
      </w:r>
      <w:r>
        <w:rPr>
          <w:rFonts w:hint="eastAsia" w:ascii="宋体" w:hAnsi="宋体" w:cs="宋体"/>
          <w:sz w:val="24"/>
          <w:szCs w:val="24"/>
        </w:rPr>
        <w:t>为自然人的，应当由本人签字；</w:t>
      </w:r>
      <w:r>
        <w:rPr>
          <w:rFonts w:hint="eastAsia" w:ascii="宋体" w:hAnsi="宋体" w:cs="宋体"/>
          <w:sz w:val="24"/>
          <w:szCs w:val="24"/>
          <w:lang w:eastAsia="zh-CN"/>
        </w:rPr>
        <w:t>投标人</w:t>
      </w:r>
      <w:r>
        <w:rPr>
          <w:rFonts w:hint="eastAsia" w:ascii="宋体" w:hAnsi="宋体" w:cs="宋体"/>
          <w:sz w:val="24"/>
          <w:szCs w:val="24"/>
        </w:rPr>
        <w:t>为法人或者其他组织的，应当由法定代表人、主要负责人，或者其授权代表签字或盖章，并加盖公章。</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w:t>
      </w:r>
      <w:r>
        <w:rPr>
          <w:rFonts w:hint="eastAsia" w:ascii="宋体" w:hAnsi="宋体" w:cs="宋体"/>
          <w:sz w:val="24"/>
          <w:szCs w:val="24"/>
          <w:lang w:eastAsia="zh-CN"/>
        </w:rPr>
        <w:t>投标人</w:t>
      </w:r>
      <w:r>
        <w:rPr>
          <w:rFonts w:hint="eastAsia" w:ascii="宋体" w:hAnsi="宋体" w:cs="宋体"/>
          <w:sz w:val="24"/>
          <w:szCs w:val="24"/>
        </w:rPr>
        <w:t>签署的授权委托书。</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7、质疑受理部门：陕西延审工程项目管理有限公司。</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质疑受理电话：0911-2114641</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8、提交质疑函地点：延安市新区嘉宁万兴花园写字楼21层。</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w:t>
      </w:r>
      <w:r>
        <w:rPr>
          <w:rFonts w:hint="eastAsia" w:ascii="宋体" w:hAnsi="宋体" w:cs="宋体"/>
          <w:sz w:val="24"/>
          <w:szCs w:val="24"/>
          <w:lang w:eastAsia="zh-CN"/>
        </w:rPr>
        <w:t>投标人</w:t>
      </w:r>
      <w:r>
        <w:rPr>
          <w:rFonts w:hint="eastAsia" w:ascii="宋体" w:hAnsi="宋体" w:cs="宋体"/>
          <w:sz w:val="24"/>
          <w:szCs w:val="24"/>
        </w:rPr>
        <w:t>，同时向同级政府采购监督管理部门报告。</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10、质疑</w:t>
      </w:r>
      <w:r>
        <w:rPr>
          <w:rFonts w:hint="eastAsia" w:ascii="宋体" w:hAnsi="宋体" w:cs="宋体"/>
          <w:sz w:val="24"/>
          <w:szCs w:val="24"/>
          <w:lang w:eastAsia="zh-CN"/>
        </w:rPr>
        <w:t>投标人</w:t>
      </w:r>
      <w:r>
        <w:rPr>
          <w:rFonts w:hint="eastAsia" w:ascii="宋体" w:hAnsi="宋体" w:cs="宋体"/>
          <w:sz w:val="24"/>
          <w:szCs w:val="24"/>
        </w:rPr>
        <w:t>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pPr>
        <w:rPr>
          <w:rFonts w:ascii="宋体" w:hAnsi="宋体" w:cs="宋体"/>
        </w:rPr>
      </w:pPr>
    </w:p>
    <w:p>
      <w:pPr>
        <w:pStyle w:val="3"/>
        <w:pageBreakBefore/>
        <w:numPr>
          <w:ilvl w:val="0"/>
          <w:numId w:val="15"/>
        </w:numPr>
        <w:spacing w:before="319" w:beforeLines="100" w:after="319" w:afterLines="100" w:line="500" w:lineRule="exact"/>
        <w:rPr>
          <w:rFonts w:ascii="宋体" w:hAnsi="宋体" w:cs="宋体"/>
          <w:color w:val="000000"/>
          <w:sz w:val="36"/>
          <w:szCs w:val="36"/>
        </w:rPr>
      </w:pPr>
      <w:bookmarkStart w:id="61" w:name="_Toc3298"/>
      <w:bookmarkEnd w:id="61"/>
      <w:r>
        <w:rPr>
          <w:rFonts w:hint="eastAsia" w:ascii="宋体" w:hAnsi="宋体" w:cs="宋体"/>
          <w:color w:val="000000"/>
          <w:sz w:val="36"/>
          <w:szCs w:val="36"/>
        </w:rPr>
        <w:t xml:space="preserve">  </w:t>
      </w:r>
      <w:bookmarkStart w:id="62" w:name="_Toc31610"/>
      <w:r>
        <w:rPr>
          <w:rFonts w:hint="eastAsia" w:ascii="宋体" w:hAnsi="宋体" w:cs="宋体"/>
          <w:color w:val="000000"/>
          <w:sz w:val="36"/>
          <w:szCs w:val="36"/>
        </w:rPr>
        <w:t>评标方法</w:t>
      </w:r>
      <w:bookmarkEnd w:id="62"/>
    </w:p>
    <w:p>
      <w:pPr>
        <w:spacing w:before="288" w:line="221" w:lineRule="auto"/>
        <w:ind w:left="7"/>
        <w:outlineLvl w:val="2"/>
        <w:rPr>
          <w:rFonts w:ascii="宋体" w:hAnsi="宋体" w:eastAsia="宋体" w:cs="宋体"/>
          <w:sz w:val="28"/>
          <w:szCs w:val="28"/>
        </w:rPr>
      </w:pPr>
      <w:bookmarkStart w:id="63" w:name="_Toc2536"/>
      <w:bookmarkStart w:id="64" w:name="_Toc15647"/>
      <w:bookmarkStart w:id="65" w:name="_Toc6835"/>
      <w:r>
        <w:rPr>
          <w:rFonts w:ascii="宋体" w:hAnsi="宋体" w:eastAsia="宋体" w:cs="宋体"/>
          <w:spacing w:val="-2"/>
          <w:sz w:val="28"/>
          <w:szCs w:val="28"/>
          <w14:textOutline w14:w="5103" w14:cap="sq" w14:cmpd="sng">
            <w14:solidFill>
              <w14:srgbClr w14:val="000000"/>
            </w14:solidFill>
            <w14:prstDash w14:val="solid"/>
            <w14:bevel/>
          </w14:textOutline>
        </w:rPr>
        <w:t>一．评标方法</w:t>
      </w:r>
    </w:p>
    <w:p>
      <w:pPr>
        <w:pStyle w:val="2"/>
        <w:spacing w:line="344" w:lineRule="auto"/>
      </w:pPr>
    </w:p>
    <w:p>
      <w:pPr>
        <w:spacing w:before="78" w:line="466" w:lineRule="auto"/>
        <w:ind w:left="6" w:firstLine="452"/>
        <w:rPr>
          <w:rFonts w:ascii="宋体" w:hAnsi="宋体" w:eastAsia="宋体" w:cs="宋体"/>
          <w:sz w:val="24"/>
          <w:szCs w:val="24"/>
        </w:rPr>
      </w:pPr>
      <w:r>
        <w:rPr>
          <w:rFonts w:ascii="宋体" w:hAnsi="宋体" w:eastAsia="宋体" w:cs="宋体"/>
          <w:spacing w:val="4"/>
          <w:sz w:val="24"/>
          <w:szCs w:val="24"/>
        </w:rPr>
        <w:t>按照《中华人民共和国政府采购法》及实施条例和中华人民共和国财政部令第87</w:t>
      </w:r>
      <w:r>
        <w:rPr>
          <w:rFonts w:ascii="宋体" w:hAnsi="宋体" w:eastAsia="宋体" w:cs="宋体"/>
          <w:spacing w:val="18"/>
          <w:sz w:val="24"/>
          <w:szCs w:val="24"/>
        </w:rPr>
        <w:t xml:space="preserve"> </w:t>
      </w:r>
      <w:r>
        <w:rPr>
          <w:rFonts w:ascii="宋体" w:hAnsi="宋体" w:eastAsia="宋体" w:cs="宋体"/>
          <w:spacing w:val="4"/>
          <w:sz w:val="24"/>
          <w:szCs w:val="24"/>
        </w:rPr>
        <w:t>号--《政府采购货物和服务招标投标管理办法</w:t>
      </w:r>
      <w:r>
        <w:rPr>
          <w:rFonts w:ascii="宋体" w:hAnsi="宋体" w:eastAsia="宋体" w:cs="宋体"/>
          <w:spacing w:val="3"/>
          <w:sz w:val="24"/>
          <w:szCs w:val="24"/>
        </w:rPr>
        <w:t>》的规定，本次评标采用</w:t>
      </w:r>
      <w:r>
        <w:rPr>
          <w:rFonts w:ascii="宋体" w:hAnsi="宋体" w:eastAsia="宋体" w:cs="宋体"/>
          <w:spacing w:val="3"/>
          <w:sz w:val="24"/>
          <w:szCs w:val="24"/>
          <w14:textOutline w14:w="4358" w14:cap="sq" w14:cmpd="sng">
            <w14:solidFill>
              <w14:srgbClr w14:val="000000"/>
            </w14:solidFill>
            <w14:prstDash w14:val="solid"/>
            <w14:bevel/>
          </w14:textOutline>
        </w:rPr>
        <w:t>综合评分法</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10"/>
          <w:sz w:val="24"/>
          <w:szCs w:val="24"/>
        </w:rPr>
        <w:t>即在最大限度地满足招标文件实质性要求前提下，按照招标文件中规定的各项因素</w:t>
      </w:r>
      <w:r>
        <w:rPr>
          <w:rFonts w:ascii="宋体" w:hAnsi="宋体" w:eastAsia="宋体" w:cs="宋体"/>
          <w:spacing w:val="9"/>
          <w:sz w:val="24"/>
          <w:szCs w:val="24"/>
        </w:rPr>
        <w:t>和相应的权重分值进行综合评审后，</w:t>
      </w:r>
      <w:r>
        <w:rPr>
          <w:rFonts w:ascii="宋体" w:hAnsi="宋体" w:eastAsia="宋体" w:cs="宋体"/>
          <w:spacing w:val="-72"/>
          <w:sz w:val="24"/>
          <w:szCs w:val="24"/>
        </w:rPr>
        <w:t xml:space="preserve"> </w:t>
      </w:r>
      <w:r>
        <w:rPr>
          <w:rFonts w:ascii="宋体" w:hAnsi="宋体" w:eastAsia="宋体" w:cs="宋体"/>
          <w:spacing w:val="9"/>
          <w:sz w:val="24"/>
          <w:szCs w:val="24"/>
        </w:rPr>
        <w:t>以总得分最高的投</w:t>
      </w:r>
      <w:r>
        <w:rPr>
          <w:rFonts w:ascii="宋体" w:hAnsi="宋体" w:eastAsia="宋体" w:cs="宋体"/>
          <w:spacing w:val="8"/>
          <w:sz w:val="24"/>
          <w:szCs w:val="24"/>
        </w:rPr>
        <w:t>标人作为中标候选人并依次</w:t>
      </w:r>
      <w:r>
        <w:rPr>
          <w:rFonts w:ascii="宋体" w:hAnsi="宋体" w:eastAsia="宋体" w:cs="宋体"/>
          <w:spacing w:val="5"/>
          <w:sz w:val="24"/>
          <w:szCs w:val="24"/>
        </w:rPr>
        <w:t>排序（最低报价不是中标的唯一标准）。</w:t>
      </w:r>
    </w:p>
    <w:p>
      <w:pPr>
        <w:spacing w:before="266" w:line="221" w:lineRule="auto"/>
        <w:ind w:left="7"/>
        <w:outlineLvl w:val="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二．评标程序</w:t>
      </w:r>
    </w:p>
    <w:p>
      <w:pPr>
        <w:pStyle w:val="2"/>
        <w:spacing w:line="252" w:lineRule="auto"/>
      </w:pPr>
    </w:p>
    <w:p>
      <w:pPr>
        <w:spacing w:before="79" w:line="523" w:lineRule="exact"/>
        <w:ind w:left="16"/>
        <w:rPr>
          <w:rFonts w:ascii="宋体" w:hAnsi="宋体" w:eastAsia="宋体" w:cs="宋体"/>
          <w:sz w:val="24"/>
          <w:szCs w:val="24"/>
        </w:rPr>
      </w:pPr>
      <w:r>
        <w:rPr>
          <w:rFonts w:ascii="宋体" w:hAnsi="宋体" w:eastAsia="宋体" w:cs="宋体"/>
          <w:spacing w:val="-2"/>
          <w:position w:val="21"/>
          <w:sz w:val="22"/>
          <w:szCs w:val="22"/>
          <w14:textOutline w14:w="3993" w14:cap="sq" w14:cmpd="sng">
            <w14:solidFill>
              <w14:srgbClr w14:val="000000"/>
            </w14:solidFill>
            <w14:prstDash w14:val="solid"/>
            <w14:bevel/>
          </w14:textOutline>
        </w:rPr>
        <w:t>1.</w:t>
      </w:r>
      <w:r>
        <w:rPr>
          <w:rFonts w:ascii="宋体" w:hAnsi="宋体" w:eastAsia="宋体" w:cs="宋体"/>
          <w:spacing w:val="-2"/>
          <w:position w:val="21"/>
          <w:sz w:val="24"/>
          <w:szCs w:val="24"/>
          <w14:textOutline w14:w="4358" w14:cap="sq" w14:cmpd="sng">
            <w14:solidFill>
              <w14:srgbClr w14:val="000000"/>
            </w14:solidFill>
            <w14:prstDash w14:val="solid"/>
            <w14:bevel/>
          </w14:textOutline>
        </w:rPr>
        <w:t>本采购项目评标按照下列工作程序进行</w:t>
      </w:r>
      <w:r>
        <w:rPr>
          <w:rFonts w:ascii="宋体" w:hAnsi="宋体" w:eastAsia="宋体" w:cs="宋体"/>
          <w:spacing w:val="-2"/>
          <w:position w:val="21"/>
          <w:sz w:val="24"/>
          <w:szCs w:val="24"/>
        </w:rPr>
        <w:t>（在上一步评审中被认定无效投标者，不进</w:t>
      </w:r>
    </w:p>
    <w:p>
      <w:pPr>
        <w:spacing w:line="219" w:lineRule="auto"/>
        <w:rPr>
          <w:rFonts w:ascii="宋体" w:hAnsi="宋体" w:eastAsia="宋体" w:cs="宋体"/>
          <w:sz w:val="24"/>
          <w:szCs w:val="24"/>
        </w:rPr>
      </w:pPr>
      <w:r>
        <w:rPr>
          <w:rFonts w:ascii="宋体" w:hAnsi="宋体" w:eastAsia="宋体" w:cs="宋体"/>
          <w:spacing w:val="-2"/>
          <w:sz w:val="24"/>
          <w:szCs w:val="24"/>
        </w:rPr>
        <w:t>入下一步的评审）</w:t>
      </w:r>
      <w:r>
        <w:rPr>
          <w:rFonts w:ascii="宋体" w:hAnsi="宋体" w:eastAsia="宋体" w:cs="宋体"/>
          <w:spacing w:val="-2"/>
          <w:sz w:val="24"/>
          <w:szCs w:val="24"/>
          <w14:textOutline w14:w="4358" w14:cap="sq" w14:cmpd="sng">
            <w14:solidFill>
              <w14:srgbClr w14:val="000000"/>
            </w14:solidFill>
            <w14:prstDash w14:val="solid"/>
            <w14:bevel/>
          </w14:textOutline>
        </w:rPr>
        <w:t>。</w:t>
      </w:r>
    </w:p>
    <w:p>
      <w:pPr>
        <w:spacing w:before="241" w:line="525" w:lineRule="exact"/>
        <w:ind w:left="6"/>
        <w:rPr>
          <w:rFonts w:ascii="宋体" w:hAnsi="宋体" w:eastAsia="宋体" w:cs="宋体"/>
          <w:sz w:val="24"/>
          <w:szCs w:val="24"/>
        </w:rPr>
      </w:pPr>
      <w:r>
        <w:rPr>
          <w:rFonts w:ascii="宋体" w:hAnsi="宋体" w:eastAsia="宋体" w:cs="宋体"/>
          <w:spacing w:val="-2"/>
          <w:position w:val="21"/>
          <w:sz w:val="22"/>
          <w:szCs w:val="22"/>
        </w:rPr>
        <w:t xml:space="preserve">（1） </w:t>
      </w:r>
      <w:r>
        <w:rPr>
          <w:rFonts w:ascii="宋体" w:hAnsi="宋体" w:eastAsia="宋体" w:cs="宋体"/>
          <w:spacing w:val="-2"/>
          <w:position w:val="21"/>
          <w:sz w:val="24"/>
          <w:szCs w:val="24"/>
        </w:rPr>
        <w:t>投标文件初审；</w:t>
      </w:r>
    </w:p>
    <w:p>
      <w:pPr>
        <w:spacing w:line="220" w:lineRule="auto"/>
        <w:ind w:left="6"/>
        <w:rPr>
          <w:rFonts w:ascii="宋体" w:hAnsi="宋体" w:eastAsia="宋体" w:cs="宋体"/>
          <w:sz w:val="24"/>
          <w:szCs w:val="24"/>
        </w:rPr>
      </w:pPr>
      <w:r>
        <w:rPr>
          <w:rFonts w:ascii="宋体" w:hAnsi="宋体" w:eastAsia="宋体" w:cs="宋体"/>
          <w:spacing w:val="-2"/>
          <w:sz w:val="22"/>
          <w:szCs w:val="22"/>
        </w:rPr>
        <w:t xml:space="preserve">（2） </w:t>
      </w:r>
      <w:r>
        <w:rPr>
          <w:rFonts w:ascii="宋体" w:hAnsi="宋体" w:eastAsia="宋体" w:cs="宋体"/>
          <w:spacing w:val="-2"/>
          <w:sz w:val="24"/>
          <w:szCs w:val="24"/>
        </w:rPr>
        <w:t>澄清有关问题；</w:t>
      </w:r>
    </w:p>
    <w:p>
      <w:pPr>
        <w:spacing w:before="235" w:line="218" w:lineRule="auto"/>
        <w:ind w:left="6"/>
        <w:rPr>
          <w:rFonts w:ascii="宋体" w:hAnsi="宋体" w:eastAsia="宋体" w:cs="宋体"/>
          <w:sz w:val="24"/>
          <w:szCs w:val="24"/>
        </w:rPr>
      </w:pPr>
      <w:r>
        <w:rPr>
          <w:rFonts w:ascii="宋体" w:hAnsi="宋体" w:eastAsia="宋体" w:cs="宋体"/>
          <w:spacing w:val="-6"/>
          <w:sz w:val="22"/>
          <w:szCs w:val="22"/>
        </w:rPr>
        <w:t>（3）</w:t>
      </w:r>
      <w:r>
        <w:rPr>
          <w:rFonts w:ascii="宋体" w:hAnsi="宋体" w:eastAsia="宋体" w:cs="宋体"/>
          <w:spacing w:val="37"/>
          <w:sz w:val="22"/>
          <w:szCs w:val="22"/>
        </w:rPr>
        <w:t xml:space="preserve"> </w:t>
      </w:r>
      <w:r>
        <w:rPr>
          <w:rFonts w:ascii="宋体" w:hAnsi="宋体" w:eastAsia="宋体" w:cs="宋体"/>
          <w:spacing w:val="-6"/>
          <w:sz w:val="24"/>
          <w:szCs w:val="24"/>
        </w:rPr>
        <w:t>比较与评价；</w:t>
      </w:r>
    </w:p>
    <w:p>
      <w:pPr>
        <w:spacing w:before="242" w:line="219" w:lineRule="auto"/>
        <w:ind w:left="6"/>
        <w:rPr>
          <w:rFonts w:ascii="宋体" w:hAnsi="宋体" w:eastAsia="宋体" w:cs="宋体"/>
          <w:sz w:val="24"/>
          <w:szCs w:val="24"/>
        </w:rPr>
      </w:pPr>
      <w:r>
        <w:rPr>
          <w:rFonts w:ascii="宋体" w:hAnsi="宋体" w:eastAsia="宋体" w:cs="宋体"/>
          <w:spacing w:val="-2"/>
          <w:sz w:val="22"/>
          <w:szCs w:val="22"/>
        </w:rPr>
        <w:t xml:space="preserve">（4） </w:t>
      </w:r>
      <w:r>
        <w:rPr>
          <w:rFonts w:ascii="宋体" w:hAnsi="宋体" w:eastAsia="宋体" w:cs="宋体"/>
          <w:spacing w:val="-2"/>
          <w:sz w:val="24"/>
          <w:szCs w:val="24"/>
        </w:rPr>
        <w:t>推荐中标候选人名单；</w:t>
      </w:r>
    </w:p>
    <w:p>
      <w:pPr>
        <w:spacing w:before="236" w:line="218" w:lineRule="auto"/>
        <w:ind w:left="6"/>
        <w:rPr>
          <w:rFonts w:ascii="宋体" w:hAnsi="宋体" w:eastAsia="宋体" w:cs="宋体"/>
          <w:sz w:val="24"/>
          <w:szCs w:val="24"/>
        </w:rPr>
      </w:pPr>
      <w:r>
        <w:rPr>
          <w:rFonts w:ascii="宋体" w:hAnsi="宋体" w:eastAsia="宋体" w:cs="宋体"/>
          <w:spacing w:val="-2"/>
          <w:sz w:val="22"/>
          <w:szCs w:val="22"/>
        </w:rPr>
        <w:t xml:space="preserve">（5） </w:t>
      </w:r>
      <w:r>
        <w:rPr>
          <w:rFonts w:ascii="宋体" w:hAnsi="宋体" w:eastAsia="宋体" w:cs="宋体"/>
          <w:spacing w:val="-2"/>
          <w:sz w:val="24"/>
          <w:szCs w:val="24"/>
        </w:rPr>
        <w:t>编写评标报告。</w:t>
      </w:r>
    </w:p>
    <w:p>
      <w:pPr>
        <w:spacing w:before="29" w:line="219" w:lineRule="auto"/>
        <w:ind w:left="3"/>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2.投标文件初审</w:t>
      </w:r>
    </w:p>
    <w:p>
      <w:pPr>
        <w:spacing w:before="240" w:line="342" w:lineRule="auto"/>
        <w:ind w:left="1" w:right="4" w:firstLine="1"/>
        <w:rPr>
          <w:rFonts w:ascii="宋体" w:hAnsi="宋体" w:eastAsia="宋体" w:cs="宋体"/>
          <w:sz w:val="24"/>
          <w:szCs w:val="24"/>
        </w:rPr>
      </w:pPr>
      <w:r>
        <w:rPr>
          <w:rFonts w:ascii="宋体" w:hAnsi="宋体" w:eastAsia="宋体" w:cs="宋体"/>
          <w:spacing w:val="5"/>
          <w:sz w:val="24"/>
          <w:szCs w:val="24"/>
          <w14:textOutline w14:w="4336" w14:cap="sq" w14:cmpd="sng">
            <w14:solidFill>
              <w14:srgbClr w14:val="000000"/>
            </w14:solidFill>
            <w14:prstDash w14:val="solid"/>
            <w14:bevel/>
          </w14:textOutline>
        </w:rPr>
        <w:t>2.1</w:t>
      </w:r>
      <w:r>
        <w:rPr>
          <w:rFonts w:ascii="宋体" w:hAnsi="宋体" w:eastAsia="宋体" w:cs="宋体"/>
          <w:spacing w:val="41"/>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资格性审查。</w:t>
      </w:r>
      <w:r>
        <w:rPr>
          <w:rFonts w:ascii="宋体" w:hAnsi="宋体" w:eastAsia="宋体" w:cs="宋体"/>
          <w:spacing w:val="5"/>
          <w:sz w:val="24"/>
          <w:szCs w:val="24"/>
        </w:rPr>
        <w:t>采购人或者采购代理机构将依据</w:t>
      </w:r>
      <w:r>
        <w:rPr>
          <w:rFonts w:ascii="宋体" w:hAnsi="宋体" w:eastAsia="宋体" w:cs="宋体"/>
          <w:spacing w:val="4"/>
          <w:sz w:val="24"/>
          <w:szCs w:val="24"/>
        </w:rPr>
        <w:t>投标文件，按照招标文件第二章</w:t>
      </w:r>
      <w:r>
        <w:rPr>
          <w:rFonts w:ascii="宋体" w:hAnsi="宋体" w:eastAsia="宋体" w:cs="宋体"/>
          <w:sz w:val="24"/>
          <w:szCs w:val="24"/>
        </w:rPr>
        <w:t xml:space="preserve"> 投标人须知前附表</w:t>
      </w:r>
      <w:r>
        <w:rPr>
          <w:rFonts w:hint="eastAsia" w:ascii="宋体" w:hAnsi="宋体" w:cs="宋体"/>
          <w:sz w:val="24"/>
          <w:szCs w:val="24"/>
          <w:lang w:val="en-US" w:eastAsia="zh-CN"/>
        </w:rPr>
        <w:t>中资格要求</w:t>
      </w:r>
      <w:r>
        <w:rPr>
          <w:rFonts w:ascii="宋体" w:hAnsi="宋体" w:eastAsia="宋体" w:cs="宋体"/>
          <w:sz w:val="24"/>
          <w:szCs w:val="24"/>
        </w:rPr>
        <w:t>所述进行资格性审查，如果投标人不满足招标文件所</w:t>
      </w:r>
      <w:r>
        <w:rPr>
          <w:rFonts w:ascii="宋体" w:hAnsi="宋体" w:eastAsia="宋体" w:cs="宋体"/>
          <w:spacing w:val="15"/>
          <w:sz w:val="24"/>
          <w:szCs w:val="24"/>
        </w:rPr>
        <w:t xml:space="preserve"> </w:t>
      </w:r>
      <w:r>
        <w:rPr>
          <w:rFonts w:ascii="宋体" w:hAnsi="宋体" w:eastAsia="宋体" w:cs="宋体"/>
          <w:spacing w:val="-5"/>
          <w:sz w:val="24"/>
          <w:szCs w:val="24"/>
        </w:rPr>
        <w:t>规定的资格要求或提供资格证明文件不全,将被视为未实质性响应招标</w:t>
      </w:r>
      <w:r>
        <w:rPr>
          <w:rFonts w:ascii="宋体" w:hAnsi="宋体" w:eastAsia="宋体" w:cs="宋体"/>
          <w:spacing w:val="-6"/>
          <w:sz w:val="24"/>
          <w:szCs w:val="24"/>
        </w:rPr>
        <w:t>文件。</w:t>
      </w:r>
    </w:p>
    <w:p>
      <w:pPr>
        <w:spacing w:before="243" w:line="343" w:lineRule="auto"/>
        <w:ind w:right="5" w:firstLine="3"/>
      </w:pPr>
      <w:r>
        <w:rPr>
          <w:rFonts w:ascii="宋体" w:hAnsi="宋体" w:eastAsia="宋体" w:cs="宋体"/>
          <w:spacing w:val="5"/>
          <w:sz w:val="24"/>
          <w:szCs w:val="24"/>
          <w14:textOutline w14:w="4336" w14:cap="sq" w14:cmpd="sng">
            <w14:solidFill>
              <w14:srgbClr w14:val="000000"/>
            </w14:solidFill>
            <w14:prstDash w14:val="solid"/>
            <w14:bevel/>
          </w14:textOutline>
        </w:rPr>
        <w:t>2.2</w:t>
      </w:r>
      <w:r>
        <w:rPr>
          <w:rFonts w:ascii="宋体" w:hAnsi="宋体" w:eastAsia="宋体" w:cs="宋体"/>
          <w:spacing w:val="37"/>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符合性审查。</w:t>
      </w:r>
      <w:r>
        <w:rPr>
          <w:rFonts w:ascii="宋体" w:hAnsi="宋体" w:eastAsia="宋体" w:cs="宋体"/>
          <w:spacing w:val="5"/>
          <w:sz w:val="24"/>
          <w:szCs w:val="24"/>
        </w:rPr>
        <w:t>评标委员会从投标文件的完整性、有效性和对招标</w:t>
      </w:r>
      <w:r>
        <w:rPr>
          <w:rFonts w:ascii="宋体" w:hAnsi="宋体" w:eastAsia="宋体" w:cs="宋体"/>
          <w:spacing w:val="4"/>
          <w:sz w:val="24"/>
          <w:szCs w:val="24"/>
        </w:rPr>
        <w:t>文件的响应程</w:t>
      </w:r>
      <w:r>
        <w:rPr>
          <w:rFonts w:ascii="宋体" w:hAnsi="宋体" w:eastAsia="宋体" w:cs="宋体"/>
          <w:sz w:val="24"/>
          <w:szCs w:val="24"/>
        </w:rPr>
        <w:t xml:space="preserve"> </w:t>
      </w:r>
      <w:r>
        <w:rPr>
          <w:rFonts w:ascii="宋体" w:hAnsi="宋体" w:eastAsia="宋体" w:cs="宋体"/>
          <w:spacing w:val="10"/>
          <w:sz w:val="24"/>
          <w:szCs w:val="24"/>
        </w:rPr>
        <w:t>度进行审查，以确定其是否对招标文件实质性内容作出响应。符合性审查按下表进</w:t>
      </w:r>
      <w:r>
        <w:rPr>
          <w:rFonts w:ascii="宋体" w:hAnsi="宋体" w:eastAsia="宋体" w:cs="宋体"/>
          <w:spacing w:val="9"/>
          <w:sz w:val="24"/>
          <w:szCs w:val="24"/>
        </w:rPr>
        <w:t xml:space="preserve"> </w:t>
      </w:r>
      <w:r>
        <w:rPr>
          <w:rFonts w:ascii="宋体" w:hAnsi="宋体" w:eastAsia="宋体" w:cs="宋体"/>
          <w:spacing w:val="-5"/>
          <w:sz w:val="24"/>
          <w:szCs w:val="24"/>
        </w:rPr>
        <w:t>行：</w:t>
      </w:r>
    </w:p>
    <w:tbl>
      <w:tblPr>
        <w:tblStyle w:val="89"/>
        <w:tblpPr w:leftFromText="180" w:rightFromText="180" w:vertAnchor="text" w:horzAnchor="page" w:tblpX="1438" w:tblpY="67"/>
        <w:tblOverlap w:val="never"/>
        <w:tblW w:w="92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3300"/>
        <w:gridCol w:w="4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25" w:type="dxa"/>
            <w:vMerge w:val="restart"/>
            <w:tcBorders>
              <w:bottom w:val="nil"/>
            </w:tcBorders>
            <w:vAlign w:val="top"/>
          </w:tcPr>
          <w:p>
            <w:pPr>
              <w:rPr>
                <w:rFonts w:ascii="Arial"/>
                <w:sz w:val="21"/>
              </w:rPr>
            </w:pPr>
          </w:p>
        </w:tc>
        <w:tc>
          <w:tcPr>
            <w:tcW w:w="3300" w:type="dxa"/>
            <w:vAlign w:val="top"/>
          </w:tcPr>
          <w:p>
            <w:pPr>
              <w:pStyle w:val="98"/>
              <w:spacing w:before="41" w:line="219" w:lineRule="auto"/>
              <w:ind w:left="1336"/>
            </w:pPr>
            <w:r>
              <w:rPr>
                <w:spacing w:val="-3"/>
              </w:rPr>
              <w:t>评审因素</w:t>
            </w:r>
          </w:p>
        </w:tc>
        <w:tc>
          <w:tcPr>
            <w:tcW w:w="4914" w:type="dxa"/>
            <w:vAlign w:val="top"/>
          </w:tcPr>
          <w:p>
            <w:pPr>
              <w:pStyle w:val="98"/>
              <w:spacing w:before="41" w:line="220" w:lineRule="auto"/>
              <w:ind w:left="2105"/>
            </w:pPr>
            <w:r>
              <w:rPr>
                <w:spacing w:val="-3"/>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5" w:type="dxa"/>
            <w:vMerge w:val="continue"/>
            <w:tcBorders>
              <w:top w:val="nil"/>
            </w:tcBorders>
            <w:vAlign w:val="top"/>
          </w:tcPr>
          <w:p>
            <w:pPr>
              <w:rPr>
                <w:rFonts w:ascii="Arial"/>
                <w:sz w:val="21"/>
              </w:rPr>
            </w:pPr>
          </w:p>
        </w:tc>
        <w:tc>
          <w:tcPr>
            <w:tcW w:w="3300" w:type="dxa"/>
            <w:vAlign w:val="top"/>
          </w:tcPr>
          <w:p>
            <w:pPr>
              <w:pStyle w:val="98"/>
              <w:spacing w:before="100" w:line="219" w:lineRule="auto"/>
              <w:ind w:left="124"/>
            </w:pPr>
            <w:r>
              <w:rPr>
                <w:spacing w:val="-3"/>
              </w:rPr>
              <w:t>（</w:t>
            </w:r>
            <w:r>
              <w:rPr>
                <w:rFonts w:ascii="Times New Roman" w:hAnsi="Times New Roman" w:eastAsia="Times New Roman" w:cs="Times New Roman"/>
                <w:spacing w:val="-3"/>
              </w:rPr>
              <w:t>1</w:t>
            </w:r>
            <w:r>
              <w:rPr>
                <w:spacing w:val="-3"/>
              </w:rPr>
              <w:t>）投标文件语言</w:t>
            </w:r>
          </w:p>
        </w:tc>
        <w:tc>
          <w:tcPr>
            <w:tcW w:w="4914" w:type="dxa"/>
            <w:vAlign w:val="top"/>
          </w:tcPr>
          <w:p>
            <w:pPr>
              <w:pStyle w:val="98"/>
              <w:spacing w:before="100" w:line="219" w:lineRule="auto"/>
              <w:ind w:left="597"/>
            </w:pPr>
            <w:r>
              <w:rPr>
                <w:spacing w:val="-1"/>
              </w:rPr>
              <w:t>投标文件语言符合招标文件要求。</w:t>
            </w:r>
          </w:p>
        </w:tc>
      </w:tr>
    </w:tbl>
    <w:tbl>
      <w:tblPr>
        <w:tblStyle w:val="89"/>
        <w:tblpPr w:leftFromText="180" w:rightFromText="180" w:vertAnchor="text" w:horzAnchor="page" w:tblpX="1454" w:tblpY="224"/>
        <w:tblOverlap w:val="never"/>
        <w:tblW w:w="9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8"/>
        <w:gridCol w:w="3278"/>
        <w:gridCol w:w="48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101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98"/>
              <w:spacing w:before="78" w:line="468" w:lineRule="exact"/>
              <w:ind w:left="117"/>
            </w:pPr>
            <w:r>
              <w:rPr>
                <w:spacing w:val="-4"/>
                <w:position w:val="17"/>
              </w:rPr>
              <w:t>符合性</w:t>
            </w:r>
          </w:p>
          <w:p>
            <w:pPr>
              <w:pStyle w:val="98"/>
              <w:spacing w:line="220" w:lineRule="auto"/>
              <w:ind w:left="128"/>
            </w:pPr>
            <w:r>
              <w:rPr>
                <w:spacing w:val="-11"/>
              </w:rPr>
              <w:t>审查</w:t>
            </w:r>
          </w:p>
        </w:tc>
        <w:tc>
          <w:tcPr>
            <w:tcW w:w="3278" w:type="dxa"/>
            <w:vAlign w:val="top"/>
          </w:tcPr>
          <w:p>
            <w:pPr>
              <w:pStyle w:val="98"/>
              <w:spacing w:before="40" w:line="359" w:lineRule="auto"/>
              <w:ind w:left="114" w:right="154" w:firstLine="10"/>
              <w:jc w:val="both"/>
            </w:pPr>
            <w:r>
              <w:rPr>
                <w:spacing w:val="-2"/>
              </w:rPr>
              <w:t>（</w:t>
            </w:r>
            <w:r>
              <w:rPr>
                <w:rFonts w:ascii="Times New Roman" w:hAnsi="Times New Roman" w:eastAsia="Times New Roman" w:cs="Times New Roman"/>
                <w:spacing w:val="-2"/>
              </w:rPr>
              <w:t>2</w:t>
            </w:r>
            <w:r>
              <w:rPr>
                <w:spacing w:val="-2"/>
              </w:rPr>
              <w:t>）  投标文件封面、投</w:t>
            </w:r>
            <w:r>
              <w:rPr>
                <w:spacing w:val="2"/>
              </w:rPr>
              <w:t xml:space="preserve">  </w:t>
            </w:r>
            <w:r>
              <w:rPr>
                <w:spacing w:val="-1"/>
              </w:rPr>
              <w:t>标函、法定代表人授权委托</w:t>
            </w:r>
            <w:r>
              <w:t xml:space="preserve"> </w:t>
            </w:r>
            <w:r>
              <w:rPr>
                <w:spacing w:val="-1"/>
              </w:rPr>
              <w:t>书三处的项目名称、项目编</w:t>
            </w:r>
          </w:p>
          <w:p>
            <w:pPr>
              <w:pStyle w:val="98"/>
              <w:spacing w:line="220" w:lineRule="auto"/>
              <w:ind w:left="119"/>
            </w:pPr>
            <w:r>
              <w:rPr>
                <w:spacing w:val="-4"/>
              </w:rPr>
              <w:t>号、标段</w:t>
            </w:r>
          </w:p>
        </w:tc>
        <w:tc>
          <w:tcPr>
            <w:tcW w:w="4882" w:type="dxa"/>
            <w:vAlign w:val="top"/>
          </w:tcPr>
          <w:p>
            <w:pPr>
              <w:spacing w:line="426" w:lineRule="auto"/>
              <w:rPr>
                <w:rFonts w:ascii="Arial"/>
                <w:sz w:val="21"/>
              </w:rPr>
            </w:pPr>
          </w:p>
          <w:p>
            <w:pPr>
              <w:pStyle w:val="98"/>
              <w:spacing w:before="78" w:line="465" w:lineRule="exact"/>
              <w:ind w:left="594"/>
            </w:pPr>
            <w:r>
              <w:rPr>
                <w:spacing w:val="-1"/>
                <w:position w:val="17"/>
              </w:rPr>
              <w:t>三处均无遗漏，且与所投项目名称、</w:t>
            </w:r>
          </w:p>
          <w:p>
            <w:pPr>
              <w:pStyle w:val="98"/>
              <w:spacing w:line="219" w:lineRule="auto"/>
              <w:ind w:left="118"/>
            </w:pPr>
            <w:r>
              <w:rPr>
                <w:spacing w:val="-2"/>
              </w:rPr>
              <w:t>项目编号、标段完全一致。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18" w:type="dxa"/>
            <w:vMerge w:val="continue"/>
            <w:tcBorders>
              <w:top w:val="nil"/>
              <w:bottom w:val="nil"/>
            </w:tcBorders>
            <w:vAlign w:val="top"/>
          </w:tcPr>
          <w:p>
            <w:pPr>
              <w:rPr>
                <w:rFonts w:ascii="Arial"/>
                <w:sz w:val="21"/>
              </w:rPr>
            </w:pPr>
          </w:p>
        </w:tc>
        <w:tc>
          <w:tcPr>
            <w:tcW w:w="3278" w:type="dxa"/>
            <w:vAlign w:val="top"/>
          </w:tcPr>
          <w:p>
            <w:pPr>
              <w:pStyle w:val="98"/>
              <w:spacing w:before="37" w:line="219" w:lineRule="auto"/>
              <w:ind w:left="124"/>
            </w:pPr>
            <w:r>
              <w:rPr>
                <w:spacing w:val="-2"/>
              </w:rPr>
              <w:t>（</w:t>
            </w:r>
            <w:r>
              <w:rPr>
                <w:rFonts w:ascii="Times New Roman" w:hAnsi="Times New Roman" w:eastAsia="Times New Roman" w:cs="Times New Roman"/>
                <w:spacing w:val="-2"/>
              </w:rPr>
              <w:t>3</w:t>
            </w:r>
            <w:r>
              <w:rPr>
                <w:spacing w:val="-2"/>
              </w:rPr>
              <w:t>）投标文件签署、盖章</w:t>
            </w:r>
          </w:p>
        </w:tc>
        <w:tc>
          <w:tcPr>
            <w:tcW w:w="4882" w:type="dxa"/>
            <w:vAlign w:val="top"/>
          </w:tcPr>
          <w:p>
            <w:pPr>
              <w:pStyle w:val="98"/>
              <w:spacing w:before="37" w:line="219" w:lineRule="auto"/>
              <w:ind w:left="595"/>
            </w:pPr>
            <w:r>
              <w:rPr>
                <w:spacing w:val="-2"/>
              </w:rPr>
              <w:t>均按招标文件要求盖章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018" w:type="dxa"/>
            <w:vMerge w:val="continue"/>
            <w:tcBorders>
              <w:top w:val="nil"/>
              <w:bottom w:val="nil"/>
            </w:tcBorders>
            <w:vAlign w:val="top"/>
          </w:tcPr>
          <w:p>
            <w:pPr>
              <w:rPr>
                <w:rFonts w:ascii="Arial"/>
                <w:sz w:val="21"/>
              </w:rPr>
            </w:pPr>
          </w:p>
        </w:tc>
        <w:tc>
          <w:tcPr>
            <w:tcW w:w="3278" w:type="dxa"/>
            <w:vAlign w:val="top"/>
          </w:tcPr>
          <w:p>
            <w:pPr>
              <w:spacing w:line="420" w:lineRule="auto"/>
              <w:rPr>
                <w:rFonts w:ascii="Arial"/>
                <w:sz w:val="21"/>
              </w:rPr>
            </w:pPr>
          </w:p>
          <w:p>
            <w:pPr>
              <w:pStyle w:val="98"/>
              <w:spacing w:before="78" w:line="219" w:lineRule="auto"/>
              <w:ind w:left="124"/>
            </w:pPr>
            <w:r>
              <w:rPr>
                <w:spacing w:val="-3"/>
              </w:rPr>
              <w:t>（</w:t>
            </w:r>
            <w:r>
              <w:rPr>
                <w:rFonts w:ascii="Times New Roman" w:hAnsi="Times New Roman" w:eastAsia="Times New Roman" w:cs="Times New Roman"/>
                <w:spacing w:val="-3"/>
              </w:rPr>
              <w:t>4</w:t>
            </w:r>
            <w:r>
              <w:rPr>
                <w:spacing w:val="-3"/>
              </w:rPr>
              <w:t>）投标文件组成</w:t>
            </w:r>
          </w:p>
        </w:tc>
        <w:tc>
          <w:tcPr>
            <w:tcW w:w="4882" w:type="dxa"/>
            <w:vAlign w:val="top"/>
          </w:tcPr>
          <w:p>
            <w:pPr>
              <w:pStyle w:val="98"/>
              <w:spacing w:before="35" w:line="359" w:lineRule="auto"/>
              <w:ind w:left="136" w:right="130" w:hanging="19"/>
            </w:pPr>
            <w:r>
              <w:rPr>
                <w:spacing w:val="1"/>
              </w:rPr>
              <w:t>投标文件应包含以下内容</w:t>
            </w:r>
            <w:r>
              <w:rPr>
                <w:spacing w:val="-15"/>
              </w:rPr>
              <w:t>：</w:t>
            </w:r>
            <w:r>
              <w:rPr>
                <w:spacing w:val="-60"/>
              </w:rPr>
              <w:t xml:space="preserve"> </w:t>
            </w:r>
            <w:r>
              <w:rPr>
                <w:spacing w:val="-15"/>
              </w:rPr>
              <w:t>（</w:t>
            </w:r>
            <w:r>
              <w:rPr>
                <w:rFonts w:ascii="Times New Roman" w:hAnsi="Times New Roman" w:eastAsia="Times New Roman" w:cs="Times New Roman"/>
                <w:spacing w:val="1"/>
              </w:rPr>
              <w:t>1</w:t>
            </w:r>
            <w:r>
              <w:rPr>
                <w:spacing w:val="1"/>
              </w:rPr>
              <w:t>）资格证</w:t>
            </w:r>
            <w:r>
              <w:t xml:space="preserve">  </w:t>
            </w:r>
            <w:r>
              <w:rPr>
                <w:spacing w:val="2"/>
              </w:rPr>
              <w:t>明文件</w:t>
            </w:r>
            <w:r>
              <w:rPr>
                <w:spacing w:val="-16"/>
              </w:rPr>
              <w:t>；</w:t>
            </w:r>
            <w:r>
              <w:rPr>
                <w:spacing w:val="-59"/>
              </w:rPr>
              <w:t xml:space="preserve"> </w:t>
            </w:r>
            <w:r>
              <w:rPr>
                <w:spacing w:val="-16"/>
              </w:rPr>
              <w:t>（</w:t>
            </w:r>
            <w:r>
              <w:rPr>
                <w:rFonts w:ascii="Times New Roman" w:hAnsi="Times New Roman" w:eastAsia="Times New Roman" w:cs="Times New Roman"/>
                <w:spacing w:val="2"/>
              </w:rPr>
              <w:t>2</w:t>
            </w:r>
            <w:r>
              <w:rPr>
                <w:spacing w:val="2"/>
              </w:rPr>
              <w:t>）符合性证明文件</w:t>
            </w:r>
            <w:r>
              <w:rPr>
                <w:spacing w:val="-16"/>
              </w:rPr>
              <w:t>；</w:t>
            </w:r>
            <w:r>
              <w:rPr>
                <w:spacing w:val="-60"/>
              </w:rPr>
              <w:t xml:space="preserve"> </w:t>
            </w:r>
            <w:r>
              <w:rPr>
                <w:spacing w:val="-16"/>
              </w:rPr>
              <w:t>（</w:t>
            </w:r>
            <w:r>
              <w:rPr>
                <w:rFonts w:ascii="Times New Roman" w:hAnsi="Times New Roman" w:eastAsia="Times New Roman" w:cs="Times New Roman"/>
                <w:spacing w:val="2"/>
              </w:rPr>
              <w:t>3</w:t>
            </w:r>
            <w:r>
              <w:rPr>
                <w:spacing w:val="2"/>
              </w:rPr>
              <w:t>）投</w:t>
            </w:r>
          </w:p>
          <w:p>
            <w:pPr>
              <w:pStyle w:val="98"/>
              <w:spacing w:line="220" w:lineRule="auto"/>
              <w:ind w:left="115"/>
            </w:pPr>
            <w:r>
              <w:rPr>
                <w:spacing w:val="-3"/>
              </w:rPr>
              <w:t>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18" w:type="dxa"/>
            <w:vMerge w:val="continue"/>
            <w:tcBorders>
              <w:top w:val="nil"/>
              <w:bottom w:val="nil"/>
            </w:tcBorders>
            <w:vAlign w:val="top"/>
          </w:tcPr>
          <w:p>
            <w:pPr>
              <w:rPr>
                <w:rFonts w:ascii="Arial"/>
                <w:sz w:val="21"/>
              </w:rPr>
            </w:pPr>
          </w:p>
        </w:tc>
        <w:tc>
          <w:tcPr>
            <w:tcW w:w="3278" w:type="dxa"/>
            <w:vAlign w:val="top"/>
          </w:tcPr>
          <w:p>
            <w:pPr>
              <w:pStyle w:val="98"/>
              <w:spacing w:before="37" w:line="220" w:lineRule="auto"/>
              <w:ind w:left="124"/>
            </w:pPr>
            <w:r>
              <w:rPr>
                <w:spacing w:val="-3"/>
              </w:rPr>
              <w:t>（</w:t>
            </w:r>
            <w:r>
              <w:rPr>
                <w:rFonts w:ascii="Times New Roman" w:hAnsi="Times New Roman" w:eastAsia="Times New Roman" w:cs="Times New Roman"/>
                <w:spacing w:val="-3"/>
              </w:rPr>
              <w:t>5</w:t>
            </w:r>
            <w:r>
              <w:rPr>
                <w:spacing w:val="-3"/>
              </w:rPr>
              <w:t>）投标有效期</w:t>
            </w:r>
          </w:p>
        </w:tc>
        <w:tc>
          <w:tcPr>
            <w:tcW w:w="4882" w:type="dxa"/>
            <w:vAlign w:val="top"/>
          </w:tcPr>
          <w:p>
            <w:pPr>
              <w:pStyle w:val="98"/>
              <w:spacing w:before="37" w:line="219" w:lineRule="auto"/>
              <w:ind w:left="117"/>
            </w:pPr>
            <w:r>
              <w:rPr>
                <w:spacing w:val="-1"/>
              </w:rPr>
              <w:t>投标有效期符合招标文件的要求。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1018" w:type="dxa"/>
            <w:vMerge w:val="continue"/>
            <w:tcBorders>
              <w:top w:val="nil"/>
              <w:bottom w:val="nil"/>
            </w:tcBorders>
            <w:vAlign w:val="top"/>
          </w:tcPr>
          <w:p>
            <w:pPr>
              <w:rPr>
                <w:rFonts w:ascii="Arial"/>
                <w:sz w:val="21"/>
              </w:rPr>
            </w:pPr>
          </w:p>
        </w:tc>
        <w:tc>
          <w:tcPr>
            <w:tcW w:w="3278" w:type="dxa"/>
            <w:vAlign w:val="top"/>
          </w:tcPr>
          <w:p>
            <w:pPr>
              <w:spacing w:line="328" w:lineRule="auto"/>
              <w:rPr>
                <w:rFonts w:ascii="Arial"/>
                <w:sz w:val="21"/>
              </w:rPr>
            </w:pPr>
          </w:p>
          <w:p>
            <w:pPr>
              <w:spacing w:line="328" w:lineRule="auto"/>
              <w:rPr>
                <w:rFonts w:ascii="Arial"/>
                <w:sz w:val="21"/>
              </w:rPr>
            </w:pPr>
          </w:p>
          <w:p>
            <w:pPr>
              <w:pStyle w:val="98"/>
              <w:spacing w:before="78" w:line="220" w:lineRule="auto"/>
              <w:ind w:left="124"/>
            </w:pPr>
            <w:r>
              <w:rPr>
                <w:spacing w:val="-3"/>
              </w:rPr>
              <w:t>（</w:t>
            </w:r>
            <w:r>
              <w:rPr>
                <w:rFonts w:ascii="Times New Roman" w:hAnsi="Times New Roman" w:eastAsia="Times New Roman" w:cs="Times New Roman"/>
                <w:spacing w:val="-3"/>
              </w:rPr>
              <w:t>6</w:t>
            </w:r>
            <w:r>
              <w:rPr>
                <w:spacing w:val="-3"/>
              </w:rPr>
              <w:t>）开标一览表</w:t>
            </w:r>
          </w:p>
        </w:tc>
        <w:tc>
          <w:tcPr>
            <w:tcW w:w="4882" w:type="dxa"/>
            <w:vAlign w:val="top"/>
          </w:tcPr>
          <w:p>
            <w:pPr>
              <w:pStyle w:val="98"/>
              <w:spacing w:before="38" w:line="465" w:lineRule="exact"/>
              <w:ind w:left="125"/>
            </w:pPr>
            <w:r>
              <w:rPr>
                <w:spacing w:val="-2"/>
                <w:position w:val="17"/>
              </w:rPr>
              <w:t>（</w:t>
            </w:r>
            <w:r>
              <w:rPr>
                <w:rFonts w:ascii="Times New Roman" w:hAnsi="Times New Roman" w:eastAsia="Times New Roman" w:cs="Times New Roman"/>
                <w:spacing w:val="-2"/>
                <w:position w:val="17"/>
              </w:rPr>
              <w:t>1</w:t>
            </w:r>
            <w:r>
              <w:rPr>
                <w:spacing w:val="-2"/>
                <w:position w:val="17"/>
              </w:rPr>
              <w:t>）投标报价符合唯一性要求：</w:t>
            </w:r>
          </w:p>
          <w:p>
            <w:pPr>
              <w:pStyle w:val="98"/>
              <w:spacing w:line="219" w:lineRule="auto"/>
              <w:ind w:left="125"/>
            </w:pPr>
            <w:r>
              <w:rPr>
                <w:spacing w:val="-2"/>
              </w:rPr>
              <w:t>（</w:t>
            </w:r>
            <w:r>
              <w:rPr>
                <w:rFonts w:ascii="Times New Roman" w:hAnsi="Times New Roman" w:eastAsia="Times New Roman" w:cs="Times New Roman"/>
                <w:spacing w:val="-2"/>
              </w:rPr>
              <w:t>2</w:t>
            </w:r>
            <w:r>
              <w:rPr>
                <w:spacing w:val="-2"/>
              </w:rPr>
              <w:t>）开标一览表填写符合要求；</w:t>
            </w:r>
          </w:p>
          <w:p>
            <w:pPr>
              <w:pStyle w:val="98"/>
              <w:spacing w:before="182" w:line="466" w:lineRule="exact"/>
              <w:ind w:left="125"/>
            </w:pPr>
            <w:r>
              <w:rPr>
                <w:spacing w:val="-2"/>
                <w:position w:val="17"/>
              </w:rPr>
              <w:t>（</w:t>
            </w:r>
            <w:r>
              <w:rPr>
                <w:rFonts w:ascii="Times New Roman" w:hAnsi="Times New Roman" w:eastAsia="Times New Roman" w:cs="Times New Roman"/>
                <w:spacing w:val="-2"/>
                <w:position w:val="17"/>
              </w:rPr>
              <w:t>3</w:t>
            </w:r>
            <w:r>
              <w:rPr>
                <w:spacing w:val="-2"/>
                <w:position w:val="17"/>
              </w:rPr>
              <w:t>）计量单位、报价货币均符合招标文件</w:t>
            </w:r>
          </w:p>
          <w:p>
            <w:pPr>
              <w:pStyle w:val="98"/>
              <w:spacing w:before="1" w:line="220" w:lineRule="auto"/>
              <w:ind w:left="115"/>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018" w:type="dxa"/>
            <w:vMerge w:val="continue"/>
            <w:tcBorders>
              <w:top w:val="nil"/>
              <w:bottom w:val="nil"/>
            </w:tcBorders>
            <w:vAlign w:val="top"/>
          </w:tcPr>
          <w:p>
            <w:pPr>
              <w:rPr>
                <w:rFonts w:ascii="Arial"/>
                <w:sz w:val="21"/>
              </w:rPr>
            </w:pPr>
          </w:p>
        </w:tc>
        <w:tc>
          <w:tcPr>
            <w:tcW w:w="3278" w:type="dxa"/>
            <w:vAlign w:val="top"/>
          </w:tcPr>
          <w:p>
            <w:pPr>
              <w:pStyle w:val="98"/>
              <w:spacing w:before="270" w:line="466" w:lineRule="exact"/>
              <w:ind w:left="124"/>
            </w:pPr>
            <w:r>
              <w:rPr>
                <w:spacing w:val="-2"/>
                <w:position w:val="17"/>
              </w:rPr>
              <w:t>（</w:t>
            </w:r>
            <w:r>
              <w:rPr>
                <w:rFonts w:ascii="Times New Roman" w:hAnsi="Times New Roman" w:eastAsia="Times New Roman" w:cs="Times New Roman"/>
                <w:spacing w:val="-2"/>
                <w:position w:val="17"/>
              </w:rPr>
              <w:t>7</w:t>
            </w:r>
            <w:r>
              <w:rPr>
                <w:spacing w:val="-2"/>
                <w:position w:val="17"/>
              </w:rPr>
              <w:t>）无其他招标文件或法</w:t>
            </w:r>
          </w:p>
          <w:p>
            <w:pPr>
              <w:pStyle w:val="98"/>
              <w:spacing w:line="219" w:lineRule="auto"/>
              <w:ind w:left="114"/>
            </w:pPr>
            <w:r>
              <w:rPr>
                <w:spacing w:val="-1"/>
              </w:rPr>
              <w:t>规明确规定响应无效的事项</w:t>
            </w:r>
          </w:p>
        </w:tc>
        <w:tc>
          <w:tcPr>
            <w:tcW w:w="4882" w:type="dxa"/>
            <w:vAlign w:val="top"/>
          </w:tcPr>
          <w:p>
            <w:pPr>
              <w:pStyle w:val="98"/>
              <w:spacing w:before="38" w:line="359" w:lineRule="auto"/>
              <w:ind w:left="119" w:right="250" w:hanging="3"/>
              <w:jc w:val="both"/>
            </w:pPr>
            <w:r>
              <w:rPr>
                <w:spacing w:val="-1"/>
              </w:rPr>
              <w:t>完全理解并接受对投标人的各项须知、规</w:t>
            </w:r>
            <w:r>
              <w:rPr>
                <w:spacing w:val="5"/>
              </w:rPr>
              <w:t xml:space="preserve"> </w:t>
            </w:r>
            <w:r>
              <w:rPr>
                <w:spacing w:val="-1"/>
              </w:rPr>
              <w:t>约要求和责任义务，没有不符合招标文件</w:t>
            </w:r>
          </w:p>
          <w:p>
            <w:pPr>
              <w:pStyle w:val="98"/>
              <w:spacing w:line="219" w:lineRule="auto"/>
              <w:ind w:left="115"/>
            </w:pPr>
            <w:r>
              <w:rPr>
                <w:spacing w:val="-1"/>
              </w:rPr>
              <w:t>规定的被视为无效投标的其他条款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18" w:type="dxa"/>
            <w:vMerge w:val="continue"/>
            <w:tcBorders>
              <w:top w:val="nil"/>
            </w:tcBorders>
            <w:vAlign w:val="top"/>
          </w:tcPr>
          <w:p>
            <w:pPr>
              <w:rPr>
                <w:rFonts w:ascii="Arial"/>
                <w:sz w:val="21"/>
              </w:rPr>
            </w:pPr>
          </w:p>
        </w:tc>
        <w:tc>
          <w:tcPr>
            <w:tcW w:w="3278" w:type="dxa"/>
            <w:vAlign w:val="top"/>
          </w:tcPr>
          <w:p>
            <w:pPr>
              <w:pStyle w:val="98"/>
              <w:spacing w:before="273" w:line="219" w:lineRule="auto"/>
              <w:ind w:left="124"/>
            </w:pPr>
            <w:r>
              <w:rPr>
                <w:spacing w:val="-3"/>
              </w:rPr>
              <w:t>（</w:t>
            </w:r>
            <w:r>
              <w:rPr>
                <w:rFonts w:ascii="Times New Roman" w:hAnsi="Times New Roman" w:eastAsia="Times New Roman" w:cs="Times New Roman"/>
                <w:spacing w:val="-3"/>
              </w:rPr>
              <w:t>8</w:t>
            </w:r>
            <w:r>
              <w:rPr>
                <w:spacing w:val="-3"/>
              </w:rPr>
              <w:t>）合同条款</w:t>
            </w:r>
          </w:p>
        </w:tc>
        <w:tc>
          <w:tcPr>
            <w:tcW w:w="4882" w:type="dxa"/>
            <w:vAlign w:val="top"/>
          </w:tcPr>
          <w:p>
            <w:pPr>
              <w:pStyle w:val="98"/>
              <w:spacing w:before="40" w:line="465" w:lineRule="exact"/>
              <w:ind w:left="116"/>
            </w:pPr>
            <w:r>
              <w:rPr>
                <w:spacing w:val="-1"/>
                <w:position w:val="17"/>
              </w:rPr>
              <w:t>完全理解并接受招标文件合同基本条款的</w:t>
            </w:r>
          </w:p>
          <w:p>
            <w:pPr>
              <w:pStyle w:val="98"/>
              <w:spacing w:before="1" w:line="220" w:lineRule="auto"/>
              <w:ind w:left="115"/>
            </w:pPr>
            <w:r>
              <w:rPr>
                <w:spacing w:val="-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1018" w:type="dxa"/>
            <w:vAlign w:val="top"/>
          </w:tcPr>
          <w:p>
            <w:pPr>
              <w:rPr>
                <w:rFonts w:ascii="Arial"/>
                <w:sz w:val="21"/>
              </w:rPr>
            </w:pPr>
          </w:p>
        </w:tc>
        <w:tc>
          <w:tcPr>
            <w:tcW w:w="3278" w:type="dxa"/>
            <w:vAlign w:val="top"/>
          </w:tcPr>
          <w:p>
            <w:pPr>
              <w:pStyle w:val="98"/>
              <w:spacing w:before="273" w:line="465" w:lineRule="exact"/>
              <w:ind w:left="113"/>
            </w:pPr>
            <w:r>
              <w:rPr>
                <w:rFonts w:ascii="Times New Roman" w:hAnsi="Times New Roman" w:eastAsia="Times New Roman" w:cs="Times New Roman"/>
                <w:spacing w:val="-1"/>
                <w:position w:val="17"/>
              </w:rPr>
              <w:t>(9)</w:t>
            </w:r>
            <w:r>
              <w:rPr>
                <w:spacing w:val="-1"/>
                <w:position w:val="17"/>
              </w:rPr>
              <w:t>本项目专门面向小微企业</w:t>
            </w:r>
          </w:p>
          <w:p>
            <w:pPr>
              <w:pStyle w:val="98"/>
              <w:spacing w:line="218" w:lineRule="auto"/>
              <w:ind w:left="112"/>
            </w:pPr>
            <w:r>
              <w:rPr>
                <w:spacing w:val="-5"/>
              </w:rPr>
              <w:t>采购</w:t>
            </w:r>
          </w:p>
        </w:tc>
        <w:tc>
          <w:tcPr>
            <w:tcW w:w="4882" w:type="dxa"/>
            <w:vAlign w:val="top"/>
          </w:tcPr>
          <w:p>
            <w:pPr>
              <w:pStyle w:val="98"/>
              <w:spacing w:before="40" w:line="359" w:lineRule="auto"/>
              <w:ind w:left="113" w:right="250" w:firstLine="2"/>
              <w:jc w:val="both"/>
            </w:pPr>
            <w:r>
              <w:rPr>
                <w:spacing w:val="-1"/>
              </w:rPr>
              <w:t>按格式提供提供中小企业声明函或残疾人</w:t>
            </w:r>
            <w:r>
              <w:rPr>
                <w:spacing w:val="5"/>
              </w:rPr>
              <w:t xml:space="preserve"> </w:t>
            </w:r>
            <w:r>
              <w:rPr>
                <w:spacing w:val="-1"/>
              </w:rPr>
              <w:t>福利性单位声明函或监狱、戒毒企业声明</w:t>
            </w:r>
          </w:p>
          <w:p>
            <w:pPr>
              <w:pStyle w:val="98"/>
              <w:spacing w:before="1" w:line="220" w:lineRule="auto"/>
              <w:ind w:left="130"/>
            </w:pPr>
            <w:r>
              <w:t>函</w:t>
            </w:r>
          </w:p>
        </w:tc>
      </w:tr>
    </w:tbl>
    <w:p>
      <w:pPr>
        <w:spacing w:before="29"/>
      </w:pPr>
    </w:p>
    <w:p>
      <w:pPr>
        <w:pStyle w:val="2"/>
      </w:pPr>
    </w:p>
    <w:p>
      <w:pPr>
        <w:sectPr>
          <w:footerReference r:id="rId10" w:type="default"/>
          <w:pgSz w:w="11910" w:h="16840"/>
          <w:pgMar w:top="1403" w:right="1458" w:bottom="983" w:left="1429" w:header="0" w:footer="769" w:gutter="0"/>
          <w:cols w:space="720" w:num="1"/>
        </w:sectPr>
      </w:pPr>
    </w:p>
    <w:p>
      <w:pPr>
        <w:spacing w:before="269" w:line="219" w:lineRule="auto"/>
        <w:ind w:left="3"/>
        <w:outlineLvl w:val="3"/>
        <w:rPr>
          <w:rFonts w:ascii="宋体" w:hAnsi="宋体" w:eastAsia="宋体" w:cs="宋体"/>
          <w:sz w:val="24"/>
          <w:szCs w:val="24"/>
        </w:rPr>
      </w:pPr>
      <w:r>
        <w:rPr>
          <w:rFonts w:ascii="宋体" w:hAnsi="宋体" w:eastAsia="宋体" w:cs="宋体"/>
          <w:spacing w:val="-1"/>
          <w:sz w:val="24"/>
          <w:szCs w:val="24"/>
          <w14:textOutline w14:w="4336" w14:cap="sq" w14:cmpd="sng">
            <w14:solidFill>
              <w14:srgbClr w14:val="000000"/>
            </w14:solidFill>
            <w14:prstDash w14:val="solid"/>
            <w14:bevel/>
          </w14:textOutline>
        </w:rPr>
        <w:t>2.3</w:t>
      </w:r>
      <w:r>
        <w:rPr>
          <w:rFonts w:ascii="宋体" w:hAnsi="宋体" w:eastAsia="宋体" w:cs="宋体"/>
          <w:spacing w:val="36"/>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在资格性、符合性审查时未通过的，不得进入评审环节。</w:t>
      </w:r>
    </w:p>
    <w:p>
      <w:pPr>
        <w:pStyle w:val="2"/>
        <w:spacing w:line="247" w:lineRule="auto"/>
      </w:pPr>
    </w:p>
    <w:p>
      <w:pPr>
        <w:spacing w:before="78" w:line="219" w:lineRule="auto"/>
        <w:ind w:left="5"/>
        <w:outlineLvl w:val="3"/>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3.投标文件的澄清</w:t>
      </w:r>
    </w:p>
    <w:p>
      <w:pPr>
        <w:pStyle w:val="2"/>
        <w:spacing w:line="309" w:lineRule="auto"/>
      </w:pPr>
    </w:p>
    <w:p>
      <w:pPr>
        <w:spacing w:before="78" w:line="387" w:lineRule="auto"/>
        <w:ind w:firstLine="5"/>
        <w:jc w:val="both"/>
        <w:rPr>
          <w:rFonts w:ascii="宋体" w:hAnsi="宋体" w:eastAsia="宋体" w:cs="宋体"/>
          <w:sz w:val="24"/>
          <w:szCs w:val="24"/>
        </w:rPr>
      </w:pPr>
      <w:r>
        <w:rPr>
          <w:rFonts w:ascii="宋体" w:hAnsi="宋体" w:eastAsia="宋体" w:cs="宋体"/>
          <w:spacing w:val="5"/>
          <w:sz w:val="24"/>
          <w:szCs w:val="24"/>
        </w:rPr>
        <w:t>3.1</w:t>
      </w:r>
      <w:r>
        <w:rPr>
          <w:rFonts w:ascii="宋体" w:hAnsi="宋体" w:eastAsia="宋体" w:cs="宋体"/>
          <w:spacing w:val="36"/>
          <w:sz w:val="24"/>
          <w:szCs w:val="24"/>
        </w:rPr>
        <w:t xml:space="preserve">  </w:t>
      </w:r>
      <w:r>
        <w:rPr>
          <w:rFonts w:ascii="宋体" w:hAnsi="宋体" w:eastAsia="宋体" w:cs="宋体"/>
          <w:spacing w:val="5"/>
          <w:sz w:val="24"/>
          <w:szCs w:val="24"/>
        </w:rPr>
        <w:t>为有助于投标文件的审查、比较和评价，评标</w:t>
      </w:r>
      <w:r>
        <w:rPr>
          <w:rFonts w:ascii="宋体" w:hAnsi="宋体" w:eastAsia="宋体" w:cs="宋体"/>
          <w:spacing w:val="4"/>
          <w:sz w:val="24"/>
          <w:szCs w:val="24"/>
        </w:rPr>
        <w:t>委员会可要求投标人对其投标文</w:t>
      </w:r>
      <w:r>
        <w:rPr>
          <w:rFonts w:ascii="宋体" w:hAnsi="宋体" w:eastAsia="宋体" w:cs="宋体"/>
          <w:spacing w:val="1"/>
          <w:sz w:val="24"/>
          <w:szCs w:val="24"/>
        </w:rPr>
        <w:t xml:space="preserve"> </w:t>
      </w:r>
      <w:r>
        <w:rPr>
          <w:rFonts w:ascii="宋体" w:hAnsi="宋体" w:eastAsia="宋体" w:cs="宋体"/>
          <w:spacing w:val="4"/>
          <w:sz w:val="24"/>
          <w:szCs w:val="24"/>
        </w:rPr>
        <w:t>件中非实质性（投标文件中含义不明确、同类问题表</w:t>
      </w:r>
      <w:r>
        <w:rPr>
          <w:rFonts w:ascii="宋体" w:hAnsi="宋体" w:eastAsia="宋体" w:cs="宋体"/>
          <w:spacing w:val="3"/>
          <w:sz w:val="24"/>
          <w:szCs w:val="24"/>
        </w:rPr>
        <w:t>述不一致或者有明显文字和计算</w:t>
      </w:r>
      <w:r>
        <w:rPr>
          <w:rFonts w:ascii="宋体" w:hAnsi="宋体" w:eastAsia="宋体" w:cs="宋体"/>
          <w:sz w:val="24"/>
          <w:szCs w:val="24"/>
        </w:rPr>
        <w:t xml:space="preserve"> </w:t>
      </w:r>
      <w:r>
        <w:rPr>
          <w:rFonts w:ascii="宋体" w:hAnsi="宋体" w:eastAsia="宋体" w:cs="宋体"/>
          <w:spacing w:val="-3"/>
          <w:sz w:val="24"/>
          <w:szCs w:val="24"/>
        </w:rPr>
        <w:t>错误的内容）的有关问题进行澄清、说明或者补正。有关澄清、说明或者补正的要求和</w:t>
      </w:r>
      <w:r>
        <w:rPr>
          <w:rFonts w:ascii="宋体" w:hAnsi="宋体" w:eastAsia="宋体" w:cs="宋体"/>
          <w:spacing w:val="8"/>
          <w:sz w:val="24"/>
          <w:szCs w:val="24"/>
        </w:rPr>
        <w:t xml:space="preserve"> </w:t>
      </w:r>
      <w:r>
        <w:rPr>
          <w:rFonts w:ascii="宋体" w:hAnsi="宋体" w:eastAsia="宋体" w:cs="宋体"/>
          <w:spacing w:val="-3"/>
          <w:sz w:val="24"/>
          <w:szCs w:val="24"/>
        </w:rPr>
        <w:t>答复应以书面形式提交，并由其法定代表人或授权代表签字。投标人的澄清、说明或者</w:t>
      </w:r>
      <w:r>
        <w:rPr>
          <w:rFonts w:ascii="宋体" w:hAnsi="宋体" w:eastAsia="宋体" w:cs="宋体"/>
          <w:spacing w:val="8"/>
          <w:sz w:val="24"/>
          <w:szCs w:val="24"/>
        </w:rPr>
        <w:t xml:space="preserve"> </w:t>
      </w:r>
      <w:r>
        <w:rPr>
          <w:rFonts w:ascii="宋体" w:hAnsi="宋体" w:eastAsia="宋体" w:cs="宋体"/>
          <w:spacing w:val="4"/>
          <w:sz w:val="24"/>
          <w:szCs w:val="24"/>
        </w:rPr>
        <w:t>补正不得超出投标文件的范围或者改变投标文件</w:t>
      </w:r>
      <w:r>
        <w:rPr>
          <w:rFonts w:ascii="宋体" w:hAnsi="宋体" w:eastAsia="宋体" w:cs="宋体"/>
          <w:spacing w:val="3"/>
          <w:sz w:val="24"/>
          <w:szCs w:val="24"/>
        </w:rPr>
        <w:t>的实质性内容。评标委员会不接受投</w:t>
      </w:r>
    </w:p>
    <w:p>
      <w:pPr>
        <w:spacing w:line="219" w:lineRule="auto"/>
        <w:ind w:left="1"/>
        <w:rPr>
          <w:rFonts w:ascii="宋体" w:hAnsi="宋体" w:eastAsia="宋体" w:cs="宋体"/>
          <w:spacing w:val="-2"/>
          <w:sz w:val="24"/>
          <w:szCs w:val="24"/>
        </w:rPr>
      </w:pPr>
      <w:r>
        <w:rPr>
          <w:rFonts w:ascii="宋体" w:hAnsi="宋体" w:eastAsia="宋体" w:cs="宋体"/>
          <w:spacing w:val="-2"/>
          <w:sz w:val="24"/>
          <w:szCs w:val="24"/>
        </w:rPr>
        <w:t>标人主动提出的澄清、说明。</w:t>
      </w:r>
    </w:p>
    <w:p>
      <w:pPr>
        <w:tabs>
          <w:tab w:val="left" w:pos="2281"/>
        </w:tabs>
        <w:bidi w:val="0"/>
        <w:jc w:val="left"/>
        <w:rPr>
          <w:lang w:val="en-US" w:eastAsia="zh-CN"/>
        </w:rPr>
      </w:pPr>
    </w:p>
    <w:p>
      <w:pPr>
        <w:spacing w:before="47" w:line="219" w:lineRule="auto"/>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0"/>
          <w:sz w:val="24"/>
          <w:szCs w:val="24"/>
        </w:rPr>
        <w:t xml:space="preserve">  </w:t>
      </w:r>
      <w:r>
        <w:rPr>
          <w:rFonts w:ascii="宋体" w:hAnsi="宋体" w:eastAsia="宋体" w:cs="宋体"/>
          <w:spacing w:val="-1"/>
          <w:sz w:val="24"/>
          <w:szCs w:val="24"/>
        </w:rPr>
        <w:t>有效的书面澄清材料，是投标文件的补充材料，成为投标文件的组成部分。</w:t>
      </w:r>
    </w:p>
    <w:p>
      <w:pPr>
        <w:pStyle w:val="2"/>
        <w:spacing w:line="288" w:lineRule="auto"/>
      </w:pPr>
    </w:p>
    <w:p>
      <w:pPr>
        <w:spacing w:before="78" w:line="466" w:lineRule="auto"/>
        <w:ind w:left="2" w:firstLine="3"/>
        <w:rPr>
          <w:rFonts w:ascii="宋体" w:hAnsi="宋体" w:eastAsia="宋体" w:cs="宋体"/>
          <w:sz w:val="24"/>
          <w:szCs w:val="24"/>
        </w:rPr>
      </w:pPr>
      <w:r>
        <w:rPr>
          <w:rFonts w:ascii="宋体" w:hAnsi="宋体" w:eastAsia="宋体" w:cs="宋体"/>
          <w:spacing w:val="6"/>
          <w:sz w:val="24"/>
          <w:szCs w:val="24"/>
        </w:rPr>
        <w:t>3.3  评标委员会发现投标人的报价明显低于其他通过符合性审查的投标人的报价，</w:t>
      </w:r>
      <w:r>
        <w:rPr>
          <w:rFonts w:ascii="宋体" w:hAnsi="宋体" w:eastAsia="宋体" w:cs="宋体"/>
          <w:spacing w:val="12"/>
          <w:sz w:val="24"/>
          <w:szCs w:val="24"/>
        </w:rPr>
        <w:t xml:space="preserve"> </w:t>
      </w:r>
      <w:r>
        <w:rPr>
          <w:rFonts w:ascii="宋体" w:hAnsi="宋体" w:eastAsia="宋体" w:cs="宋体"/>
          <w:spacing w:val="3"/>
          <w:sz w:val="24"/>
          <w:szCs w:val="24"/>
        </w:rPr>
        <w:t>有可能影响产品质量或者不能诚信履约的，应当要求其在评标现场合理时间内做出书</w:t>
      </w:r>
      <w:r>
        <w:rPr>
          <w:rFonts w:ascii="宋体" w:hAnsi="宋体" w:eastAsia="宋体" w:cs="宋体"/>
          <w:spacing w:val="16"/>
          <w:sz w:val="24"/>
          <w:szCs w:val="24"/>
        </w:rPr>
        <w:t xml:space="preserve"> </w:t>
      </w:r>
      <w:r>
        <w:rPr>
          <w:rFonts w:ascii="宋体" w:hAnsi="宋体" w:eastAsia="宋体" w:cs="宋体"/>
          <w:spacing w:val="4"/>
          <w:sz w:val="24"/>
          <w:szCs w:val="24"/>
        </w:rPr>
        <w:t>面说明，必要时提交相关证明材料。投标人</w:t>
      </w:r>
      <w:r>
        <w:rPr>
          <w:rFonts w:ascii="宋体" w:hAnsi="宋体" w:eastAsia="宋体" w:cs="宋体"/>
          <w:spacing w:val="3"/>
          <w:sz w:val="24"/>
          <w:szCs w:val="24"/>
        </w:rPr>
        <w:t>不能证明其报价合理性的，由评标委员会</w:t>
      </w:r>
      <w:r>
        <w:rPr>
          <w:rFonts w:ascii="宋体" w:hAnsi="宋体" w:eastAsia="宋体" w:cs="宋体"/>
          <w:spacing w:val="-2"/>
          <w:sz w:val="24"/>
          <w:szCs w:val="24"/>
        </w:rPr>
        <w:t>将其作为无效投标处理。</w:t>
      </w:r>
    </w:p>
    <w:p>
      <w:pPr>
        <w:pStyle w:val="2"/>
        <w:rPr>
          <w:lang w:val="en-US" w:eastAsia="zh-CN"/>
        </w:rPr>
        <w:sectPr>
          <w:footerReference r:id="rId11" w:type="default"/>
          <w:pgSz w:w="11910" w:h="16840"/>
          <w:pgMar w:top="1400" w:right="1465" w:bottom="983" w:left="1429" w:header="0" w:footer="769" w:gutter="0"/>
          <w:cols w:space="720" w:num="1"/>
        </w:sectPr>
      </w:pPr>
    </w:p>
    <w:p>
      <w:pPr>
        <w:pStyle w:val="2"/>
        <w:spacing w:line="268" w:lineRule="auto"/>
      </w:pPr>
    </w:p>
    <w:p>
      <w:pPr>
        <w:spacing w:before="78" w:line="218" w:lineRule="auto"/>
        <w:outlineLvl w:val="3"/>
        <w:rPr>
          <w:rFonts w:ascii="宋体" w:hAnsi="宋体" w:eastAsia="宋体" w:cs="宋体"/>
          <w:sz w:val="24"/>
          <w:szCs w:val="24"/>
        </w:rPr>
      </w:pPr>
      <w:r>
        <w:rPr>
          <w:rFonts w:ascii="宋体" w:hAnsi="宋体" w:eastAsia="宋体" w:cs="宋体"/>
          <w:spacing w:val="-1"/>
          <w:sz w:val="22"/>
          <w:szCs w:val="22"/>
          <w14:textOutline w14:w="3993" w14:cap="sq" w14:cmpd="sng">
            <w14:solidFill>
              <w14:srgbClr w14:val="000000"/>
            </w14:solidFill>
            <w14:prstDash w14:val="solid"/>
            <w14:bevel/>
          </w14:textOutline>
        </w:rPr>
        <w:t>4.</w:t>
      </w:r>
      <w:r>
        <w:rPr>
          <w:rFonts w:ascii="宋体" w:hAnsi="宋体" w:eastAsia="宋体" w:cs="宋体"/>
          <w:spacing w:val="-1"/>
          <w:sz w:val="24"/>
          <w:szCs w:val="24"/>
          <w14:textOutline w14:w="4358" w14:cap="sq" w14:cmpd="sng">
            <w14:solidFill>
              <w14:srgbClr w14:val="000000"/>
            </w14:solidFill>
            <w14:prstDash w14:val="solid"/>
            <w14:bevel/>
          </w14:textOutline>
        </w:rPr>
        <w:t>投标文件比较与评价</w:t>
      </w:r>
    </w:p>
    <w:p>
      <w:pPr>
        <w:spacing w:before="292" w:line="290" w:lineRule="auto"/>
        <w:ind w:left="1" w:hanging="1"/>
        <w:rPr>
          <w:rFonts w:ascii="宋体" w:hAnsi="宋体" w:eastAsia="宋体" w:cs="宋体"/>
          <w:sz w:val="24"/>
          <w:szCs w:val="24"/>
        </w:rPr>
      </w:pPr>
      <w:r>
        <w:rPr>
          <w:rFonts w:ascii="宋体" w:hAnsi="宋体" w:eastAsia="宋体" w:cs="宋体"/>
          <w:spacing w:val="6"/>
          <w:sz w:val="24"/>
          <w:szCs w:val="24"/>
        </w:rPr>
        <w:t>4.1  评委会应按照招标文件中规定的评标方法和标准，对资格性检查和符合性检查</w:t>
      </w:r>
      <w:r>
        <w:rPr>
          <w:rFonts w:ascii="宋体" w:hAnsi="宋体" w:eastAsia="宋体" w:cs="宋体"/>
          <w:spacing w:val="17"/>
          <w:sz w:val="24"/>
          <w:szCs w:val="24"/>
        </w:rPr>
        <w:t xml:space="preserve"> </w:t>
      </w:r>
      <w:r>
        <w:rPr>
          <w:rFonts w:ascii="宋体" w:hAnsi="宋体" w:eastAsia="宋体" w:cs="宋体"/>
          <w:spacing w:val="-1"/>
          <w:sz w:val="24"/>
          <w:szCs w:val="24"/>
        </w:rPr>
        <w:t>合格的投标文件进行商务和技术评估，综合比较与评价。</w:t>
      </w:r>
    </w:p>
    <w:p>
      <w:pPr>
        <w:spacing w:before="284" w:line="291" w:lineRule="auto"/>
        <w:ind w:left="1" w:right="2" w:hanging="1"/>
        <w:rPr>
          <w:rFonts w:ascii="宋体" w:hAnsi="宋体" w:eastAsia="宋体" w:cs="宋体"/>
          <w:sz w:val="24"/>
          <w:szCs w:val="24"/>
        </w:rPr>
      </w:pPr>
      <w:r>
        <w:rPr>
          <w:rFonts w:ascii="宋体" w:hAnsi="宋体" w:eastAsia="宋体" w:cs="宋体"/>
          <w:spacing w:val="5"/>
          <w:sz w:val="24"/>
          <w:szCs w:val="24"/>
        </w:rPr>
        <w:t>4.2</w:t>
      </w:r>
      <w:r>
        <w:rPr>
          <w:rFonts w:ascii="宋体" w:hAnsi="宋体" w:eastAsia="宋体" w:cs="宋体"/>
          <w:spacing w:val="36"/>
          <w:sz w:val="24"/>
          <w:szCs w:val="24"/>
        </w:rPr>
        <w:t xml:space="preserve">  </w:t>
      </w:r>
      <w:r>
        <w:rPr>
          <w:rFonts w:ascii="宋体" w:hAnsi="宋体" w:eastAsia="宋体" w:cs="宋体"/>
          <w:spacing w:val="5"/>
          <w:sz w:val="24"/>
          <w:szCs w:val="24"/>
        </w:rPr>
        <w:t>如果投标文件没有实质性响应招标文件的要求，评委会将</w:t>
      </w:r>
      <w:r>
        <w:rPr>
          <w:rFonts w:ascii="宋体" w:hAnsi="宋体" w:eastAsia="宋体" w:cs="宋体"/>
          <w:spacing w:val="4"/>
          <w:sz w:val="24"/>
          <w:szCs w:val="24"/>
        </w:rPr>
        <w:t>予以拒绝。投标人不</w:t>
      </w:r>
      <w:r>
        <w:rPr>
          <w:rFonts w:ascii="宋体" w:hAnsi="宋体" w:eastAsia="宋体" w:cs="宋体"/>
          <w:spacing w:val="1"/>
          <w:sz w:val="24"/>
          <w:szCs w:val="24"/>
        </w:rPr>
        <w:t xml:space="preserve"> </w:t>
      </w:r>
      <w:r>
        <w:rPr>
          <w:rFonts w:ascii="宋体" w:hAnsi="宋体" w:eastAsia="宋体" w:cs="宋体"/>
          <w:sz w:val="24"/>
          <w:szCs w:val="24"/>
        </w:rPr>
        <w:t>得通过修正或撤销不合要求的偏离或保留，从而使其投</w:t>
      </w:r>
      <w:r>
        <w:rPr>
          <w:rFonts w:ascii="宋体" w:hAnsi="宋体" w:eastAsia="宋体" w:cs="宋体"/>
          <w:spacing w:val="-1"/>
          <w:sz w:val="24"/>
          <w:szCs w:val="24"/>
        </w:rPr>
        <w:t>标成为实质性响应的投标。</w:t>
      </w:r>
    </w:p>
    <w:p>
      <w:pPr>
        <w:spacing w:before="298" w:line="220" w:lineRule="auto"/>
        <w:ind w:left="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三、政策性扣减</w:t>
      </w:r>
    </w:p>
    <w:p>
      <w:pPr>
        <w:pStyle w:val="2"/>
        <w:spacing w:line="253" w:lineRule="auto"/>
      </w:pPr>
    </w:p>
    <w:p>
      <w:pPr>
        <w:spacing w:before="79" w:line="220" w:lineRule="auto"/>
        <w:ind w:left="19"/>
        <w:outlineLvl w:val="3"/>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1、政策性扣减范围</w:t>
      </w:r>
    </w:p>
    <w:p>
      <w:pPr>
        <w:spacing w:before="78" w:line="391" w:lineRule="auto"/>
        <w:ind w:left="240" w:right="270" w:firstLine="17"/>
        <w:rPr>
          <w:rFonts w:ascii="宋体" w:hAnsi="宋体" w:eastAsia="宋体" w:cs="宋体"/>
          <w:spacing w:val="1"/>
          <w:sz w:val="24"/>
          <w:szCs w:val="24"/>
        </w:rPr>
      </w:pPr>
      <w:r>
        <w:rPr>
          <w:rFonts w:ascii="宋体" w:hAnsi="宋体" w:eastAsia="宋体" w:cs="宋体"/>
          <w:spacing w:val="1"/>
          <w:sz w:val="24"/>
          <w:szCs w:val="24"/>
        </w:rPr>
        <w:t>1.1  投标人符合小型、微型企业或监狱企业、残疾人福利性单位条件的，其投标</w:t>
      </w:r>
      <w:r>
        <w:rPr>
          <w:rFonts w:hint="eastAsia" w:ascii="宋体" w:hAnsi="宋体" w:eastAsia="宋体" w:cs="宋体"/>
          <w:spacing w:val="1"/>
          <w:sz w:val="24"/>
          <w:szCs w:val="24"/>
          <w:lang w:val="en-US" w:eastAsia="zh-CN"/>
        </w:rPr>
        <w:t>报</w:t>
      </w:r>
      <w:r>
        <w:rPr>
          <w:rFonts w:ascii="宋体" w:hAnsi="宋体" w:eastAsia="宋体" w:cs="宋体"/>
          <w:spacing w:val="1"/>
          <w:sz w:val="24"/>
          <w:szCs w:val="24"/>
        </w:rPr>
        <w:t>价价格评审时将按相应比例进行扣减。</w:t>
      </w:r>
    </w:p>
    <w:p>
      <w:pPr>
        <w:spacing w:before="78" w:line="391" w:lineRule="auto"/>
        <w:ind w:left="240" w:right="270" w:firstLine="17"/>
        <w:rPr>
          <w:rFonts w:ascii="宋体" w:hAnsi="宋体" w:eastAsia="宋体" w:cs="宋体"/>
          <w:spacing w:val="1"/>
          <w:sz w:val="24"/>
          <w:szCs w:val="24"/>
        </w:rPr>
      </w:pPr>
      <w:r>
        <w:rPr>
          <w:rFonts w:ascii="宋体" w:hAnsi="宋体" w:eastAsia="宋体" w:cs="宋体"/>
          <w:spacing w:val="1"/>
          <w:sz w:val="24"/>
          <w:szCs w:val="24"/>
        </w:rPr>
        <w:t>1.2  依照&lt;关于 印发《 政府采购促进 中小企业发展暂行办法 》 的通知&gt;（财库〔2011〕181 号）的规定，小型、微型企业应当同时符合以下条件：</w:t>
      </w:r>
    </w:p>
    <w:p>
      <w:pPr>
        <w:spacing w:before="78" w:line="467" w:lineRule="auto"/>
        <w:ind w:left="3" w:firstLine="15"/>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43"/>
          <w:sz w:val="24"/>
          <w:szCs w:val="24"/>
        </w:rPr>
        <w:t xml:space="preserve"> </w:t>
      </w:r>
      <w:r>
        <w:rPr>
          <w:rFonts w:ascii="宋体" w:hAnsi="宋体" w:eastAsia="宋体" w:cs="宋体"/>
          <w:spacing w:val="4"/>
          <w:sz w:val="24"/>
          <w:szCs w:val="24"/>
        </w:rPr>
        <w:t>符合中小企业划分标准（中小企业划分标准是指国务院有关部门根据企业从业</w:t>
      </w:r>
      <w:r>
        <w:rPr>
          <w:rFonts w:ascii="宋体" w:hAnsi="宋体" w:eastAsia="宋体" w:cs="宋体"/>
          <w:sz w:val="24"/>
          <w:szCs w:val="24"/>
        </w:rPr>
        <w:t xml:space="preserve"> </w:t>
      </w:r>
      <w:r>
        <w:rPr>
          <w:rFonts w:ascii="宋体" w:hAnsi="宋体" w:eastAsia="宋体" w:cs="宋体"/>
          <w:spacing w:val="3"/>
          <w:sz w:val="24"/>
          <w:szCs w:val="24"/>
        </w:rPr>
        <w:t>人员、营业收入、资产总额等指标制定的中小企业划型标准（工信部联企业〔2011〕</w:t>
      </w:r>
    </w:p>
    <w:p>
      <w:pPr>
        <w:spacing w:before="1" w:line="220" w:lineRule="auto"/>
        <w:ind w:left="6"/>
        <w:rPr>
          <w:rFonts w:ascii="宋体" w:hAnsi="宋体" w:eastAsia="宋体" w:cs="宋体"/>
          <w:sz w:val="24"/>
          <w:szCs w:val="24"/>
        </w:rPr>
      </w:pPr>
      <w:r>
        <w:rPr>
          <w:rFonts w:ascii="宋体" w:hAnsi="宋体" w:eastAsia="宋体" w:cs="宋体"/>
          <w:spacing w:val="-6"/>
          <w:sz w:val="24"/>
          <w:szCs w:val="24"/>
        </w:rPr>
        <w:t>300</w:t>
      </w:r>
      <w:r>
        <w:rPr>
          <w:rFonts w:ascii="宋体" w:hAnsi="宋体" w:eastAsia="宋体" w:cs="宋体"/>
          <w:spacing w:val="15"/>
          <w:sz w:val="24"/>
          <w:szCs w:val="24"/>
        </w:rPr>
        <w:t xml:space="preserve"> </w:t>
      </w:r>
      <w:r>
        <w:rPr>
          <w:rFonts w:ascii="宋体" w:hAnsi="宋体" w:eastAsia="宋体" w:cs="宋体"/>
          <w:spacing w:val="-6"/>
          <w:sz w:val="24"/>
          <w:szCs w:val="24"/>
        </w:rPr>
        <w:t>号</w:t>
      </w:r>
      <w:r>
        <w:rPr>
          <w:rFonts w:ascii="宋体" w:hAnsi="宋体" w:eastAsia="宋体" w:cs="宋体"/>
          <w:sz w:val="24"/>
          <w:szCs w:val="24"/>
        </w:rPr>
        <w:t>））</w:t>
      </w:r>
      <w:r>
        <w:rPr>
          <w:rFonts w:ascii="宋体" w:hAnsi="宋体" w:eastAsia="宋体" w:cs="宋体"/>
          <w:spacing w:val="-6"/>
          <w:sz w:val="24"/>
          <w:szCs w:val="24"/>
        </w:rPr>
        <w:t>。</w:t>
      </w:r>
    </w:p>
    <w:p>
      <w:pPr>
        <w:pStyle w:val="2"/>
        <w:spacing w:line="243" w:lineRule="auto"/>
      </w:pPr>
    </w:p>
    <w:p>
      <w:pPr>
        <w:spacing w:before="79" w:line="604" w:lineRule="exact"/>
        <w:jc w:val="right"/>
        <w:rPr>
          <w:rFonts w:ascii="宋体" w:hAnsi="宋体" w:eastAsia="宋体" w:cs="宋体"/>
          <w:sz w:val="24"/>
          <w:szCs w:val="24"/>
        </w:rPr>
      </w:pPr>
      <w:r>
        <w:rPr>
          <w:rFonts w:ascii="宋体" w:hAnsi="宋体" w:eastAsia="宋体" w:cs="宋体"/>
          <w:spacing w:val="4"/>
          <w:position w:val="28"/>
          <w:sz w:val="24"/>
          <w:szCs w:val="24"/>
        </w:rPr>
        <w:t>1.2.2</w:t>
      </w:r>
      <w:r>
        <w:rPr>
          <w:rFonts w:ascii="宋体" w:hAnsi="宋体" w:eastAsia="宋体" w:cs="宋体"/>
          <w:spacing w:val="-43"/>
          <w:position w:val="28"/>
          <w:sz w:val="24"/>
          <w:szCs w:val="24"/>
        </w:rPr>
        <w:t xml:space="preserve"> </w:t>
      </w:r>
      <w:r>
        <w:rPr>
          <w:rFonts w:ascii="宋体" w:hAnsi="宋体" w:eastAsia="宋体" w:cs="宋体"/>
          <w:spacing w:val="4"/>
          <w:position w:val="28"/>
          <w:sz w:val="24"/>
          <w:szCs w:val="24"/>
        </w:rPr>
        <w:t>提供本企业制造的货物、承担的工程或者服务，或者提供其他中小企业制造的</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货物，不包括提供或使用大型企业注册商标的货物。</w:t>
      </w:r>
    </w:p>
    <w:p>
      <w:pPr>
        <w:pStyle w:val="2"/>
        <w:spacing w:line="243" w:lineRule="auto"/>
      </w:pPr>
    </w:p>
    <w:p>
      <w:pPr>
        <w:spacing w:before="79" w:line="607" w:lineRule="exact"/>
        <w:ind w:left="19"/>
        <w:rPr>
          <w:rFonts w:ascii="宋体" w:hAnsi="宋体" w:eastAsia="宋体" w:cs="宋体"/>
          <w:sz w:val="24"/>
          <w:szCs w:val="24"/>
        </w:rPr>
      </w:pPr>
      <w:r>
        <w:rPr>
          <w:rFonts w:ascii="宋体" w:hAnsi="宋体" w:eastAsia="宋体" w:cs="宋体"/>
          <w:spacing w:val="4"/>
          <w:position w:val="28"/>
          <w:sz w:val="24"/>
          <w:szCs w:val="24"/>
        </w:rPr>
        <w:t>1.2.3</w:t>
      </w:r>
      <w:r>
        <w:rPr>
          <w:rFonts w:ascii="宋体" w:hAnsi="宋体" w:eastAsia="宋体" w:cs="宋体"/>
          <w:spacing w:val="-44"/>
          <w:position w:val="28"/>
          <w:sz w:val="24"/>
          <w:szCs w:val="24"/>
        </w:rPr>
        <w:t xml:space="preserve"> </w:t>
      </w:r>
      <w:r>
        <w:rPr>
          <w:rFonts w:ascii="宋体" w:hAnsi="宋体" w:eastAsia="宋体" w:cs="宋体"/>
          <w:spacing w:val="4"/>
          <w:position w:val="28"/>
          <w:sz w:val="24"/>
          <w:szCs w:val="24"/>
        </w:rPr>
        <w:t>小型、微型企业提供中型企业制造的货物的，视同为中型企业；小型</w:t>
      </w:r>
      <w:r>
        <w:rPr>
          <w:rFonts w:ascii="宋体" w:hAnsi="宋体" w:eastAsia="宋体" w:cs="宋体"/>
          <w:spacing w:val="3"/>
          <w:position w:val="28"/>
          <w:sz w:val="24"/>
          <w:szCs w:val="24"/>
        </w:rPr>
        <w:t>、微型、</w:t>
      </w:r>
    </w:p>
    <w:p>
      <w:pPr>
        <w:spacing w:before="1" w:line="218" w:lineRule="auto"/>
        <w:ind w:left="24"/>
        <w:rPr>
          <w:rFonts w:ascii="宋体" w:hAnsi="宋体" w:eastAsia="宋体" w:cs="宋体"/>
          <w:sz w:val="24"/>
          <w:szCs w:val="24"/>
        </w:rPr>
      </w:pPr>
      <w:r>
        <w:rPr>
          <w:rFonts w:ascii="宋体" w:hAnsi="宋体" w:eastAsia="宋体" w:cs="宋体"/>
          <w:spacing w:val="-2"/>
          <w:sz w:val="24"/>
          <w:szCs w:val="24"/>
        </w:rPr>
        <w:t>中型企业提供大型企业制造的货物的，视同为大型企业。</w:t>
      </w:r>
    </w:p>
    <w:p>
      <w:pPr>
        <w:pStyle w:val="2"/>
        <w:spacing w:line="245" w:lineRule="auto"/>
      </w:pPr>
    </w:p>
    <w:p>
      <w:pPr>
        <w:spacing w:before="79" w:line="604" w:lineRule="exact"/>
        <w:jc w:val="left"/>
        <w:rPr>
          <w:rFonts w:hint="eastAsia" w:ascii="宋体" w:hAnsi="宋体" w:eastAsia="宋体" w:cs="宋体"/>
          <w:spacing w:val="4"/>
          <w:position w:val="28"/>
          <w:sz w:val="24"/>
          <w:szCs w:val="24"/>
          <w:lang w:eastAsia="zh-CN"/>
        </w:rPr>
      </w:pPr>
      <w:r>
        <w:rPr>
          <w:rFonts w:ascii="宋体" w:hAnsi="宋体" w:eastAsia="宋体" w:cs="宋体"/>
          <w:spacing w:val="4"/>
          <w:position w:val="28"/>
          <w:sz w:val="24"/>
          <w:szCs w:val="24"/>
        </w:rPr>
        <w:t>1.3  采购人拟采购产品属于优先采购节能环保产品范围的，应当优先采购节能环保产品</w:t>
      </w:r>
      <w:r>
        <w:rPr>
          <w:rFonts w:ascii="宋体" w:hAnsi="宋体" w:eastAsia="宋体" w:cs="宋体"/>
          <w:spacing w:val="4"/>
          <w:position w:val="28"/>
          <w:sz w:val="24"/>
          <w:szCs w:val="24"/>
        </w:rPr>
        <w:drawing>
          <wp:inline distT="0" distB="0" distL="0" distR="0">
            <wp:extent cx="0" cy="8890"/>
            <wp:effectExtent l="0" t="0" r="0" b="0"/>
            <wp:docPr id="7" name="IM 20"/>
            <wp:cNvGraphicFramePr/>
            <a:graphic xmlns:a="http://schemas.openxmlformats.org/drawingml/2006/main">
              <a:graphicData uri="http://schemas.openxmlformats.org/drawingml/2006/picture">
                <pic:pic xmlns:pic="http://schemas.openxmlformats.org/drawingml/2006/picture">
                  <pic:nvPicPr>
                    <pic:cNvPr id="7" name="IM 20"/>
                    <pic:cNvPicPr/>
                  </pic:nvPicPr>
                  <pic:blipFill>
                    <a:blip r:embed="rId31"/>
                    <a:stretch>
                      <a:fillRect/>
                    </a:stretch>
                  </pic:blipFill>
                  <pic:spPr>
                    <a:xfrm>
                      <a:off x="0" y="0"/>
                      <a:ext cx="0" cy="8890"/>
                    </a:xfrm>
                    <a:prstGeom prst="rect">
                      <a:avLst/>
                    </a:prstGeom>
                  </pic:spPr>
                </pic:pic>
              </a:graphicData>
            </a:graphic>
          </wp:inline>
        </w:drawing>
      </w:r>
      <w:r>
        <w:rPr>
          <w:rFonts w:ascii="宋体" w:hAnsi="宋体" w:eastAsia="宋体" w:cs="宋体"/>
          <w:spacing w:val="4"/>
          <w:position w:val="28"/>
          <w:sz w:val="24"/>
          <w:szCs w:val="24"/>
        </w:rPr>
        <w:t xml:space="preserve"> ，节能产品以财政部国家发展改革委关于调整公布最新一期节能产品政府采购清单 所列产品为准。环保产品以财政部环境保护部关于调整公布最新一期环境标志产品政府采购清单所列产品为准</w:t>
      </w:r>
      <w:r>
        <w:rPr>
          <w:rFonts w:hint="eastAsia" w:ascii="宋体" w:hAnsi="宋体" w:eastAsia="宋体" w:cs="宋体"/>
          <w:spacing w:val="4"/>
          <w:position w:val="28"/>
          <w:sz w:val="24"/>
          <w:szCs w:val="24"/>
          <w:lang w:eastAsia="zh-CN"/>
        </w:rPr>
        <w:t>。</w:t>
      </w:r>
    </w:p>
    <w:p>
      <w:pPr>
        <w:spacing w:before="78" w:line="391" w:lineRule="auto"/>
        <w:ind w:left="240" w:right="270" w:firstLine="17"/>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w:t>
      </w:r>
      <w:r>
        <w:rPr>
          <w:rFonts w:ascii="宋体" w:hAnsi="宋体" w:eastAsia="宋体" w:cs="宋体"/>
          <w:spacing w:val="1"/>
          <w:sz w:val="24"/>
          <w:szCs w:val="24"/>
        </w:rPr>
        <w:t>节能产品政府采购清单</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6"/>
          <w:sz w:val="24"/>
          <w:szCs w:val="24"/>
        </w:rPr>
        <w:t xml:space="preserve"> </w:t>
      </w:r>
      <w:r>
        <w:rPr>
          <w:rFonts w:ascii="宋体" w:hAnsi="宋体" w:eastAsia="宋体" w:cs="宋体"/>
          <w:spacing w:val="1"/>
          <w:sz w:val="24"/>
          <w:szCs w:val="24"/>
        </w:rPr>
        <w:t>：符合政府采购优先采购政策的，所投产品属于</w:t>
      </w:r>
      <w:r>
        <w:rPr>
          <w:rFonts w:ascii="Times New Roman" w:hAnsi="Times New Roman" w:eastAsia="Times New Roman" w:cs="Times New Roman"/>
          <w:spacing w:val="1"/>
          <w:sz w:val="24"/>
          <w:szCs w:val="24"/>
        </w:rPr>
        <w:t>“</w:t>
      </w:r>
      <w:r>
        <w:rPr>
          <w:rFonts w:ascii="宋体" w:hAnsi="宋体" w:eastAsia="宋体" w:cs="宋体"/>
          <w:spacing w:val="1"/>
          <w:sz w:val="24"/>
          <w:szCs w:val="24"/>
        </w:rPr>
        <w:t>节能</w:t>
      </w:r>
      <w:r>
        <w:rPr>
          <w:rFonts w:ascii="宋体" w:hAnsi="宋体" w:eastAsia="宋体" w:cs="宋体"/>
          <w:sz w:val="24"/>
          <w:szCs w:val="24"/>
        </w:rPr>
        <w:t xml:space="preserve"> </w:t>
      </w:r>
      <w:r>
        <w:rPr>
          <w:rFonts w:ascii="宋体" w:hAnsi="宋体" w:eastAsia="宋体" w:cs="宋体"/>
          <w:spacing w:val="-1"/>
          <w:sz w:val="24"/>
          <w:szCs w:val="24"/>
        </w:rPr>
        <w:t>产品政府采购清单</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中品目的产品，需提供最新一期</w:t>
      </w:r>
      <w:r>
        <w:rPr>
          <w:rFonts w:ascii="Times New Roman" w:hAnsi="Times New Roman" w:eastAsia="Times New Roman" w:cs="Times New Roman"/>
          <w:spacing w:val="-1"/>
          <w:sz w:val="24"/>
          <w:szCs w:val="24"/>
        </w:rPr>
        <w:t>“</w:t>
      </w:r>
      <w:r>
        <w:rPr>
          <w:rFonts w:ascii="Times New Roman" w:hAnsi="Times New Roman" w:eastAsia="Times New Roman" w:cs="Times New Roman"/>
          <w:spacing w:val="-44"/>
          <w:sz w:val="24"/>
          <w:szCs w:val="24"/>
        </w:rPr>
        <w:t xml:space="preserve"> </w:t>
      </w:r>
      <w:r>
        <w:rPr>
          <w:rFonts w:ascii="宋体" w:hAnsi="宋体" w:eastAsia="宋体" w:cs="宋体"/>
          <w:spacing w:val="-1"/>
          <w:sz w:val="24"/>
          <w:szCs w:val="24"/>
        </w:rPr>
        <w:t>节能产品政府采购清单</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2"/>
          <w:sz w:val="24"/>
          <w:szCs w:val="24"/>
        </w:rPr>
        <w:t xml:space="preserve"> </w:t>
      </w:r>
      <w:r>
        <w:rPr>
          <w:rFonts w:ascii="宋体" w:hAnsi="宋体" w:eastAsia="宋体" w:cs="宋体"/>
          <w:spacing w:val="-1"/>
          <w:sz w:val="24"/>
          <w:szCs w:val="24"/>
        </w:rPr>
        <w:t>中投标产</w:t>
      </w:r>
      <w:r>
        <w:rPr>
          <w:rFonts w:ascii="宋体" w:hAnsi="宋体" w:eastAsia="宋体" w:cs="宋体"/>
          <w:sz w:val="24"/>
          <w:szCs w:val="24"/>
        </w:rPr>
        <w:t xml:space="preserve"> </w:t>
      </w:r>
      <w:r>
        <w:rPr>
          <w:rFonts w:ascii="宋体" w:hAnsi="宋体" w:eastAsia="宋体" w:cs="宋体"/>
          <w:spacing w:val="-11"/>
          <w:sz w:val="24"/>
          <w:szCs w:val="24"/>
        </w:rPr>
        <w:t>品 所 在 清 单 页 并 加 盖 投 标</w:t>
      </w:r>
      <w:r>
        <w:rPr>
          <w:rFonts w:ascii="宋体" w:hAnsi="宋体" w:eastAsia="宋体" w:cs="宋体"/>
          <w:spacing w:val="-10"/>
          <w:sz w:val="24"/>
          <w:szCs w:val="24"/>
        </w:rPr>
        <w:t xml:space="preserve"> </w:t>
      </w:r>
      <w:r>
        <w:rPr>
          <w:rFonts w:ascii="宋体" w:hAnsi="宋体" w:eastAsia="宋体" w:cs="宋体"/>
          <w:spacing w:val="-11"/>
          <w:sz w:val="24"/>
          <w:szCs w:val="24"/>
        </w:rPr>
        <w:t xml:space="preserve">人 公 章 。 该 清 单 可 在 中 国 政 </w:t>
      </w:r>
      <w:r>
        <w:rPr>
          <w:rFonts w:ascii="宋体" w:hAnsi="宋体" w:eastAsia="宋体" w:cs="宋体"/>
          <w:spacing w:val="-12"/>
          <w:sz w:val="24"/>
          <w:szCs w:val="24"/>
        </w:rPr>
        <w:t>府 采 购 网</w:t>
      </w:r>
      <w:r>
        <w:rPr>
          <w:rFonts w:ascii="宋体" w:hAnsi="宋体" w:eastAsia="宋体" w:cs="宋体"/>
          <w:sz w:val="24"/>
          <w:szCs w:val="24"/>
        </w:rPr>
        <w:t xml:space="preserve"> （</w:t>
      </w:r>
      <w:r>
        <w:fldChar w:fldCharType="begin"/>
      </w:r>
      <w:r>
        <w:instrText xml:space="preserve"> HYPERLINK "http://www.ccgp.gov.cn/" </w:instrText>
      </w:r>
      <w:r>
        <w:fldChar w:fldCharType="separate"/>
      </w:r>
      <w:r>
        <w:rPr>
          <w:rFonts w:ascii="宋体" w:hAnsi="宋体" w:eastAsia="宋体" w:cs="宋体"/>
          <w:sz w:val="24"/>
          <w:szCs w:val="24"/>
        </w:rPr>
        <w:t>http://www.ccgp.go</w:t>
      </w:r>
      <w:r>
        <w:rPr>
          <w:rFonts w:ascii="宋体" w:hAnsi="宋体" w:eastAsia="宋体" w:cs="宋体"/>
          <w:spacing w:val="-1"/>
          <w:sz w:val="24"/>
          <w:szCs w:val="24"/>
        </w:rPr>
        <w:t>v.cn/</w:t>
      </w:r>
      <w:r>
        <w:rPr>
          <w:rFonts w:ascii="宋体" w:hAnsi="宋体" w:eastAsia="宋体" w:cs="宋体"/>
          <w:spacing w:val="-1"/>
          <w:sz w:val="24"/>
          <w:szCs w:val="24"/>
        </w:rPr>
        <w:fldChar w:fldCharType="end"/>
      </w:r>
      <w:r>
        <w:rPr>
          <w:rFonts w:ascii="宋体" w:hAnsi="宋体" w:eastAsia="宋体" w:cs="宋体"/>
          <w:spacing w:val="-1"/>
          <w:sz w:val="24"/>
          <w:szCs w:val="24"/>
        </w:rPr>
        <w:t>） 上查找。</w:t>
      </w:r>
    </w:p>
    <w:p>
      <w:pPr>
        <w:pStyle w:val="2"/>
        <w:rPr>
          <w:rFonts w:hint="eastAsia"/>
          <w:lang w:eastAsia="zh-CN"/>
        </w:rPr>
      </w:pPr>
    </w:p>
    <w:p>
      <w:pPr>
        <w:spacing w:before="78" w:line="391" w:lineRule="auto"/>
        <w:ind w:left="240" w:right="270" w:firstLine="17"/>
        <w:rPr>
          <w:rFonts w:ascii="宋体" w:hAnsi="宋体" w:eastAsia="宋体" w:cs="宋体"/>
          <w:spacing w:val="1"/>
          <w:sz w:val="24"/>
          <w:szCs w:val="24"/>
        </w:rPr>
      </w:pPr>
      <w:r>
        <w:rPr>
          <w:rFonts w:ascii="宋体" w:hAnsi="宋体" w:eastAsia="宋体" w:cs="宋体"/>
          <w:spacing w:val="-2"/>
          <w:sz w:val="24"/>
          <w:szCs w:val="24"/>
        </w:rPr>
        <w:t>1</w:t>
      </w:r>
      <w:r>
        <w:rPr>
          <w:rFonts w:ascii="宋体" w:hAnsi="宋体" w:eastAsia="宋体" w:cs="宋体"/>
          <w:spacing w:val="1"/>
          <w:sz w:val="24"/>
          <w:szCs w:val="24"/>
        </w:rPr>
        <w:t>.3.2 “环境标志产品政府采购清单 ”：所投产品属于“环境标志产品政府采购清 单 ”中品目的产品，需提供最新一期“环境标志产品政府采购清单 ”中投标产品所在</w:t>
      </w:r>
      <w:r>
        <w:rPr>
          <w:rFonts w:ascii="宋体" w:hAnsi="宋体" w:eastAsia="宋体" w:cs="宋体"/>
          <w:spacing w:val="1"/>
          <w:sz w:val="24"/>
          <w:szCs w:val="24"/>
        </w:rPr>
        <w:fldChar w:fldCharType="begin"/>
      </w:r>
      <w:r>
        <w:rPr>
          <w:rFonts w:ascii="宋体" w:hAnsi="宋体" w:eastAsia="宋体" w:cs="宋体"/>
          <w:spacing w:val="1"/>
          <w:sz w:val="24"/>
          <w:szCs w:val="24"/>
        </w:rPr>
        <w:instrText xml:space="preserve"> HYPERLINK "http://www.ccgp.gov.cn/" </w:instrText>
      </w:r>
      <w:r>
        <w:rPr>
          <w:rFonts w:ascii="宋体" w:hAnsi="宋体" w:eastAsia="宋体" w:cs="宋体"/>
          <w:spacing w:val="1"/>
          <w:sz w:val="24"/>
          <w:szCs w:val="24"/>
        </w:rPr>
        <w:fldChar w:fldCharType="separate"/>
      </w:r>
      <w:r>
        <w:rPr>
          <w:rFonts w:ascii="宋体" w:hAnsi="宋体" w:eastAsia="宋体" w:cs="宋体"/>
          <w:spacing w:val="1"/>
          <w:sz w:val="24"/>
          <w:szCs w:val="24"/>
        </w:rPr>
        <w:t>清单页并加盖投标人公章。该清单可在中国政府采购网</w:t>
      </w:r>
      <w:r>
        <w:rPr>
          <w:rFonts w:ascii="宋体" w:hAnsi="宋体" w:eastAsia="宋体" w:cs="宋体"/>
          <w:spacing w:val="1"/>
          <w:sz w:val="24"/>
          <w:szCs w:val="24"/>
        </w:rPr>
        <w:fldChar w:fldCharType="end"/>
      </w:r>
      <w:r>
        <w:rPr>
          <w:rFonts w:ascii="宋体" w:hAnsi="宋体" w:eastAsia="宋体" w:cs="宋体"/>
          <w:spacing w:val="1"/>
          <w:sz w:val="24"/>
          <w:szCs w:val="24"/>
        </w:rPr>
        <w:t>上查找。</w:t>
      </w:r>
    </w:p>
    <w:p>
      <w:pPr>
        <w:spacing w:before="78" w:line="391" w:lineRule="auto"/>
        <w:ind w:left="240" w:right="270" w:firstLine="17"/>
        <w:rPr>
          <w:rFonts w:ascii="宋体" w:hAnsi="宋体" w:eastAsia="宋体" w:cs="宋体"/>
          <w:spacing w:val="1"/>
          <w:sz w:val="24"/>
          <w:szCs w:val="24"/>
        </w:rPr>
      </w:pPr>
      <w:r>
        <w:rPr>
          <w:rFonts w:ascii="宋体" w:hAnsi="宋体" w:eastAsia="宋体" w:cs="宋体"/>
          <w:spacing w:val="1"/>
          <w:sz w:val="24"/>
          <w:szCs w:val="24"/>
        </w:rPr>
        <w:t>1.4  监狱企业参加政府采购活动时，应当提供由省级以上监狱管理局、戒毒管理局(含 新疆生产建设兵团)出具的属于监狱企业的证明文件。监狱企业参加政府采购活动时，</w:t>
      </w:r>
    </w:p>
    <w:p>
      <w:pPr>
        <w:spacing w:before="78" w:line="391" w:lineRule="auto"/>
        <w:ind w:left="240" w:right="270" w:firstLine="17"/>
        <w:rPr>
          <w:rFonts w:ascii="宋体" w:hAnsi="宋体" w:eastAsia="宋体" w:cs="宋体"/>
          <w:spacing w:val="1"/>
          <w:sz w:val="24"/>
          <w:szCs w:val="24"/>
        </w:rPr>
      </w:pPr>
      <w:r>
        <w:rPr>
          <w:rFonts w:ascii="宋体" w:hAnsi="宋体" w:eastAsia="宋体" w:cs="宋体"/>
          <w:spacing w:val="1"/>
          <w:sz w:val="24"/>
          <w:szCs w:val="24"/>
        </w:rPr>
        <w:t>视同小型、微型企业。</w:t>
      </w:r>
    </w:p>
    <w:p>
      <w:pPr>
        <w:spacing w:before="78" w:line="391" w:lineRule="auto"/>
        <w:ind w:left="240" w:right="270" w:firstLine="17"/>
        <w:rPr>
          <w:rFonts w:hint="eastAsia" w:ascii="宋体" w:hAnsi="宋体" w:eastAsia="宋体" w:cs="宋体"/>
          <w:spacing w:val="1"/>
          <w:sz w:val="24"/>
          <w:szCs w:val="24"/>
          <w:lang w:eastAsia="zh-CN"/>
        </w:rPr>
      </w:pPr>
      <w:r>
        <w:rPr>
          <w:rFonts w:ascii="宋体" w:hAnsi="宋体" w:eastAsia="宋体" w:cs="宋体"/>
          <w:spacing w:val="1"/>
          <w:sz w:val="24"/>
          <w:szCs w:val="24"/>
        </w:rPr>
        <w:t>1.5  符合条件的残疾人福利性单位在参加政府采购活动时，应当提供本通知规定的《残 疾人福利性单位声明函》，并对声明的真实性负责。残疾人福利性单位参加政府采购活 动时，视同小型、微型企业；残疾人福利性单位属于小型、微型企业的，不重复享受政策</w:t>
      </w:r>
      <w:r>
        <w:rPr>
          <w:rFonts w:hint="eastAsia" w:ascii="宋体" w:hAnsi="宋体" w:eastAsia="宋体" w:cs="宋体"/>
          <w:spacing w:val="1"/>
          <w:sz w:val="24"/>
          <w:szCs w:val="24"/>
          <w:lang w:eastAsia="zh-CN"/>
        </w:rPr>
        <w:t>。</w:t>
      </w:r>
    </w:p>
    <w:p>
      <w:pPr>
        <w:pStyle w:val="2"/>
        <w:rPr>
          <w:rFonts w:hint="eastAsia" w:ascii="宋体" w:hAnsi="宋体" w:eastAsia="宋体" w:cs="宋体"/>
          <w:spacing w:val="1"/>
          <w:sz w:val="24"/>
          <w:szCs w:val="24"/>
          <w:lang w:eastAsia="zh-CN"/>
        </w:rPr>
      </w:pPr>
    </w:p>
    <w:p>
      <w:pPr>
        <w:spacing w:before="91" w:line="220" w:lineRule="auto"/>
        <w:ind w:left="48"/>
        <w:outlineLvl w:val="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四、评标因素及权重分值表</w:t>
      </w:r>
    </w:p>
    <w:p>
      <w:pPr>
        <w:rPr>
          <w:rFonts w:hint="eastAsia"/>
          <w:lang w:eastAsia="zh-CN"/>
        </w:rPr>
      </w:pPr>
    </w:p>
    <w:p>
      <w:pPr>
        <w:spacing w:before="315" w:line="220" w:lineRule="auto"/>
        <w:ind w:left="3161"/>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t>综合评分明细表（满分100分）</w:t>
      </w:r>
    </w:p>
    <w:tbl>
      <w:tblPr>
        <w:tblStyle w:val="89"/>
        <w:tblpPr w:leftFromText="180" w:rightFromText="180" w:vertAnchor="text" w:horzAnchor="page" w:tblpX="1281" w:tblpY="294"/>
        <w:tblOverlap w:val="never"/>
        <w:tblW w:w="95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899"/>
        <w:gridCol w:w="7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01" w:type="dxa"/>
            <w:vAlign w:val="top"/>
          </w:tcPr>
          <w:p>
            <w:pPr>
              <w:pStyle w:val="98"/>
              <w:spacing w:before="41" w:line="219" w:lineRule="auto"/>
              <w:ind w:left="126"/>
            </w:pPr>
            <w:r>
              <w:rPr>
                <w:spacing w:val="-3"/>
              </w:rPr>
              <w:t>评标因素</w:t>
            </w:r>
          </w:p>
        </w:tc>
        <w:tc>
          <w:tcPr>
            <w:tcW w:w="899" w:type="dxa"/>
            <w:vAlign w:val="top"/>
          </w:tcPr>
          <w:p>
            <w:pPr>
              <w:pStyle w:val="98"/>
              <w:spacing w:before="41" w:line="219" w:lineRule="auto"/>
              <w:ind w:left="218"/>
            </w:pPr>
            <w:r>
              <w:rPr>
                <w:spacing w:val="-7"/>
              </w:rPr>
              <w:t>分值</w:t>
            </w:r>
          </w:p>
        </w:tc>
        <w:tc>
          <w:tcPr>
            <w:tcW w:w="7423" w:type="dxa"/>
            <w:vAlign w:val="top"/>
          </w:tcPr>
          <w:p>
            <w:pPr>
              <w:pStyle w:val="98"/>
              <w:spacing w:before="40" w:line="218" w:lineRule="auto"/>
              <w:ind w:left="3235"/>
            </w:pPr>
            <w:r>
              <w:rPr>
                <w:spacing w:val="-3"/>
              </w:rPr>
              <w:t>评价要素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201" w:type="dxa"/>
            <w:vAlign w:val="top"/>
          </w:tcPr>
          <w:p>
            <w:pPr>
              <w:spacing w:line="343" w:lineRule="auto"/>
              <w:rPr>
                <w:rFonts w:ascii="Arial"/>
                <w:sz w:val="21"/>
              </w:rPr>
            </w:pPr>
          </w:p>
          <w:p>
            <w:pPr>
              <w:spacing w:line="344" w:lineRule="auto"/>
              <w:rPr>
                <w:rFonts w:ascii="Arial"/>
                <w:sz w:val="21"/>
              </w:rPr>
            </w:pPr>
          </w:p>
          <w:p>
            <w:pPr>
              <w:pStyle w:val="98"/>
              <w:spacing w:before="78" w:line="218" w:lineRule="auto"/>
              <w:ind w:left="130"/>
            </w:pPr>
            <w:r>
              <w:rPr>
                <w:spacing w:val="-4"/>
              </w:rPr>
              <w:t>投标报价</w:t>
            </w:r>
          </w:p>
        </w:tc>
        <w:tc>
          <w:tcPr>
            <w:tcW w:w="89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98"/>
              <w:spacing w:before="78" w:line="183" w:lineRule="auto"/>
              <w:ind w:left="340"/>
            </w:pPr>
            <w:r>
              <w:rPr>
                <w:spacing w:val="-8"/>
              </w:rPr>
              <w:t>30</w:t>
            </w:r>
          </w:p>
        </w:tc>
        <w:tc>
          <w:tcPr>
            <w:tcW w:w="7423" w:type="dxa"/>
            <w:vAlign w:val="top"/>
          </w:tcPr>
          <w:p>
            <w:pPr>
              <w:pStyle w:val="98"/>
              <w:spacing w:before="68" w:line="466" w:lineRule="exact"/>
              <w:ind w:left="113"/>
            </w:pPr>
            <w:r>
              <w:rPr>
                <w:position w:val="17"/>
              </w:rPr>
              <w:t>满足招标文件要求且优惠率最高的报价为基</w:t>
            </w:r>
            <w:r>
              <w:rPr>
                <w:spacing w:val="-1"/>
                <w:position w:val="17"/>
              </w:rPr>
              <w:t>准优惠率得满分，其他各</w:t>
            </w:r>
          </w:p>
          <w:p>
            <w:pPr>
              <w:pStyle w:val="98"/>
              <w:spacing w:before="1" w:line="217" w:lineRule="auto"/>
              <w:ind w:left="116"/>
            </w:pPr>
            <w:r>
              <w:t>投标人的报价得分按下列公式计算:（1-</w:t>
            </w:r>
            <w:r>
              <w:rPr>
                <w:spacing w:val="-1"/>
              </w:rPr>
              <w:t>基准优惠率)/(1-投标优惠</w:t>
            </w:r>
          </w:p>
          <w:p>
            <w:pPr>
              <w:pStyle w:val="98"/>
              <w:spacing w:before="182" w:line="219" w:lineRule="auto"/>
              <w:ind w:left="115"/>
            </w:pPr>
            <w:r>
              <w:rPr>
                <w:spacing w:val="-2"/>
              </w:rPr>
              <w:t>率)×30。</w:t>
            </w:r>
          </w:p>
          <w:p>
            <w:pPr>
              <w:pStyle w:val="98"/>
              <w:spacing w:before="182" w:line="218" w:lineRule="auto"/>
              <w:ind w:left="113"/>
            </w:pPr>
            <w:r>
              <w:rPr>
                <w:spacing w:val="-1"/>
              </w:rPr>
              <w:t>注：本项目专门面向中小企业采购，不享受价格扣除优惠政策。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1201"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98"/>
              <w:spacing w:before="78" w:line="466" w:lineRule="exact"/>
              <w:ind w:left="131"/>
            </w:pPr>
            <w:r>
              <w:rPr>
                <w:spacing w:val="-4"/>
                <w:position w:val="17"/>
              </w:rPr>
              <w:t>项目实施</w:t>
            </w:r>
          </w:p>
          <w:p>
            <w:pPr>
              <w:pStyle w:val="98"/>
              <w:spacing w:line="220" w:lineRule="auto"/>
              <w:ind w:left="368" w:leftChars="0"/>
              <w:rPr>
                <w:spacing w:val="-4"/>
              </w:rPr>
            </w:pPr>
            <w:r>
              <w:rPr>
                <w:spacing w:val="-6"/>
              </w:rPr>
              <w:t>方案</w:t>
            </w:r>
          </w:p>
        </w:tc>
        <w:tc>
          <w:tcPr>
            <w:tcW w:w="89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98"/>
              <w:spacing w:before="78" w:line="183" w:lineRule="auto"/>
              <w:ind w:left="338" w:leftChars="0"/>
              <w:rPr>
                <w:spacing w:val="-8"/>
              </w:rPr>
            </w:pPr>
            <w:r>
              <w:rPr>
                <w:spacing w:val="-7"/>
              </w:rPr>
              <w:t>25</w:t>
            </w:r>
          </w:p>
        </w:tc>
        <w:tc>
          <w:tcPr>
            <w:tcW w:w="7423" w:type="dxa"/>
            <w:vAlign w:val="top"/>
          </w:tcPr>
          <w:p>
            <w:pPr>
              <w:pStyle w:val="98"/>
              <w:spacing w:before="41" w:line="465" w:lineRule="exact"/>
              <w:ind w:left="116"/>
            </w:pPr>
            <w:r>
              <w:rPr>
                <w:spacing w:val="-1"/>
                <w:position w:val="17"/>
              </w:rPr>
              <w:t>投标人针对医废清运及处置内容出具具体的实施方案。（医废清运及</w:t>
            </w:r>
          </w:p>
          <w:p>
            <w:pPr>
              <w:pStyle w:val="98"/>
              <w:spacing w:line="219" w:lineRule="auto"/>
              <w:ind w:left="118"/>
            </w:pPr>
            <w:r>
              <w:rPr>
                <w:spacing w:val="-1"/>
              </w:rPr>
              <w:t>处置内容包括：感染性废物、损伤性废物、病理性废物、化学性废</w:t>
            </w:r>
          </w:p>
          <w:p>
            <w:pPr>
              <w:pStyle w:val="98"/>
              <w:spacing w:before="182" w:line="220" w:lineRule="auto"/>
              <w:ind w:left="113"/>
            </w:pPr>
            <w:r>
              <w:rPr>
                <w:spacing w:val="-2"/>
              </w:rPr>
              <w:t>物、药物性废物。</w:t>
            </w:r>
          </w:p>
          <w:p>
            <w:pPr>
              <w:pStyle w:val="98"/>
              <w:spacing w:before="179" w:line="468" w:lineRule="exact"/>
              <w:ind w:left="114"/>
            </w:pPr>
            <w:r>
              <w:rPr>
                <w:position w:val="17"/>
              </w:rPr>
              <w:t>方案切实可行，内容完整、全面、计划具体</w:t>
            </w:r>
            <w:r>
              <w:rPr>
                <w:spacing w:val="-1"/>
                <w:position w:val="17"/>
              </w:rPr>
              <w:t>合理得(18-25]分；</w:t>
            </w:r>
          </w:p>
          <w:p>
            <w:pPr>
              <w:pStyle w:val="98"/>
              <w:spacing w:line="219" w:lineRule="auto"/>
              <w:ind w:left="114"/>
            </w:pPr>
            <w:r>
              <w:rPr>
                <w:spacing w:val="-1"/>
              </w:rPr>
              <w:t>方案可行性、内容完整性、计划合理性较高，得(12-18]分；</w:t>
            </w:r>
          </w:p>
          <w:p>
            <w:pPr>
              <w:pStyle w:val="98"/>
              <w:spacing w:before="181" w:line="468" w:lineRule="exact"/>
              <w:ind w:left="114"/>
            </w:pPr>
            <w:r>
              <w:rPr>
                <w:spacing w:val="-1"/>
                <w:position w:val="17"/>
              </w:rPr>
              <w:t>方案可行性、内容完整性、计划合理性一般，得(6-12]分；</w:t>
            </w:r>
          </w:p>
          <w:p>
            <w:pPr>
              <w:pStyle w:val="98"/>
              <w:spacing w:line="219" w:lineRule="auto"/>
              <w:ind w:left="114" w:leftChars="0"/>
              <w:rPr>
                <w:spacing w:val="-1"/>
              </w:rPr>
            </w:pPr>
            <w:r>
              <w:rPr>
                <w:position w:val="17"/>
              </w:rPr>
              <w:t>方案可行性、内容完整性、计划合理性较差，得[0-6]分。</w:t>
            </w:r>
          </w:p>
        </w:tc>
      </w:tr>
    </w:tbl>
    <w:p>
      <w:pPr>
        <w:pStyle w:val="2"/>
        <w:rPr>
          <w:rFonts w:hint="eastAsia"/>
          <w:lang w:eastAsia="zh-CN"/>
        </w:rPr>
        <w:sectPr>
          <w:footerReference r:id="rId12" w:type="default"/>
          <w:pgSz w:w="11910" w:h="16840"/>
          <w:pgMar w:top="1388" w:right="1467" w:bottom="983" w:left="1428" w:header="0" w:footer="769" w:gutter="0"/>
          <w:cols w:space="720" w:num="1"/>
        </w:sectPr>
      </w:pPr>
    </w:p>
    <w:tbl>
      <w:tblPr>
        <w:tblStyle w:val="89"/>
        <w:tblpPr w:leftFromText="180" w:rightFromText="180" w:vertAnchor="text" w:horzAnchor="page" w:tblpX="1345" w:tblpY="246"/>
        <w:tblOverlap w:val="never"/>
        <w:tblW w:w="95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899"/>
        <w:gridCol w:w="7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201" w:type="dxa"/>
            <w:vAlign w:val="top"/>
          </w:tcPr>
          <w:p>
            <w:pPr>
              <w:spacing w:line="327" w:lineRule="auto"/>
              <w:rPr>
                <w:rFonts w:ascii="Arial"/>
                <w:sz w:val="21"/>
              </w:rPr>
            </w:pPr>
          </w:p>
          <w:p>
            <w:pPr>
              <w:spacing w:line="327" w:lineRule="auto"/>
              <w:rPr>
                <w:rFonts w:ascii="Arial"/>
                <w:sz w:val="21"/>
              </w:rPr>
            </w:pPr>
          </w:p>
          <w:p>
            <w:pPr>
              <w:pStyle w:val="98"/>
              <w:spacing w:before="78" w:line="468" w:lineRule="exact"/>
              <w:ind w:left="120"/>
            </w:pPr>
            <w:r>
              <w:rPr>
                <w:spacing w:val="-4"/>
                <w:position w:val="17"/>
              </w:rPr>
              <w:t>安全管理</w:t>
            </w:r>
          </w:p>
          <w:p>
            <w:pPr>
              <w:pStyle w:val="98"/>
              <w:spacing w:line="220" w:lineRule="auto"/>
              <w:ind w:left="355"/>
            </w:pPr>
            <w:r>
              <w:rPr>
                <w:spacing w:val="-5"/>
              </w:rPr>
              <w:t>措施</w:t>
            </w:r>
          </w:p>
        </w:tc>
        <w:tc>
          <w:tcPr>
            <w:tcW w:w="899"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98"/>
              <w:spacing w:before="78" w:line="184" w:lineRule="auto"/>
              <w:ind w:left="370"/>
            </w:pPr>
            <w:r>
              <w:rPr>
                <w:spacing w:val="-14"/>
              </w:rPr>
              <w:t>10</w:t>
            </w:r>
          </w:p>
        </w:tc>
        <w:tc>
          <w:tcPr>
            <w:tcW w:w="7423" w:type="dxa"/>
            <w:vAlign w:val="top"/>
          </w:tcPr>
          <w:p>
            <w:pPr>
              <w:pStyle w:val="98"/>
              <w:spacing w:before="38" w:line="466" w:lineRule="exact"/>
              <w:ind w:left="113"/>
            </w:pPr>
            <w:r>
              <w:rPr>
                <w:position w:val="17"/>
              </w:rPr>
              <w:t>根据投标人提供的安全检查制度（至少包括</w:t>
            </w:r>
            <w:r>
              <w:rPr>
                <w:spacing w:val="-1"/>
                <w:position w:val="17"/>
              </w:rPr>
              <w:t>安全隐患检查的工作程序</w:t>
            </w:r>
          </w:p>
          <w:p>
            <w:pPr>
              <w:pStyle w:val="98"/>
              <w:spacing w:before="1" w:line="217" w:lineRule="auto"/>
              <w:ind w:left="114"/>
            </w:pPr>
            <w:r>
              <w:rPr>
                <w:spacing w:val="-1"/>
              </w:rPr>
              <w:t>和计划等）进行综合评价：</w:t>
            </w:r>
          </w:p>
          <w:p>
            <w:pPr>
              <w:pStyle w:val="98"/>
              <w:spacing w:before="182" w:line="468" w:lineRule="exact"/>
              <w:ind w:left="114"/>
            </w:pPr>
            <w:r>
              <w:rPr>
                <w:spacing w:val="-1"/>
                <w:position w:val="17"/>
              </w:rPr>
              <w:t>制度健全、完善、切实可行，得(7-10]分；</w:t>
            </w:r>
          </w:p>
          <w:p>
            <w:pPr>
              <w:pStyle w:val="98"/>
              <w:spacing w:line="218" w:lineRule="auto"/>
              <w:ind w:left="114"/>
            </w:pPr>
            <w:r>
              <w:rPr>
                <w:spacing w:val="-1"/>
              </w:rPr>
              <w:t>制度比较全面、基本可行，得(4-7]分；</w:t>
            </w:r>
          </w:p>
          <w:p>
            <w:pPr>
              <w:pStyle w:val="98"/>
              <w:spacing w:before="184" w:line="219" w:lineRule="auto"/>
              <w:ind w:left="114"/>
            </w:pPr>
            <w:r>
              <w:rPr>
                <w:spacing w:val="-1"/>
              </w:rPr>
              <w:t>制度不够全面，得[0-4]分；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1201"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98"/>
              <w:spacing w:before="78" w:line="219" w:lineRule="auto"/>
              <w:ind w:left="116"/>
            </w:pPr>
            <w:r>
              <w:rPr>
                <w:spacing w:val="-3"/>
              </w:rPr>
              <w:t>质量保障</w:t>
            </w:r>
          </w:p>
        </w:tc>
        <w:tc>
          <w:tcPr>
            <w:tcW w:w="899"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98"/>
              <w:spacing w:before="78" w:line="184" w:lineRule="auto"/>
              <w:ind w:left="370"/>
            </w:pPr>
            <w:r>
              <w:rPr>
                <w:spacing w:val="-14"/>
              </w:rPr>
              <w:t>10</w:t>
            </w:r>
          </w:p>
        </w:tc>
        <w:tc>
          <w:tcPr>
            <w:tcW w:w="7423" w:type="dxa"/>
            <w:vAlign w:val="top"/>
          </w:tcPr>
          <w:p>
            <w:pPr>
              <w:pStyle w:val="98"/>
              <w:spacing w:before="36" w:line="468" w:lineRule="exact"/>
              <w:ind w:left="116"/>
            </w:pPr>
            <w:r>
              <w:rPr>
                <w:spacing w:val="-1"/>
                <w:position w:val="17"/>
              </w:rPr>
              <w:t>投标人根据采购人要求的全部服务内容，有切实可行的质量、进度、</w:t>
            </w:r>
          </w:p>
          <w:p>
            <w:pPr>
              <w:pStyle w:val="98"/>
              <w:spacing w:line="219" w:lineRule="auto"/>
              <w:ind w:left="125"/>
            </w:pPr>
            <w:r>
              <w:rPr>
                <w:spacing w:val="-2"/>
              </w:rPr>
              <w:t>响应时间保证承诺和保障措施：</w:t>
            </w:r>
          </w:p>
          <w:p>
            <w:pPr>
              <w:pStyle w:val="98"/>
              <w:spacing w:before="180" w:line="219" w:lineRule="auto"/>
              <w:ind w:left="113"/>
            </w:pPr>
            <w:r>
              <w:rPr>
                <w:spacing w:val="-1"/>
              </w:rPr>
              <w:t>承诺可行、措施合理、针对性强，得(7-10]分；</w:t>
            </w:r>
          </w:p>
          <w:p>
            <w:pPr>
              <w:pStyle w:val="98"/>
              <w:spacing w:before="183" w:line="465" w:lineRule="exact"/>
              <w:ind w:left="113"/>
            </w:pPr>
            <w:r>
              <w:rPr>
                <w:spacing w:val="-1"/>
                <w:position w:val="17"/>
              </w:rPr>
              <w:t>承诺符合要求、措施基本合理、有一定针对性，得(4-7]分；</w:t>
            </w:r>
          </w:p>
          <w:p>
            <w:pPr>
              <w:pStyle w:val="98"/>
              <w:spacing w:before="1" w:line="218" w:lineRule="auto"/>
              <w:ind w:left="113"/>
            </w:pPr>
            <w:r>
              <w:rPr>
                <w:spacing w:val="-1"/>
              </w:rPr>
              <w:t>承诺基本符合要求、措施可行性、针对性一般，得[0-4]分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201"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98"/>
              <w:spacing w:before="78" w:line="220" w:lineRule="auto"/>
              <w:ind w:left="115"/>
            </w:pPr>
            <w:r>
              <w:rPr>
                <w:spacing w:val="-3"/>
              </w:rPr>
              <w:t>应急方案</w:t>
            </w:r>
          </w:p>
        </w:tc>
        <w:tc>
          <w:tcPr>
            <w:tcW w:w="89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98"/>
              <w:spacing w:before="78" w:line="184" w:lineRule="auto"/>
              <w:ind w:left="370"/>
            </w:pPr>
            <w:r>
              <w:rPr>
                <w:spacing w:val="-14"/>
              </w:rPr>
              <w:t>10</w:t>
            </w:r>
          </w:p>
        </w:tc>
        <w:tc>
          <w:tcPr>
            <w:tcW w:w="7423" w:type="dxa"/>
            <w:vAlign w:val="top"/>
          </w:tcPr>
          <w:p>
            <w:pPr>
              <w:pStyle w:val="98"/>
              <w:spacing w:before="38" w:line="466" w:lineRule="exact"/>
              <w:ind w:left="113"/>
            </w:pPr>
            <w:r>
              <w:rPr>
                <w:position w:val="17"/>
              </w:rPr>
              <w:t>根据投标人针对各种突发状况提供的应急处</w:t>
            </w:r>
            <w:r>
              <w:rPr>
                <w:spacing w:val="-1"/>
                <w:position w:val="17"/>
              </w:rPr>
              <w:t>理方案、补救措施及相关</w:t>
            </w:r>
          </w:p>
          <w:p>
            <w:pPr>
              <w:pStyle w:val="98"/>
              <w:spacing w:before="1" w:line="217" w:lineRule="auto"/>
              <w:ind w:left="113"/>
            </w:pPr>
            <w:r>
              <w:rPr>
                <w:spacing w:val="-1"/>
              </w:rPr>
              <w:t>应急服务承诺进行评价：</w:t>
            </w:r>
          </w:p>
          <w:p>
            <w:pPr>
              <w:pStyle w:val="98"/>
              <w:spacing w:before="184" w:line="466" w:lineRule="exact"/>
              <w:ind w:left="114"/>
            </w:pPr>
            <w:r>
              <w:rPr>
                <w:spacing w:val="-1"/>
                <w:position w:val="17"/>
              </w:rPr>
              <w:t>方案详实明确，预见情形充分，处理措施合法有力、灵活妥当，有针</w:t>
            </w:r>
          </w:p>
          <w:p>
            <w:pPr>
              <w:pStyle w:val="98"/>
              <w:spacing w:line="219" w:lineRule="auto"/>
              <w:ind w:left="112"/>
            </w:pPr>
            <w:r>
              <w:rPr>
                <w:spacing w:val="-1"/>
              </w:rPr>
              <w:t>对性，得(7-10]分；</w:t>
            </w:r>
          </w:p>
          <w:p>
            <w:pPr>
              <w:pStyle w:val="98"/>
              <w:spacing w:before="182" w:line="468" w:lineRule="exact"/>
              <w:ind w:left="114"/>
            </w:pPr>
            <w:r>
              <w:rPr>
                <w:spacing w:val="-1"/>
                <w:position w:val="17"/>
              </w:rPr>
              <w:t>方案比较详实，预见情形比较充分，处理措施合法，有一定针对性，</w:t>
            </w:r>
          </w:p>
          <w:p>
            <w:pPr>
              <w:pStyle w:val="98"/>
              <w:spacing w:line="219" w:lineRule="auto"/>
              <w:ind w:left="114"/>
            </w:pPr>
            <w:r>
              <w:rPr>
                <w:spacing w:val="-2"/>
              </w:rPr>
              <w:t>得(4-7]分；</w:t>
            </w:r>
          </w:p>
          <w:p>
            <w:pPr>
              <w:pStyle w:val="98"/>
              <w:spacing w:before="181" w:line="219" w:lineRule="auto"/>
              <w:ind w:left="114"/>
            </w:pPr>
            <w:r>
              <w:rPr>
                <w:spacing w:val="-1"/>
              </w:rPr>
              <w:t>方案粗略，难以实施，得[0-4]分。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1201"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98"/>
              <w:spacing w:before="78" w:line="465" w:lineRule="exact"/>
              <w:ind w:left="117"/>
            </w:pPr>
            <w:r>
              <w:rPr>
                <w:spacing w:val="-3"/>
                <w:position w:val="17"/>
              </w:rPr>
              <w:t>人员及设</w:t>
            </w:r>
          </w:p>
          <w:p>
            <w:pPr>
              <w:pStyle w:val="98"/>
              <w:spacing w:before="1" w:line="220" w:lineRule="auto"/>
              <w:ind w:left="118"/>
            </w:pPr>
            <w:r>
              <w:rPr>
                <w:spacing w:val="-5"/>
              </w:rPr>
              <w:t>备配置</w:t>
            </w:r>
          </w:p>
        </w:tc>
        <w:tc>
          <w:tcPr>
            <w:tcW w:w="899"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98"/>
              <w:spacing w:before="78" w:line="184" w:lineRule="auto"/>
              <w:ind w:left="370"/>
            </w:pPr>
            <w:r>
              <w:rPr>
                <w:spacing w:val="-14"/>
              </w:rPr>
              <w:t>10</w:t>
            </w:r>
          </w:p>
        </w:tc>
        <w:tc>
          <w:tcPr>
            <w:tcW w:w="7423" w:type="dxa"/>
            <w:vAlign w:val="top"/>
          </w:tcPr>
          <w:p>
            <w:pPr>
              <w:pStyle w:val="98"/>
              <w:spacing w:before="40" w:line="359" w:lineRule="auto"/>
              <w:ind w:left="114" w:right="113" w:hanging="1"/>
            </w:pPr>
            <w:r>
              <w:t>拟投入本项目服务的人员及相关设备配置是</w:t>
            </w:r>
            <w:r>
              <w:rPr>
                <w:spacing w:val="-1"/>
              </w:rPr>
              <w:t>否完全满足本项目需求；</w:t>
            </w:r>
            <w:r>
              <w:t xml:space="preserve"> </w:t>
            </w:r>
            <w:r>
              <w:rPr>
                <w:spacing w:val="-1"/>
              </w:rPr>
              <w:t>人员及设备配备安排合理，管理人员与服务人员的搭配合理，能完全</w:t>
            </w:r>
          </w:p>
          <w:p>
            <w:pPr>
              <w:pStyle w:val="98"/>
              <w:spacing w:line="218" w:lineRule="auto"/>
              <w:ind w:left="113"/>
            </w:pPr>
            <w:r>
              <w:rPr>
                <w:spacing w:val="-1"/>
              </w:rPr>
              <w:t>满足本项目要求，得(7-10]分；</w:t>
            </w:r>
          </w:p>
          <w:p>
            <w:pPr>
              <w:pStyle w:val="98"/>
              <w:spacing w:before="183" w:line="466" w:lineRule="exact"/>
              <w:ind w:left="115"/>
            </w:pPr>
            <w:r>
              <w:rPr>
                <w:spacing w:val="-1"/>
                <w:position w:val="17"/>
              </w:rPr>
              <w:t>人员及设备配备安排基本合理，管理人员与服务人员的搭配基本合</w:t>
            </w:r>
          </w:p>
          <w:p>
            <w:pPr>
              <w:pStyle w:val="98"/>
              <w:spacing w:line="218" w:lineRule="auto"/>
              <w:ind w:left="116"/>
            </w:pPr>
            <w:r>
              <w:rPr>
                <w:spacing w:val="-1"/>
              </w:rPr>
              <w:t>理，基本满足本项目要求，得(4-7]分；</w:t>
            </w:r>
          </w:p>
          <w:p>
            <w:pPr>
              <w:pStyle w:val="98"/>
              <w:spacing w:before="184" w:line="219" w:lineRule="auto"/>
              <w:ind w:left="115"/>
            </w:pPr>
            <w:r>
              <w:rPr>
                <w:spacing w:val="-1"/>
              </w:rPr>
              <w:t>人员及设备配备的合理性较差，得[0-4]分。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1201" w:type="dxa"/>
            <w:vAlign w:val="top"/>
          </w:tcPr>
          <w:p>
            <w:pPr>
              <w:pStyle w:val="98"/>
              <w:spacing w:before="314" w:line="220" w:lineRule="auto"/>
              <w:ind w:left="131" w:leftChars="0"/>
              <w:rPr>
                <w:spacing w:val="-5"/>
              </w:rPr>
            </w:pPr>
            <w:r>
              <w:rPr>
                <w:spacing w:val="-4"/>
              </w:rPr>
              <w:t>企业业绩</w:t>
            </w:r>
          </w:p>
        </w:tc>
        <w:tc>
          <w:tcPr>
            <w:tcW w:w="899" w:type="dxa"/>
            <w:vAlign w:val="top"/>
          </w:tcPr>
          <w:p>
            <w:pPr>
              <w:spacing w:line="274" w:lineRule="auto"/>
              <w:rPr>
                <w:rFonts w:ascii="Arial"/>
                <w:sz w:val="21"/>
              </w:rPr>
            </w:pPr>
          </w:p>
          <w:p>
            <w:pPr>
              <w:pStyle w:val="98"/>
              <w:spacing w:before="78" w:line="182" w:lineRule="auto"/>
              <w:ind w:left="357" w:leftChars="0"/>
              <w:rPr>
                <w:spacing w:val="-14"/>
              </w:rPr>
            </w:pPr>
            <w:r>
              <w:t>5</w:t>
            </w:r>
          </w:p>
        </w:tc>
        <w:tc>
          <w:tcPr>
            <w:tcW w:w="7423" w:type="dxa"/>
            <w:vAlign w:val="top"/>
          </w:tcPr>
          <w:p>
            <w:pPr>
              <w:pStyle w:val="98"/>
              <w:spacing w:before="81" w:line="466" w:lineRule="exact"/>
              <w:ind w:left="116"/>
              <w:rPr>
                <w:spacing w:val="-1"/>
              </w:rPr>
            </w:pPr>
            <w:r>
              <w:rPr>
                <w:spacing w:val="-1"/>
              </w:rPr>
              <w:t>投标人提供2020年1月1日起至今业绩，每提供一份业绩得1分，最高得5分。</w:t>
            </w:r>
          </w:p>
        </w:tc>
      </w:tr>
    </w:tbl>
    <w:p>
      <w:pPr>
        <w:spacing w:before="78" w:line="220" w:lineRule="auto"/>
        <w:jc w:val="center"/>
        <w:outlineLvl w:val="3"/>
        <w:rPr>
          <w:rFonts w:ascii="宋体" w:hAnsi="宋体" w:eastAsia="宋体" w:cs="宋体"/>
          <w:sz w:val="24"/>
          <w:szCs w:val="24"/>
        </w:rPr>
      </w:pPr>
      <w:r>
        <w:rPr>
          <w:rFonts w:ascii="宋体" w:hAnsi="宋体" w:eastAsia="宋体" w:cs="宋体"/>
          <w:spacing w:val="-10"/>
          <w:sz w:val="24"/>
          <w:szCs w:val="24"/>
          <w14:textOutline w14:w="4249" w14:cap="sq" w14:cmpd="sng">
            <w14:solidFill>
              <w14:srgbClr w14:val="000000"/>
            </w14:solidFill>
            <w14:prstDash w14:val="solid"/>
            <w14:bevel/>
          </w14:textOutline>
        </w:rPr>
        <w:t>五、定标</w:t>
      </w:r>
    </w:p>
    <w:p>
      <w:pPr>
        <w:spacing w:before="109" w:line="219" w:lineRule="auto"/>
        <w:ind w:left="258"/>
        <w:rPr>
          <w:rFonts w:ascii="宋体" w:hAnsi="宋体" w:eastAsia="宋体" w:cs="宋体"/>
          <w:sz w:val="24"/>
          <w:szCs w:val="24"/>
        </w:rPr>
      </w:pPr>
      <w:r>
        <w:rPr>
          <w:rFonts w:ascii="宋体" w:hAnsi="宋体" w:eastAsia="宋体" w:cs="宋体"/>
          <w:spacing w:val="-2"/>
          <w:sz w:val="24"/>
          <w:szCs w:val="24"/>
        </w:rPr>
        <w:t>1、评标结果由全体评标委员会成员签字确认。</w:t>
      </w:r>
    </w:p>
    <w:p>
      <w:pPr>
        <w:spacing w:before="207" w:line="500" w:lineRule="exact"/>
        <w:ind w:left="243"/>
        <w:rPr>
          <w:rFonts w:ascii="宋体" w:hAnsi="宋体" w:eastAsia="宋体" w:cs="宋体"/>
          <w:sz w:val="24"/>
          <w:szCs w:val="24"/>
        </w:rPr>
      </w:pPr>
      <w:r>
        <w:rPr>
          <w:rFonts w:ascii="宋体" w:hAnsi="宋体" w:eastAsia="宋体" w:cs="宋体"/>
          <w:position w:val="19"/>
          <w:sz w:val="24"/>
          <w:szCs w:val="24"/>
        </w:rPr>
        <w:t>2、采购人根据评标报告中推荐的中标候选人排列顺序</w:t>
      </w:r>
      <w:r>
        <w:rPr>
          <w:rFonts w:ascii="宋体" w:hAnsi="宋体" w:eastAsia="宋体" w:cs="宋体"/>
          <w:spacing w:val="-1"/>
          <w:position w:val="19"/>
          <w:sz w:val="24"/>
          <w:szCs w:val="24"/>
        </w:rPr>
        <w:t>确定投标人，以复函通知采购代</w:t>
      </w:r>
    </w:p>
    <w:p>
      <w:pPr>
        <w:spacing w:line="218" w:lineRule="auto"/>
        <w:ind w:left="243"/>
        <w:rPr>
          <w:sz w:val="19"/>
          <w:szCs w:val="19"/>
        </w:rPr>
        <w:sectPr>
          <w:footerReference r:id="rId13" w:type="default"/>
          <w:pgSz w:w="11910" w:h="16840"/>
          <w:pgMar w:top="1351" w:right="1192" w:bottom="983" w:left="1189" w:header="0" w:footer="769" w:gutter="0"/>
          <w:cols w:space="720" w:num="1"/>
        </w:sectPr>
      </w:pPr>
      <w:r>
        <w:rPr>
          <w:rFonts w:ascii="宋体" w:hAnsi="宋体" w:eastAsia="宋体" w:cs="宋体"/>
          <w:spacing w:val="-4"/>
          <w:sz w:val="24"/>
          <w:szCs w:val="24"/>
        </w:rPr>
        <w:t>理机构。</w:t>
      </w:r>
    </w:p>
    <w:p>
      <w:pPr>
        <w:rPr>
          <w:rFonts w:ascii="宋体" w:hAnsi="宋体" w:cs="宋体"/>
          <w:b/>
          <w:bCs/>
          <w:sz w:val="24"/>
        </w:rPr>
      </w:pPr>
      <w:bookmarkStart w:id="66" w:name="bookmark6"/>
      <w:bookmarkEnd w:id="66"/>
    </w:p>
    <w:p>
      <w:pPr>
        <w:pStyle w:val="2"/>
        <w:numPr>
          <w:ilvl w:val="0"/>
          <w:numId w:val="15"/>
        </w:numPr>
        <w:jc w:val="center"/>
        <w:outlineLvl w:val="0"/>
        <w:rPr>
          <w:rFonts w:ascii="Calibri" w:hAnsi="Calibri"/>
          <w:b/>
          <w:bCs/>
          <w:kern w:val="44"/>
          <w:sz w:val="44"/>
          <w:szCs w:val="44"/>
        </w:rPr>
      </w:pPr>
      <w:r>
        <w:rPr>
          <w:rFonts w:hint="eastAsia" w:ascii="宋体" w:hAnsi="宋体" w:cs="宋体"/>
          <w:b/>
          <w:bCs/>
          <w:color w:val="auto"/>
          <w:kern w:val="2"/>
          <w:sz w:val="36"/>
          <w:szCs w:val="36"/>
        </w:rPr>
        <w:t xml:space="preserve"> </w:t>
      </w:r>
      <w:bookmarkStart w:id="67" w:name="_Toc23592"/>
      <w:r>
        <w:rPr>
          <w:rFonts w:hint="eastAsia" w:ascii="宋体" w:hAnsi="宋体" w:cs="宋体"/>
          <w:b/>
          <w:bCs/>
          <w:color w:val="auto"/>
          <w:kern w:val="2"/>
          <w:sz w:val="36"/>
          <w:szCs w:val="36"/>
        </w:rPr>
        <w:t>采购要求</w:t>
      </w:r>
      <w:bookmarkEnd w:id="67"/>
      <w:bookmarkStart w:id="68" w:name="_Toc15678"/>
    </w:p>
    <w:p>
      <w:pPr>
        <w:pStyle w:val="98"/>
        <w:numPr>
          <w:ilvl w:val="0"/>
          <w:numId w:val="16"/>
        </w:numPr>
        <w:spacing w:before="36" w:line="468" w:lineRule="exact"/>
        <w:ind w:left="116"/>
        <w:rPr>
          <w:rFonts w:hint="eastAsia"/>
          <w:spacing w:val="-1"/>
          <w:position w:val="17"/>
          <w:lang w:val="en-US" w:eastAsia="zh-CN"/>
        </w:rPr>
      </w:pPr>
      <w:r>
        <w:rPr>
          <w:rFonts w:hint="eastAsia"/>
          <w:spacing w:val="-1"/>
          <w:position w:val="17"/>
          <w:lang w:val="en-US" w:eastAsia="zh-CN"/>
        </w:rPr>
        <w:t>项目名称：延安大学附属医院医疗废物处置及感染性废物处置项目（二次）</w:t>
      </w:r>
    </w:p>
    <w:p>
      <w:pPr>
        <w:pStyle w:val="98"/>
        <w:numPr>
          <w:ilvl w:val="0"/>
          <w:numId w:val="16"/>
        </w:numPr>
        <w:spacing w:before="36" w:line="468" w:lineRule="exact"/>
        <w:ind w:left="116"/>
        <w:rPr>
          <w:rFonts w:hint="default"/>
          <w:spacing w:val="-1"/>
          <w:position w:val="17"/>
          <w:lang w:val="en-US" w:eastAsia="zh-CN"/>
        </w:rPr>
      </w:pPr>
      <w:r>
        <w:rPr>
          <w:rFonts w:hint="eastAsia"/>
          <w:spacing w:val="-1"/>
          <w:position w:val="17"/>
          <w:lang w:val="en-US" w:eastAsia="zh-CN"/>
        </w:rPr>
        <w:t>服务期：一年</w:t>
      </w:r>
    </w:p>
    <w:p>
      <w:pPr>
        <w:pStyle w:val="98"/>
        <w:spacing w:before="36" w:line="468" w:lineRule="exact"/>
        <w:ind w:left="116"/>
        <w:rPr>
          <w:rFonts w:hint="eastAsia"/>
          <w:spacing w:val="-1"/>
          <w:position w:val="17"/>
          <w:lang w:val="en-US" w:eastAsia="zh-CN"/>
        </w:rPr>
      </w:pPr>
      <w:r>
        <w:rPr>
          <w:rFonts w:hint="eastAsia"/>
          <w:spacing w:val="-1"/>
          <w:position w:val="17"/>
          <w:lang w:val="en-US" w:eastAsia="zh-CN"/>
        </w:rPr>
        <w:t>三、采购内容：我院2022年全院出院人数68242人，平均住院日9.19天，出院者占用总床日数626896；门诊总诊疗1099614人次。</w:t>
      </w:r>
    </w:p>
    <w:p>
      <w:pPr>
        <w:pStyle w:val="98"/>
        <w:spacing w:before="36" w:line="468" w:lineRule="exact"/>
        <w:ind w:left="116"/>
        <w:rPr>
          <w:rFonts w:hint="eastAsia"/>
          <w:spacing w:val="-1"/>
          <w:position w:val="17"/>
          <w:lang w:val="en-US" w:eastAsia="zh-CN"/>
        </w:rPr>
      </w:pPr>
      <w:r>
        <w:rPr>
          <w:rFonts w:hint="eastAsia"/>
          <w:spacing w:val="-1"/>
          <w:position w:val="17"/>
          <w:lang w:val="en-US" w:eastAsia="zh-CN"/>
        </w:rPr>
        <w:t>四、医疗废物处置费：</w:t>
      </w:r>
    </w:p>
    <w:p>
      <w:pPr>
        <w:pStyle w:val="98"/>
        <w:spacing w:before="36" w:line="468" w:lineRule="exact"/>
        <w:ind w:left="116" w:firstLine="476" w:firstLineChars="200"/>
        <w:rPr>
          <w:rFonts w:hint="default"/>
          <w:spacing w:val="-1"/>
          <w:position w:val="17"/>
          <w:lang w:val="en-US" w:eastAsia="zh-CN"/>
        </w:rPr>
      </w:pPr>
      <w:r>
        <w:rPr>
          <w:rFonts w:hint="eastAsia"/>
          <w:spacing w:val="-1"/>
          <w:position w:val="17"/>
          <w:lang w:val="en-US" w:eastAsia="zh-CN"/>
        </w:rPr>
        <w:t>依据《延安市物价局关地延安市医疗废物处置收费标准的复函》延市价函【2007】19号）文件精神：1、住院病人费用每床每日2.6元；2、门诊病人费用按实际就医门诊人次每3人次折合1张床位，每床2.6元计费。3、感染性，损伤性按病人数收费，化学性、病理性、药物性医疗废物每千克≤30元,总量约10000千克，具体以实际结算量为准。负责甲方医院本部和东关心脑血管病区所产生的医疗废物的装卸、转运、无害化处置。本协议所称医疗废物是指：适用于高温蒸汽处置技术规范所规定的感染性废物和损伤性废物。</w:t>
      </w:r>
    </w:p>
    <w:p>
      <w:pPr>
        <w:pStyle w:val="98"/>
        <w:spacing w:before="36" w:line="468" w:lineRule="exact"/>
        <w:ind w:left="116"/>
        <w:rPr>
          <w:spacing w:val="-1"/>
          <w:position w:val="17"/>
        </w:rPr>
      </w:pPr>
    </w:p>
    <w:bookmarkEnd w:id="68"/>
    <w:p>
      <w:pPr>
        <w:rPr>
          <w:rFonts w:hint="eastAsia" w:ascii="宋体" w:hAnsi="宋体" w:cs="宋体"/>
          <w:sz w:val="24"/>
          <w:szCs w:val="24"/>
        </w:rPr>
      </w:pPr>
      <w:bookmarkStart w:id="69" w:name="_Toc88554203"/>
      <w:bookmarkEnd w:id="69"/>
      <w:bookmarkStart w:id="70" w:name="_Toc88553857"/>
      <w:bookmarkEnd w:id="70"/>
      <w:bookmarkStart w:id="71" w:name="_Toc88553518"/>
      <w:bookmarkEnd w:id="71"/>
      <w:bookmarkStart w:id="72" w:name="_Toc86765144"/>
      <w:bookmarkEnd w:id="72"/>
      <w:bookmarkStart w:id="73" w:name="_Toc86765412"/>
      <w:bookmarkEnd w:id="73"/>
      <w:bookmarkStart w:id="74" w:name="_Toc88553346"/>
      <w:bookmarkEnd w:id="74"/>
      <w:bookmarkStart w:id="75" w:name="_Toc88554030"/>
      <w:bookmarkEnd w:id="75"/>
    </w:p>
    <w:p>
      <w:pPr>
        <w:keepNext/>
        <w:keepLines/>
        <w:tabs>
          <w:tab w:val="left" w:pos="2410"/>
          <w:tab w:val="center" w:pos="4212"/>
        </w:tabs>
        <w:spacing w:line="360" w:lineRule="auto"/>
        <w:ind w:firstLine="482" w:firstLineChars="200"/>
        <w:jc w:val="center"/>
        <w:outlineLvl w:val="0"/>
        <w:rPr>
          <w:rFonts w:ascii="宋体" w:hAnsi="宋体" w:cs="宋体"/>
          <w:b/>
          <w:bCs/>
          <w:sz w:val="24"/>
          <w:szCs w:val="24"/>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9"/>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rPr>
          <w:rFonts w:ascii="宋体" w:hAnsi="宋体" w:cs="宋体"/>
          <w:b/>
          <w:bCs/>
          <w:sz w:val="36"/>
          <w:szCs w:val="36"/>
        </w:rPr>
      </w:pPr>
    </w:p>
    <w:p>
      <w:pPr>
        <w:pStyle w:val="2"/>
        <w:rPr>
          <w:rFonts w:ascii="宋体" w:hAnsi="宋体" w:cs="宋体"/>
          <w:b/>
          <w:bCs/>
          <w:sz w:val="36"/>
          <w:szCs w:val="36"/>
        </w:rPr>
      </w:pPr>
    </w:p>
    <w:p>
      <w:pPr>
        <w:pStyle w:val="2"/>
        <w:rPr>
          <w:rFonts w:hint="eastAsia" w:ascii="宋体" w:hAnsi="宋体" w:eastAsia="宋体" w:cs="宋体"/>
          <w:b/>
          <w:bCs/>
          <w:sz w:val="36"/>
          <w:szCs w:val="36"/>
          <w:lang w:eastAsia="zh-CN"/>
        </w:rPr>
      </w:pPr>
    </w:p>
    <w:p>
      <w:pPr>
        <w:rPr>
          <w:rFonts w:hint="eastAsia" w:ascii="宋体" w:hAnsi="宋体" w:eastAsia="宋体" w:cs="宋体"/>
          <w:b/>
          <w:bCs/>
          <w:sz w:val="36"/>
          <w:szCs w:val="36"/>
          <w:lang w:eastAsia="zh-CN"/>
        </w:rPr>
      </w:pPr>
    </w:p>
    <w:p>
      <w:pPr>
        <w:pStyle w:val="2"/>
        <w:rPr>
          <w:rFonts w:hint="eastAsia" w:ascii="宋体" w:hAnsi="宋体" w:eastAsia="宋体" w:cs="宋体"/>
          <w:b/>
          <w:bCs/>
          <w:sz w:val="36"/>
          <w:szCs w:val="36"/>
          <w:lang w:eastAsia="zh-CN"/>
        </w:rPr>
      </w:pPr>
    </w:p>
    <w:p>
      <w:pPr>
        <w:rPr>
          <w:rFonts w:hint="eastAsia" w:ascii="宋体" w:hAnsi="宋体" w:eastAsia="宋体" w:cs="宋体"/>
          <w:b/>
          <w:bCs/>
          <w:sz w:val="36"/>
          <w:szCs w:val="36"/>
          <w:lang w:eastAsia="zh-CN"/>
        </w:rPr>
      </w:pPr>
    </w:p>
    <w:p>
      <w:pPr>
        <w:pStyle w:val="2"/>
        <w:rPr>
          <w:rFonts w:hint="eastAsia" w:ascii="宋体" w:hAnsi="宋体" w:eastAsia="宋体" w:cs="宋体"/>
          <w:b/>
          <w:bCs/>
          <w:sz w:val="36"/>
          <w:szCs w:val="36"/>
          <w:lang w:eastAsia="zh-CN"/>
        </w:rPr>
      </w:pPr>
    </w:p>
    <w:p>
      <w:pPr>
        <w:rPr>
          <w:rFonts w:hint="eastAsia"/>
          <w:lang w:eastAsia="zh-CN"/>
        </w:rPr>
      </w:pPr>
    </w:p>
    <w:p>
      <w:pPr>
        <w:pStyle w:val="2"/>
      </w:pPr>
    </w:p>
    <w:p>
      <w:pPr>
        <w:keepNext/>
        <w:keepLines/>
        <w:numPr>
          <w:ilvl w:val="0"/>
          <w:numId w:val="15"/>
        </w:numPr>
        <w:tabs>
          <w:tab w:val="left" w:pos="2410"/>
          <w:tab w:val="center" w:pos="4212"/>
        </w:tabs>
        <w:spacing w:line="360" w:lineRule="auto"/>
        <w:jc w:val="center"/>
        <w:outlineLvl w:val="0"/>
        <w:rPr>
          <w:rFonts w:ascii="宋体" w:hAnsi="宋体" w:cs="宋体"/>
          <w:b/>
          <w:bCs/>
          <w:sz w:val="36"/>
          <w:szCs w:val="36"/>
        </w:rPr>
      </w:pPr>
      <w:r>
        <w:rPr>
          <w:rFonts w:hint="eastAsia" w:ascii="宋体" w:hAnsi="宋体" w:cs="宋体"/>
          <w:b/>
          <w:bCs/>
          <w:sz w:val="36"/>
          <w:szCs w:val="36"/>
        </w:rPr>
        <w:t xml:space="preserve"> </w:t>
      </w:r>
      <w:bookmarkStart w:id="76" w:name="_Toc30976"/>
      <w:r>
        <w:rPr>
          <w:rFonts w:hint="eastAsia" w:ascii="宋体" w:hAnsi="宋体" w:cs="宋体"/>
          <w:b/>
          <w:bCs/>
          <w:sz w:val="36"/>
          <w:szCs w:val="36"/>
        </w:rPr>
        <w:t>合同条款</w:t>
      </w:r>
      <w:bookmarkEnd w:id="76"/>
    </w:p>
    <w:p>
      <w:pPr>
        <w:widowControl/>
        <w:autoSpaceDE w:val="0"/>
        <w:adjustRightInd w:val="0"/>
        <w:snapToGrid w:val="0"/>
        <w:spacing w:line="580" w:lineRule="exact"/>
        <w:ind w:firstLine="482" w:firstLineChars="200"/>
        <w:jc w:val="left"/>
      </w:pPr>
      <w:r>
        <w:rPr>
          <w:rFonts w:hint="eastAsia" w:ascii="仿宋_GB2312" w:hAnsi="仿宋_GB2312" w:eastAsia="仿宋_GB2312" w:cs="仿宋_GB2312"/>
          <w:b/>
          <w:bCs/>
          <w:sz w:val="24"/>
          <w:szCs w:val="24"/>
          <w:lang w:val="zh-CN"/>
        </w:rPr>
        <w:t>（此合同只作为参考，最终签订的合同以采购人确定的合同内容为准。）</w:t>
      </w:r>
      <w:bookmarkStart w:id="77" w:name="_Toc2234"/>
    </w:p>
    <w:p>
      <w:pPr>
        <w:spacing w:before="78" w:line="466" w:lineRule="exact"/>
        <w:ind w:left="511"/>
        <w:rPr>
          <w:rFonts w:ascii="宋体" w:hAnsi="宋体" w:eastAsia="宋体" w:cs="宋体"/>
          <w:sz w:val="24"/>
          <w:szCs w:val="24"/>
        </w:rPr>
      </w:pPr>
      <w:r>
        <w:rPr>
          <w:rFonts w:ascii="宋体" w:hAnsi="宋体" w:eastAsia="宋体" w:cs="宋体"/>
          <w:spacing w:val="-4"/>
          <w:position w:val="17"/>
          <w:sz w:val="24"/>
          <w:szCs w:val="24"/>
          <w14:textOutline w14:w="4358" w14:cap="sq" w14:cmpd="sng">
            <w14:solidFill>
              <w14:srgbClr w14:val="000000"/>
            </w14:solidFill>
            <w14:prstDash w14:val="solid"/>
            <w14:bevel/>
          </w14:textOutline>
        </w:rPr>
        <w:t>甲方：</w:t>
      </w:r>
    </w:p>
    <w:p>
      <w:pPr>
        <w:spacing w:before="1" w:line="220" w:lineRule="auto"/>
        <w:ind w:left="504"/>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乙方：</w:t>
      </w:r>
    </w:p>
    <w:p>
      <w:pPr>
        <w:spacing w:before="181" w:line="359" w:lineRule="auto"/>
        <w:ind w:left="7" w:right="120" w:firstLine="716"/>
        <w:rPr>
          <w:rFonts w:ascii="宋体" w:hAnsi="宋体" w:eastAsia="宋体" w:cs="宋体"/>
          <w:sz w:val="24"/>
          <w:szCs w:val="24"/>
        </w:rPr>
      </w:pPr>
      <w:r>
        <w:rPr>
          <w:rFonts w:ascii="宋体" w:hAnsi="宋体" w:eastAsia="宋体" w:cs="宋体"/>
          <w:sz w:val="24"/>
          <w:szCs w:val="24"/>
        </w:rPr>
        <w:t>为了保障人民群众的身体健康，净化、美化我市生</w:t>
      </w:r>
      <w:r>
        <w:rPr>
          <w:rFonts w:ascii="宋体" w:hAnsi="宋体" w:eastAsia="宋体" w:cs="宋体"/>
          <w:spacing w:val="-1"/>
          <w:sz w:val="24"/>
          <w:szCs w:val="24"/>
        </w:rPr>
        <w:t>态环境和广大居民生活环境，按</w:t>
      </w:r>
      <w:r>
        <w:rPr>
          <w:rFonts w:ascii="宋体" w:hAnsi="宋体" w:eastAsia="宋体" w:cs="宋体"/>
          <w:sz w:val="24"/>
          <w:szCs w:val="24"/>
        </w:rPr>
        <w:t xml:space="preserve"> 照《固体污染防治法》《医疗废物管理条例》《医</w:t>
      </w:r>
      <w:r>
        <w:rPr>
          <w:rFonts w:ascii="宋体" w:hAnsi="宋体" w:eastAsia="宋体" w:cs="宋体"/>
          <w:spacing w:val="-1"/>
          <w:sz w:val="24"/>
          <w:szCs w:val="24"/>
        </w:rPr>
        <w:t>疗卫生机构医疗废物管理办法》和延安</w:t>
      </w:r>
      <w:r>
        <w:rPr>
          <w:rFonts w:ascii="宋体" w:hAnsi="宋体" w:eastAsia="宋体" w:cs="宋体"/>
          <w:sz w:val="24"/>
          <w:szCs w:val="24"/>
        </w:rPr>
        <w:t xml:space="preserve"> 市人民政府延政办发[2011]36号（关于进一步加强</w:t>
      </w:r>
      <w:r>
        <w:rPr>
          <w:rFonts w:ascii="宋体" w:hAnsi="宋体" w:eastAsia="宋体" w:cs="宋体"/>
          <w:spacing w:val="-1"/>
          <w:sz w:val="24"/>
          <w:szCs w:val="24"/>
        </w:rPr>
        <w:t>医疗废物管理工作通知）精神，规范和</w:t>
      </w:r>
      <w:r>
        <w:rPr>
          <w:rFonts w:ascii="宋体" w:hAnsi="宋体" w:eastAsia="宋体" w:cs="宋体"/>
          <w:sz w:val="24"/>
          <w:szCs w:val="24"/>
        </w:rPr>
        <w:t xml:space="preserve"> 改变全市医疗废物处置环节，医疗废物产生机构与</w:t>
      </w:r>
      <w:r>
        <w:rPr>
          <w:rFonts w:ascii="宋体" w:hAnsi="宋体" w:eastAsia="宋体" w:cs="宋体"/>
          <w:spacing w:val="-1"/>
          <w:sz w:val="24"/>
          <w:szCs w:val="24"/>
        </w:rPr>
        <w:t>医疗废物处置机构，严格按照《医疗废</w:t>
      </w:r>
    </w:p>
    <w:p>
      <w:pPr>
        <w:spacing w:before="1" w:line="218" w:lineRule="auto"/>
        <w:rPr>
          <w:rFonts w:ascii="宋体" w:hAnsi="宋体" w:eastAsia="宋体" w:cs="宋体"/>
          <w:sz w:val="24"/>
          <w:szCs w:val="24"/>
        </w:rPr>
      </w:pPr>
      <w:r>
        <w:rPr>
          <w:rFonts w:ascii="宋体" w:hAnsi="宋体" w:eastAsia="宋体" w:cs="宋体"/>
          <w:sz w:val="24"/>
          <w:szCs w:val="24"/>
        </w:rPr>
        <w:t>物管理条例》第三章、第四章条例履行职责，确保我市医疗废</w:t>
      </w:r>
      <w:r>
        <w:rPr>
          <w:rFonts w:ascii="宋体" w:hAnsi="宋体" w:eastAsia="宋体" w:cs="宋体"/>
          <w:spacing w:val="-1"/>
          <w:sz w:val="24"/>
          <w:szCs w:val="24"/>
        </w:rPr>
        <w:t>物集中管理处置达到资源</w:t>
      </w:r>
    </w:p>
    <w:p>
      <w:pPr>
        <w:spacing w:before="181" w:line="220" w:lineRule="auto"/>
        <w:ind w:left="1"/>
        <w:rPr>
          <w:rFonts w:ascii="宋体" w:hAnsi="宋体" w:eastAsia="宋体" w:cs="宋体"/>
          <w:sz w:val="24"/>
          <w:szCs w:val="24"/>
        </w:rPr>
      </w:pPr>
      <w:r>
        <w:rPr>
          <w:rFonts w:ascii="宋体" w:hAnsi="宋体" w:eastAsia="宋体" w:cs="宋体"/>
          <w:spacing w:val="-1"/>
          <w:sz w:val="24"/>
          <w:szCs w:val="24"/>
        </w:rPr>
        <w:t>化、无害化、减量化，双方协议如下：</w:t>
      </w:r>
    </w:p>
    <w:p>
      <w:pPr>
        <w:spacing w:before="183" w:line="219" w:lineRule="auto"/>
        <w:ind w:left="480"/>
        <w:rPr>
          <w:rFonts w:ascii="宋体" w:hAnsi="宋体" w:eastAsia="宋体" w:cs="宋体"/>
          <w:sz w:val="24"/>
          <w:szCs w:val="24"/>
        </w:rPr>
      </w:pPr>
      <w:r>
        <w:rPr>
          <w:rFonts w:ascii="宋体" w:hAnsi="宋体" w:eastAsia="宋体" w:cs="宋体"/>
          <w:spacing w:val="-2"/>
          <w:sz w:val="24"/>
          <w:szCs w:val="24"/>
        </w:rPr>
        <w:t>第一条：委托事项</w:t>
      </w:r>
    </w:p>
    <w:p>
      <w:pPr>
        <w:spacing w:before="183" w:line="219" w:lineRule="auto"/>
        <w:ind w:left="498"/>
        <w:rPr>
          <w:rFonts w:ascii="宋体" w:hAnsi="宋体" w:eastAsia="宋体" w:cs="宋体"/>
          <w:sz w:val="24"/>
          <w:szCs w:val="24"/>
        </w:rPr>
      </w:pPr>
      <w:r>
        <w:rPr>
          <w:rFonts w:ascii="宋体" w:hAnsi="宋体" w:eastAsia="宋体" w:cs="宋体"/>
          <w:spacing w:val="-1"/>
          <w:sz w:val="24"/>
          <w:szCs w:val="24"/>
        </w:rPr>
        <w:t>1、甲方委托乙方对甲方所产生的医疗废物进行收集、运输和无害化集中处置。</w:t>
      </w:r>
    </w:p>
    <w:p>
      <w:pPr>
        <w:spacing w:before="180" w:line="466" w:lineRule="exact"/>
        <w:jc w:val="right"/>
        <w:rPr>
          <w:rFonts w:ascii="宋体" w:hAnsi="宋体" w:eastAsia="宋体" w:cs="宋体"/>
          <w:sz w:val="24"/>
          <w:szCs w:val="24"/>
        </w:rPr>
      </w:pPr>
      <w:r>
        <w:rPr>
          <w:rFonts w:ascii="宋体" w:hAnsi="宋体" w:eastAsia="宋体" w:cs="宋体"/>
          <w:position w:val="17"/>
          <w:sz w:val="24"/>
          <w:szCs w:val="24"/>
        </w:rPr>
        <w:t>2、本协议所称医疗废物是指：适用于高温蒸汽处置技</w:t>
      </w:r>
      <w:r>
        <w:rPr>
          <w:rFonts w:ascii="宋体" w:hAnsi="宋体" w:eastAsia="宋体" w:cs="宋体"/>
          <w:spacing w:val="-1"/>
          <w:position w:val="17"/>
          <w:sz w:val="24"/>
          <w:szCs w:val="24"/>
        </w:rPr>
        <w:t>术规范所规定的感染性医疗废物</w:t>
      </w:r>
    </w:p>
    <w:p>
      <w:pPr>
        <w:spacing w:line="219" w:lineRule="auto"/>
        <w:ind w:left="1"/>
        <w:rPr>
          <w:rFonts w:ascii="宋体" w:hAnsi="宋体" w:eastAsia="宋体" w:cs="宋体"/>
          <w:sz w:val="24"/>
          <w:szCs w:val="24"/>
        </w:rPr>
      </w:pPr>
      <w:r>
        <w:rPr>
          <w:rFonts w:ascii="宋体" w:hAnsi="宋体" w:eastAsia="宋体" w:cs="宋体"/>
          <w:spacing w:val="-2"/>
          <w:sz w:val="24"/>
          <w:szCs w:val="24"/>
        </w:rPr>
        <w:t>和损伤性医疗废物。</w:t>
      </w:r>
    </w:p>
    <w:p>
      <w:pPr>
        <w:spacing w:before="184" w:line="219" w:lineRule="auto"/>
        <w:ind w:left="480"/>
        <w:rPr>
          <w:rFonts w:ascii="宋体" w:hAnsi="宋体" w:eastAsia="宋体" w:cs="宋体"/>
          <w:sz w:val="24"/>
          <w:szCs w:val="24"/>
        </w:rPr>
      </w:pPr>
      <w:r>
        <w:rPr>
          <w:rFonts w:ascii="宋体" w:hAnsi="宋体" w:eastAsia="宋体" w:cs="宋体"/>
          <w:spacing w:val="-2"/>
          <w:sz w:val="24"/>
          <w:szCs w:val="24"/>
        </w:rPr>
        <w:t>第二条：共同义务</w:t>
      </w:r>
    </w:p>
    <w:p>
      <w:pPr>
        <w:spacing w:before="183" w:line="465" w:lineRule="exact"/>
        <w:ind w:left="480"/>
        <w:rPr>
          <w:rFonts w:ascii="宋体" w:hAnsi="宋体" w:eastAsia="宋体" w:cs="宋体"/>
          <w:sz w:val="24"/>
          <w:szCs w:val="24"/>
        </w:rPr>
      </w:pPr>
      <w:r>
        <w:rPr>
          <w:rFonts w:ascii="宋体" w:hAnsi="宋体" w:eastAsia="宋体" w:cs="宋体"/>
          <w:position w:val="17"/>
          <w:sz w:val="24"/>
          <w:szCs w:val="24"/>
        </w:rPr>
        <w:t>相互出具运转过程中印件、票据、账户、联单填写接交；信</w:t>
      </w:r>
      <w:r>
        <w:rPr>
          <w:rFonts w:ascii="宋体" w:hAnsi="宋体" w:eastAsia="宋体" w:cs="宋体"/>
          <w:spacing w:val="-1"/>
          <w:position w:val="17"/>
          <w:sz w:val="24"/>
          <w:szCs w:val="24"/>
        </w:rPr>
        <w:t>息按照职责分工，共同接</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受环保行政部门对医疗废物收集、贮存、运送、处置流程监督检查。</w:t>
      </w:r>
    </w:p>
    <w:p>
      <w:pPr>
        <w:spacing w:before="183" w:line="219" w:lineRule="auto"/>
        <w:ind w:left="480"/>
        <w:rPr>
          <w:rFonts w:ascii="宋体" w:hAnsi="宋体" w:eastAsia="宋体" w:cs="宋体"/>
          <w:sz w:val="24"/>
          <w:szCs w:val="24"/>
        </w:rPr>
      </w:pPr>
      <w:r>
        <w:rPr>
          <w:rFonts w:ascii="宋体" w:hAnsi="宋体" w:eastAsia="宋体" w:cs="宋体"/>
          <w:spacing w:val="-1"/>
          <w:sz w:val="24"/>
          <w:szCs w:val="24"/>
        </w:rPr>
        <w:t>第三条：双方职责与义务</w:t>
      </w:r>
    </w:p>
    <w:p>
      <w:pPr>
        <w:spacing w:before="180" w:line="468" w:lineRule="exact"/>
        <w:jc w:val="right"/>
        <w:rPr>
          <w:rFonts w:ascii="宋体" w:hAnsi="宋体" w:eastAsia="宋体" w:cs="宋体"/>
          <w:sz w:val="24"/>
          <w:szCs w:val="24"/>
        </w:rPr>
      </w:pPr>
      <w:r>
        <w:rPr>
          <w:rFonts w:ascii="宋体" w:hAnsi="宋体" w:eastAsia="宋体" w:cs="宋体"/>
          <w:spacing w:val="-1"/>
          <w:position w:val="17"/>
          <w:sz w:val="24"/>
          <w:szCs w:val="24"/>
        </w:rPr>
        <w:t>甲方：1、严格按照医疗废物分类目录，规范分装，标识明确，定点贮存，暂</w:t>
      </w:r>
      <w:r>
        <w:rPr>
          <w:rFonts w:ascii="宋体" w:hAnsi="宋体" w:eastAsia="宋体" w:cs="宋体"/>
          <w:spacing w:val="-2"/>
          <w:position w:val="17"/>
          <w:sz w:val="24"/>
          <w:szCs w:val="24"/>
        </w:rPr>
        <w:t>存间应设</w:t>
      </w:r>
    </w:p>
    <w:p>
      <w:pPr>
        <w:spacing w:before="1" w:line="219" w:lineRule="auto"/>
        <w:rPr>
          <w:rFonts w:ascii="宋体" w:hAnsi="宋体" w:eastAsia="宋体" w:cs="宋体"/>
          <w:sz w:val="24"/>
          <w:szCs w:val="24"/>
        </w:rPr>
      </w:pPr>
      <w:r>
        <w:rPr>
          <w:rFonts w:ascii="宋体" w:hAnsi="宋体" w:eastAsia="宋体" w:cs="宋体"/>
          <w:spacing w:val="-1"/>
          <w:sz w:val="24"/>
          <w:szCs w:val="24"/>
        </w:rPr>
        <w:t>在避开人流周转车辆易装的地方。</w:t>
      </w:r>
    </w:p>
    <w:p>
      <w:pPr>
        <w:spacing w:before="181" w:line="219" w:lineRule="auto"/>
        <w:ind w:left="483"/>
        <w:rPr>
          <w:rFonts w:ascii="宋体" w:hAnsi="宋体" w:eastAsia="宋体" w:cs="宋体"/>
          <w:sz w:val="24"/>
          <w:szCs w:val="24"/>
        </w:rPr>
      </w:pPr>
      <w:r>
        <w:rPr>
          <w:rFonts w:ascii="宋体" w:hAnsi="宋体" w:eastAsia="宋体" w:cs="宋体"/>
          <w:spacing w:val="-1"/>
          <w:sz w:val="24"/>
          <w:szCs w:val="24"/>
        </w:rPr>
        <w:t>2、专人负责、计量、联单登记转交、检查核对废物移交。</w:t>
      </w:r>
    </w:p>
    <w:p>
      <w:pPr>
        <w:spacing w:before="182" w:line="218" w:lineRule="auto"/>
        <w:ind w:left="485"/>
        <w:rPr>
          <w:rFonts w:ascii="宋体" w:hAnsi="宋体" w:eastAsia="宋体" w:cs="宋体"/>
          <w:sz w:val="24"/>
          <w:szCs w:val="24"/>
        </w:rPr>
      </w:pPr>
      <w:r>
        <w:rPr>
          <w:rFonts w:ascii="宋体" w:hAnsi="宋体" w:eastAsia="宋体" w:cs="宋体"/>
          <w:spacing w:val="-1"/>
          <w:sz w:val="24"/>
          <w:szCs w:val="24"/>
        </w:rPr>
        <w:t>3、爱护乙方提供的周转箱，如因甲方造成损坏、丢失照价赔偿。</w:t>
      </w:r>
    </w:p>
    <w:p>
      <w:pPr>
        <w:spacing w:before="183" w:line="219" w:lineRule="auto"/>
        <w:ind w:left="480"/>
        <w:rPr>
          <w:rFonts w:ascii="宋体" w:hAnsi="宋体" w:eastAsia="宋体" w:cs="宋体"/>
          <w:sz w:val="24"/>
          <w:szCs w:val="24"/>
        </w:rPr>
      </w:pPr>
      <w:r>
        <w:rPr>
          <w:rFonts w:ascii="宋体" w:hAnsi="宋体" w:eastAsia="宋体" w:cs="宋体"/>
          <w:spacing w:val="-1"/>
          <w:sz w:val="24"/>
          <w:szCs w:val="24"/>
        </w:rPr>
        <w:t>4、按协议规定时限付给乙方医疗废物处置费用。</w:t>
      </w:r>
    </w:p>
    <w:p>
      <w:pPr>
        <w:spacing w:before="183" w:line="466" w:lineRule="exact"/>
        <w:jc w:val="right"/>
        <w:rPr>
          <w:rFonts w:ascii="宋体" w:hAnsi="宋体" w:eastAsia="宋体" w:cs="宋体"/>
          <w:sz w:val="24"/>
          <w:szCs w:val="24"/>
        </w:rPr>
      </w:pPr>
      <w:r>
        <w:rPr>
          <w:rFonts w:ascii="宋体" w:hAnsi="宋体" w:eastAsia="宋体" w:cs="宋体"/>
          <w:spacing w:val="-1"/>
          <w:position w:val="17"/>
          <w:sz w:val="24"/>
          <w:szCs w:val="24"/>
        </w:rPr>
        <w:t>乙方：1、乙方作为延安市及所辖区域唯一具有专业资质的医疗废物处置单位，必须履</w:t>
      </w:r>
    </w:p>
    <w:p>
      <w:pPr>
        <w:spacing w:line="219" w:lineRule="auto"/>
        <w:ind w:left="4"/>
        <w:rPr>
          <w:rFonts w:ascii="宋体" w:hAnsi="宋体" w:eastAsia="宋体" w:cs="宋体"/>
          <w:sz w:val="24"/>
          <w:szCs w:val="24"/>
        </w:rPr>
      </w:pPr>
      <w:r>
        <w:rPr>
          <w:rFonts w:ascii="宋体" w:hAnsi="宋体" w:eastAsia="宋体" w:cs="宋体"/>
          <w:sz w:val="24"/>
          <w:szCs w:val="24"/>
        </w:rPr>
        <w:t>行职责，严格按照国家环保部《医疗废物处置工程技</w:t>
      </w:r>
      <w:r>
        <w:rPr>
          <w:rFonts w:ascii="宋体" w:hAnsi="宋体" w:eastAsia="宋体" w:cs="宋体"/>
          <w:spacing w:val="-1"/>
          <w:sz w:val="24"/>
          <w:szCs w:val="24"/>
        </w:rPr>
        <w:t>术规范》要求，做好医疗废物的收</w:t>
      </w:r>
    </w:p>
    <w:p>
      <w:pPr>
        <w:spacing w:before="183" w:line="219" w:lineRule="auto"/>
        <w:rPr>
          <w:rFonts w:ascii="宋体" w:hAnsi="宋体" w:eastAsia="宋体" w:cs="宋体"/>
          <w:sz w:val="24"/>
          <w:szCs w:val="24"/>
        </w:rPr>
      </w:pPr>
      <w:r>
        <w:rPr>
          <w:rFonts w:ascii="宋体" w:hAnsi="宋体" w:eastAsia="宋体" w:cs="宋体"/>
          <w:spacing w:val="-1"/>
          <w:sz w:val="24"/>
          <w:szCs w:val="24"/>
        </w:rPr>
        <w:t>集、转运、处置工作。</w:t>
      </w:r>
    </w:p>
    <w:p>
      <w:pPr>
        <w:spacing w:before="183" w:line="466" w:lineRule="exact"/>
        <w:jc w:val="right"/>
        <w:rPr>
          <w:rFonts w:ascii="宋体" w:hAnsi="宋体" w:eastAsia="宋体" w:cs="宋体"/>
          <w:sz w:val="24"/>
          <w:szCs w:val="24"/>
        </w:rPr>
      </w:pPr>
      <w:r>
        <w:rPr>
          <w:rFonts w:ascii="宋体" w:hAnsi="宋体" w:eastAsia="宋体" w:cs="宋体"/>
          <w:position w:val="17"/>
          <w:sz w:val="24"/>
          <w:szCs w:val="24"/>
        </w:rPr>
        <w:t>2、按规定时限及时到甲方医疗废物暂存点运转医疗废</w:t>
      </w:r>
      <w:r>
        <w:rPr>
          <w:rFonts w:ascii="宋体" w:hAnsi="宋体" w:eastAsia="宋体" w:cs="宋体"/>
          <w:spacing w:val="-1"/>
          <w:position w:val="17"/>
          <w:sz w:val="24"/>
          <w:szCs w:val="24"/>
        </w:rPr>
        <w:t>物。如果甲方未按规定分装，混</w:t>
      </w:r>
    </w:p>
    <w:p>
      <w:pPr>
        <w:spacing w:line="219" w:lineRule="auto"/>
        <w:rPr>
          <w:rFonts w:ascii="宋体" w:hAnsi="宋体" w:eastAsia="宋体" w:cs="宋体"/>
          <w:sz w:val="24"/>
          <w:szCs w:val="24"/>
        </w:rPr>
      </w:pPr>
      <w:r>
        <w:rPr>
          <w:rFonts w:ascii="宋体" w:hAnsi="宋体" w:eastAsia="宋体" w:cs="宋体"/>
          <w:spacing w:val="-1"/>
          <w:sz w:val="24"/>
          <w:szCs w:val="24"/>
        </w:rPr>
        <w:t>入非医疗废物，乙方有权拒绝接收。</w:t>
      </w:r>
    </w:p>
    <w:p>
      <w:pPr>
        <w:spacing w:before="180" w:line="219" w:lineRule="auto"/>
        <w:ind w:left="485"/>
        <w:rPr>
          <w:rFonts w:ascii="宋体" w:hAnsi="宋体" w:eastAsia="宋体" w:cs="宋体"/>
          <w:sz w:val="24"/>
          <w:szCs w:val="24"/>
        </w:rPr>
      </w:pPr>
      <w:r>
        <w:rPr>
          <w:rFonts w:ascii="宋体" w:hAnsi="宋体" w:eastAsia="宋体" w:cs="宋体"/>
          <w:spacing w:val="-2"/>
          <w:sz w:val="24"/>
          <w:szCs w:val="24"/>
        </w:rPr>
        <w:t>3、向甲方提供所需的周转箱。</w:t>
      </w:r>
    </w:p>
    <w:p>
      <w:pPr>
        <w:spacing w:before="184" w:line="219" w:lineRule="auto"/>
        <w:ind w:left="480"/>
        <w:rPr>
          <w:rFonts w:ascii="宋体" w:hAnsi="宋体" w:eastAsia="宋体" w:cs="宋体"/>
          <w:sz w:val="24"/>
          <w:szCs w:val="24"/>
        </w:rPr>
      </w:pPr>
      <w:r>
        <w:rPr>
          <w:rFonts w:ascii="宋体" w:hAnsi="宋体" w:eastAsia="宋体" w:cs="宋体"/>
          <w:sz w:val="24"/>
          <w:szCs w:val="24"/>
        </w:rPr>
        <w:t>4、认真核对联单，及时转交联单，双方签</w:t>
      </w:r>
      <w:r>
        <w:rPr>
          <w:rFonts w:ascii="宋体" w:hAnsi="宋体" w:eastAsia="宋体" w:cs="宋体"/>
          <w:spacing w:val="-1"/>
          <w:sz w:val="24"/>
          <w:szCs w:val="24"/>
        </w:rPr>
        <w:t>字、盖章后方可运转。</w:t>
      </w:r>
    </w:p>
    <w:p>
      <w:pPr>
        <w:spacing w:line="219" w:lineRule="auto"/>
        <w:rPr>
          <w:rFonts w:ascii="宋体" w:hAnsi="宋体" w:eastAsia="宋体" w:cs="宋体"/>
          <w:sz w:val="24"/>
          <w:szCs w:val="24"/>
        </w:rPr>
        <w:sectPr>
          <w:footerReference r:id="rId14" w:type="default"/>
          <w:pgSz w:w="11910" w:h="16840"/>
          <w:pgMar w:top="1403" w:right="1230" w:bottom="983" w:left="1208" w:header="0" w:footer="769" w:gutter="0"/>
          <w:cols w:space="720" w:num="1"/>
        </w:sectPr>
      </w:pPr>
    </w:p>
    <w:p>
      <w:pPr>
        <w:spacing w:before="54" w:line="496" w:lineRule="exact"/>
        <w:ind w:left="463"/>
        <w:rPr>
          <w:rFonts w:ascii="宋体" w:hAnsi="宋体" w:eastAsia="宋体" w:cs="宋体"/>
          <w:sz w:val="24"/>
          <w:szCs w:val="24"/>
        </w:rPr>
      </w:pPr>
      <w:r>
        <w:rPr>
          <w:rFonts w:ascii="宋体" w:hAnsi="宋体" w:eastAsia="宋体" w:cs="宋体"/>
          <w:position w:val="38"/>
          <w:sz w:val="24"/>
          <w:szCs w:val="24"/>
        </w:rPr>
        <w:drawing>
          <wp:inline distT="0" distB="0" distL="0" distR="0">
            <wp:extent cx="8890" cy="8890"/>
            <wp:effectExtent l="0" t="0" r="0" b="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31"/>
                    <a:stretch>
                      <a:fillRect/>
                    </a:stretch>
                  </pic:blipFill>
                  <pic:spPr>
                    <a:xfrm>
                      <a:off x="0" y="0"/>
                      <a:ext cx="9144" cy="8890"/>
                    </a:xfrm>
                    <a:prstGeom prst="rect">
                      <a:avLst/>
                    </a:prstGeom>
                  </pic:spPr>
                </pic:pic>
              </a:graphicData>
            </a:graphic>
          </wp:inline>
        </w:drawing>
      </w:r>
      <w:r>
        <w:rPr>
          <w:rFonts w:ascii="宋体" w:hAnsi="宋体" w:eastAsia="宋体" w:cs="宋体"/>
          <w:spacing w:val="-107"/>
          <w:position w:val="16"/>
          <w:sz w:val="24"/>
          <w:szCs w:val="24"/>
        </w:rPr>
        <w:t xml:space="preserve"> </w:t>
      </w:r>
      <w:r>
        <w:rPr>
          <w:rFonts w:ascii="宋体" w:hAnsi="宋体" w:eastAsia="宋体" w:cs="宋体"/>
          <w:spacing w:val="-1"/>
          <w:position w:val="16"/>
          <w:sz w:val="24"/>
          <w:szCs w:val="24"/>
        </w:rPr>
        <w:t>5、按结算时限及时向甲方提供信息收费票据。</w:t>
      </w:r>
    </w:p>
    <w:p>
      <w:pPr>
        <w:spacing w:line="219" w:lineRule="auto"/>
        <w:ind w:left="480"/>
        <w:rPr>
          <w:rFonts w:ascii="宋体" w:hAnsi="宋体" w:eastAsia="宋体" w:cs="宋体"/>
          <w:sz w:val="24"/>
          <w:szCs w:val="24"/>
        </w:rPr>
      </w:pPr>
      <w:r>
        <w:rPr>
          <w:rFonts w:ascii="宋体" w:hAnsi="宋体" w:eastAsia="宋体" w:cs="宋体"/>
          <w:spacing w:val="-1"/>
          <w:sz w:val="24"/>
          <w:szCs w:val="24"/>
        </w:rPr>
        <w:t>第四条：收费标准与结算方式</w:t>
      </w:r>
    </w:p>
    <w:p>
      <w:pPr>
        <w:spacing w:before="180" w:line="218" w:lineRule="auto"/>
        <w:ind w:left="482"/>
        <w:rPr>
          <w:rFonts w:ascii="宋体" w:hAnsi="宋体" w:eastAsia="宋体" w:cs="宋体"/>
          <w:sz w:val="24"/>
          <w:szCs w:val="24"/>
        </w:rPr>
      </w:pPr>
      <w:r>
        <w:rPr>
          <w:rFonts w:ascii="宋体" w:hAnsi="宋体" w:eastAsia="宋体" w:cs="宋体"/>
          <w:spacing w:val="-1"/>
          <w:sz w:val="24"/>
          <w:szCs w:val="24"/>
        </w:rPr>
        <w:t>按给定单价限价中标企业优惠率结算：</w:t>
      </w:r>
    </w:p>
    <w:p>
      <w:pPr>
        <w:tabs>
          <w:tab w:val="left" w:pos="602"/>
        </w:tabs>
        <w:spacing w:before="184" w:line="360"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 xml:space="preserve">2023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日至</w:t>
      </w:r>
      <w:r>
        <w:rPr>
          <w:rFonts w:ascii="宋体" w:hAnsi="宋体" w:eastAsia="宋体" w:cs="宋体"/>
          <w:spacing w:val="-4"/>
          <w:sz w:val="24"/>
          <w:szCs w:val="24"/>
          <w:u w:val="single" w:color="auto"/>
        </w:rPr>
        <w:t xml:space="preserve"> 2024 </w:t>
      </w:r>
      <w:r>
        <w:rPr>
          <w:rFonts w:ascii="宋体" w:hAnsi="宋体" w:eastAsia="宋体" w:cs="宋体"/>
          <w:spacing w:val="-4"/>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日。医疗废物处置费总计人民币</w:t>
      </w:r>
      <w:r>
        <w:rPr>
          <w:rFonts w:ascii="宋体" w:hAnsi="宋体" w:eastAsia="宋体" w:cs="宋体"/>
          <w:sz w:val="24"/>
          <w:szCs w:val="24"/>
        </w:rPr>
        <w:t xml:space="preserve"> </w:t>
      </w:r>
      <w:r>
        <w:rPr>
          <w:rFonts w:ascii="宋体" w:hAnsi="宋体" w:eastAsia="宋体" w:cs="宋体"/>
          <w:spacing w:val="-4"/>
          <w:sz w:val="24"/>
          <w:szCs w:val="24"/>
        </w:rPr>
        <w:t>（大</w:t>
      </w:r>
    </w:p>
    <w:p>
      <w:pPr>
        <w:spacing w:line="219" w:lineRule="auto"/>
        <w:ind w:left="7"/>
        <w:rPr>
          <w:rFonts w:ascii="宋体" w:hAnsi="宋体" w:eastAsia="宋体" w:cs="宋体"/>
          <w:sz w:val="24"/>
          <w:szCs w:val="24"/>
        </w:rPr>
      </w:pPr>
      <w:r>
        <w:rPr>
          <w:rFonts w:ascii="宋体" w:hAnsi="宋体" w:eastAsia="宋体" w:cs="宋体"/>
          <w:spacing w:val="-5"/>
          <w:sz w:val="24"/>
          <w:szCs w:val="24"/>
        </w:rPr>
        <w:t xml:space="preserve">写：  </w:t>
      </w:r>
      <w:r>
        <w:rPr>
          <w:rFonts w:ascii="宋体" w:hAnsi="宋体" w:eastAsia="宋体" w:cs="宋体"/>
          <w:spacing w:val="-5"/>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5"/>
          <w:sz w:val="24"/>
          <w:szCs w:val="24"/>
        </w:rPr>
        <w:t>佰</w:t>
      </w:r>
      <w:r>
        <w:rPr>
          <w:rFonts w:ascii="宋体" w:hAnsi="宋体" w:eastAsia="宋体" w:cs="宋体"/>
          <w:spacing w:val="-5"/>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5"/>
          <w:sz w:val="24"/>
          <w:szCs w:val="24"/>
        </w:rPr>
        <w:t>拾</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仟</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5"/>
          <w:sz w:val="24"/>
          <w:szCs w:val="24"/>
        </w:rPr>
        <w:t>佰</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5"/>
          <w:sz w:val="24"/>
          <w:szCs w:val="24"/>
        </w:rPr>
        <w:t>拾</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元，小写￥</w:t>
      </w:r>
      <w:r>
        <w:rPr>
          <w:rFonts w:ascii="宋体" w:hAnsi="宋体" w:eastAsia="宋体" w:cs="宋体"/>
          <w:spacing w:val="-9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元整）。</w:t>
      </w:r>
    </w:p>
    <w:p>
      <w:pPr>
        <w:spacing w:before="180" w:line="219" w:lineRule="auto"/>
        <w:ind w:left="480"/>
        <w:rPr>
          <w:rFonts w:ascii="宋体" w:hAnsi="宋体" w:eastAsia="宋体" w:cs="宋体"/>
          <w:sz w:val="24"/>
          <w:szCs w:val="24"/>
        </w:rPr>
      </w:pPr>
      <w:r>
        <w:rPr>
          <w:rFonts w:ascii="宋体" w:hAnsi="宋体" w:eastAsia="宋体" w:cs="宋体"/>
          <w:spacing w:val="-2"/>
          <w:sz w:val="24"/>
          <w:szCs w:val="24"/>
        </w:rPr>
        <w:t>付款方式：</w:t>
      </w:r>
    </w:p>
    <w:p>
      <w:pPr>
        <w:spacing w:before="183" w:line="219" w:lineRule="auto"/>
        <w:ind w:left="363"/>
        <w:rPr>
          <w:rFonts w:ascii="宋体" w:hAnsi="宋体" w:eastAsia="宋体" w:cs="宋体"/>
          <w:sz w:val="24"/>
          <w:szCs w:val="24"/>
        </w:rPr>
      </w:pPr>
      <w:r>
        <w:rPr>
          <w:rFonts w:ascii="宋体" w:hAnsi="宋体" w:eastAsia="宋体" w:cs="宋体"/>
          <w:spacing w:val="-2"/>
          <w:sz w:val="24"/>
          <w:szCs w:val="24"/>
        </w:rPr>
        <w:t>分两次付清，半年支付处置费人民币（大写：</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拾</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仟</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佰</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拾</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w:t>
      </w:r>
      <w:r>
        <w:rPr>
          <w:rFonts w:ascii="宋体" w:hAnsi="宋体" w:eastAsia="宋体" w:cs="宋体"/>
          <w:sz w:val="24"/>
          <w:szCs w:val="24"/>
          <w:u w:val="single" w:color="auto"/>
        </w:rPr>
        <w:t xml:space="preserve">  </w:t>
      </w:r>
    </w:p>
    <w:p>
      <w:pPr>
        <w:spacing w:before="181" w:line="360" w:lineRule="auto"/>
        <w:ind w:left="244"/>
        <w:rPr>
          <w:rFonts w:ascii="宋体" w:hAnsi="宋体" w:eastAsia="宋体" w:cs="宋体"/>
          <w:sz w:val="24"/>
          <w:szCs w:val="24"/>
        </w:rPr>
      </w:pPr>
      <w:r>
        <w:rPr>
          <w:rFonts w:ascii="宋体" w:hAnsi="宋体" w:eastAsia="宋体" w:cs="宋体"/>
          <w:spacing w:val="-6"/>
          <w:sz w:val="24"/>
          <w:szCs w:val="24"/>
        </w:rPr>
        <w:t>角</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分</w:t>
      </w:r>
      <w:r>
        <w:rPr>
          <w:rFonts w:ascii="宋体" w:hAnsi="宋体" w:eastAsia="宋体" w:cs="宋体"/>
          <w:spacing w:val="30"/>
          <w:sz w:val="24"/>
          <w:szCs w:val="24"/>
        </w:rPr>
        <w:t xml:space="preserve"> </w:t>
      </w:r>
      <w:r>
        <w:rPr>
          <w:rFonts w:ascii="宋体" w:hAnsi="宋体" w:eastAsia="宋体" w:cs="宋体"/>
          <w:spacing w:val="-6"/>
          <w:sz w:val="24"/>
          <w:szCs w:val="24"/>
        </w:rPr>
        <w:t>，小写：￥</w:t>
      </w:r>
      <w:r>
        <w:rPr>
          <w:rFonts w:ascii="宋体" w:hAnsi="宋体" w:eastAsia="宋体" w:cs="宋体"/>
          <w:spacing w:val="-96"/>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6"/>
          <w:sz w:val="24"/>
          <w:szCs w:val="24"/>
        </w:rPr>
        <w:t>元整）。</w:t>
      </w:r>
    </w:p>
    <w:p>
      <w:pPr>
        <w:spacing w:before="1" w:line="219" w:lineRule="auto"/>
        <w:ind w:left="480"/>
        <w:rPr>
          <w:rFonts w:ascii="宋体" w:hAnsi="宋体" w:eastAsia="宋体" w:cs="宋体"/>
          <w:sz w:val="24"/>
          <w:szCs w:val="24"/>
        </w:rPr>
      </w:pPr>
      <w:r>
        <w:rPr>
          <w:rFonts w:ascii="宋体" w:hAnsi="宋体" w:eastAsia="宋体" w:cs="宋体"/>
          <w:spacing w:val="-2"/>
          <w:sz w:val="24"/>
          <w:szCs w:val="24"/>
        </w:rPr>
        <w:t>第五条：违约责任</w:t>
      </w:r>
    </w:p>
    <w:p>
      <w:pPr>
        <w:spacing w:before="282" w:line="359" w:lineRule="auto"/>
        <w:ind w:right="120" w:firstLine="484"/>
        <w:jc w:val="both"/>
        <w:rPr>
          <w:rFonts w:ascii="宋体" w:hAnsi="宋体" w:eastAsia="宋体" w:cs="宋体"/>
          <w:sz w:val="24"/>
          <w:szCs w:val="24"/>
        </w:rPr>
      </w:pPr>
      <w:r>
        <w:rPr>
          <w:rFonts w:ascii="宋体" w:hAnsi="宋体" w:eastAsia="宋体" w:cs="宋体"/>
          <w:sz w:val="24"/>
          <w:szCs w:val="24"/>
        </w:rPr>
        <w:t>一、甲方应按照规定分类收集医疗废物，不得将生</w:t>
      </w:r>
      <w:r>
        <w:rPr>
          <w:rFonts w:ascii="宋体" w:hAnsi="宋体" w:eastAsia="宋体" w:cs="宋体"/>
          <w:spacing w:val="-1"/>
          <w:sz w:val="24"/>
          <w:szCs w:val="24"/>
        </w:rPr>
        <w:t>活垃圾、建筑垃圾或其他非医疗废</w:t>
      </w:r>
      <w:r>
        <w:rPr>
          <w:rFonts w:ascii="宋体" w:hAnsi="宋体" w:eastAsia="宋体" w:cs="宋体"/>
          <w:sz w:val="24"/>
          <w:szCs w:val="24"/>
        </w:rPr>
        <w:t xml:space="preserve"> 物装入医疗废物周转箱内，如果甲方隐瞒乙方收运人员，将非医疗</w:t>
      </w:r>
      <w:r>
        <w:rPr>
          <w:rFonts w:ascii="宋体" w:hAnsi="宋体" w:eastAsia="宋体" w:cs="宋体"/>
          <w:spacing w:val="-1"/>
          <w:sz w:val="24"/>
          <w:szCs w:val="24"/>
        </w:rPr>
        <w:t>废物装车，造成乙方运</w:t>
      </w:r>
      <w:r>
        <w:rPr>
          <w:rFonts w:ascii="宋体" w:hAnsi="宋体" w:eastAsia="宋体" w:cs="宋体"/>
          <w:sz w:val="24"/>
          <w:szCs w:val="24"/>
        </w:rPr>
        <w:t xml:space="preserve"> 输、处理、处置废物时出现困难、事故者，乙方有权要求甲方赔偿</w:t>
      </w:r>
      <w:r>
        <w:rPr>
          <w:rFonts w:ascii="宋体" w:hAnsi="宋体" w:eastAsia="宋体" w:cs="宋体"/>
          <w:spacing w:val="-1"/>
          <w:sz w:val="24"/>
          <w:szCs w:val="24"/>
        </w:rPr>
        <w:t>由此造成的相关经济损</w:t>
      </w:r>
    </w:p>
    <w:p>
      <w:pPr>
        <w:spacing w:before="1" w:line="219" w:lineRule="auto"/>
        <w:ind w:left="6"/>
        <w:rPr>
          <w:rFonts w:ascii="宋体" w:hAnsi="宋体" w:eastAsia="宋体" w:cs="宋体"/>
          <w:sz w:val="24"/>
          <w:szCs w:val="24"/>
        </w:rPr>
      </w:pPr>
      <w:r>
        <w:rPr>
          <w:rFonts w:ascii="宋体" w:hAnsi="宋体" w:eastAsia="宋体" w:cs="宋体"/>
          <w:spacing w:val="-1"/>
          <w:sz w:val="24"/>
          <w:szCs w:val="24"/>
        </w:rPr>
        <w:t>失，并上报环保、卫生行政主管部门，由此引起的责任由甲方承担。</w:t>
      </w:r>
    </w:p>
    <w:p>
      <w:pPr>
        <w:pStyle w:val="2"/>
        <w:spacing w:line="301" w:lineRule="auto"/>
      </w:pPr>
    </w:p>
    <w:p>
      <w:pPr>
        <w:spacing w:before="78" w:line="359" w:lineRule="auto"/>
        <w:ind w:right="120" w:firstLine="483"/>
        <w:rPr>
          <w:rFonts w:ascii="宋体" w:hAnsi="宋体" w:eastAsia="宋体" w:cs="宋体"/>
          <w:sz w:val="24"/>
          <w:szCs w:val="24"/>
        </w:rPr>
      </w:pPr>
      <w:r>
        <w:rPr>
          <w:rFonts w:ascii="宋体" w:hAnsi="宋体" w:eastAsia="宋体" w:cs="宋体"/>
          <w:sz w:val="24"/>
          <w:szCs w:val="24"/>
        </w:rPr>
        <w:t>二、甲方必须按照约定时间及时足额向乙方支付处</w:t>
      </w:r>
      <w:r>
        <w:rPr>
          <w:rFonts w:ascii="宋体" w:hAnsi="宋体" w:eastAsia="宋体" w:cs="宋体"/>
          <w:spacing w:val="-1"/>
          <w:sz w:val="24"/>
          <w:szCs w:val="24"/>
        </w:rPr>
        <w:t>置费用；如果甲方未按期支付医疗</w:t>
      </w:r>
      <w:r>
        <w:rPr>
          <w:rFonts w:ascii="宋体" w:hAnsi="宋体" w:eastAsia="宋体" w:cs="宋体"/>
          <w:sz w:val="24"/>
          <w:szCs w:val="24"/>
        </w:rPr>
        <w:t xml:space="preserve"> </w:t>
      </w:r>
      <w:r>
        <w:rPr>
          <w:rFonts w:ascii="宋体" w:hAnsi="宋体" w:eastAsia="宋体" w:cs="宋体"/>
          <w:spacing w:val="-3"/>
          <w:sz w:val="24"/>
          <w:szCs w:val="24"/>
        </w:rPr>
        <w:t>处置费，每迟延一</w:t>
      </w:r>
      <w:r>
        <w:rPr>
          <w:rFonts w:ascii="宋体" w:hAnsi="宋体" w:eastAsia="宋体" w:cs="宋体"/>
          <w:spacing w:val="-70"/>
          <w:sz w:val="24"/>
          <w:szCs w:val="24"/>
        </w:rPr>
        <w:t xml:space="preserve"> </w:t>
      </w:r>
      <w:r>
        <w:rPr>
          <w:rFonts w:ascii="宋体" w:hAnsi="宋体" w:eastAsia="宋体" w:cs="宋体"/>
          <w:spacing w:val="-3"/>
          <w:sz w:val="24"/>
          <w:szCs w:val="24"/>
        </w:rPr>
        <w:t>日向乙方支付违约金</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元，超过</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日，乙方有权向环</w:t>
      </w:r>
      <w:r>
        <w:rPr>
          <w:rFonts w:ascii="宋体" w:hAnsi="宋体" w:eastAsia="宋体" w:cs="宋体"/>
          <w:spacing w:val="-4"/>
          <w:sz w:val="24"/>
          <w:szCs w:val="24"/>
        </w:rPr>
        <w:t>保行政部门反</w:t>
      </w:r>
      <w:r>
        <w:rPr>
          <w:rFonts w:ascii="宋体" w:hAnsi="宋体" w:eastAsia="宋体" w:cs="宋体"/>
          <w:sz w:val="24"/>
          <w:szCs w:val="24"/>
        </w:rPr>
        <w:t xml:space="preserve"> 应情况并停止收集甲方的一切医疗废物，造成一切责任均由甲方</w:t>
      </w:r>
      <w:r>
        <w:rPr>
          <w:rFonts w:ascii="宋体" w:hAnsi="宋体" w:eastAsia="宋体" w:cs="宋体"/>
          <w:spacing w:val="-1"/>
          <w:sz w:val="24"/>
          <w:szCs w:val="24"/>
        </w:rPr>
        <w:t>承担。乙方必须按照约定</w:t>
      </w:r>
    </w:p>
    <w:p>
      <w:pPr>
        <w:spacing w:before="1" w:line="219" w:lineRule="auto"/>
        <w:ind w:left="20"/>
        <w:rPr>
          <w:rFonts w:ascii="宋体" w:hAnsi="宋体" w:eastAsia="宋体" w:cs="宋体"/>
          <w:sz w:val="24"/>
          <w:szCs w:val="24"/>
        </w:rPr>
      </w:pPr>
      <w:r>
        <w:rPr>
          <w:rFonts w:ascii="宋体" w:hAnsi="宋体" w:eastAsia="宋体" w:cs="宋体"/>
          <w:spacing w:val="-1"/>
          <w:sz w:val="24"/>
          <w:szCs w:val="24"/>
        </w:rPr>
        <w:t>的时限及时清运甲方的医疗废物。因乙方未按时收运，造成污染等不良后果，由乙方负</w:t>
      </w:r>
    </w:p>
    <w:p>
      <w:pPr>
        <w:spacing w:before="180" w:line="221" w:lineRule="auto"/>
        <w:ind w:left="9"/>
        <w:rPr>
          <w:rFonts w:ascii="宋体" w:hAnsi="宋体" w:eastAsia="宋体" w:cs="宋体"/>
          <w:sz w:val="24"/>
          <w:szCs w:val="24"/>
        </w:rPr>
      </w:pPr>
      <w:r>
        <w:rPr>
          <w:rFonts w:ascii="宋体" w:hAnsi="宋体" w:eastAsia="宋体" w:cs="宋体"/>
          <w:spacing w:val="-9"/>
          <w:sz w:val="24"/>
          <w:szCs w:val="24"/>
        </w:rPr>
        <w:t>责。</w:t>
      </w:r>
    </w:p>
    <w:p>
      <w:pPr>
        <w:spacing w:before="260" w:line="359" w:lineRule="auto"/>
        <w:ind w:left="2" w:right="120" w:firstLine="478"/>
        <w:jc w:val="both"/>
        <w:rPr>
          <w:rFonts w:ascii="宋体" w:hAnsi="宋体" w:eastAsia="宋体" w:cs="宋体"/>
          <w:sz w:val="24"/>
          <w:szCs w:val="24"/>
        </w:rPr>
      </w:pPr>
      <w:r>
        <w:rPr>
          <w:rFonts w:ascii="宋体" w:hAnsi="宋体" w:eastAsia="宋体" w:cs="宋体"/>
          <w:sz w:val="24"/>
          <w:szCs w:val="24"/>
        </w:rPr>
        <w:t>第六条：本协议在履行中如发生争议，应双方协商解决；如</w:t>
      </w:r>
      <w:r>
        <w:rPr>
          <w:rFonts w:ascii="宋体" w:hAnsi="宋体" w:eastAsia="宋体" w:cs="宋体"/>
          <w:spacing w:val="-1"/>
          <w:sz w:val="24"/>
          <w:szCs w:val="24"/>
        </w:rPr>
        <w:t>协商不成，报请环保行政</w:t>
      </w:r>
      <w:r>
        <w:rPr>
          <w:rFonts w:ascii="宋体" w:hAnsi="宋体" w:eastAsia="宋体" w:cs="宋体"/>
          <w:sz w:val="24"/>
          <w:szCs w:val="24"/>
        </w:rPr>
        <w:t xml:space="preserve"> 主管部门进行协调；协调不成，可向延安市仲裁委员会申请</w:t>
      </w:r>
      <w:r>
        <w:rPr>
          <w:rFonts w:ascii="宋体" w:hAnsi="宋体" w:eastAsia="宋体" w:cs="宋体"/>
          <w:spacing w:val="-1"/>
          <w:sz w:val="24"/>
          <w:szCs w:val="24"/>
        </w:rPr>
        <w:t>仲裁或向乙方所在地人民法院</w:t>
      </w:r>
    </w:p>
    <w:p>
      <w:pPr>
        <w:spacing w:line="220" w:lineRule="auto"/>
        <w:ind w:left="1"/>
        <w:rPr>
          <w:rFonts w:ascii="宋体" w:hAnsi="宋体" w:eastAsia="宋体" w:cs="宋体"/>
          <w:sz w:val="24"/>
          <w:szCs w:val="24"/>
        </w:rPr>
      </w:pPr>
      <w:r>
        <w:rPr>
          <w:rFonts w:ascii="宋体" w:hAnsi="宋体" w:eastAsia="宋体" w:cs="宋体"/>
          <w:spacing w:val="-3"/>
          <w:sz w:val="24"/>
          <w:szCs w:val="24"/>
        </w:rPr>
        <w:t>提起诉讼。</w:t>
      </w:r>
    </w:p>
    <w:p>
      <w:pPr>
        <w:spacing w:before="283" w:line="219" w:lineRule="auto"/>
        <w:ind w:left="600"/>
        <w:rPr>
          <w:rFonts w:ascii="宋体" w:hAnsi="宋体" w:eastAsia="宋体" w:cs="宋体"/>
          <w:sz w:val="24"/>
          <w:szCs w:val="24"/>
        </w:rPr>
      </w:pPr>
      <w:r>
        <w:rPr>
          <w:rFonts w:ascii="宋体" w:hAnsi="宋体" w:eastAsia="宋体" w:cs="宋体"/>
          <w:spacing w:val="-1"/>
          <w:sz w:val="24"/>
          <w:szCs w:val="24"/>
        </w:rPr>
        <w:t>第七条：协议定义、变更和终止</w:t>
      </w:r>
    </w:p>
    <w:p>
      <w:pPr>
        <w:spacing w:before="282" w:line="468" w:lineRule="exact"/>
        <w:ind w:left="492"/>
        <w:rPr>
          <w:rFonts w:ascii="宋体" w:hAnsi="宋体" w:eastAsia="宋体" w:cs="宋体"/>
          <w:sz w:val="24"/>
          <w:szCs w:val="24"/>
        </w:rPr>
      </w:pPr>
      <w:r>
        <w:rPr>
          <w:rFonts w:ascii="宋体" w:hAnsi="宋体" w:eastAsia="宋体" w:cs="宋体"/>
          <w:position w:val="17"/>
          <w:sz w:val="24"/>
          <w:szCs w:val="24"/>
        </w:rPr>
        <w:t>（一）本协议所涉术语均参见《医疗废物管理条例》和《医疗废物处置技术规范》的</w:t>
      </w:r>
    </w:p>
    <w:p>
      <w:pPr>
        <w:spacing w:line="220" w:lineRule="auto"/>
        <w:ind w:left="1"/>
        <w:rPr>
          <w:rFonts w:ascii="宋体" w:hAnsi="宋体" w:eastAsia="宋体" w:cs="宋体"/>
          <w:sz w:val="24"/>
          <w:szCs w:val="24"/>
        </w:rPr>
      </w:pPr>
      <w:r>
        <w:rPr>
          <w:rFonts w:ascii="宋体" w:hAnsi="宋体" w:eastAsia="宋体" w:cs="宋体"/>
          <w:spacing w:val="-3"/>
          <w:sz w:val="24"/>
          <w:szCs w:val="24"/>
        </w:rPr>
        <w:t>有关定义。</w:t>
      </w:r>
    </w:p>
    <w:p>
      <w:pPr>
        <w:spacing w:before="280" w:line="466" w:lineRule="exact"/>
        <w:ind w:left="492"/>
        <w:rPr>
          <w:rFonts w:ascii="宋体" w:hAnsi="宋体" w:eastAsia="宋体" w:cs="宋体"/>
          <w:sz w:val="24"/>
          <w:szCs w:val="24"/>
        </w:rPr>
      </w:pPr>
      <w:r>
        <w:rPr>
          <w:rFonts w:ascii="宋体" w:hAnsi="宋体" w:eastAsia="宋体" w:cs="宋体"/>
          <w:spacing w:val="-1"/>
          <w:position w:val="17"/>
          <w:sz w:val="24"/>
          <w:szCs w:val="24"/>
        </w:rPr>
        <w:t>（二）国家有关医疗废物的法律、法规、规范性文件若发生变更修订，甲乙双方应根</w:t>
      </w:r>
    </w:p>
    <w:p>
      <w:pPr>
        <w:spacing w:line="218" w:lineRule="auto"/>
        <w:rPr>
          <w:rFonts w:ascii="宋体" w:hAnsi="宋体" w:eastAsia="宋体" w:cs="宋体"/>
          <w:sz w:val="24"/>
          <w:szCs w:val="24"/>
        </w:rPr>
      </w:pPr>
      <w:r>
        <w:rPr>
          <w:rFonts w:ascii="宋体" w:hAnsi="宋体" w:eastAsia="宋体" w:cs="宋体"/>
          <w:spacing w:val="-1"/>
          <w:sz w:val="24"/>
          <w:szCs w:val="24"/>
        </w:rPr>
        <w:t>据变更后的要求对本协议进行修订。</w:t>
      </w:r>
    </w:p>
    <w:p>
      <w:pPr>
        <w:spacing w:before="263" w:line="466" w:lineRule="exact"/>
        <w:ind w:left="492"/>
        <w:rPr>
          <w:rFonts w:ascii="宋体" w:hAnsi="宋体" w:eastAsia="宋体" w:cs="宋体"/>
          <w:sz w:val="24"/>
          <w:szCs w:val="24"/>
        </w:rPr>
      </w:pPr>
      <w:r>
        <w:rPr>
          <w:rFonts w:ascii="宋体" w:hAnsi="宋体" w:eastAsia="宋体" w:cs="宋体"/>
          <w:spacing w:val="-1"/>
          <w:position w:val="17"/>
          <w:sz w:val="24"/>
          <w:szCs w:val="24"/>
        </w:rPr>
        <w:t>（三）延安市医疗废物处置收费标准发生变更时，甲乙双方应执行新的物价收费标</w:t>
      </w:r>
    </w:p>
    <w:p>
      <w:pPr>
        <w:spacing w:before="1" w:line="220" w:lineRule="auto"/>
        <w:ind w:left="2"/>
        <w:rPr>
          <w:rFonts w:ascii="宋体" w:hAnsi="宋体" w:eastAsia="宋体" w:cs="宋体"/>
          <w:sz w:val="24"/>
          <w:szCs w:val="24"/>
        </w:rPr>
      </w:pPr>
      <w:r>
        <w:rPr>
          <w:rFonts w:ascii="宋体" w:hAnsi="宋体" w:eastAsia="宋体" w:cs="宋体"/>
          <w:spacing w:val="-6"/>
          <w:sz w:val="24"/>
          <w:szCs w:val="24"/>
        </w:rPr>
        <w:t>准。</w:t>
      </w:r>
    </w:p>
    <w:p>
      <w:pPr>
        <w:spacing w:before="281" w:line="219" w:lineRule="auto"/>
        <w:ind w:left="492"/>
        <w:rPr>
          <w:rFonts w:ascii="宋体" w:hAnsi="宋体" w:eastAsia="宋体" w:cs="宋体"/>
          <w:sz w:val="24"/>
          <w:szCs w:val="24"/>
        </w:rPr>
      </w:pPr>
      <w:r>
        <w:rPr>
          <w:rFonts w:ascii="宋体" w:hAnsi="宋体" w:eastAsia="宋体" w:cs="宋体"/>
          <w:spacing w:val="-1"/>
          <w:sz w:val="24"/>
          <w:szCs w:val="24"/>
        </w:rPr>
        <w:t>（四）经双方协商一致，可对本协议的部分或全部条款进行变更或终止。</w:t>
      </w:r>
    </w:p>
    <w:p>
      <w:pPr>
        <w:spacing w:line="219" w:lineRule="auto"/>
        <w:rPr>
          <w:rFonts w:ascii="宋体" w:hAnsi="宋体" w:eastAsia="宋体" w:cs="宋体"/>
          <w:sz w:val="24"/>
          <w:szCs w:val="24"/>
        </w:rPr>
        <w:sectPr>
          <w:footerReference r:id="rId15" w:type="default"/>
          <w:pgSz w:w="11910" w:h="16840"/>
          <w:pgMar w:top="1351" w:right="1230" w:bottom="983" w:left="1208" w:header="0" w:footer="769" w:gutter="0"/>
          <w:cols w:space="720" w:num="1"/>
        </w:sectPr>
      </w:pPr>
    </w:p>
    <w:p>
      <w:pPr>
        <w:pStyle w:val="2"/>
        <w:spacing w:before="54" w:line="496" w:lineRule="exact"/>
        <w:ind w:left="463"/>
        <w:rPr>
          <w:rFonts w:ascii="宋体" w:hAnsi="宋体" w:eastAsia="宋体" w:cs="宋体"/>
          <w:color w:val="auto"/>
          <w:spacing w:val="-1"/>
          <w:kern w:val="2"/>
          <w:sz w:val="24"/>
          <w:szCs w:val="24"/>
          <w:lang w:val="en-US" w:eastAsia="zh-CN" w:bidi="ar-SA"/>
        </w:rPr>
      </w:pPr>
      <w:r>
        <w:rPr>
          <w:position w:val="37"/>
          <w:sz w:val="4"/>
          <w:szCs w:val="4"/>
        </w:rPr>
        <w:t>·</w:t>
      </w:r>
      <w:r>
        <w:rPr>
          <w:rFonts w:ascii="宋体" w:hAnsi="宋体" w:eastAsia="宋体" w:cs="宋体"/>
          <w:color w:val="auto"/>
          <w:spacing w:val="-1"/>
          <w:kern w:val="2"/>
          <w:sz w:val="24"/>
          <w:szCs w:val="24"/>
          <w:lang w:val="en-US" w:eastAsia="zh-CN" w:bidi="ar-SA"/>
        </w:rPr>
        <w:t>第八条：其他未尽事宜，可经双方协商解决或签署补充协议，补充协议和本协议同具</w:t>
      </w:r>
    </w:p>
    <w:p>
      <w:pPr>
        <w:spacing w:line="219" w:lineRule="auto"/>
        <w:ind w:left="1"/>
        <w:rPr>
          <w:rFonts w:ascii="宋体" w:hAnsi="宋体" w:eastAsia="宋体" w:cs="宋体"/>
          <w:sz w:val="24"/>
          <w:szCs w:val="24"/>
        </w:rPr>
      </w:pPr>
      <w:r>
        <w:rPr>
          <w:rFonts w:ascii="宋体" w:hAnsi="宋体" w:eastAsia="宋体" w:cs="宋体"/>
          <w:spacing w:val="-3"/>
          <w:sz w:val="24"/>
          <w:szCs w:val="24"/>
        </w:rPr>
        <w:t>法律效力。</w:t>
      </w:r>
    </w:p>
    <w:p>
      <w:pPr>
        <w:spacing w:before="261" w:line="219" w:lineRule="auto"/>
        <w:ind w:left="480"/>
        <w:rPr>
          <w:rFonts w:ascii="宋体" w:hAnsi="宋体" w:eastAsia="宋体" w:cs="宋体"/>
          <w:sz w:val="24"/>
          <w:szCs w:val="24"/>
        </w:rPr>
      </w:pPr>
      <w:r>
        <w:rPr>
          <w:rFonts w:ascii="宋体" w:hAnsi="宋体" w:eastAsia="宋体" w:cs="宋体"/>
          <w:sz w:val="24"/>
          <w:szCs w:val="24"/>
        </w:rPr>
        <w:t>第九条：本合同壹式伍份，甲、乙双方各执贰份，环保</w:t>
      </w:r>
      <w:r>
        <w:rPr>
          <w:rFonts w:ascii="宋体" w:hAnsi="宋体" w:eastAsia="宋体" w:cs="宋体"/>
          <w:spacing w:val="-1"/>
          <w:sz w:val="24"/>
          <w:szCs w:val="24"/>
        </w:rPr>
        <w:t>行政主管部门备案壹份。</w:t>
      </w:r>
    </w:p>
    <w:p>
      <w:pPr>
        <w:spacing w:before="282" w:line="360" w:lineRule="auto"/>
        <w:jc w:val="right"/>
        <w:rPr>
          <w:rFonts w:ascii="宋体" w:hAnsi="宋体" w:eastAsia="宋体" w:cs="宋体"/>
          <w:sz w:val="24"/>
          <w:szCs w:val="24"/>
        </w:rPr>
      </w:pPr>
      <w:r>
        <w:rPr>
          <w:rFonts w:ascii="宋体" w:hAnsi="宋体" w:eastAsia="宋体" w:cs="宋体"/>
          <w:spacing w:val="-4"/>
          <w:sz w:val="24"/>
          <w:szCs w:val="24"/>
        </w:rPr>
        <w:t>第十条：本协议有效期自</w:t>
      </w:r>
      <w:r>
        <w:rPr>
          <w:rFonts w:ascii="宋体" w:hAnsi="宋体" w:eastAsia="宋体" w:cs="宋体"/>
          <w:spacing w:val="-4"/>
          <w:sz w:val="24"/>
          <w:szCs w:val="24"/>
          <w:u w:val="single" w:color="auto"/>
        </w:rPr>
        <w:t xml:space="preserve"> 2023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日起至</w:t>
      </w:r>
      <w:r>
        <w:rPr>
          <w:rFonts w:ascii="宋体" w:hAnsi="宋体" w:eastAsia="宋体" w:cs="宋体"/>
          <w:spacing w:val="12"/>
          <w:sz w:val="24"/>
          <w:szCs w:val="24"/>
          <w:u w:val="single" w:color="auto"/>
        </w:rPr>
        <w:t xml:space="preserve"> </w:t>
      </w:r>
      <w:r>
        <w:rPr>
          <w:rFonts w:ascii="宋体" w:hAnsi="宋体" w:eastAsia="宋体" w:cs="宋体"/>
          <w:spacing w:val="-4"/>
          <w:sz w:val="24"/>
          <w:szCs w:val="24"/>
          <w:u w:val="single" w:color="auto"/>
        </w:rPr>
        <w:t>2024</w:t>
      </w:r>
      <w:r>
        <w:rPr>
          <w:rFonts w:ascii="宋体" w:hAnsi="宋体" w:eastAsia="宋体" w:cs="宋体"/>
          <w:spacing w:val="10"/>
          <w:sz w:val="24"/>
          <w:szCs w:val="24"/>
          <w:u w:val="single" w:color="auto"/>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日止；双方</w:t>
      </w:r>
    </w:p>
    <w:p>
      <w:pPr>
        <w:spacing w:line="218" w:lineRule="auto"/>
        <w:rPr>
          <w:rFonts w:ascii="宋体" w:hAnsi="宋体" w:eastAsia="宋体" w:cs="宋体"/>
          <w:sz w:val="24"/>
          <w:szCs w:val="24"/>
        </w:rPr>
      </w:pPr>
      <w:r>
        <w:rPr>
          <w:rFonts w:ascii="宋体" w:hAnsi="宋体" w:eastAsia="宋体" w:cs="宋体"/>
          <w:spacing w:val="-1"/>
          <w:sz w:val="24"/>
          <w:szCs w:val="24"/>
        </w:rPr>
        <w:t>代表签字盖章生效。</w:t>
      </w:r>
    </w:p>
    <w:p>
      <w:pPr>
        <w:spacing w:before="281" w:line="219" w:lineRule="auto"/>
        <w:ind w:left="480"/>
        <w:rPr>
          <w:rFonts w:ascii="宋体" w:hAnsi="宋体" w:eastAsia="宋体" w:cs="宋体"/>
          <w:sz w:val="24"/>
          <w:szCs w:val="24"/>
        </w:rPr>
      </w:pPr>
      <w:r>
        <w:rPr>
          <w:rFonts w:ascii="宋体" w:hAnsi="宋体" w:eastAsia="宋体" w:cs="宋体"/>
          <w:spacing w:val="-2"/>
          <w:sz w:val="24"/>
          <w:szCs w:val="24"/>
        </w:rPr>
        <w:t>注：后附结算说明</w:t>
      </w:r>
    </w:p>
    <w:p>
      <w:pPr>
        <w:pStyle w:val="2"/>
        <w:spacing w:line="407" w:lineRule="auto"/>
      </w:pPr>
    </w:p>
    <w:p>
      <w:pPr>
        <w:spacing w:before="79" w:line="219" w:lineRule="auto"/>
        <w:ind w:left="751"/>
        <w:rPr>
          <w:rFonts w:ascii="宋体" w:hAnsi="宋体" w:eastAsia="宋体" w:cs="宋体"/>
          <w:sz w:val="24"/>
          <w:szCs w:val="24"/>
        </w:rPr>
      </w:pPr>
      <w:r>
        <w:rPr>
          <w:rFonts w:ascii="宋体" w:hAnsi="宋体" w:eastAsia="宋体" w:cs="宋体"/>
          <w:spacing w:val="-7"/>
          <w:sz w:val="24"/>
          <w:szCs w:val="24"/>
        </w:rPr>
        <w:t>甲方（盖章）</w:t>
      </w:r>
      <w:r>
        <w:rPr>
          <w:rFonts w:ascii="宋体" w:hAnsi="宋体" w:eastAsia="宋体" w:cs="宋体"/>
          <w:spacing w:val="2"/>
          <w:sz w:val="24"/>
          <w:szCs w:val="24"/>
        </w:rPr>
        <w:t xml:space="preserve">                </w:t>
      </w:r>
      <w:r>
        <w:rPr>
          <w:rFonts w:ascii="宋体" w:hAnsi="宋体" w:eastAsia="宋体" w:cs="宋体"/>
          <w:spacing w:val="-7"/>
          <w:sz w:val="24"/>
          <w:szCs w:val="24"/>
        </w:rPr>
        <w:t>乙方（盖章）</w:t>
      </w:r>
    </w:p>
    <w:p>
      <w:pPr>
        <w:pStyle w:val="2"/>
        <w:spacing w:line="317" w:lineRule="auto"/>
      </w:pPr>
    </w:p>
    <w:p>
      <w:pPr>
        <w:pStyle w:val="2"/>
        <w:spacing w:line="317" w:lineRule="auto"/>
      </w:pPr>
    </w:p>
    <w:p>
      <w:pPr>
        <w:pStyle w:val="2"/>
        <w:spacing w:line="318" w:lineRule="auto"/>
      </w:pPr>
    </w:p>
    <w:p>
      <w:pPr>
        <w:spacing w:before="78" w:line="219" w:lineRule="auto"/>
        <w:ind w:left="480"/>
        <w:rPr>
          <w:rFonts w:ascii="宋体" w:hAnsi="宋体" w:eastAsia="宋体" w:cs="宋体"/>
          <w:sz w:val="24"/>
          <w:szCs w:val="24"/>
        </w:rPr>
      </w:pPr>
      <w:r>
        <w:rPr>
          <w:rFonts w:ascii="宋体" w:hAnsi="宋体" w:eastAsia="宋体" w:cs="宋体"/>
          <w:spacing w:val="-1"/>
          <w:sz w:val="24"/>
          <w:szCs w:val="24"/>
        </w:rPr>
        <w:t>委托代理人签字：            委托代理人签字：</w:t>
      </w:r>
    </w:p>
    <w:p>
      <w:pPr>
        <w:pStyle w:val="2"/>
        <w:spacing w:line="317" w:lineRule="auto"/>
      </w:pPr>
    </w:p>
    <w:p>
      <w:pPr>
        <w:pStyle w:val="2"/>
        <w:spacing w:line="317" w:lineRule="auto"/>
      </w:pPr>
    </w:p>
    <w:p>
      <w:pPr>
        <w:pStyle w:val="2"/>
        <w:spacing w:line="317" w:lineRule="auto"/>
      </w:pPr>
    </w:p>
    <w:p>
      <w:pPr>
        <w:spacing w:before="79" w:line="219" w:lineRule="auto"/>
        <w:ind w:left="481"/>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w:t>
      </w:r>
      <w:r>
        <w:rPr>
          <w:rFonts w:ascii="宋体" w:hAnsi="宋体" w:eastAsia="宋体" w:cs="宋体"/>
          <w:spacing w:val="16"/>
          <w:sz w:val="24"/>
          <w:szCs w:val="24"/>
        </w:rPr>
        <w:t xml:space="preserve">   </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年</w:t>
      </w:r>
      <w:r>
        <w:rPr>
          <w:rFonts w:ascii="宋体" w:hAnsi="宋体" w:eastAsia="宋体" w:cs="宋体"/>
          <w:spacing w:val="9"/>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rPr>
        <w:t xml:space="preserve">   </w:t>
      </w:r>
      <w:r>
        <w:rPr>
          <w:rFonts w:ascii="宋体" w:hAnsi="宋体" w:eastAsia="宋体" w:cs="宋体"/>
          <w:spacing w:val="-17"/>
          <w:sz w:val="24"/>
          <w:szCs w:val="24"/>
        </w:rPr>
        <w:t>日</w:t>
      </w:r>
    </w:p>
    <w:p>
      <w:pPr>
        <w:pStyle w:val="2"/>
        <w:spacing w:line="316" w:lineRule="auto"/>
      </w:pPr>
    </w:p>
    <w:p>
      <w:pPr>
        <w:pStyle w:val="2"/>
        <w:spacing w:line="317" w:lineRule="auto"/>
      </w:pPr>
    </w:p>
    <w:p>
      <w:pPr>
        <w:pStyle w:val="2"/>
        <w:spacing w:line="317" w:lineRule="auto"/>
      </w:pPr>
    </w:p>
    <w:p>
      <w:pPr>
        <w:spacing w:before="78" w:line="219" w:lineRule="auto"/>
        <w:ind w:left="6"/>
        <w:rPr>
          <w:rFonts w:ascii="宋体" w:hAnsi="宋体" w:eastAsia="宋体" w:cs="宋体"/>
          <w:sz w:val="24"/>
          <w:szCs w:val="24"/>
        </w:rPr>
      </w:pPr>
      <w:r>
        <w:rPr>
          <w:rFonts w:ascii="宋体" w:hAnsi="宋体" w:eastAsia="宋体" w:cs="宋体"/>
          <w:spacing w:val="-1"/>
          <w:sz w:val="24"/>
          <w:szCs w:val="24"/>
        </w:rPr>
        <w:t>统一社会信用代码：             单位名称：</w:t>
      </w:r>
    </w:p>
    <w:p>
      <w:pPr>
        <w:pStyle w:val="2"/>
        <w:spacing w:line="295" w:lineRule="auto"/>
      </w:pPr>
    </w:p>
    <w:p>
      <w:pPr>
        <w:spacing w:before="79" w:line="229" w:lineRule="auto"/>
        <w:rPr>
          <w:rFonts w:ascii="宋体" w:hAnsi="宋体" w:eastAsia="宋体" w:cs="宋体"/>
          <w:sz w:val="24"/>
          <w:szCs w:val="24"/>
        </w:rPr>
      </w:pPr>
      <w:r>
        <w:rPr>
          <w:rFonts w:ascii="宋体" w:hAnsi="宋体" w:eastAsia="宋体" w:cs="宋体"/>
          <w:spacing w:val="-4"/>
          <w:sz w:val="24"/>
          <w:szCs w:val="24"/>
        </w:rPr>
        <w:t>地址：</w:t>
      </w:r>
    </w:p>
    <w:p>
      <w:pPr>
        <w:pStyle w:val="2"/>
        <w:spacing w:line="283" w:lineRule="auto"/>
      </w:pPr>
    </w:p>
    <w:p>
      <w:pPr>
        <w:spacing w:before="78" w:line="220" w:lineRule="auto"/>
        <w:ind w:left="1"/>
        <w:rPr>
          <w:rFonts w:ascii="宋体" w:hAnsi="宋体" w:eastAsia="宋体" w:cs="宋体"/>
          <w:sz w:val="24"/>
          <w:szCs w:val="24"/>
        </w:rPr>
      </w:pPr>
      <w:r>
        <w:rPr>
          <w:rFonts w:ascii="宋体" w:hAnsi="宋体" w:eastAsia="宋体" w:cs="宋体"/>
          <w:spacing w:val="-1"/>
          <w:sz w:val="24"/>
          <w:szCs w:val="24"/>
        </w:rPr>
        <w:t>联系人及电话：                 开户行：</w:t>
      </w:r>
    </w:p>
    <w:p>
      <w:pPr>
        <w:pStyle w:val="2"/>
        <w:spacing w:line="294" w:lineRule="auto"/>
      </w:pPr>
    </w:p>
    <w:p>
      <w:pPr>
        <w:spacing w:before="78" w:line="660" w:lineRule="exact"/>
        <w:ind w:left="3844"/>
        <w:rPr>
          <w:rFonts w:ascii="宋体" w:hAnsi="宋体" w:eastAsia="宋体" w:cs="宋体"/>
          <w:sz w:val="24"/>
          <w:szCs w:val="24"/>
        </w:rPr>
      </w:pPr>
      <w:r>
        <w:rPr>
          <w:rFonts w:ascii="宋体" w:hAnsi="宋体" w:eastAsia="宋体" w:cs="宋体"/>
          <w:spacing w:val="-5"/>
          <w:position w:val="32"/>
          <w:sz w:val="24"/>
          <w:szCs w:val="24"/>
        </w:rPr>
        <w:t>行号：</w:t>
      </w:r>
    </w:p>
    <w:p>
      <w:pPr>
        <w:spacing w:before="1" w:line="220" w:lineRule="auto"/>
        <w:ind w:left="3844"/>
        <w:rPr>
          <w:rFonts w:ascii="宋体" w:hAnsi="宋体" w:eastAsia="宋体" w:cs="宋体"/>
          <w:sz w:val="24"/>
          <w:szCs w:val="24"/>
        </w:rPr>
      </w:pPr>
      <w:r>
        <w:rPr>
          <w:rFonts w:ascii="宋体" w:hAnsi="宋体" w:eastAsia="宋体" w:cs="宋体"/>
          <w:spacing w:val="-5"/>
          <w:sz w:val="24"/>
          <w:szCs w:val="24"/>
        </w:rPr>
        <w:t>账号：</w:t>
      </w:r>
    </w:p>
    <w:p>
      <w:pPr>
        <w:pStyle w:val="2"/>
        <w:spacing w:line="293" w:lineRule="auto"/>
      </w:pPr>
    </w:p>
    <w:p>
      <w:pPr>
        <w:spacing w:before="79" w:line="221" w:lineRule="auto"/>
        <w:ind w:left="3865"/>
        <w:rPr>
          <w:rFonts w:ascii="宋体" w:hAnsi="宋体" w:eastAsia="宋体" w:cs="宋体"/>
          <w:sz w:val="24"/>
          <w:szCs w:val="24"/>
        </w:rPr>
      </w:pPr>
      <w:r>
        <w:rPr>
          <w:rFonts w:ascii="宋体" w:hAnsi="宋体" w:eastAsia="宋体" w:cs="宋体"/>
          <w:spacing w:val="-2"/>
          <w:sz w:val="24"/>
          <w:szCs w:val="24"/>
        </w:rPr>
        <w:t>联系人及电话：</w:t>
      </w:r>
    </w:p>
    <w:p>
      <w:pPr>
        <w:spacing w:line="221" w:lineRule="auto"/>
        <w:rPr>
          <w:rFonts w:ascii="宋体" w:hAnsi="宋体" w:eastAsia="宋体" w:cs="宋体"/>
          <w:sz w:val="24"/>
          <w:szCs w:val="24"/>
        </w:rPr>
        <w:sectPr>
          <w:footerReference r:id="rId16" w:type="default"/>
          <w:pgSz w:w="11910" w:h="16840"/>
          <w:pgMar w:top="1351" w:right="1230" w:bottom="983" w:left="1208" w:header="0" w:footer="769" w:gutter="0"/>
          <w:cols w:space="720" w:num="1"/>
        </w:sectPr>
      </w:pPr>
    </w:p>
    <w:p>
      <w:pPr>
        <w:pStyle w:val="3"/>
        <w:keepNext w:val="0"/>
        <w:pageBreakBefore/>
        <w:spacing w:before="319" w:beforeLines="100" w:after="478" w:afterLines="150" w:line="500" w:lineRule="exact"/>
        <w:rPr>
          <w:rFonts w:ascii="宋体" w:hAnsi="宋体" w:cs="宋体"/>
        </w:rPr>
      </w:pPr>
      <w:bookmarkStart w:id="78" w:name="_Toc10050"/>
      <w:r>
        <w:rPr>
          <w:rFonts w:hint="eastAsia" w:ascii="宋体" w:hAnsi="宋体" w:cs="宋体"/>
          <w:sz w:val="36"/>
          <w:szCs w:val="36"/>
        </w:rPr>
        <w:t>第七部分  投标文件格式</w:t>
      </w:r>
      <w:bookmarkEnd w:id="77"/>
      <w:bookmarkEnd w:id="78"/>
    </w:p>
    <w:p>
      <w:pPr>
        <w:adjustRightInd w:val="0"/>
        <w:snapToGrid w:val="0"/>
        <w:spacing w:line="360" w:lineRule="auto"/>
        <w:jc w:val="left"/>
        <w:rPr>
          <w:rFonts w:ascii="宋体" w:hAnsi="宋体" w:cs="宋体"/>
          <w:b/>
          <w:w w:val="120"/>
          <w:sz w:val="28"/>
          <w:szCs w:val="28"/>
        </w:rPr>
      </w:pPr>
    </w:p>
    <w:p>
      <w:pPr>
        <w:adjustRightInd w:val="0"/>
        <w:snapToGrid w:val="0"/>
        <w:spacing w:line="360" w:lineRule="auto"/>
        <w:jc w:val="left"/>
        <w:rPr>
          <w:rFonts w:ascii="宋体" w:hAnsi="宋体" w:cs="宋体"/>
          <w:b/>
          <w:sz w:val="52"/>
          <w:szCs w:val="56"/>
        </w:rPr>
      </w:pPr>
      <w:r>
        <w:rPr>
          <w:rFonts w:hint="eastAsia" w:ascii="宋体" w:hAnsi="宋体" w:cs="宋体"/>
          <w:b/>
          <w:w w:val="120"/>
          <w:sz w:val="28"/>
          <w:szCs w:val="28"/>
        </w:rPr>
        <w:t>项目编号：                            （正本或副本）</w:t>
      </w:r>
    </w:p>
    <w:p>
      <w:pPr>
        <w:pStyle w:val="2"/>
        <w:spacing w:after="120" w:line="520" w:lineRule="exact"/>
        <w:jc w:val="right"/>
        <w:rPr>
          <w:rFonts w:ascii="方正小标宋简体" w:hAnsi="方正小标宋简体" w:eastAsia="方正小标宋简体" w:cs="方正小标宋简体"/>
          <w:color w:val="auto"/>
          <w:sz w:val="48"/>
          <w:szCs w:val="48"/>
          <w:u w:val="single"/>
        </w:rPr>
      </w:pPr>
      <w:r>
        <w:rPr>
          <w:rFonts w:hint="eastAsia" w:ascii="方正小标宋简体" w:hAnsi="方正小标宋简体" w:eastAsia="方正小标宋简体" w:cs="方正小标宋简体"/>
          <w:color w:val="auto"/>
        </w:rPr>
        <w:t>正本/副本</w:t>
      </w:r>
    </w:p>
    <w:p>
      <w:pPr>
        <w:pStyle w:val="2"/>
        <w:spacing w:after="120" w:line="520" w:lineRule="exact"/>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u w:val="single"/>
        </w:rPr>
        <w:t>（项目名称）</w:t>
      </w:r>
    </w:p>
    <w:p>
      <w:pPr>
        <w:spacing w:line="520" w:lineRule="exact"/>
        <w:jc w:val="center"/>
        <w:rPr>
          <w:rFonts w:ascii="方正小标宋简体" w:hAnsi="方正小标宋简体" w:eastAsia="方正小标宋简体" w:cs="方正小标宋简体"/>
          <w:sz w:val="52"/>
          <w:szCs w:val="52"/>
        </w:rPr>
      </w:pPr>
    </w:p>
    <w:p>
      <w:pPr>
        <w:spacing w:line="520" w:lineRule="exact"/>
        <w:jc w:val="center"/>
        <w:rPr>
          <w:rFonts w:ascii="方正小标宋简体" w:hAnsi="方正小标宋简体" w:eastAsia="方正小标宋简体" w:cs="方正小标宋简体"/>
          <w:sz w:val="52"/>
          <w:szCs w:val="52"/>
        </w:rPr>
      </w:pPr>
    </w:p>
    <w:p>
      <w:pPr>
        <w:spacing w:line="520" w:lineRule="exact"/>
        <w:jc w:val="center"/>
        <w:rPr>
          <w:rFonts w:ascii="方正小标宋简体" w:hAnsi="方正小标宋简体" w:eastAsia="方正小标宋简体" w:cs="方正小标宋简体"/>
          <w:sz w:val="52"/>
          <w:szCs w:val="52"/>
        </w:rPr>
      </w:pPr>
    </w:p>
    <w:p>
      <w:pPr>
        <w:spacing w:line="520" w:lineRule="exact"/>
        <w:jc w:val="center"/>
        <w:rPr>
          <w:rFonts w:ascii="方正小标宋简体" w:hAnsi="方正小标宋简体" w:eastAsia="方正小标宋简体" w:cs="方正小标宋简体"/>
          <w:sz w:val="52"/>
          <w:szCs w:val="52"/>
        </w:rPr>
      </w:pPr>
    </w:p>
    <w:p>
      <w:pPr>
        <w:pStyle w:val="17"/>
      </w:pPr>
    </w:p>
    <w:p>
      <w:pPr>
        <w:spacing w:line="520" w:lineRule="exact"/>
        <w:jc w:val="center"/>
        <w:rPr>
          <w:rFonts w:ascii="方正小标宋简体" w:hAnsi="方正小标宋简体" w:eastAsia="方正小标宋简体" w:cs="方正小标宋简体"/>
          <w:sz w:val="52"/>
          <w:szCs w:val="52"/>
        </w:rPr>
      </w:pPr>
    </w:p>
    <w:p>
      <w:pPr>
        <w:spacing w:before="200" w:line="520" w:lineRule="exac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52"/>
          <w:szCs w:val="52"/>
        </w:rPr>
        <w:t>投标文件</w:t>
      </w:r>
      <w:r>
        <w:rPr>
          <w:rFonts w:hint="eastAsia" w:ascii="方正小标宋简体" w:hAnsi="方正小标宋简体" w:eastAsia="方正小标宋简体" w:cs="方正小标宋简体"/>
          <w:sz w:val="72"/>
          <w:szCs w:val="72"/>
        </w:rPr>
        <w:t xml:space="preserve"> </w:t>
      </w:r>
    </w:p>
    <w:p>
      <w:pPr>
        <w:pStyle w:val="26"/>
        <w:spacing w:before="0" w:beforeAutospacing="0" w:after="0" w:afterAutospacing="0" w:line="520" w:lineRule="exact"/>
        <w:ind w:firstLine="2240" w:firstLineChars="700"/>
        <w:rPr>
          <w:rFonts w:ascii="方正小标宋简体" w:hAnsi="方正小标宋简体" w:eastAsia="方正小标宋简体" w:cs="方正小标宋简体"/>
          <w:sz w:val="32"/>
          <w:u w:val="single"/>
        </w:rPr>
      </w:pPr>
    </w:p>
    <w:p>
      <w:pPr>
        <w:spacing w:line="520" w:lineRule="exact"/>
        <w:rPr>
          <w:rFonts w:ascii="方正小标宋简体" w:hAnsi="方正小标宋简体" w:eastAsia="方正小标宋简体" w:cs="方正小标宋简体"/>
          <w:sz w:val="28"/>
        </w:rPr>
      </w:pPr>
    </w:p>
    <w:p>
      <w:pPr>
        <w:spacing w:line="520" w:lineRule="exact"/>
        <w:rPr>
          <w:rFonts w:ascii="方正小标宋简体" w:hAnsi="方正小标宋简体" w:eastAsia="方正小标宋简体" w:cs="方正小标宋简体"/>
          <w:sz w:val="28"/>
        </w:rPr>
      </w:pPr>
    </w:p>
    <w:p>
      <w:pPr>
        <w:spacing w:line="520" w:lineRule="exact"/>
        <w:rPr>
          <w:rFonts w:ascii="方正小标宋简体" w:hAnsi="方正小标宋简体" w:eastAsia="方正小标宋简体" w:cs="方正小标宋简体"/>
          <w:sz w:val="28"/>
        </w:rPr>
      </w:pPr>
    </w:p>
    <w:p>
      <w:pPr>
        <w:pStyle w:val="17"/>
      </w:pPr>
    </w:p>
    <w:p>
      <w:pPr>
        <w:spacing w:line="600" w:lineRule="exact"/>
        <w:ind w:firstLine="1200" w:firstLineChars="500"/>
        <w:jc w:val="left"/>
        <w:rPr>
          <w:rFonts w:ascii="方正小标宋简体" w:hAnsi="方正小标宋简体" w:eastAsia="方正小标宋简体" w:cs="方正小标宋简体"/>
          <w:sz w:val="24"/>
          <w:szCs w:val="24"/>
          <w:u w:val="single"/>
        </w:rPr>
      </w:pPr>
      <w:r>
        <w:rPr>
          <w:rFonts w:hint="eastAsia" w:ascii="方正小标宋简体" w:hAnsi="方正小标宋简体" w:eastAsia="方正小标宋简体" w:cs="方正小标宋简体"/>
          <w:sz w:val="24"/>
          <w:szCs w:val="24"/>
        </w:rPr>
        <w:t>供  应  商  名  称：</w:t>
      </w:r>
      <w:r>
        <w:rPr>
          <w:rFonts w:hint="eastAsia" w:ascii="方正小标宋简体" w:hAnsi="方正小标宋简体" w:eastAsia="方正小标宋简体" w:cs="方正小标宋简体"/>
          <w:sz w:val="24"/>
          <w:szCs w:val="24"/>
          <w:u w:val="single"/>
        </w:rPr>
        <w:t xml:space="preserve"> </w:t>
      </w:r>
      <w:r>
        <w:rPr>
          <w:rFonts w:hint="eastAsia" w:ascii="仿宋_GB2312" w:hAnsi="仿宋_GB2312" w:eastAsia="仿宋_GB2312" w:cs="仿宋_GB2312"/>
          <w:sz w:val="24"/>
          <w:szCs w:val="24"/>
          <w:u w:val="single"/>
        </w:rPr>
        <w:t xml:space="preserve">                         (加盖公章）</w:t>
      </w:r>
    </w:p>
    <w:p>
      <w:pPr>
        <w:spacing w:line="600" w:lineRule="exact"/>
        <w:ind w:firstLine="1200" w:firstLineChars="500"/>
        <w:jc w:val="left"/>
        <w:rPr>
          <w:rFonts w:ascii="方正小标宋简体" w:hAnsi="方正小标宋简体" w:eastAsia="方正小标宋简体" w:cs="方正小标宋简体"/>
          <w:sz w:val="24"/>
          <w:szCs w:val="24"/>
          <w:u w:val="single"/>
        </w:rPr>
      </w:pPr>
      <w:r>
        <w:rPr>
          <w:rFonts w:hint="eastAsia" w:ascii="方正小标宋简体" w:hAnsi="方正小标宋简体" w:eastAsia="方正小标宋简体" w:cs="方正小标宋简体"/>
          <w:sz w:val="24"/>
          <w:szCs w:val="24"/>
        </w:rPr>
        <w:t>法定代表人（或被授权人）：</w:t>
      </w:r>
      <w:r>
        <w:rPr>
          <w:rFonts w:hint="eastAsia" w:ascii="方正小标宋简体" w:hAnsi="方正小标宋简体" w:eastAsia="方正小标宋简体" w:cs="方正小标宋简体"/>
          <w:sz w:val="24"/>
          <w:szCs w:val="24"/>
          <w:u w:val="single"/>
        </w:rPr>
        <w:t xml:space="preserve">　         　　 </w:t>
      </w:r>
      <w:r>
        <w:rPr>
          <w:rFonts w:hint="eastAsia" w:ascii="仿宋_GB2312" w:hAnsi="仿宋_GB2312" w:eastAsia="仿宋_GB2312" w:cs="仿宋_GB2312"/>
          <w:sz w:val="24"/>
          <w:szCs w:val="24"/>
          <w:u w:val="single"/>
        </w:rPr>
        <w:t>（签字或盖章）</w:t>
      </w:r>
    </w:p>
    <w:p>
      <w:pPr>
        <w:spacing w:line="600" w:lineRule="exact"/>
        <w:ind w:left="2234" w:leftChars="1064" w:firstLine="1200" w:firstLineChars="500"/>
        <w:jc w:val="left"/>
        <w:rPr>
          <w:rFonts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年   月   日</w:t>
      </w:r>
    </w:p>
    <w:p>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 录</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第一部分   投标函</w:t>
      </w:r>
    </w:p>
    <w:p>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第二部分   报价一览表</w:t>
      </w:r>
    </w:p>
    <w:p>
      <w:pPr>
        <w:pStyle w:val="15"/>
        <w:snapToGrid w:val="0"/>
        <w:spacing w:line="480" w:lineRule="auto"/>
        <w:ind w:firstLine="562" w:firstLineChars="200"/>
        <w:jc w:val="left"/>
        <w:rPr>
          <w:rFonts w:hAnsi="宋体" w:cs="宋体"/>
          <w:b/>
          <w:kern w:val="0"/>
          <w:sz w:val="28"/>
          <w:szCs w:val="28"/>
        </w:rPr>
      </w:pPr>
      <w:r>
        <w:rPr>
          <w:rFonts w:hint="eastAsia" w:hAnsi="宋体" w:cs="宋体"/>
          <w:b/>
          <w:bCs/>
          <w:sz w:val="28"/>
          <w:szCs w:val="28"/>
        </w:rPr>
        <w:t xml:space="preserve">第三部分   </w:t>
      </w:r>
      <w:r>
        <w:rPr>
          <w:rFonts w:hint="eastAsia" w:hAnsi="宋体" w:cs="宋体"/>
          <w:b/>
          <w:kern w:val="0"/>
          <w:sz w:val="28"/>
          <w:szCs w:val="28"/>
        </w:rPr>
        <w:t>商务及技术偏离表</w:t>
      </w:r>
    </w:p>
    <w:p>
      <w:pPr>
        <w:pStyle w:val="15"/>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第四部分   </w:t>
      </w:r>
      <w:r>
        <w:rPr>
          <w:rFonts w:hint="eastAsia" w:hAnsi="宋体" w:cs="宋体"/>
          <w:b/>
          <w:sz w:val="28"/>
          <w:szCs w:val="28"/>
          <w:lang w:eastAsia="zh-CN"/>
        </w:rPr>
        <w:t>投标人</w:t>
      </w:r>
      <w:r>
        <w:rPr>
          <w:rFonts w:hint="eastAsia" w:hAnsi="宋体" w:cs="宋体"/>
          <w:b/>
          <w:sz w:val="28"/>
          <w:szCs w:val="28"/>
        </w:rPr>
        <w:t>资格要求</w:t>
      </w:r>
    </w:p>
    <w:p>
      <w:pPr>
        <w:pStyle w:val="15"/>
        <w:snapToGrid w:val="0"/>
        <w:spacing w:line="480" w:lineRule="auto"/>
        <w:ind w:firstLine="562" w:firstLineChars="200"/>
        <w:jc w:val="left"/>
        <w:rPr>
          <w:rFonts w:hAnsi="宋体" w:cs="宋体"/>
          <w:b/>
          <w:sz w:val="28"/>
          <w:szCs w:val="28"/>
        </w:rPr>
      </w:pPr>
      <w:r>
        <w:rPr>
          <w:rFonts w:hint="eastAsia" w:hAnsi="宋体" w:cs="宋体"/>
          <w:b/>
          <w:sz w:val="28"/>
          <w:szCs w:val="28"/>
        </w:rPr>
        <w:t xml:space="preserve">第五部分  </w:t>
      </w:r>
      <w:r>
        <w:rPr>
          <w:rFonts w:hint="eastAsia" w:hAnsi="宋体" w:cs="宋体"/>
          <w:b/>
          <w:sz w:val="28"/>
          <w:szCs w:val="28"/>
          <w:lang w:val="en-US" w:eastAsia="zh-CN"/>
        </w:rPr>
        <w:t xml:space="preserve"> </w:t>
      </w:r>
      <w:r>
        <w:rPr>
          <w:rFonts w:hint="eastAsia" w:hAnsi="宋体" w:cs="宋体"/>
          <w:b/>
          <w:sz w:val="28"/>
          <w:szCs w:val="28"/>
        </w:rPr>
        <w:t>服务方案</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六</w:t>
      </w:r>
      <w:r>
        <w:rPr>
          <w:rFonts w:hint="eastAsia" w:ascii="宋体" w:hAnsi="宋体" w:cs="宋体"/>
          <w:b/>
          <w:bCs/>
          <w:sz w:val="28"/>
          <w:szCs w:val="28"/>
        </w:rPr>
        <w:t>部分   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val="en-US" w:eastAsia="zh-CN"/>
        </w:rPr>
        <w:t>七</w:t>
      </w:r>
      <w:r>
        <w:rPr>
          <w:rFonts w:hint="eastAsia" w:ascii="宋体" w:hAnsi="宋体" w:cs="宋体"/>
          <w:b/>
          <w:bCs/>
          <w:sz w:val="28"/>
          <w:szCs w:val="28"/>
        </w:rPr>
        <w:t xml:space="preserve">部分   </w:t>
      </w:r>
      <w:r>
        <w:rPr>
          <w:rFonts w:hint="eastAsia" w:ascii="宋体" w:hAnsi="宋体" w:cs="宋体"/>
          <w:b/>
          <w:bCs/>
          <w:sz w:val="28"/>
          <w:szCs w:val="28"/>
          <w:lang w:eastAsia="zh-CN"/>
        </w:rPr>
        <w:t>投标人</w:t>
      </w:r>
      <w:r>
        <w:rPr>
          <w:rFonts w:hint="eastAsia" w:ascii="宋体" w:hAnsi="宋体" w:cs="宋体"/>
          <w:b/>
          <w:bCs/>
          <w:sz w:val="28"/>
          <w:szCs w:val="28"/>
        </w:rPr>
        <w:t>认为有必要说明的其他问题</w:t>
      </w:r>
    </w:p>
    <w:p>
      <w:pPr>
        <w:rPr>
          <w:rFonts w:ascii="宋体" w:hAnsi="宋体" w:cs="宋体"/>
        </w:rPr>
      </w:pPr>
    </w:p>
    <w:p>
      <w:pPr>
        <w:pStyle w:val="4"/>
        <w:pageBreakBefore/>
        <w:spacing w:before="319" w:beforeLines="100" w:after="478" w:afterLines="150" w:line="500" w:lineRule="exact"/>
        <w:jc w:val="center"/>
        <w:rPr>
          <w:rFonts w:ascii="宋体" w:hAnsi="宋体" w:cs="宋体"/>
          <w:sz w:val="36"/>
          <w:szCs w:val="36"/>
        </w:rPr>
      </w:pPr>
      <w:bookmarkStart w:id="79" w:name="_Toc2507"/>
      <w:r>
        <w:rPr>
          <w:rFonts w:hint="eastAsia" w:ascii="宋体" w:hAnsi="宋体" w:cs="宋体"/>
          <w:sz w:val="36"/>
          <w:szCs w:val="36"/>
        </w:rPr>
        <w:t>第一部分  投标函</w:t>
      </w:r>
      <w:bookmarkEnd w:id="63"/>
      <w:bookmarkEnd w:id="79"/>
    </w:p>
    <w:p>
      <w:pPr>
        <w:adjustRightInd w:val="0"/>
        <w:snapToGrid w:val="0"/>
        <w:spacing w:line="276" w:lineRule="auto"/>
        <w:jc w:val="left"/>
        <w:rPr>
          <w:rFonts w:ascii="宋体" w:hAnsi="宋体" w:cs="宋体"/>
          <w:bCs/>
          <w:sz w:val="28"/>
          <w:szCs w:val="28"/>
        </w:rPr>
      </w:pPr>
      <w:r>
        <w:rPr>
          <w:rFonts w:hint="eastAsia" w:ascii="宋体" w:hAnsi="宋体" w:cs="宋体"/>
          <w:sz w:val="24"/>
          <w:szCs w:val="24"/>
          <w:u w:val="single"/>
        </w:rPr>
        <w:t>（采购人名称）</w:t>
      </w:r>
      <w:r>
        <w:rPr>
          <w:rFonts w:hint="eastAsia" w:ascii="宋体" w:hAnsi="宋体" w:cs="宋体"/>
          <w:sz w:val="24"/>
          <w:szCs w:val="24"/>
        </w:rPr>
        <w:t xml:space="preserve">  </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6、我方承诺投标有效期为开标后________日历日内有效。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lang w:eastAsia="zh-CN"/>
        </w:rPr>
        <w:t>投标人</w:t>
      </w:r>
      <w:r>
        <w:rPr>
          <w:rFonts w:hint="eastAsia" w:ascii="宋体" w:hAnsi="宋体" w:cs="宋体"/>
          <w:sz w:val="24"/>
          <w:szCs w:val="24"/>
        </w:rPr>
        <w:t>（单位名称及公章）：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 xml:space="preserve"> 年 </w:t>
      </w:r>
      <w:r>
        <w:rPr>
          <w:rFonts w:hint="eastAsia" w:ascii="宋体" w:hAnsi="宋体" w:cs="宋体"/>
          <w:sz w:val="24"/>
        </w:rPr>
        <w:t>_____</w:t>
      </w:r>
      <w:r>
        <w:rPr>
          <w:rFonts w:hint="eastAsia" w:ascii="宋体" w:hAnsi="宋体" w:cs="宋体"/>
          <w:sz w:val="24"/>
          <w:szCs w:val="24"/>
        </w:rPr>
        <w:t xml:space="preserve">  月</w:t>
      </w:r>
      <w:r>
        <w:rPr>
          <w:rFonts w:hint="eastAsia" w:ascii="宋体" w:hAnsi="宋体" w:cs="宋体"/>
          <w:sz w:val="24"/>
        </w:rPr>
        <w:t>_____</w:t>
      </w:r>
      <w:r>
        <w:rPr>
          <w:rFonts w:hint="eastAsia" w:ascii="宋体" w:hAnsi="宋体" w:cs="宋体"/>
          <w:sz w:val="24"/>
          <w:szCs w:val="24"/>
        </w:rPr>
        <w:t xml:space="preserve"> 日</w:t>
      </w:r>
    </w:p>
    <w:p>
      <w:pPr>
        <w:pStyle w:val="4"/>
        <w:numPr>
          <w:ilvl w:val="0"/>
          <w:numId w:val="17"/>
        </w:numPr>
        <w:spacing w:before="319" w:beforeLines="100" w:after="478" w:afterLines="150" w:line="500" w:lineRule="exact"/>
        <w:jc w:val="center"/>
        <w:rPr>
          <w:rFonts w:ascii="宋体" w:hAnsi="宋体" w:cs="宋体"/>
          <w:sz w:val="36"/>
          <w:szCs w:val="36"/>
        </w:rPr>
        <w:sectPr>
          <w:headerReference r:id="rId17" w:type="default"/>
          <w:footerReference r:id="rId18" w:type="default"/>
          <w:pgSz w:w="11906" w:h="16838"/>
          <w:pgMar w:top="1440" w:right="1701" w:bottom="1440" w:left="1701" w:header="851" w:footer="992" w:gutter="0"/>
          <w:cols w:space="0" w:num="1"/>
          <w:docGrid w:type="lines" w:linePitch="319" w:charSpace="0"/>
        </w:sectPr>
      </w:pPr>
      <w:bookmarkStart w:id="80" w:name="_Toc28494"/>
    </w:p>
    <w:p>
      <w:pPr>
        <w:pStyle w:val="4"/>
        <w:numPr>
          <w:ilvl w:val="0"/>
          <w:numId w:val="17"/>
        </w:numPr>
        <w:spacing w:before="319" w:beforeLines="100" w:after="478" w:afterLines="150" w:line="500" w:lineRule="exact"/>
        <w:jc w:val="center"/>
        <w:rPr>
          <w:rFonts w:ascii="宋体" w:hAnsi="宋体" w:cs="宋体"/>
          <w:sz w:val="36"/>
          <w:szCs w:val="36"/>
        </w:rPr>
      </w:pPr>
      <w:r>
        <w:rPr>
          <w:rFonts w:hint="eastAsia" w:ascii="宋体" w:hAnsi="宋体" w:cs="宋体"/>
          <w:sz w:val="36"/>
          <w:szCs w:val="36"/>
        </w:rPr>
        <w:t xml:space="preserve">  </w:t>
      </w:r>
      <w:bookmarkEnd w:id="80"/>
      <w:bookmarkStart w:id="81" w:name="_Toc6430"/>
      <w:r>
        <w:rPr>
          <w:rFonts w:hint="eastAsia" w:ascii="宋体" w:hAnsi="宋体" w:cs="宋体"/>
          <w:sz w:val="36"/>
          <w:szCs w:val="36"/>
        </w:rPr>
        <w:t>报价一览表</w:t>
      </w:r>
      <w:bookmarkEnd w:id="81"/>
    </w:p>
    <w:p>
      <w:pPr>
        <w:kinsoku w:val="0"/>
        <w:spacing w:line="360" w:lineRule="auto"/>
        <w:jc w:val="left"/>
        <w:rPr>
          <w:rFonts w:hint="eastAsia" w:ascii="宋体" w:hAnsi="宋体" w:cs="宋体"/>
          <w:sz w:val="24"/>
          <w:szCs w:val="24"/>
        </w:rPr>
      </w:pPr>
      <w:r>
        <w:rPr>
          <w:rFonts w:hint="eastAsia" w:ascii="宋体" w:hAnsi="宋体" w:cs="宋体"/>
          <w:sz w:val="24"/>
          <w:szCs w:val="24"/>
        </w:rPr>
        <w:t xml:space="preserve">项目名称：  </w:t>
      </w:r>
    </w:p>
    <w:p>
      <w:pPr>
        <w:kinsoku w:val="0"/>
        <w:spacing w:line="360" w:lineRule="auto"/>
        <w:jc w:val="left"/>
        <w:rPr>
          <w:rFonts w:ascii="宋体" w:hAnsi="宋体" w:cs="宋体"/>
        </w:rPr>
      </w:pPr>
      <w:r>
        <w:rPr>
          <w:rFonts w:hint="eastAsia" w:ascii="宋体" w:hAnsi="宋体" w:cs="宋体"/>
          <w:sz w:val="24"/>
          <w:szCs w:val="24"/>
          <w:lang w:val="en-US" w:eastAsia="zh-CN"/>
        </w:rPr>
        <w:t>项目编号：</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单  位：元    </w:t>
      </w:r>
      <w:r>
        <w:rPr>
          <w:rFonts w:hint="eastAsia" w:ascii="宋体" w:hAnsi="宋体" w:cs="宋体"/>
          <w:sz w:val="28"/>
          <w:szCs w:val="28"/>
        </w:rPr>
        <w:t xml:space="preserve">             </w:t>
      </w:r>
    </w:p>
    <w:tbl>
      <w:tblPr>
        <w:tblStyle w:val="31"/>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2526"/>
        <w:gridCol w:w="265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775" w:type="dxa"/>
            <w:tcBorders>
              <w:tl2br w:val="single" w:color="auto" w:sz="4" w:space="0"/>
            </w:tcBorders>
            <w:vAlign w:val="center"/>
          </w:tcPr>
          <w:p>
            <w:pPr>
              <w:kinsoku w:val="0"/>
              <w:spacing w:line="360" w:lineRule="auto"/>
              <w:ind w:firstLine="720" w:firstLineChars="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p>
            <w:pPr>
              <w:kinsoku w:val="0"/>
              <w:spacing w:line="360" w:lineRule="auto"/>
              <w:jc w:val="center"/>
              <w:rPr>
                <w:rFonts w:asciiTheme="minorEastAsia" w:hAnsiTheme="minorEastAsia" w:eastAsiaTheme="minorEastAsia" w:cstheme="minorEastAsia"/>
                <w:sz w:val="24"/>
                <w:szCs w:val="24"/>
              </w:rPr>
            </w:pPr>
          </w:p>
          <w:p>
            <w:pPr>
              <w:kinsoku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2526" w:type="dxa"/>
            <w:vAlign w:val="center"/>
          </w:tcPr>
          <w:p>
            <w:pPr>
              <w:kinsoku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p>
            <w:pPr>
              <w:kinsoku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2655" w:type="dxa"/>
            <w:vAlign w:val="center"/>
          </w:tcPr>
          <w:p>
            <w:pPr>
              <w:kinsoku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w:t>
            </w:r>
          </w:p>
        </w:tc>
        <w:tc>
          <w:tcPr>
            <w:tcW w:w="1401" w:type="dxa"/>
            <w:vAlign w:val="center"/>
          </w:tcPr>
          <w:p>
            <w:pPr>
              <w:kinsoku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775" w:type="dxa"/>
            <w:vAlign w:val="center"/>
          </w:tcPr>
          <w:p>
            <w:pPr>
              <w:kinsoku w:val="0"/>
              <w:spacing w:line="480" w:lineRule="auto"/>
              <w:jc w:val="center"/>
              <w:rPr>
                <w:rFonts w:asciiTheme="minorEastAsia" w:hAnsiTheme="minorEastAsia" w:eastAsiaTheme="minorEastAsia" w:cstheme="minorEastAsia"/>
                <w:sz w:val="24"/>
                <w:szCs w:val="24"/>
              </w:rPr>
            </w:pPr>
          </w:p>
        </w:tc>
        <w:tc>
          <w:tcPr>
            <w:tcW w:w="2526" w:type="dxa"/>
            <w:vAlign w:val="center"/>
          </w:tcPr>
          <w:p>
            <w:pPr>
              <w:kinsoku w:val="0"/>
              <w:spacing w:line="480" w:lineRule="auto"/>
              <w:jc w:val="left"/>
              <w:rPr>
                <w:rFonts w:asciiTheme="minorEastAsia" w:hAnsiTheme="minorEastAsia" w:eastAsiaTheme="minorEastAsia" w:cstheme="minorEastAsia"/>
                <w:sz w:val="24"/>
                <w:szCs w:val="24"/>
              </w:rPr>
            </w:pPr>
          </w:p>
        </w:tc>
        <w:tc>
          <w:tcPr>
            <w:tcW w:w="2655" w:type="dxa"/>
            <w:vAlign w:val="center"/>
          </w:tcPr>
          <w:p>
            <w:pPr>
              <w:kinsoku w:val="0"/>
              <w:spacing w:line="480" w:lineRule="auto"/>
              <w:jc w:val="center"/>
              <w:rPr>
                <w:rFonts w:asciiTheme="minorEastAsia" w:hAnsiTheme="minorEastAsia" w:eastAsiaTheme="minorEastAsia" w:cstheme="minorEastAsia"/>
                <w:sz w:val="24"/>
                <w:szCs w:val="24"/>
              </w:rPr>
            </w:pPr>
          </w:p>
        </w:tc>
        <w:tc>
          <w:tcPr>
            <w:tcW w:w="1401" w:type="dxa"/>
            <w:vAlign w:val="center"/>
          </w:tcPr>
          <w:p>
            <w:pPr>
              <w:kinsoku w:val="0"/>
              <w:spacing w:line="480" w:lineRule="auto"/>
              <w:ind w:firstLine="480" w:firstLineChars="200"/>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956" w:type="dxa"/>
            <w:gridSpan w:val="3"/>
            <w:vAlign w:val="center"/>
          </w:tcPr>
          <w:p>
            <w:pPr>
              <w:kinsoku w:val="0"/>
              <w:spacing w:line="48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tc>
        <w:tc>
          <w:tcPr>
            <w:tcW w:w="1401" w:type="dxa"/>
            <w:vAlign w:val="center"/>
          </w:tcPr>
          <w:p>
            <w:pPr>
              <w:kinsoku w:val="0"/>
              <w:spacing w:line="480" w:lineRule="auto"/>
              <w:jc w:val="lef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956" w:type="dxa"/>
            <w:gridSpan w:val="3"/>
            <w:vAlign w:val="center"/>
          </w:tcPr>
          <w:p>
            <w:pPr>
              <w:kinsoku w:val="0"/>
              <w:spacing w:line="48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备注：表内报价内容以元为单位，精确到小数点后两位；</w:t>
            </w:r>
          </w:p>
        </w:tc>
        <w:tc>
          <w:tcPr>
            <w:tcW w:w="1401" w:type="dxa"/>
            <w:vAlign w:val="center"/>
          </w:tcPr>
          <w:p>
            <w:pPr>
              <w:kinsoku w:val="0"/>
              <w:spacing w:line="480" w:lineRule="auto"/>
              <w:jc w:val="left"/>
              <w:rPr>
                <w:rFonts w:asciiTheme="minorEastAsia" w:hAnsiTheme="minorEastAsia" w:eastAsiaTheme="minorEastAsia" w:cstheme="minorEastAsia"/>
                <w:sz w:val="24"/>
                <w:szCs w:val="24"/>
              </w:rPr>
            </w:pPr>
          </w:p>
        </w:tc>
      </w:tr>
    </w:tbl>
    <w:p>
      <w:pPr>
        <w:widowControl/>
        <w:tabs>
          <w:tab w:val="left" w:pos="4000"/>
        </w:tabs>
        <w:snapToGrid w:val="0"/>
        <w:spacing w:line="300" w:lineRule="auto"/>
        <w:jc w:val="left"/>
        <w:rPr>
          <w:rFonts w:ascii="宋体" w:hAnsi="宋体" w:cs="宋体"/>
          <w:b/>
          <w:bCs/>
          <w:spacing w:val="20"/>
          <w:kern w:val="0"/>
          <w:sz w:val="28"/>
          <w:szCs w:val="28"/>
        </w:rPr>
      </w:pP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lang w:eastAsia="zh-CN"/>
        </w:rPr>
        <w:t>投标人</w:t>
      </w:r>
      <w:r>
        <w:rPr>
          <w:rFonts w:hint="eastAsia" w:ascii="宋体" w:hAnsi="宋体" w:cs="宋体"/>
          <w:sz w:val="24"/>
          <w:szCs w:val="24"/>
        </w:rPr>
        <w:t>（单位名称及公章）：____________________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ascii="宋体" w:hAnsi="宋体" w:cs="宋体"/>
          <w:b/>
          <w:sz w:val="24"/>
          <w:szCs w:val="24"/>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日    期：  _____年_____ 月_____日</w:t>
      </w:r>
    </w:p>
    <w:p>
      <w:pPr>
        <w:pStyle w:val="9"/>
        <w:ind w:firstLine="0"/>
        <w:jc w:val="center"/>
        <w:rPr>
          <w:rFonts w:hint="eastAsia" w:ascii="仿宋" w:hAnsi="仿宋" w:eastAsia="仿宋" w:cs="仿宋"/>
          <w:sz w:val="28"/>
          <w:szCs w:val="28"/>
        </w:rPr>
      </w:pPr>
      <w:bookmarkStart w:id="82" w:name="_Toc3356"/>
      <w:bookmarkStart w:id="83" w:name="_Toc22888"/>
      <w:bookmarkStart w:id="84" w:name="_Toc10126"/>
      <w:bookmarkStart w:id="85" w:name="_Toc9034"/>
      <w:r>
        <w:rPr>
          <w:rFonts w:hint="eastAsia" w:ascii="仿宋" w:hAnsi="仿宋" w:eastAsia="仿宋" w:cs="仿宋"/>
          <w:sz w:val="28"/>
          <w:szCs w:val="28"/>
        </w:rPr>
        <w:t>分项报价表</w:t>
      </w:r>
    </w:p>
    <w:p>
      <w:pPr>
        <w:spacing w:after="120" w:line="360" w:lineRule="auto"/>
        <w:jc w:val="left"/>
        <w:rPr>
          <w:rFonts w:hint="eastAsia" w:hAnsi="宋体" w:cs="宋体"/>
          <w:szCs w:val="24"/>
        </w:rPr>
      </w:pPr>
      <w:r>
        <w:rPr>
          <w:rFonts w:hint="eastAsia" w:hAnsi="宋体" w:cs="宋体"/>
          <w:szCs w:val="24"/>
        </w:rPr>
        <w:t>项目名称：</w:t>
      </w:r>
    </w:p>
    <w:p>
      <w:pPr>
        <w:spacing w:after="120" w:line="360" w:lineRule="auto"/>
        <w:jc w:val="left"/>
        <w:rPr>
          <w:rFonts w:hint="eastAsia" w:hAnsi="宋体" w:cs="宋体"/>
          <w:szCs w:val="24"/>
          <w:highlight w:val="yellow"/>
        </w:rPr>
      </w:pPr>
      <w:r>
        <w:rPr>
          <w:rFonts w:hint="eastAsia" w:hAnsi="宋体" w:cs="宋体"/>
          <w:szCs w:val="24"/>
        </w:rPr>
        <w:t xml:space="preserve">项目编号： </w:t>
      </w:r>
    </w:p>
    <w:tbl>
      <w:tblPr>
        <w:tblStyle w:val="31"/>
        <w:tblW w:w="0" w:type="auto"/>
        <w:jc w:val="center"/>
        <w:tblLayout w:type="fixed"/>
        <w:tblCellMar>
          <w:top w:w="0" w:type="dxa"/>
          <w:left w:w="28" w:type="dxa"/>
          <w:bottom w:w="0" w:type="dxa"/>
          <w:right w:w="28" w:type="dxa"/>
        </w:tblCellMar>
      </w:tblPr>
      <w:tblGrid>
        <w:gridCol w:w="979"/>
        <w:gridCol w:w="675"/>
        <w:gridCol w:w="450"/>
        <w:gridCol w:w="3487"/>
        <w:gridCol w:w="811"/>
        <w:gridCol w:w="1326"/>
        <w:gridCol w:w="973"/>
      </w:tblGrid>
      <w:tr>
        <w:tblPrEx>
          <w:tblCellMar>
            <w:top w:w="0" w:type="dxa"/>
            <w:left w:w="28" w:type="dxa"/>
            <w:bottom w:w="0" w:type="dxa"/>
            <w:right w:w="28" w:type="dxa"/>
          </w:tblCellMar>
        </w:tblPrEx>
        <w:trPr>
          <w:trHeight w:val="675" w:hRule="atLeast"/>
          <w:jc w:val="center"/>
        </w:trPr>
        <w:tc>
          <w:tcPr>
            <w:tcW w:w="979" w:type="dxa"/>
            <w:vMerge w:val="restart"/>
            <w:tcBorders>
              <w:top w:val="single" w:color="auto" w:sz="6" w:space="0"/>
              <w:left w:val="single" w:color="auto" w:sz="6" w:space="0"/>
              <w:right w:val="single" w:color="auto" w:sz="4" w:space="0"/>
            </w:tcBorders>
            <w:noWrap w:val="0"/>
            <w:vAlign w:val="center"/>
          </w:tcPr>
          <w:p>
            <w:pPr>
              <w:jc w:val="center"/>
              <w:rPr>
                <w:rFonts w:cs="宋体"/>
              </w:rPr>
            </w:pPr>
            <w:r>
              <w:rPr>
                <w:rFonts w:hint="eastAsia" w:cs="宋体"/>
              </w:rPr>
              <w:t>费用</w:t>
            </w:r>
          </w:p>
        </w:tc>
        <w:tc>
          <w:tcPr>
            <w:tcW w:w="675" w:type="dxa"/>
            <w:tcBorders>
              <w:top w:val="single" w:color="auto" w:sz="6" w:space="0"/>
              <w:left w:val="single" w:color="auto" w:sz="4" w:space="0"/>
              <w:bottom w:val="single" w:color="auto" w:sz="6" w:space="0"/>
            </w:tcBorders>
            <w:noWrap w:val="0"/>
            <w:vAlign w:val="center"/>
          </w:tcPr>
          <w:p>
            <w:pPr>
              <w:widowControl/>
              <w:spacing w:line="460" w:lineRule="exact"/>
              <w:jc w:val="center"/>
              <w:rPr>
                <w:rFonts w:cs="宋体"/>
              </w:rPr>
            </w:pPr>
            <w:r>
              <w:rPr>
                <w:rFonts w:hint="eastAsia" w:cs="宋体"/>
              </w:rPr>
              <w:t>序号</w:t>
            </w:r>
          </w:p>
        </w:tc>
        <w:tc>
          <w:tcPr>
            <w:tcW w:w="3937" w:type="dxa"/>
            <w:gridSpan w:val="2"/>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服务内容</w:t>
            </w:r>
          </w:p>
        </w:tc>
        <w:tc>
          <w:tcPr>
            <w:tcW w:w="811"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单位</w:t>
            </w:r>
          </w:p>
        </w:tc>
        <w:tc>
          <w:tcPr>
            <w:tcW w:w="1326"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单价</w:t>
            </w:r>
          </w:p>
          <w:p>
            <w:pPr>
              <w:widowControl/>
              <w:spacing w:line="460" w:lineRule="exact"/>
              <w:jc w:val="center"/>
              <w:rPr>
                <w:rFonts w:cs="宋体"/>
              </w:rPr>
            </w:pPr>
            <w:r>
              <w:rPr>
                <w:rFonts w:hint="eastAsia" w:cs="宋体"/>
              </w:rPr>
              <w:t>（元）</w:t>
            </w:r>
          </w:p>
        </w:tc>
        <w:tc>
          <w:tcPr>
            <w:tcW w:w="973" w:type="dxa"/>
            <w:tcBorders>
              <w:top w:val="single" w:color="auto" w:sz="6"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总价</w:t>
            </w:r>
          </w:p>
          <w:p>
            <w:pPr>
              <w:widowControl/>
              <w:spacing w:line="460" w:lineRule="exact"/>
              <w:jc w:val="center"/>
              <w:rPr>
                <w:rFonts w:cs="宋体"/>
              </w:rPr>
            </w:pPr>
            <w:r>
              <w:rPr>
                <w:rFonts w:hint="eastAsia" w:cs="宋体"/>
              </w:rPr>
              <w:t>（元）</w:t>
            </w: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cs="宋体"/>
              </w:rPr>
            </w:pPr>
          </w:p>
        </w:tc>
        <w:tc>
          <w:tcPr>
            <w:tcW w:w="675" w:type="dxa"/>
            <w:tcBorders>
              <w:top w:val="single" w:color="auto" w:sz="6" w:space="0"/>
              <w:left w:val="single" w:color="auto" w:sz="4" w:space="0"/>
              <w:bottom w:val="single" w:color="auto" w:sz="4" w:space="0"/>
            </w:tcBorders>
            <w:noWrap w:val="0"/>
            <w:vAlign w:val="center"/>
          </w:tcPr>
          <w:p>
            <w:pPr>
              <w:widowControl/>
              <w:spacing w:line="460" w:lineRule="exact"/>
              <w:jc w:val="center"/>
              <w:rPr>
                <w:rFonts w:cs="宋体"/>
              </w:rPr>
            </w:pPr>
            <w:r>
              <w:rPr>
                <w:rFonts w:hint="eastAsia" w:cs="宋体"/>
              </w:rPr>
              <w:t>1</w:t>
            </w:r>
          </w:p>
        </w:tc>
        <w:tc>
          <w:tcPr>
            <w:tcW w:w="3937" w:type="dxa"/>
            <w:gridSpan w:val="2"/>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cs="宋体"/>
              </w:rPr>
            </w:pPr>
          </w:p>
        </w:tc>
        <w:tc>
          <w:tcPr>
            <w:tcW w:w="811"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cs="宋体"/>
              </w:rPr>
            </w:pPr>
          </w:p>
        </w:tc>
        <w:tc>
          <w:tcPr>
            <w:tcW w:w="1326"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cs="宋体"/>
              </w:rPr>
            </w:pPr>
          </w:p>
        </w:tc>
        <w:tc>
          <w:tcPr>
            <w:tcW w:w="973" w:type="dxa"/>
            <w:tcBorders>
              <w:top w:val="single" w:color="auto" w:sz="6" w:space="0"/>
              <w:left w:val="single" w:color="auto" w:sz="6" w:space="0"/>
              <w:bottom w:val="single" w:color="auto" w:sz="4" w:space="0"/>
              <w:right w:val="single" w:color="auto" w:sz="6" w:space="0"/>
            </w:tcBorders>
            <w:noWrap w:val="0"/>
            <w:vAlign w:val="center"/>
          </w:tcPr>
          <w:p>
            <w:pPr>
              <w:widowControl/>
              <w:spacing w:line="460" w:lineRule="exact"/>
              <w:jc w:val="center"/>
              <w:rPr>
                <w:rFonts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cs="宋体"/>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cs="宋体"/>
              </w:rPr>
            </w:pPr>
            <w:r>
              <w:rPr>
                <w:rFonts w:hint="eastAsia" w:cs="宋体"/>
              </w:rPr>
              <w:t>2</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cs="宋体"/>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cs="宋体"/>
              </w:rPr>
            </w:pPr>
            <w:r>
              <w:rPr>
                <w:rFonts w:hint="eastAsia" w:cs="宋体"/>
              </w:rPr>
              <w:t>3</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r>
      <w:tr>
        <w:tblPrEx>
          <w:tblCellMar>
            <w:top w:w="0" w:type="dxa"/>
            <w:left w:w="28" w:type="dxa"/>
            <w:bottom w:w="0" w:type="dxa"/>
            <w:right w:w="28" w:type="dxa"/>
          </w:tblCellMar>
        </w:tblPrEx>
        <w:trPr>
          <w:trHeight w:val="599" w:hRule="atLeast"/>
          <w:jc w:val="center"/>
        </w:trPr>
        <w:tc>
          <w:tcPr>
            <w:tcW w:w="979" w:type="dxa"/>
            <w:vMerge w:val="continue"/>
            <w:tcBorders>
              <w:left w:val="single" w:color="auto" w:sz="6" w:space="0"/>
              <w:right w:val="single" w:color="auto" w:sz="4" w:space="0"/>
            </w:tcBorders>
            <w:noWrap w:val="0"/>
            <w:vAlign w:val="center"/>
          </w:tcPr>
          <w:p>
            <w:pPr>
              <w:widowControl/>
              <w:spacing w:line="460" w:lineRule="exact"/>
              <w:jc w:val="center"/>
              <w:rPr>
                <w:rFonts w:cs="宋体"/>
              </w:rPr>
            </w:pPr>
          </w:p>
        </w:tc>
        <w:tc>
          <w:tcPr>
            <w:tcW w:w="675" w:type="dxa"/>
            <w:tcBorders>
              <w:top w:val="single" w:color="auto" w:sz="4" w:space="0"/>
              <w:left w:val="single" w:color="auto" w:sz="4" w:space="0"/>
              <w:bottom w:val="single" w:color="auto" w:sz="6" w:space="0"/>
            </w:tcBorders>
            <w:noWrap w:val="0"/>
            <w:vAlign w:val="center"/>
          </w:tcPr>
          <w:p>
            <w:pPr>
              <w:widowControl/>
              <w:spacing w:line="460" w:lineRule="exact"/>
              <w:jc w:val="center"/>
              <w:rPr>
                <w:rFonts w:cs="宋体"/>
              </w:rPr>
            </w:pPr>
            <w:r>
              <w:rPr>
                <w:rFonts w:hint="eastAsia" w:cs="宋体"/>
              </w:rPr>
              <w:t>……</w:t>
            </w:r>
          </w:p>
        </w:tc>
        <w:tc>
          <w:tcPr>
            <w:tcW w:w="3937"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811"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1326"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c>
          <w:tcPr>
            <w:tcW w:w="973" w:type="dxa"/>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其他费用</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noWrap w:val="0"/>
            <w:vAlign w:val="center"/>
          </w:tcPr>
          <w:p>
            <w:pPr>
              <w:widowControl/>
              <w:spacing w:line="460" w:lineRule="exact"/>
              <w:jc w:val="center"/>
              <w:rPr>
                <w:rFonts w:cs="宋体"/>
              </w:rPr>
            </w:pPr>
            <w:r>
              <w:rPr>
                <w:rFonts w:hint="eastAsia" w:cs="宋体"/>
              </w:rPr>
              <w:t>投标总报价（元）</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大写：            小写：</w:t>
            </w:r>
          </w:p>
        </w:tc>
      </w:tr>
      <w:tr>
        <w:tblPrEx>
          <w:tblCellMar>
            <w:top w:w="0" w:type="dxa"/>
            <w:left w:w="28" w:type="dxa"/>
            <w:bottom w:w="0" w:type="dxa"/>
            <w:right w:w="28" w:type="dxa"/>
          </w:tblCellMar>
        </w:tblPrEx>
        <w:trPr>
          <w:trHeight w:val="599" w:hRule="atLeast"/>
          <w:jc w:val="center"/>
        </w:trPr>
        <w:tc>
          <w:tcPr>
            <w:tcW w:w="2104" w:type="dxa"/>
            <w:gridSpan w:val="3"/>
            <w:tcBorders>
              <w:top w:val="single" w:color="auto" w:sz="4" w:space="0"/>
              <w:left w:val="single" w:color="auto" w:sz="6" w:space="0"/>
              <w:bottom w:val="single" w:color="auto" w:sz="6" w:space="0"/>
            </w:tcBorders>
            <w:noWrap w:val="0"/>
            <w:vAlign w:val="center"/>
          </w:tcPr>
          <w:p>
            <w:pPr>
              <w:widowControl/>
              <w:spacing w:line="460" w:lineRule="exact"/>
              <w:jc w:val="center"/>
              <w:rPr>
                <w:rFonts w:cs="宋体"/>
              </w:rPr>
            </w:pPr>
            <w:r>
              <w:rPr>
                <w:rFonts w:hint="eastAsia" w:cs="宋体"/>
              </w:rPr>
              <w:t>备注</w:t>
            </w:r>
          </w:p>
        </w:tc>
        <w:tc>
          <w:tcPr>
            <w:tcW w:w="6597" w:type="dxa"/>
            <w:gridSpan w:val="4"/>
            <w:tcBorders>
              <w:top w:val="single" w:color="auto" w:sz="4" w:space="0"/>
              <w:left w:val="single" w:color="auto" w:sz="6" w:space="0"/>
              <w:bottom w:val="single" w:color="auto" w:sz="6" w:space="0"/>
              <w:right w:val="single" w:color="auto" w:sz="6" w:space="0"/>
            </w:tcBorders>
            <w:noWrap w:val="0"/>
            <w:vAlign w:val="center"/>
          </w:tcPr>
          <w:p>
            <w:pPr>
              <w:widowControl/>
              <w:spacing w:line="460" w:lineRule="exact"/>
              <w:jc w:val="center"/>
              <w:rPr>
                <w:rFonts w:cs="宋体"/>
              </w:rPr>
            </w:pPr>
            <w:r>
              <w:rPr>
                <w:rFonts w:hint="eastAsia" w:cs="宋体"/>
              </w:rPr>
              <w:t>保留小数点后两位。</w:t>
            </w:r>
          </w:p>
        </w:tc>
      </w:tr>
    </w:tbl>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 xml:space="preserve">    请写明大写、小写。</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hAnsi="宋体" w:cs="宋体"/>
          <w:sz w:val="28"/>
          <w:szCs w:val="28"/>
        </w:rPr>
      </w:pPr>
    </w:p>
    <w:p>
      <w:pPr>
        <w:adjustRightInd w:val="0"/>
        <w:snapToGrid w:val="0"/>
        <w:spacing w:line="480" w:lineRule="auto"/>
        <w:jc w:val="left"/>
        <w:rPr>
          <w:rFonts w:hAnsi="宋体" w:cs="宋体"/>
          <w:szCs w:val="24"/>
          <w:u w:val="single"/>
        </w:rPr>
      </w:pPr>
      <w:r>
        <w:rPr>
          <w:rFonts w:hint="eastAsia" w:hAnsi="宋体" w:cs="宋体"/>
          <w:szCs w:val="24"/>
        </w:rPr>
        <w:t>供应商（单位名称及公章）：</w:t>
      </w:r>
      <w:r>
        <w:rPr>
          <w:rFonts w:hint="eastAsia" w:hAnsi="宋体" w:cs="宋体"/>
          <w:sz w:val="28"/>
          <w:szCs w:val="28"/>
        </w:rPr>
        <w:t>______________________</w:t>
      </w:r>
    </w:p>
    <w:p>
      <w:pPr>
        <w:adjustRightInd w:val="0"/>
        <w:snapToGrid w:val="0"/>
        <w:spacing w:line="480" w:lineRule="auto"/>
        <w:rPr>
          <w:rFonts w:hAnsi="宋体" w:cs="宋体"/>
          <w:szCs w:val="24"/>
        </w:rPr>
      </w:pPr>
      <w:r>
        <w:rPr>
          <w:rFonts w:hint="eastAsia" w:hAnsi="宋体" w:cs="宋体"/>
          <w:szCs w:val="24"/>
        </w:rPr>
        <w:t>法定代表人或被授权人（签字或盖章）：</w:t>
      </w:r>
      <w:r>
        <w:rPr>
          <w:rFonts w:hint="eastAsia" w:hAnsi="宋体" w:cs="宋体"/>
          <w:sz w:val="28"/>
          <w:szCs w:val="28"/>
        </w:rPr>
        <w:t>______________________</w:t>
      </w:r>
    </w:p>
    <w:p>
      <w:pPr>
        <w:adjustRightInd w:val="0"/>
        <w:snapToGrid w:val="0"/>
        <w:spacing w:line="480" w:lineRule="auto"/>
        <w:rPr>
          <w:rFonts w:hint="eastAsia" w:hAnsi="宋体" w:cs="宋体"/>
          <w:szCs w:val="24"/>
        </w:rPr>
        <w:sectPr>
          <w:headerReference r:id="rId19" w:type="default"/>
          <w:footerReference r:id="rId20" w:type="default"/>
          <w:pgSz w:w="11906" w:h="16838"/>
          <w:pgMar w:top="1440" w:right="1803" w:bottom="1440" w:left="1803" w:header="851" w:footer="992" w:gutter="0"/>
          <w:cols w:space="720" w:num="1"/>
          <w:docGrid w:type="lines" w:linePitch="319" w:charSpace="0"/>
        </w:sectPr>
      </w:pPr>
      <w:r>
        <w:rPr>
          <w:rFonts w:hint="eastAsia" w:hAnsi="宋体" w:cs="宋体"/>
          <w:szCs w:val="24"/>
        </w:rPr>
        <w:t>日    期： _____年_____ 月____</w:t>
      </w:r>
    </w:p>
    <w:p>
      <w:pPr>
        <w:pStyle w:val="4"/>
        <w:jc w:val="center"/>
        <w:rPr>
          <w:rFonts w:ascii="宋体" w:hAnsi="宋体" w:cs="宋体"/>
        </w:rPr>
      </w:pPr>
      <w:r>
        <w:rPr>
          <w:rFonts w:hint="eastAsia" w:ascii="宋体" w:hAnsi="宋体" w:cs="宋体"/>
        </w:rPr>
        <w:t>第三部分</w:t>
      </w:r>
      <w:bookmarkEnd w:id="82"/>
      <w:r>
        <w:rPr>
          <w:rFonts w:hint="eastAsia" w:ascii="宋体" w:hAnsi="宋体" w:cs="宋体"/>
          <w:sz w:val="36"/>
          <w:szCs w:val="36"/>
        </w:rPr>
        <w:t xml:space="preserve">  </w:t>
      </w:r>
      <w:r>
        <w:rPr>
          <w:rFonts w:hint="eastAsia" w:ascii="宋体" w:hAnsi="宋体" w:cs="宋体"/>
        </w:rPr>
        <w:t>商务及技术偏离表</w:t>
      </w:r>
      <w:bookmarkEnd w:id="83"/>
    </w:p>
    <w:p>
      <w:pPr>
        <w:pStyle w:val="9"/>
        <w:ind w:firstLine="0"/>
        <w:rPr>
          <w:rFonts w:ascii="宋体" w:hAnsi="宋体" w:cs="宋体"/>
        </w:rPr>
      </w:pPr>
    </w:p>
    <w:tbl>
      <w:tblPr>
        <w:tblStyle w:val="31"/>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901"/>
        <w:gridCol w:w="2302"/>
        <w:gridCol w:w="1675"/>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08"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901" w:type="dxa"/>
            <w:vAlign w:val="center"/>
          </w:tcPr>
          <w:p>
            <w:pPr>
              <w:pStyle w:val="98"/>
              <w:spacing w:before="110" w:line="322"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招标文件</w:t>
            </w:r>
          </w:p>
          <w:p>
            <w:pPr>
              <w:pStyle w:val="98"/>
              <w:spacing w:before="110" w:line="322" w:lineRule="exact"/>
              <w:jc w:val="center"/>
              <w:rPr>
                <w:rFonts w:hAnsi="宋体" w:cs="宋体"/>
                <w:sz w:val="24"/>
                <w:szCs w:val="24"/>
              </w:rPr>
            </w:pPr>
            <w:r>
              <w:rPr>
                <w:rFonts w:hint="eastAsia" w:ascii="宋体" w:hAnsi="宋体" w:eastAsia="宋体" w:cs="宋体"/>
                <w:kern w:val="2"/>
                <w:sz w:val="24"/>
                <w:szCs w:val="24"/>
                <w:lang w:val="en-US" w:eastAsia="zh-CN" w:bidi="ar-SA"/>
              </w:rPr>
              <w:t>要求内容</w:t>
            </w:r>
          </w:p>
        </w:tc>
        <w:tc>
          <w:tcPr>
            <w:tcW w:w="2302" w:type="dxa"/>
            <w:vAlign w:val="center"/>
          </w:tcPr>
          <w:p>
            <w:pPr>
              <w:pStyle w:val="15"/>
              <w:spacing w:line="360" w:lineRule="auto"/>
              <w:jc w:val="center"/>
              <w:rPr>
                <w:rFonts w:hAnsi="宋体" w:cs="宋体"/>
                <w:sz w:val="24"/>
                <w:szCs w:val="24"/>
              </w:rPr>
            </w:pPr>
            <w:r>
              <w:rPr>
                <w:rFonts w:hint="eastAsia" w:hAnsi="宋体" w:cs="宋体"/>
                <w:sz w:val="24"/>
                <w:szCs w:val="24"/>
              </w:rPr>
              <w:t>投标文件</w:t>
            </w:r>
          </w:p>
          <w:p>
            <w:pPr>
              <w:pStyle w:val="15"/>
              <w:spacing w:line="360" w:lineRule="auto"/>
              <w:jc w:val="center"/>
              <w:rPr>
                <w:rFonts w:hAnsi="宋体" w:cs="宋体"/>
                <w:sz w:val="24"/>
                <w:szCs w:val="24"/>
              </w:rPr>
            </w:pPr>
            <w:r>
              <w:rPr>
                <w:rFonts w:hint="eastAsia" w:hAnsi="宋体" w:cs="宋体"/>
                <w:sz w:val="24"/>
                <w:szCs w:val="24"/>
              </w:rPr>
              <w:t>响应内容</w:t>
            </w:r>
          </w:p>
        </w:tc>
        <w:tc>
          <w:tcPr>
            <w:tcW w:w="1675" w:type="dxa"/>
            <w:vAlign w:val="center"/>
          </w:tcPr>
          <w:p>
            <w:pPr>
              <w:pStyle w:val="15"/>
              <w:spacing w:line="360" w:lineRule="auto"/>
              <w:jc w:val="center"/>
              <w:rPr>
                <w:rFonts w:hAnsi="宋体" w:cs="宋体"/>
                <w:sz w:val="24"/>
                <w:szCs w:val="24"/>
              </w:rPr>
            </w:pPr>
            <w:r>
              <w:rPr>
                <w:rFonts w:hint="eastAsia" w:hAnsi="宋体" w:cs="宋体"/>
                <w:sz w:val="24"/>
                <w:szCs w:val="24"/>
              </w:rPr>
              <w:t>偏离情况</w:t>
            </w:r>
          </w:p>
        </w:tc>
        <w:tc>
          <w:tcPr>
            <w:tcW w:w="1611"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vAlign w:val="center"/>
          </w:tcPr>
          <w:p>
            <w:pPr>
              <w:pStyle w:val="15"/>
              <w:spacing w:line="480" w:lineRule="auto"/>
              <w:ind w:firstLine="480" w:firstLineChars="200"/>
              <w:jc w:val="left"/>
              <w:rPr>
                <w:rFonts w:hAnsi="宋体" w:cs="宋体"/>
                <w:sz w:val="24"/>
                <w:szCs w:val="24"/>
              </w:rPr>
            </w:pPr>
          </w:p>
        </w:tc>
        <w:tc>
          <w:tcPr>
            <w:tcW w:w="2302" w:type="dxa"/>
            <w:vAlign w:val="center"/>
          </w:tcPr>
          <w:p>
            <w:pPr>
              <w:pStyle w:val="15"/>
              <w:spacing w:line="480" w:lineRule="auto"/>
              <w:ind w:firstLine="480" w:firstLineChars="200"/>
              <w:jc w:val="left"/>
              <w:rPr>
                <w:rFonts w:hAnsi="宋体" w:cs="宋体"/>
                <w:sz w:val="24"/>
                <w:szCs w:val="24"/>
              </w:rPr>
            </w:pPr>
          </w:p>
        </w:tc>
        <w:tc>
          <w:tcPr>
            <w:tcW w:w="1675" w:type="dxa"/>
            <w:vAlign w:val="center"/>
          </w:tcPr>
          <w:p>
            <w:pPr>
              <w:pStyle w:val="15"/>
              <w:spacing w:line="480" w:lineRule="auto"/>
              <w:ind w:firstLine="480" w:firstLineChars="200"/>
              <w:jc w:val="left"/>
              <w:rPr>
                <w:rFonts w:hAnsi="宋体" w:cs="宋体"/>
                <w:sz w:val="24"/>
                <w:szCs w:val="24"/>
              </w:rPr>
            </w:pPr>
          </w:p>
        </w:tc>
        <w:tc>
          <w:tcPr>
            <w:tcW w:w="1611"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8" w:type="dxa"/>
          </w:tcPr>
          <w:p>
            <w:pPr>
              <w:pStyle w:val="15"/>
              <w:spacing w:line="480" w:lineRule="auto"/>
              <w:ind w:firstLine="480" w:firstLineChars="200"/>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108" w:type="dxa"/>
          </w:tcPr>
          <w:p>
            <w:pPr>
              <w:pStyle w:val="15"/>
              <w:spacing w:line="480" w:lineRule="auto"/>
              <w:jc w:val="left"/>
              <w:rPr>
                <w:rFonts w:hAnsi="宋体" w:cs="宋体"/>
                <w:sz w:val="24"/>
                <w:szCs w:val="24"/>
              </w:rPr>
            </w:pPr>
          </w:p>
        </w:tc>
        <w:tc>
          <w:tcPr>
            <w:tcW w:w="1901" w:type="dxa"/>
          </w:tcPr>
          <w:p>
            <w:pPr>
              <w:pStyle w:val="15"/>
              <w:spacing w:line="480" w:lineRule="auto"/>
              <w:ind w:firstLine="480" w:firstLineChars="200"/>
              <w:jc w:val="left"/>
              <w:rPr>
                <w:rFonts w:hAnsi="宋体" w:cs="宋体"/>
                <w:sz w:val="24"/>
                <w:szCs w:val="24"/>
              </w:rPr>
            </w:pPr>
          </w:p>
        </w:tc>
        <w:tc>
          <w:tcPr>
            <w:tcW w:w="2302" w:type="dxa"/>
          </w:tcPr>
          <w:p>
            <w:pPr>
              <w:pStyle w:val="15"/>
              <w:spacing w:line="480" w:lineRule="auto"/>
              <w:ind w:firstLine="480" w:firstLineChars="200"/>
              <w:jc w:val="left"/>
              <w:rPr>
                <w:rFonts w:hAnsi="宋体" w:cs="宋体"/>
                <w:sz w:val="24"/>
                <w:szCs w:val="24"/>
              </w:rPr>
            </w:pPr>
          </w:p>
        </w:tc>
        <w:tc>
          <w:tcPr>
            <w:tcW w:w="1675" w:type="dxa"/>
          </w:tcPr>
          <w:p>
            <w:pPr>
              <w:pStyle w:val="15"/>
              <w:spacing w:line="480" w:lineRule="auto"/>
              <w:ind w:firstLine="480" w:firstLineChars="200"/>
              <w:jc w:val="left"/>
              <w:rPr>
                <w:rFonts w:hAnsi="宋体" w:cs="宋体"/>
                <w:sz w:val="24"/>
                <w:szCs w:val="24"/>
              </w:rPr>
            </w:pPr>
          </w:p>
        </w:tc>
        <w:tc>
          <w:tcPr>
            <w:tcW w:w="1611" w:type="dxa"/>
          </w:tcPr>
          <w:p>
            <w:pPr>
              <w:pStyle w:val="15"/>
              <w:spacing w:line="480" w:lineRule="auto"/>
              <w:ind w:firstLine="480" w:firstLineChars="200"/>
              <w:jc w:val="left"/>
              <w:rPr>
                <w:rFonts w:hAnsi="宋体" w:cs="宋体"/>
                <w:sz w:val="24"/>
                <w:szCs w:val="24"/>
              </w:rPr>
            </w:pPr>
          </w:p>
        </w:tc>
      </w:tr>
    </w:tbl>
    <w:p>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  声明：负偏离填写“负偏离”；正偏离填写“正偏离”；若未填写，则视为不偏离；</w:t>
      </w:r>
    </w:p>
    <w:p>
      <w:pPr>
        <w:adjustRightInd w:val="0"/>
        <w:snapToGrid w:val="0"/>
        <w:spacing w:line="480" w:lineRule="exact"/>
        <w:rPr>
          <w:rFonts w:ascii="仿宋_GB2312" w:hAnsi="仿宋_GB2312" w:eastAsia="仿宋_GB2312" w:cs="仿宋_GB2312"/>
          <w:sz w:val="24"/>
        </w:rPr>
      </w:pPr>
    </w:p>
    <w:p>
      <w:pPr>
        <w:pStyle w:val="9"/>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lang w:eastAsia="zh-CN"/>
        </w:rPr>
        <w:t>投标人</w:t>
      </w:r>
      <w:r>
        <w:rPr>
          <w:rFonts w:hint="eastAsia" w:ascii="宋体" w:hAnsi="宋体" w:cs="宋体"/>
          <w:sz w:val="24"/>
          <w:szCs w:val="24"/>
        </w:rPr>
        <w:t>（单位名称及公章）：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sectPr>
          <w:headerReference r:id="rId21" w:type="default"/>
          <w:footerReference r:id="rId22"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日    期： _____年_____ 月_____日</w:t>
      </w:r>
    </w:p>
    <w:bookmarkEnd w:id="84"/>
    <w:bookmarkEnd w:id="85"/>
    <w:p>
      <w:pPr>
        <w:rPr>
          <w:rFonts w:ascii="宋体" w:hAnsi="宋体" w:cs="宋体"/>
        </w:rPr>
      </w:pPr>
      <w:bookmarkStart w:id="86" w:name="OLE_LINK1"/>
      <w:bookmarkStart w:id="87" w:name="_Toc31390"/>
    </w:p>
    <w:bookmarkEnd w:id="86"/>
    <w:p>
      <w:pPr>
        <w:pStyle w:val="4"/>
        <w:jc w:val="center"/>
        <w:rPr>
          <w:rFonts w:ascii="宋体" w:hAnsi="宋体" w:cs="宋体"/>
          <w:sz w:val="36"/>
          <w:szCs w:val="36"/>
        </w:rPr>
      </w:pPr>
      <w:bookmarkStart w:id="88" w:name="_Toc6356"/>
      <w:bookmarkStart w:id="89" w:name="_Toc14622"/>
      <w:bookmarkStart w:id="90" w:name="_Toc8621"/>
      <w:r>
        <w:rPr>
          <w:rFonts w:hint="eastAsia" w:ascii="宋体" w:hAnsi="宋体" w:cs="宋体"/>
          <w:sz w:val="36"/>
          <w:szCs w:val="36"/>
        </w:rPr>
        <w:t xml:space="preserve">第四部分  </w:t>
      </w:r>
      <w:r>
        <w:rPr>
          <w:rFonts w:hint="eastAsia" w:ascii="宋体" w:hAnsi="宋体" w:cs="宋体"/>
          <w:sz w:val="36"/>
          <w:szCs w:val="36"/>
          <w:lang w:eastAsia="zh-CN"/>
        </w:rPr>
        <w:t>投标人</w:t>
      </w:r>
      <w:r>
        <w:rPr>
          <w:rFonts w:hint="eastAsia" w:ascii="宋体" w:hAnsi="宋体" w:cs="宋体"/>
          <w:sz w:val="36"/>
          <w:szCs w:val="36"/>
        </w:rPr>
        <w:t>资格要求</w:t>
      </w:r>
      <w:bookmarkEnd w:id="88"/>
      <w:bookmarkEnd w:id="89"/>
      <w:bookmarkEnd w:id="90"/>
    </w:p>
    <w:p>
      <w:pPr>
        <w:rPr>
          <w:rFonts w:ascii="宋体" w:hAnsi="宋体" w:cs="宋体"/>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（1）具有独立承担民事责任能力的法人、其他组织或自然人，提供合法有效的统一社会信用代码营业执照附年检报告（事业单位提供事业单位法人证书，自然人应提供身份证）；</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（2）法定代表人授权书（附法定代表人身份证复印件）及被授权人身份证（法定代表人直接参加须提供法定代表人身份证明及法定代表人身份证复印件）；</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（3）具有合格有效的《危险废物经营许可证》（范围包含医疗废物）或《医疗废物经营许可证》；</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（4）财务状况证明：提供2022年度经审计完整的财务审计报告（成立时间至提交投标文件截止时间不足一年的可提供成立后任意时段的资产负债表）或其基本存款账户开户银行出具的资信证明；</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（5）税收缴纳证明：提供截止开标时间近三个月内缴费凭据（依法免税的投标人应提供相关文件证明）；</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（6）社会保障资金缴纳证明：提供截止开标时间近三个月内的社保缴费凭据或社保机构开具的社会保险参保缴费情况证明（依法不需要缴纳社会保障资金的投标人应提供相关证明）； </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（7）具有履行合同所必需的设备和专业技术能力的书面声明；</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8）投标人未被列入“信用中国”网站中严重主体失信名单和经营异常名单、“中国执行信息公开网”网站失信被执行人、中国政府采购网政府采购严重违法失信行为记录名单中被财政部门禁止参加政府采购活动的投标人（提供查询结果网页截图并加盖投标人公章）；参加政府采购活动近三年内，在经营活动中没有重大违法记录声明函；</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9）本项目专门面向中小企业采购，投标人为中型、小型、微型企业的需提供《中小企业声明函》（采购标的对应所属行业为其他未列明行业，声明函格式按照《政府采购促进中小企业发展管理办法》（财库〔2020〕46号）要求提供）；</w:t>
      </w:r>
      <w:r>
        <w:rPr>
          <w:rFonts w:hint="eastAsia" w:ascii="仿宋_GB2312" w:hAnsi="仿宋_GB2312" w:eastAsia="仿宋_GB2312" w:cs="仿宋_GB2312"/>
          <w:kern w:val="2"/>
          <w:sz w:val="24"/>
          <w:szCs w:val="22"/>
          <w:lang w:val="en-US" w:eastAsia="zh-CN" w:bidi="ar-SA"/>
        </w:rPr>
        <w:br w:type="textWrapping"/>
      </w:r>
      <w:r>
        <w:rPr>
          <w:rFonts w:hint="eastAsia" w:ascii="仿宋_GB2312" w:hAnsi="仿宋_GB2312" w:eastAsia="仿宋_GB2312" w:cs="仿宋_GB2312"/>
          <w:kern w:val="2"/>
          <w:sz w:val="24"/>
          <w:szCs w:val="22"/>
          <w:lang w:val="en-US" w:eastAsia="zh-CN" w:bidi="ar-SA"/>
        </w:rPr>
        <w:t>（10）提供投标保证金交纳凭证。</w:t>
      </w:r>
    </w:p>
    <w:p>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kern w:val="2"/>
          <w:sz w:val="24"/>
          <w:szCs w:val="22"/>
          <w:lang w:val="en-US" w:eastAsia="zh-CN" w:bidi="ar-SA"/>
        </w:rPr>
        <w:t>注：资格证明文件如有重复，无需重复提供。</w:t>
      </w:r>
      <w:r>
        <w:rPr>
          <w:rFonts w:hint="eastAsia" w:ascii="仿宋_GB2312" w:hAnsi="仿宋_GB2312" w:eastAsia="仿宋_GB2312" w:cs="仿宋_GB2312"/>
          <w:kern w:val="2"/>
          <w:sz w:val="24"/>
          <w:szCs w:val="22"/>
          <w:lang w:val="en-US" w:eastAsia="zh-CN" w:bidi="ar-SA"/>
        </w:rPr>
        <w:br w:type="page"/>
      </w:r>
    </w:p>
    <w:p>
      <w:pPr>
        <w:jc w:val="center"/>
        <w:rPr>
          <w:rFonts w:ascii="黑体" w:hAnsi="黑体" w:eastAsia="黑体" w:cs="黑体"/>
          <w:sz w:val="30"/>
          <w:szCs w:val="30"/>
        </w:rPr>
      </w:pPr>
      <w:r>
        <w:rPr>
          <w:rFonts w:hint="eastAsia" w:ascii="方正小标宋简体" w:hAnsi="方正小标宋简体" w:eastAsia="方正小标宋简体" w:cs="方正小标宋简体"/>
          <w:sz w:val="28"/>
          <w:szCs w:val="28"/>
        </w:rPr>
        <w:t>附件1：法定代表人授权书</w:t>
      </w:r>
    </w:p>
    <w:p>
      <w:pPr>
        <w:tabs>
          <w:tab w:val="left" w:pos="8820"/>
        </w:tabs>
        <w:spacing w:line="480" w:lineRule="exact"/>
        <w:ind w:firstLine="573"/>
        <w:rPr>
          <w:rFonts w:ascii="仿宋_GB2312" w:hAnsi="仿宋_GB2312" w:eastAsia="仿宋_GB2312" w:cs="仿宋_GB2312"/>
          <w:sz w:val="24"/>
          <w:u w:val="single"/>
        </w:rPr>
      </w:pPr>
      <w:r>
        <w:rPr>
          <w:rFonts w:hint="eastAsia" w:ascii="仿宋_GB2312" w:hAnsi="仿宋_GB2312" w:eastAsia="仿宋_GB2312" w:cs="仿宋_GB2312"/>
          <w:sz w:val="24"/>
        </w:rPr>
        <w:t>本授权委托书声明：我</w:t>
      </w:r>
      <w:r>
        <w:rPr>
          <w:rFonts w:hint="eastAsia" w:ascii="仿宋_GB2312" w:hAnsi="仿宋_GB2312" w:eastAsia="仿宋_GB2312" w:cs="仿宋_GB2312"/>
          <w:sz w:val="24"/>
          <w:u w:val="single"/>
        </w:rPr>
        <w:t>（法定代表人姓名）</w:t>
      </w:r>
      <w:r>
        <w:rPr>
          <w:rFonts w:hint="eastAsia" w:ascii="仿宋_GB2312" w:hAnsi="仿宋_GB2312" w:eastAsia="仿宋_GB2312" w:cs="仿宋_GB2312"/>
          <w:sz w:val="24"/>
        </w:rPr>
        <w:t>系注册于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投标人</w:t>
      </w:r>
      <w:r>
        <w:rPr>
          <w:rFonts w:hint="eastAsia" w:ascii="仿宋_GB2312" w:hAnsi="仿宋_GB2312" w:eastAsia="仿宋_GB2312" w:cs="仿宋_GB2312"/>
          <w:sz w:val="24"/>
          <w:u w:val="single"/>
        </w:rPr>
        <w:t xml:space="preserve">地址）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投标人</w:t>
      </w:r>
      <w:r>
        <w:rPr>
          <w:rFonts w:hint="eastAsia" w:ascii="仿宋_GB2312" w:hAnsi="仿宋_GB2312" w:eastAsia="仿宋_GB2312" w:cs="仿宋_GB2312"/>
          <w:sz w:val="24"/>
          <w:u w:val="single"/>
        </w:rPr>
        <w:t xml:space="preserve">名称）  </w:t>
      </w:r>
      <w:r>
        <w:rPr>
          <w:rFonts w:hint="eastAsia" w:ascii="仿宋_GB2312" w:hAnsi="仿宋_GB2312" w:eastAsia="仿宋_GB2312" w:cs="仿宋_GB2312"/>
          <w:sz w:val="24"/>
        </w:rPr>
        <w:t>的法定代表人，现代表公司授权</w:t>
      </w:r>
      <w:r>
        <w:rPr>
          <w:rFonts w:hint="eastAsia" w:ascii="仿宋_GB2312" w:hAnsi="仿宋_GB2312" w:eastAsia="仿宋_GB2312" w:cs="仿宋_GB2312"/>
          <w:sz w:val="24"/>
          <w:u w:val="single"/>
        </w:rPr>
        <w:t>（被授权人的姓名、职务）</w:t>
      </w:r>
      <w:r>
        <w:rPr>
          <w:rFonts w:hint="eastAsia" w:ascii="仿宋_GB2312" w:hAnsi="仿宋_GB2312" w:eastAsia="仿宋_GB2312" w:cs="仿宋_GB2312"/>
          <w:sz w:val="24"/>
        </w:rPr>
        <w:t>为我公司合法代理人，代表本公司参加</w:t>
      </w:r>
      <w:r>
        <w:rPr>
          <w:rFonts w:hint="eastAsia" w:ascii="仿宋_GB2312" w:hAnsi="仿宋_GB2312" w:eastAsia="仿宋_GB2312" w:cs="仿宋_GB2312"/>
          <w:sz w:val="24"/>
          <w:u w:val="single"/>
        </w:rPr>
        <w:t xml:space="preserve">（采购项目名称）      </w:t>
      </w:r>
      <w:r>
        <w:rPr>
          <w:rFonts w:hint="eastAsia" w:ascii="仿宋_GB2312" w:hAnsi="仿宋_GB2312" w:eastAsia="仿宋_GB2312" w:cs="仿宋_GB2312"/>
          <w:sz w:val="24"/>
        </w:rPr>
        <w:t>采购项目编号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的投标会议活动。代理人在本次投标文件及投标会议中所签署的一切文件和处理的一切有关事务，我公司均予承认。</w:t>
      </w:r>
    </w:p>
    <w:tbl>
      <w:tblPr>
        <w:tblStyle w:val="31"/>
        <w:tblW w:w="8368" w:type="dxa"/>
        <w:tblInd w:w="223" w:type="dxa"/>
        <w:tblLayout w:type="fixed"/>
        <w:tblCellMar>
          <w:top w:w="0" w:type="dxa"/>
          <w:left w:w="108" w:type="dxa"/>
          <w:bottom w:w="0" w:type="dxa"/>
          <w:right w:w="108" w:type="dxa"/>
        </w:tblCellMar>
      </w:tblPr>
      <w:tblGrid>
        <w:gridCol w:w="4450"/>
        <w:gridCol w:w="3918"/>
      </w:tblGrid>
      <w:tr>
        <w:tblPrEx>
          <w:tblCellMar>
            <w:top w:w="0" w:type="dxa"/>
            <w:left w:w="108" w:type="dxa"/>
            <w:bottom w:w="0" w:type="dxa"/>
            <w:right w:w="108" w:type="dxa"/>
          </w:tblCellMar>
        </w:tblPrEx>
        <w:trPr>
          <w:trHeight w:val="817" w:hRule="atLeast"/>
        </w:trPr>
        <w:tc>
          <w:tcPr>
            <w:tcW w:w="4450" w:type="dxa"/>
            <w:vAlign w:val="center"/>
          </w:tcPr>
          <w:p>
            <w:pPr>
              <w:spacing w:line="360" w:lineRule="auto"/>
              <w:rPr>
                <w:rFonts w:ascii="仿宋_GB2312" w:hAnsi="仿宋_GB2312" w:eastAsia="仿宋_GB2312" w:cs="仿宋_GB2312"/>
                <w:spacing w:val="4"/>
                <w:szCs w:val="24"/>
              </w:rPr>
            </w:pPr>
            <w:r>
              <w:rPr>
                <w:rFonts w:hint="eastAsia" w:ascii="仿宋_GB2312" w:hAnsi="仿宋_GB2312" w:eastAsia="仿宋_GB2312" w:cs="仿宋_GB2312"/>
                <w:spacing w:val="4"/>
                <w:szCs w:val="24"/>
              </w:rPr>
              <w:t>被授权人签字：</w:t>
            </w:r>
          </w:p>
        </w:tc>
        <w:tc>
          <w:tcPr>
            <w:tcW w:w="3918" w:type="dxa"/>
            <w:vAlign w:val="center"/>
          </w:tcPr>
          <w:p>
            <w:pPr>
              <w:spacing w:line="360" w:lineRule="auto"/>
              <w:rPr>
                <w:rFonts w:ascii="仿宋_GB2312" w:hAnsi="仿宋_GB2312" w:eastAsia="仿宋_GB2312" w:cs="仿宋_GB2312"/>
                <w:spacing w:val="4"/>
                <w:szCs w:val="24"/>
              </w:rPr>
            </w:pPr>
            <w:r>
              <w:rPr>
                <w:rFonts w:hint="eastAsia" w:ascii="仿宋_GB2312" w:hAnsi="仿宋_GB2312" w:eastAsia="仿宋_GB2312" w:cs="仿宋_GB2312"/>
                <w:spacing w:val="4"/>
                <w:szCs w:val="24"/>
              </w:rPr>
              <w:t>法定代表人签字或盖章：</w:t>
            </w:r>
          </w:p>
        </w:tc>
      </w:tr>
    </w:tbl>
    <w:p>
      <w:pPr>
        <w:tabs>
          <w:tab w:val="left" w:pos="8820"/>
        </w:tabs>
        <w:spacing w:line="480" w:lineRule="exact"/>
        <w:ind w:firstLine="573"/>
        <w:rPr>
          <w:rFonts w:ascii="仿宋_GB2312" w:hAnsi="仿宋_GB2312" w:eastAsia="仿宋_GB2312" w:cs="仿宋_GB2312"/>
          <w:sz w:val="24"/>
        </w:rPr>
      </w:pPr>
      <w:r>
        <w:rPr>
          <w:rFonts w:hint="eastAsia" w:ascii="仿宋_GB2312" w:hAnsi="仿宋_GB2312" w:eastAsia="仿宋_GB2312" w:cs="仿宋_GB2312"/>
          <w:sz w:val="24"/>
        </w:rPr>
        <w:t>委托期限：自提交投标文件的截止之日起90天。</w:t>
      </w:r>
    </w:p>
    <w:tbl>
      <w:tblPr>
        <w:tblStyle w:val="31"/>
        <w:tblpPr w:leftFromText="180" w:rightFromText="180" w:vertAnchor="text" w:horzAnchor="page" w:tblpX="1777" w:tblpY="513"/>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1"/>
        <w:gridCol w:w="3932"/>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74" w:hRule="atLeast"/>
        </w:trPr>
        <w:tc>
          <w:tcPr>
            <w:tcW w:w="4501" w:type="dxa"/>
          </w:tcPr>
          <w:p>
            <w:pPr>
              <w:spacing w:line="480" w:lineRule="exact"/>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法定代表人身份证复印件</w:t>
            </w:r>
          </w:p>
          <w:p>
            <w:pPr>
              <w:spacing w:line="480" w:lineRule="exact"/>
              <w:jc w:val="center"/>
              <w:rPr>
                <w:rFonts w:ascii="仿宋_GB2312" w:hAnsi="仿宋_GB2312" w:eastAsia="仿宋_GB2312" w:cs="仿宋_GB2312"/>
                <w:sz w:val="24"/>
              </w:rPr>
            </w:pPr>
          </w:p>
          <w:p>
            <w:pPr>
              <w:spacing w:line="480" w:lineRule="exact"/>
              <w:rPr>
                <w:rFonts w:ascii="仿宋_GB2312" w:hAnsi="仿宋_GB2312" w:eastAsia="仿宋_GB2312" w:cs="仿宋_GB2312"/>
                <w:sz w:val="24"/>
              </w:rPr>
            </w:pPr>
          </w:p>
        </w:tc>
        <w:tc>
          <w:tcPr>
            <w:tcW w:w="3932" w:type="dxa"/>
          </w:tcPr>
          <w:p>
            <w:pPr>
              <w:spacing w:line="480" w:lineRule="exact"/>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授权代表身份证复印件</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60" w:hRule="atLeast"/>
        </w:trPr>
        <w:tc>
          <w:tcPr>
            <w:tcW w:w="4501" w:type="dxa"/>
          </w:tcPr>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法定代表人身份证复印件</w:t>
            </w:r>
          </w:p>
          <w:p>
            <w:pPr>
              <w:spacing w:line="480" w:lineRule="exact"/>
              <w:rPr>
                <w:rFonts w:ascii="仿宋_GB2312" w:hAnsi="仿宋_GB2312" w:eastAsia="仿宋_GB2312" w:cs="仿宋_GB2312"/>
                <w:sz w:val="24"/>
              </w:rPr>
            </w:pPr>
          </w:p>
        </w:tc>
        <w:tc>
          <w:tcPr>
            <w:tcW w:w="3932" w:type="dxa"/>
          </w:tcPr>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授权代表身份证复印件</w:t>
            </w:r>
          </w:p>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p>
          <w:p>
            <w:pPr>
              <w:spacing w:line="480" w:lineRule="exact"/>
              <w:rPr>
                <w:rFonts w:ascii="仿宋_GB2312" w:hAnsi="仿宋_GB2312" w:eastAsia="仿宋_GB2312" w:cs="仿宋_GB2312"/>
                <w:sz w:val="24"/>
              </w:rPr>
            </w:pPr>
          </w:p>
        </w:tc>
      </w:tr>
    </w:tbl>
    <w:p>
      <w:pPr>
        <w:spacing w:line="480" w:lineRule="exact"/>
        <w:rPr>
          <w:rFonts w:ascii="仿宋_GB2312" w:hAnsi="仿宋_GB2312" w:eastAsia="仿宋_GB2312" w:cs="仿宋_GB2312"/>
          <w:bCs/>
          <w:sz w:val="24"/>
        </w:rPr>
      </w:pPr>
      <w:r>
        <w:rPr>
          <w:rFonts w:hint="eastAsia" w:ascii="仿宋_GB2312" w:hAnsi="仿宋_GB2312" w:eastAsia="仿宋_GB2312" w:cs="仿宋_GB2312"/>
          <w:bCs/>
          <w:sz w:val="24"/>
        </w:rPr>
        <w:t>（注：本授权书有效期应与投标文件有效期一致）</w:t>
      </w:r>
    </w:p>
    <w:p>
      <w:pPr>
        <w:pStyle w:val="19"/>
      </w:pP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名称：          （公章）</w:t>
      </w:r>
    </w:p>
    <w:p>
      <w:pPr>
        <w:spacing w:line="480" w:lineRule="exact"/>
        <w:ind w:firstLine="3840" w:firstLineChars="1600"/>
        <w:rPr>
          <w:rFonts w:ascii="仿宋_GB2312" w:hAnsi="仿宋_GB2312" w:eastAsia="仿宋_GB2312" w:cs="仿宋_GB2312"/>
          <w:sz w:val="24"/>
        </w:rPr>
      </w:pPr>
      <w:r>
        <w:rPr>
          <w:rFonts w:hint="eastAsia" w:ascii="仿宋_GB2312" w:hAnsi="仿宋_GB2312" w:eastAsia="仿宋_GB2312" w:cs="仿宋_GB2312"/>
          <w:sz w:val="24"/>
        </w:rPr>
        <w:t xml:space="preserve">年   月   日    </w:t>
      </w:r>
    </w:p>
    <w:p>
      <w:pPr>
        <w:jc w:val="center"/>
        <w:rPr>
          <w:rFonts w:ascii="黑体" w:hAnsi="黑体" w:eastAsia="黑体" w:cs="黑体"/>
          <w:sz w:val="30"/>
          <w:szCs w:val="30"/>
        </w:rPr>
      </w:pPr>
      <w:r>
        <w:rPr>
          <w:rFonts w:hint="eastAsia"/>
        </w:rPr>
        <w:br w:type="page"/>
      </w:r>
      <w:r>
        <w:rPr>
          <w:rFonts w:hint="eastAsia" w:ascii="方正小标宋简体" w:hAnsi="方正小标宋简体" w:eastAsia="方正小标宋简体" w:cs="方正小标宋简体"/>
          <w:sz w:val="28"/>
          <w:szCs w:val="28"/>
        </w:rPr>
        <w:t>附件2：法定代表人身份证明</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供 应 商：</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u w:val="single"/>
        </w:rPr>
      </w:pPr>
      <w:r>
        <w:rPr>
          <w:rFonts w:hint="eastAsia" w:ascii="仿宋_GB2312" w:hAnsi="仿宋_GB2312" w:eastAsia="仿宋_GB2312" w:cs="仿宋_GB2312"/>
          <w:sz w:val="24"/>
        </w:rPr>
        <w:t>单位性质：</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姓    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    别：</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年    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    务：</w:t>
      </w:r>
      <w:r>
        <w:rPr>
          <w:rFonts w:hint="eastAsia" w:ascii="仿宋_GB2312" w:hAnsi="仿宋_GB2312" w:eastAsia="仿宋_GB2312" w:cs="仿宋_GB2312"/>
          <w:sz w:val="24"/>
          <w:u w:val="single"/>
        </w:rPr>
        <w:t>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名称）的法定代表人。</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特此证明。</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附：法定代表人身份证。</w:t>
      </w:r>
    </w:p>
    <w:tbl>
      <w:tblPr>
        <w:tblStyle w:val="31"/>
        <w:tblpPr w:leftFromText="180" w:rightFromText="180" w:vertAnchor="text" w:horzAnchor="page" w:tblpX="1777" w:tblpY="513"/>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173"/>
        <w:gridCol w:w="436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0" w:hRule="atLeast"/>
        </w:trPr>
        <w:tc>
          <w:tcPr>
            <w:tcW w:w="4173" w:type="dxa"/>
          </w:tcPr>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法定代表人身份证复印件</w:t>
            </w: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（正面）</w:t>
            </w:r>
          </w:p>
          <w:p>
            <w:pPr>
              <w:spacing w:line="480" w:lineRule="exact"/>
              <w:rPr>
                <w:rFonts w:ascii="仿宋_GB2312" w:hAnsi="仿宋_GB2312" w:eastAsia="仿宋_GB2312" w:cs="仿宋_GB2312"/>
                <w:sz w:val="24"/>
              </w:rPr>
            </w:pPr>
          </w:p>
        </w:tc>
        <w:tc>
          <w:tcPr>
            <w:tcW w:w="4365" w:type="dxa"/>
          </w:tcPr>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法定代表人身份证复印件</w:t>
            </w:r>
          </w:p>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（反面）</w:t>
            </w:r>
          </w:p>
          <w:p>
            <w:pPr>
              <w:spacing w:line="480" w:lineRule="exact"/>
              <w:jc w:val="center"/>
              <w:rPr>
                <w:rFonts w:ascii="仿宋_GB2312" w:hAnsi="仿宋_GB2312" w:eastAsia="仿宋_GB2312" w:cs="仿宋_GB2312"/>
                <w:sz w:val="24"/>
              </w:rPr>
            </w:pPr>
          </w:p>
          <w:p>
            <w:pPr>
              <w:spacing w:line="480" w:lineRule="exact"/>
              <w:rPr>
                <w:rFonts w:ascii="仿宋_GB2312" w:hAnsi="仿宋_GB2312" w:eastAsia="仿宋_GB2312" w:cs="仿宋_GB2312"/>
                <w:sz w:val="24"/>
              </w:rPr>
            </w:pPr>
          </w:p>
        </w:tc>
      </w:tr>
    </w:tbl>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ind w:firstLine="3840" w:firstLineChars="1600"/>
        <w:rPr>
          <w:rFonts w:ascii="仿宋_GB2312" w:hAnsi="仿宋_GB2312" w:eastAsia="仿宋_GB2312" w:cs="仿宋_GB2312"/>
          <w:sz w:val="24"/>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              （公章）</w:t>
      </w:r>
    </w:p>
    <w:p>
      <w:pPr>
        <w:spacing w:line="480" w:lineRule="exact"/>
        <w:rPr>
          <w:rFonts w:ascii="仿宋_GB2312" w:hAnsi="仿宋_GB2312" w:eastAsia="仿宋_GB2312" w:cs="仿宋_GB2312"/>
          <w:sz w:val="24"/>
        </w:rPr>
      </w:pPr>
    </w:p>
    <w:p>
      <w:pPr>
        <w:spacing w:line="480" w:lineRule="exact"/>
        <w:ind w:firstLine="5280" w:firstLineChars="2200"/>
        <w:rPr>
          <w:rFonts w:ascii="仿宋_GB2312" w:hAnsi="仿宋_GB2312" w:eastAsia="仿宋_GB2312" w:cs="仿宋_GB2312"/>
          <w:sz w:val="24"/>
        </w:rPr>
      </w:pPr>
      <w:r>
        <w:rPr>
          <w:rFonts w:hint="eastAsia" w:ascii="仿宋_GB2312" w:hAnsi="仿宋_GB2312" w:eastAsia="仿宋_GB2312" w:cs="仿宋_GB2312"/>
          <w:sz w:val="24"/>
        </w:rPr>
        <w:t xml:space="preserve">年   月   日      </w:t>
      </w:r>
    </w:p>
    <w:p>
      <w:pPr>
        <w:widowControl/>
        <w:tabs>
          <w:tab w:val="left" w:pos="180"/>
        </w:tabs>
        <w:spacing w:line="480" w:lineRule="exact"/>
        <w:rPr>
          <w:rFonts w:ascii="仿宋_GB2312" w:hAnsi="仿宋_GB2312" w:eastAsia="仿宋_GB2312" w:cs="仿宋_GB2312"/>
          <w:sz w:val="24"/>
        </w:rPr>
      </w:pPr>
    </w:p>
    <w:p>
      <w:pPr>
        <w:jc w:val="center"/>
        <w:rPr>
          <w:rFonts w:ascii="方正小标宋简体" w:hAnsi="方正小标宋简体" w:eastAsia="方正小标宋简体" w:cs="方正小标宋简体"/>
          <w:sz w:val="28"/>
          <w:szCs w:val="28"/>
        </w:rPr>
        <w:sectPr>
          <w:headerReference r:id="rId23" w:type="default"/>
          <w:footerReference r:id="rId24" w:type="default"/>
          <w:pgSz w:w="11906" w:h="16838"/>
          <w:pgMar w:top="1440" w:right="1633" w:bottom="1440" w:left="1633" w:header="851" w:footer="992" w:gutter="0"/>
          <w:cols w:space="720" w:num="1"/>
          <w:docGrid w:type="lines" w:linePitch="317" w:charSpace="0"/>
        </w:sectPr>
      </w:pPr>
    </w:p>
    <w:p>
      <w:pPr>
        <w:pStyle w:val="15"/>
        <w:adjustRightInd w:val="0"/>
        <w:snapToGrid w:val="0"/>
        <w:spacing w:line="360" w:lineRule="auto"/>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附件3：履行合同所必需的设备和专业技术能力的书面声明</w:t>
      </w:r>
    </w:p>
    <w:p>
      <w:pPr>
        <w:pStyle w:val="15"/>
        <w:adjustRightInd w:val="0"/>
        <w:snapToGrid w:val="0"/>
        <w:spacing w:line="360" w:lineRule="auto"/>
        <w:jc w:val="center"/>
        <w:rPr>
          <w:b/>
          <w:sz w:val="44"/>
          <w:szCs w:val="44"/>
        </w:rPr>
      </w:pPr>
    </w:p>
    <w:p>
      <w:pPr>
        <w:spacing w:before="319" w:beforeLines="100" w:line="360" w:lineRule="auto"/>
        <w:ind w:firstLine="496" w:firstLineChars="200"/>
        <w:rPr>
          <w:rFonts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 xml:space="preserve">   （采购人名称）    ：</w:t>
      </w:r>
    </w:p>
    <w:p>
      <w:pPr>
        <w:spacing w:before="319" w:beforeLines="100" w:line="360" w:lineRule="auto"/>
        <w:ind w:firstLine="496" w:firstLineChars="2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u w:val="single"/>
          <w:lang w:eastAsia="zh-CN"/>
        </w:rPr>
        <w:t>投标人</w:t>
      </w:r>
      <w:r>
        <w:rPr>
          <w:rFonts w:hint="eastAsia" w:ascii="仿宋_GB2312" w:hAnsi="仿宋_GB2312" w:eastAsia="仿宋_GB2312" w:cs="仿宋_GB2312"/>
          <w:spacing w:val="4"/>
          <w:sz w:val="24"/>
          <w:szCs w:val="24"/>
          <w:u w:val="single"/>
        </w:rPr>
        <w:t xml:space="preserve">名称）     于     年    月   日在中华人民共和国境内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，营业（生产经营）面积为 </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，其中与履行本合同相关的专业技术人员有（ </w:t>
      </w:r>
      <w:r>
        <w:rPr>
          <w:rFonts w:hint="eastAsia" w:ascii="仿宋_GB2312" w:hAnsi="仿宋_GB2312" w:eastAsia="仿宋_GB2312" w:cs="仿宋_GB2312"/>
          <w:spacing w:val="4"/>
          <w:sz w:val="24"/>
          <w:szCs w:val="24"/>
          <w:u w:val="single"/>
        </w:rPr>
        <w:t xml:space="preserve">            专业能力、数量        </w:t>
      </w:r>
      <w:r>
        <w:rPr>
          <w:rFonts w:hint="eastAsia" w:ascii="仿宋_GB2312" w:hAnsi="仿宋_GB2312" w:eastAsia="仿宋_GB2312" w:cs="仿宋_GB2312"/>
          <w:spacing w:val="4"/>
          <w:sz w:val="24"/>
          <w:szCs w:val="24"/>
        </w:rPr>
        <w:t>），本公司郑重承诺，具有履行本合同所必需的设备和专业技术能力。</w:t>
      </w:r>
    </w:p>
    <w:p>
      <w:pPr>
        <w:spacing w:before="319" w:beforeLines="100" w:line="360" w:lineRule="auto"/>
        <w:ind w:firstLine="496" w:firstLineChars="200"/>
        <w:rPr>
          <w:rFonts w:ascii="仿宋_GB2312" w:hAnsi="仿宋_GB2312" w:eastAsia="仿宋_GB2312" w:cs="仿宋_GB2312"/>
          <w:spacing w:val="4"/>
          <w:sz w:val="24"/>
          <w:szCs w:val="24"/>
        </w:rPr>
      </w:pPr>
    </w:p>
    <w:p>
      <w:pPr>
        <w:spacing w:before="319" w:beforeLines="100" w:line="360" w:lineRule="auto"/>
        <w:ind w:firstLine="496" w:firstLineChars="200"/>
        <w:rPr>
          <w:rFonts w:ascii="仿宋_GB2312" w:hAnsi="仿宋_GB2312" w:eastAsia="仿宋_GB2312" w:cs="仿宋_GB2312"/>
          <w:spacing w:val="4"/>
          <w:sz w:val="24"/>
          <w:szCs w:val="24"/>
        </w:rPr>
      </w:pPr>
    </w:p>
    <w:p>
      <w:pPr>
        <w:spacing w:before="319" w:beforeLines="100" w:line="360" w:lineRule="auto"/>
        <w:ind w:firstLine="496" w:firstLineChars="200"/>
        <w:rPr>
          <w:rFonts w:ascii="仿宋_GB2312" w:hAnsi="仿宋_GB2312" w:eastAsia="仿宋_GB2312" w:cs="仿宋_GB2312"/>
          <w:spacing w:val="4"/>
          <w:sz w:val="24"/>
          <w:szCs w:val="24"/>
        </w:rPr>
      </w:pPr>
    </w:p>
    <w:p>
      <w:pPr>
        <w:spacing w:before="319" w:beforeLines="100" w:line="360" w:lineRule="auto"/>
        <w:ind w:firstLine="4464" w:firstLineChars="18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lang w:eastAsia="zh-CN"/>
        </w:rPr>
        <w:t>投标人</w:t>
      </w:r>
      <w:r>
        <w:rPr>
          <w:rFonts w:hint="eastAsia" w:ascii="仿宋_GB2312" w:hAnsi="仿宋_GB2312" w:eastAsia="仿宋_GB2312" w:cs="仿宋_GB2312"/>
          <w:spacing w:val="4"/>
          <w:sz w:val="24"/>
          <w:szCs w:val="24"/>
        </w:rPr>
        <w:t xml:space="preserve">（公章）：                       </w:t>
      </w:r>
    </w:p>
    <w:p>
      <w:pPr>
        <w:spacing w:before="319" w:beforeLines="100" w:line="360" w:lineRule="auto"/>
        <w:ind w:firstLine="496" w:firstLineChars="2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xml:space="preserve">                              法定代表人/授权代表（签字）：          </w:t>
      </w:r>
    </w:p>
    <w:p>
      <w:pPr>
        <w:spacing w:before="319" w:beforeLines="100" w:line="360" w:lineRule="auto"/>
        <w:ind w:firstLine="4464" w:firstLineChars="1800"/>
        <w:rPr>
          <w:rFonts w:ascii="仿宋_GB2312" w:hAnsi="宋体" w:eastAsia="仿宋_GB2312"/>
          <w:sz w:val="32"/>
          <w:u w:val="single"/>
        </w:rPr>
      </w:pPr>
      <w:r>
        <w:rPr>
          <w:rFonts w:hint="eastAsia" w:ascii="仿宋_GB2312" w:hAnsi="仿宋_GB2312" w:eastAsia="仿宋_GB2312" w:cs="仿宋_GB2312"/>
          <w:spacing w:val="4"/>
          <w:sz w:val="24"/>
          <w:szCs w:val="24"/>
        </w:rPr>
        <w:t xml:space="preserve">日    期：              </w:t>
      </w:r>
      <w:r>
        <w:rPr>
          <w:rFonts w:hint="eastAsia" w:ascii="仿宋_GB2312" w:hAnsi="宋体" w:eastAsia="仿宋_GB2312"/>
          <w:sz w:val="32"/>
          <w:u w:val="single"/>
        </w:rPr>
        <w:t xml:space="preserve">               </w:t>
      </w: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附件4：</w:t>
      </w:r>
      <w:r>
        <w:rPr>
          <w:rFonts w:hint="eastAsia" w:ascii="方正小标宋简体" w:hAnsi="方正小标宋简体" w:eastAsia="方正小标宋简体" w:cs="方正小标宋简体"/>
          <w:sz w:val="28"/>
          <w:szCs w:val="28"/>
          <w:lang w:eastAsia="zh-CN"/>
        </w:rPr>
        <w:t>投标人</w:t>
      </w:r>
      <w:r>
        <w:rPr>
          <w:rFonts w:hint="eastAsia" w:ascii="方正小标宋简体" w:hAnsi="方正小标宋简体" w:eastAsia="方正小标宋简体" w:cs="方正小标宋简体"/>
          <w:sz w:val="28"/>
          <w:szCs w:val="28"/>
        </w:rPr>
        <w:t>无重大违法记录的书面声明</w:t>
      </w:r>
    </w:p>
    <w:p>
      <w:pPr>
        <w:spacing w:line="360" w:lineRule="auto"/>
        <w:rPr>
          <w:b/>
          <w:spacing w:val="4"/>
          <w:sz w:val="30"/>
          <w:szCs w:val="30"/>
          <w:u w:val="single"/>
        </w:rPr>
      </w:pPr>
    </w:p>
    <w:p>
      <w:pPr>
        <w:pStyle w:val="26"/>
        <w:spacing w:before="0" w:beforeAutospacing="0" w:after="0" w:afterAutospacing="0" w:line="360" w:lineRule="auto"/>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 xml:space="preserve">（采购人）   </w:t>
      </w:r>
      <w:r>
        <w:rPr>
          <w:rFonts w:hint="eastAsia" w:ascii="仿宋_GB2312" w:hAnsi="仿宋_GB2312" w:eastAsia="仿宋_GB2312" w:cs="仿宋_GB2312"/>
          <w:color w:val="000000"/>
        </w:rPr>
        <w:t>：</w:t>
      </w:r>
    </w:p>
    <w:p>
      <w:pPr>
        <w:spacing w:before="319" w:beforeLines="100" w:line="360" w:lineRule="auto"/>
        <w:ind w:firstLine="496" w:firstLineChars="200"/>
        <w:rPr>
          <w:rFonts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u w:val="single"/>
          <w:lang w:eastAsia="zh-CN"/>
        </w:rPr>
        <w:t>投标人</w:t>
      </w:r>
      <w:r>
        <w:rPr>
          <w:rFonts w:hint="eastAsia" w:ascii="仿宋_GB2312" w:hAnsi="仿宋_GB2312" w:eastAsia="仿宋_GB2312" w:cs="仿宋_GB2312"/>
          <w:spacing w:val="4"/>
          <w:sz w:val="24"/>
          <w:szCs w:val="24"/>
          <w:u w:val="single"/>
        </w:rPr>
        <w:t xml:space="preserve">名称 </w:t>
      </w:r>
      <w:r>
        <w:rPr>
          <w:rFonts w:hint="eastAsia" w:ascii="仿宋_GB2312" w:hAnsi="仿宋_GB2312" w:eastAsia="仿宋_GB2312" w:cs="仿宋_GB2312"/>
          <w:spacing w:val="4"/>
          <w:sz w:val="24"/>
          <w:szCs w:val="24"/>
        </w:rPr>
        <w:t>）为在中华人民共和国境内合法注册并经营的机构。在此郑重声明，我公司在参与本次政府采购活动前3年内在经营活动中没有重大违法记录。</w:t>
      </w:r>
    </w:p>
    <w:p>
      <w:pPr>
        <w:spacing w:before="319" w:beforeLines="100" w:after="159" w:afterLines="50" w:line="360" w:lineRule="auto"/>
        <w:ind w:firstLine="170"/>
        <w:rPr>
          <w:rFonts w:ascii="仿宋_GB2312" w:hAnsi="仿宋_GB2312" w:eastAsia="仿宋_GB2312" w:cs="仿宋_GB2312"/>
          <w:spacing w:val="4"/>
          <w:sz w:val="24"/>
          <w:szCs w:val="24"/>
        </w:rPr>
      </w:pPr>
    </w:p>
    <w:p>
      <w:pPr>
        <w:spacing w:before="319" w:beforeLines="100" w:after="159" w:afterLines="50" w:line="360" w:lineRule="auto"/>
        <w:ind w:firstLine="170"/>
        <w:rPr>
          <w:rFonts w:ascii="仿宋_GB2312" w:hAnsi="仿宋_GB2312" w:eastAsia="仿宋_GB2312" w:cs="仿宋_GB2312"/>
          <w:spacing w:val="4"/>
          <w:sz w:val="24"/>
          <w:szCs w:val="24"/>
        </w:rPr>
      </w:pPr>
    </w:p>
    <w:p>
      <w:pPr>
        <w:spacing w:line="360" w:lineRule="auto"/>
        <w:ind w:firstLine="3960" w:firstLineChars="165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名称：</w:t>
      </w:r>
      <w:r>
        <w:rPr>
          <w:rFonts w:hint="eastAsia" w:ascii="仿宋_GB2312" w:hAnsi="仿宋_GB2312" w:eastAsia="仿宋_GB2312" w:cs="仿宋_GB2312"/>
          <w:sz w:val="24"/>
          <w:szCs w:val="24"/>
          <w:u w:val="single"/>
        </w:rPr>
        <w:t xml:space="preserve">     （公章）</w:t>
      </w:r>
    </w:p>
    <w:p>
      <w:pPr>
        <w:spacing w:line="360" w:lineRule="auto"/>
        <w:ind w:firstLine="5160" w:firstLineChars="2150"/>
        <w:rPr>
          <w:color w:val="000000"/>
        </w:rPr>
      </w:pPr>
      <w:r>
        <w:rPr>
          <w:rFonts w:hint="eastAsia" w:ascii="仿宋_GB2312" w:hAnsi="仿宋_GB2312" w:eastAsia="仿宋_GB2312" w:cs="仿宋_GB2312"/>
          <w:bCs/>
          <w:color w:val="000000"/>
          <w:sz w:val="24"/>
          <w:szCs w:val="24"/>
        </w:rPr>
        <w:t>年     月    日</w:t>
      </w:r>
    </w:p>
    <w:p>
      <w:pPr>
        <w:widowControl/>
        <w:spacing w:line="360" w:lineRule="auto"/>
        <w:jc w:val="left"/>
        <w:rPr>
          <w:color w:val="000000"/>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jc w:val="center"/>
        <w:outlineLvl w:val="0"/>
        <w:rPr>
          <w:rFonts w:ascii="宋体" w:hAnsi="宋体" w:cs="宋体"/>
          <w:b/>
          <w:bCs/>
          <w:sz w:val="28"/>
          <w:szCs w:val="28"/>
        </w:rPr>
      </w:pPr>
    </w:p>
    <w:p>
      <w:pPr>
        <w:tabs>
          <w:tab w:val="left" w:pos="2850"/>
        </w:tabs>
        <w:jc w:val="left"/>
        <w:rPr>
          <w:rFonts w:ascii="宋体" w:hAnsi="宋体" w:cs="宋体"/>
          <w:sz w:val="36"/>
          <w:szCs w:val="36"/>
        </w:rPr>
        <w:sectPr>
          <w:headerReference r:id="rId25" w:type="default"/>
          <w:pgSz w:w="11906" w:h="16838"/>
          <w:pgMar w:top="1440" w:right="1803" w:bottom="1440" w:left="1803" w:header="851" w:footer="992" w:gutter="0"/>
          <w:cols w:space="720" w:num="1"/>
          <w:docGrid w:type="lines" w:linePitch="319" w:charSpace="0"/>
        </w:sectPr>
      </w:pPr>
      <w:bookmarkStart w:id="91" w:name="_Toc9172"/>
      <w:bookmarkStart w:id="92" w:name="_Toc12851"/>
      <w:bookmarkStart w:id="93" w:name="_Toc1803"/>
    </w:p>
    <w:bookmarkEnd w:id="91"/>
    <w:bookmarkEnd w:id="92"/>
    <w:p>
      <w:pPr>
        <w:jc w:val="center"/>
        <w:rPr>
          <w:rFonts w:ascii="方正小标宋简体" w:hAnsi="方正小标宋简体" w:eastAsia="方正小标宋简体" w:cs="方正小标宋简体"/>
          <w:sz w:val="28"/>
          <w:szCs w:val="28"/>
        </w:rPr>
      </w:pPr>
      <w:bookmarkStart w:id="94" w:name="_Toc19138"/>
      <w:bookmarkStart w:id="95" w:name="_Toc18964"/>
      <w:bookmarkStart w:id="96" w:name="_Toc23165"/>
      <w:r>
        <w:rPr>
          <w:rFonts w:hint="eastAsia" w:ascii="方正小标宋简体" w:hAnsi="方正小标宋简体" w:eastAsia="方正小标宋简体" w:cs="方正小标宋简体"/>
          <w:sz w:val="28"/>
          <w:szCs w:val="28"/>
        </w:rPr>
        <w:t>附件5：本项目不接受联合体</w:t>
      </w:r>
    </w:p>
    <w:p>
      <w:pPr>
        <w:pStyle w:val="9"/>
        <w:ind w:left="420" w:leftChars="200" w:firstLine="0"/>
        <w:rPr>
          <w:rFonts w:ascii="宋体" w:hAnsi="宋体" w:cs="宋体"/>
        </w:rPr>
      </w:pPr>
    </w:p>
    <w:p>
      <w:pPr>
        <w:pStyle w:val="30"/>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我单位参与____________________(项目名称)，我单位郑重声明：我方非联合体，如有虚假，承担相应责任。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9"/>
        <w:rPr>
          <w:rFonts w:ascii="宋体" w:hAnsi="宋体" w:cs="宋体"/>
          <w:sz w:val="24"/>
          <w:szCs w:val="24"/>
        </w:rPr>
      </w:pPr>
    </w:p>
    <w:p>
      <w:pPr>
        <w:pStyle w:val="15"/>
        <w:spacing w:line="480" w:lineRule="auto"/>
        <w:jc w:val="left"/>
        <w:rPr>
          <w:rFonts w:hAnsi="宋体" w:cs="宋体"/>
          <w:sz w:val="24"/>
        </w:rPr>
      </w:pPr>
      <w:r>
        <w:rPr>
          <w:rFonts w:hint="eastAsia" w:hAnsi="宋体" w:cs="宋体"/>
          <w:sz w:val="24"/>
          <w:lang w:eastAsia="zh-CN"/>
        </w:rPr>
        <w:t>投标人</w:t>
      </w:r>
      <w:r>
        <w:rPr>
          <w:rFonts w:hint="eastAsia" w:hAnsi="宋体" w:cs="宋体"/>
          <w:sz w:val="24"/>
        </w:rPr>
        <w:t>（单位名称及公章）：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w:t>
      </w:r>
    </w:p>
    <w:p>
      <w:pPr>
        <w:adjustRightInd w:val="0"/>
        <w:snapToGrid w:val="0"/>
        <w:spacing w:line="480" w:lineRule="auto"/>
        <w:rPr>
          <w:rFonts w:ascii="宋体" w:hAnsi="宋体" w:cs="宋体"/>
          <w:kern w:val="0"/>
          <w:sz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w:t>
      </w:r>
      <w:r>
        <w:rPr>
          <w:rFonts w:hint="eastAsia" w:ascii="宋体" w:hAnsi="宋体" w:cs="宋体"/>
          <w:kern w:val="0"/>
          <w:sz w:val="24"/>
        </w:rPr>
        <w:t>日</w:t>
      </w:r>
    </w:p>
    <w:p>
      <w:pPr>
        <w:sectPr>
          <w:footerReference r:id="rId26" w:type="default"/>
          <w:pgSz w:w="11906" w:h="16838"/>
          <w:pgMar w:top="1440" w:right="1803" w:bottom="1440" w:left="1803" w:header="851" w:footer="992" w:gutter="0"/>
          <w:cols w:space="720" w:num="1"/>
          <w:docGrid w:type="lines" w:linePitch="319" w:charSpace="0"/>
        </w:sectPr>
      </w:pPr>
    </w:p>
    <w:bookmarkEnd w:id="94"/>
    <w:bookmarkEnd w:id="95"/>
    <w:bookmarkEnd w:id="96"/>
    <w:p>
      <w:pPr>
        <w:pStyle w:val="4"/>
        <w:numPr>
          <w:ilvl w:val="0"/>
          <w:numId w:val="18"/>
        </w:numPr>
        <w:tabs>
          <w:tab w:val="left" w:pos="2096"/>
          <w:tab w:val="center" w:pos="5024"/>
        </w:tabs>
        <w:spacing w:before="319" w:beforeLines="100" w:after="478" w:afterLines="150" w:line="500" w:lineRule="exact"/>
        <w:jc w:val="center"/>
        <w:rPr>
          <w:rFonts w:hint="eastAsia" w:ascii="宋体" w:hAnsi="宋体" w:cs="宋体"/>
          <w:sz w:val="36"/>
          <w:szCs w:val="36"/>
        </w:rPr>
      </w:pPr>
      <w:r>
        <w:rPr>
          <w:rFonts w:hint="eastAsia" w:ascii="宋体" w:hAnsi="宋体" w:cs="宋体"/>
          <w:sz w:val="36"/>
          <w:szCs w:val="36"/>
        </w:rPr>
        <w:t xml:space="preserve"> </w:t>
      </w:r>
      <w:bookmarkStart w:id="97" w:name="_Toc4139"/>
      <w:r>
        <w:rPr>
          <w:rFonts w:hint="eastAsia" w:ascii="宋体" w:hAnsi="宋体" w:cs="宋体"/>
          <w:sz w:val="36"/>
          <w:szCs w:val="36"/>
        </w:rPr>
        <w:t>服务方案</w:t>
      </w:r>
      <w:bookmarkEnd w:id="97"/>
    </w:p>
    <w:p>
      <w:pPr>
        <w:numPr>
          <w:ilvl w:val="0"/>
          <w:numId w:val="19"/>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项目实施方案</w:t>
      </w:r>
    </w:p>
    <w:p>
      <w:pPr>
        <w:numPr>
          <w:ilvl w:val="0"/>
          <w:numId w:val="19"/>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安全管理措施</w:t>
      </w:r>
    </w:p>
    <w:p>
      <w:pPr>
        <w:numPr>
          <w:ilvl w:val="0"/>
          <w:numId w:val="19"/>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质量保障</w:t>
      </w:r>
    </w:p>
    <w:p>
      <w:pPr>
        <w:numPr>
          <w:ilvl w:val="0"/>
          <w:numId w:val="19"/>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应急方案</w:t>
      </w:r>
    </w:p>
    <w:p>
      <w:pPr>
        <w:numPr>
          <w:ilvl w:val="0"/>
          <w:numId w:val="19"/>
        </w:numPr>
        <w:rPr>
          <w:rFonts w:hint="default" w:eastAsia="宋体"/>
          <w:lang w:val="en-US" w:eastAsia="zh-CN"/>
        </w:rPr>
      </w:pPr>
      <w:r>
        <w:rPr>
          <w:rFonts w:hint="eastAsia" w:ascii="宋体" w:hAnsi="宋体" w:eastAsia="宋体" w:cs="宋体"/>
          <w:sz w:val="24"/>
          <w:szCs w:val="24"/>
          <w:lang w:val="en-US" w:eastAsia="zh-CN"/>
        </w:rPr>
        <w:t>人员及设</w:t>
      </w:r>
      <w:bookmarkEnd w:id="93"/>
      <w:bookmarkStart w:id="98" w:name="_Toc3945"/>
      <w:bookmarkStart w:id="99" w:name="_Toc2785"/>
      <w:bookmarkStart w:id="100" w:name="_Toc10667"/>
      <w:r>
        <w:rPr>
          <w:rFonts w:hint="eastAsia" w:ascii="宋体" w:hAnsi="宋体" w:eastAsia="宋体" w:cs="宋体"/>
          <w:sz w:val="24"/>
          <w:szCs w:val="24"/>
          <w:lang w:val="en-US" w:eastAsia="zh-CN"/>
        </w:rPr>
        <w:t>备配置</w:t>
      </w: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hint="eastAsia" w:ascii="宋体" w:hAnsi="宋体" w:cs="宋体"/>
          <w:b/>
          <w:bCs/>
          <w:sz w:val="36"/>
          <w:szCs w:val="36"/>
        </w:rPr>
      </w:pPr>
    </w:p>
    <w:p>
      <w:pPr>
        <w:ind w:firstLine="2168" w:firstLineChars="600"/>
        <w:jc w:val="both"/>
        <w:rPr>
          <w:rFonts w:ascii="宋体" w:hAnsi="宋体" w:cs="宋体"/>
          <w:b/>
          <w:bCs/>
          <w:sz w:val="36"/>
          <w:szCs w:val="36"/>
        </w:rPr>
      </w:pPr>
      <w:r>
        <w:rPr>
          <w:rFonts w:hint="eastAsia" w:ascii="宋体" w:hAnsi="宋体" w:cs="宋体"/>
          <w:b/>
          <w:bCs/>
          <w:sz w:val="36"/>
          <w:szCs w:val="36"/>
        </w:rPr>
        <w:t>第</w:t>
      </w:r>
      <w:r>
        <w:rPr>
          <w:rFonts w:hint="eastAsia" w:ascii="宋体" w:hAnsi="宋体" w:cs="宋体"/>
          <w:b/>
          <w:bCs/>
          <w:sz w:val="36"/>
          <w:szCs w:val="36"/>
          <w:lang w:val="en-US" w:eastAsia="zh-CN"/>
        </w:rPr>
        <w:t>六</w:t>
      </w:r>
      <w:r>
        <w:rPr>
          <w:rFonts w:hint="eastAsia" w:ascii="宋体" w:hAnsi="宋体" w:cs="宋体"/>
          <w:b/>
          <w:bCs/>
          <w:sz w:val="36"/>
          <w:szCs w:val="36"/>
        </w:rPr>
        <w:t>部分 业绩一览表</w:t>
      </w:r>
      <w:bookmarkEnd w:id="98"/>
      <w:bookmarkEnd w:id="99"/>
    </w:p>
    <w:p/>
    <w:tbl>
      <w:tblPr>
        <w:tblStyle w:val="31"/>
        <w:tblW w:w="896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序号</w:t>
            </w:r>
          </w:p>
        </w:tc>
        <w:tc>
          <w:tcPr>
            <w:tcW w:w="807"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年份</w:t>
            </w:r>
          </w:p>
        </w:tc>
        <w:tc>
          <w:tcPr>
            <w:tcW w:w="1614"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79"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96"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合同签订时间</w:t>
            </w:r>
          </w:p>
        </w:tc>
        <w:tc>
          <w:tcPr>
            <w:tcW w:w="1589" w:type="dxa"/>
            <w:tcBorders>
              <w:top w:val="single" w:color="auto" w:sz="4" w:space="0"/>
            </w:tcBorders>
            <w:vAlign w:val="center"/>
          </w:tcPr>
          <w:p>
            <w:pPr>
              <w:spacing w:line="400" w:lineRule="exact"/>
              <w:ind w:firstLine="105" w:firstLineChars="50"/>
              <w:jc w:val="center"/>
              <w:rPr>
                <w:rFonts w:ascii="宋体" w:hAnsi="宋体" w:cs="宋体"/>
              </w:rPr>
            </w:pPr>
            <w:r>
              <w:rPr>
                <w:rFonts w:hint="eastAsia" w:ascii="宋体" w:hAnsi="宋体" w:cs="宋体"/>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1</w:t>
            </w:r>
          </w:p>
        </w:tc>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2</w:t>
            </w:r>
          </w:p>
        </w:tc>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3</w:t>
            </w:r>
          </w:p>
        </w:tc>
        <w:tc>
          <w:tcPr>
            <w:tcW w:w="807" w:type="dxa"/>
            <w:vAlign w:val="center"/>
          </w:tcPr>
          <w:p>
            <w:pPr>
              <w:spacing w:line="400" w:lineRule="exact"/>
              <w:jc w:val="center"/>
              <w:rPr>
                <w:rFonts w:ascii="宋体" w:hAnsi="宋体" w:cs="宋体"/>
              </w:rPr>
            </w:pPr>
          </w:p>
        </w:tc>
        <w:tc>
          <w:tcPr>
            <w:tcW w:w="1614" w:type="dxa"/>
            <w:vAlign w:val="center"/>
          </w:tcPr>
          <w:p>
            <w:pPr>
              <w:spacing w:line="400" w:lineRule="exact"/>
              <w:jc w:val="center"/>
              <w:rPr>
                <w:rFonts w:ascii="宋体" w:hAnsi="宋体" w:cs="宋体"/>
              </w:rPr>
            </w:pPr>
          </w:p>
        </w:tc>
        <w:tc>
          <w:tcPr>
            <w:tcW w:w="1479" w:type="dxa"/>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4</w:t>
            </w:r>
          </w:p>
        </w:tc>
        <w:tc>
          <w:tcPr>
            <w:tcW w:w="807" w:type="dxa"/>
            <w:vAlign w:val="center"/>
          </w:tcPr>
          <w:p>
            <w:pPr>
              <w:spacing w:line="400" w:lineRule="exact"/>
              <w:jc w:val="center"/>
              <w:rPr>
                <w:rFonts w:ascii="宋体" w:hAnsi="宋体" w:cs="宋体"/>
              </w:rPr>
            </w:pPr>
          </w:p>
        </w:tc>
        <w:tc>
          <w:tcPr>
            <w:tcW w:w="1614" w:type="dxa"/>
            <w:tcBorders>
              <w:right w:val="single" w:color="auto" w:sz="4" w:space="0"/>
            </w:tcBorders>
            <w:vAlign w:val="center"/>
          </w:tcPr>
          <w:p>
            <w:pPr>
              <w:spacing w:line="400" w:lineRule="exact"/>
              <w:jc w:val="center"/>
              <w:rPr>
                <w:rFonts w:ascii="宋体" w:hAnsi="宋体" w:cs="宋体"/>
              </w:rPr>
            </w:pPr>
          </w:p>
        </w:tc>
        <w:tc>
          <w:tcPr>
            <w:tcW w:w="1479" w:type="dxa"/>
            <w:tcBorders>
              <w:left w:val="single" w:color="auto" w:sz="4" w:space="0"/>
            </w:tcBorders>
            <w:vAlign w:val="center"/>
          </w:tcPr>
          <w:p>
            <w:pPr>
              <w:spacing w:line="400" w:lineRule="exact"/>
              <w:jc w:val="center"/>
              <w:rPr>
                <w:rFonts w:ascii="宋体" w:hAnsi="宋体" w:cs="宋体"/>
              </w:rPr>
            </w:pPr>
          </w:p>
        </w:tc>
        <w:tc>
          <w:tcPr>
            <w:tcW w:w="1496" w:type="dxa"/>
            <w:vAlign w:val="center"/>
          </w:tcPr>
          <w:p>
            <w:pPr>
              <w:spacing w:line="400" w:lineRule="exact"/>
              <w:jc w:val="center"/>
              <w:rPr>
                <w:rFonts w:ascii="宋体" w:hAnsi="宋体" w:cs="宋体"/>
              </w:rPr>
            </w:pPr>
          </w:p>
        </w:tc>
        <w:tc>
          <w:tcPr>
            <w:tcW w:w="1589" w:type="dxa"/>
            <w:vAlign w:val="center"/>
          </w:tcPr>
          <w:p>
            <w:pPr>
              <w:spacing w:line="400" w:lineRule="exact"/>
              <w:jc w:val="center"/>
              <w:rPr>
                <w:rFonts w:ascii="宋体" w:hAnsi="宋体" w:cs="宋体"/>
              </w:rPr>
            </w:pPr>
          </w:p>
        </w:tc>
        <w:tc>
          <w:tcPr>
            <w:tcW w:w="1172"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jc w:val="center"/>
              <w:rPr>
                <w:rFonts w:hint="default" w:ascii="宋体" w:hAnsi="宋体" w:eastAsia="宋体" w:cs="宋体"/>
                <w:lang w:val="en-US" w:eastAsia="zh-CN"/>
              </w:rPr>
            </w:pPr>
            <w:r>
              <w:rPr>
                <w:rFonts w:hint="eastAsia" w:ascii="宋体" w:hAnsi="宋体" w:cs="宋体"/>
                <w:lang w:val="en-US" w:eastAsia="zh-CN"/>
              </w:rPr>
              <w:t>……</w:t>
            </w:r>
          </w:p>
        </w:tc>
        <w:tc>
          <w:tcPr>
            <w:tcW w:w="807" w:type="dxa"/>
            <w:tcBorders>
              <w:right w:val="single" w:color="auto" w:sz="4" w:space="0"/>
            </w:tcBorders>
            <w:vAlign w:val="center"/>
          </w:tcPr>
          <w:p>
            <w:pPr>
              <w:spacing w:line="400" w:lineRule="exact"/>
              <w:rPr>
                <w:rFonts w:ascii="宋体" w:hAnsi="宋体" w:cs="宋体"/>
              </w:rPr>
            </w:pPr>
          </w:p>
        </w:tc>
        <w:tc>
          <w:tcPr>
            <w:tcW w:w="1614" w:type="dxa"/>
            <w:tcBorders>
              <w:left w:val="single" w:color="auto" w:sz="4" w:space="0"/>
              <w:right w:val="single" w:color="auto" w:sz="4" w:space="0"/>
            </w:tcBorders>
            <w:vAlign w:val="center"/>
          </w:tcPr>
          <w:p>
            <w:pPr>
              <w:spacing w:line="400" w:lineRule="exact"/>
              <w:rPr>
                <w:rFonts w:ascii="宋体" w:hAnsi="宋体" w:cs="宋体"/>
              </w:rPr>
            </w:pPr>
          </w:p>
        </w:tc>
        <w:tc>
          <w:tcPr>
            <w:tcW w:w="1479" w:type="dxa"/>
            <w:tcBorders>
              <w:left w:val="single" w:color="auto" w:sz="4" w:space="0"/>
              <w:right w:val="single" w:color="auto" w:sz="4" w:space="0"/>
            </w:tcBorders>
            <w:vAlign w:val="center"/>
          </w:tcPr>
          <w:p>
            <w:pPr>
              <w:spacing w:line="400" w:lineRule="exact"/>
              <w:rPr>
                <w:rFonts w:ascii="宋体" w:hAnsi="宋体" w:cs="宋体"/>
              </w:rPr>
            </w:pPr>
          </w:p>
        </w:tc>
        <w:tc>
          <w:tcPr>
            <w:tcW w:w="1496" w:type="dxa"/>
            <w:tcBorders>
              <w:left w:val="single" w:color="auto" w:sz="4" w:space="0"/>
              <w:right w:val="single" w:color="auto" w:sz="4" w:space="0"/>
            </w:tcBorders>
            <w:vAlign w:val="center"/>
          </w:tcPr>
          <w:p>
            <w:pPr>
              <w:spacing w:line="400" w:lineRule="exact"/>
              <w:rPr>
                <w:rFonts w:ascii="宋体" w:hAnsi="宋体" w:cs="宋体"/>
              </w:rPr>
            </w:pPr>
          </w:p>
        </w:tc>
        <w:tc>
          <w:tcPr>
            <w:tcW w:w="1589" w:type="dxa"/>
            <w:tcBorders>
              <w:left w:val="single" w:color="auto" w:sz="4" w:space="0"/>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hint="eastAsia" w:ascii="宋体" w:hAnsi="宋体" w:eastAsia="宋体" w:cs="宋体"/>
                <w:lang w:val="en-US" w:eastAsia="zh-CN"/>
              </w:rPr>
            </w:pPr>
          </w:p>
        </w:tc>
        <w:tc>
          <w:tcPr>
            <w:tcW w:w="807" w:type="dxa"/>
            <w:vAlign w:val="center"/>
          </w:tcPr>
          <w:p>
            <w:pPr>
              <w:spacing w:line="400" w:lineRule="exact"/>
              <w:rPr>
                <w:rFonts w:ascii="宋体" w:hAnsi="宋体" w:cs="宋体"/>
              </w:rPr>
            </w:pPr>
          </w:p>
        </w:tc>
        <w:tc>
          <w:tcPr>
            <w:tcW w:w="1614" w:type="dxa"/>
            <w:vAlign w:val="center"/>
          </w:tcPr>
          <w:p>
            <w:pPr>
              <w:spacing w:line="400" w:lineRule="exact"/>
              <w:rPr>
                <w:rFonts w:ascii="宋体" w:hAnsi="宋体" w:cs="宋体"/>
              </w:rPr>
            </w:pPr>
          </w:p>
        </w:tc>
        <w:tc>
          <w:tcPr>
            <w:tcW w:w="1479" w:type="dxa"/>
            <w:vAlign w:val="center"/>
          </w:tcPr>
          <w:p>
            <w:pPr>
              <w:spacing w:line="400" w:lineRule="exact"/>
              <w:rPr>
                <w:rFonts w:ascii="宋体" w:hAnsi="宋体" w:cs="宋体"/>
              </w:rPr>
            </w:pPr>
          </w:p>
        </w:tc>
        <w:tc>
          <w:tcPr>
            <w:tcW w:w="1496" w:type="dxa"/>
            <w:vAlign w:val="center"/>
          </w:tcPr>
          <w:p>
            <w:pPr>
              <w:spacing w:line="400" w:lineRule="exact"/>
              <w:rPr>
                <w:rFonts w:ascii="宋体" w:hAnsi="宋体" w:cs="宋体"/>
              </w:rPr>
            </w:pPr>
          </w:p>
        </w:tc>
        <w:tc>
          <w:tcPr>
            <w:tcW w:w="1589" w:type="dxa"/>
            <w:tcBorders>
              <w:right w:val="single" w:color="auto" w:sz="4" w:space="0"/>
            </w:tcBorders>
            <w:vAlign w:val="center"/>
          </w:tcPr>
          <w:p>
            <w:pPr>
              <w:spacing w:line="400" w:lineRule="exact"/>
              <w:rPr>
                <w:rFonts w:ascii="宋体" w:hAnsi="宋体" w:cs="宋体"/>
              </w:rPr>
            </w:pPr>
          </w:p>
        </w:tc>
        <w:tc>
          <w:tcPr>
            <w:tcW w:w="1172"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rPr>
            </w:pPr>
          </w:p>
        </w:tc>
        <w:tc>
          <w:tcPr>
            <w:tcW w:w="807" w:type="dxa"/>
            <w:tcBorders>
              <w:bottom w:val="single" w:color="auto" w:sz="4" w:space="0"/>
            </w:tcBorders>
            <w:vAlign w:val="center"/>
          </w:tcPr>
          <w:p>
            <w:pPr>
              <w:spacing w:line="400" w:lineRule="exact"/>
              <w:jc w:val="center"/>
              <w:rPr>
                <w:rFonts w:ascii="宋体" w:hAnsi="宋体" w:cs="宋体"/>
              </w:rPr>
            </w:pPr>
          </w:p>
        </w:tc>
        <w:tc>
          <w:tcPr>
            <w:tcW w:w="1614" w:type="dxa"/>
            <w:tcBorders>
              <w:bottom w:val="single" w:color="auto" w:sz="4" w:space="0"/>
            </w:tcBorders>
            <w:vAlign w:val="center"/>
          </w:tcPr>
          <w:p>
            <w:pPr>
              <w:spacing w:line="400" w:lineRule="exact"/>
              <w:jc w:val="center"/>
              <w:rPr>
                <w:rFonts w:ascii="宋体" w:hAnsi="宋体" w:cs="宋体"/>
              </w:rPr>
            </w:pPr>
          </w:p>
        </w:tc>
        <w:tc>
          <w:tcPr>
            <w:tcW w:w="1479" w:type="dxa"/>
            <w:tcBorders>
              <w:bottom w:val="single" w:color="auto" w:sz="4" w:space="0"/>
            </w:tcBorders>
            <w:vAlign w:val="center"/>
          </w:tcPr>
          <w:p>
            <w:pPr>
              <w:spacing w:line="400" w:lineRule="exact"/>
              <w:jc w:val="center"/>
              <w:rPr>
                <w:rFonts w:ascii="宋体" w:hAnsi="宋体" w:cs="宋体"/>
              </w:rPr>
            </w:pPr>
          </w:p>
        </w:tc>
        <w:tc>
          <w:tcPr>
            <w:tcW w:w="1496" w:type="dxa"/>
            <w:tcBorders>
              <w:bottom w:val="single" w:color="auto" w:sz="4" w:space="0"/>
            </w:tcBorders>
            <w:vAlign w:val="center"/>
          </w:tcPr>
          <w:p>
            <w:pPr>
              <w:spacing w:line="400" w:lineRule="exact"/>
              <w:jc w:val="center"/>
              <w:rPr>
                <w:rFonts w:ascii="宋体" w:hAnsi="宋体" w:cs="宋体"/>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pStyle w:val="2"/>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lang w:eastAsia="zh-CN"/>
        </w:rPr>
        <w:t>投标人</w:t>
      </w:r>
      <w:r>
        <w:rPr>
          <w:rFonts w:hint="eastAsia" w:ascii="宋体" w:hAnsi="宋体" w:cs="宋体"/>
          <w:sz w:val="24"/>
          <w:szCs w:val="24"/>
        </w:rPr>
        <w:t>（单位名称及公章）：_________________________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numPr>
          <w:ilvl w:val="0"/>
          <w:numId w:val="0"/>
        </w:numPr>
        <w:spacing w:before="319" w:beforeLines="100" w:after="478" w:afterLines="150" w:line="500" w:lineRule="exact"/>
        <w:jc w:val="both"/>
        <w:rPr>
          <w:rFonts w:ascii="宋体" w:hAnsi="宋体" w:cs="宋体"/>
          <w:sz w:val="36"/>
          <w:szCs w:val="36"/>
        </w:rPr>
      </w:pPr>
      <w:bookmarkStart w:id="101" w:name="_Toc24739"/>
      <w:bookmarkStart w:id="102" w:name="_Toc31275"/>
      <w:bookmarkStart w:id="103" w:name="_Toc19279"/>
      <w:r>
        <w:rPr>
          <w:rFonts w:hint="eastAsia" w:ascii="宋体" w:hAnsi="宋体" w:cs="宋体"/>
          <w:b/>
          <w:bCs/>
          <w:sz w:val="36"/>
          <w:szCs w:val="36"/>
        </w:rPr>
        <w:t>第</w:t>
      </w:r>
      <w:r>
        <w:rPr>
          <w:rFonts w:hint="eastAsia" w:ascii="宋体" w:hAnsi="宋体" w:cs="宋体"/>
          <w:b/>
          <w:bCs/>
          <w:sz w:val="36"/>
          <w:szCs w:val="36"/>
          <w:lang w:val="en-US" w:eastAsia="zh-CN"/>
        </w:rPr>
        <w:t>七</w:t>
      </w:r>
      <w:r>
        <w:rPr>
          <w:rFonts w:hint="eastAsia" w:ascii="宋体" w:hAnsi="宋体" w:cs="宋体"/>
          <w:b/>
          <w:bCs/>
          <w:sz w:val="36"/>
          <w:szCs w:val="36"/>
        </w:rPr>
        <w:t>部分</w:t>
      </w:r>
      <w:r>
        <w:rPr>
          <w:rFonts w:hint="eastAsia" w:ascii="宋体" w:hAnsi="宋体" w:cs="宋体"/>
          <w:sz w:val="36"/>
          <w:szCs w:val="36"/>
        </w:rPr>
        <w:t xml:space="preserve">  </w:t>
      </w:r>
      <w:r>
        <w:rPr>
          <w:rFonts w:hint="eastAsia" w:ascii="宋体" w:hAnsi="宋体" w:cs="宋体"/>
          <w:sz w:val="36"/>
          <w:szCs w:val="36"/>
          <w:lang w:eastAsia="zh-CN"/>
        </w:rPr>
        <w:t>投标人</w:t>
      </w:r>
      <w:r>
        <w:rPr>
          <w:rFonts w:hint="eastAsia" w:ascii="宋体" w:hAnsi="宋体" w:cs="宋体"/>
          <w:sz w:val="36"/>
          <w:szCs w:val="36"/>
        </w:rPr>
        <w:t>认为有必要说明的其他问题</w:t>
      </w:r>
      <w:bookmarkEnd w:id="101"/>
      <w:bookmarkEnd w:id="102"/>
      <w:bookmarkEnd w:id="103"/>
    </w:p>
    <w:bookmarkEnd w:id="100"/>
    <w:p>
      <w:pPr>
        <w:pStyle w:val="4"/>
        <w:adjustRightInd w:val="0"/>
        <w:spacing w:line="416" w:lineRule="atLeast"/>
        <w:jc w:val="both"/>
        <w:textAlignment w:val="baseline"/>
        <w:rPr>
          <w:rFonts w:ascii="宋体" w:hAnsi="宋体" w:cs="宋体"/>
        </w:rPr>
      </w:pPr>
    </w:p>
    <w:p>
      <w:pPr>
        <w:pStyle w:val="4"/>
        <w:adjustRightInd w:val="0"/>
        <w:spacing w:line="416" w:lineRule="atLeast"/>
        <w:jc w:val="both"/>
        <w:textAlignment w:val="baseline"/>
        <w:rPr>
          <w:rFonts w:ascii="宋体" w:hAnsi="宋体" w:cs="宋体"/>
        </w:rPr>
      </w:pPr>
    </w:p>
    <w:p>
      <w:pPr>
        <w:pStyle w:val="4"/>
        <w:adjustRightInd w:val="0"/>
        <w:spacing w:line="416" w:lineRule="atLeast"/>
        <w:jc w:val="both"/>
        <w:textAlignment w:val="baseline"/>
        <w:rPr>
          <w:rFonts w:ascii="宋体" w:hAnsi="宋体" w:cs="宋体"/>
        </w:rPr>
      </w:pPr>
    </w:p>
    <w:p>
      <w:pPr>
        <w:pStyle w:val="4"/>
        <w:adjustRightInd w:val="0"/>
        <w:spacing w:line="416" w:lineRule="atLeast"/>
        <w:jc w:val="both"/>
        <w:textAlignment w:val="baseline"/>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
      <w:pPr>
        <w:pStyle w:val="2"/>
      </w:pPr>
    </w:p>
    <w:p/>
    <w:p>
      <w:pPr>
        <w:spacing w:line="588" w:lineRule="exact"/>
        <w:outlineLvl w:val="0"/>
        <w:rPr>
          <w:rFonts w:ascii="宋体" w:hAnsi="宋体" w:cs="宋体"/>
          <w:b/>
          <w:bCs/>
          <w:kern w:val="0"/>
          <w:sz w:val="28"/>
          <w:szCs w:val="28"/>
        </w:rPr>
      </w:pPr>
      <w:bookmarkStart w:id="104" w:name="_Toc17204"/>
      <w:bookmarkStart w:id="105" w:name="_Toc8850"/>
      <w:bookmarkStart w:id="106" w:name="_Toc1488"/>
      <w:bookmarkStart w:id="107" w:name="_Toc15375"/>
      <w:bookmarkStart w:id="108" w:name="_Toc28340"/>
      <w:r>
        <w:rPr>
          <w:rFonts w:hint="eastAsia" w:ascii="宋体" w:hAnsi="宋体"/>
          <w:b/>
          <w:sz w:val="28"/>
          <w:szCs w:val="28"/>
        </w:rPr>
        <w:t>附件1：《中小企业声明函》</w:t>
      </w:r>
      <w:bookmarkEnd w:id="104"/>
      <w:bookmarkEnd w:id="105"/>
      <w:bookmarkEnd w:id="106"/>
      <w:bookmarkEnd w:id="107"/>
      <w:bookmarkEnd w:id="108"/>
    </w:p>
    <w:p>
      <w:pPr>
        <w:spacing w:line="480" w:lineRule="exact"/>
        <w:jc w:val="center"/>
        <w:rPr>
          <w:rFonts w:ascii="宋体" w:hAnsi="宋体"/>
          <w:b/>
          <w:bCs/>
          <w:kern w:val="0"/>
          <w:sz w:val="32"/>
          <w:szCs w:val="32"/>
        </w:rPr>
      </w:pPr>
    </w:p>
    <w:p>
      <w:pPr>
        <w:jc w:val="center"/>
        <w:rPr>
          <w:rFonts w:ascii="宋体" w:hAnsi="宋体" w:cs="宋体"/>
          <w:b/>
          <w:sz w:val="32"/>
          <w:szCs w:val="32"/>
        </w:rPr>
      </w:pPr>
      <w:bookmarkStart w:id="109" w:name="_Hlk3903711"/>
      <w:r>
        <w:rPr>
          <w:rFonts w:hint="eastAsia" w:ascii="宋体" w:hAnsi="宋体" w:cs="宋体"/>
          <w:b/>
          <w:sz w:val="32"/>
          <w:szCs w:val="32"/>
        </w:rPr>
        <w:t>中小企业声明函（工程、服务）</w:t>
      </w:r>
    </w:p>
    <w:p>
      <w:pPr>
        <w:pStyle w:val="76"/>
        <w:ind w:firstLine="643"/>
        <w:rPr>
          <w:rFonts w:ascii="宋体" w:hAnsi="宋体" w:cs="宋体"/>
          <w:b/>
          <w:sz w:val="32"/>
          <w:szCs w:val="32"/>
        </w:rPr>
      </w:pPr>
    </w:p>
    <w:p>
      <w:pPr>
        <w:spacing w:line="360" w:lineRule="auto"/>
        <w:ind w:firstLine="420" w:firstLineChars="200"/>
        <w:rPr>
          <w:rFonts w:ascii="宋体" w:hAnsi="宋体" w:cs="宋体"/>
          <w:sz w:val="24"/>
        </w:rPr>
      </w:pPr>
      <w:r>
        <w:rPr>
          <w:rFonts w:hint="eastAsia" w:ascii="宋体" w:hAnsi="宋体" w:cs="宋体"/>
          <w:szCs w:val="21"/>
        </w:rPr>
        <w:t xml:space="preserve"> </w:t>
      </w: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0"/>
        </w:num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u w:val="single"/>
        </w:rPr>
        <w:t>标的名称</w:t>
      </w:r>
      <w:r>
        <w:rPr>
          <w:rFonts w:hint="eastAsia" w:ascii="宋体" w:hAnsi="宋体" w:cs="宋体"/>
          <w:sz w:val="24"/>
        </w:rPr>
        <w:t>），属于（采购文件中明确的所属行业）；承建（承接）企业为（</w:t>
      </w:r>
      <w:r>
        <w:rPr>
          <w:rFonts w:hint="eastAsia" w:ascii="宋体" w:hAnsi="宋体" w:cs="宋体"/>
          <w:sz w:val="24"/>
          <w:u w:val="single"/>
        </w:rPr>
        <w:t>企业名称</w:t>
      </w:r>
      <w:r>
        <w:rPr>
          <w:rFonts w:hint="eastAsia" w:ascii="宋体" w:hAnsi="宋体" w:cs="宋体"/>
          <w:sz w:val="24"/>
        </w:rPr>
        <w:t xml:space="preserve">），从业人员 </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32"/>
          <w:szCs w:val="32"/>
          <w:vertAlign w:val="superscript"/>
        </w:rPr>
        <w:t>1</w:t>
      </w:r>
      <w:r>
        <w:rPr>
          <w:rFonts w:hint="eastAsia" w:ascii="宋体" w:hAnsi="宋体" w:cs="宋体"/>
          <w:sz w:val="24"/>
        </w:rPr>
        <w:t>，属于</w:t>
      </w:r>
      <w:r>
        <w:rPr>
          <w:rFonts w:hint="eastAsia" w:ascii="宋体" w:hAnsi="宋体" w:cs="宋体"/>
          <w:sz w:val="24"/>
          <w:u w:val="single"/>
          <w:lang w:val="en-US" w:eastAsia="zh-CN"/>
        </w:rPr>
        <w:t xml:space="preserve">       </w:t>
      </w:r>
      <w:r>
        <w:rPr>
          <w:rFonts w:hint="eastAsia" w:ascii="宋体" w:hAnsi="宋体" w:cs="宋体"/>
          <w:sz w:val="24"/>
        </w:rPr>
        <w:t>（中型企业、小型企业、微型企业）；</w:t>
      </w:r>
    </w:p>
    <w:p>
      <w:pPr>
        <w:numPr>
          <w:ilvl w:val="0"/>
          <w:numId w:val="20"/>
        </w:numPr>
        <w:spacing w:line="360" w:lineRule="auto"/>
        <w:ind w:firstLine="480" w:firstLineChars="200"/>
        <w:rPr>
          <w:rFonts w:ascii="宋体" w:hAnsi="宋体" w:cs="宋体"/>
          <w:sz w:val="24"/>
        </w:rPr>
      </w:pPr>
      <w:r>
        <w:rPr>
          <w:rFonts w:hint="eastAsia" w:ascii="宋体" w:hAnsi="宋体" w:cs="宋体"/>
          <w:sz w:val="24"/>
        </w:rPr>
        <w:t>（标的名称），属于（采购文件中明确的所属行业）；承建（承接）企业为（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lang w:val="en-US" w:eastAsia="zh-CN"/>
        </w:rPr>
        <w:t xml:space="preserve">         </w:t>
      </w:r>
      <w:r>
        <w:rPr>
          <w:rFonts w:hint="eastAsia" w:ascii="宋体" w:hAnsi="宋体" w:cs="宋体"/>
          <w:sz w:val="24"/>
        </w:rPr>
        <w:t>（中型企业、小型企业、微型企业）；</w:t>
      </w:r>
    </w:p>
    <w:p>
      <w:pPr>
        <w:spacing w:line="360" w:lineRule="auto"/>
        <w:ind w:left="420" w:left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left="420" w:leftChars="200"/>
        <w:rPr>
          <w:rFonts w:ascii="宋体" w:hAnsi="宋体" w:cs="宋体"/>
          <w:sz w:val="24"/>
        </w:rPr>
      </w:pPr>
      <w:r>
        <w:rPr>
          <w:rFonts w:hint="eastAsia" w:ascii="宋体" w:hAnsi="宋体" w:cs="宋体"/>
          <w:sz w:val="24"/>
        </w:rPr>
        <w:t xml:space="preserve"> </w:t>
      </w:r>
    </w:p>
    <w:p>
      <w:pPr>
        <w:spacing w:line="360" w:lineRule="auto"/>
        <w:ind w:left="420" w:leftChars="200"/>
        <w:rPr>
          <w:rFonts w:ascii="宋体" w:hAnsi="宋体" w:cs="宋体"/>
          <w:sz w:val="24"/>
        </w:rPr>
      </w:pPr>
    </w:p>
    <w:p>
      <w:pPr>
        <w:spacing w:line="360" w:lineRule="auto"/>
        <w:ind w:left="420" w:leftChars="200" w:firstLine="5280" w:firstLineChars="2200"/>
        <w:rPr>
          <w:rFonts w:ascii="宋体" w:hAnsi="宋体" w:cs="宋体"/>
          <w:sz w:val="24"/>
        </w:rPr>
      </w:pPr>
      <w:r>
        <w:rPr>
          <w:rFonts w:hint="eastAsia" w:ascii="宋体" w:hAnsi="宋体" w:cs="宋体"/>
          <w:sz w:val="24"/>
        </w:rPr>
        <w:t>企业名称（盖章）：</w:t>
      </w:r>
    </w:p>
    <w:p>
      <w:pPr>
        <w:spacing w:line="360" w:lineRule="auto"/>
        <w:ind w:left="420" w:leftChars="200" w:firstLine="5280" w:firstLineChars="2200"/>
        <w:rPr>
          <w:rFonts w:ascii="宋体" w:hAnsi="宋体" w:cs="宋体"/>
          <w:szCs w:val="21"/>
          <w:u w:val="single"/>
        </w:rPr>
      </w:pPr>
      <w:r>
        <w:rPr>
          <w:rFonts w:hint="eastAsia" w:ascii="宋体" w:hAnsi="宋体" w:cs="宋体"/>
          <w:sz w:val="24"/>
        </w:rPr>
        <w:t>日 期：</w:t>
      </w:r>
      <w:bookmarkEnd w:id="109"/>
      <w:r>
        <w:rPr>
          <w:rFonts w:hint="eastAsia" w:ascii="宋体" w:hAnsi="宋体" w:cs="宋体"/>
          <w:szCs w:val="21"/>
          <w:u w:val="single"/>
        </w:rPr>
        <w:t xml:space="preserve">                   </w:t>
      </w:r>
    </w:p>
    <w:p>
      <w:r>
        <w:rPr>
          <w:rFonts w:hint="eastAsia" w:ascii="宋体" w:hAnsi="宋体" w:cs="宋体"/>
          <w:sz w:val="18"/>
          <w:szCs w:val="18"/>
        </w:rPr>
        <w:t>从业人员、营业收入、资产总额填报上一年度数据，无上一年度数据的新成立企业可不填报。</w:t>
      </w:r>
    </w:p>
    <w:p>
      <w:pPr>
        <w:pStyle w:val="30"/>
        <w:rPr>
          <w:rFonts w:ascii="宋体" w:hAnsi="宋体"/>
        </w:rPr>
      </w:pPr>
    </w:p>
    <w:p>
      <w:pPr>
        <w:pStyle w:val="30"/>
        <w:ind w:left="0" w:leftChars="0" w:firstLine="0" w:firstLineChars="0"/>
        <w:rPr>
          <w:rFonts w:ascii="宋体" w:hAnsi="宋体"/>
        </w:rPr>
      </w:pPr>
    </w:p>
    <w:p>
      <w:pPr>
        <w:spacing w:line="588" w:lineRule="exact"/>
        <w:outlineLvl w:val="0"/>
        <w:rPr>
          <w:rFonts w:hint="eastAsia" w:ascii="宋体" w:hAnsi="宋体" w:eastAsia="宋体" w:cs="宋体"/>
          <w:b/>
          <w:bCs/>
          <w:kern w:val="0"/>
          <w:sz w:val="28"/>
          <w:szCs w:val="28"/>
          <w:lang w:eastAsia="zh-CN"/>
        </w:rPr>
      </w:pPr>
      <w:bookmarkStart w:id="110" w:name="_Toc14476"/>
    </w:p>
    <w:p>
      <w:pPr>
        <w:pStyle w:val="2"/>
        <w:rPr>
          <w:rFonts w:hint="eastAsia"/>
          <w:lang w:eastAsia="zh-CN"/>
        </w:rPr>
      </w:pPr>
    </w:p>
    <w:p>
      <w:pPr>
        <w:spacing w:line="588" w:lineRule="exact"/>
        <w:outlineLvl w:val="0"/>
        <w:rPr>
          <w:rFonts w:eastAsia="仿宋_GB2312"/>
          <w:spacing w:val="6"/>
          <w:sz w:val="30"/>
          <w:szCs w:val="30"/>
        </w:rPr>
      </w:pPr>
      <w:bookmarkStart w:id="111" w:name="_Toc19521"/>
      <w:r>
        <w:rPr>
          <w:rFonts w:hint="eastAsia" w:ascii="宋体" w:hAnsi="宋体" w:cs="宋体"/>
          <w:b/>
          <w:bCs/>
          <w:kern w:val="0"/>
          <w:sz w:val="28"/>
          <w:szCs w:val="28"/>
        </w:rPr>
        <w:t>附件2：《残疾人福利性单位声明函》（若是）</w:t>
      </w:r>
      <w:bookmarkEnd w:id="110"/>
      <w:bookmarkEnd w:id="111"/>
    </w:p>
    <w:p>
      <w:pPr>
        <w:spacing w:line="360" w:lineRule="auto"/>
        <w:jc w:val="center"/>
        <w:rPr>
          <w:rFonts w:ascii="宋体" w:cs="宋体"/>
          <w:b/>
          <w:spacing w:val="6"/>
          <w:sz w:val="24"/>
        </w:rPr>
      </w:pPr>
    </w:p>
    <w:p>
      <w:pPr>
        <w:spacing w:line="360" w:lineRule="auto"/>
        <w:jc w:val="center"/>
        <w:outlineLvl w:val="0"/>
        <w:rPr>
          <w:rFonts w:ascii="宋体" w:cs="宋体"/>
          <w:b/>
          <w:spacing w:val="6"/>
          <w:sz w:val="24"/>
        </w:rPr>
      </w:pPr>
      <w:bookmarkStart w:id="112" w:name="_Toc10740"/>
      <w:bookmarkStart w:id="113" w:name="_Toc18562"/>
      <w:r>
        <w:rPr>
          <w:rFonts w:hint="eastAsia" w:ascii="宋体" w:hAnsi="宋体" w:cs="宋体"/>
          <w:b/>
          <w:spacing w:val="6"/>
          <w:sz w:val="32"/>
          <w:szCs w:val="32"/>
        </w:rPr>
        <w:t>残疾人福利性单位声明函</w:t>
      </w:r>
      <w:bookmarkEnd w:id="112"/>
      <w:bookmarkEnd w:id="113"/>
    </w:p>
    <w:p>
      <w:pPr>
        <w:spacing w:line="360" w:lineRule="auto"/>
        <w:rPr>
          <w:rFonts w:ascii="宋体" w:cs="宋体"/>
          <w:b/>
          <w:spacing w:val="6"/>
          <w:sz w:val="24"/>
        </w:rPr>
      </w:pPr>
    </w:p>
    <w:p>
      <w:pPr>
        <w:spacing w:line="480" w:lineRule="auto"/>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pPr>
        <w:spacing w:line="480" w:lineRule="auto"/>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pPr>
        <w:spacing w:line="480" w:lineRule="auto"/>
        <w:ind w:firstLine="504" w:firstLineChars="200"/>
        <w:rPr>
          <w:rFonts w:ascii="宋体" w:cs="宋体"/>
          <w:spacing w:val="6"/>
          <w:sz w:val="24"/>
        </w:rPr>
      </w:pPr>
    </w:p>
    <w:p>
      <w:pPr>
        <w:spacing w:line="480" w:lineRule="auto"/>
        <w:ind w:firstLine="504" w:firstLineChars="200"/>
        <w:rPr>
          <w:rFonts w:ascii="宋体" w:cs="宋体"/>
          <w:spacing w:val="6"/>
          <w:sz w:val="24"/>
        </w:rPr>
      </w:pPr>
    </w:p>
    <w:p>
      <w:pPr>
        <w:tabs>
          <w:tab w:val="left" w:pos="4860"/>
        </w:tabs>
        <w:spacing w:line="480" w:lineRule="auto"/>
        <w:ind w:right="1560" w:firstLine="480" w:firstLineChars="200"/>
        <w:jc w:val="center"/>
        <w:rPr>
          <w:rFonts w:ascii="宋体" w:cs="宋体"/>
          <w:spacing w:val="6"/>
          <w:sz w:val="24"/>
        </w:rPr>
      </w:pPr>
      <w:r>
        <w:rPr>
          <w:rFonts w:hint="eastAsia" w:ascii="宋体" w:hAnsi="宋体"/>
          <w:sz w:val="24"/>
          <w:lang w:eastAsia="zh-CN"/>
        </w:rPr>
        <w:t>投标人</w:t>
      </w:r>
      <w:r>
        <w:rPr>
          <w:rFonts w:hint="eastAsia" w:ascii="宋体" w:hAnsi="宋体"/>
          <w:sz w:val="24"/>
        </w:rPr>
        <w:t>全称</w:t>
      </w:r>
      <w:r>
        <w:rPr>
          <w:rFonts w:hint="eastAsia" w:ascii="宋体" w:hAnsi="宋体" w:cs="宋体"/>
          <w:spacing w:val="6"/>
          <w:sz w:val="24"/>
        </w:rPr>
        <w:t>（盖章）：</w:t>
      </w:r>
    </w:p>
    <w:p>
      <w:pPr>
        <w:spacing w:line="480" w:lineRule="auto"/>
        <w:ind w:firstLine="5292" w:firstLineChars="2100"/>
        <w:rPr>
          <w:rFonts w:ascii="宋体" w:hAnsi="宋体" w:cs="宋体"/>
          <w:spacing w:val="6"/>
          <w:sz w:val="24"/>
        </w:rPr>
      </w:pPr>
      <w:r>
        <w:rPr>
          <w:rFonts w:hint="eastAsia" w:ascii="宋体" w:hAnsi="宋体" w:cs="宋体"/>
          <w:spacing w:val="6"/>
          <w:sz w:val="24"/>
        </w:rPr>
        <w:t>日</w:t>
      </w:r>
      <w:r>
        <w:rPr>
          <w:rFonts w:ascii="宋体" w:hAnsi="宋体" w:cs="宋体"/>
          <w:spacing w:val="6"/>
          <w:sz w:val="24"/>
        </w:rPr>
        <w:t xml:space="preserve">  </w:t>
      </w:r>
      <w:r>
        <w:rPr>
          <w:rFonts w:hint="eastAsia" w:ascii="宋体" w:hAnsi="宋体" w:cs="宋体"/>
          <w:spacing w:val="6"/>
          <w:sz w:val="24"/>
        </w:rPr>
        <w:t>期：</w:t>
      </w:r>
      <w:r>
        <w:rPr>
          <w:rFonts w:ascii="宋体" w:hAnsi="宋体" w:cs="宋体"/>
          <w:spacing w:val="6"/>
          <w:sz w:val="24"/>
        </w:rPr>
        <w:t xml:space="preserve"> </w:t>
      </w:r>
      <w:r>
        <w:rPr>
          <w:rFonts w:hint="eastAsia" w:ascii="宋体" w:hAnsi="宋体" w:cs="宋体"/>
          <w:spacing w:val="6"/>
          <w:sz w:val="24"/>
        </w:rPr>
        <w:t>年</w:t>
      </w:r>
      <w:r>
        <w:rPr>
          <w:rFonts w:ascii="宋体" w:hAnsi="宋体" w:cs="宋体"/>
          <w:spacing w:val="6"/>
          <w:sz w:val="24"/>
        </w:rPr>
        <w:t xml:space="preserve"> </w:t>
      </w:r>
      <w:r>
        <w:rPr>
          <w:rFonts w:hint="eastAsia" w:ascii="宋体" w:hAnsi="宋体" w:cs="宋体"/>
          <w:spacing w:val="6"/>
          <w:sz w:val="24"/>
        </w:rPr>
        <w:t>月</w:t>
      </w:r>
      <w:r>
        <w:rPr>
          <w:rFonts w:ascii="宋体" w:hAnsi="宋体" w:cs="宋体"/>
          <w:spacing w:val="6"/>
          <w:sz w:val="24"/>
        </w:rPr>
        <w:t xml:space="preserve"> </w:t>
      </w:r>
      <w:r>
        <w:rPr>
          <w:rFonts w:hint="eastAsia" w:ascii="宋体" w:hAnsi="宋体" w:cs="宋体"/>
          <w:spacing w:val="6"/>
          <w:sz w:val="24"/>
        </w:rPr>
        <w:t>日</w:t>
      </w: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r>
        <w:rPr>
          <w:rFonts w:hint="eastAsia" w:ascii="宋体" w:hAnsi="宋体"/>
        </w:rPr>
        <w:t>注：若不是可不填写打印。</w:t>
      </w:r>
    </w:p>
    <w:p>
      <w:pPr>
        <w:widowControl/>
        <w:snapToGrid w:val="0"/>
        <w:spacing w:after="240" w:line="360" w:lineRule="auto"/>
        <w:textAlignment w:val="baseline"/>
        <w:outlineLvl w:val="0"/>
        <w:rPr>
          <w:rFonts w:ascii="宋体" w:hAnsi="宋体" w:cs="宋体"/>
        </w:rPr>
      </w:pPr>
      <w:r>
        <w:rPr>
          <w:rFonts w:hint="eastAsia" w:ascii="宋体" w:hAnsi="宋体" w:cs="宋体"/>
          <w:spacing w:val="6"/>
          <w:sz w:val="24"/>
        </w:rPr>
        <w:br w:type="page"/>
      </w:r>
      <w:bookmarkStart w:id="114" w:name="_Toc19789"/>
      <w:bookmarkStart w:id="115" w:name="_Toc17651"/>
      <w:r>
        <w:rPr>
          <w:rFonts w:hint="eastAsia" w:ascii="宋体" w:hAnsi="宋体"/>
          <w:b/>
          <w:sz w:val="28"/>
          <w:szCs w:val="28"/>
        </w:rPr>
        <w:t>附件3：《监狱企业声明函》及证明文件（若是）</w:t>
      </w:r>
      <w:bookmarkEnd w:id="114"/>
      <w:bookmarkEnd w:id="115"/>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监狱企业声明函</w:t>
      </w:r>
    </w:p>
    <w:p>
      <w:pPr>
        <w:jc w:val="center"/>
        <w:rPr>
          <w:rFonts w:ascii="宋体" w:hAnsi="宋体" w:cs="宋体"/>
          <w:b/>
          <w:sz w:val="32"/>
          <w:szCs w:val="32"/>
        </w:rPr>
      </w:pPr>
    </w:p>
    <w:p>
      <w:pPr>
        <w:spacing w:line="360" w:lineRule="auto"/>
        <w:ind w:firstLine="480" w:firstLineChars="200"/>
        <w:rPr>
          <w:rFonts w:ascii="宋体" w:hAnsi="宋体" w:cs="宋体"/>
          <w:sz w:val="24"/>
        </w:rPr>
      </w:pPr>
      <w:r>
        <w:rPr>
          <w:rFonts w:hint="eastAsia" w:ascii="宋体" w:hAnsi="宋体" w:cs="宋体"/>
          <w:sz w:val="24"/>
        </w:rPr>
        <w:t>本单位郑重声明，根据《财政部、司法部关于政府采购支持监狱企业发展有关问题的通知》（财库〔2014〕68号）的规定。因本单位</w:t>
      </w:r>
      <w:r>
        <w:rPr>
          <w:rFonts w:hint="eastAsia" w:ascii="宋体" w:hAnsi="宋体" w:cs="宋体"/>
          <w:b/>
          <w:sz w:val="24"/>
          <w:u w:val="single"/>
        </w:rPr>
        <w:t>（符合/不符合）</w:t>
      </w:r>
      <w:r>
        <w:rPr>
          <w:rFonts w:hint="eastAsia" w:ascii="宋体" w:hAnsi="宋体" w:cs="宋体"/>
          <w:sz w:val="24"/>
        </w:rPr>
        <w:t>条件，故本单位为</w:t>
      </w:r>
      <w:r>
        <w:rPr>
          <w:rFonts w:hint="eastAsia" w:ascii="宋体" w:hAnsi="宋体" w:cs="宋体"/>
          <w:b/>
          <w:sz w:val="24"/>
          <w:u w:val="single"/>
        </w:rPr>
        <w:t>（监狱/非监狱）</w:t>
      </w:r>
      <w:r>
        <w:rPr>
          <w:rFonts w:hint="eastAsia" w:ascii="宋体" w:hAnsi="宋体" w:cs="宋体"/>
          <w:sz w:val="24"/>
        </w:rPr>
        <w:t xml:space="preserve">企业。 </w:t>
      </w:r>
    </w:p>
    <w:p>
      <w:pPr>
        <w:spacing w:line="360" w:lineRule="auto"/>
        <w:ind w:firstLine="600" w:firstLineChars="250"/>
        <w:rPr>
          <w:rFonts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602" w:firstLineChars="250"/>
        <w:rPr>
          <w:rFonts w:ascii="宋体" w:hAnsi="宋体" w:cs="宋体"/>
          <w:sz w:val="24"/>
        </w:rPr>
      </w:pPr>
      <w:r>
        <w:rPr>
          <w:rFonts w:hint="eastAsia" w:ascii="宋体" w:hAnsi="宋体" w:cs="宋体"/>
          <w:b/>
          <w:sz w:val="24"/>
        </w:rPr>
        <w:t>注：监狱企业参加政府采购活动时，应当提供由省级以上监狱管理局、戒毒管理局（含新疆生产建设兵团）出具的属于监狱企业的证明文件。</w:t>
      </w:r>
    </w:p>
    <w:p>
      <w:pPr>
        <w:spacing w:line="440" w:lineRule="exact"/>
        <w:jc w:val="center"/>
        <w:rPr>
          <w:rFonts w:ascii="宋体" w:hAnsi="宋体" w:cs="宋体"/>
          <w:szCs w:val="21"/>
        </w:rPr>
      </w:pPr>
    </w:p>
    <w:p>
      <w:pPr>
        <w:spacing w:line="440" w:lineRule="exact"/>
        <w:jc w:val="center"/>
        <w:rPr>
          <w:rFonts w:ascii="宋体" w:hAnsi="宋体" w:cs="宋体"/>
          <w:sz w:val="24"/>
        </w:rPr>
      </w:pPr>
      <w:r>
        <w:rPr>
          <w:rFonts w:hint="eastAsia" w:ascii="宋体" w:hAnsi="宋体" w:cs="宋体"/>
          <w:szCs w:val="21"/>
        </w:rPr>
        <w:t xml:space="preserve">                             </w:t>
      </w:r>
      <w:r>
        <w:rPr>
          <w:rFonts w:hint="eastAsia" w:ascii="宋体" w:hAnsi="宋体" w:cs="宋体"/>
          <w:sz w:val="24"/>
        </w:rPr>
        <w:t>单位名称（盖章）：</w:t>
      </w:r>
    </w:p>
    <w:p>
      <w:pPr>
        <w:spacing w:line="440" w:lineRule="exact"/>
        <w:jc w:val="center"/>
        <w:rPr>
          <w:rFonts w:ascii="宋体" w:hAnsi="宋体" w:cs="宋体"/>
          <w:sz w:val="24"/>
        </w:rPr>
      </w:pPr>
      <w:r>
        <w:rPr>
          <w:rFonts w:hint="eastAsia" w:ascii="宋体" w:hAnsi="宋体" w:cs="宋体"/>
          <w:sz w:val="24"/>
        </w:rPr>
        <w:t xml:space="preserve">                         日  期：</w:t>
      </w: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p>
    <w:p>
      <w:pPr>
        <w:pStyle w:val="30"/>
        <w:ind w:left="0" w:leftChars="0" w:firstLine="0" w:firstLineChars="0"/>
        <w:rPr>
          <w:rFonts w:ascii="宋体" w:hAnsi="宋体"/>
        </w:rPr>
      </w:pPr>
      <w:r>
        <w:rPr>
          <w:rFonts w:hint="eastAsia" w:ascii="宋体" w:hAnsi="宋体"/>
        </w:rPr>
        <w:t>注：若不是可不填写打印。</w:t>
      </w:r>
    </w:p>
    <w:p/>
    <w:p>
      <w:pPr>
        <w:pStyle w:val="6"/>
        <w:rPr>
          <w:rFonts w:hint="default"/>
        </w:rPr>
      </w:pPr>
    </w:p>
    <w:p>
      <w:pPr>
        <w:pStyle w:val="2"/>
      </w:pPr>
    </w:p>
    <w:p/>
    <w:p>
      <w:pPr>
        <w:pStyle w:val="30"/>
      </w:pPr>
    </w:p>
    <w:p/>
    <w:p>
      <w:pPr>
        <w:pStyle w:val="30"/>
      </w:pPr>
    </w:p>
    <w:p>
      <w:pPr>
        <w:pStyle w:val="30"/>
        <w:ind w:left="0" w:leftChars="0" w:firstLine="0" w:firstLineChars="0"/>
      </w:pPr>
    </w:p>
    <w:p/>
    <w:p>
      <w:pPr>
        <w:pStyle w:val="2"/>
      </w:pPr>
    </w:p>
    <w:p/>
    <w:p>
      <w:pPr>
        <w:pStyle w:val="4"/>
        <w:adjustRightInd w:val="0"/>
        <w:spacing w:line="416" w:lineRule="atLeast"/>
        <w:jc w:val="both"/>
        <w:textAlignment w:val="baseline"/>
        <w:rPr>
          <w:rFonts w:ascii="宋体" w:hAnsi="宋体" w:cs="宋体"/>
        </w:rPr>
      </w:pPr>
      <w:bookmarkStart w:id="116" w:name="_Toc16927"/>
      <w:r>
        <w:rPr>
          <w:rFonts w:hint="eastAsia" w:ascii="宋体" w:hAnsi="宋体" w:cs="宋体"/>
        </w:rPr>
        <w:t>附件一、封袋正面标识式样</w:t>
      </w:r>
      <w:bookmarkEnd w:id="87"/>
      <w:bookmarkEnd w:id="116"/>
    </w:p>
    <w:p>
      <w:pPr>
        <w:spacing w:line="460" w:lineRule="exact"/>
        <w:ind w:firstLine="482" w:firstLineChars="200"/>
        <w:jc w:val="center"/>
        <w:rPr>
          <w:rFonts w:ascii="宋体" w:hAnsi="宋体" w:cs="宋体"/>
          <w:b/>
          <w:sz w:val="24"/>
        </w:rPr>
      </w:pPr>
      <w:r>
        <w:rPr>
          <w:rFonts w:hint="eastAsia" w:ascii="宋体" w:hAnsi="宋体" w:cs="宋体"/>
          <w:b/>
          <w:sz w:val="24"/>
        </w:rPr>
        <w:t>投标文件正/副本封袋正面标识式样</w:t>
      </w:r>
    </w:p>
    <w:p>
      <w:pPr>
        <w:spacing w:line="460" w:lineRule="exact"/>
        <w:ind w:firstLine="420" w:firstLineChars="200"/>
        <w:jc w:val="center"/>
        <w:rPr>
          <w:rFonts w:ascii="宋体" w:hAnsi="宋体" w:cs="宋体"/>
          <w:b/>
          <w:sz w:val="24"/>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113030</wp:posOffset>
                </wp:positionV>
                <wp:extent cx="5723890" cy="2824480"/>
                <wp:effectExtent l="4445" t="4445" r="5715" b="9525"/>
                <wp:wrapNone/>
                <wp:docPr id="13" name="Text Box 3"/>
                <wp:cNvGraphicFramePr/>
                <a:graphic xmlns:a="http://schemas.openxmlformats.org/drawingml/2006/main">
                  <a:graphicData uri="http://schemas.microsoft.com/office/word/2010/wordprocessingShape">
                    <wps:wsp>
                      <wps:cNvSpPr txBox="1"/>
                      <wps:spPr>
                        <a:xfrm>
                          <a:off x="0" y="0"/>
                          <a:ext cx="5723890" cy="2824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                      项目编号：                            项目名称：</w:t>
                            </w:r>
                          </w:p>
                          <w:p>
                            <w:pPr>
                              <w:jc w:val="center"/>
                              <w:rPr>
                                <w:b/>
                                <w:sz w:val="44"/>
                                <w:szCs w:val="44"/>
                              </w:rPr>
                            </w:pPr>
                            <w:r>
                              <w:rPr>
                                <w:rFonts w:hint="eastAsia"/>
                                <w:b/>
                                <w:sz w:val="44"/>
                                <w:szCs w:val="44"/>
                              </w:rPr>
                              <w:t>投标文件（正/副本）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lang w:eastAsia="zh-CN"/>
                              </w:rPr>
                              <w:t>投标人</w:t>
                            </w:r>
                            <w:r>
                              <w:rPr>
                                <w:rFonts w:hint="eastAsia"/>
                                <w:sz w:val="28"/>
                                <w:szCs w:val="28"/>
                              </w:rPr>
                              <w:t>（公章）：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6.65pt;margin-top:8.9pt;height:222.4pt;width:450.7pt;z-index:251662336;mso-width-relative:page;mso-height-relative:page;" fillcolor="#FFFFFF" filled="t" stroked="t" coordsize="21600,21600" o:gfxdata="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Xgwr9kAAAAKAQAADwAAAAAAAAAB&#10;ACAAAAAiAAAAZHJzL2Rvd25yZXYueG1sUEsBAhQAFAAAAAgAh07iQP6b2pAPAgAAUwQAAA4AAAAA&#10;AAAAAQAgAAAAKAEAAGRycy9lMm9Eb2MueG1sUEsFBgAAAAAGAAYAWQEAAKkFAAAAAA==&#10;">
                <v:fill on="t" focussize="0,0"/>
                <v:stroke color="#000000" joinstyle="miter"/>
                <v:imagedata o:title=""/>
                <o:lock v:ext="edit" aspectratio="f"/>
                <v:textbox>
                  <w:txbxContent>
                    <w:p>
                      <w:pPr>
                        <w:rPr>
                          <w:sz w:val="28"/>
                          <w:szCs w:val="28"/>
                        </w:rPr>
                      </w:pPr>
                      <w:r>
                        <w:rPr>
                          <w:rFonts w:hint="eastAsia"/>
                          <w:sz w:val="28"/>
                          <w:szCs w:val="28"/>
                        </w:rPr>
                        <w:t>致：                      项目编号：                            项目名称：</w:t>
                      </w:r>
                    </w:p>
                    <w:p>
                      <w:pPr>
                        <w:jc w:val="center"/>
                        <w:rPr>
                          <w:b/>
                          <w:sz w:val="44"/>
                          <w:szCs w:val="44"/>
                        </w:rPr>
                      </w:pPr>
                      <w:r>
                        <w:rPr>
                          <w:rFonts w:hint="eastAsia"/>
                          <w:b/>
                          <w:sz w:val="44"/>
                          <w:szCs w:val="44"/>
                        </w:rPr>
                        <w:t>投标文件（正/副本）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lang w:eastAsia="zh-CN"/>
                        </w:rPr>
                        <w:t>投标人</w:t>
                      </w:r>
                      <w:r>
                        <w:rPr>
                          <w:rFonts w:hint="eastAsia"/>
                          <w:sz w:val="28"/>
                          <w:szCs w:val="28"/>
                        </w:rPr>
                        <w:t>（公章）：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ind w:firstLine="482" w:firstLineChars="200"/>
        <w:jc w:val="center"/>
        <w:rPr>
          <w:rFonts w:ascii="宋体" w:hAnsi="宋体" w:cs="宋体"/>
          <w:b/>
          <w:sz w:val="24"/>
        </w:rPr>
      </w:pPr>
    </w:p>
    <w:p>
      <w:pPr>
        <w:spacing w:line="460" w:lineRule="exact"/>
        <w:sectPr>
          <w:footerReference r:id="rId27" w:type="default"/>
          <w:pgSz w:w="11906" w:h="16838"/>
          <w:pgMar w:top="1440" w:right="1803" w:bottom="1440" w:left="1803" w:header="851" w:footer="992" w:gutter="0"/>
          <w:cols w:space="720" w:num="1"/>
          <w:docGrid w:type="lines" w:linePitch="319" w:charSpace="0"/>
        </w:sectPr>
      </w:pPr>
      <w:r>
        <w:rPr>
          <w:rFonts w:hint="eastAsia"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-368935</wp:posOffset>
                </wp:positionH>
                <wp:positionV relativeFrom="paragraph">
                  <wp:posOffset>405130</wp:posOffset>
                </wp:positionV>
                <wp:extent cx="5958205" cy="2777490"/>
                <wp:effectExtent l="4445" t="4445" r="19050" b="18415"/>
                <wp:wrapNone/>
                <wp:docPr id="1" name="Text Box 3"/>
                <wp:cNvGraphicFramePr/>
                <a:graphic xmlns:a="http://schemas.openxmlformats.org/drawingml/2006/main">
                  <a:graphicData uri="http://schemas.microsoft.com/office/word/2010/wordprocessingShape">
                    <wps:wsp>
                      <wps:cNvSpPr txBox="1"/>
                      <wps:spPr>
                        <a:xfrm>
                          <a:off x="0" y="0"/>
                          <a:ext cx="5958205" cy="2777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 xml:space="preserve">致：                                             项目编号： </w:t>
                            </w:r>
                          </w:p>
                          <w:p>
                            <w:pPr>
                              <w:rPr>
                                <w:sz w:val="28"/>
                                <w:szCs w:val="28"/>
                              </w:rPr>
                            </w:pPr>
                            <w:r>
                              <w:rPr>
                                <w:rFonts w:hint="eastAsia"/>
                                <w:sz w:val="28"/>
                                <w:szCs w:val="28"/>
                              </w:rPr>
                              <w:t xml:space="preserve">项目名称： </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lang w:eastAsia="zh-CN"/>
                              </w:rPr>
                              <w:t>投标人</w:t>
                            </w:r>
                            <w:r>
                              <w:rPr>
                                <w:rFonts w:hint="eastAsia"/>
                                <w:sz w:val="28"/>
                                <w:szCs w:val="28"/>
                              </w:rPr>
                              <w:t>（公章）：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9.05pt;margin-top:31.9pt;height:218.7pt;width:469.15pt;z-index:251668480;mso-width-relative:page;mso-height-relative:page;" fillcolor="#FFFFFF" filled="t" stroked="t" coordsize="21600,21600" o:gfxdata="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6sRQ2gAAAAoBAAAPAAAAAAAAAAEA&#10;IAAAACIAAABkcnMvZG93bnJldi54bWxQSwECFAAUAAAACACHTuJAwN+MTg0CAABSBAAADgAAAAAA&#10;AAABACAAAAApAQAAZHJzL2Uyb0RvYy54bWxQSwUGAAAAAAYABgBZAQAAqAUAAAAA&#10;">
                <v:fill on="t" focussize="0,0"/>
                <v:stroke color="#000000" joinstyle="miter"/>
                <v:imagedata o:title=""/>
                <o:lock v:ext="edit" aspectratio="f"/>
                <v:textbox>
                  <w:txbxContent>
                    <w:p>
                      <w:pPr>
                        <w:rPr>
                          <w:sz w:val="28"/>
                          <w:szCs w:val="28"/>
                        </w:rPr>
                      </w:pPr>
                      <w:r>
                        <w:rPr>
                          <w:rFonts w:hint="eastAsia"/>
                          <w:sz w:val="28"/>
                          <w:szCs w:val="28"/>
                        </w:rPr>
                        <w:t xml:space="preserve">致：                                             项目编号： </w:t>
                      </w:r>
                    </w:p>
                    <w:p>
                      <w:pPr>
                        <w:rPr>
                          <w:sz w:val="28"/>
                          <w:szCs w:val="28"/>
                        </w:rPr>
                      </w:pPr>
                      <w:r>
                        <w:rPr>
                          <w:rFonts w:hint="eastAsia"/>
                          <w:sz w:val="28"/>
                          <w:szCs w:val="28"/>
                        </w:rPr>
                        <w:t xml:space="preserve">项目名称： </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lang w:eastAsia="zh-CN"/>
                        </w:rPr>
                        <w:t>投标人</w:t>
                      </w:r>
                      <w:r>
                        <w:rPr>
                          <w:rFonts w:hint="eastAsia"/>
                          <w:sz w:val="28"/>
                          <w:szCs w:val="28"/>
                        </w:rPr>
                        <w:t>（公章）：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r>
        <w:rPr>
          <w:rFonts w:hint="eastAsia" w:ascii="宋体" w:hAnsi="宋体" w:cs="宋体"/>
          <w:b/>
          <w:sz w:val="24"/>
        </w:rPr>
        <w:t>报价一览表封袋正</w:t>
      </w:r>
    </w:p>
    <w:bookmarkEnd w:id="0"/>
    <w:bookmarkEnd w:id="64"/>
    <w:bookmarkEnd w:id="65"/>
    <w:p>
      <w:pPr>
        <w:rPr>
          <w:rFonts w:ascii="宋体" w:hAnsi="宋体" w:cs="宋体"/>
        </w:rPr>
      </w:pPr>
    </w:p>
    <w:sectPr>
      <w:headerReference r:id="rId28" w:type="default"/>
      <w:footerReference r:id="rId2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pperplate Gothic Bold">
    <w:altName w:val="Segoe Print"/>
    <w:panose1 w:val="00000000000000000000"/>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PMingLiU">
    <w:altName w:val="Microsoft JhengHei UI"/>
    <w:panose1 w:val="02010601000101010101"/>
    <w:charset w:val="88"/>
    <w:family w:val="auto"/>
    <w:pitch w:val="default"/>
    <w:sig w:usb0="00000000" w:usb1="00000000" w:usb2="00000016" w:usb3="00000000" w:csb0="0010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end"/>
    </w: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9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22</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9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23</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39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24</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３２</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３２</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５３</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５３</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５５</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５５</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５９</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５９</w:t>
                    </w:r>
                    <w:r>
                      <w:fldChar w:fldCharType="end"/>
                    </w:r>
                    <w:r>
                      <w:t xml:space="preserve"> 页</w:t>
                    </w:r>
                  </w:p>
                </w:txbxContent>
              </v:textbox>
            </v:shape>
          </w:pict>
        </mc:Fallback>
      </mc:AlternateContent>
    </w:r>
    <w:r>
      <w:rPr>
        <w:rFonts w:ascii="宋体"/>
      </w:rPr>
      <w:tab/>
    </w:r>
    <w:r>
      <w:rPr>
        <w:rFonts w:ascii="宋体"/>
      </w:rP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６１</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６１</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６９</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６９</w:t>
                    </w:r>
                    <w:r>
                      <w:fldChar w:fldCharType="end"/>
                    </w:r>
                    <w:r>
                      <w:t xml:space="preserve"> 页</w:t>
                    </w:r>
                  </w:p>
                </w:txbxContent>
              </v:textbox>
            </v:shape>
          </w:pict>
        </mc:Fallback>
      </mc:AlternateContent>
    </w:r>
    <w:r>
      <w:rPr>
        <w:rFonts w:ascii="宋体"/>
      </w:rPr>
      <w:tab/>
    </w:r>
    <w:r>
      <w:rPr>
        <w:rFonts w:asci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hAnsi="宋体" w:cs="宋体"/>
      </w:rPr>
    </w:pPr>
    <w:r>
      <w:rPr>
        <w:rFonts w:hint="eastAsia" w:ascii="宋体" w:hAnsi="宋体" w:cs="宋体"/>
      </w:rPr>
      <w:tab/>
    </w:r>
    <w:r>
      <w:rPr>
        <w:rFonts w:hint="eastAsia" w:ascii="宋体" w:hAnsi="宋体" w:cs="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６</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６</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１２</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１２</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26</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27</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17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28</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441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宋体" w:hAnsi="宋体" w:eastAsia="宋体" w:cs="宋体"/>
        <w:spacing w:val="-4"/>
        <w:sz w:val="18"/>
        <w:szCs w:val="18"/>
      </w:rPr>
      <w:t>29</w:t>
    </w:r>
    <w:r>
      <w:rPr>
        <w:rFonts w:ascii="宋体" w:hAnsi="宋体" w:eastAsia="宋体" w:cs="宋体"/>
        <w:spacing w:val="12"/>
        <w:sz w:val="18"/>
        <w:szCs w:val="18"/>
      </w:rPr>
      <w:t xml:space="preserve"> </w:t>
    </w:r>
    <w:r>
      <w:rPr>
        <w:rFonts w:ascii="宋体" w:hAnsi="宋体" w:eastAsia="宋体" w:cs="宋体"/>
        <w:spacing w:val="-4"/>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6912E"/>
    <w:multiLevelType w:val="singleLevel"/>
    <w:tmpl w:val="87C6912E"/>
    <w:lvl w:ilvl="0" w:tentative="0">
      <w:start w:val="5"/>
      <w:numFmt w:val="chineseCounting"/>
      <w:suff w:val="space"/>
      <w:lvlText w:val="第%1部分"/>
      <w:lvlJc w:val="left"/>
      <w:rPr>
        <w:rFonts w:hint="eastAsia"/>
      </w:rPr>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435DD92"/>
    <w:multiLevelType w:val="singleLevel"/>
    <w:tmpl w:val="C435DD92"/>
    <w:lvl w:ilvl="0" w:tentative="0">
      <w:start w:val="2"/>
      <w:numFmt w:val="chineseCounting"/>
      <w:suff w:val="nothing"/>
      <w:lvlText w:val="%1、"/>
      <w:lvlJc w:val="left"/>
      <w:rPr>
        <w:rFonts w:hint="eastAsia"/>
      </w:rPr>
    </w:lvl>
  </w:abstractNum>
  <w:abstractNum w:abstractNumId="3">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4">
    <w:nsid w:val="EF366854"/>
    <w:multiLevelType w:val="singleLevel"/>
    <w:tmpl w:val="EF366854"/>
    <w:lvl w:ilvl="0" w:tentative="0">
      <w:start w:val="1"/>
      <w:numFmt w:val="decimal"/>
      <w:suff w:val="space"/>
      <w:lvlText w:val="%1."/>
      <w:lvlJc w:val="left"/>
    </w:lvl>
  </w:abstractNum>
  <w:abstractNum w:abstractNumId="5">
    <w:nsid w:val="F20ECAEB"/>
    <w:multiLevelType w:val="singleLevel"/>
    <w:tmpl w:val="F20ECAEB"/>
    <w:lvl w:ilvl="0" w:tentative="0">
      <w:start w:val="4"/>
      <w:numFmt w:val="chineseCounting"/>
      <w:suff w:val="space"/>
      <w:lvlText w:val="第%1部分"/>
      <w:lvlJc w:val="left"/>
      <w:rPr>
        <w:rFonts w:hint="eastAsia"/>
        <w:color w:val="000000" w:themeColor="text1"/>
        <w:sz w:val="36"/>
        <w:szCs w:val="36"/>
        <w14:textFill>
          <w14:solidFill>
            <w14:schemeClr w14:val="tx1"/>
          </w14:solidFill>
        </w14:textFill>
      </w:rPr>
    </w:lvl>
  </w:abstractNum>
  <w:abstractNum w:abstractNumId="6">
    <w:nsid w:val="1613C716"/>
    <w:multiLevelType w:val="singleLevel"/>
    <w:tmpl w:val="1613C716"/>
    <w:lvl w:ilvl="0" w:tentative="0">
      <w:start w:val="1"/>
      <w:numFmt w:val="chineseCounting"/>
      <w:suff w:val="nothing"/>
      <w:lvlText w:val="%1、"/>
      <w:lvlJc w:val="left"/>
      <w:rPr>
        <w:rFonts w:hint="eastAsia"/>
      </w:rPr>
    </w:lvl>
  </w:abstractNum>
  <w:abstractNum w:abstractNumId="7">
    <w:nsid w:val="3C4385B0"/>
    <w:multiLevelType w:val="singleLevel"/>
    <w:tmpl w:val="3C4385B0"/>
    <w:lvl w:ilvl="0" w:tentative="0">
      <w:start w:val="1"/>
      <w:numFmt w:val="decimal"/>
      <w:suff w:val="nothing"/>
      <w:lvlText w:val="%1、"/>
      <w:lvlJc w:val="left"/>
    </w:lvl>
  </w:abstractNum>
  <w:abstractNum w:abstractNumId="8">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9">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0">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1">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2">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3">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4">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5">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6">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7">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8">
    <w:nsid w:val="5902B6A7"/>
    <w:multiLevelType w:val="singleLevel"/>
    <w:tmpl w:val="5902B6A7"/>
    <w:lvl w:ilvl="0" w:tentative="0">
      <w:start w:val="1"/>
      <w:numFmt w:val="decimal"/>
      <w:pStyle w:val="8"/>
      <w:lvlText w:val="%1."/>
      <w:lvlJc w:val="left"/>
      <w:pPr>
        <w:tabs>
          <w:tab w:val="left" w:pos="360"/>
        </w:tabs>
        <w:ind w:left="360" w:hanging="360"/>
      </w:pPr>
    </w:lvl>
  </w:abstractNum>
  <w:abstractNum w:abstractNumId="19">
    <w:nsid w:val="61F7CCE3"/>
    <w:multiLevelType w:val="singleLevel"/>
    <w:tmpl w:val="61F7CCE3"/>
    <w:lvl w:ilvl="0" w:tentative="0">
      <w:start w:val="2"/>
      <w:numFmt w:val="chineseCounting"/>
      <w:suff w:val="space"/>
      <w:lvlText w:val="第%1部分"/>
      <w:lvlJc w:val="left"/>
      <w:rPr>
        <w:rFonts w:hint="eastAsia"/>
      </w:rPr>
    </w:lvl>
  </w:abstractNum>
  <w:num w:numId="1">
    <w:abstractNumId w:val="18"/>
  </w:num>
  <w:num w:numId="2">
    <w:abstractNumId w:val="3"/>
  </w:num>
  <w:num w:numId="3">
    <w:abstractNumId w:val="1"/>
  </w:num>
  <w:num w:numId="4">
    <w:abstractNumId w:val="10"/>
  </w:num>
  <w:num w:numId="5">
    <w:abstractNumId w:val="8"/>
  </w:num>
  <w:num w:numId="6">
    <w:abstractNumId w:val="2"/>
  </w:num>
  <w:num w:numId="7">
    <w:abstractNumId w:val="14"/>
  </w:num>
  <w:num w:numId="8">
    <w:abstractNumId w:val="15"/>
  </w:num>
  <w:num w:numId="9">
    <w:abstractNumId w:val="11"/>
  </w:num>
  <w:num w:numId="10">
    <w:abstractNumId w:val="16"/>
  </w:num>
  <w:num w:numId="11">
    <w:abstractNumId w:val="9"/>
  </w:num>
  <w:num w:numId="12">
    <w:abstractNumId w:val="12"/>
  </w:num>
  <w:num w:numId="13">
    <w:abstractNumId w:val="13"/>
  </w:num>
  <w:num w:numId="14">
    <w:abstractNumId w:val="17"/>
  </w:num>
  <w:num w:numId="15">
    <w:abstractNumId w:val="5"/>
  </w:num>
  <w:num w:numId="16">
    <w:abstractNumId w:val="6"/>
  </w:num>
  <w:num w:numId="17">
    <w:abstractNumId w:val="19"/>
  </w:num>
  <w:num w:numId="18">
    <w:abstractNumId w:val="0"/>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4M2I1NmZkNzA5MDcyOGE3ODVhOTc4N2Q2N2E5MDMifQ=="/>
  </w:docVars>
  <w:rsids>
    <w:rsidRoot w:val="00172A27"/>
    <w:rsid w:val="00010D1C"/>
    <w:rsid w:val="00037E51"/>
    <w:rsid w:val="00042D40"/>
    <w:rsid w:val="00067B07"/>
    <w:rsid w:val="00070B8D"/>
    <w:rsid w:val="000743B6"/>
    <w:rsid w:val="0009265D"/>
    <w:rsid w:val="000A3AD6"/>
    <w:rsid w:val="000A6804"/>
    <w:rsid w:val="000B3DD4"/>
    <w:rsid w:val="000C0895"/>
    <w:rsid w:val="000C673D"/>
    <w:rsid w:val="000D7288"/>
    <w:rsid w:val="000E0D15"/>
    <w:rsid w:val="000E2734"/>
    <w:rsid w:val="000E3E53"/>
    <w:rsid w:val="000F3806"/>
    <w:rsid w:val="001021EE"/>
    <w:rsid w:val="00102202"/>
    <w:rsid w:val="0011607E"/>
    <w:rsid w:val="00122D04"/>
    <w:rsid w:val="00126C11"/>
    <w:rsid w:val="00140E4D"/>
    <w:rsid w:val="00152CAF"/>
    <w:rsid w:val="00167A28"/>
    <w:rsid w:val="0017037F"/>
    <w:rsid w:val="00172A27"/>
    <w:rsid w:val="00184DE2"/>
    <w:rsid w:val="00192A67"/>
    <w:rsid w:val="00195B2A"/>
    <w:rsid w:val="001A00DF"/>
    <w:rsid w:val="001A439C"/>
    <w:rsid w:val="001A6727"/>
    <w:rsid w:val="001B0BC1"/>
    <w:rsid w:val="001B1459"/>
    <w:rsid w:val="001B1701"/>
    <w:rsid w:val="001B3264"/>
    <w:rsid w:val="001B663B"/>
    <w:rsid w:val="001C2786"/>
    <w:rsid w:val="001D74E8"/>
    <w:rsid w:val="001D76B9"/>
    <w:rsid w:val="001E1075"/>
    <w:rsid w:val="001E1FE3"/>
    <w:rsid w:val="001E5E5C"/>
    <w:rsid w:val="001E7BD1"/>
    <w:rsid w:val="001E7E49"/>
    <w:rsid w:val="001F1A79"/>
    <w:rsid w:val="001F403A"/>
    <w:rsid w:val="00205EEF"/>
    <w:rsid w:val="0021727F"/>
    <w:rsid w:val="00221202"/>
    <w:rsid w:val="002331D3"/>
    <w:rsid w:val="00244E6C"/>
    <w:rsid w:val="00247C1D"/>
    <w:rsid w:val="0025657F"/>
    <w:rsid w:val="002647A7"/>
    <w:rsid w:val="0026628D"/>
    <w:rsid w:val="00274C97"/>
    <w:rsid w:val="002766DD"/>
    <w:rsid w:val="00286154"/>
    <w:rsid w:val="002863B0"/>
    <w:rsid w:val="00287CC7"/>
    <w:rsid w:val="00290135"/>
    <w:rsid w:val="00295F6C"/>
    <w:rsid w:val="0029755A"/>
    <w:rsid w:val="002A1D16"/>
    <w:rsid w:val="002A2AC6"/>
    <w:rsid w:val="002A5E9A"/>
    <w:rsid w:val="002B0FAD"/>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28C"/>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22BC7"/>
    <w:rsid w:val="00435D6D"/>
    <w:rsid w:val="004456E2"/>
    <w:rsid w:val="00450476"/>
    <w:rsid w:val="0046364F"/>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D17"/>
    <w:rsid w:val="00572154"/>
    <w:rsid w:val="0057524D"/>
    <w:rsid w:val="00576A5F"/>
    <w:rsid w:val="005923E3"/>
    <w:rsid w:val="005B0E59"/>
    <w:rsid w:val="005B3960"/>
    <w:rsid w:val="005B7D7A"/>
    <w:rsid w:val="005C1A4E"/>
    <w:rsid w:val="005C5DB5"/>
    <w:rsid w:val="005C7704"/>
    <w:rsid w:val="005D117B"/>
    <w:rsid w:val="005D7A12"/>
    <w:rsid w:val="005E0F9E"/>
    <w:rsid w:val="005E1A4A"/>
    <w:rsid w:val="005F0772"/>
    <w:rsid w:val="005F5307"/>
    <w:rsid w:val="0060689C"/>
    <w:rsid w:val="00613B65"/>
    <w:rsid w:val="00616F2D"/>
    <w:rsid w:val="006177A7"/>
    <w:rsid w:val="00617B04"/>
    <w:rsid w:val="006258BB"/>
    <w:rsid w:val="00641FD9"/>
    <w:rsid w:val="0064781D"/>
    <w:rsid w:val="00662B94"/>
    <w:rsid w:val="006634A1"/>
    <w:rsid w:val="006657C9"/>
    <w:rsid w:val="0067149C"/>
    <w:rsid w:val="00680400"/>
    <w:rsid w:val="00681782"/>
    <w:rsid w:val="006849A6"/>
    <w:rsid w:val="00695476"/>
    <w:rsid w:val="00696FBA"/>
    <w:rsid w:val="006A0541"/>
    <w:rsid w:val="006A0DD9"/>
    <w:rsid w:val="006A5684"/>
    <w:rsid w:val="006B5114"/>
    <w:rsid w:val="006B535E"/>
    <w:rsid w:val="006C2460"/>
    <w:rsid w:val="006C5A9A"/>
    <w:rsid w:val="006D761F"/>
    <w:rsid w:val="006E169C"/>
    <w:rsid w:val="006E46DF"/>
    <w:rsid w:val="006E7F0D"/>
    <w:rsid w:val="006E7F57"/>
    <w:rsid w:val="006F1FD6"/>
    <w:rsid w:val="007027C4"/>
    <w:rsid w:val="00711C0F"/>
    <w:rsid w:val="0071294E"/>
    <w:rsid w:val="007359DA"/>
    <w:rsid w:val="00736BCC"/>
    <w:rsid w:val="00740F86"/>
    <w:rsid w:val="0074281E"/>
    <w:rsid w:val="00743051"/>
    <w:rsid w:val="007447C1"/>
    <w:rsid w:val="00754F21"/>
    <w:rsid w:val="00770871"/>
    <w:rsid w:val="0077254B"/>
    <w:rsid w:val="00792491"/>
    <w:rsid w:val="007A3A90"/>
    <w:rsid w:val="007A4E4B"/>
    <w:rsid w:val="007B5B95"/>
    <w:rsid w:val="007B5F39"/>
    <w:rsid w:val="007C08C3"/>
    <w:rsid w:val="007C2279"/>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5C44"/>
    <w:rsid w:val="008866C0"/>
    <w:rsid w:val="00895737"/>
    <w:rsid w:val="008962A7"/>
    <w:rsid w:val="008A367A"/>
    <w:rsid w:val="008B3D72"/>
    <w:rsid w:val="008C650D"/>
    <w:rsid w:val="008D379A"/>
    <w:rsid w:val="008E455E"/>
    <w:rsid w:val="008E7C81"/>
    <w:rsid w:val="008F5E34"/>
    <w:rsid w:val="008F6EFE"/>
    <w:rsid w:val="00900E76"/>
    <w:rsid w:val="009325F4"/>
    <w:rsid w:val="00934062"/>
    <w:rsid w:val="0093477B"/>
    <w:rsid w:val="00936459"/>
    <w:rsid w:val="00954CF1"/>
    <w:rsid w:val="00970225"/>
    <w:rsid w:val="00974733"/>
    <w:rsid w:val="00980469"/>
    <w:rsid w:val="00986403"/>
    <w:rsid w:val="00987EB4"/>
    <w:rsid w:val="00992950"/>
    <w:rsid w:val="009B4326"/>
    <w:rsid w:val="009B6BFE"/>
    <w:rsid w:val="009C0319"/>
    <w:rsid w:val="009C319B"/>
    <w:rsid w:val="009C3D12"/>
    <w:rsid w:val="009E3BD2"/>
    <w:rsid w:val="009E7878"/>
    <w:rsid w:val="009F0AAA"/>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972D6"/>
    <w:rsid w:val="00AB0730"/>
    <w:rsid w:val="00AC0ACE"/>
    <w:rsid w:val="00AC33EA"/>
    <w:rsid w:val="00AC5711"/>
    <w:rsid w:val="00AC7625"/>
    <w:rsid w:val="00AD6709"/>
    <w:rsid w:val="00AE1E9D"/>
    <w:rsid w:val="00AF40F8"/>
    <w:rsid w:val="00B32079"/>
    <w:rsid w:val="00B356BE"/>
    <w:rsid w:val="00B420E2"/>
    <w:rsid w:val="00B51036"/>
    <w:rsid w:val="00B530E4"/>
    <w:rsid w:val="00B657CE"/>
    <w:rsid w:val="00B71E47"/>
    <w:rsid w:val="00B73E01"/>
    <w:rsid w:val="00B76303"/>
    <w:rsid w:val="00B76DB3"/>
    <w:rsid w:val="00BB30F4"/>
    <w:rsid w:val="00BC1AB3"/>
    <w:rsid w:val="00BC3818"/>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65B1"/>
    <w:rsid w:val="00CE797B"/>
    <w:rsid w:val="00CF14E5"/>
    <w:rsid w:val="00CF2ADE"/>
    <w:rsid w:val="00D01247"/>
    <w:rsid w:val="00D101F6"/>
    <w:rsid w:val="00D17C17"/>
    <w:rsid w:val="00D33A75"/>
    <w:rsid w:val="00D427EE"/>
    <w:rsid w:val="00D47F0C"/>
    <w:rsid w:val="00D55097"/>
    <w:rsid w:val="00D574E4"/>
    <w:rsid w:val="00D576EF"/>
    <w:rsid w:val="00D60EC1"/>
    <w:rsid w:val="00D67E55"/>
    <w:rsid w:val="00D73573"/>
    <w:rsid w:val="00D90775"/>
    <w:rsid w:val="00D961C4"/>
    <w:rsid w:val="00DA4229"/>
    <w:rsid w:val="00DB5A77"/>
    <w:rsid w:val="00DC1986"/>
    <w:rsid w:val="00DC68AF"/>
    <w:rsid w:val="00DC7FB0"/>
    <w:rsid w:val="00DD0388"/>
    <w:rsid w:val="00DE2782"/>
    <w:rsid w:val="00DE7E5C"/>
    <w:rsid w:val="00DF3984"/>
    <w:rsid w:val="00E04145"/>
    <w:rsid w:val="00E07442"/>
    <w:rsid w:val="00E122B7"/>
    <w:rsid w:val="00E12838"/>
    <w:rsid w:val="00E13657"/>
    <w:rsid w:val="00E143DE"/>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46C"/>
    <w:rsid w:val="00F55CEC"/>
    <w:rsid w:val="00F57027"/>
    <w:rsid w:val="00F57524"/>
    <w:rsid w:val="00F75245"/>
    <w:rsid w:val="00F9354D"/>
    <w:rsid w:val="00F94DCB"/>
    <w:rsid w:val="00FB05DA"/>
    <w:rsid w:val="00FC12C0"/>
    <w:rsid w:val="00FC3301"/>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B36AC8"/>
    <w:rsid w:val="01F90F7C"/>
    <w:rsid w:val="02064B47"/>
    <w:rsid w:val="02092073"/>
    <w:rsid w:val="02132B87"/>
    <w:rsid w:val="02264FBE"/>
    <w:rsid w:val="022B6D52"/>
    <w:rsid w:val="023E4F05"/>
    <w:rsid w:val="026E269C"/>
    <w:rsid w:val="02701597"/>
    <w:rsid w:val="0277484A"/>
    <w:rsid w:val="02854F8C"/>
    <w:rsid w:val="0299229B"/>
    <w:rsid w:val="029C5E74"/>
    <w:rsid w:val="029D1C8E"/>
    <w:rsid w:val="02C7743A"/>
    <w:rsid w:val="02CE7259"/>
    <w:rsid w:val="02DB4DF7"/>
    <w:rsid w:val="02F8646C"/>
    <w:rsid w:val="030A0C9E"/>
    <w:rsid w:val="03205381"/>
    <w:rsid w:val="036A1C71"/>
    <w:rsid w:val="036C6C55"/>
    <w:rsid w:val="036F1D46"/>
    <w:rsid w:val="037F6424"/>
    <w:rsid w:val="03802F70"/>
    <w:rsid w:val="039614B8"/>
    <w:rsid w:val="03A62FDF"/>
    <w:rsid w:val="03AD7A96"/>
    <w:rsid w:val="03B43B3F"/>
    <w:rsid w:val="03BE46A4"/>
    <w:rsid w:val="03C25B44"/>
    <w:rsid w:val="03FA6DFF"/>
    <w:rsid w:val="04090B48"/>
    <w:rsid w:val="041378F5"/>
    <w:rsid w:val="04201F87"/>
    <w:rsid w:val="04316655"/>
    <w:rsid w:val="045D45DB"/>
    <w:rsid w:val="04601AE9"/>
    <w:rsid w:val="048F7C19"/>
    <w:rsid w:val="04922828"/>
    <w:rsid w:val="04970E19"/>
    <w:rsid w:val="04AC6CA5"/>
    <w:rsid w:val="04B351C5"/>
    <w:rsid w:val="04BF5AD0"/>
    <w:rsid w:val="04C3210C"/>
    <w:rsid w:val="04D07A99"/>
    <w:rsid w:val="04E5250D"/>
    <w:rsid w:val="04F209CD"/>
    <w:rsid w:val="051013D0"/>
    <w:rsid w:val="0517268E"/>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610A08"/>
    <w:rsid w:val="06686B0C"/>
    <w:rsid w:val="066D1D57"/>
    <w:rsid w:val="06734A01"/>
    <w:rsid w:val="068D7620"/>
    <w:rsid w:val="06926006"/>
    <w:rsid w:val="06937EB7"/>
    <w:rsid w:val="06BE30D0"/>
    <w:rsid w:val="06C63A15"/>
    <w:rsid w:val="06EF35C6"/>
    <w:rsid w:val="070D73CC"/>
    <w:rsid w:val="072653F5"/>
    <w:rsid w:val="072852D5"/>
    <w:rsid w:val="07806CC6"/>
    <w:rsid w:val="07996308"/>
    <w:rsid w:val="079B0B7D"/>
    <w:rsid w:val="079C7ECA"/>
    <w:rsid w:val="07A86445"/>
    <w:rsid w:val="07D03979"/>
    <w:rsid w:val="07E654DD"/>
    <w:rsid w:val="07EC334E"/>
    <w:rsid w:val="08061DBD"/>
    <w:rsid w:val="080B471B"/>
    <w:rsid w:val="08186ED9"/>
    <w:rsid w:val="083512EB"/>
    <w:rsid w:val="084C4C3B"/>
    <w:rsid w:val="085B6064"/>
    <w:rsid w:val="08667849"/>
    <w:rsid w:val="086F12F7"/>
    <w:rsid w:val="087D5CEF"/>
    <w:rsid w:val="08970B55"/>
    <w:rsid w:val="08B828C6"/>
    <w:rsid w:val="08D5284D"/>
    <w:rsid w:val="08D97EBA"/>
    <w:rsid w:val="08ED0768"/>
    <w:rsid w:val="090A42F6"/>
    <w:rsid w:val="090B1FA9"/>
    <w:rsid w:val="091F7003"/>
    <w:rsid w:val="094D4A2D"/>
    <w:rsid w:val="09545334"/>
    <w:rsid w:val="09583F4A"/>
    <w:rsid w:val="095F037B"/>
    <w:rsid w:val="096A27B4"/>
    <w:rsid w:val="096E6A8F"/>
    <w:rsid w:val="098B5CFE"/>
    <w:rsid w:val="099B5A1C"/>
    <w:rsid w:val="09BE6EB4"/>
    <w:rsid w:val="09E86A45"/>
    <w:rsid w:val="09EA213D"/>
    <w:rsid w:val="0A073DB5"/>
    <w:rsid w:val="0A08744C"/>
    <w:rsid w:val="0A0976BB"/>
    <w:rsid w:val="0A1608E8"/>
    <w:rsid w:val="0A1763FE"/>
    <w:rsid w:val="0A312134"/>
    <w:rsid w:val="0A3E3F88"/>
    <w:rsid w:val="0A3E7542"/>
    <w:rsid w:val="0A4D39C2"/>
    <w:rsid w:val="0A583CC6"/>
    <w:rsid w:val="0A5E3784"/>
    <w:rsid w:val="0A672A35"/>
    <w:rsid w:val="0A726026"/>
    <w:rsid w:val="0A981C9A"/>
    <w:rsid w:val="0AA72862"/>
    <w:rsid w:val="0AA74B6E"/>
    <w:rsid w:val="0ADF7AEC"/>
    <w:rsid w:val="0B167DBC"/>
    <w:rsid w:val="0B21105A"/>
    <w:rsid w:val="0B212724"/>
    <w:rsid w:val="0B2209A4"/>
    <w:rsid w:val="0B483C08"/>
    <w:rsid w:val="0B5D1A85"/>
    <w:rsid w:val="0B756EDB"/>
    <w:rsid w:val="0B834CF3"/>
    <w:rsid w:val="0B88699B"/>
    <w:rsid w:val="0B986F9F"/>
    <w:rsid w:val="0BBE458A"/>
    <w:rsid w:val="0BCF5E37"/>
    <w:rsid w:val="0BD74A5E"/>
    <w:rsid w:val="0BD928E6"/>
    <w:rsid w:val="0BDC5000"/>
    <w:rsid w:val="0BE03D2B"/>
    <w:rsid w:val="0BE92434"/>
    <w:rsid w:val="0C090444"/>
    <w:rsid w:val="0C1D7DEF"/>
    <w:rsid w:val="0C2413F5"/>
    <w:rsid w:val="0C2C1105"/>
    <w:rsid w:val="0C3E270B"/>
    <w:rsid w:val="0C4B1E57"/>
    <w:rsid w:val="0C4E254D"/>
    <w:rsid w:val="0C545F5A"/>
    <w:rsid w:val="0C567D9E"/>
    <w:rsid w:val="0C606202"/>
    <w:rsid w:val="0C662702"/>
    <w:rsid w:val="0C7F3BFC"/>
    <w:rsid w:val="0C806426"/>
    <w:rsid w:val="0C8949E4"/>
    <w:rsid w:val="0C997EBB"/>
    <w:rsid w:val="0CB6728F"/>
    <w:rsid w:val="0CBF0BBE"/>
    <w:rsid w:val="0CC31335"/>
    <w:rsid w:val="0CC455C5"/>
    <w:rsid w:val="0CE32B9C"/>
    <w:rsid w:val="0CF14B0E"/>
    <w:rsid w:val="0CF5585C"/>
    <w:rsid w:val="0CFB6A75"/>
    <w:rsid w:val="0CFD25BD"/>
    <w:rsid w:val="0D162709"/>
    <w:rsid w:val="0D1E35E2"/>
    <w:rsid w:val="0D24297B"/>
    <w:rsid w:val="0D34678D"/>
    <w:rsid w:val="0D390396"/>
    <w:rsid w:val="0D3A39B1"/>
    <w:rsid w:val="0D4A02A6"/>
    <w:rsid w:val="0D4D794B"/>
    <w:rsid w:val="0D4F1296"/>
    <w:rsid w:val="0D607508"/>
    <w:rsid w:val="0D867AAC"/>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25DBF"/>
    <w:rsid w:val="0E9A15CB"/>
    <w:rsid w:val="0E9C201E"/>
    <w:rsid w:val="0EA727EB"/>
    <w:rsid w:val="0ECD2FCD"/>
    <w:rsid w:val="0EE26BE2"/>
    <w:rsid w:val="0F0E18EA"/>
    <w:rsid w:val="0F0F3153"/>
    <w:rsid w:val="0F4D0852"/>
    <w:rsid w:val="0F784044"/>
    <w:rsid w:val="0F823D5D"/>
    <w:rsid w:val="0F862A78"/>
    <w:rsid w:val="0F9937DA"/>
    <w:rsid w:val="0FA029A3"/>
    <w:rsid w:val="0FAB24D3"/>
    <w:rsid w:val="0FC00610"/>
    <w:rsid w:val="0FD878BA"/>
    <w:rsid w:val="0FE973CA"/>
    <w:rsid w:val="10005F5F"/>
    <w:rsid w:val="10063AFE"/>
    <w:rsid w:val="100B449D"/>
    <w:rsid w:val="104B4EC7"/>
    <w:rsid w:val="105356D7"/>
    <w:rsid w:val="106252FB"/>
    <w:rsid w:val="107E5C87"/>
    <w:rsid w:val="108B226C"/>
    <w:rsid w:val="108E6DDE"/>
    <w:rsid w:val="109827F5"/>
    <w:rsid w:val="109F1BB1"/>
    <w:rsid w:val="10B152EF"/>
    <w:rsid w:val="10D20FA3"/>
    <w:rsid w:val="10D54BEF"/>
    <w:rsid w:val="10D657C4"/>
    <w:rsid w:val="10FA43D2"/>
    <w:rsid w:val="10FC4914"/>
    <w:rsid w:val="10FD3277"/>
    <w:rsid w:val="112377D4"/>
    <w:rsid w:val="112F26C0"/>
    <w:rsid w:val="11301FEB"/>
    <w:rsid w:val="113E52CA"/>
    <w:rsid w:val="114215F5"/>
    <w:rsid w:val="114542EA"/>
    <w:rsid w:val="1149117E"/>
    <w:rsid w:val="116B59DD"/>
    <w:rsid w:val="117C761C"/>
    <w:rsid w:val="11A56A4F"/>
    <w:rsid w:val="11AF7455"/>
    <w:rsid w:val="11B361D3"/>
    <w:rsid w:val="11CF66B5"/>
    <w:rsid w:val="11D83639"/>
    <w:rsid w:val="11E362D1"/>
    <w:rsid w:val="11E63FFF"/>
    <w:rsid w:val="11E75F2F"/>
    <w:rsid w:val="11FB7CE2"/>
    <w:rsid w:val="12137217"/>
    <w:rsid w:val="121E0F14"/>
    <w:rsid w:val="122D6C41"/>
    <w:rsid w:val="12415950"/>
    <w:rsid w:val="12440EBB"/>
    <w:rsid w:val="124A1C36"/>
    <w:rsid w:val="12650308"/>
    <w:rsid w:val="126E66D8"/>
    <w:rsid w:val="12766F68"/>
    <w:rsid w:val="12784E55"/>
    <w:rsid w:val="128A78E8"/>
    <w:rsid w:val="128C33F4"/>
    <w:rsid w:val="1295409B"/>
    <w:rsid w:val="12993806"/>
    <w:rsid w:val="12BA218D"/>
    <w:rsid w:val="12BB4574"/>
    <w:rsid w:val="12CB0E85"/>
    <w:rsid w:val="12CB2C15"/>
    <w:rsid w:val="12CB3E6D"/>
    <w:rsid w:val="12E40295"/>
    <w:rsid w:val="12F855E8"/>
    <w:rsid w:val="12FB01C6"/>
    <w:rsid w:val="13063EC1"/>
    <w:rsid w:val="1309415A"/>
    <w:rsid w:val="132C0F0F"/>
    <w:rsid w:val="13336A4D"/>
    <w:rsid w:val="13365AD3"/>
    <w:rsid w:val="133F5E2F"/>
    <w:rsid w:val="13451BDF"/>
    <w:rsid w:val="13487675"/>
    <w:rsid w:val="134E7BFD"/>
    <w:rsid w:val="135A1DCA"/>
    <w:rsid w:val="13783B8A"/>
    <w:rsid w:val="137F4EEC"/>
    <w:rsid w:val="138D11BC"/>
    <w:rsid w:val="13972080"/>
    <w:rsid w:val="139D2FCC"/>
    <w:rsid w:val="13A05A9F"/>
    <w:rsid w:val="13AB6434"/>
    <w:rsid w:val="13BC75DB"/>
    <w:rsid w:val="13C62E93"/>
    <w:rsid w:val="13C96DAF"/>
    <w:rsid w:val="13D84C83"/>
    <w:rsid w:val="13DA623E"/>
    <w:rsid w:val="13F54EEA"/>
    <w:rsid w:val="14190D0A"/>
    <w:rsid w:val="14253493"/>
    <w:rsid w:val="1441058C"/>
    <w:rsid w:val="1443330C"/>
    <w:rsid w:val="14565420"/>
    <w:rsid w:val="145E0E2B"/>
    <w:rsid w:val="14663755"/>
    <w:rsid w:val="14A91413"/>
    <w:rsid w:val="14B53C19"/>
    <w:rsid w:val="14B629C7"/>
    <w:rsid w:val="14E26901"/>
    <w:rsid w:val="14E4368B"/>
    <w:rsid w:val="14E72B42"/>
    <w:rsid w:val="15125E09"/>
    <w:rsid w:val="15171436"/>
    <w:rsid w:val="15265BC4"/>
    <w:rsid w:val="15285578"/>
    <w:rsid w:val="15550B09"/>
    <w:rsid w:val="155550C1"/>
    <w:rsid w:val="156234AA"/>
    <w:rsid w:val="156E26BA"/>
    <w:rsid w:val="157509B7"/>
    <w:rsid w:val="1588419E"/>
    <w:rsid w:val="158D108E"/>
    <w:rsid w:val="15BE498C"/>
    <w:rsid w:val="15C5644B"/>
    <w:rsid w:val="15C56451"/>
    <w:rsid w:val="15C8772A"/>
    <w:rsid w:val="15ED5C46"/>
    <w:rsid w:val="160D697A"/>
    <w:rsid w:val="16162C58"/>
    <w:rsid w:val="1654287F"/>
    <w:rsid w:val="166B3507"/>
    <w:rsid w:val="166F313A"/>
    <w:rsid w:val="167D7743"/>
    <w:rsid w:val="16897B21"/>
    <w:rsid w:val="169754A7"/>
    <w:rsid w:val="16A5117D"/>
    <w:rsid w:val="16AA0B6A"/>
    <w:rsid w:val="16B25E6D"/>
    <w:rsid w:val="16BF6BE7"/>
    <w:rsid w:val="16DB3ACD"/>
    <w:rsid w:val="16E63F78"/>
    <w:rsid w:val="16F17C9B"/>
    <w:rsid w:val="172072CE"/>
    <w:rsid w:val="17411B66"/>
    <w:rsid w:val="17447531"/>
    <w:rsid w:val="17464982"/>
    <w:rsid w:val="17536E6E"/>
    <w:rsid w:val="17563FF8"/>
    <w:rsid w:val="177D7BBD"/>
    <w:rsid w:val="17821F33"/>
    <w:rsid w:val="178A477B"/>
    <w:rsid w:val="17907B2D"/>
    <w:rsid w:val="17B351C8"/>
    <w:rsid w:val="17CE0395"/>
    <w:rsid w:val="17E751D5"/>
    <w:rsid w:val="17F976EF"/>
    <w:rsid w:val="17FD76AA"/>
    <w:rsid w:val="18024DF1"/>
    <w:rsid w:val="180B3DC5"/>
    <w:rsid w:val="18170899"/>
    <w:rsid w:val="1818392A"/>
    <w:rsid w:val="182D3C78"/>
    <w:rsid w:val="18444CBC"/>
    <w:rsid w:val="18603535"/>
    <w:rsid w:val="18656CB7"/>
    <w:rsid w:val="1867206B"/>
    <w:rsid w:val="186A63EF"/>
    <w:rsid w:val="186C201D"/>
    <w:rsid w:val="186E1A30"/>
    <w:rsid w:val="187152F8"/>
    <w:rsid w:val="18740800"/>
    <w:rsid w:val="18870D4A"/>
    <w:rsid w:val="188B1530"/>
    <w:rsid w:val="18921717"/>
    <w:rsid w:val="18A32A18"/>
    <w:rsid w:val="18D93BE5"/>
    <w:rsid w:val="18E02502"/>
    <w:rsid w:val="18FA490E"/>
    <w:rsid w:val="18FD5545"/>
    <w:rsid w:val="191078BE"/>
    <w:rsid w:val="191346B2"/>
    <w:rsid w:val="19275568"/>
    <w:rsid w:val="192F739D"/>
    <w:rsid w:val="19366E96"/>
    <w:rsid w:val="193D5954"/>
    <w:rsid w:val="193E78A0"/>
    <w:rsid w:val="194C04D8"/>
    <w:rsid w:val="19556FF9"/>
    <w:rsid w:val="195948F7"/>
    <w:rsid w:val="195E0E17"/>
    <w:rsid w:val="1971204D"/>
    <w:rsid w:val="19805D37"/>
    <w:rsid w:val="19C639D9"/>
    <w:rsid w:val="19C82216"/>
    <w:rsid w:val="19CA4AD8"/>
    <w:rsid w:val="19D45248"/>
    <w:rsid w:val="1A105E9F"/>
    <w:rsid w:val="1A1C6F29"/>
    <w:rsid w:val="1A324F2D"/>
    <w:rsid w:val="1A407579"/>
    <w:rsid w:val="1A462475"/>
    <w:rsid w:val="1A710808"/>
    <w:rsid w:val="1A745370"/>
    <w:rsid w:val="1A7A0EF6"/>
    <w:rsid w:val="1A8B389F"/>
    <w:rsid w:val="1A951631"/>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82F7D"/>
    <w:rsid w:val="1B99695D"/>
    <w:rsid w:val="1BA47A56"/>
    <w:rsid w:val="1BA47C58"/>
    <w:rsid w:val="1BB80F43"/>
    <w:rsid w:val="1BC170B5"/>
    <w:rsid w:val="1BC35954"/>
    <w:rsid w:val="1BC85289"/>
    <w:rsid w:val="1BD21379"/>
    <w:rsid w:val="1BDB5F9B"/>
    <w:rsid w:val="1BDC34D1"/>
    <w:rsid w:val="1BE64759"/>
    <w:rsid w:val="1BE84701"/>
    <w:rsid w:val="1BEC1D27"/>
    <w:rsid w:val="1BF010E9"/>
    <w:rsid w:val="1BF02765"/>
    <w:rsid w:val="1BF0529D"/>
    <w:rsid w:val="1C2E159D"/>
    <w:rsid w:val="1C326500"/>
    <w:rsid w:val="1C396D39"/>
    <w:rsid w:val="1C550846"/>
    <w:rsid w:val="1C60680C"/>
    <w:rsid w:val="1C63114B"/>
    <w:rsid w:val="1C662D65"/>
    <w:rsid w:val="1C6C08F4"/>
    <w:rsid w:val="1C763C77"/>
    <w:rsid w:val="1C7E1815"/>
    <w:rsid w:val="1C9B7F2C"/>
    <w:rsid w:val="1CC22D92"/>
    <w:rsid w:val="1CC31868"/>
    <w:rsid w:val="1CCF7EFB"/>
    <w:rsid w:val="1CD54AE5"/>
    <w:rsid w:val="1CEF4C58"/>
    <w:rsid w:val="1CF71C0F"/>
    <w:rsid w:val="1D1A5AAC"/>
    <w:rsid w:val="1D2073F3"/>
    <w:rsid w:val="1D385997"/>
    <w:rsid w:val="1D6A0633"/>
    <w:rsid w:val="1D6B0D1C"/>
    <w:rsid w:val="1D714633"/>
    <w:rsid w:val="1D717C32"/>
    <w:rsid w:val="1D8E77C6"/>
    <w:rsid w:val="1D9E1ACD"/>
    <w:rsid w:val="1DAB55D4"/>
    <w:rsid w:val="1DB7132F"/>
    <w:rsid w:val="1DB74394"/>
    <w:rsid w:val="1DC62EA8"/>
    <w:rsid w:val="1DD4019E"/>
    <w:rsid w:val="1DF223D6"/>
    <w:rsid w:val="1DF636F7"/>
    <w:rsid w:val="1DF84414"/>
    <w:rsid w:val="1DF97E9A"/>
    <w:rsid w:val="1E106418"/>
    <w:rsid w:val="1E1438E8"/>
    <w:rsid w:val="1E1A49CB"/>
    <w:rsid w:val="1E213710"/>
    <w:rsid w:val="1E240C9D"/>
    <w:rsid w:val="1E2801FF"/>
    <w:rsid w:val="1E597123"/>
    <w:rsid w:val="1E635C85"/>
    <w:rsid w:val="1E6D42C6"/>
    <w:rsid w:val="1E6E1C3C"/>
    <w:rsid w:val="1E8B416A"/>
    <w:rsid w:val="1EAF03E7"/>
    <w:rsid w:val="1EB113F6"/>
    <w:rsid w:val="1EB12D5B"/>
    <w:rsid w:val="1EB15DEE"/>
    <w:rsid w:val="1ECA20B1"/>
    <w:rsid w:val="1ECA48AD"/>
    <w:rsid w:val="1EF350E8"/>
    <w:rsid w:val="1EFD2C6E"/>
    <w:rsid w:val="1F011883"/>
    <w:rsid w:val="1F014635"/>
    <w:rsid w:val="1F090840"/>
    <w:rsid w:val="1F0E75BF"/>
    <w:rsid w:val="1F177E2D"/>
    <w:rsid w:val="1F2540E6"/>
    <w:rsid w:val="1F3609F3"/>
    <w:rsid w:val="1F733EF9"/>
    <w:rsid w:val="1F7E0B62"/>
    <w:rsid w:val="1F8C1AB1"/>
    <w:rsid w:val="1FB737DB"/>
    <w:rsid w:val="1FB818B3"/>
    <w:rsid w:val="1FC13F05"/>
    <w:rsid w:val="1FC4124F"/>
    <w:rsid w:val="1FC4129F"/>
    <w:rsid w:val="1FC87E17"/>
    <w:rsid w:val="1FCB10F3"/>
    <w:rsid w:val="1FEA26D0"/>
    <w:rsid w:val="1FF44E35"/>
    <w:rsid w:val="1FFC0CD6"/>
    <w:rsid w:val="20173E41"/>
    <w:rsid w:val="20477762"/>
    <w:rsid w:val="204E6680"/>
    <w:rsid w:val="205D49DE"/>
    <w:rsid w:val="20673EC4"/>
    <w:rsid w:val="20687A04"/>
    <w:rsid w:val="206E1703"/>
    <w:rsid w:val="207B2691"/>
    <w:rsid w:val="207D08E0"/>
    <w:rsid w:val="207E1154"/>
    <w:rsid w:val="208B64ED"/>
    <w:rsid w:val="20BD2B9D"/>
    <w:rsid w:val="20C47E79"/>
    <w:rsid w:val="20F40677"/>
    <w:rsid w:val="20FF648C"/>
    <w:rsid w:val="211D538B"/>
    <w:rsid w:val="21342DE2"/>
    <w:rsid w:val="214D7F75"/>
    <w:rsid w:val="21692402"/>
    <w:rsid w:val="218B4186"/>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791318"/>
    <w:rsid w:val="228826E5"/>
    <w:rsid w:val="22AF0896"/>
    <w:rsid w:val="22C17C41"/>
    <w:rsid w:val="22CC31F6"/>
    <w:rsid w:val="22DC1101"/>
    <w:rsid w:val="22DD2076"/>
    <w:rsid w:val="22E26D93"/>
    <w:rsid w:val="22FC5224"/>
    <w:rsid w:val="23536B7C"/>
    <w:rsid w:val="237760FE"/>
    <w:rsid w:val="23937A1B"/>
    <w:rsid w:val="23A31B76"/>
    <w:rsid w:val="23AF484A"/>
    <w:rsid w:val="23B91130"/>
    <w:rsid w:val="23CD6F18"/>
    <w:rsid w:val="23E303FA"/>
    <w:rsid w:val="23F33D54"/>
    <w:rsid w:val="23F34FB7"/>
    <w:rsid w:val="23FB1111"/>
    <w:rsid w:val="24184EC9"/>
    <w:rsid w:val="2423604A"/>
    <w:rsid w:val="24292561"/>
    <w:rsid w:val="24373F6D"/>
    <w:rsid w:val="2448484C"/>
    <w:rsid w:val="24575A93"/>
    <w:rsid w:val="24673185"/>
    <w:rsid w:val="248255ED"/>
    <w:rsid w:val="248B56E2"/>
    <w:rsid w:val="24A32C9D"/>
    <w:rsid w:val="24BE2F37"/>
    <w:rsid w:val="24E47ADD"/>
    <w:rsid w:val="24F50FAE"/>
    <w:rsid w:val="25030742"/>
    <w:rsid w:val="250A771D"/>
    <w:rsid w:val="251E7700"/>
    <w:rsid w:val="25211D54"/>
    <w:rsid w:val="252614C9"/>
    <w:rsid w:val="252826CC"/>
    <w:rsid w:val="252D3C08"/>
    <w:rsid w:val="252E1698"/>
    <w:rsid w:val="25326A1A"/>
    <w:rsid w:val="25453397"/>
    <w:rsid w:val="25574B16"/>
    <w:rsid w:val="255F7AD2"/>
    <w:rsid w:val="256D4FBD"/>
    <w:rsid w:val="257E226E"/>
    <w:rsid w:val="259127F9"/>
    <w:rsid w:val="25960536"/>
    <w:rsid w:val="259D3142"/>
    <w:rsid w:val="25D57A32"/>
    <w:rsid w:val="25F211DB"/>
    <w:rsid w:val="25F520CF"/>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CC079E"/>
    <w:rsid w:val="26CE57C1"/>
    <w:rsid w:val="26D10F7F"/>
    <w:rsid w:val="26D1505D"/>
    <w:rsid w:val="26E15169"/>
    <w:rsid w:val="26EB3E67"/>
    <w:rsid w:val="26F267D1"/>
    <w:rsid w:val="270C7E7B"/>
    <w:rsid w:val="27180E6A"/>
    <w:rsid w:val="271E393C"/>
    <w:rsid w:val="2727416B"/>
    <w:rsid w:val="272D4984"/>
    <w:rsid w:val="27581696"/>
    <w:rsid w:val="276B26C0"/>
    <w:rsid w:val="276B4823"/>
    <w:rsid w:val="278F4995"/>
    <w:rsid w:val="278F7628"/>
    <w:rsid w:val="279D08CA"/>
    <w:rsid w:val="27A872D6"/>
    <w:rsid w:val="27B92311"/>
    <w:rsid w:val="27CE4C4F"/>
    <w:rsid w:val="27DA4B52"/>
    <w:rsid w:val="27DA6390"/>
    <w:rsid w:val="27E50D7B"/>
    <w:rsid w:val="27EA37A1"/>
    <w:rsid w:val="27F513D0"/>
    <w:rsid w:val="281D1842"/>
    <w:rsid w:val="28223089"/>
    <w:rsid w:val="28515969"/>
    <w:rsid w:val="28556900"/>
    <w:rsid w:val="287C52A9"/>
    <w:rsid w:val="287F71CF"/>
    <w:rsid w:val="28831658"/>
    <w:rsid w:val="289711B8"/>
    <w:rsid w:val="289E5635"/>
    <w:rsid w:val="28AA44A4"/>
    <w:rsid w:val="28B34564"/>
    <w:rsid w:val="28C246A0"/>
    <w:rsid w:val="28DB07EC"/>
    <w:rsid w:val="28DC7E81"/>
    <w:rsid w:val="28FA13D4"/>
    <w:rsid w:val="2909076A"/>
    <w:rsid w:val="29184803"/>
    <w:rsid w:val="294409BC"/>
    <w:rsid w:val="2964062C"/>
    <w:rsid w:val="29686931"/>
    <w:rsid w:val="29690D96"/>
    <w:rsid w:val="296C70A0"/>
    <w:rsid w:val="29712816"/>
    <w:rsid w:val="29746DFF"/>
    <w:rsid w:val="29783FB6"/>
    <w:rsid w:val="298076E2"/>
    <w:rsid w:val="29911DBB"/>
    <w:rsid w:val="299D5957"/>
    <w:rsid w:val="29B46D85"/>
    <w:rsid w:val="29C9235D"/>
    <w:rsid w:val="29CA3422"/>
    <w:rsid w:val="29DC316A"/>
    <w:rsid w:val="29E94C34"/>
    <w:rsid w:val="29F20DAE"/>
    <w:rsid w:val="29FB48F8"/>
    <w:rsid w:val="2A032E56"/>
    <w:rsid w:val="2A0D32E4"/>
    <w:rsid w:val="2A180002"/>
    <w:rsid w:val="2A4A0382"/>
    <w:rsid w:val="2A4B34A7"/>
    <w:rsid w:val="2A604683"/>
    <w:rsid w:val="2A641987"/>
    <w:rsid w:val="2A6F19DD"/>
    <w:rsid w:val="2A745AF1"/>
    <w:rsid w:val="2AA02867"/>
    <w:rsid w:val="2AB357E7"/>
    <w:rsid w:val="2ACD0A6A"/>
    <w:rsid w:val="2AF76423"/>
    <w:rsid w:val="2B0747FE"/>
    <w:rsid w:val="2B096C7A"/>
    <w:rsid w:val="2B0F15B2"/>
    <w:rsid w:val="2B1431BE"/>
    <w:rsid w:val="2B1C33CA"/>
    <w:rsid w:val="2B2144A5"/>
    <w:rsid w:val="2B2A3AC8"/>
    <w:rsid w:val="2B2D17EA"/>
    <w:rsid w:val="2B2D488A"/>
    <w:rsid w:val="2B3167F0"/>
    <w:rsid w:val="2B395A62"/>
    <w:rsid w:val="2B421606"/>
    <w:rsid w:val="2B467033"/>
    <w:rsid w:val="2B63494F"/>
    <w:rsid w:val="2B6E40C9"/>
    <w:rsid w:val="2B93610E"/>
    <w:rsid w:val="2B9F615B"/>
    <w:rsid w:val="2BB23B01"/>
    <w:rsid w:val="2BC206A6"/>
    <w:rsid w:val="2BC22732"/>
    <w:rsid w:val="2BC537D3"/>
    <w:rsid w:val="2BE212BA"/>
    <w:rsid w:val="2BE43FF8"/>
    <w:rsid w:val="2BF64BF9"/>
    <w:rsid w:val="2C006AC9"/>
    <w:rsid w:val="2C1C5425"/>
    <w:rsid w:val="2C394BC1"/>
    <w:rsid w:val="2C485018"/>
    <w:rsid w:val="2C594A5D"/>
    <w:rsid w:val="2C624667"/>
    <w:rsid w:val="2C900FC5"/>
    <w:rsid w:val="2CA07757"/>
    <w:rsid w:val="2CA203EC"/>
    <w:rsid w:val="2CAC46BC"/>
    <w:rsid w:val="2CC9536F"/>
    <w:rsid w:val="2CD32354"/>
    <w:rsid w:val="2CF617E0"/>
    <w:rsid w:val="2D097EFF"/>
    <w:rsid w:val="2D140951"/>
    <w:rsid w:val="2D1F08A9"/>
    <w:rsid w:val="2D341634"/>
    <w:rsid w:val="2D354A38"/>
    <w:rsid w:val="2D5807DA"/>
    <w:rsid w:val="2D59741D"/>
    <w:rsid w:val="2D61222D"/>
    <w:rsid w:val="2D6A3083"/>
    <w:rsid w:val="2D767628"/>
    <w:rsid w:val="2DB0725B"/>
    <w:rsid w:val="2DBB723B"/>
    <w:rsid w:val="2DC37DF1"/>
    <w:rsid w:val="2DD560C3"/>
    <w:rsid w:val="2DDD4AFC"/>
    <w:rsid w:val="2DE43DE4"/>
    <w:rsid w:val="2DE72CC0"/>
    <w:rsid w:val="2E0C0859"/>
    <w:rsid w:val="2E0D173F"/>
    <w:rsid w:val="2E825B76"/>
    <w:rsid w:val="2EB433C6"/>
    <w:rsid w:val="2ECB5D09"/>
    <w:rsid w:val="2EEC509E"/>
    <w:rsid w:val="2EF57EBC"/>
    <w:rsid w:val="2F0036B2"/>
    <w:rsid w:val="2F0B25ED"/>
    <w:rsid w:val="2F1404BB"/>
    <w:rsid w:val="2F306712"/>
    <w:rsid w:val="2F347BE9"/>
    <w:rsid w:val="2F4A1FBC"/>
    <w:rsid w:val="2F76344E"/>
    <w:rsid w:val="2F8932A3"/>
    <w:rsid w:val="2F984ABB"/>
    <w:rsid w:val="2F9F0039"/>
    <w:rsid w:val="2FA74539"/>
    <w:rsid w:val="2FB154F2"/>
    <w:rsid w:val="2FCD489F"/>
    <w:rsid w:val="2FD91952"/>
    <w:rsid w:val="2FE32412"/>
    <w:rsid w:val="2FFB1CEA"/>
    <w:rsid w:val="30237284"/>
    <w:rsid w:val="30323073"/>
    <w:rsid w:val="30346EAA"/>
    <w:rsid w:val="30561692"/>
    <w:rsid w:val="305956BF"/>
    <w:rsid w:val="305D7F24"/>
    <w:rsid w:val="306E03FB"/>
    <w:rsid w:val="307D7DB5"/>
    <w:rsid w:val="30875E2A"/>
    <w:rsid w:val="308834B3"/>
    <w:rsid w:val="308A1A0F"/>
    <w:rsid w:val="309218B2"/>
    <w:rsid w:val="30981D92"/>
    <w:rsid w:val="309B6B2B"/>
    <w:rsid w:val="30AA13BF"/>
    <w:rsid w:val="30B22DCE"/>
    <w:rsid w:val="30C20FF2"/>
    <w:rsid w:val="30CA54D9"/>
    <w:rsid w:val="30D67A57"/>
    <w:rsid w:val="30EF353D"/>
    <w:rsid w:val="30F10891"/>
    <w:rsid w:val="30F13338"/>
    <w:rsid w:val="310C4A4C"/>
    <w:rsid w:val="311444A1"/>
    <w:rsid w:val="31195802"/>
    <w:rsid w:val="314F19DE"/>
    <w:rsid w:val="315757AE"/>
    <w:rsid w:val="316F187C"/>
    <w:rsid w:val="31742E4E"/>
    <w:rsid w:val="31892206"/>
    <w:rsid w:val="31926D16"/>
    <w:rsid w:val="31974ED2"/>
    <w:rsid w:val="31A1306B"/>
    <w:rsid w:val="31AA13C8"/>
    <w:rsid w:val="31B242B9"/>
    <w:rsid w:val="31DF6482"/>
    <w:rsid w:val="32000348"/>
    <w:rsid w:val="320423B2"/>
    <w:rsid w:val="320A4F8C"/>
    <w:rsid w:val="321B594D"/>
    <w:rsid w:val="32396CA7"/>
    <w:rsid w:val="32406CFD"/>
    <w:rsid w:val="324E226E"/>
    <w:rsid w:val="326B1A60"/>
    <w:rsid w:val="327B0EE3"/>
    <w:rsid w:val="327C3FDE"/>
    <w:rsid w:val="32842723"/>
    <w:rsid w:val="32847F41"/>
    <w:rsid w:val="32B15F25"/>
    <w:rsid w:val="32B82304"/>
    <w:rsid w:val="32B871AC"/>
    <w:rsid w:val="32C57B5B"/>
    <w:rsid w:val="32CB3041"/>
    <w:rsid w:val="32D4454C"/>
    <w:rsid w:val="32DF0D23"/>
    <w:rsid w:val="32F341BB"/>
    <w:rsid w:val="32FE6DB5"/>
    <w:rsid w:val="32FF588D"/>
    <w:rsid w:val="330A5D26"/>
    <w:rsid w:val="3341058C"/>
    <w:rsid w:val="33434A04"/>
    <w:rsid w:val="335C0F0C"/>
    <w:rsid w:val="33600B95"/>
    <w:rsid w:val="338F5AA2"/>
    <w:rsid w:val="33CA38C0"/>
    <w:rsid w:val="33DC601A"/>
    <w:rsid w:val="33F62CD1"/>
    <w:rsid w:val="33FE76D9"/>
    <w:rsid w:val="3404140F"/>
    <w:rsid w:val="34051C95"/>
    <w:rsid w:val="342B427E"/>
    <w:rsid w:val="344A3B15"/>
    <w:rsid w:val="344A5CAF"/>
    <w:rsid w:val="344D559D"/>
    <w:rsid w:val="34627E84"/>
    <w:rsid w:val="346678FC"/>
    <w:rsid w:val="34700CE5"/>
    <w:rsid w:val="34724319"/>
    <w:rsid w:val="34761B3D"/>
    <w:rsid w:val="34B70E92"/>
    <w:rsid w:val="34BC38A3"/>
    <w:rsid w:val="34BC47EE"/>
    <w:rsid w:val="34D33456"/>
    <w:rsid w:val="34E40873"/>
    <w:rsid w:val="34ED2EF3"/>
    <w:rsid w:val="34FB6280"/>
    <w:rsid w:val="35096656"/>
    <w:rsid w:val="35125BC0"/>
    <w:rsid w:val="351274ED"/>
    <w:rsid w:val="3527091F"/>
    <w:rsid w:val="35413CA8"/>
    <w:rsid w:val="35523A36"/>
    <w:rsid w:val="35552533"/>
    <w:rsid w:val="355C608F"/>
    <w:rsid w:val="3561650A"/>
    <w:rsid w:val="35884C5D"/>
    <w:rsid w:val="358B16A6"/>
    <w:rsid w:val="359114B6"/>
    <w:rsid w:val="35BD3C4A"/>
    <w:rsid w:val="35C46049"/>
    <w:rsid w:val="35DA1085"/>
    <w:rsid w:val="35F8503E"/>
    <w:rsid w:val="36065048"/>
    <w:rsid w:val="360E3D96"/>
    <w:rsid w:val="360F3340"/>
    <w:rsid w:val="36100B60"/>
    <w:rsid w:val="36180E6A"/>
    <w:rsid w:val="363A6CD2"/>
    <w:rsid w:val="36504388"/>
    <w:rsid w:val="36525CB0"/>
    <w:rsid w:val="366F798B"/>
    <w:rsid w:val="36845E45"/>
    <w:rsid w:val="36860188"/>
    <w:rsid w:val="3687528F"/>
    <w:rsid w:val="369E1856"/>
    <w:rsid w:val="369F5F8F"/>
    <w:rsid w:val="36AB53A8"/>
    <w:rsid w:val="36BF7024"/>
    <w:rsid w:val="36CB2A00"/>
    <w:rsid w:val="36D71B6D"/>
    <w:rsid w:val="36D72354"/>
    <w:rsid w:val="36D954F0"/>
    <w:rsid w:val="36DB3646"/>
    <w:rsid w:val="370666E5"/>
    <w:rsid w:val="370C60A4"/>
    <w:rsid w:val="370F5BFD"/>
    <w:rsid w:val="371B6273"/>
    <w:rsid w:val="37323C4D"/>
    <w:rsid w:val="374375AF"/>
    <w:rsid w:val="374E58D6"/>
    <w:rsid w:val="376B6B46"/>
    <w:rsid w:val="377B22EA"/>
    <w:rsid w:val="37801AA2"/>
    <w:rsid w:val="3782361C"/>
    <w:rsid w:val="3797682D"/>
    <w:rsid w:val="37B70D55"/>
    <w:rsid w:val="37B91CA7"/>
    <w:rsid w:val="37E234BF"/>
    <w:rsid w:val="380C7B3D"/>
    <w:rsid w:val="381730CC"/>
    <w:rsid w:val="383A131B"/>
    <w:rsid w:val="3849652C"/>
    <w:rsid w:val="385C1B20"/>
    <w:rsid w:val="385F1A9D"/>
    <w:rsid w:val="38645417"/>
    <w:rsid w:val="3866177B"/>
    <w:rsid w:val="386B0171"/>
    <w:rsid w:val="387979F1"/>
    <w:rsid w:val="387C2795"/>
    <w:rsid w:val="38881EBB"/>
    <w:rsid w:val="388A7983"/>
    <w:rsid w:val="38942AAD"/>
    <w:rsid w:val="389712F2"/>
    <w:rsid w:val="38BC5D6B"/>
    <w:rsid w:val="38C63D66"/>
    <w:rsid w:val="38CA4FC5"/>
    <w:rsid w:val="38D26913"/>
    <w:rsid w:val="38D46E50"/>
    <w:rsid w:val="38D93327"/>
    <w:rsid w:val="38E21DE2"/>
    <w:rsid w:val="39215CC3"/>
    <w:rsid w:val="3935437F"/>
    <w:rsid w:val="393973DB"/>
    <w:rsid w:val="395550D1"/>
    <w:rsid w:val="395E7CE7"/>
    <w:rsid w:val="398630C2"/>
    <w:rsid w:val="399805D2"/>
    <w:rsid w:val="39A03524"/>
    <w:rsid w:val="39B32851"/>
    <w:rsid w:val="39B611DA"/>
    <w:rsid w:val="39BB476A"/>
    <w:rsid w:val="39C70DF7"/>
    <w:rsid w:val="39CD7D12"/>
    <w:rsid w:val="39DC07CC"/>
    <w:rsid w:val="39E21628"/>
    <w:rsid w:val="39E901AB"/>
    <w:rsid w:val="39E91C6F"/>
    <w:rsid w:val="39F74BA5"/>
    <w:rsid w:val="39FD40D4"/>
    <w:rsid w:val="3A0462CC"/>
    <w:rsid w:val="3A167BEC"/>
    <w:rsid w:val="3A1B3636"/>
    <w:rsid w:val="3A2959B1"/>
    <w:rsid w:val="3A466C85"/>
    <w:rsid w:val="3A5A0E59"/>
    <w:rsid w:val="3A8D3267"/>
    <w:rsid w:val="3A8E4793"/>
    <w:rsid w:val="3AB2321F"/>
    <w:rsid w:val="3AB32333"/>
    <w:rsid w:val="3ABB31FD"/>
    <w:rsid w:val="3ACC6A5F"/>
    <w:rsid w:val="3AD07C99"/>
    <w:rsid w:val="3AD30754"/>
    <w:rsid w:val="3AE267C9"/>
    <w:rsid w:val="3AE42D07"/>
    <w:rsid w:val="3AE6242C"/>
    <w:rsid w:val="3AF67989"/>
    <w:rsid w:val="3B0F5D78"/>
    <w:rsid w:val="3B291F18"/>
    <w:rsid w:val="3B35149A"/>
    <w:rsid w:val="3B3C308E"/>
    <w:rsid w:val="3B4F12B2"/>
    <w:rsid w:val="3B730A2C"/>
    <w:rsid w:val="3B8D15A9"/>
    <w:rsid w:val="3BBD3970"/>
    <w:rsid w:val="3BD13837"/>
    <w:rsid w:val="3BD43349"/>
    <w:rsid w:val="3C0A04BB"/>
    <w:rsid w:val="3C1134A9"/>
    <w:rsid w:val="3C1278E0"/>
    <w:rsid w:val="3C2B2044"/>
    <w:rsid w:val="3C555015"/>
    <w:rsid w:val="3C583D72"/>
    <w:rsid w:val="3C6524E5"/>
    <w:rsid w:val="3C68164D"/>
    <w:rsid w:val="3C691DB4"/>
    <w:rsid w:val="3C7057AE"/>
    <w:rsid w:val="3C71272F"/>
    <w:rsid w:val="3C94492D"/>
    <w:rsid w:val="3CA8627B"/>
    <w:rsid w:val="3CA900CA"/>
    <w:rsid w:val="3CA97F92"/>
    <w:rsid w:val="3CB07A2D"/>
    <w:rsid w:val="3CD75083"/>
    <w:rsid w:val="3CF177EF"/>
    <w:rsid w:val="3CF87315"/>
    <w:rsid w:val="3D1E45E5"/>
    <w:rsid w:val="3D3712B0"/>
    <w:rsid w:val="3D4401AE"/>
    <w:rsid w:val="3D4B442E"/>
    <w:rsid w:val="3D7263EA"/>
    <w:rsid w:val="3D7B54EF"/>
    <w:rsid w:val="3D7D48B2"/>
    <w:rsid w:val="3D86267D"/>
    <w:rsid w:val="3D8B6E52"/>
    <w:rsid w:val="3D931088"/>
    <w:rsid w:val="3DA70962"/>
    <w:rsid w:val="3DAF4BE0"/>
    <w:rsid w:val="3DB724DE"/>
    <w:rsid w:val="3DC70F93"/>
    <w:rsid w:val="3DE628EA"/>
    <w:rsid w:val="3DF41F1A"/>
    <w:rsid w:val="3E183724"/>
    <w:rsid w:val="3E1A7639"/>
    <w:rsid w:val="3E22369C"/>
    <w:rsid w:val="3E2258E7"/>
    <w:rsid w:val="3E2E431B"/>
    <w:rsid w:val="3E3660A4"/>
    <w:rsid w:val="3E4D5D4B"/>
    <w:rsid w:val="3E5F3821"/>
    <w:rsid w:val="3E654138"/>
    <w:rsid w:val="3E662C4E"/>
    <w:rsid w:val="3E6836C3"/>
    <w:rsid w:val="3E74486F"/>
    <w:rsid w:val="3E917538"/>
    <w:rsid w:val="3E9D7D6C"/>
    <w:rsid w:val="3EA271E9"/>
    <w:rsid w:val="3EBE544B"/>
    <w:rsid w:val="3EC66D80"/>
    <w:rsid w:val="3EC7628C"/>
    <w:rsid w:val="3EC774ED"/>
    <w:rsid w:val="3ED309C1"/>
    <w:rsid w:val="3ED545DB"/>
    <w:rsid w:val="3ED613E3"/>
    <w:rsid w:val="3EDC2981"/>
    <w:rsid w:val="3EE4471D"/>
    <w:rsid w:val="3EF75F01"/>
    <w:rsid w:val="3F0C2C0C"/>
    <w:rsid w:val="3F153D9D"/>
    <w:rsid w:val="3F23004F"/>
    <w:rsid w:val="3F3C71CB"/>
    <w:rsid w:val="3F4851FB"/>
    <w:rsid w:val="3F4F184E"/>
    <w:rsid w:val="3F597C70"/>
    <w:rsid w:val="3F5A50A4"/>
    <w:rsid w:val="3F86322C"/>
    <w:rsid w:val="3F8F2F70"/>
    <w:rsid w:val="3F96722A"/>
    <w:rsid w:val="3F9966FE"/>
    <w:rsid w:val="3FA10922"/>
    <w:rsid w:val="3FA115F0"/>
    <w:rsid w:val="3FA46EF8"/>
    <w:rsid w:val="3FBF69C8"/>
    <w:rsid w:val="3FD4031B"/>
    <w:rsid w:val="3FDA0AC6"/>
    <w:rsid w:val="3FE47F77"/>
    <w:rsid w:val="3FFE53E9"/>
    <w:rsid w:val="400566F3"/>
    <w:rsid w:val="40164160"/>
    <w:rsid w:val="40170374"/>
    <w:rsid w:val="4019218E"/>
    <w:rsid w:val="40270EDB"/>
    <w:rsid w:val="402C0202"/>
    <w:rsid w:val="403F5839"/>
    <w:rsid w:val="40580CE8"/>
    <w:rsid w:val="40596BBF"/>
    <w:rsid w:val="406A433E"/>
    <w:rsid w:val="40841FFE"/>
    <w:rsid w:val="40BD6A2F"/>
    <w:rsid w:val="40E517EC"/>
    <w:rsid w:val="40E724CE"/>
    <w:rsid w:val="41181D29"/>
    <w:rsid w:val="41303C39"/>
    <w:rsid w:val="413D1880"/>
    <w:rsid w:val="414B2E3E"/>
    <w:rsid w:val="414F74CB"/>
    <w:rsid w:val="4152668D"/>
    <w:rsid w:val="415746DD"/>
    <w:rsid w:val="415B6654"/>
    <w:rsid w:val="417371BA"/>
    <w:rsid w:val="417C2EE6"/>
    <w:rsid w:val="418515F9"/>
    <w:rsid w:val="41A0365E"/>
    <w:rsid w:val="41A5316F"/>
    <w:rsid w:val="41C92B51"/>
    <w:rsid w:val="41D301C3"/>
    <w:rsid w:val="41D623AF"/>
    <w:rsid w:val="41E618AB"/>
    <w:rsid w:val="41EC095F"/>
    <w:rsid w:val="41FB53EF"/>
    <w:rsid w:val="421F1BB6"/>
    <w:rsid w:val="422F49B3"/>
    <w:rsid w:val="425372A2"/>
    <w:rsid w:val="425910E8"/>
    <w:rsid w:val="426A0418"/>
    <w:rsid w:val="426A1898"/>
    <w:rsid w:val="426C23E2"/>
    <w:rsid w:val="427330DF"/>
    <w:rsid w:val="427D7873"/>
    <w:rsid w:val="42802614"/>
    <w:rsid w:val="428B0580"/>
    <w:rsid w:val="428B7594"/>
    <w:rsid w:val="42A853C7"/>
    <w:rsid w:val="42B01704"/>
    <w:rsid w:val="42CC4106"/>
    <w:rsid w:val="42E068CB"/>
    <w:rsid w:val="430274F1"/>
    <w:rsid w:val="43287BCC"/>
    <w:rsid w:val="43330CA7"/>
    <w:rsid w:val="433858A5"/>
    <w:rsid w:val="433E126A"/>
    <w:rsid w:val="433F10B4"/>
    <w:rsid w:val="43606EA0"/>
    <w:rsid w:val="437D2024"/>
    <w:rsid w:val="43920E07"/>
    <w:rsid w:val="43951B04"/>
    <w:rsid w:val="43A7649F"/>
    <w:rsid w:val="43B41E3E"/>
    <w:rsid w:val="43BC110E"/>
    <w:rsid w:val="43D32426"/>
    <w:rsid w:val="43EE6D65"/>
    <w:rsid w:val="43FC7E87"/>
    <w:rsid w:val="44210A17"/>
    <w:rsid w:val="44271441"/>
    <w:rsid w:val="44440F27"/>
    <w:rsid w:val="4465559E"/>
    <w:rsid w:val="44712172"/>
    <w:rsid w:val="447734D9"/>
    <w:rsid w:val="44833414"/>
    <w:rsid w:val="4491600F"/>
    <w:rsid w:val="44984355"/>
    <w:rsid w:val="44A2635F"/>
    <w:rsid w:val="44A8226D"/>
    <w:rsid w:val="44C80955"/>
    <w:rsid w:val="44CC2C4F"/>
    <w:rsid w:val="44E27A7E"/>
    <w:rsid w:val="44F71504"/>
    <w:rsid w:val="44FB7340"/>
    <w:rsid w:val="45175EF9"/>
    <w:rsid w:val="451A55B3"/>
    <w:rsid w:val="451E0828"/>
    <w:rsid w:val="451E2AD9"/>
    <w:rsid w:val="4524498B"/>
    <w:rsid w:val="452A22D2"/>
    <w:rsid w:val="45461523"/>
    <w:rsid w:val="454817C9"/>
    <w:rsid w:val="454F0C0F"/>
    <w:rsid w:val="455E307F"/>
    <w:rsid w:val="456909A8"/>
    <w:rsid w:val="456D3D22"/>
    <w:rsid w:val="457E1251"/>
    <w:rsid w:val="45995BB4"/>
    <w:rsid w:val="45B93063"/>
    <w:rsid w:val="45C23361"/>
    <w:rsid w:val="45CA18A8"/>
    <w:rsid w:val="45CC3056"/>
    <w:rsid w:val="45FB5A7C"/>
    <w:rsid w:val="45FD22C0"/>
    <w:rsid w:val="45FD3E50"/>
    <w:rsid w:val="4601483F"/>
    <w:rsid w:val="46114003"/>
    <w:rsid w:val="46163E05"/>
    <w:rsid w:val="4625681F"/>
    <w:rsid w:val="462569BC"/>
    <w:rsid w:val="464E3334"/>
    <w:rsid w:val="4650702B"/>
    <w:rsid w:val="466D6B73"/>
    <w:rsid w:val="46760020"/>
    <w:rsid w:val="468F7B5E"/>
    <w:rsid w:val="469D3DE5"/>
    <w:rsid w:val="46A02CE5"/>
    <w:rsid w:val="46A34E08"/>
    <w:rsid w:val="46A7659A"/>
    <w:rsid w:val="46BE154B"/>
    <w:rsid w:val="46C24284"/>
    <w:rsid w:val="46C853F2"/>
    <w:rsid w:val="46CE53B7"/>
    <w:rsid w:val="46F722E3"/>
    <w:rsid w:val="471849F3"/>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3125B"/>
    <w:rsid w:val="482C5D39"/>
    <w:rsid w:val="482E5131"/>
    <w:rsid w:val="485B1902"/>
    <w:rsid w:val="48626892"/>
    <w:rsid w:val="488B6680"/>
    <w:rsid w:val="48AF419F"/>
    <w:rsid w:val="48D65805"/>
    <w:rsid w:val="48D75B88"/>
    <w:rsid w:val="48DB7360"/>
    <w:rsid w:val="48E33E5F"/>
    <w:rsid w:val="48FF5525"/>
    <w:rsid w:val="49001E86"/>
    <w:rsid w:val="490647BE"/>
    <w:rsid w:val="493618EF"/>
    <w:rsid w:val="494C4436"/>
    <w:rsid w:val="49566BC9"/>
    <w:rsid w:val="495F5D36"/>
    <w:rsid w:val="49734683"/>
    <w:rsid w:val="497E5010"/>
    <w:rsid w:val="499250A4"/>
    <w:rsid w:val="49A62143"/>
    <w:rsid w:val="49DF3A58"/>
    <w:rsid w:val="49EC0086"/>
    <w:rsid w:val="49F64E88"/>
    <w:rsid w:val="4A234FEC"/>
    <w:rsid w:val="4A2D2C3E"/>
    <w:rsid w:val="4A2F090E"/>
    <w:rsid w:val="4A320278"/>
    <w:rsid w:val="4A467DEA"/>
    <w:rsid w:val="4A480B48"/>
    <w:rsid w:val="4A665CC9"/>
    <w:rsid w:val="4A8307F4"/>
    <w:rsid w:val="4A8A57B2"/>
    <w:rsid w:val="4AA31EB3"/>
    <w:rsid w:val="4AA5523D"/>
    <w:rsid w:val="4AB30EDE"/>
    <w:rsid w:val="4ABA38FB"/>
    <w:rsid w:val="4ADE14CD"/>
    <w:rsid w:val="4AFA1E51"/>
    <w:rsid w:val="4B2209F3"/>
    <w:rsid w:val="4B242129"/>
    <w:rsid w:val="4B2E2169"/>
    <w:rsid w:val="4B341F77"/>
    <w:rsid w:val="4B543C59"/>
    <w:rsid w:val="4B6828A2"/>
    <w:rsid w:val="4B730590"/>
    <w:rsid w:val="4B7D207A"/>
    <w:rsid w:val="4B875EB6"/>
    <w:rsid w:val="4B9B19B4"/>
    <w:rsid w:val="4BA731AA"/>
    <w:rsid w:val="4BAD1EF1"/>
    <w:rsid w:val="4BAF7C51"/>
    <w:rsid w:val="4BB2318A"/>
    <w:rsid w:val="4BB961D0"/>
    <w:rsid w:val="4BBA6469"/>
    <w:rsid w:val="4BD73847"/>
    <w:rsid w:val="4BE136FC"/>
    <w:rsid w:val="4BF56252"/>
    <w:rsid w:val="4C000FEE"/>
    <w:rsid w:val="4C160901"/>
    <w:rsid w:val="4C2A27C2"/>
    <w:rsid w:val="4C3F1AD6"/>
    <w:rsid w:val="4C6514B0"/>
    <w:rsid w:val="4C670BA8"/>
    <w:rsid w:val="4C6C0D90"/>
    <w:rsid w:val="4C6F4DDF"/>
    <w:rsid w:val="4C7D1FFD"/>
    <w:rsid w:val="4C7E7777"/>
    <w:rsid w:val="4C880BAD"/>
    <w:rsid w:val="4CB7716D"/>
    <w:rsid w:val="4CE21E5B"/>
    <w:rsid w:val="4CED4287"/>
    <w:rsid w:val="4CF17B79"/>
    <w:rsid w:val="4CF5763E"/>
    <w:rsid w:val="4CF92455"/>
    <w:rsid w:val="4D035F30"/>
    <w:rsid w:val="4D082338"/>
    <w:rsid w:val="4D0A37F7"/>
    <w:rsid w:val="4D361E73"/>
    <w:rsid w:val="4D3F7CBF"/>
    <w:rsid w:val="4D48482F"/>
    <w:rsid w:val="4D62389D"/>
    <w:rsid w:val="4D8B6E28"/>
    <w:rsid w:val="4DA8223C"/>
    <w:rsid w:val="4DBB5850"/>
    <w:rsid w:val="4DC46301"/>
    <w:rsid w:val="4DF60896"/>
    <w:rsid w:val="4DFD5ECA"/>
    <w:rsid w:val="4DFE3CC8"/>
    <w:rsid w:val="4E025DB2"/>
    <w:rsid w:val="4E1630B6"/>
    <w:rsid w:val="4E25354C"/>
    <w:rsid w:val="4E360898"/>
    <w:rsid w:val="4E375A60"/>
    <w:rsid w:val="4E4B405F"/>
    <w:rsid w:val="4E4E418E"/>
    <w:rsid w:val="4E655042"/>
    <w:rsid w:val="4E8D19A7"/>
    <w:rsid w:val="4EA345E7"/>
    <w:rsid w:val="4EB03F47"/>
    <w:rsid w:val="4EB66AEE"/>
    <w:rsid w:val="4EB9175E"/>
    <w:rsid w:val="4ED22709"/>
    <w:rsid w:val="4ED65136"/>
    <w:rsid w:val="4EEF37B0"/>
    <w:rsid w:val="4EF6108D"/>
    <w:rsid w:val="4EF8347E"/>
    <w:rsid w:val="4EFA23C6"/>
    <w:rsid w:val="4F0A7123"/>
    <w:rsid w:val="4F0F7608"/>
    <w:rsid w:val="4F1C1A77"/>
    <w:rsid w:val="4F2A3762"/>
    <w:rsid w:val="4F2E0DB1"/>
    <w:rsid w:val="4F3517A8"/>
    <w:rsid w:val="4F422CA5"/>
    <w:rsid w:val="4F43009A"/>
    <w:rsid w:val="4F4644D0"/>
    <w:rsid w:val="4F6F0750"/>
    <w:rsid w:val="4F7119FF"/>
    <w:rsid w:val="4F756C5E"/>
    <w:rsid w:val="4F7A5394"/>
    <w:rsid w:val="4F992590"/>
    <w:rsid w:val="4FD412A3"/>
    <w:rsid w:val="4FD41C1D"/>
    <w:rsid w:val="4FD54DAA"/>
    <w:rsid w:val="4FD64014"/>
    <w:rsid w:val="4FE17A31"/>
    <w:rsid w:val="4FE311D6"/>
    <w:rsid w:val="4FED2322"/>
    <w:rsid w:val="4FFD53C6"/>
    <w:rsid w:val="500B0D4B"/>
    <w:rsid w:val="501A4614"/>
    <w:rsid w:val="501F4A64"/>
    <w:rsid w:val="50252D35"/>
    <w:rsid w:val="502D0C73"/>
    <w:rsid w:val="5030543D"/>
    <w:rsid w:val="503D1B16"/>
    <w:rsid w:val="5074268E"/>
    <w:rsid w:val="50835FD0"/>
    <w:rsid w:val="508E47DC"/>
    <w:rsid w:val="50A90DD5"/>
    <w:rsid w:val="50A940E7"/>
    <w:rsid w:val="50AE3F83"/>
    <w:rsid w:val="50AE699A"/>
    <w:rsid w:val="50AF63AC"/>
    <w:rsid w:val="50B14097"/>
    <w:rsid w:val="50B32A80"/>
    <w:rsid w:val="50CF7A4B"/>
    <w:rsid w:val="50DE4A3D"/>
    <w:rsid w:val="51022777"/>
    <w:rsid w:val="51025DAE"/>
    <w:rsid w:val="510C092F"/>
    <w:rsid w:val="5113318E"/>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87918"/>
    <w:rsid w:val="523A583D"/>
    <w:rsid w:val="5241154F"/>
    <w:rsid w:val="524467AD"/>
    <w:rsid w:val="52512633"/>
    <w:rsid w:val="52550EE8"/>
    <w:rsid w:val="52592B52"/>
    <w:rsid w:val="527543BE"/>
    <w:rsid w:val="52785D8E"/>
    <w:rsid w:val="527B1047"/>
    <w:rsid w:val="52885691"/>
    <w:rsid w:val="528E22CF"/>
    <w:rsid w:val="529456C7"/>
    <w:rsid w:val="529B1EBD"/>
    <w:rsid w:val="529E7DC9"/>
    <w:rsid w:val="52A1157D"/>
    <w:rsid w:val="52A13940"/>
    <w:rsid w:val="52B7492F"/>
    <w:rsid w:val="52C276E1"/>
    <w:rsid w:val="52F201A7"/>
    <w:rsid w:val="52F30525"/>
    <w:rsid w:val="530418F1"/>
    <w:rsid w:val="53143DBE"/>
    <w:rsid w:val="532452B2"/>
    <w:rsid w:val="533D3764"/>
    <w:rsid w:val="53560A73"/>
    <w:rsid w:val="535B4CF0"/>
    <w:rsid w:val="537323E7"/>
    <w:rsid w:val="539A7F34"/>
    <w:rsid w:val="53A53D5A"/>
    <w:rsid w:val="53B93087"/>
    <w:rsid w:val="53CF09AE"/>
    <w:rsid w:val="53D27C3B"/>
    <w:rsid w:val="53E37C63"/>
    <w:rsid w:val="53E4696D"/>
    <w:rsid w:val="53E8598B"/>
    <w:rsid w:val="53EB7EF9"/>
    <w:rsid w:val="53F11E92"/>
    <w:rsid w:val="53F34C98"/>
    <w:rsid w:val="53F90D5A"/>
    <w:rsid w:val="5400093A"/>
    <w:rsid w:val="540D2227"/>
    <w:rsid w:val="541C372E"/>
    <w:rsid w:val="543E150A"/>
    <w:rsid w:val="54640DD5"/>
    <w:rsid w:val="546829F9"/>
    <w:rsid w:val="5473410F"/>
    <w:rsid w:val="54811A0B"/>
    <w:rsid w:val="549D2F6A"/>
    <w:rsid w:val="54A05867"/>
    <w:rsid w:val="54AE00FE"/>
    <w:rsid w:val="54DE453A"/>
    <w:rsid w:val="54FD05CF"/>
    <w:rsid w:val="550E2018"/>
    <w:rsid w:val="551C0949"/>
    <w:rsid w:val="55245AF4"/>
    <w:rsid w:val="55332140"/>
    <w:rsid w:val="553515CF"/>
    <w:rsid w:val="5535226D"/>
    <w:rsid w:val="55411377"/>
    <w:rsid w:val="55684380"/>
    <w:rsid w:val="5569348D"/>
    <w:rsid w:val="556F0C82"/>
    <w:rsid w:val="55734A88"/>
    <w:rsid w:val="557D7965"/>
    <w:rsid w:val="55992746"/>
    <w:rsid w:val="55A8783C"/>
    <w:rsid w:val="55B70080"/>
    <w:rsid w:val="55C019F9"/>
    <w:rsid w:val="55C22D99"/>
    <w:rsid w:val="55C34875"/>
    <w:rsid w:val="55DA0671"/>
    <w:rsid w:val="55DE462D"/>
    <w:rsid w:val="562A77A5"/>
    <w:rsid w:val="56373C3F"/>
    <w:rsid w:val="56600C3C"/>
    <w:rsid w:val="566B44F9"/>
    <w:rsid w:val="566C6AAD"/>
    <w:rsid w:val="567F3C59"/>
    <w:rsid w:val="56854F8E"/>
    <w:rsid w:val="569549B7"/>
    <w:rsid w:val="569B59A6"/>
    <w:rsid w:val="569E768C"/>
    <w:rsid w:val="56D026DA"/>
    <w:rsid w:val="56F00AC2"/>
    <w:rsid w:val="56FF02B9"/>
    <w:rsid w:val="57030085"/>
    <w:rsid w:val="570407FA"/>
    <w:rsid w:val="5707087A"/>
    <w:rsid w:val="57132F95"/>
    <w:rsid w:val="571961F8"/>
    <w:rsid w:val="572D56F6"/>
    <w:rsid w:val="57300244"/>
    <w:rsid w:val="57416FDD"/>
    <w:rsid w:val="574B6AFB"/>
    <w:rsid w:val="5757511D"/>
    <w:rsid w:val="575B3DB3"/>
    <w:rsid w:val="575C02E5"/>
    <w:rsid w:val="57633E93"/>
    <w:rsid w:val="5764383E"/>
    <w:rsid w:val="57646128"/>
    <w:rsid w:val="576D6289"/>
    <w:rsid w:val="57797419"/>
    <w:rsid w:val="577B5C8F"/>
    <w:rsid w:val="57817915"/>
    <w:rsid w:val="57A05E6D"/>
    <w:rsid w:val="57BA76D9"/>
    <w:rsid w:val="57C76896"/>
    <w:rsid w:val="57CA2EE6"/>
    <w:rsid w:val="57D069E1"/>
    <w:rsid w:val="57DE551D"/>
    <w:rsid w:val="57F85D96"/>
    <w:rsid w:val="580A08CC"/>
    <w:rsid w:val="580C23E4"/>
    <w:rsid w:val="58191B0C"/>
    <w:rsid w:val="5827740E"/>
    <w:rsid w:val="58315B21"/>
    <w:rsid w:val="58424C7E"/>
    <w:rsid w:val="58430210"/>
    <w:rsid w:val="585320E4"/>
    <w:rsid w:val="5863214C"/>
    <w:rsid w:val="58717162"/>
    <w:rsid w:val="587B41B2"/>
    <w:rsid w:val="587E2FB0"/>
    <w:rsid w:val="587F4E33"/>
    <w:rsid w:val="587F6BA5"/>
    <w:rsid w:val="58801DB1"/>
    <w:rsid w:val="58866860"/>
    <w:rsid w:val="58915138"/>
    <w:rsid w:val="589A70FA"/>
    <w:rsid w:val="58A228DA"/>
    <w:rsid w:val="58B8618D"/>
    <w:rsid w:val="58C116F7"/>
    <w:rsid w:val="58F663EC"/>
    <w:rsid w:val="593740EF"/>
    <w:rsid w:val="5939592A"/>
    <w:rsid w:val="59536DE1"/>
    <w:rsid w:val="595C4CF9"/>
    <w:rsid w:val="59696FC2"/>
    <w:rsid w:val="59703EC5"/>
    <w:rsid w:val="597F2884"/>
    <w:rsid w:val="598B393C"/>
    <w:rsid w:val="59CE222A"/>
    <w:rsid w:val="59CE6281"/>
    <w:rsid w:val="59D022CD"/>
    <w:rsid w:val="59DF31C4"/>
    <w:rsid w:val="5A0C458C"/>
    <w:rsid w:val="5A2B0D3B"/>
    <w:rsid w:val="5A2E41BB"/>
    <w:rsid w:val="5A341255"/>
    <w:rsid w:val="5A3571BF"/>
    <w:rsid w:val="5A3C75C1"/>
    <w:rsid w:val="5A400973"/>
    <w:rsid w:val="5A44572C"/>
    <w:rsid w:val="5A455381"/>
    <w:rsid w:val="5A493FC8"/>
    <w:rsid w:val="5A6F134E"/>
    <w:rsid w:val="5A8A6ADB"/>
    <w:rsid w:val="5A936EBE"/>
    <w:rsid w:val="5AA549B2"/>
    <w:rsid w:val="5ABA6E8E"/>
    <w:rsid w:val="5ADF3379"/>
    <w:rsid w:val="5AE021F1"/>
    <w:rsid w:val="5B0416C7"/>
    <w:rsid w:val="5B1A400E"/>
    <w:rsid w:val="5B1B27C3"/>
    <w:rsid w:val="5B316F94"/>
    <w:rsid w:val="5B3372B8"/>
    <w:rsid w:val="5B45691B"/>
    <w:rsid w:val="5B46631F"/>
    <w:rsid w:val="5B5104F9"/>
    <w:rsid w:val="5B562BF6"/>
    <w:rsid w:val="5B6950AB"/>
    <w:rsid w:val="5B6A7A00"/>
    <w:rsid w:val="5B6B014D"/>
    <w:rsid w:val="5B6E2A90"/>
    <w:rsid w:val="5B823CDC"/>
    <w:rsid w:val="5B8857E6"/>
    <w:rsid w:val="5B8F4879"/>
    <w:rsid w:val="5B936B9D"/>
    <w:rsid w:val="5B971D60"/>
    <w:rsid w:val="5BA80DE7"/>
    <w:rsid w:val="5BAC4E3A"/>
    <w:rsid w:val="5BC849D6"/>
    <w:rsid w:val="5BF32F12"/>
    <w:rsid w:val="5BF7148A"/>
    <w:rsid w:val="5C0A0310"/>
    <w:rsid w:val="5C2D1687"/>
    <w:rsid w:val="5C362AF4"/>
    <w:rsid w:val="5C3E4720"/>
    <w:rsid w:val="5C4668A9"/>
    <w:rsid w:val="5C526BB4"/>
    <w:rsid w:val="5C620538"/>
    <w:rsid w:val="5C7A7CF8"/>
    <w:rsid w:val="5C802FB3"/>
    <w:rsid w:val="5CA305FA"/>
    <w:rsid w:val="5CB033FC"/>
    <w:rsid w:val="5CC34110"/>
    <w:rsid w:val="5D024954"/>
    <w:rsid w:val="5D05489E"/>
    <w:rsid w:val="5D0A579A"/>
    <w:rsid w:val="5D235653"/>
    <w:rsid w:val="5D28094E"/>
    <w:rsid w:val="5D3622C0"/>
    <w:rsid w:val="5D443C70"/>
    <w:rsid w:val="5D4741D2"/>
    <w:rsid w:val="5D4A7B65"/>
    <w:rsid w:val="5D5515B5"/>
    <w:rsid w:val="5D6871F6"/>
    <w:rsid w:val="5D7727EC"/>
    <w:rsid w:val="5D7C1CCD"/>
    <w:rsid w:val="5D806973"/>
    <w:rsid w:val="5D8E4670"/>
    <w:rsid w:val="5DAD3F76"/>
    <w:rsid w:val="5DB22A59"/>
    <w:rsid w:val="5DB30A1E"/>
    <w:rsid w:val="5DD07349"/>
    <w:rsid w:val="5DE35FCF"/>
    <w:rsid w:val="5DE47236"/>
    <w:rsid w:val="5DE95B3D"/>
    <w:rsid w:val="5DEF4402"/>
    <w:rsid w:val="5DFC469C"/>
    <w:rsid w:val="5E074110"/>
    <w:rsid w:val="5E1C0FFA"/>
    <w:rsid w:val="5E203806"/>
    <w:rsid w:val="5E401FD5"/>
    <w:rsid w:val="5E430067"/>
    <w:rsid w:val="5E543DDC"/>
    <w:rsid w:val="5E58634F"/>
    <w:rsid w:val="5E7A4A4B"/>
    <w:rsid w:val="5E7B4EF1"/>
    <w:rsid w:val="5E7E4A22"/>
    <w:rsid w:val="5EB04588"/>
    <w:rsid w:val="5EC52109"/>
    <w:rsid w:val="5EDC6635"/>
    <w:rsid w:val="5EDF242A"/>
    <w:rsid w:val="5EEC4CC9"/>
    <w:rsid w:val="5F2C5614"/>
    <w:rsid w:val="5F334632"/>
    <w:rsid w:val="5F387DD8"/>
    <w:rsid w:val="5F3D46C8"/>
    <w:rsid w:val="5F3F3A92"/>
    <w:rsid w:val="5F562344"/>
    <w:rsid w:val="5F610F9A"/>
    <w:rsid w:val="5F723B9C"/>
    <w:rsid w:val="5F740D96"/>
    <w:rsid w:val="5FAB1E22"/>
    <w:rsid w:val="5FAE7B2D"/>
    <w:rsid w:val="5FEF51B4"/>
    <w:rsid w:val="5FFD47CB"/>
    <w:rsid w:val="600F713A"/>
    <w:rsid w:val="60295475"/>
    <w:rsid w:val="602976E5"/>
    <w:rsid w:val="602B5CAC"/>
    <w:rsid w:val="602E79F0"/>
    <w:rsid w:val="60352928"/>
    <w:rsid w:val="604069C8"/>
    <w:rsid w:val="60442474"/>
    <w:rsid w:val="605308B8"/>
    <w:rsid w:val="60536876"/>
    <w:rsid w:val="606C21F5"/>
    <w:rsid w:val="606E421F"/>
    <w:rsid w:val="607A502C"/>
    <w:rsid w:val="608B55D8"/>
    <w:rsid w:val="608D3579"/>
    <w:rsid w:val="6099505A"/>
    <w:rsid w:val="609B3534"/>
    <w:rsid w:val="609C3B6D"/>
    <w:rsid w:val="60A50722"/>
    <w:rsid w:val="60B128C4"/>
    <w:rsid w:val="60CA7929"/>
    <w:rsid w:val="60D31A6F"/>
    <w:rsid w:val="60D325C8"/>
    <w:rsid w:val="60F03F78"/>
    <w:rsid w:val="60FB13C9"/>
    <w:rsid w:val="6116450B"/>
    <w:rsid w:val="611651BB"/>
    <w:rsid w:val="61902044"/>
    <w:rsid w:val="61A83C0D"/>
    <w:rsid w:val="61AD0E69"/>
    <w:rsid w:val="61AE2894"/>
    <w:rsid w:val="61B42655"/>
    <w:rsid w:val="61B64AE6"/>
    <w:rsid w:val="61B95A3D"/>
    <w:rsid w:val="61DD55E6"/>
    <w:rsid w:val="61E30170"/>
    <w:rsid w:val="61E5752D"/>
    <w:rsid w:val="61EB04E9"/>
    <w:rsid w:val="622F4266"/>
    <w:rsid w:val="62462A72"/>
    <w:rsid w:val="624B3781"/>
    <w:rsid w:val="625F13E8"/>
    <w:rsid w:val="62602CF8"/>
    <w:rsid w:val="6275441F"/>
    <w:rsid w:val="627E147F"/>
    <w:rsid w:val="62A565F5"/>
    <w:rsid w:val="62AD7E76"/>
    <w:rsid w:val="62B93485"/>
    <w:rsid w:val="62E21A96"/>
    <w:rsid w:val="62F673DB"/>
    <w:rsid w:val="62F76DDA"/>
    <w:rsid w:val="6301006C"/>
    <w:rsid w:val="63030F14"/>
    <w:rsid w:val="635219A1"/>
    <w:rsid w:val="635E40F3"/>
    <w:rsid w:val="636173F7"/>
    <w:rsid w:val="6384416F"/>
    <w:rsid w:val="638B7104"/>
    <w:rsid w:val="639076DF"/>
    <w:rsid w:val="63923F11"/>
    <w:rsid w:val="63B868A3"/>
    <w:rsid w:val="63D20FF4"/>
    <w:rsid w:val="63DD7C86"/>
    <w:rsid w:val="63F427DF"/>
    <w:rsid w:val="63FB1C28"/>
    <w:rsid w:val="640C3504"/>
    <w:rsid w:val="64121615"/>
    <w:rsid w:val="641341B5"/>
    <w:rsid w:val="642011FC"/>
    <w:rsid w:val="643125C3"/>
    <w:rsid w:val="64323CBE"/>
    <w:rsid w:val="643E27B6"/>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023A1"/>
    <w:rsid w:val="654235AD"/>
    <w:rsid w:val="654E6126"/>
    <w:rsid w:val="656B6764"/>
    <w:rsid w:val="6577447A"/>
    <w:rsid w:val="657A65E0"/>
    <w:rsid w:val="657C4F3A"/>
    <w:rsid w:val="65870560"/>
    <w:rsid w:val="65A12770"/>
    <w:rsid w:val="65B070B7"/>
    <w:rsid w:val="65BD72CE"/>
    <w:rsid w:val="65EF2CE0"/>
    <w:rsid w:val="65F14EE8"/>
    <w:rsid w:val="660C6FA1"/>
    <w:rsid w:val="661462F7"/>
    <w:rsid w:val="66167837"/>
    <w:rsid w:val="663A65CE"/>
    <w:rsid w:val="66474639"/>
    <w:rsid w:val="666274B9"/>
    <w:rsid w:val="667128E4"/>
    <w:rsid w:val="66740D91"/>
    <w:rsid w:val="669C6912"/>
    <w:rsid w:val="66A85798"/>
    <w:rsid w:val="66D32372"/>
    <w:rsid w:val="66D75E99"/>
    <w:rsid w:val="66E30E48"/>
    <w:rsid w:val="66EA4259"/>
    <w:rsid w:val="66F26EF2"/>
    <w:rsid w:val="67010AE3"/>
    <w:rsid w:val="67075894"/>
    <w:rsid w:val="672112E1"/>
    <w:rsid w:val="67261112"/>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230CC6"/>
    <w:rsid w:val="68347656"/>
    <w:rsid w:val="683977E8"/>
    <w:rsid w:val="683A2EED"/>
    <w:rsid w:val="6842615A"/>
    <w:rsid w:val="68450B02"/>
    <w:rsid w:val="684E3240"/>
    <w:rsid w:val="68556588"/>
    <w:rsid w:val="68A42834"/>
    <w:rsid w:val="68CE58E6"/>
    <w:rsid w:val="68CF2A69"/>
    <w:rsid w:val="68DB13E4"/>
    <w:rsid w:val="68E814B4"/>
    <w:rsid w:val="68F91EAB"/>
    <w:rsid w:val="690D3FC2"/>
    <w:rsid w:val="69142EFB"/>
    <w:rsid w:val="69154D60"/>
    <w:rsid w:val="692B56B7"/>
    <w:rsid w:val="692F6F57"/>
    <w:rsid w:val="693A342A"/>
    <w:rsid w:val="693B4E23"/>
    <w:rsid w:val="69403FFD"/>
    <w:rsid w:val="694A6DBA"/>
    <w:rsid w:val="696F09AF"/>
    <w:rsid w:val="69752697"/>
    <w:rsid w:val="698E764A"/>
    <w:rsid w:val="69915568"/>
    <w:rsid w:val="69951D6A"/>
    <w:rsid w:val="69C64C75"/>
    <w:rsid w:val="69CD7FDE"/>
    <w:rsid w:val="69CF6EC4"/>
    <w:rsid w:val="69D05FDB"/>
    <w:rsid w:val="69DA551E"/>
    <w:rsid w:val="69DE5E8A"/>
    <w:rsid w:val="69E00D11"/>
    <w:rsid w:val="69EF5BD6"/>
    <w:rsid w:val="69F0389C"/>
    <w:rsid w:val="69F453FE"/>
    <w:rsid w:val="6A1802E3"/>
    <w:rsid w:val="6A1849B7"/>
    <w:rsid w:val="6A1D40A1"/>
    <w:rsid w:val="6A3828E1"/>
    <w:rsid w:val="6A3E49CA"/>
    <w:rsid w:val="6A6468A5"/>
    <w:rsid w:val="6A727EED"/>
    <w:rsid w:val="6A783CBE"/>
    <w:rsid w:val="6A8755D3"/>
    <w:rsid w:val="6A9548E9"/>
    <w:rsid w:val="6AA54025"/>
    <w:rsid w:val="6AC9111D"/>
    <w:rsid w:val="6ADD40D7"/>
    <w:rsid w:val="6AE2354A"/>
    <w:rsid w:val="6AE91398"/>
    <w:rsid w:val="6AED7E18"/>
    <w:rsid w:val="6AF80E24"/>
    <w:rsid w:val="6AFA140D"/>
    <w:rsid w:val="6B0914DC"/>
    <w:rsid w:val="6B0F3217"/>
    <w:rsid w:val="6B1529A0"/>
    <w:rsid w:val="6B22477C"/>
    <w:rsid w:val="6B2B6B35"/>
    <w:rsid w:val="6B320A31"/>
    <w:rsid w:val="6B334087"/>
    <w:rsid w:val="6B3525D9"/>
    <w:rsid w:val="6B467AE6"/>
    <w:rsid w:val="6B491DA4"/>
    <w:rsid w:val="6B563D11"/>
    <w:rsid w:val="6B5D28FD"/>
    <w:rsid w:val="6B5E4D2E"/>
    <w:rsid w:val="6B6508C2"/>
    <w:rsid w:val="6B687F92"/>
    <w:rsid w:val="6B6B0456"/>
    <w:rsid w:val="6B7713F6"/>
    <w:rsid w:val="6B837812"/>
    <w:rsid w:val="6B8B34F4"/>
    <w:rsid w:val="6BBE7BEB"/>
    <w:rsid w:val="6BCF7550"/>
    <w:rsid w:val="6BE116D3"/>
    <w:rsid w:val="6BEA412A"/>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116881"/>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EA61F3"/>
    <w:rsid w:val="6DFC6FEC"/>
    <w:rsid w:val="6E094352"/>
    <w:rsid w:val="6E180F09"/>
    <w:rsid w:val="6E200223"/>
    <w:rsid w:val="6E3E2358"/>
    <w:rsid w:val="6E424BD5"/>
    <w:rsid w:val="6E6A27E1"/>
    <w:rsid w:val="6EA523BD"/>
    <w:rsid w:val="6EC266E7"/>
    <w:rsid w:val="6ECB70B1"/>
    <w:rsid w:val="6F077F6F"/>
    <w:rsid w:val="6F1C37FF"/>
    <w:rsid w:val="6F7209F9"/>
    <w:rsid w:val="6F815117"/>
    <w:rsid w:val="6F8C3D1F"/>
    <w:rsid w:val="6FB04A52"/>
    <w:rsid w:val="6FBA66BD"/>
    <w:rsid w:val="6FBC2C44"/>
    <w:rsid w:val="6FD546D8"/>
    <w:rsid w:val="6FD67F20"/>
    <w:rsid w:val="6FD9564E"/>
    <w:rsid w:val="6FDB0700"/>
    <w:rsid w:val="6FEA4B24"/>
    <w:rsid w:val="6FF65032"/>
    <w:rsid w:val="70212A05"/>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31211A"/>
    <w:rsid w:val="7137018B"/>
    <w:rsid w:val="7137369D"/>
    <w:rsid w:val="71801CF7"/>
    <w:rsid w:val="718B5321"/>
    <w:rsid w:val="719E503F"/>
    <w:rsid w:val="71AC3D91"/>
    <w:rsid w:val="71AE0CBE"/>
    <w:rsid w:val="71BB1304"/>
    <w:rsid w:val="71BF09ED"/>
    <w:rsid w:val="71C13A31"/>
    <w:rsid w:val="71D62B72"/>
    <w:rsid w:val="71E323B9"/>
    <w:rsid w:val="71ED03B4"/>
    <w:rsid w:val="71FF0740"/>
    <w:rsid w:val="71FF0BB1"/>
    <w:rsid w:val="7205522D"/>
    <w:rsid w:val="72247F14"/>
    <w:rsid w:val="723A4899"/>
    <w:rsid w:val="72506C47"/>
    <w:rsid w:val="72521192"/>
    <w:rsid w:val="72611DBD"/>
    <w:rsid w:val="72660F67"/>
    <w:rsid w:val="728733AE"/>
    <w:rsid w:val="728A466C"/>
    <w:rsid w:val="729A404B"/>
    <w:rsid w:val="72CB47D7"/>
    <w:rsid w:val="72D3059A"/>
    <w:rsid w:val="72EF7510"/>
    <w:rsid w:val="73013FCC"/>
    <w:rsid w:val="7305661E"/>
    <w:rsid w:val="730967FD"/>
    <w:rsid w:val="730B40D5"/>
    <w:rsid w:val="730C18EF"/>
    <w:rsid w:val="730D08BE"/>
    <w:rsid w:val="731123D2"/>
    <w:rsid w:val="73147453"/>
    <w:rsid w:val="73374967"/>
    <w:rsid w:val="73547991"/>
    <w:rsid w:val="736938A6"/>
    <w:rsid w:val="736B7CB7"/>
    <w:rsid w:val="737A7FF3"/>
    <w:rsid w:val="73805796"/>
    <w:rsid w:val="73891BFD"/>
    <w:rsid w:val="73904D90"/>
    <w:rsid w:val="739169F9"/>
    <w:rsid w:val="73A93B13"/>
    <w:rsid w:val="73B76D83"/>
    <w:rsid w:val="73C347BF"/>
    <w:rsid w:val="73D55538"/>
    <w:rsid w:val="73F328B4"/>
    <w:rsid w:val="740E561C"/>
    <w:rsid w:val="742E1FC1"/>
    <w:rsid w:val="74324CC1"/>
    <w:rsid w:val="7433686E"/>
    <w:rsid w:val="74375F03"/>
    <w:rsid w:val="743A39BF"/>
    <w:rsid w:val="74523D2E"/>
    <w:rsid w:val="745B496E"/>
    <w:rsid w:val="746B439E"/>
    <w:rsid w:val="746E5CAF"/>
    <w:rsid w:val="7471367E"/>
    <w:rsid w:val="7474255D"/>
    <w:rsid w:val="749E119A"/>
    <w:rsid w:val="749F7F31"/>
    <w:rsid w:val="74AA048A"/>
    <w:rsid w:val="74AE17EE"/>
    <w:rsid w:val="74BB3D0A"/>
    <w:rsid w:val="74C508AE"/>
    <w:rsid w:val="74D33EF6"/>
    <w:rsid w:val="74DA38AD"/>
    <w:rsid w:val="7505631A"/>
    <w:rsid w:val="75317252"/>
    <w:rsid w:val="753D0120"/>
    <w:rsid w:val="7545306E"/>
    <w:rsid w:val="75645C23"/>
    <w:rsid w:val="756F1A0B"/>
    <w:rsid w:val="756F79DE"/>
    <w:rsid w:val="75887F63"/>
    <w:rsid w:val="75925EFC"/>
    <w:rsid w:val="75992D53"/>
    <w:rsid w:val="759C1620"/>
    <w:rsid w:val="75A2439F"/>
    <w:rsid w:val="75A91967"/>
    <w:rsid w:val="75C32B15"/>
    <w:rsid w:val="75C56AEC"/>
    <w:rsid w:val="75D94171"/>
    <w:rsid w:val="75E12807"/>
    <w:rsid w:val="75EE6F1B"/>
    <w:rsid w:val="75F776FF"/>
    <w:rsid w:val="75FB22F9"/>
    <w:rsid w:val="76023178"/>
    <w:rsid w:val="76094DC3"/>
    <w:rsid w:val="760A68D4"/>
    <w:rsid w:val="761A6A1B"/>
    <w:rsid w:val="763165DE"/>
    <w:rsid w:val="76346F66"/>
    <w:rsid w:val="76390822"/>
    <w:rsid w:val="76661857"/>
    <w:rsid w:val="76680AFF"/>
    <w:rsid w:val="76784C8D"/>
    <w:rsid w:val="767A50C2"/>
    <w:rsid w:val="7698243C"/>
    <w:rsid w:val="769D4442"/>
    <w:rsid w:val="76AF515A"/>
    <w:rsid w:val="76B80C7F"/>
    <w:rsid w:val="76C75DB3"/>
    <w:rsid w:val="76E85855"/>
    <w:rsid w:val="76EC12E2"/>
    <w:rsid w:val="76F1481B"/>
    <w:rsid w:val="76F21FC7"/>
    <w:rsid w:val="76F658FD"/>
    <w:rsid w:val="76F6644C"/>
    <w:rsid w:val="772B3F12"/>
    <w:rsid w:val="772D0C87"/>
    <w:rsid w:val="773D64AD"/>
    <w:rsid w:val="774A4881"/>
    <w:rsid w:val="77616EF2"/>
    <w:rsid w:val="77663478"/>
    <w:rsid w:val="776A2496"/>
    <w:rsid w:val="777703EE"/>
    <w:rsid w:val="777E2C3B"/>
    <w:rsid w:val="777F21C3"/>
    <w:rsid w:val="7789020C"/>
    <w:rsid w:val="778C3F53"/>
    <w:rsid w:val="778F32FA"/>
    <w:rsid w:val="77972A00"/>
    <w:rsid w:val="7798025B"/>
    <w:rsid w:val="77B969BE"/>
    <w:rsid w:val="77CA5641"/>
    <w:rsid w:val="77D46871"/>
    <w:rsid w:val="77D51D10"/>
    <w:rsid w:val="77D86A80"/>
    <w:rsid w:val="77DD019D"/>
    <w:rsid w:val="77F16BB1"/>
    <w:rsid w:val="77F82B38"/>
    <w:rsid w:val="780C3DBA"/>
    <w:rsid w:val="780D4DDE"/>
    <w:rsid w:val="78155595"/>
    <w:rsid w:val="78203AD8"/>
    <w:rsid w:val="78307537"/>
    <w:rsid w:val="783A582F"/>
    <w:rsid w:val="78414B3A"/>
    <w:rsid w:val="786023ED"/>
    <w:rsid w:val="78636907"/>
    <w:rsid w:val="78780CEE"/>
    <w:rsid w:val="78807E7F"/>
    <w:rsid w:val="788A489C"/>
    <w:rsid w:val="7899691A"/>
    <w:rsid w:val="78A37D7C"/>
    <w:rsid w:val="78B10039"/>
    <w:rsid w:val="78C83AD2"/>
    <w:rsid w:val="78EC2E1F"/>
    <w:rsid w:val="78EE303B"/>
    <w:rsid w:val="794037B5"/>
    <w:rsid w:val="79455F0D"/>
    <w:rsid w:val="7945643C"/>
    <w:rsid w:val="795C6137"/>
    <w:rsid w:val="795E77E1"/>
    <w:rsid w:val="796F1DC0"/>
    <w:rsid w:val="79746DD5"/>
    <w:rsid w:val="79755663"/>
    <w:rsid w:val="797845D9"/>
    <w:rsid w:val="797D5665"/>
    <w:rsid w:val="798A5C60"/>
    <w:rsid w:val="79A07515"/>
    <w:rsid w:val="79A1229B"/>
    <w:rsid w:val="79B576B5"/>
    <w:rsid w:val="79F0693F"/>
    <w:rsid w:val="7A00729F"/>
    <w:rsid w:val="7A05687D"/>
    <w:rsid w:val="7A0A6345"/>
    <w:rsid w:val="7A135A7D"/>
    <w:rsid w:val="7A1B2D1C"/>
    <w:rsid w:val="7A2E15EF"/>
    <w:rsid w:val="7A374B1F"/>
    <w:rsid w:val="7A382897"/>
    <w:rsid w:val="7A392CE7"/>
    <w:rsid w:val="7A3E2F80"/>
    <w:rsid w:val="7A72057C"/>
    <w:rsid w:val="7A796935"/>
    <w:rsid w:val="7A7C38B0"/>
    <w:rsid w:val="7A9861CB"/>
    <w:rsid w:val="7AAE3E65"/>
    <w:rsid w:val="7AB861F9"/>
    <w:rsid w:val="7ACA06BA"/>
    <w:rsid w:val="7ACA5466"/>
    <w:rsid w:val="7AD45C10"/>
    <w:rsid w:val="7AD537D1"/>
    <w:rsid w:val="7ADC5436"/>
    <w:rsid w:val="7AE3328E"/>
    <w:rsid w:val="7AE959D4"/>
    <w:rsid w:val="7B0077C8"/>
    <w:rsid w:val="7B0A6A9B"/>
    <w:rsid w:val="7B0D2818"/>
    <w:rsid w:val="7B1254BB"/>
    <w:rsid w:val="7B1306E3"/>
    <w:rsid w:val="7B2750E0"/>
    <w:rsid w:val="7B4E7DC1"/>
    <w:rsid w:val="7B594637"/>
    <w:rsid w:val="7B795F0A"/>
    <w:rsid w:val="7B81556A"/>
    <w:rsid w:val="7B8D4E9E"/>
    <w:rsid w:val="7B8E1EA6"/>
    <w:rsid w:val="7B94060C"/>
    <w:rsid w:val="7B994E29"/>
    <w:rsid w:val="7BA73227"/>
    <w:rsid w:val="7BA838BD"/>
    <w:rsid w:val="7BB75777"/>
    <w:rsid w:val="7BC266AD"/>
    <w:rsid w:val="7BCC6F60"/>
    <w:rsid w:val="7BD41347"/>
    <w:rsid w:val="7BD63B6E"/>
    <w:rsid w:val="7BE45584"/>
    <w:rsid w:val="7BF22378"/>
    <w:rsid w:val="7C291216"/>
    <w:rsid w:val="7C2B048D"/>
    <w:rsid w:val="7C362CAE"/>
    <w:rsid w:val="7C44237D"/>
    <w:rsid w:val="7C460013"/>
    <w:rsid w:val="7C46726D"/>
    <w:rsid w:val="7C66565C"/>
    <w:rsid w:val="7C7D7885"/>
    <w:rsid w:val="7C884F07"/>
    <w:rsid w:val="7C8D43AB"/>
    <w:rsid w:val="7C8F1DDB"/>
    <w:rsid w:val="7C99511D"/>
    <w:rsid w:val="7C996138"/>
    <w:rsid w:val="7CA879AC"/>
    <w:rsid w:val="7CB82DCD"/>
    <w:rsid w:val="7CBD31D9"/>
    <w:rsid w:val="7CD476C9"/>
    <w:rsid w:val="7CE3614E"/>
    <w:rsid w:val="7CFB2AE8"/>
    <w:rsid w:val="7CFD06A4"/>
    <w:rsid w:val="7D1312C2"/>
    <w:rsid w:val="7D635745"/>
    <w:rsid w:val="7D6D0647"/>
    <w:rsid w:val="7D984607"/>
    <w:rsid w:val="7DA243F4"/>
    <w:rsid w:val="7DA9460F"/>
    <w:rsid w:val="7DB02E07"/>
    <w:rsid w:val="7DC6049B"/>
    <w:rsid w:val="7DDF08AD"/>
    <w:rsid w:val="7DE65FBE"/>
    <w:rsid w:val="7DFD3D7D"/>
    <w:rsid w:val="7DFF6F70"/>
    <w:rsid w:val="7E0B4334"/>
    <w:rsid w:val="7E1640FB"/>
    <w:rsid w:val="7E1D725E"/>
    <w:rsid w:val="7E232692"/>
    <w:rsid w:val="7E345DFF"/>
    <w:rsid w:val="7E3B2283"/>
    <w:rsid w:val="7E3F1734"/>
    <w:rsid w:val="7E4B0118"/>
    <w:rsid w:val="7E5871FA"/>
    <w:rsid w:val="7E5B49B5"/>
    <w:rsid w:val="7E6C6EF8"/>
    <w:rsid w:val="7E7145B3"/>
    <w:rsid w:val="7E795155"/>
    <w:rsid w:val="7E7B3986"/>
    <w:rsid w:val="7E826950"/>
    <w:rsid w:val="7E9064E4"/>
    <w:rsid w:val="7E9E2C4F"/>
    <w:rsid w:val="7E9F4D2C"/>
    <w:rsid w:val="7EA30CDC"/>
    <w:rsid w:val="7EB93DD6"/>
    <w:rsid w:val="7EC16AFC"/>
    <w:rsid w:val="7EC30BBA"/>
    <w:rsid w:val="7ECE1F08"/>
    <w:rsid w:val="7ED56C6C"/>
    <w:rsid w:val="7ED8373F"/>
    <w:rsid w:val="7EDD57F4"/>
    <w:rsid w:val="7EED0F0A"/>
    <w:rsid w:val="7EF82D86"/>
    <w:rsid w:val="7EFB1E9B"/>
    <w:rsid w:val="7F096F96"/>
    <w:rsid w:val="7F182FE7"/>
    <w:rsid w:val="7F220E8A"/>
    <w:rsid w:val="7F4909A1"/>
    <w:rsid w:val="7F5828CA"/>
    <w:rsid w:val="7F651FE6"/>
    <w:rsid w:val="7F7405C7"/>
    <w:rsid w:val="7F8A7F3B"/>
    <w:rsid w:val="7F8B15A9"/>
    <w:rsid w:val="7F925810"/>
    <w:rsid w:val="7FAE77C2"/>
    <w:rsid w:val="7FDC1E3F"/>
    <w:rsid w:val="7FF45605"/>
    <w:rsid w:val="7FF66A96"/>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2"/>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rPr>
      <w:color w:val="993300"/>
      <w:kern w:val="0"/>
      <w:sz w:val="24"/>
      <w:szCs w:val="24"/>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pPr>
      <w:ind w:left="1260" w:leftChars="600"/>
    </w:pPr>
    <w:rPr>
      <w:szCs w:val="24"/>
    </w:rPr>
  </w:style>
  <w:style w:type="paragraph" w:styleId="11">
    <w:name w:val="Document Map"/>
    <w:basedOn w:val="1"/>
    <w:link w:val="43"/>
    <w:qFormat/>
    <w:uiPriority w:val="0"/>
    <w:rPr>
      <w:rFonts w:ascii="宋体" w:hAnsi="Calibri"/>
      <w:sz w:val="18"/>
      <w:szCs w:val="18"/>
    </w:rPr>
  </w:style>
  <w:style w:type="paragraph" w:styleId="12">
    <w:name w:val="annotation text"/>
    <w:basedOn w:val="1"/>
    <w:link w:val="44"/>
    <w:qFormat/>
    <w:uiPriority w:val="0"/>
    <w:pPr>
      <w:jc w:val="left"/>
    </w:pPr>
    <w:rPr>
      <w:rFonts w:ascii="宋体" w:hAnsi="Calibri"/>
      <w:kern w:val="0"/>
      <w:sz w:val="3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pPr>
      <w:spacing w:line="324" w:lineRule="auto"/>
    </w:pPr>
    <w:rPr>
      <w:rFonts w:ascii="宋体" w:hAnsi="Courier New" w:cs="Courier New"/>
      <w:szCs w:val="21"/>
    </w:r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next w:val="1"/>
    <w:qFormat/>
    <w:uiPriority w:val="0"/>
    <w:pPr>
      <w:spacing w:after="120" w:line="480" w:lineRule="auto"/>
      <w:ind w:left="420" w:leftChars="200"/>
    </w:pPr>
  </w:style>
  <w:style w:type="paragraph" w:styleId="18">
    <w:name w:val="Balloon Text"/>
    <w:basedOn w:val="1"/>
    <w:link w:val="45"/>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2"/>
    <w:basedOn w:val="1"/>
    <w:next w:val="1"/>
    <w:qFormat/>
    <w:uiPriority w:val="0"/>
    <w:pPr>
      <w:ind w:left="420" w:leftChars="200"/>
    </w:pPr>
  </w:style>
  <w:style w:type="paragraph" w:styleId="24">
    <w:name w:val="toc 9"/>
    <w:basedOn w:val="1"/>
    <w:next w:val="1"/>
    <w:qFormat/>
    <w:uiPriority w:val="0"/>
    <w:pPr>
      <w:wordWrap w:val="0"/>
      <w:ind w:left="2975"/>
    </w:pPr>
  </w:style>
  <w:style w:type="paragraph" w:styleId="25">
    <w:name w:val="Body Text 2"/>
    <w:basedOn w:val="1"/>
    <w:qFormat/>
    <w:uiPriority w:val="0"/>
    <w:pPr>
      <w:jc w:val="center"/>
    </w:pPr>
    <w:rPr>
      <w:b/>
      <w:spacing w:val="-20"/>
      <w:w w:val="130"/>
      <w:sz w:val="48"/>
      <w:szCs w:val="20"/>
    </w:rPr>
  </w:style>
  <w:style w:type="paragraph" w:styleId="26">
    <w:name w:val="Normal (Web)"/>
    <w:basedOn w:val="1"/>
    <w:next w:val="20"/>
    <w:unhideWhenUsed/>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qFormat/>
    <w:uiPriority w:val="0"/>
    <w:pPr>
      <w:jc w:val="center"/>
    </w:pPr>
    <w:rPr>
      <w:sz w:val="30"/>
      <w:szCs w:val="24"/>
    </w:rPr>
  </w:style>
  <w:style w:type="paragraph" w:styleId="28">
    <w:name w:val="annotation subject"/>
    <w:basedOn w:val="12"/>
    <w:next w:val="12"/>
    <w:link w:val="46"/>
    <w:qFormat/>
    <w:uiPriority w:val="0"/>
    <w:rPr>
      <w:rFonts w:ascii="Calibri"/>
      <w:b/>
      <w:bCs/>
      <w:kern w:val="2"/>
      <w:sz w:val="21"/>
    </w:rPr>
  </w:style>
  <w:style w:type="paragraph" w:styleId="29">
    <w:name w:val="Body Text First Indent"/>
    <w:basedOn w:val="2"/>
    <w:next w:val="1"/>
    <w:qFormat/>
    <w:uiPriority w:val="0"/>
    <w:rPr>
      <w:rFonts w:hAnsi="宋体"/>
      <w:sz w:val="18"/>
      <w:szCs w:val="18"/>
    </w:rPr>
  </w:style>
  <w:style w:type="paragraph" w:styleId="30">
    <w:name w:val="Body Text First Indent 2"/>
    <w:basedOn w:val="13"/>
    <w:next w:val="1"/>
    <w:unhideWhenUsed/>
    <w:qFormat/>
    <w:uiPriority w:val="0"/>
    <w:pPr>
      <w:ind w:firstLine="420" w:firstLineChars="200"/>
    </w:pPr>
    <w:rPr>
      <w:szCs w:val="20"/>
    </w:rPr>
  </w:style>
  <w:style w:type="table" w:styleId="32">
    <w:name w:val="Table Grid"/>
    <w:basedOn w:val="3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sz w:val="24"/>
      <w:szCs w:val="24"/>
    </w:rPr>
  </w:style>
  <w:style w:type="character" w:styleId="35">
    <w:name w:val="page number"/>
    <w:basedOn w:val="33"/>
    <w:qFormat/>
    <w:uiPriority w:val="0"/>
  </w:style>
  <w:style w:type="character" w:styleId="36">
    <w:name w:val="FollowedHyperlink"/>
    <w:qFormat/>
    <w:uiPriority w:val="0"/>
    <w:rPr>
      <w:rFonts w:hint="eastAsia" w:ascii="宋体" w:hAnsi="宋体" w:eastAsia="宋体" w:cs="宋体"/>
      <w:color w:val="000000"/>
      <w:sz w:val="18"/>
      <w:szCs w:val="18"/>
      <w:u w:val="non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character" w:styleId="40">
    <w:name w:val="HTML Cite"/>
    <w:qFormat/>
    <w:uiPriority w:val="0"/>
    <w:rPr>
      <w:sz w:val="24"/>
      <w:szCs w:val="24"/>
    </w:rPr>
  </w:style>
  <w:style w:type="character" w:customStyle="1" w:styleId="41">
    <w:name w:val="正文文本 字符"/>
    <w:link w:val="2"/>
    <w:qFormat/>
    <w:uiPriority w:val="0"/>
    <w:rPr>
      <w:rFonts w:hint="default" w:ascii="Times New Roman" w:hAnsi="Times New Roman" w:eastAsia="宋体" w:cs="Times New Roman"/>
      <w:color w:val="993300"/>
      <w:sz w:val="24"/>
      <w:szCs w:val="24"/>
    </w:rPr>
  </w:style>
  <w:style w:type="character" w:customStyle="1" w:styleId="42">
    <w:name w:val="标题 1 字符"/>
    <w:link w:val="3"/>
    <w:qFormat/>
    <w:uiPriority w:val="0"/>
    <w:rPr>
      <w:rFonts w:ascii="Times New Roman" w:hAnsi="Times New Roman" w:eastAsia="宋体"/>
      <w:b/>
      <w:kern w:val="44"/>
      <w:sz w:val="32"/>
    </w:rPr>
  </w:style>
  <w:style w:type="character" w:customStyle="1" w:styleId="43">
    <w:name w:val="文档结构图 字符"/>
    <w:link w:val="11"/>
    <w:qFormat/>
    <w:uiPriority w:val="0"/>
    <w:rPr>
      <w:rFonts w:ascii="宋体" w:hAnsi="Calibri" w:cs="Times New Roman"/>
      <w:kern w:val="2"/>
      <w:sz w:val="18"/>
      <w:szCs w:val="18"/>
    </w:rPr>
  </w:style>
  <w:style w:type="character" w:customStyle="1" w:styleId="44">
    <w:name w:val="批注文字 字符"/>
    <w:link w:val="12"/>
    <w:qFormat/>
    <w:uiPriority w:val="99"/>
    <w:rPr>
      <w:rFonts w:ascii="宋体" w:hAnsi="Calibri" w:eastAsia="宋体" w:cs="Times New Roman"/>
      <w:sz w:val="34"/>
      <w:szCs w:val="22"/>
    </w:rPr>
  </w:style>
  <w:style w:type="character" w:customStyle="1" w:styleId="45">
    <w:name w:val="批注框文本 字符"/>
    <w:link w:val="18"/>
    <w:qFormat/>
    <w:uiPriority w:val="0"/>
    <w:rPr>
      <w:rFonts w:ascii="Calibri" w:hAnsi="Calibri" w:eastAsia="宋体" w:cs="Times New Roman"/>
      <w:kern w:val="2"/>
      <w:sz w:val="18"/>
      <w:szCs w:val="18"/>
    </w:rPr>
  </w:style>
  <w:style w:type="character" w:customStyle="1" w:styleId="46">
    <w:name w:val="批注主题 字符"/>
    <w:link w:val="28"/>
    <w:qFormat/>
    <w:uiPriority w:val="0"/>
    <w:rPr>
      <w:rFonts w:ascii="Calibri" w:hAnsi="Calibri" w:eastAsia="宋体" w:cs="Times New Roman"/>
      <w:b/>
      <w:bCs/>
      <w:kern w:val="2"/>
      <w:sz w:val="21"/>
      <w:szCs w:val="22"/>
    </w:rPr>
  </w:style>
  <w:style w:type="character" w:customStyle="1" w:styleId="47">
    <w:name w:val="font11"/>
    <w:qFormat/>
    <w:uiPriority w:val="0"/>
    <w:rPr>
      <w:rFonts w:hint="eastAsia" w:ascii="宋体" w:hAnsi="宋体" w:eastAsia="宋体" w:cs="宋体"/>
      <w:color w:val="000000"/>
      <w:sz w:val="22"/>
      <w:szCs w:val="22"/>
      <w:u w:val="none"/>
    </w:rPr>
  </w:style>
  <w:style w:type="character" w:customStyle="1" w:styleId="48">
    <w:name w:val="del3"/>
    <w:qFormat/>
    <w:uiPriority w:val="0"/>
    <w:rPr>
      <w:vanish/>
    </w:rPr>
  </w:style>
  <w:style w:type="character" w:customStyle="1" w:styleId="49">
    <w:name w:val="15"/>
    <w:qFormat/>
    <w:uiPriority w:val="0"/>
    <w:rPr>
      <w:rFonts w:hint="default" w:ascii="Calibri" w:hAnsi="Calibri"/>
      <w:i/>
      <w:iCs/>
    </w:rPr>
  </w:style>
  <w:style w:type="character" w:customStyle="1" w:styleId="50">
    <w:name w:val="font01"/>
    <w:qFormat/>
    <w:uiPriority w:val="0"/>
    <w:rPr>
      <w:rFonts w:hint="eastAsia" w:ascii="宋体" w:hAnsi="宋体" w:eastAsia="宋体" w:cs="宋体"/>
      <w:b/>
      <w:color w:val="000000"/>
      <w:sz w:val="24"/>
      <w:szCs w:val="24"/>
      <w:u w:val="none"/>
    </w:rPr>
  </w:style>
  <w:style w:type="character" w:customStyle="1" w:styleId="51">
    <w:name w:val="del2"/>
    <w:qFormat/>
    <w:uiPriority w:val="0"/>
    <w:rPr>
      <w:vanish/>
    </w:rPr>
  </w:style>
  <w:style w:type="character" w:customStyle="1" w:styleId="52">
    <w:name w:val="apple-style-span"/>
    <w:qFormat/>
    <w:uiPriority w:val="0"/>
  </w:style>
  <w:style w:type="character" w:customStyle="1" w:styleId="53">
    <w:name w:val="font61"/>
    <w:qFormat/>
    <w:uiPriority w:val="0"/>
    <w:rPr>
      <w:rFonts w:hint="default" w:ascii="Tahoma" w:hAnsi="Tahoma" w:eastAsia="Tahoma" w:cs="Tahoma"/>
      <w:color w:val="000000"/>
      <w:sz w:val="22"/>
      <w:szCs w:val="22"/>
      <w:u w:val="none"/>
    </w:rPr>
  </w:style>
  <w:style w:type="character" w:customStyle="1" w:styleId="54">
    <w:name w:val="del"/>
    <w:qFormat/>
    <w:uiPriority w:val="0"/>
  </w:style>
  <w:style w:type="character" w:customStyle="1" w:styleId="55">
    <w:name w:val="10"/>
    <w:qFormat/>
    <w:uiPriority w:val="0"/>
    <w:rPr>
      <w:rFonts w:hint="default" w:ascii="Calibri" w:hAnsi="Calibri"/>
    </w:rPr>
  </w:style>
  <w:style w:type="character" w:customStyle="1" w:styleId="56">
    <w:name w:val="del1"/>
    <w:qFormat/>
    <w:uiPriority w:val="0"/>
    <w:rPr>
      <w:vanish/>
      <w:color w:val="666666"/>
      <w:sz w:val="18"/>
      <w:szCs w:val="18"/>
      <w:u w:val="single"/>
    </w:rPr>
  </w:style>
  <w:style w:type="paragraph" w:customStyle="1" w:styleId="57">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8">
    <w:name w:val="List Paragraph1"/>
    <w:basedOn w:val="1"/>
    <w:qFormat/>
    <w:uiPriority w:val="99"/>
    <w:pPr>
      <w:ind w:firstLine="420" w:firstLineChars="200"/>
    </w:pPr>
  </w:style>
  <w:style w:type="paragraph" w:customStyle="1" w:styleId="59">
    <w:name w:val="列出段落11"/>
    <w:basedOn w:val="1"/>
    <w:qFormat/>
    <w:uiPriority w:val="99"/>
    <w:pPr>
      <w:ind w:firstLine="420" w:firstLineChars="200"/>
    </w:pPr>
  </w:style>
  <w:style w:type="paragraph" w:customStyle="1" w:styleId="60">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列出段落3"/>
    <w:basedOn w:val="1"/>
    <w:qFormat/>
    <w:uiPriority w:val="0"/>
    <w:pPr>
      <w:ind w:firstLine="420" w:firstLineChars="200"/>
    </w:pPr>
    <w:rPr>
      <w:rFonts w:ascii="宋体"/>
      <w:sz w:val="28"/>
    </w:rPr>
  </w:style>
  <w:style w:type="paragraph" w:customStyle="1" w:styleId="63">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列出段落6"/>
    <w:basedOn w:val="1"/>
    <w:qFormat/>
    <w:uiPriority w:val="34"/>
    <w:pPr>
      <w:widowControl/>
      <w:spacing w:after="200" w:line="276" w:lineRule="auto"/>
      <w:ind w:left="720"/>
      <w:contextualSpacing/>
      <w:jc w:val="left"/>
    </w:pPr>
    <w:rPr>
      <w:kern w:val="0"/>
      <w:sz w:val="22"/>
    </w:rPr>
  </w:style>
  <w:style w:type="paragraph" w:customStyle="1" w:styleId="68">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9">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0">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1">
    <w:name w:val="表格样式 2"/>
    <w:qFormat/>
    <w:uiPriority w:val="0"/>
    <w:rPr>
      <w:rFonts w:ascii="Helvetica Neue" w:hAnsi="Helvetica Neue" w:eastAsia="Helvetica Neue" w:cs="Helvetica Neue"/>
      <w:color w:val="000000"/>
      <w:lang w:val="en-US" w:eastAsia="zh-CN" w:bidi="ar-SA"/>
    </w:rPr>
  </w:style>
  <w:style w:type="paragraph" w:customStyle="1" w:styleId="7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4">
    <w:name w:val="列出段落4"/>
    <w:basedOn w:val="1"/>
    <w:qFormat/>
    <w:uiPriority w:val="34"/>
    <w:pPr>
      <w:ind w:firstLine="420" w:firstLineChars="200"/>
    </w:pPr>
  </w:style>
  <w:style w:type="paragraph" w:customStyle="1" w:styleId="75">
    <w:name w:val="正文框"/>
    <w:basedOn w:val="1"/>
    <w:qFormat/>
    <w:uiPriority w:val="0"/>
    <w:pPr>
      <w:widowControl/>
      <w:adjustRightInd w:val="0"/>
      <w:spacing w:line="312" w:lineRule="atLeast"/>
      <w:jc w:val="left"/>
      <w:textAlignment w:val="baseline"/>
    </w:pPr>
    <w:rPr>
      <w:sz w:val="24"/>
    </w:rPr>
  </w:style>
  <w:style w:type="paragraph" w:customStyle="1" w:styleId="76">
    <w:name w:val="列出段落1"/>
    <w:basedOn w:val="1"/>
    <w:qFormat/>
    <w:uiPriority w:val="99"/>
    <w:pPr>
      <w:ind w:firstLine="420" w:firstLineChars="200"/>
    </w:pPr>
  </w:style>
  <w:style w:type="paragraph" w:customStyle="1" w:styleId="77">
    <w:name w:val="列出段落12"/>
    <w:basedOn w:val="1"/>
    <w:unhideWhenUsed/>
    <w:qFormat/>
    <w:uiPriority w:val="99"/>
    <w:pPr>
      <w:ind w:firstLine="420" w:firstLineChars="200"/>
    </w:pPr>
  </w:style>
  <w:style w:type="paragraph" w:customStyle="1" w:styleId="78">
    <w:name w:val="表格样式 1"/>
    <w:qFormat/>
    <w:uiPriority w:val="0"/>
    <w:rPr>
      <w:rFonts w:ascii="Helvetica Neue" w:hAnsi="Helvetica Neue" w:eastAsia="Helvetica Neue" w:cs="Helvetica Neue"/>
      <w:b/>
      <w:bCs/>
      <w:color w:val="000000"/>
      <w:lang w:val="en-US" w:eastAsia="zh-CN" w:bidi="ar-SA"/>
    </w:rPr>
  </w:style>
  <w:style w:type="paragraph" w:customStyle="1" w:styleId="79">
    <w:name w:val="Char"/>
    <w:basedOn w:val="1"/>
    <w:qFormat/>
    <w:uiPriority w:val="0"/>
    <w:pPr>
      <w:jc w:val="left"/>
    </w:pPr>
    <w:rPr>
      <w:rFonts w:ascii="Tahoma" w:hAnsi="Tahoma"/>
      <w:sz w:val="24"/>
      <w:szCs w:val="20"/>
    </w:rPr>
  </w:style>
  <w:style w:type="paragraph" w:customStyle="1" w:styleId="80">
    <w:name w:val="列出段落61"/>
    <w:basedOn w:val="1"/>
    <w:qFormat/>
    <w:uiPriority w:val="34"/>
    <w:pPr>
      <w:widowControl/>
      <w:spacing w:after="200" w:line="276" w:lineRule="auto"/>
      <w:ind w:left="720"/>
      <w:contextualSpacing/>
      <w:jc w:val="left"/>
    </w:pPr>
    <w:rPr>
      <w:kern w:val="0"/>
      <w:sz w:val="22"/>
    </w:rPr>
  </w:style>
  <w:style w:type="paragraph" w:customStyle="1" w:styleId="81">
    <w:name w:val="Char2 Char Char Char"/>
    <w:basedOn w:val="1"/>
    <w:qFormat/>
    <w:uiPriority w:val="0"/>
    <w:rPr>
      <w:rFonts w:ascii="Tahoma" w:hAnsi="Tahoma"/>
      <w:sz w:val="24"/>
      <w:szCs w:val="20"/>
    </w:rPr>
  </w:style>
  <w:style w:type="paragraph" w:customStyle="1" w:styleId="82">
    <w:name w:val="列出段落2"/>
    <w:basedOn w:val="1"/>
    <w:qFormat/>
    <w:uiPriority w:val="0"/>
    <w:pPr>
      <w:ind w:firstLine="420" w:firstLineChars="200"/>
    </w:pPr>
    <w:rPr>
      <w:rFonts w:ascii="宋体"/>
      <w:sz w:val="28"/>
    </w:rPr>
  </w:style>
  <w:style w:type="paragraph" w:customStyle="1" w:styleId="83">
    <w:name w:val="_Style 2"/>
    <w:basedOn w:val="1"/>
    <w:qFormat/>
    <w:uiPriority w:val="34"/>
    <w:pPr>
      <w:ind w:firstLine="420" w:firstLineChars="200"/>
    </w:pPr>
  </w:style>
  <w:style w:type="paragraph" w:customStyle="1" w:styleId="84">
    <w:name w:val="list number ＋left spaceing"/>
    <w:basedOn w:val="8"/>
    <w:qFormat/>
    <w:uiPriority w:val="0"/>
    <w:pPr>
      <w:widowControl/>
      <w:tabs>
        <w:tab w:val="left" w:pos="839"/>
      </w:tabs>
      <w:ind w:left="0" w:firstLine="0"/>
      <w:jc w:val="left"/>
    </w:pPr>
    <w:rPr>
      <w:kern w:val="0"/>
    </w:rPr>
  </w:style>
  <w:style w:type="paragraph" w:customStyle="1" w:styleId="85">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6">
    <w:name w:val="列出段落5"/>
    <w:basedOn w:val="1"/>
    <w:unhideWhenUsed/>
    <w:qFormat/>
    <w:uiPriority w:val="99"/>
    <w:pPr>
      <w:ind w:firstLine="420" w:firstLineChars="200"/>
    </w:pPr>
  </w:style>
  <w:style w:type="paragraph" w:customStyle="1" w:styleId="87">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8">
    <w:name w:val="Table Paragraph"/>
    <w:basedOn w:val="1"/>
    <w:qFormat/>
    <w:uiPriority w:val="0"/>
    <w:pPr>
      <w:autoSpaceDE w:val="0"/>
      <w:autoSpaceDN w:val="0"/>
      <w:jc w:val="left"/>
    </w:pPr>
    <w:rPr>
      <w:rFonts w:hint="eastAsia" w:ascii="宋体" w:hAnsi="宋体"/>
      <w:kern w:val="0"/>
      <w:sz w:val="22"/>
    </w:rPr>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21"/>
    <w:qFormat/>
    <w:uiPriority w:val="0"/>
    <w:rPr>
      <w:rFonts w:hint="eastAsia" w:ascii="宋体" w:hAnsi="宋体" w:eastAsia="宋体" w:cs="宋体"/>
      <w:color w:val="000000"/>
      <w:sz w:val="21"/>
      <w:szCs w:val="21"/>
      <w:u w:val="none"/>
    </w:rPr>
  </w:style>
  <w:style w:type="paragraph" w:customStyle="1" w:styleId="91">
    <w:name w:val="_Style 87"/>
    <w:unhideWhenUsed/>
    <w:qFormat/>
    <w:uiPriority w:val="99"/>
    <w:rPr>
      <w:rFonts w:ascii="Times New Roman" w:hAnsi="Times New Roman" w:eastAsia="宋体" w:cs="Times New Roman"/>
      <w:kern w:val="2"/>
      <w:sz w:val="21"/>
      <w:szCs w:val="22"/>
      <w:lang w:val="en-US" w:eastAsia="zh-CN" w:bidi="ar-SA"/>
    </w:rPr>
  </w:style>
  <w:style w:type="paragraph" w:styleId="92">
    <w:name w:val="List Paragraph"/>
    <w:basedOn w:val="1"/>
    <w:qFormat/>
    <w:uiPriority w:val="34"/>
    <w:pPr>
      <w:ind w:left="720"/>
      <w:contextualSpacing/>
    </w:pPr>
    <w:rPr>
      <w:szCs w:val="24"/>
    </w:rPr>
  </w:style>
  <w:style w:type="character" w:customStyle="1" w:styleId="93">
    <w:name w:val="NormalCharacter"/>
    <w:qFormat/>
    <w:uiPriority w:val="0"/>
  </w:style>
  <w:style w:type="paragraph" w:customStyle="1" w:styleId="94">
    <w:name w:val="*正文"/>
    <w:basedOn w:val="1"/>
    <w:qFormat/>
    <w:uiPriority w:val="0"/>
    <w:rPr>
      <w:rFonts w:ascii="宋体" w:hAnsi="宋体"/>
    </w:rPr>
  </w:style>
  <w:style w:type="paragraph" w:customStyle="1" w:styleId="95">
    <w:name w:val="正文缩进2字符"/>
    <w:basedOn w:val="1"/>
    <w:qFormat/>
    <w:uiPriority w:val="0"/>
    <w:pPr>
      <w:ind w:firstLine="480"/>
    </w:pPr>
    <w:rPr>
      <w:rFonts w:cs="宋体" w:asciiTheme="minorHAnsi" w:hAnsiTheme="minorHAnsi"/>
      <w:szCs w:val="20"/>
    </w:rPr>
  </w:style>
  <w:style w:type="paragraph" w:styleId="96">
    <w:name w:val="No Spacing"/>
    <w:qFormat/>
    <w:uiPriority w:val="1"/>
    <w:pPr>
      <w:widowControl w:val="0"/>
      <w:ind w:firstLine="200" w:firstLineChars="200"/>
    </w:pPr>
    <w:rPr>
      <w:rFonts w:eastAsia="宋体" w:asciiTheme="minorHAnsi" w:hAnsiTheme="minorHAnsi" w:cstheme="minorBidi"/>
      <w:kern w:val="2"/>
      <w:sz w:val="24"/>
      <w:szCs w:val="22"/>
      <w:lang w:val="en-US" w:eastAsia="zh-CN" w:bidi="ar-SA"/>
    </w:rPr>
  </w:style>
  <w:style w:type="paragraph" w:customStyle="1" w:styleId="97">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9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header" Target="header6.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55</Pages>
  <Words>21480</Words>
  <Characters>22875</Characters>
  <Lines>264</Lines>
  <Paragraphs>74</Paragraphs>
  <TotalTime>5</TotalTime>
  <ScaleCrop>false</ScaleCrop>
  <LinksUpToDate>false</LinksUpToDate>
  <CharactersWithSpaces>24424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Administrator</dc:creator>
  <cp:lastModifiedBy>health</cp:lastModifiedBy>
  <cp:lastPrinted>2023-05-17T01:38:00Z</cp:lastPrinted>
  <dcterms:modified xsi:type="dcterms:W3CDTF">2023-07-21T06:49:30Z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91BDB47D7C164A7CAA7B59F388EB8CFE</vt:lpwstr>
  </property>
</Properties>
</file>