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28"/>
          <w:szCs w:val="28"/>
        </w:rPr>
      </w:pPr>
      <w:bookmarkStart w:id="0" w:name="OLE_LINK9"/>
      <w:r>
        <w:rPr>
          <w:rFonts w:hint="eastAsia" w:asciiTheme="minorEastAsia" w:hAnsiTheme="minorEastAsia" w:cstheme="minorEastAsia"/>
          <w:b/>
          <w:sz w:val="28"/>
          <w:szCs w:val="28"/>
        </w:rPr>
        <w:t>政府采购项目</w:t>
      </w:r>
    </w:p>
    <w:p>
      <w:pPr>
        <w:adjustRightInd w:val="0"/>
        <w:snapToGrid w:val="0"/>
        <w:spacing w:line="360" w:lineRule="auto"/>
        <w:jc w:val="left"/>
        <w:rPr>
          <w:rFonts w:hint="eastAsia" w:asciiTheme="minorEastAsia" w:hAnsiTheme="minorEastAsia" w:eastAsiaTheme="minorEastAsia" w:cstheme="minorEastAsia"/>
          <w:b/>
          <w:sz w:val="28"/>
          <w:szCs w:val="28"/>
          <w:lang w:eastAsia="zh-CN"/>
        </w:rPr>
      </w:pPr>
      <w:r>
        <w:rPr>
          <w:rFonts w:hint="eastAsia" w:asciiTheme="minorEastAsia" w:hAnsiTheme="minorEastAsia" w:cstheme="minorEastAsia"/>
          <w:b/>
          <w:sz w:val="28"/>
          <w:szCs w:val="28"/>
        </w:rPr>
        <w:t>项目编号：</w:t>
      </w:r>
      <w:r>
        <w:rPr>
          <w:rFonts w:hint="eastAsia" w:asciiTheme="minorEastAsia" w:hAnsiTheme="minorEastAsia" w:cstheme="minorEastAsia"/>
          <w:b/>
          <w:sz w:val="28"/>
          <w:szCs w:val="28"/>
          <w:lang w:eastAsia="zh-CN"/>
        </w:rPr>
        <w:t>SXWZ2022ZB-YXY-126A</w:t>
      </w:r>
    </w:p>
    <w:p>
      <w:pPr>
        <w:adjustRightInd w:val="0"/>
        <w:snapToGrid w:val="0"/>
        <w:spacing w:line="360" w:lineRule="auto"/>
        <w:rPr>
          <w:rFonts w:asciiTheme="minorEastAsia" w:hAnsiTheme="minorEastAsia" w:cstheme="minorEastAsia"/>
          <w:b/>
          <w:sz w:val="44"/>
          <w:szCs w:val="44"/>
        </w:rPr>
      </w:pPr>
    </w:p>
    <w:p>
      <w:pPr>
        <w:adjustRightInd w:val="0"/>
        <w:snapToGrid w:val="0"/>
        <w:spacing w:line="360" w:lineRule="auto"/>
        <w:rPr>
          <w:rFonts w:asciiTheme="minorEastAsia" w:hAnsiTheme="minorEastAsia" w:cstheme="minorEastAsia"/>
          <w:b/>
          <w:sz w:val="10"/>
          <w:szCs w:val="10"/>
        </w:rPr>
      </w:pPr>
    </w:p>
    <w:p>
      <w:pPr>
        <w:adjustRightInd w:val="0"/>
        <w:snapToGrid w:val="0"/>
        <w:spacing w:line="360" w:lineRule="auto"/>
        <w:jc w:val="center"/>
        <w:rPr>
          <w:rFonts w:hint="eastAsia" w:asciiTheme="minorEastAsia" w:hAnsiTheme="minorEastAsia" w:cstheme="minorEastAsia"/>
          <w:b/>
          <w:sz w:val="44"/>
          <w:szCs w:val="21"/>
          <w:lang w:eastAsia="zh-CN"/>
        </w:rPr>
      </w:pPr>
      <w:bookmarkStart w:id="1" w:name="OLE_LINK10"/>
      <w:bookmarkEnd w:id="1"/>
      <w:r>
        <w:rPr>
          <w:rFonts w:hint="eastAsia" w:asciiTheme="minorEastAsia" w:hAnsiTheme="minorEastAsia" w:cstheme="minorEastAsia"/>
          <w:b/>
          <w:sz w:val="44"/>
          <w:szCs w:val="21"/>
          <w:lang w:eastAsia="zh-CN"/>
        </w:rPr>
        <w:t>西安医学院基本教学实验设备补充更新项目</w:t>
      </w:r>
    </w:p>
    <w:p>
      <w:pPr>
        <w:adjustRightInd w:val="0"/>
        <w:snapToGrid w:val="0"/>
        <w:spacing w:line="360" w:lineRule="auto"/>
        <w:jc w:val="center"/>
        <w:rPr>
          <w:rFonts w:hint="eastAsia" w:asciiTheme="minorEastAsia" w:hAnsiTheme="minorEastAsia" w:eastAsiaTheme="minorEastAsia" w:cstheme="minorEastAsia"/>
          <w:b/>
          <w:i/>
          <w:sz w:val="48"/>
          <w:lang w:eastAsia="zh-CN"/>
        </w:rPr>
      </w:pPr>
      <w:r>
        <w:rPr>
          <w:rFonts w:hint="eastAsia" w:asciiTheme="minorEastAsia" w:hAnsiTheme="minorEastAsia" w:cstheme="minorEastAsia"/>
          <w:b/>
          <w:sz w:val="44"/>
          <w:szCs w:val="21"/>
          <w:lang w:eastAsia="zh-CN"/>
        </w:rPr>
        <w:t>（二次）</w:t>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r>
        <w:rPr>
          <w:rFonts w:hint="eastAsia" w:asciiTheme="minorEastAsia" w:hAnsiTheme="minorEastAsia" w:cstheme="minorEastAsia"/>
          <w:b/>
          <w:i/>
          <w:sz w:val="48"/>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379730</wp:posOffset>
            </wp:positionV>
            <wp:extent cx="2312670" cy="1600200"/>
            <wp:effectExtent l="0" t="0" r="11430" b="0"/>
            <wp:wrapTight wrapText="bothSides">
              <wp:wrapPolygon>
                <wp:start x="0" y="0"/>
                <wp:lineTo x="0" y="21343"/>
                <wp:lineTo x="21351" y="21343"/>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1" cstate="print"/>
                    <a:stretch>
                      <a:fillRect/>
                    </a:stretch>
                  </pic:blipFill>
                  <pic:spPr>
                    <a:xfrm>
                      <a:off x="0" y="0"/>
                      <a:ext cx="2312670" cy="1600200"/>
                    </a:xfrm>
                    <a:prstGeom prst="rect">
                      <a:avLst/>
                    </a:prstGeom>
                    <a:noFill/>
                    <a:ln w="9525">
                      <a:noFill/>
                      <a:miter/>
                    </a:ln>
                    <a:effectLst/>
                  </pic:spPr>
                </pic:pic>
              </a:graphicData>
            </a:graphic>
          </wp:anchor>
        </w:drawing>
      </w:r>
    </w:p>
    <w:p>
      <w:pPr>
        <w:adjustRightInd w:val="0"/>
        <w:snapToGrid w:val="0"/>
        <w:spacing w:line="360" w:lineRule="auto"/>
        <w:jc w:val="left"/>
        <w:rPr>
          <w:rFonts w:asciiTheme="minorEastAsia" w:hAnsiTheme="minorEastAsia" w:cstheme="minorEastAsia"/>
          <w:b/>
          <w:sz w:val="52"/>
          <w:szCs w:val="52"/>
        </w:rPr>
      </w:pPr>
      <w:r>
        <w:rPr>
          <w:rFonts w:hint="eastAsia" w:asciiTheme="minorEastAsia" w:hAnsiTheme="minorEastAsia" w:cstheme="minorEastAsia"/>
          <w:b/>
          <w:sz w:val="52"/>
          <w:szCs w:val="52"/>
        </w:rPr>
        <w:t xml:space="preserve">                    </w:t>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招标文件</w:t>
      </w:r>
    </w:p>
    <w:p>
      <w:pPr>
        <w:adjustRightInd w:val="0"/>
        <w:snapToGrid w:val="0"/>
        <w:spacing w:line="360" w:lineRule="auto"/>
        <w:jc w:val="left"/>
        <w:rPr>
          <w:rFonts w:asciiTheme="minorEastAsia" w:hAnsiTheme="minorEastAsia" w:cstheme="minorEastAsia"/>
          <w:b/>
          <w:sz w:val="30"/>
        </w:rPr>
      </w:pPr>
      <w:r>
        <w:rPr>
          <w:rFonts w:hint="eastAsia" w:asciiTheme="minorEastAsia" w:hAnsiTheme="minorEastAsia" w:cstheme="minorEastAsia"/>
          <w:b/>
          <w:sz w:val="30"/>
        </w:rPr>
        <w:t xml:space="preserve">              </w:t>
      </w:r>
    </w:p>
    <w:p>
      <w:pPr>
        <w:adjustRightInd w:val="0"/>
        <w:snapToGrid w:val="0"/>
        <w:spacing w:line="360" w:lineRule="auto"/>
        <w:jc w:val="left"/>
        <w:rPr>
          <w:rFonts w:asciiTheme="minorEastAsia" w:hAnsiTheme="minorEastAsia" w:cstheme="minorEastAsia"/>
          <w:b/>
          <w:sz w:val="30"/>
        </w:rPr>
      </w:pPr>
    </w:p>
    <w:p>
      <w:pPr>
        <w:adjustRightInd w:val="0"/>
        <w:snapToGrid w:val="0"/>
        <w:spacing w:line="360" w:lineRule="auto"/>
        <w:ind w:firstLine="2108" w:firstLineChars="700"/>
        <w:jc w:val="left"/>
        <w:rPr>
          <w:rFonts w:asciiTheme="minorEastAsia" w:hAnsiTheme="minorEastAsia" w:cstheme="minorEastAsia"/>
          <w:b/>
          <w:sz w:val="30"/>
        </w:rPr>
      </w:pPr>
    </w:p>
    <w:p>
      <w:pPr>
        <w:adjustRightInd w:val="0"/>
        <w:snapToGrid w:val="0"/>
        <w:spacing w:line="360" w:lineRule="auto"/>
        <w:ind w:firstLine="2108" w:firstLineChars="700"/>
        <w:jc w:val="left"/>
        <w:rPr>
          <w:rFonts w:asciiTheme="minorEastAsia" w:hAnsiTheme="minorEastAsia" w:cstheme="minorEastAsia"/>
          <w:b/>
          <w:sz w:val="28"/>
          <w:szCs w:val="28"/>
        </w:rPr>
      </w:pPr>
      <w:r>
        <w:rPr>
          <w:rFonts w:hint="eastAsia" w:asciiTheme="minorEastAsia" w:hAnsiTheme="minorEastAsia" w:cstheme="minorEastAsia"/>
          <w:b/>
          <w:sz w:val="30"/>
        </w:rPr>
        <w:t xml:space="preserve"> </w:t>
      </w:r>
      <w:r>
        <w:rPr>
          <w:rFonts w:hint="eastAsia" w:asciiTheme="minorEastAsia" w:hAnsiTheme="minorEastAsia" w:cstheme="minorEastAsia"/>
          <w:b/>
          <w:sz w:val="28"/>
          <w:szCs w:val="28"/>
        </w:rPr>
        <w:t>采   购   人：西安医学院</w:t>
      </w:r>
    </w:p>
    <w:p>
      <w:pPr>
        <w:adjustRightInd w:val="0"/>
        <w:snapToGrid w:val="0"/>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采购代理机构：陕西万泽招标有限公司</w:t>
      </w:r>
    </w:p>
    <w:p>
      <w:pPr>
        <w:adjustRightInd w:val="0"/>
        <w:snapToGrid w:val="0"/>
        <w:spacing w:line="360" w:lineRule="auto"/>
        <w:jc w:val="center"/>
        <w:rPr>
          <w:rFonts w:asciiTheme="minorEastAsia" w:hAnsiTheme="minorEastAsia" w:cstheme="minorEastAsia"/>
          <w:b/>
          <w:color w:val="FF0000"/>
          <w:sz w:val="28"/>
          <w:szCs w:val="28"/>
        </w:rPr>
      </w:pPr>
      <w:r>
        <w:rPr>
          <w:rFonts w:hint="eastAsia" w:asciiTheme="minorEastAsia" w:hAnsiTheme="minorEastAsia" w:cstheme="minorEastAsia"/>
          <w:b/>
          <w:sz w:val="28"/>
          <w:szCs w:val="28"/>
        </w:rPr>
        <w:t>二〇二二年</w:t>
      </w:r>
      <w:r>
        <w:rPr>
          <w:rFonts w:hint="eastAsia" w:asciiTheme="minorEastAsia" w:hAnsiTheme="minorEastAsia" w:cstheme="minorEastAsia"/>
          <w:b/>
          <w:sz w:val="28"/>
          <w:szCs w:val="28"/>
          <w:lang w:val="en-US" w:eastAsia="zh-CN"/>
        </w:rPr>
        <w:t>九</w:t>
      </w:r>
      <w:r>
        <w:rPr>
          <w:rFonts w:hint="eastAsia" w:asciiTheme="minorEastAsia" w:hAnsiTheme="minorEastAsia" w:cstheme="minorEastAsia"/>
          <w:b/>
          <w:sz w:val="28"/>
          <w:szCs w:val="28"/>
        </w:rPr>
        <w:t>月</w:t>
      </w:r>
    </w:p>
    <w:p>
      <w:pPr>
        <w:adjustRightInd w:val="0"/>
        <w:snapToGrid w:val="0"/>
        <w:spacing w:line="600" w:lineRule="auto"/>
        <w:rPr>
          <w:rFonts w:asciiTheme="minorEastAsia" w:hAnsiTheme="minorEastAsia" w:cstheme="minorEastAsia"/>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15"/>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pPr>
        <w:pStyle w:val="15"/>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fldChar w:fldCharType="begin"/>
      </w:r>
      <w:r>
        <w:instrText xml:space="preserve"> HYPERLINK \l "_Toc6708" </w:instrText>
      </w:r>
      <w:r>
        <w:fldChar w:fldCharType="separate"/>
      </w:r>
      <w:r>
        <w:rPr>
          <w:rFonts w:hint="eastAsia" w:asciiTheme="minorEastAsia" w:hAnsiTheme="minorEastAsia" w:cstheme="minorEastAsia"/>
          <w:szCs w:val="36"/>
        </w:rPr>
        <w:t>第一部分  公开招标公告</w:t>
      </w:r>
      <w:r>
        <w:tab/>
      </w:r>
      <w:r>
        <w:fldChar w:fldCharType="begin"/>
      </w:r>
      <w:r>
        <w:instrText xml:space="preserve"> PAGEREF _Toc6708 \h </w:instrText>
      </w:r>
      <w:r>
        <w:fldChar w:fldCharType="separate"/>
      </w:r>
      <w:r>
        <w:t>3</w:t>
      </w:r>
      <w:r>
        <w:fldChar w:fldCharType="end"/>
      </w:r>
      <w:r>
        <w:fldChar w:fldCharType="end"/>
      </w:r>
    </w:p>
    <w:p>
      <w:pPr>
        <w:pStyle w:val="15"/>
        <w:tabs>
          <w:tab w:val="right" w:leader="dot" w:pos="9298"/>
        </w:tabs>
      </w:pPr>
      <w:r>
        <w:fldChar w:fldCharType="begin"/>
      </w:r>
      <w:r>
        <w:instrText xml:space="preserve"> HYPERLINK \l "_Toc29436" </w:instrText>
      </w:r>
      <w:r>
        <w:fldChar w:fldCharType="separate"/>
      </w:r>
      <w:r>
        <w:rPr>
          <w:rFonts w:hint="eastAsia" w:asciiTheme="minorEastAsia" w:hAnsiTheme="minorEastAsia" w:cstheme="minorEastAsia"/>
          <w:szCs w:val="36"/>
        </w:rPr>
        <w:t>第二部分  投标人须知前附表</w:t>
      </w:r>
      <w:r>
        <w:tab/>
      </w:r>
      <w:r>
        <w:fldChar w:fldCharType="begin"/>
      </w:r>
      <w:r>
        <w:instrText xml:space="preserve"> PAGEREF _Toc29436 \h </w:instrText>
      </w:r>
      <w:r>
        <w:fldChar w:fldCharType="separate"/>
      </w:r>
      <w:r>
        <w:t>6</w:t>
      </w:r>
      <w:r>
        <w:fldChar w:fldCharType="end"/>
      </w:r>
      <w:r>
        <w:fldChar w:fldCharType="end"/>
      </w:r>
    </w:p>
    <w:p>
      <w:pPr>
        <w:pStyle w:val="15"/>
        <w:tabs>
          <w:tab w:val="right" w:leader="dot" w:pos="9298"/>
        </w:tabs>
      </w:pPr>
      <w:r>
        <w:fldChar w:fldCharType="begin"/>
      </w:r>
      <w:r>
        <w:instrText xml:space="preserve"> HYPERLINK \l "_Toc18138" </w:instrText>
      </w:r>
      <w:r>
        <w:fldChar w:fldCharType="separate"/>
      </w:r>
      <w:r>
        <w:rPr>
          <w:rFonts w:hint="eastAsia"/>
          <w:szCs w:val="36"/>
        </w:rPr>
        <w:t>第三部分  投标人须知</w:t>
      </w:r>
      <w:r>
        <w:tab/>
      </w:r>
      <w:r>
        <w:fldChar w:fldCharType="begin"/>
      </w:r>
      <w:r>
        <w:instrText xml:space="preserve"> PAGEREF _Toc18138 \h </w:instrText>
      </w:r>
      <w:r>
        <w:fldChar w:fldCharType="separate"/>
      </w:r>
      <w:r>
        <w:t>9</w:t>
      </w:r>
      <w:r>
        <w:fldChar w:fldCharType="end"/>
      </w:r>
      <w:r>
        <w:fldChar w:fldCharType="end"/>
      </w:r>
    </w:p>
    <w:p>
      <w:pPr>
        <w:pStyle w:val="16"/>
        <w:tabs>
          <w:tab w:val="right" w:leader="dot" w:pos="9298"/>
        </w:tabs>
      </w:pPr>
      <w:r>
        <w:fldChar w:fldCharType="begin"/>
      </w:r>
      <w:r>
        <w:instrText xml:space="preserve"> HYPERLINK \l "_Toc17553" </w:instrText>
      </w:r>
      <w:r>
        <w:fldChar w:fldCharType="separate"/>
      </w:r>
      <w:r>
        <w:rPr>
          <w:rFonts w:hint="eastAsia" w:asciiTheme="minorEastAsia" w:hAnsiTheme="minorEastAsia" w:cstheme="minorEastAsia"/>
        </w:rPr>
        <w:t>一、总 则</w:t>
      </w:r>
      <w:r>
        <w:tab/>
      </w:r>
      <w:r>
        <w:fldChar w:fldCharType="begin"/>
      </w:r>
      <w:r>
        <w:instrText xml:space="preserve"> PAGEREF _Toc17553 \h </w:instrText>
      </w:r>
      <w:r>
        <w:fldChar w:fldCharType="separate"/>
      </w:r>
      <w:r>
        <w:t>9</w:t>
      </w:r>
      <w:r>
        <w:fldChar w:fldCharType="end"/>
      </w:r>
      <w:r>
        <w:fldChar w:fldCharType="end"/>
      </w:r>
    </w:p>
    <w:p>
      <w:pPr>
        <w:pStyle w:val="16"/>
        <w:tabs>
          <w:tab w:val="right" w:leader="dot" w:pos="9298"/>
        </w:tabs>
      </w:pPr>
      <w:r>
        <w:fldChar w:fldCharType="begin"/>
      </w:r>
      <w:r>
        <w:instrText xml:space="preserve"> HYPERLINK \l "_Toc25506" </w:instrText>
      </w:r>
      <w:r>
        <w:fldChar w:fldCharType="separate"/>
      </w:r>
      <w:r>
        <w:rPr>
          <w:rFonts w:hint="eastAsia"/>
        </w:rPr>
        <w:t>二、招标文件</w:t>
      </w:r>
      <w:r>
        <w:tab/>
      </w:r>
      <w:r>
        <w:fldChar w:fldCharType="begin"/>
      </w:r>
      <w:r>
        <w:instrText xml:space="preserve"> PAGEREF _Toc25506 \h </w:instrText>
      </w:r>
      <w:r>
        <w:fldChar w:fldCharType="separate"/>
      </w:r>
      <w:r>
        <w:t>11</w:t>
      </w:r>
      <w:r>
        <w:fldChar w:fldCharType="end"/>
      </w:r>
      <w:r>
        <w:fldChar w:fldCharType="end"/>
      </w:r>
    </w:p>
    <w:p>
      <w:pPr>
        <w:pStyle w:val="16"/>
        <w:tabs>
          <w:tab w:val="right" w:leader="dot" w:pos="9298"/>
        </w:tabs>
      </w:pPr>
      <w:r>
        <w:fldChar w:fldCharType="begin"/>
      </w:r>
      <w:r>
        <w:instrText xml:space="preserve"> HYPERLINK \l "_Toc28989" </w:instrText>
      </w:r>
      <w:r>
        <w:fldChar w:fldCharType="separate"/>
      </w:r>
      <w:r>
        <w:rPr>
          <w:rFonts w:hint="eastAsia" w:asciiTheme="minorEastAsia" w:hAnsiTheme="minorEastAsia" w:cstheme="minorEastAsia"/>
        </w:rPr>
        <w:t>三、投标文件</w:t>
      </w:r>
      <w:r>
        <w:tab/>
      </w:r>
      <w:r>
        <w:fldChar w:fldCharType="begin"/>
      </w:r>
      <w:r>
        <w:instrText xml:space="preserve"> PAGEREF _Toc28989 \h </w:instrText>
      </w:r>
      <w:r>
        <w:fldChar w:fldCharType="separate"/>
      </w:r>
      <w:r>
        <w:t>12</w:t>
      </w:r>
      <w:r>
        <w:fldChar w:fldCharType="end"/>
      </w:r>
      <w:r>
        <w:fldChar w:fldCharType="end"/>
      </w:r>
    </w:p>
    <w:p>
      <w:pPr>
        <w:pStyle w:val="16"/>
        <w:tabs>
          <w:tab w:val="right" w:leader="dot" w:pos="9298"/>
        </w:tabs>
      </w:pPr>
      <w:r>
        <w:fldChar w:fldCharType="begin"/>
      </w:r>
      <w:r>
        <w:instrText xml:space="preserve"> HYPERLINK \l "_Toc11701" </w:instrText>
      </w:r>
      <w:r>
        <w:fldChar w:fldCharType="separate"/>
      </w:r>
      <w:r>
        <w:rPr>
          <w:rFonts w:hint="eastAsia"/>
        </w:rPr>
        <w:t>四、投标文件的递交</w:t>
      </w:r>
      <w:r>
        <w:tab/>
      </w:r>
      <w:r>
        <w:fldChar w:fldCharType="begin"/>
      </w:r>
      <w:r>
        <w:instrText xml:space="preserve"> PAGEREF _Toc11701 \h </w:instrText>
      </w:r>
      <w:r>
        <w:fldChar w:fldCharType="separate"/>
      </w:r>
      <w:r>
        <w:t>16</w:t>
      </w:r>
      <w:r>
        <w:fldChar w:fldCharType="end"/>
      </w:r>
      <w:r>
        <w:fldChar w:fldCharType="end"/>
      </w:r>
    </w:p>
    <w:p>
      <w:pPr>
        <w:pStyle w:val="16"/>
        <w:tabs>
          <w:tab w:val="right" w:leader="dot" w:pos="9298"/>
        </w:tabs>
      </w:pPr>
      <w:r>
        <w:fldChar w:fldCharType="begin"/>
      </w:r>
      <w:r>
        <w:instrText xml:space="preserve"> HYPERLINK \l "_Toc5992" </w:instrText>
      </w:r>
      <w:r>
        <w:fldChar w:fldCharType="separate"/>
      </w:r>
      <w:r>
        <w:rPr>
          <w:rFonts w:hint="eastAsia"/>
        </w:rPr>
        <w:t>五、 开标、评审、定标</w:t>
      </w:r>
      <w:r>
        <w:tab/>
      </w:r>
      <w:r>
        <w:fldChar w:fldCharType="begin"/>
      </w:r>
      <w:r>
        <w:instrText xml:space="preserve"> PAGEREF _Toc5992 \h </w:instrText>
      </w:r>
      <w:r>
        <w:fldChar w:fldCharType="separate"/>
      </w:r>
      <w:r>
        <w:t>16</w:t>
      </w:r>
      <w:r>
        <w:fldChar w:fldCharType="end"/>
      </w:r>
      <w:r>
        <w:fldChar w:fldCharType="end"/>
      </w:r>
    </w:p>
    <w:p>
      <w:pPr>
        <w:pStyle w:val="16"/>
        <w:tabs>
          <w:tab w:val="right" w:leader="dot" w:pos="9298"/>
        </w:tabs>
      </w:pPr>
      <w:r>
        <w:fldChar w:fldCharType="begin"/>
      </w:r>
      <w:r>
        <w:instrText xml:space="preserve"> HYPERLINK \l "_Toc20526" </w:instrText>
      </w:r>
      <w:r>
        <w:fldChar w:fldCharType="separate"/>
      </w:r>
      <w:r>
        <w:rPr>
          <w:rFonts w:hint="eastAsia"/>
        </w:rPr>
        <w:t>六、履约验收</w:t>
      </w:r>
      <w:r>
        <w:tab/>
      </w:r>
      <w:r>
        <w:fldChar w:fldCharType="begin"/>
      </w:r>
      <w:r>
        <w:instrText xml:space="preserve"> PAGEREF _Toc20526 \h </w:instrText>
      </w:r>
      <w:r>
        <w:fldChar w:fldCharType="separate"/>
      </w:r>
      <w:r>
        <w:t>22</w:t>
      </w:r>
      <w:r>
        <w:fldChar w:fldCharType="end"/>
      </w:r>
      <w:r>
        <w:fldChar w:fldCharType="end"/>
      </w:r>
    </w:p>
    <w:p>
      <w:pPr>
        <w:pStyle w:val="16"/>
        <w:tabs>
          <w:tab w:val="right" w:leader="dot" w:pos="9298"/>
        </w:tabs>
      </w:pPr>
      <w:r>
        <w:fldChar w:fldCharType="begin"/>
      </w:r>
      <w:r>
        <w:instrText xml:space="preserve"> HYPERLINK \l "_Toc2734" </w:instrText>
      </w:r>
      <w:r>
        <w:fldChar w:fldCharType="separate"/>
      </w:r>
      <w:r>
        <w:rPr>
          <w:rFonts w:hint="eastAsia"/>
        </w:rPr>
        <w:t>七、签订合同</w:t>
      </w:r>
      <w:r>
        <w:tab/>
      </w:r>
      <w:r>
        <w:fldChar w:fldCharType="begin"/>
      </w:r>
      <w:r>
        <w:instrText xml:space="preserve"> PAGEREF _Toc2734 \h </w:instrText>
      </w:r>
      <w:r>
        <w:fldChar w:fldCharType="separate"/>
      </w:r>
      <w:r>
        <w:t>22</w:t>
      </w:r>
      <w:r>
        <w:fldChar w:fldCharType="end"/>
      </w:r>
      <w:r>
        <w:fldChar w:fldCharType="end"/>
      </w:r>
    </w:p>
    <w:p>
      <w:pPr>
        <w:pStyle w:val="16"/>
        <w:tabs>
          <w:tab w:val="right" w:leader="dot" w:pos="9298"/>
        </w:tabs>
      </w:pPr>
      <w:r>
        <w:fldChar w:fldCharType="begin"/>
      </w:r>
      <w:r>
        <w:instrText xml:space="preserve"> HYPERLINK \l "_Toc6499" </w:instrText>
      </w:r>
      <w:r>
        <w:fldChar w:fldCharType="separate"/>
      </w:r>
      <w:r>
        <w:rPr>
          <w:rFonts w:hint="eastAsia"/>
        </w:rPr>
        <w:t>八、代理服务费</w:t>
      </w:r>
      <w:r>
        <w:tab/>
      </w:r>
      <w:r>
        <w:fldChar w:fldCharType="begin"/>
      </w:r>
      <w:r>
        <w:instrText xml:space="preserve"> PAGEREF _Toc6499 \h </w:instrText>
      </w:r>
      <w:r>
        <w:fldChar w:fldCharType="separate"/>
      </w:r>
      <w:r>
        <w:t>22</w:t>
      </w:r>
      <w:r>
        <w:fldChar w:fldCharType="end"/>
      </w:r>
      <w:r>
        <w:fldChar w:fldCharType="end"/>
      </w:r>
    </w:p>
    <w:p>
      <w:pPr>
        <w:pStyle w:val="16"/>
        <w:tabs>
          <w:tab w:val="right" w:leader="dot" w:pos="9298"/>
        </w:tabs>
      </w:pPr>
      <w:r>
        <w:fldChar w:fldCharType="begin"/>
      </w:r>
      <w:r>
        <w:instrText xml:space="preserve"> HYPERLINK \l "_Toc11411" </w:instrText>
      </w:r>
      <w:r>
        <w:fldChar w:fldCharType="separate"/>
      </w:r>
      <w:r>
        <w:rPr>
          <w:rFonts w:hint="eastAsia"/>
        </w:rPr>
        <w:t>九、质疑和投诉</w:t>
      </w:r>
      <w:r>
        <w:tab/>
      </w:r>
      <w:r>
        <w:fldChar w:fldCharType="begin"/>
      </w:r>
      <w:r>
        <w:instrText xml:space="preserve"> PAGEREF _Toc11411 \h </w:instrText>
      </w:r>
      <w:r>
        <w:fldChar w:fldCharType="separate"/>
      </w:r>
      <w:r>
        <w:t>23</w:t>
      </w:r>
      <w:r>
        <w:fldChar w:fldCharType="end"/>
      </w:r>
      <w:r>
        <w:fldChar w:fldCharType="end"/>
      </w:r>
    </w:p>
    <w:p>
      <w:pPr>
        <w:pStyle w:val="15"/>
        <w:tabs>
          <w:tab w:val="right" w:leader="dot" w:pos="9298"/>
        </w:tabs>
      </w:pPr>
      <w:r>
        <w:fldChar w:fldCharType="begin"/>
      </w:r>
      <w:r>
        <w:instrText xml:space="preserve"> HYPERLINK \l "_Toc1864" </w:instrText>
      </w:r>
      <w:r>
        <w:fldChar w:fldCharType="separate"/>
      </w:r>
      <w:r>
        <w:rPr>
          <w:rFonts w:hint="eastAsia"/>
          <w:szCs w:val="36"/>
        </w:rPr>
        <w:t>第四部分  评审办法</w:t>
      </w:r>
      <w:r>
        <w:tab/>
      </w:r>
      <w:r>
        <w:fldChar w:fldCharType="begin"/>
      </w:r>
      <w:r>
        <w:instrText xml:space="preserve"> PAGEREF _Toc1864 \h </w:instrText>
      </w:r>
      <w:r>
        <w:fldChar w:fldCharType="separate"/>
      </w:r>
      <w:r>
        <w:t>25</w:t>
      </w:r>
      <w:r>
        <w:fldChar w:fldCharType="end"/>
      </w:r>
      <w:r>
        <w:fldChar w:fldCharType="end"/>
      </w:r>
    </w:p>
    <w:p>
      <w:pPr>
        <w:pStyle w:val="15"/>
        <w:tabs>
          <w:tab w:val="right" w:leader="dot" w:pos="9298"/>
        </w:tabs>
      </w:pPr>
      <w:r>
        <w:fldChar w:fldCharType="begin"/>
      </w:r>
      <w:r>
        <w:instrText xml:space="preserve"> HYPERLINK \l "_Toc975" </w:instrText>
      </w:r>
      <w:r>
        <w:fldChar w:fldCharType="separate"/>
      </w:r>
      <w:r>
        <w:rPr>
          <w:rFonts w:hint="eastAsia" w:asciiTheme="minorEastAsia" w:hAnsiTheme="minorEastAsia" w:cstheme="minorEastAsia"/>
          <w:szCs w:val="36"/>
        </w:rPr>
        <w:t>第五部分  采购要求</w:t>
      </w:r>
      <w:r>
        <w:tab/>
      </w:r>
      <w:r>
        <w:fldChar w:fldCharType="begin"/>
      </w:r>
      <w:r>
        <w:instrText xml:space="preserve"> PAGEREF _Toc975 \h </w:instrText>
      </w:r>
      <w:r>
        <w:fldChar w:fldCharType="separate"/>
      </w:r>
      <w:r>
        <w:t>28</w:t>
      </w:r>
      <w:r>
        <w:fldChar w:fldCharType="end"/>
      </w:r>
      <w:r>
        <w:fldChar w:fldCharType="end"/>
      </w:r>
    </w:p>
    <w:p>
      <w:pPr>
        <w:pStyle w:val="15"/>
        <w:tabs>
          <w:tab w:val="right" w:leader="dot" w:pos="9298"/>
        </w:tabs>
      </w:pPr>
      <w:r>
        <w:fldChar w:fldCharType="begin"/>
      </w:r>
      <w:r>
        <w:instrText xml:space="preserve"> HYPERLINK \l "_Toc19450" </w:instrText>
      </w:r>
      <w:r>
        <w:fldChar w:fldCharType="separate"/>
      </w:r>
      <w:r>
        <w:rPr>
          <w:rFonts w:hint="eastAsia" w:asciiTheme="minorEastAsia" w:hAnsiTheme="minorEastAsia" w:cstheme="minorEastAsia"/>
          <w:szCs w:val="36"/>
        </w:rPr>
        <w:t>第六部分 合同条款（参考合同）</w:t>
      </w:r>
      <w:r>
        <w:tab/>
      </w:r>
      <w:r>
        <w:fldChar w:fldCharType="begin"/>
      </w:r>
      <w:r>
        <w:instrText xml:space="preserve"> PAGEREF _Toc19450 \h </w:instrText>
      </w:r>
      <w:r>
        <w:fldChar w:fldCharType="separate"/>
      </w:r>
      <w:r>
        <w:t>49</w:t>
      </w:r>
      <w:r>
        <w:fldChar w:fldCharType="end"/>
      </w:r>
      <w:r>
        <w:fldChar w:fldCharType="end"/>
      </w:r>
    </w:p>
    <w:p>
      <w:pPr>
        <w:pStyle w:val="16"/>
        <w:tabs>
          <w:tab w:val="right" w:leader="dot" w:pos="9298"/>
        </w:tabs>
      </w:pPr>
      <w:r>
        <w:fldChar w:fldCharType="begin"/>
      </w:r>
      <w:r>
        <w:instrText xml:space="preserve"> HYPERLINK \l "_Toc20263" </w:instrText>
      </w:r>
      <w:r>
        <w:fldChar w:fldCharType="separate"/>
      </w:r>
      <w:r>
        <w:rPr>
          <w:rFonts w:hint="eastAsia" w:asciiTheme="minorEastAsia" w:hAnsiTheme="minorEastAsia" w:cstheme="minorEastAsia"/>
          <w:szCs w:val="28"/>
        </w:rPr>
        <w:t>合同格式</w:t>
      </w:r>
      <w:r>
        <w:tab/>
      </w:r>
      <w:r>
        <w:fldChar w:fldCharType="begin"/>
      </w:r>
      <w:r>
        <w:instrText xml:space="preserve"> PAGEREF _Toc20263 \h </w:instrText>
      </w:r>
      <w:r>
        <w:fldChar w:fldCharType="separate"/>
      </w:r>
      <w:r>
        <w:t>57</w:t>
      </w:r>
      <w:r>
        <w:fldChar w:fldCharType="end"/>
      </w:r>
      <w:r>
        <w:fldChar w:fldCharType="end"/>
      </w:r>
    </w:p>
    <w:p>
      <w:pPr>
        <w:pStyle w:val="15"/>
        <w:tabs>
          <w:tab w:val="right" w:leader="dot" w:pos="9298"/>
        </w:tabs>
      </w:pPr>
      <w:r>
        <w:fldChar w:fldCharType="begin"/>
      </w:r>
      <w:r>
        <w:instrText xml:space="preserve"> HYPERLINK \l "_Toc13252" </w:instrText>
      </w:r>
      <w:r>
        <w:fldChar w:fldCharType="separate"/>
      </w:r>
      <w:r>
        <w:rPr>
          <w:rFonts w:hint="eastAsia" w:asciiTheme="minorEastAsia" w:hAnsiTheme="minorEastAsia" w:cstheme="minorEastAsia"/>
          <w:szCs w:val="36"/>
        </w:rPr>
        <w:t>第七部分  投标文件格式</w:t>
      </w:r>
      <w:r>
        <w:tab/>
      </w:r>
      <w:r>
        <w:fldChar w:fldCharType="begin"/>
      </w:r>
      <w:r>
        <w:instrText xml:space="preserve"> PAGEREF _Toc13252 \h </w:instrText>
      </w:r>
      <w:r>
        <w:fldChar w:fldCharType="separate"/>
      </w:r>
      <w:r>
        <w:t>59</w:t>
      </w:r>
      <w:r>
        <w:fldChar w:fldCharType="end"/>
      </w:r>
      <w:r>
        <w:fldChar w:fldCharType="end"/>
      </w:r>
    </w:p>
    <w:p>
      <w:pPr>
        <w:pStyle w:val="16"/>
        <w:tabs>
          <w:tab w:val="right" w:leader="dot" w:pos="9298"/>
        </w:tabs>
      </w:pPr>
      <w:r>
        <w:fldChar w:fldCharType="begin"/>
      </w:r>
      <w:r>
        <w:instrText xml:space="preserve"> HYPERLINK \l "_Toc30704" </w:instrText>
      </w:r>
      <w:r>
        <w:fldChar w:fldCharType="separate"/>
      </w:r>
      <w:r>
        <w:rPr>
          <w:rFonts w:hint="eastAsia" w:asciiTheme="minorEastAsia" w:hAnsiTheme="minorEastAsia" w:cstheme="minorEastAsia"/>
          <w:szCs w:val="36"/>
        </w:rPr>
        <w:t>第一章  投标函</w:t>
      </w:r>
      <w:r>
        <w:tab/>
      </w:r>
      <w:r>
        <w:fldChar w:fldCharType="begin"/>
      </w:r>
      <w:r>
        <w:instrText xml:space="preserve"> PAGEREF _Toc30704 \h </w:instrText>
      </w:r>
      <w:r>
        <w:fldChar w:fldCharType="separate"/>
      </w:r>
      <w:r>
        <w:t>61</w:t>
      </w:r>
      <w:r>
        <w:fldChar w:fldCharType="end"/>
      </w:r>
      <w:r>
        <w:fldChar w:fldCharType="end"/>
      </w:r>
    </w:p>
    <w:p>
      <w:pPr>
        <w:pStyle w:val="16"/>
        <w:tabs>
          <w:tab w:val="right" w:leader="dot" w:pos="9298"/>
        </w:tabs>
      </w:pPr>
      <w:r>
        <w:fldChar w:fldCharType="begin"/>
      </w:r>
      <w:r>
        <w:instrText xml:space="preserve"> HYPERLINK \l "_Toc24595" </w:instrText>
      </w:r>
      <w:r>
        <w:fldChar w:fldCharType="separate"/>
      </w:r>
      <w:r>
        <w:rPr>
          <w:rFonts w:hint="eastAsia" w:asciiTheme="minorEastAsia" w:hAnsiTheme="minorEastAsia" w:cstheme="minorEastAsia"/>
          <w:szCs w:val="36"/>
        </w:rPr>
        <w:t>第二章  开标一览表</w:t>
      </w:r>
      <w:r>
        <w:tab/>
      </w:r>
      <w:r>
        <w:fldChar w:fldCharType="begin"/>
      </w:r>
      <w:r>
        <w:instrText xml:space="preserve"> PAGEREF _Toc24595 \h </w:instrText>
      </w:r>
      <w:r>
        <w:fldChar w:fldCharType="separate"/>
      </w:r>
      <w:r>
        <w:t>62</w:t>
      </w:r>
      <w:r>
        <w:fldChar w:fldCharType="end"/>
      </w:r>
      <w:r>
        <w:fldChar w:fldCharType="end"/>
      </w:r>
    </w:p>
    <w:p>
      <w:pPr>
        <w:pStyle w:val="16"/>
        <w:tabs>
          <w:tab w:val="right" w:leader="dot" w:pos="9298"/>
        </w:tabs>
      </w:pPr>
      <w:r>
        <w:fldChar w:fldCharType="begin"/>
      </w:r>
      <w:r>
        <w:instrText xml:space="preserve"> HYPERLINK \l "_Toc10661" </w:instrText>
      </w:r>
      <w:r>
        <w:fldChar w:fldCharType="separate"/>
      </w:r>
      <w:r>
        <w:rPr>
          <w:rFonts w:hint="eastAsia"/>
        </w:rPr>
        <w:t>第三章  分项报价表</w:t>
      </w:r>
      <w:r>
        <w:tab/>
      </w:r>
      <w:r>
        <w:fldChar w:fldCharType="begin"/>
      </w:r>
      <w:r>
        <w:instrText xml:space="preserve"> PAGEREF _Toc10661 \h </w:instrText>
      </w:r>
      <w:r>
        <w:fldChar w:fldCharType="separate"/>
      </w:r>
      <w:r>
        <w:t>63</w:t>
      </w:r>
      <w:r>
        <w:fldChar w:fldCharType="end"/>
      </w:r>
      <w:r>
        <w:fldChar w:fldCharType="end"/>
      </w:r>
    </w:p>
    <w:p>
      <w:pPr>
        <w:pStyle w:val="16"/>
        <w:tabs>
          <w:tab w:val="right" w:leader="dot" w:pos="9298"/>
        </w:tabs>
      </w:pPr>
      <w:r>
        <w:fldChar w:fldCharType="begin"/>
      </w:r>
      <w:r>
        <w:instrText xml:space="preserve"> HYPERLINK \l "_Toc10032" </w:instrText>
      </w:r>
      <w:r>
        <w:fldChar w:fldCharType="separate"/>
      </w:r>
      <w:r>
        <w:rPr>
          <w:rFonts w:hint="eastAsia"/>
        </w:rPr>
        <w:t>第四章  投标保证金</w:t>
      </w:r>
      <w:r>
        <w:tab/>
      </w:r>
      <w:r>
        <w:fldChar w:fldCharType="begin"/>
      </w:r>
      <w:r>
        <w:instrText xml:space="preserve"> PAGEREF _Toc10032 \h </w:instrText>
      </w:r>
      <w:r>
        <w:fldChar w:fldCharType="separate"/>
      </w:r>
      <w:r>
        <w:t>64</w:t>
      </w:r>
      <w:r>
        <w:fldChar w:fldCharType="end"/>
      </w:r>
      <w:r>
        <w:fldChar w:fldCharType="end"/>
      </w:r>
    </w:p>
    <w:p>
      <w:pPr>
        <w:pStyle w:val="16"/>
        <w:tabs>
          <w:tab w:val="right" w:leader="dot" w:pos="9298"/>
        </w:tabs>
      </w:pPr>
      <w:r>
        <w:fldChar w:fldCharType="begin"/>
      </w:r>
      <w:r>
        <w:instrText xml:space="preserve"> HYPERLINK \l "_Toc16187" </w:instrText>
      </w:r>
      <w:r>
        <w:fldChar w:fldCharType="separate"/>
      </w:r>
      <w:r>
        <w:rPr>
          <w:rFonts w:hint="eastAsia"/>
        </w:rPr>
        <w:t>第五章  投标人资质证明资料</w:t>
      </w:r>
      <w:r>
        <w:tab/>
      </w:r>
      <w:r>
        <w:fldChar w:fldCharType="begin"/>
      </w:r>
      <w:r>
        <w:instrText xml:space="preserve"> PAGEREF _Toc16187 \h </w:instrText>
      </w:r>
      <w:r>
        <w:fldChar w:fldCharType="separate"/>
      </w:r>
      <w:r>
        <w:t>65</w:t>
      </w:r>
      <w:r>
        <w:fldChar w:fldCharType="end"/>
      </w:r>
      <w:r>
        <w:fldChar w:fldCharType="end"/>
      </w:r>
    </w:p>
    <w:p>
      <w:pPr>
        <w:pStyle w:val="16"/>
        <w:tabs>
          <w:tab w:val="right" w:leader="dot" w:pos="9298"/>
        </w:tabs>
      </w:pPr>
      <w:r>
        <w:fldChar w:fldCharType="begin"/>
      </w:r>
      <w:r>
        <w:instrText xml:space="preserve"> HYPERLINK \l "_Toc9923" </w:instrText>
      </w:r>
      <w:r>
        <w:fldChar w:fldCharType="separate"/>
      </w:r>
      <w:r>
        <w:rPr>
          <w:rFonts w:hint="eastAsia"/>
        </w:rPr>
        <w:t>第六章  商务和技术响应偏离表</w:t>
      </w:r>
      <w:r>
        <w:tab/>
      </w:r>
      <w:r>
        <w:fldChar w:fldCharType="begin"/>
      </w:r>
      <w:r>
        <w:instrText xml:space="preserve"> PAGEREF _Toc9923 \h </w:instrText>
      </w:r>
      <w:r>
        <w:fldChar w:fldCharType="separate"/>
      </w:r>
      <w:r>
        <w:t>72</w:t>
      </w:r>
      <w:r>
        <w:fldChar w:fldCharType="end"/>
      </w:r>
      <w:r>
        <w:fldChar w:fldCharType="end"/>
      </w:r>
    </w:p>
    <w:p>
      <w:pPr>
        <w:pStyle w:val="16"/>
        <w:tabs>
          <w:tab w:val="right" w:leader="dot" w:pos="9298"/>
        </w:tabs>
      </w:pPr>
      <w:r>
        <w:fldChar w:fldCharType="begin"/>
      </w:r>
      <w:r>
        <w:instrText xml:space="preserve"> HYPERLINK \l "_Toc31775" </w:instrText>
      </w:r>
      <w:r>
        <w:fldChar w:fldCharType="separate"/>
      </w:r>
      <w:r>
        <w:rPr>
          <w:rFonts w:hint="eastAsia" w:asciiTheme="minorEastAsia" w:hAnsiTheme="minorEastAsia" w:cstheme="minorEastAsia"/>
          <w:szCs w:val="36"/>
        </w:rPr>
        <w:t>第七章  技术支持资料</w:t>
      </w:r>
      <w:r>
        <w:tab/>
      </w:r>
      <w:r>
        <w:fldChar w:fldCharType="begin"/>
      </w:r>
      <w:r>
        <w:instrText xml:space="preserve"> PAGEREF _Toc31775 \h </w:instrText>
      </w:r>
      <w:r>
        <w:fldChar w:fldCharType="separate"/>
      </w:r>
      <w:r>
        <w:t>74</w:t>
      </w:r>
      <w:r>
        <w:fldChar w:fldCharType="end"/>
      </w:r>
      <w:r>
        <w:fldChar w:fldCharType="end"/>
      </w:r>
    </w:p>
    <w:p>
      <w:pPr>
        <w:pStyle w:val="16"/>
        <w:tabs>
          <w:tab w:val="right" w:leader="dot" w:pos="9298"/>
        </w:tabs>
      </w:pPr>
      <w:r>
        <w:fldChar w:fldCharType="begin"/>
      </w:r>
      <w:r>
        <w:instrText xml:space="preserve"> HYPERLINK \l "_Toc18277" </w:instrText>
      </w:r>
      <w:r>
        <w:fldChar w:fldCharType="separate"/>
      </w:r>
      <w:r>
        <w:rPr>
          <w:rFonts w:hint="eastAsia"/>
        </w:rPr>
        <w:t>第八章  投标人业绩一览表</w:t>
      </w:r>
      <w:r>
        <w:tab/>
      </w:r>
      <w:r>
        <w:fldChar w:fldCharType="begin"/>
      </w:r>
      <w:r>
        <w:instrText xml:space="preserve"> PAGEREF _Toc18277 \h </w:instrText>
      </w:r>
      <w:r>
        <w:fldChar w:fldCharType="separate"/>
      </w:r>
      <w:r>
        <w:t>75</w:t>
      </w:r>
      <w:r>
        <w:fldChar w:fldCharType="end"/>
      </w:r>
      <w:r>
        <w:fldChar w:fldCharType="end"/>
      </w:r>
    </w:p>
    <w:p>
      <w:pPr>
        <w:pStyle w:val="16"/>
        <w:tabs>
          <w:tab w:val="right" w:leader="dot" w:pos="9298"/>
        </w:tabs>
      </w:pPr>
      <w:r>
        <w:fldChar w:fldCharType="begin"/>
      </w:r>
      <w:r>
        <w:instrText xml:space="preserve"> HYPERLINK \l "_Toc30197" </w:instrText>
      </w:r>
      <w:r>
        <w:fldChar w:fldCharType="separate"/>
      </w:r>
      <w:r>
        <w:rPr>
          <w:rFonts w:hint="eastAsia"/>
        </w:rPr>
        <w:t>第九章  投标人认为有必要说明的其他问题</w:t>
      </w:r>
      <w:r>
        <w:tab/>
      </w:r>
      <w:r>
        <w:fldChar w:fldCharType="begin"/>
      </w:r>
      <w:r>
        <w:instrText xml:space="preserve"> PAGEREF _Toc30197 \h </w:instrText>
      </w:r>
      <w:r>
        <w:fldChar w:fldCharType="separate"/>
      </w:r>
      <w:r>
        <w:t>76</w:t>
      </w:r>
      <w:r>
        <w:fldChar w:fldCharType="end"/>
      </w:r>
      <w:r>
        <w:fldChar w:fldCharType="end"/>
      </w:r>
    </w:p>
    <w:p>
      <w:pPr>
        <w:pStyle w:val="16"/>
        <w:tabs>
          <w:tab w:val="right" w:leader="dot" w:pos="9298"/>
        </w:tabs>
      </w:pPr>
      <w:r>
        <w:fldChar w:fldCharType="begin"/>
      </w:r>
      <w:r>
        <w:instrText xml:space="preserve"> HYPERLINK \l "_Toc8653" </w:instrText>
      </w:r>
      <w:r>
        <w:fldChar w:fldCharType="separate"/>
      </w:r>
      <w:r>
        <w:rPr>
          <w:rFonts w:hint="eastAsia" w:asciiTheme="minorEastAsia" w:hAnsiTheme="minorEastAsia" w:cstheme="minorEastAsia"/>
          <w:szCs w:val="36"/>
        </w:rPr>
        <w:t>第十章  投标人承诺书</w:t>
      </w:r>
      <w:r>
        <w:tab/>
      </w:r>
      <w:r>
        <w:fldChar w:fldCharType="begin"/>
      </w:r>
      <w:r>
        <w:instrText xml:space="preserve"> PAGEREF _Toc8653 \h </w:instrText>
      </w:r>
      <w:r>
        <w:fldChar w:fldCharType="separate"/>
      </w:r>
      <w:r>
        <w:t>77</w:t>
      </w:r>
      <w:r>
        <w:fldChar w:fldCharType="end"/>
      </w:r>
      <w:r>
        <w:fldChar w:fldCharType="end"/>
      </w:r>
    </w:p>
    <w:p>
      <w:pPr>
        <w:pStyle w:val="16"/>
        <w:tabs>
          <w:tab w:val="right" w:leader="dot" w:pos="9298"/>
        </w:tabs>
      </w:pPr>
      <w:r>
        <w:fldChar w:fldCharType="begin"/>
      </w:r>
      <w:r>
        <w:instrText xml:space="preserve"> HYPERLINK \l "_Toc32156" </w:instrText>
      </w:r>
      <w:r>
        <w:fldChar w:fldCharType="separate"/>
      </w:r>
      <w:r>
        <w:rPr>
          <w:rFonts w:hint="eastAsia" w:asciiTheme="minorEastAsia" w:hAnsiTheme="minorEastAsia" w:cstheme="minorEastAsia"/>
        </w:rPr>
        <w:t>附件一：封袋正面标识式样</w:t>
      </w:r>
      <w:r>
        <w:tab/>
      </w:r>
      <w:r>
        <w:fldChar w:fldCharType="begin"/>
      </w:r>
      <w:r>
        <w:instrText xml:space="preserve"> PAGEREF _Toc32156 \h </w:instrText>
      </w:r>
      <w:r>
        <w:fldChar w:fldCharType="separate"/>
      </w:r>
      <w:r>
        <w:t>80</w:t>
      </w:r>
      <w:r>
        <w:fldChar w:fldCharType="end"/>
      </w:r>
      <w:r>
        <w:fldChar w:fldCharType="end"/>
      </w:r>
    </w:p>
    <w:p>
      <w:pPr>
        <w:pStyle w:val="16"/>
        <w:tabs>
          <w:tab w:val="right" w:leader="dot" w:pos="9298"/>
        </w:tabs>
      </w:pPr>
      <w:r>
        <w:fldChar w:fldCharType="begin"/>
      </w:r>
      <w:r>
        <w:instrText xml:space="preserve"> HYPERLINK \l "_Toc31324" </w:instrText>
      </w:r>
      <w:r>
        <w:fldChar w:fldCharType="separate"/>
      </w:r>
      <w:r>
        <w:rPr>
          <w:rFonts w:hint="eastAsia" w:ascii="宋体" w:hAnsi="宋体" w:eastAsia="宋体" w:cs="宋体"/>
        </w:rPr>
        <w:t>附件二、中小企业申明</w:t>
      </w:r>
      <w:r>
        <w:tab/>
      </w:r>
      <w:r>
        <w:fldChar w:fldCharType="begin"/>
      </w:r>
      <w:r>
        <w:instrText xml:space="preserve"> PAGEREF _Toc31324 \h </w:instrText>
      </w:r>
      <w:r>
        <w:fldChar w:fldCharType="separate"/>
      </w:r>
      <w:r>
        <w:t>82</w:t>
      </w:r>
      <w:r>
        <w:fldChar w:fldCharType="end"/>
      </w:r>
      <w:r>
        <w:fldChar w:fldCharType="end"/>
      </w:r>
    </w:p>
    <w:p>
      <w:pPr>
        <w:pStyle w:val="16"/>
        <w:tabs>
          <w:tab w:val="right" w:leader="dot" w:pos="9298"/>
        </w:tabs>
      </w:pPr>
      <w:r>
        <w:fldChar w:fldCharType="begin"/>
      </w:r>
      <w:r>
        <w:instrText xml:space="preserve"> HYPERLINK \l "_Toc2305" </w:instrText>
      </w:r>
      <w:r>
        <w:fldChar w:fldCharType="separate"/>
      </w:r>
      <w:r>
        <w:rPr>
          <w:rFonts w:hint="eastAsia"/>
        </w:rPr>
        <w:t>附件三、残疾人福利性单位声明</w:t>
      </w:r>
      <w:r>
        <w:tab/>
      </w:r>
      <w:r>
        <w:fldChar w:fldCharType="begin"/>
      </w:r>
      <w:r>
        <w:instrText xml:space="preserve"> PAGEREF _Toc2305 \h </w:instrText>
      </w:r>
      <w:r>
        <w:fldChar w:fldCharType="separate"/>
      </w:r>
      <w:r>
        <w:t>83</w:t>
      </w:r>
      <w:r>
        <w:fldChar w:fldCharType="end"/>
      </w:r>
      <w:r>
        <w:fldChar w:fldCharType="end"/>
      </w:r>
    </w:p>
    <w:p>
      <w:pPr>
        <w:pStyle w:val="16"/>
        <w:tabs>
          <w:tab w:val="right" w:leader="dot" w:pos="9298"/>
        </w:tabs>
      </w:pPr>
      <w:r>
        <w:fldChar w:fldCharType="begin"/>
      </w:r>
      <w:r>
        <w:instrText xml:space="preserve"> HYPERLINK \l "_Toc28181" </w:instrText>
      </w:r>
      <w:r>
        <w:fldChar w:fldCharType="separate"/>
      </w:r>
      <w:r>
        <w:rPr>
          <w:rFonts w:hint="eastAsia" w:ascii="宋体" w:hAnsi="宋体"/>
        </w:rPr>
        <w:t>附件四、监狱企业证明文件</w:t>
      </w:r>
      <w:r>
        <w:tab/>
      </w:r>
      <w:r>
        <w:fldChar w:fldCharType="begin"/>
      </w:r>
      <w:r>
        <w:instrText xml:space="preserve"> PAGEREF _Toc28181 \h </w:instrText>
      </w:r>
      <w:r>
        <w:fldChar w:fldCharType="separate"/>
      </w:r>
      <w:r>
        <w:t>84</w:t>
      </w:r>
      <w:r>
        <w:fldChar w:fldCharType="end"/>
      </w:r>
      <w:r>
        <w:fldChar w:fldCharType="end"/>
      </w:r>
    </w:p>
    <w:p>
      <w:pPr>
        <w:pStyle w:val="16"/>
        <w:tabs>
          <w:tab w:val="right" w:leader="dot" w:pos="9298"/>
        </w:tabs>
      </w:pPr>
      <w:r>
        <w:fldChar w:fldCharType="begin"/>
      </w:r>
      <w:r>
        <w:instrText xml:space="preserve"> HYPERLINK \l "_Toc27838" </w:instrText>
      </w:r>
      <w:r>
        <w:fldChar w:fldCharType="separate"/>
      </w:r>
      <w:r>
        <w:rPr>
          <w:rFonts w:hint="eastAsia" w:ascii="宋体" w:hAnsi="宋体"/>
        </w:rPr>
        <w:t>附件五、“节能产品”，“环境标志产品”证明材料</w:t>
      </w:r>
      <w:r>
        <w:tab/>
      </w:r>
      <w:r>
        <w:fldChar w:fldCharType="begin"/>
      </w:r>
      <w:r>
        <w:instrText xml:space="preserve"> PAGEREF _Toc27838 \h </w:instrText>
      </w:r>
      <w:r>
        <w:fldChar w:fldCharType="separate"/>
      </w:r>
      <w:r>
        <w:t>84</w:t>
      </w:r>
      <w:r>
        <w:fldChar w:fldCharType="end"/>
      </w:r>
      <w:r>
        <w:fldChar w:fldCharType="end"/>
      </w:r>
    </w:p>
    <w:p>
      <w:pPr>
        <w:pStyle w:val="16"/>
        <w:tabs>
          <w:tab w:val="right" w:leader="dot" w:pos="9298"/>
        </w:tabs>
      </w:pPr>
      <w:r>
        <w:fldChar w:fldCharType="begin"/>
      </w:r>
      <w:r>
        <w:instrText xml:space="preserve"> HYPERLINK \l "_Toc1091" </w:instrText>
      </w:r>
      <w:r>
        <w:fldChar w:fldCharType="separate"/>
      </w:r>
      <w:r>
        <w:rPr>
          <w:rFonts w:hint="eastAsia"/>
        </w:rPr>
        <w:t>附件六、质疑函范本</w:t>
      </w:r>
      <w:r>
        <w:tab/>
      </w:r>
      <w:r>
        <w:fldChar w:fldCharType="begin"/>
      </w:r>
      <w:r>
        <w:instrText xml:space="preserve"> PAGEREF _Toc1091 \h </w:instrText>
      </w:r>
      <w:r>
        <w:fldChar w:fldCharType="separate"/>
      </w:r>
      <w:r>
        <w:t>85</w:t>
      </w:r>
      <w:r>
        <w:fldChar w:fldCharType="end"/>
      </w:r>
      <w:r>
        <w:fldChar w:fldCharType="end"/>
      </w:r>
    </w:p>
    <w:p>
      <w:pPr>
        <w:pStyle w:val="16"/>
        <w:tabs>
          <w:tab w:val="right" w:leader="dot" w:pos="9298"/>
        </w:tabs>
      </w:pPr>
      <w:r>
        <w:fldChar w:fldCharType="begin"/>
      </w:r>
      <w:r>
        <w:instrText xml:space="preserve"> HYPERLINK \l "_Toc27558" </w:instrText>
      </w:r>
      <w:r>
        <w:fldChar w:fldCharType="separate"/>
      </w:r>
      <w:r>
        <w:rPr>
          <w:rFonts w:hint="eastAsia" w:ascii="宋体" w:hAnsi="宋体" w:cs="宋体"/>
        </w:rPr>
        <w:t>附件七：保证金退还账户信息确认表</w:t>
      </w:r>
      <w:r>
        <w:tab/>
      </w:r>
      <w:r>
        <w:fldChar w:fldCharType="begin"/>
      </w:r>
      <w:r>
        <w:instrText xml:space="preserve"> PAGEREF _Toc27558 \h </w:instrText>
      </w:r>
      <w:r>
        <w:fldChar w:fldCharType="separate"/>
      </w:r>
      <w:r>
        <w:t>87</w:t>
      </w:r>
      <w:r>
        <w:fldChar w:fldCharType="end"/>
      </w:r>
      <w:r>
        <w:fldChar w:fldCharType="end"/>
      </w:r>
    </w:p>
    <w:p>
      <w:pPr>
        <w:pStyle w:val="3"/>
        <w:spacing w:line="240" w:lineRule="auto"/>
        <w:rPr>
          <w:rFonts w:asciiTheme="minorEastAsia" w:hAnsiTheme="minorEastAsia" w:eastAsiaTheme="minorEastAsia" w:cstheme="minorEastAsia"/>
          <w:b w:val="0"/>
          <w:szCs w:val="24"/>
        </w:rPr>
        <w:sectPr>
          <w:footerReference r:id="rId6" w:type="default"/>
          <w:pgSz w:w="11906" w:h="16838"/>
          <w:pgMar w:top="1440" w:right="1304" w:bottom="1440" w:left="1304" w:header="851" w:footer="992" w:gutter="0"/>
          <w:cols w:space="0" w:num="1"/>
          <w:docGrid w:type="lines" w:linePitch="325" w:charSpace="0"/>
        </w:sectPr>
      </w:pPr>
      <w:r>
        <w:rPr>
          <w:rFonts w:asciiTheme="minorEastAsia" w:hAnsiTheme="minorEastAsia" w:eastAsiaTheme="minorEastAsia" w:cstheme="minorEastAsia"/>
          <w:szCs w:val="24"/>
        </w:rPr>
        <w:fldChar w:fldCharType="end"/>
      </w:r>
    </w:p>
    <w:p>
      <w:pPr>
        <w:pStyle w:val="3"/>
        <w:spacing w:before="325" w:beforeLines="100" w:after="487" w:afterLines="150" w:line="600" w:lineRule="exact"/>
        <w:jc w:val="center"/>
        <w:rPr>
          <w:rFonts w:asciiTheme="minorEastAsia" w:hAnsiTheme="minorEastAsia" w:eastAsiaTheme="minorEastAsia" w:cstheme="minorEastAsia"/>
          <w:sz w:val="36"/>
          <w:szCs w:val="36"/>
        </w:rPr>
      </w:pPr>
      <w:bookmarkStart w:id="2" w:name="_Toc23156"/>
      <w:bookmarkStart w:id="3" w:name="_Toc26575"/>
      <w:bookmarkStart w:id="4" w:name="_Toc6708"/>
      <w:r>
        <w:rPr>
          <w:rFonts w:hint="eastAsia" w:asciiTheme="minorEastAsia" w:hAnsiTheme="minorEastAsia" w:eastAsiaTheme="minorEastAsia" w:cstheme="minorEastAsia"/>
          <w:sz w:val="36"/>
          <w:szCs w:val="36"/>
        </w:rPr>
        <w:t>第一部分  公开招标公告</w:t>
      </w:r>
      <w:bookmarkEnd w:id="2"/>
      <w:bookmarkEnd w:id="3"/>
      <w:bookmarkEnd w:id="4"/>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w:t>
      </w:r>
      <w:r>
        <w:rPr>
          <w:rFonts w:hint="eastAsia" w:ascii="宋体" w:hAnsi="宋体" w:cs="宋体"/>
          <w:kern w:val="0"/>
          <w:sz w:val="24"/>
          <w:szCs w:val="24"/>
        </w:rPr>
        <w:t>西安医学院</w:t>
      </w:r>
      <w:r>
        <w:rPr>
          <w:rFonts w:hint="eastAsia" w:asciiTheme="minorEastAsia" w:hAnsiTheme="minorEastAsia" w:cstheme="minorEastAsia"/>
          <w:kern w:val="0"/>
          <w:sz w:val="24"/>
          <w:szCs w:val="24"/>
        </w:rPr>
        <w:t>的委托，经政府采购管理部门批准，就</w:t>
      </w:r>
      <w:r>
        <w:rPr>
          <w:rFonts w:hint="eastAsia" w:asciiTheme="minorEastAsia" w:hAnsiTheme="minorEastAsia" w:cstheme="minorEastAsia"/>
          <w:kern w:val="0"/>
          <w:sz w:val="24"/>
          <w:szCs w:val="24"/>
          <w:lang w:eastAsia="zh-CN"/>
        </w:rPr>
        <w:t>西安医学院基本教学实验设备补充更新项目（二次）</w:t>
      </w:r>
      <w:r>
        <w:rPr>
          <w:rFonts w:hint="eastAsia" w:asciiTheme="minorEastAsia" w:hAnsiTheme="minorEastAsia" w:cstheme="minorEastAsia"/>
          <w:kern w:val="0"/>
          <w:sz w:val="24"/>
          <w:szCs w:val="24"/>
        </w:rPr>
        <w:t xml:space="preserve">进行公开招标采购，欢迎符合资格条件的、有能力提供本次项目所需货物或服务的投标人参加投标。 </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西安医学院基本教学实验设备补充更新项目（二次）</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Theme="minorEastAsia" w:hAnsiTheme="minorEastAsia" w:cstheme="minorEastAsia"/>
          <w:kern w:val="0"/>
          <w:sz w:val="24"/>
          <w:szCs w:val="24"/>
        </w:rPr>
        <w:t>项目编号：</w:t>
      </w:r>
      <w:bookmarkStart w:id="5" w:name="_Toc20220_WPSOffice_Level2"/>
      <w:r>
        <w:rPr>
          <w:rFonts w:hint="eastAsia" w:asciiTheme="minorEastAsia" w:hAnsiTheme="minorEastAsia" w:cstheme="minorEastAsia"/>
          <w:kern w:val="0"/>
          <w:sz w:val="24"/>
          <w:szCs w:val="24"/>
          <w:lang w:eastAsia="zh-CN"/>
        </w:rPr>
        <w:t>SXWZ2022ZB-YXY-126A</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采购人名称：</w:t>
      </w:r>
      <w:bookmarkEnd w:id="5"/>
      <w:r>
        <w:rPr>
          <w:rFonts w:hint="eastAsia" w:ascii="宋体" w:hAnsi="宋体" w:cs="宋体"/>
          <w:kern w:val="0"/>
          <w:sz w:val="24"/>
          <w:szCs w:val="24"/>
        </w:rPr>
        <w:t>西安医学院</w:t>
      </w:r>
    </w:p>
    <w:p>
      <w:pPr>
        <w:widowControl/>
        <w:tabs>
          <w:tab w:val="left" w:pos="0"/>
        </w:tabs>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址：西安市未央区辛王路1号</w:t>
      </w:r>
    </w:p>
    <w:p>
      <w:pPr>
        <w:widowControl/>
        <w:tabs>
          <w:tab w:val="left" w:pos="0"/>
        </w:tabs>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系方式：029-86177468</w:t>
      </w:r>
    </w:p>
    <w:p>
      <w:pPr>
        <w:widowControl/>
        <w:numPr>
          <w:ilvl w:val="0"/>
          <w:numId w:val="1"/>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采</w:t>
      </w:r>
      <w:r>
        <w:rPr>
          <w:rFonts w:ascii="宋体" w:hAnsi="宋体" w:cs="宋体"/>
          <w:kern w:val="0"/>
          <w:sz w:val="24"/>
          <w:szCs w:val="24"/>
        </w:rPr>
        <w:t>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w:t>
      </w:r>
      <w:r>
        <w:rPr>
          <w:rFonts w:ascii="宋体" w:hAnsi="宋体" w:cs="宋体"/>
          <w:kern w:val="0"/>
          <w:sz w:val="24"/>
          <w:szCs w:val="24"/>
        </w:rPr>
        <w:t>029-</w:t>
      </w:r>
      <w:r>
        <w:rPr>
          <w:rFonts w:hint="eastAsia" w:ascii="宋体" w:hAnsi="宋体" w:cs="宋体"/>
          <w:kern w:val="0"/>
          <w:sz w:val="24"/>
          <w:szCs w:val="24"/>
        </w:rPr>
        <w:t>88319689</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采购内容和要求：</w:t>
      </w:r>
    </w:p>
    <w:p>
      <w:pPr>
        <w:pStyle w:val="6"/>
        <w:spacing w:line="360" w:lineRule="auto"/>
        <w:ind w:left="2158" w:leftChars="456" w:hanging="1200" w:hangingChars="500"/>
        <w:rPr>
          <w:rFonts w:ascii="宋体" w:hAnsi="宋体" w:cs="宋体"/>
          <w:kern w:val="0"/>
          <w:sz w:val="24"/>
          <w:szCs w:val="24"/>
        </w:rPr>
      </w:pPr>
      <w:r>
        <w:rPr>
          <w:rFonts w:hint="eastAsia" w:ascii="宋体" w:hAnsi="宋体" w:cs="宋体"/>
          <w:kern w:val="0"/>
          <w:sz w:val="24"/>
          <w:szCs w:val="24"/>
        </w:rPr>
        <w:t>采购内容：基本教学实验设备补充更新项目</w:t>
      </w:r>
    </w:p>
    <w:p>
      <w:pPr>
        <w:pStyle w:val="6"/>
        <w:spacing w:line="360" w:lineRule="auto"/>
        <w:ind w:firstLine="960" w:firstLineChars="400"/>
        <w:rPr>
          <w:rFonts w:hint="eastAsia" w:ascii="宋体" w:hAnsi="宋体" w:cs="宋体"/>
          <w:sz w:val="24"/>
          <w:szCs w:val="24"/>
        </w:rPr>
      </w:pPr>
      <w:r>
        <w:rPr>
          <w:rFonts w:hint="eastAsia" w:ascii="宋体" w:hAnsi="宋体" w:cs="宋体"/>
          <w:kern w:val="0"/>
          <w:sz w:val="24"/>
          <w:szCs w:val="24"/>
        </w:rPr>
        <w:t>采购预算：904650</w:t>
      </w:r>
      <w:r>
        <w:rPr>
          <w:rFonts w:hint="eastAsia" w:ascii="宋体" w:hAnsi="宋体" w:cs="宋体"/>
          <w:sz w:val="24"/>
          <w:szCs w:val="24"/>
        </w:rPr>
        <w:t>元</w:t>
      </w:r>
    </w:p>
    <w:p>
      <w:pPr>
        <w:pStyle w:val="6"/>
        <w:spacing w:line="360" w:lineRule="auto"/>
        <w:ind w:firstLine="960" w:firstLineChars="400"/>
        <w:rPr>
          <w:rFonts w:hint="default" w:ascii="宋体" w:hAnsi="宋体" w:cs="宋体" w:eastAsiaTheme="minorEastAsia"/>
          <w:sz w:val="24"/>
          <w:szCs w:val="24"/>
          <w:lang w:val="en-US" w:eastAsia="zh-CN"/>
        </w:rPr>
      </w:pPr>
      <w:r>
        <w:rPr>
          <w:rFonts w:hint="eastAsia" w:ascii="宋体" w:hAnsi="宋体" w:cs="宋体"/>
          <w:sz w:val="24"/>
          <w:szCs w:val="24"/>
          <w:lang w:eastAsia="zh-CN"/>
        </w:rPr>
        <w:t>最高限价：</w:t>
      </w:r>
      <w:r>
        <w:rPr>
          <w:rFonts w:hint="eastAsia" w:ascii="宋体" w:hAnsi="宋体" w:cs="宋体"/>
          <w:sz w:val="24"/>
          <w:szCs w:val="24"/>
          <w:lang w:val="en-US" w:eastAsia="zh-CN"/>
        </w:rPr>
        <w:t>856650元</w:t>
      </w:r>
    </w:p>
    <w:p>
      <w:pPr>
        <w:pStyle w:val="6"/>
        <w:spacing w:line="360" w:lineRule="auto"/>
        <w:ind w:firstLine="960" w:firstLineChars="400"/>
        <w:rPr>
          <w:rFonts w:ascii="宋体" w:hAnsi="宋体" w:cs="宋体"/>
          <w:sz w:val="24"/>
          <w:szCs w:val="24"/>
        </w:rPr>
      </w:pPr>
      <w:r>
        <w:rPr>
          <w:rFonts w:hint="eastAsia" w:ascii="宋体" w:hAnsi="宋体" w:cs="宋体"/>
          <w:sz w:val="24"/>
          <w:szCs w:val="24"/>
        </w:rPr>
        <w:t>项目用途：自用</w:t>
      </w:r>
    </w:p>
    <w:p>
      <w:pPr>
        <w:pStyle w:val="6"/>
        <w:spacing w:line="360" w:lineRule="auto"/>
        <w:ind w:firstLine="960" w:firstLineChars="400"/>
        <w:rPr>
          <w:rFonts w:asciiTheme="minorEastAsia" w:hAnsiTheme="minorEastAsia" w:cstheme="minorEastAsia"/>
          <w:kern w:val="0"/>
          <w:sz w:val="24"/>
          <w:szCs w:val="24"/>
        </w:rPr>
      </w:pPr>
      <w:r>
        <w:rPr>
          <w:rFonts w:hint="eastAsia" w:ascii="宋体" w:hAnsi="宋体" w:cs="宋体"/>
          <w:sz w:val="24"/>
          <w:szCs w:val="24"/>
        </w:rPr>
        <w:t xml:space="preserve">项目性质：财政资金 </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投标人资质要求：</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税收缴纳证明：提供2022年1月至今已缴纳的至少一个月的纳税证明或完税证明；依法免税的单位应提供相关证明材料；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财务状况证明：提供经会计师事务所审计的2020年或2021年财务审计报告，或在开标日期前六个月内其基本开户银行出具的资信证明；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投标人信誉证明：提供在参加政府采购活动前3年内在经营活动中没有重大违法记录，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非法定代表人参加投标的，须提供法定代表人授权委托书及被授权人身份证原件；法定代表人参加投标时,只须提供法定代表人身份证原件；</w:t>
      </w:r>
    </w:p>
    <w:p>
      <w:pPr>
        <w:numPr>
          <w:ilvl w:val="0"/>
          <w:numId w:val="0"/>
        </w:numPr>
        <w:snapToGrid w:val="0"/>
        <w:spacing w:line="360" w:lineRule="auto"/>
        <w:ind w:firstLine="480" w:firstLineChars="200"/>
        <w:jc w:val="left"/>
        <w:rPr>
          <w:rFonts w:hint="eastAsia" w:ascii="宋体" w:hAnsi="宋体" w:cs="宋体" w:eastAsiaTheme="minorEastAsia"/>
          <w:bCs/>
          <w:kern w:val="0"/>
          <w:sz w:val="24"/>
          <w:szCs w:val="24"/>
          <w:lang w:eastAsia="zh-CN"/>
        </w:rPr>
      </w:pPr>
      <w:r>
        <w:rPr>
          <w:rFonts w:hint="eastAsia" w:ascii="宋体" w:hAnsi="宋体" w:cs="宋体"/>
          <w:bCs/>
          <w:kern w:val="0"/>
          <w:sz w:val="24"/>
          <w:szCs w:val="24"/>
          <w:lang w:val="en-US" w:eastAsia="zh-CN"/>
        </w:rPr>
        <w:t>7、</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投标人</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8</w:t>
      </w:r>
      <w:r>
        <w:rPr>
          <w:rFonts w:hint="eastAsia" w:ascii="宋体" w:hAnsi="宋体" w:cs="宋体"/>
          <w:bCs/>
          <w:kern w:val="0"/>
          <w:sz w:val="24"/>
          <w:szCs w:val="24"/>
        </w:rPr>
        <w:t>、本项目不接受联合体投标。</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采购项目需要落实的政府采购政策： </w:t>
      </w:r>
    </w:p>
    <w:p>
      <w:pPr>
        <w:snapToGrid w:val="0"/>
        <w:spacing w:line="360" w:lineRule="auto"/>
        <w:ind w:firstLine="480" w:firstLineChars="200"/>
        <w:rPr>
          <w:rFonts w:ascii="宋体" w:hAnsi="宋体" w:cs="宋体"/>
          <w:sz w:val="24"/>
        </w:rPr>
      </w:pPr>
      <w:r>
        <w:rPr>
          <w:rFonts w:hint="eastAsia" w:ascii="宋体" w:hAnsi="宋体" w:cs="宋体"/>
          <w:sz w:val="24"/>
        </w:rPr>
        <w:t>依据</w:t>
      </w:r>
      <w:r>
        <w:rPr>
          <w:rFonts w:hint="eastAsia" w:ascii="宋体" w:hAnsi="宋体" w:cs="宋体"/>
          <w:bCs/>
          <w:kern w:val="0"/>
          <w:sz w:val="24"/>
          <w:szCs w:val="24"/>
        </w:rPr>
        <w:t>《中华人民共和国政府采购法》和《中华人民共和国政府采购法实施条例》的有关规定，落实政府采购“优先购买节能环保产品、扶持小微企业、监狱企业、福利企业”等相关政</w:t>
      </w:r>
      <w:r>
        <w:rPr>
          <w:rFonts w:hint="eastAsia" w:ascii="宋体" w:hAnsi="宋体" w:cs="宋体"/>
          <w:sz w:val="24"/>
        </w:rPr>
        <w:t>策。</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2、《财政部司法部关于政府采购支持监狱企业发展有关问题的通知》（财库〔2014〕68号）；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3、《国务院办公厅关于建立政府强制采购节能产品制度的通知》（国办发〔2007〕51号）；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5、《市场监督总局关于发布参与实施政府采购节能产品、环境标志产品认证机构名录的公告》（2019年第16号）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 《三部门联合发布关于促进残疾人就业政府采购政策的通知》（财库〔2017〕141号）。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宋体" w:hAnsi="宋体" w:cs="宋体"/>
          <w:color w:val="000000"/>
          <w:sz w:val="24"/>
          <w:szCs w:val="24"/>
        </w:rPr>
        <w:t>7、 陕西省财政厅关于印发《陕西省中小企业政府采购信用融资办法》（陕财办采〔2018〕23号）。</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招标文件发售：</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kern w:val="0"/>
          <w:sz w:val="24"/>
          <w:szCs w:val="24"/>
        </w:rPr>
        <w:t>1、发售时</w:t>
      </w:r>
      <w:r>
        <w:rPr>
          <w:rFonts w:hint="eastAsia" w:asciiTheme="minorEastAsia" w:hAnsiTheme="minorEastAsia" w:cstheme="minorEastAsia"/>
          <w:color w:val="000000"/>
          <w:sz w:val="24"/>
          <w:szCs w:val="24"/>
        </w:rPr>
        <w:t>间：</w:t>
      </w:r>
      <w:r>
        <w:rPr>
          <w:rFonts w:hint="eastAsia" w:asciiTheme="minorEastAsia" w:hAnsiTheme="minorEastAsia" w:cstheme="minorEastAsia"/>
          <w:b/>
          <w:bCs/>
          <w:color w:val="000000"/>
          <w:sz w:val="24"/>
          <w:szCs w:val="24"/>
          <w:highlight w:val="none"/>
        </w:rPr>
        <w:t>2022年</w:t>
      </w:r>
      <w:r>
        <w:rPr>
          <w:rFonts w:hint="eastAsia" w:asciiTheme="minorEastAsia" w:hAnsiTheme="minorEastAsia" w:cstheme="minorEastAsia"/>
          <w:b/>
          <w:bCs/>
          <w:color w:val="000000"/>
          <w:sz w:val="24"/>
          <w:szCs w:val="24"/>
          <w:highlight w:val="none"/>
          <w:lang w:val="en-US" w:eastAsia="zh-CN"/>
        </w:rPr>
        <w:t>09</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21</w:t>
      </w:r>
      <w:r>
        <w:rPr>
          <w:rFonts w:hint="eastAsia" w:asciiTheme="minorEastAsia" w:hAnsiTheme="minorEastAsia" w:cstheme="minorEastAsia"/>
          <w:b/>
          <w:bCs/>
          <w:color w:val="000000"/>
          <w:sz w:val="24"/>
          <w:szCs w:val="24"/>
          <w:highlight w:val="none"/>
        </w:rPr>
        <w:t>日起至2022年</w:t>
      </w:r>
      <w:r>
        <w:rPr>
          <w:rFonts w:hint="eastAsia" w:asciiTheme="minorEastAsia" w:hAnsiTheme="minorEastAsia" w:cstheme="minorEastAsia"/>
          <w:b/>
          <w:bCs/>
          <w:color w:val="000000"/>
          <w:sz w:val="24"/>
          <w:szCs w:val="24"/>
          <w:highlight w:val="none"/>
          <w:lang w:val="en-US" w:eastAsia="zh-CN"/>
        </w:rPr>
        <w:t>09</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28</w:t>
      </w:r>
      <w:r>
        <w:rPr>
          <w:rFonts w:hint="eastAsia" w:asciiTheme="minorEastAsia" w:hAnsiTheme="minorEastAsia" w:cstheme="minorEastAsia"/>
          <w:b/>
          <w:bCs/>
          <w:color w:val="000000"/>
          <w:sz w:val="24"/>
          <w:szCs w:val="24"/>
          <w:highlight w:val="none"/>
        </w:rPr>
        <w:t>日止</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3、文件售价：¥500元/套。售后不退，谢绝邮寄。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投标人购买标书时，请携带单位介绍信及经办人身份证原件及复印件加盖公章，现金购买；（2）请投标人按照《陕西省财政厅关于政府采购供应商注册登记有关事项的通知》中的要求，通过陕西省政府采购网（http://www.ccgp-shaanxi.gov.cn/）注册登记加入陕西省政府采购供应商库</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3</w:t>
      </w:r>
      <w:r>
        <w:rPr>
          <w:rFonts w:hint="eastAsia" w:asciiTheme="minorEastAsia" w:hAnsiTheme="minorEastAsia" w:cstheme="minorEastAsia"/>
          <w:kern w:val="0"/>
          <w:sz w:val="24"/>
          <w:szCs w:val="24"/>
          <w:lang w:eastAsia="zh-CN"/>
        </w:rPr>
        <w:t>）</w:t>
      </w:r>
      <w:r>
        <w:rPr>
          <w:rFonts w:hint="eastAsia" w:ascii="宋体" w:hAnsi="宋体" w:cs="宋体"/>
          <w:kern w:val="0"/>
          <w:sz w:val="24"/>
          <w:szCs w:val="24"/>
          <w:lang w:val="en-US" w:eastAsia="zh-CN"/>
        </w:rPr>
        <w:t>本项目为</w:t>
      </w:r>
      <w:r>
        <w:rPr>
          <w:rFonts w:hint="eastAsia" w:ascii="宋体" w:hAnsi="宋体" w:cs="宋体"/>
          <w:kern w:val="0"/>
          <w:sz w:val="24"/>
          <w:szCs w:val="24"/>
          <w:lang w:eastAsia="zh-CN"/>
        </w:rPr>
        <w:t>专门面向中小企业采购，仅允许中小企业或小型、微型企业参与投标</w:t>
      </w:r>
      <w:r>
        <w:rPr>
          <w:rFonts w:hint="eastAsia" w:ascii="宋体" w:hAnsi="宋体" w:cs="宋体"/>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rPr>
        <w:t xml:space="preserve"> 1、投标文件递交截止时</w:t>
      </w:r>
      <w:r>
        <w:rPr>
          <w:rFonts w:hint="eastAsia" w:asciiTheme="minorEastAsia" w:hAnsiTheme="minorEastAsia" w:cstheme="minorEastAsia"/>
          <w:color w:val="000000"/>
          <w:sz w:val="24"/>
          <w:szCs w:val="24"/>
        </w:rPr>
        <w:t>间</w:t>
      </w: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b/>
          <w:bCs/>
          <w:kern w:val="0"/>
          <w:sz w:val="24"/>
          <w:szCs w:val="24"/>
          <w:highlight w:val="none"/>
        </w:rPr>
        <w:t>2022年</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13</w:t>
      </w:r>
      <w:r>
        <w:rPr>
          <w:rFonts w:hint="eastAsia" w:asciiTheme="minorEastAsia" w:hAnsiTheme="minorEastAsia" w:cstheme="minorEastAsia"/>
          <w:b/>
          <w:bCs/>
          <w:kern w:val="0"/>
          <w:sz w:val="24"/>
          <w:szCs w:val="24"/>
          <w:highlight w:val="none"/>
        </w:rPr>
        <w:t>日14:30时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2022年</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13</w:t>
      </w:r>
      <w:r>
        <w:rPr>
          <w:rFonts w:hint="eastAsia" w:asciiTheme="minorEastAsia" w:hAnsiTheme="minorEastAsia" w:cstheme="minorEastAsia"/>
          <w:b/>
          <w:bCs/>
          <w:kern w:val="0"/>
          <w:sz w:val="24"/>
          <w:szCs w:val="24"/>
          <w:highlight w:val="none"/>
        </w:rPr>
        <w:t>日14:30时</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3、开标地点：西安市莲湖区西关正街英达大厦1503会议室</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其它应说明的事项：</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1、采购项目联系人：崔方明  刘嘉辉  许芳芳</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2、采购代理机构开户名称：陕西万泽招标有限公司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陕西万泽招标有限公司</w:t>
      </w:r>
    </w:p>
    <w:p>
      <w:pPr>
        <w:widowControl/>
        <w:tabs>
          <w:tab w:val="left" w:pos="1620"/>
        </w:tabs>
        <w:snapToGrid w:val="0"/>
        <w:spacing w:line="360" w:lineRule="auto"/>
        <w:ind w:firstLine="422" w:firstLineChars="175"/>
        <w:jc w:val="right"/>
        <w:rPr>
          <w:rFonts w:asciiTheme="minorEastAsia" w:hAnsiTheme="minorEastAsia" w:cstheme="minorEastAsia"/>
          <w:kern w:val="0"/>
          <w:sz w:val="24"/>
          <w:szCs w:val="24"/>
          <w:highlight w:val="none"/>
        </w:rPr>
        <w:sectPr>
          <w:footerReference r:id="rId7"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bCs/>
          <w:kern w:val="0"/>
          <w:sz w:val="24"/>
          <w:szCs w:val="24"/>
          <w:highlight w:val="none"/>
        </w:rPr>
        <w:t>2022年</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21</w:t>
      </w:r>
      <w:r>
        <w:rPr>
          <w:rFonts w:hint="eastAsia" w:asciiTheme="minorEastAsia" w:hAnsiTheme="minorEastAsia" w:cstheme="minorEastAsia"/>
          <w:b/>
          <w:bCs/>
          <w:kern w:val="0"/>
          <w:sz w:val="24"/>
          <w:szCs w:val="24"/>
          <w:highlight w:val="none"/>
        </w:rPr>
        <w:t>日</w:t>
      </w:r>
    </w:p>
    <w:p>
      <w:pPr>
        <w:pStyle w:val="3"/>
        <w:spacing w:before="325" w:beforeLines="100" w:after="162" w:afterLines="50" w:line="600" w:lineRule="exact"/>
        <w:jc w:val="center"/>
        <w:rPr>
          <w:rFonts w:asciiTheme="minorEastAsia" w:hAnsiTheme="minorEastAsia" w:eastAsiaTheme="minorEastAsia" w:cstheme="minorEastAsia"/>
          <w:sz w:val="36"/>
          <w:szCs w:val="36"/>
        </w:rPr>
      </w:pPr>
      <w:bookmarkStart w:id="6" w:name="_Toc29436"/>
      <w:bookmarkStart w:id="7" w:name="_Toc438048787"/>
      <w:bookmarkStart w:id="8" w:name="_Toc30089"/>
      <w:bookmarkStart w:id="9" w:name="_Toc8689"/>
      <w:bookmarkStart w:id="10" w:name="_Toc19272"/>
      <w:bookmarkStart w:id="11" w:name="_Toc338"/>
      <w:bookmarkStart w:id="12" w:name="_Toc262"/>
      <w:r>
        <w:rPr>
          <w:rFonts w:hint="eastAsia" w:asciiTheme="minorEastAsia" w:hAnsiTheme="minorEastAsia" w:eastAsiaTheme="minorEastAsia" w:cstheme="minorEastAsia"/>
          <w:sz w:val="36"/>
          <w:szCs w:val="36"/>
        </w:rPr>
        <w:t>第二部分  投标人须知前附表</w:t>
      </w:r>
      <w:bookmarkEnd w:id="6"/>
      <w:bookmarkEnd w:id="7"/>
      <w:bookmarkEnd w:id="8"/>
      <w:bookmarkEnd w:id="9"/>
    </w:p>
    <w:tbl>
      <w:tblPr>
        <w:tblStyle w:val="20"/>
        <w:tblpPr w:leftFromText="180" w:rightFromText="180" w:vertAnchor="text" w:horzAnchor="page" w:tblpX="1130" w:tblpY="309"/>
        <w:tblOverlap w:val="never"/>
        <w:tblW w:w="97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2"/>
        <w:gridCol w:w="972"/>
        <w:gridCol w:w="82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542" w:type="dxa"/>
            <w:vAlign w:val="center"/>
          </w:tcPr>
          <w:p>
            <w:pPr>
              <w:spacing w:before="162"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972" w:type="dxa"/>
            <w:vAlign w:val="center"/>
          </w:tcPr>
          <w:p>
            <w:pPr>
              <w:spacing w:before="162" w:beforeLines="50" w:line="360" w:lineRule="auto"/>
              <w:rPr>
                <w:rFonts w:asciiTheme="minorEastAsia" w:hAnsiTheme="minorEastAsia" w:cstheme="minorEastAsia"/>
                <w:b/>
                <w:szCs w:val="21"/>
              </w:rPr>
            </w:pPr>
            <w:r>
              <w:rPr>
                <w:rFonts w:hint="eastAsia" w:asciiTheme="minorEastAsia" w:hAnsiTheme="minorEastAsia" w:cstheme="minorEastAsia"/>
                <w:b/>
                <w:szCs w:val="21"/>
              </w:rPr>
              <w:t>条款</w:t>
            </w:r>
          </w:p>
        </w:tc>
        <w:tc>
          <w:tcPr>
            <w:tcW w:w="8207" w:type="dxa"/>
            <w:vAlign w:val="center"/>
          </w:tcPr>
          <w:p>
            <w:pPr>
              <w:spacing w:before="162"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 w:hRule="atLeast"/>
        </w:trPr>
        <w:tc>
          <w:tcPr>
            <w:tcW w:w="542" w:type="dxa"/>
            <w:vAlign w:val="center"/>
          </w:tcPr>
          <w:p>
            <w:pPr>
              <w:spacing w:before="162"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1</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p>
        </w:tc>
        <w:tc>
          <w:tcPr>
            <w:tcW w:w="8207" w:type="dxa"/>
            <w:vAlign w:val="center"/>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西安医学院基本教学实验设备补充更新项目（二次）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542" w:type="dxa"/>
            <w:vAlign w:val="center"/>
          </w:tcPr>
          <w:p>
            <w:pPr>
              <w:spacing w:before="162" w:beforeLines="50" w:line="360" w:lineRule="auto"/>
              <w:jc w:val="center"/>
              <w:rPr>
                <w:rFonts w:asciiTheme="minorEastAsia" w:hAnsiTheme="minorEastAsia" w:cstheme="minorEastAsia"/>
                <w:b/>
                <w:szCs w:val="21"/>
              </w:rPr>
            </w:pPr>
          </w:p>
          <w:p>
            <w:pPr>
              <w:spacing w:before="162"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2</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采购人</w:t>
            </w:r>
          </w:p>
        </w:tc>
        <w:tc>
          <w:tcPr>
            <w:tcW w:w="8207" w:type="dxa"/>
            <w:vAlign w:val="center"/>
          </w:tcPr>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采购人名称：西安医学院</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地    址：西安市未央区辛王路1号</w:t>
            </w:r>
          </w:p>
          <w:p>
            <w:pPr>
              <w:pStyle w:val="8"/>
            </w:pPr>
            <w:r>
              <w:rPr>
                <w:rFonts w:hint="eastAsia" w:asciiTheme="minorEastAsia" w:hAnsiTheme="minorEastAsia" w:cstheme="minorEastAsia"/>
                <w:szCs w:val="21"/>
              </w:rPr>
              <w:t>联系人：苏老师</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联系方式：029-86177468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542" w:type="dxa"/>
            <w:tcBorders>
              <w:top w:val="single" w:color="auto" w:sz="4" w:space="0"/>
            </w:tcBorders>
            <w:vAlign w:val="center"/>
          </w:tcPr>
          <w:p>
            <w:pPr>
              <w:spacing w:before="162" w:beforeLines="50" w:line="360" w:lineRule="auto"/>
              <w:jc w:val="center"/>
              <w:rPr>
                <w:rFonts w:asciiTheme="minorEastAsia" w:hAnsiTheme="minorEastAsia" w:cstheme="minorEastAsia"/>
                <w:b/>
                <w:szCs w:val="21"/>
              </w:rPr>
            </w:pPr>
          </w:p>
          <w:p>
            <w:pPr>
              <w:spacing w:before="162" w:beforeLines="50" w:line="360" w:lineRule="auto"/>
              <w:jc w:val="center"/>
              <w:rPr>
                <w:rFonts w:asciiTheme="minorEastAsia" w:hAnsiTheme="minorEastAsia" w:cstheme="minorEastAsia"/>
                <w:b/>
                <w:szCs w:val="21"/>
              </w:rPr>
            </w:pPr>
          </w:p>
          <w:p>
            <w:pPr>
              <w:spacing w:before="162"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3</w:t>
            </w:r>
          </w:p>
        </w:tc>
        <w:tc>
          <w:tcPr>
            <w:tcW w:w="972"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w:t>
            </w:r>
          </w:p>
        </w:tc>
        <w:tc>
          <w:tcPr>
            <w:tcW w:w="8207"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采购代理机构：陕西万泽招标有限公司</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地        址：西安市莲湖区西关正街英达大厦1507室</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联   系   人：崔方明  刘嘉辉  许芳芳</w:t>
            </w:r>
          </w:p>
          <w:p>
            <w:pPr>
              <w:spacing w:line="360" w:lineRule="auto"/>
              <w:rPr>
                <w:rFonts w:asciiTheme="minorEastAsia" w:hAnsiTheme="minorEastAsia" w:cstheme="minorEastAsia"/>
                <w:szCs w:val="21"/>
              </w:rPr>
            </w:pPr>
            <w:r>
              <w:rPr>
                <w:rFonts w:hint="eastAsia" w:asciiTheme="minorEastAsia" w:hAnsiTheme="minorEastAsia" w:cstheme="minorEastAsia"/>
                <w:szCs w:val="21"/>
              </w:rPr>
              <w:t>电        话：029-88319689-804/810</w:t>
            </w:r>
          </w:p>
          <w:p>
            <w:pPr>
              <w:spacing w:line="360" w:lineRule="auto"/>
              <w:rPr>
                <w:rFonts w:asciiTheme="minorEastAsia" w:hAnsiTheme="minorEastAsia" w:cstheme="minorEastAsia"/>
                <w:szCs w:val="21"/>
              </w:rPr>
            </w:pPr>
            <w:r>
              <w:rPr>
                <w:rFonts w:hint="eastAsia" w:asciiTheme="minorEastAsia" w:hAnsiTheme="minorEastAsia" w:cstheme="minorEastAsia"/>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1"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联合体形式</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备选</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方案</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5"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打包</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本次采购不分包，投标人可根据自身的资质情况和经营范围对本项目进行投标，不得自行分解或只对本次项目中的品目进行不完全投标，任何不完全的投标将按无效投标处理。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有效期</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投标文件从开标之日起，投标有效期为90日历天。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49"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资格</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207" w:type="dxa"/>
            <w:vAlign w:val="center"/>
          </w:tcPr>
          <w:p>
            <w:pPr>
              <w:snapToGrid w:val="0"/>
              <w:spacing w:line="360" w:lineRule="auto"/>
              <w:ind w:firstLine="472" w:firstLineChars="225"/>
              <w:jc w:val="left"/>
              <w:rPr>
                <w:rFonts w:ascii="宋体" w:hAnsi="宋体" w:cs="宋体"/>
                <w:bCs/>
                <w:kern w:val="0"/>
                <w:szCs w:val="21"/>
              </w:rPr>
            </w:pPr>
            <w:r>
              <w:rPr>
                <w:rFonts w:hint="eastAsia" w:ascii="宋体" w:hAnsi="宋体" w:cs="宋体"/>
                <w:bCs/>
                <w:kern w:val="0"/>
                <w:szCs w:val="21"/>
              </w:rPr>
              <w:t>符合《中华人民共和国政府采购法》第二十二条规定，并提供以下材料：</w:t>
            </w:r>
          </w:p>
          <w:p>
            <w:pPr>
              <w:spacing w:line="360" w:lineRule="auto"/>
              <w:ind w:firstLine="420" w:firstLineChars="200"/>
              <w:rPr>
                <w:rFonts w:asciiTheme="minorEastAsia" w:hAnsiTheme="minorEastAsia" w:cstheme="minorEastAsia"/>
                <w:szCs w:val="21"/>
              </w:rPr>
            </w:pPr>
            <w:r>
              <w:rPr>
                <w:rFonts w:hint="eastAsia" w:ascii="宋体" w:hAnsi="宋体" w:cs="宋体"/>
                <w:bCs/>
                <w:kern w:val="0"/>
                <w:szCs w:val="21"/>
              </w:rPr>
              <w:t>1、提供合格有效的法人或其他组织的营业执照等证明文件，自然人参与的提供其身份证原件</w:t>
            </w:r>
            <w:r>
              <w:rPr>
                <w:rFonts w:hint="eastAsia" w:asciiTheme="minorEastAsia" w:hAnsiTheme="minorEastAsia" w:cstheme="minorEastAsia"/>
                <w:szCs w:val="21"/>
              </w:rPr>
              <w:t>；</w:t>
            </w:r>
            <w:r>
              <w:rPr>
                <w:rFonts w:hint="eastAsia" w:cs="黑体"/>
                <w:b/>
                <w:bCs/>
                <w:szCs w:val="21"/>
              </w:rPr>
              <w:t>提供证明文件复印件加盖投标人公章。</w:t>
            </w:r>
          </w:p>
          <w:p>
            <w:pPr>
              <w:spacing w:line="360" w:lineRule="auto"/>
              <w:ind w:firstLine="420" w:firstLineChars="200"/>
              <w:rPr>
                <w:rFonts w:asciiTheme="minorEastAsia" w:hAnsiTheme="minorEastAsia" w:cstheme="minorEastAsia"/>
                <w:szCs w:val="21"/>
              </w:rPr>
            </w:pPr>
            <w:r>
              <w:rPr>
                <w:rFonts w:hint="eastAsia" w:ascii="宋体" w:hAnsi="宋体" w:cs="宋体"/>
                <w:bCs/>
                <w:kern w:val="0"/>
                <w:szCs w:val="21"/>
              </w:rPr>
              <w:t>2、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cs="黑体"/>
                <w:b/>
                <w:bCs/>
                <w:szCs w:val="21"/>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3、税收缴纳证明：提供2022年1月至今已缴纳的至少一个月的纳税证明或完税证明；依法免税的单位应提供相关证明材料；</w:t>
            </w:r>
            <w:r>
              <w:rPr>
                <w:rFonts w:hint="eastAsia" w:cs="黑体"/>
                <w:b/>
                <w:bCs/>
                <w:szCs w:val="21"/>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4、财务状况证明：提供经会计师事务所审计的2020年或2021年财务审计报告，或在开标日期前六个月内其基本开户银行出具的资信证明；</w:t>
            </w:r>
            <w:r>
              <w:rPr>
                <w:rFonts w:hint="eastAsia" w:cs="黑体"/>
                <w:b/>
                <w:bCs/>
                <w:szCs w:val="21"/>
              </w:rPr>
              <w:t>提供复印件加盖投标人鲜章。</w:t>
            </w:r>
          </w:p>
          <w:p>
            <w:pPr>
              <w:spacing w:line="360" w:lineRule="auto"/>
              <w:ind w:firstLine="420" w:firstLineChars="200"/>
              <w:rPr>
                <w:b/>
                <w:bCs/>
                <w:szCs w:val="21"/>
              </w:rPr>
            </w:pPr>
            <w:r>
              <w:rPr>
                <w:rFonts w:hint="eastAsia" w:ascii="宋体" w:hAnsi="宋体" w:cs="宋体"/>
                <w:bCs/>
                <w:kern w:val="0"/>
                <w:szCs w:val="21"/>
              </w:rPr>
              <w:t xml:space="preserve">5、投标人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r>
              <w:rPr>
                <w:rFonts w:hint="eastAsia" w:ascii="宋体" w:hAnsi="宋体" w:cs="宋体"/>
                <w:b/>
                <w:kern w:val="0"/>
                <w:szCs w:val="21"/>
              </w:rPr>
              <w:t>提供声明原件，格式可参考招标文件第七部分投标文件相关格式。</w:t>
            </w:r>
          </w:p>
          <w:p>
            <w:pPr>
              <w:snapToGrid w:val="0"/>
              <w:spacing w:line="360" w:lineRule="auto"/>
              <w:ind w:firstLine="420" w:firstLineChars="200"/>
              <w:jc w:val="left"/>
              <w:rPr>
                <w:rFonts w:hint="eastAsia" w:ascii="宋体" w:hAnsi="宋体" w:eastAsia="宋体" w:cs="宋体"/>
                <w:b/>
                <w:kern w:val="0"/>
                <w:szCs w:val="21"/>
              </w:rPr>
            </w:pPr>
            <w:r>
              <w:rPr>
                <w:rFonts w:hint="eastAsia" w:ascii="宋体" w:hAnsi="宋体" w:eastAsia="宋体" w:cs="宋体"/>
                <w:bCs/>
                <w:kern w:val="0"/>
                <w:szCs w:val="21"/>
              </w:rPr>
              <w:t>6、</w:t>
            </w:r>
            <w:r>
              <w:rPr>
                <w:rFonts w:hint="eastAsia" w:ascii="宋体" w:hAnsi="宋体" w:eastAsia="宋体" w:cs="宋体"/>
                <w:b/>
                <w:kern w:val="0"/>
                <w:szCs w:val="21"/>
              </w:rPr>
              <w:t>非法定代表人参加投标的，须提供法定代表人授权委托书及被授权人身份证原件；法定代表人参加投标时,只须提供法定代表人身份证原件；</w:t>
            </w:r>
          </w:p>
          <w:p>
            <w:pPr>
              <w:snapToGrid w:val="0"/>
              <w:spacing w:line="360" w:lineRule="auto"/>
              <w:ind w:firstLine="422" w:firstLineChars="200"/>
              <w:jc w:val="left"/>
              <w:rPr>
                <w:rFonts w:ascii="宋体" w:hAnsi="宋体" w:eastAsia="宋体" w:cs="宋体"/>
                <w:szCs w:val="21"/>
              </w:rPr>
            </w:pPr>
            <w:r>
              <w:rPr>
                <w:rFonts w:hint="eastAsia" w:ascii="宋体" w:hAnsi="宋体" w:eastAsia="宋体" w:cs="宋体"/>
                <w:b/>
                <w:kern w:val="0"/>
                <w:szCs w:val="21"/>
              </w:rPr>
              <w:t>7、本项目专门面向中小企业采购，投标人应提供中小企业声明函；</w:t>
            </w:r>
          </w:p>
          <w:p>
            <w:pPr>
              <w:pStyle w:val="8"/>
              <w:ind w:firstLine="420" w:firstLineChars="200"/>
              <w:rPr>
                <w:rFonts w:ascii="宋体" w:hAnsi="宋体" w:eastAsia="宋体" w:cs="宋体"/>
              </w:rPr>
            </w:pPr>
            <w:r>
              <w:rPr>
                <w:rFonts w:hint="eastAsia" w:ascii="宋体" w:hAnsi="宋体" w:eastAsia="宋体" w:cs="宋体"/>
                <w:szCs w:val="21"/>
                <w:lang w:val="en-US" w:eastAsia="zh-CN"/>
              </w:rPr>
              <w:t>8</w:t>
            </w:r>
            <w:r>
              <w:rPr>
                <w:rFonts w:hint="eastAsia" w:ascii="宋体" w:hAnsi="宋体" w:eastAsia="宋体" w:cs="宋体"/>
                <w:szCs w:val="21"/>
              </w:rPr>
              <w:t>、本项目不接受联合体投标。</w:t>
            </w:r>
          </w:p>
          <w:p>
            <w:pPr>
              <w:pStyle w:val="6"/>
              <w:spacing w:line="360" w:lineRule="auto"/>
              <w:ind w:firstLine="422" w:firstLineChars="200"/>
              <w:rPr>
                <w:rFonts w:asciiTheme="minorEastAsia" w:hAnsiTheme="minorEastAsia" w:cstheme="minorEastAsia"/>
                <w:b/>
                <w:bCs/>
                <w:szCs w:val="21"/>
              </w:rPr>
            </w:pPr>
            <w:r>
              <w:rPr>
                <w:rFonts w:hint="eastAsia"/>
                <w:b/>
                <w:bCs/>
              </w:rPr>
              <w:t>注：</w:t>
            </w:r>
            <w:r>
              <w:rPr>
                <w:rFonts w:ascii="Calibri" w:hAnsi="Calibri" w:cs="Calibri"/>
                <w:b/>
                <w:bCs/>
                <w:szCs w:val="21"/>
              </w:rPr>
              <w:t>①</w:t>
            </w:r>
            <w:r>
              <w:rPr>
                <w:rFonts w:hint="eastAsia" w:asciiTheme="minorEastAsia" w:hAnsiTheme="minorEastAsia" w:cstheme="minorEastAsia"/>
                <w:b/>
                <w:bCs/>
                <w:szCs w:val="21"/>
              </w:rPr>
              <w:t>投标人应在投标文件正本中附按照上述要求须提供的资格证明文件（身份证原件除外），作为资格审查的依据，资审时凡有一项不合格者，均按无效投标处理。</w:t>
            </w:r>
          </w:p>
          <w:p>
            <w:pPr>
              <w:pStyle w:val="6"/>
              <w:spacing w:line="360" w:lineRule="auto"/>
              <w:ind w:right="170" w:rightChars="81" w:firstLine="422" w:firstLineChars="200"/>
              <w:rPr>
                <w:b/>
                <w:bCs/>
              </w:rPr>
            </w:pPr>
            <w:r>
              <w:rPr>
                <w:rFonts w:ascii="Calibri" w:hAnsi="Calibri" w:cs="Calibri"/>
                <w:b/>
                <w:bCs/>
                <w:szCs w:val="21"/>
              </w:rPr>
              <w:t>②</w:t>
            </w:r>
            <w:r>
              <w:rPr>
                <w:rFonts w:hint="eastAsia" w:asciiTheme="minorEastAsia" w:hAnsiTheme="minorEastAsia" w:cstheme="minorEastAsia"/>
                <w:b/>
                <w:bCs/>
                <w:szCs w:val="21"/>
              </w:rPr>
              <w:t>投标人自行承担所提供原件及其复印件的真实性、合法性及有效性，由于投标人未在响应文件中提供或所提供证明材料不合格的，将按无效响应处理。（如投标人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保证金</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207" w:type="dxa"/>
            <w:vAlign w:val="center"/>
          </w:tcPr>
          <w:p>
            <w:pPr>
              <w:spacing w:line="360" w:lineRule="auto"/>
              <w:jc w:val="left"/>
              <w:rPr>
                <w:rFonts w:asciiTheme="minorEastAsia" w:hAnsiTheme="minorEastAsia" w:cstheme="minorEastAsia"/>
                <w:b/>
                <w:bCs/>
                <w:szCs w:val="21"/>
              </w:rPr>
            </w:pPr>
            <w:r>
              <w:rPr>
                <w:rFonts w:hint="eastAsia" w:asciiTheme="minorEastAsia" w:hAnsiTheme="minorEastAsia" w:cstheme="minorEastAsia"/>
                <w:b/>
                <w:bCs/>
                <w:color w:val="000000"/>
                <w:szCs w:val="21"/>
              </w:rPr>
              <w:t>投标保证金为</w:t>
            </w:r>
            <w:r>
              <w:rPr>
                <w:rFonts w:hint="eastAsia" w:asciiTheme="minorEastAsia" w:hAnsiTheme="minorEastAsia" w:cstheme="minorEastAsia"/>
                <w:b/>
                <w:bCs/>
                <w:szCs w:val="21"/>
              </w:rPr>
              <w:t>:人民币壹万伍仟元整（¥15000元）</w:t>
            </w:r>
          </w:p>
          <w:p>
            <w:pPr>
              <w:spacing w:line="360" w:lineRule="auto"/>
              <w:ind w:firstLine="422" w:firstLineChars="200"/>
              <w:jc w:val="left"/>
              <w:rPr>
                <w:rFonts w:ascii="宋体" w:hAnsi="宋体" w:eastAsia="宋体" w:cs="宋体"/>
                <w:szCs w:val="21"/>
              </w:rPr>
            </w:pPr>
            <w:r>
              <w:rPr>
                <w:rFonts w:hint="eastAsia" w:asciiTheme="minorEastAsia" w:hAnsiTheme="minorEastAsia" w:cstheme="minorEastAsia"/>
                <w:b/>
                <w:bCs/>
                <w:szCs w:val="21"/>
              </w:rPr>
              <w:t>投标保证金应当以对公转账、支票、汇票、本票或者金额机构、担保机构出具的保函等非现金形式提交，</w:t>
            </w:r>
            <w:r>
              <w:rPr>
                <w:rFonts w:hint="eastAsia" w:ascii="宋体" w:hAnsi="宋体" w:eastAsia="宋体" w:cs="宋体"/>
                <w:szCs w:val="21"/>
              </w:rPr>
              <w:t>投标保证金交纳截止时间为投标文件递交截止时间（以到账时间为准）</w:t>
            </w:r>
            <w:r>
              <w:rPr>
                <w:rFonts w:hint="eastAsia" w:ascii="宋体" w:hAnsi="宋体"/>
                <w:szCs w:val="21"/>
              </w:rPr>
              <w:t>，</w:t>
            </w:r>
            <w:r>
              <w:rPr>
                <w:rFonts w:hint="eastAsia" w:ascii="宋体" w:hAnsi="宋体" w:eastAsia="宋体" w:cs="宋体"/>
                <w:b/>
                <w:bCs/>
                <w:szCs w:val="21"/>
              </w:rPr>
              <w:t>且应在开标前致电代理机构财务部门确认保证金到账情况，须在投标文件中附保证金</w:t>
            </w:r>
            <w:r>
              <w:rPr>
                <w:rFonts w:hint="eastAsia" w:ascii="宋体" w:hAnsi="宋体" w:cs="宋体"/>
                <w:b/>
                <w:bCs/>
                <w:szCs w:val="21"/>
              </w:rPr>
              <w:t>缴纳</w:t>
            </w:r>
            <w:r>
              <w:rPr>
                <w:rFonts w:hint="eastAsia" w:ascii="宋体" w:hAnsi="宋体" w:eastAsia="宋体" w:cs="宋体"/>
                <w:b/>
                <w:bCs/>
                <w:szCs w:val="21"/>
              </w:rPr>
              <w:t>凭证（复印件加盖公章）（注：投标保证金以投标人名称</w:t>
            </w:r>
            <w:r>
              <w:rPr>
                <w:rFonts w:hint="eastAsia" w:ascii="宋体" w:hAnsi="宋体" w:cs="宋体"/>
                <w:b/>
                <w:bCs/>
                <w:szCs w:val="21"/>
              </w:rPr>
              <w:t>缴纳</w:t>
            </w:r>
            <w:r>
              <w:rPr>
                <w:rFonts w:hint="eastAsia" w:ascii="宋体" w:hAnsi="宋体" w:eastAsia="宋体" w:cs="宋体"/>
                <w:b/>
                <w:bCs/>
                <w:szCs w:val="21"/>
              </w:rPr>
              <w:t>，不允许以个人名义交纳）。</w:t>
            </w:r>
            <w:r>
              <w:rPr>
                <w:rFonts w:hint="eastAsia" w:ascii="宋体" w:hAnsi="宋体"/>
                <w:b/>
                <w:bCs/>
                <w:szCs w:val="21"/>
              </w:rPr>
              <w:t xml:space="preserve"> </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户      名：陕西万泽招标有限公司</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开户行名称：西安银行朝阳门支行</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账      号：211011580000015489</w:t>
            </w:r>
          </w:p>
          <w:p>
            <w:pPr>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咨询电话：苏老师 029-88319689-808</w:t>
            </w:r>
          </w:p>
          <w:p>
            <w:pPr>
              <w:spacing w:line="360" w:lineRule="auto"/>
              <w:rPr>
                <w:rFonts w:ascii="宋体" w:hAnsi="宋体" w:eastAsia="宋体" w:cs="宋体"/>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转账事由：医学院-126</w:t>
            </w:r>
            <w:r>
              <w:rPr>
                <w:rFonts w:hint="eastAsia" w:asciiTheme="minorEastAsia" w:hAnsiTheme="minorEastAsia" w:cstheme="minorEastAsia"/>
                <w:b/>
                <w:bCs/>
                <w:color w:val="000000" w:themeColor="text1"/>
                <w:szCs w:val="21"/>
                <w:lang w:val="en-US" w:eastAsia="zh-CN"/>
                <w14:textFill>
                  <w14:solidFill>
                    <w14:schemeClr w14:val="tx1"/>
                  </w14:solidFill>
                </w14:textFill>
              </w:rPr>
              <w:t>A</w:t>
            </w:r>
            <w:r>
              <w:rPr>
                <w:rFonts w:hint="eastAsia" w:asciiTheme="minorEastAsia" w:hAnsiTheme="minorEastAsia" w:cstheme="minorEastAsia"/>
                <w:b/>
                <w:bCs/>
                <w:color w:val="000000" w:themeColor="text1"/>
                <w:szCs w:val="21"/>
                <w14:textFill>
                  <w14:solidFill>
                    <w14:schemeClr w14:val="tx1"/>
                  </w14:solidFill>
                </w14:textFill>
              </w:rPr>
              <w:t>项目投标保证金</w:t>
            </w:r>
            <w:r>
              <w:rPr>
                <w:rFonts w:hint="eastAsia" w:ascii="宋体" w:hAnsi="宋体" w:eastAsia="宋体" w:cs="宋体"/>
                <w:b/>
                <w:bCs/>
                <w:color w:val="000000" w:themeColor="text1"/>
                <w:szCs w:val="21"/>
                <w14:textFill>
                  <w14:solidFill>
                    <w14:schemeClr w14:val="tx1"/>
                  </w14:solidFill>
                </w14:textFill>
              </w:rPr>
              <w:t xml:space="preserve">（转账时请按要求标明）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15"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文件</w:t>
            </w:r>
          </w:p>
        </w:tc>
        <w:tc>
          <w:tcPr>
            <w:tcW w:w="8207" w:type="dxa"/>
            <w:vAlign w:val="center"/>
          </w:tcPr>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投标文</w:t>
            </w:r>
            <w:r>
              <w:rPr>
                <w:rFonts w:hint="eastAsia" w:asciiTheme="minorEastAsia" w:hAnsiTheme="minorEastAsia" w:cstheme="minorEastAsia"/>
                <w:color w:val="000000" w:themeColor="text1"/>
                <w:szCs w:val="21"/>
                <w14:textFill>
                  <w14:solidFill>
                    <w14:schemeClr w14:val="tx1"/>
                  </w14:solidFill>
                </w14:textFill>
              </w:rPr>
              <w:t>件</w:t>
            </w:r>
            <w:r>
              <w:rPr>
                <w:rFonts w:hint="eastAsia" w:asciiTheme="minorEastAsia" w:hAnsiTheme="minorEastAsia" w:cstheme="minorEastAsia"/>
                <w:b/>
                <w:bCs/>
                <w:color w:val="000000" w:themeColor="text1"/>
                <w:szCs w:val="21"/>
                <w14:textFill>
                  <w14:solidFill>
                    <w14:schemeClr w14:val="tx1"/>
                  </w14:solidFill>
                </w14:textFill>
              </w:rPr>
              <w:t>正本壹份、副本肆份</w:t>
            </w:r>
            <w:r>
              <w:rPr>
                <w:rFonts w:hint="eastAsia" w:asciiTheme="minorEastAsia" w:hAnsiTheme="minorEastAsia" w:cstheme="minorEastAsia"/>
                <w:szCs w:val="21"/>
              </w:rPr>
              <w:t>，分别胶装装订成册，且封面须清楚地标明“正本”或“副本”；若正本和副本不符，以正本书面文件为准；同时提供与正本内容一致的电子版（U盘、</w:t>
            </w:r>
            <w:r>
              <w:rPr>
                <w:rFonts w:hint="eastAsia" w:asciiTheme="minorEastAsia" w:hAnsiTheme="minorEastAsia" w:cstheme="minorEastAsia"/>
                <w:b/>
                <w:bCs/>
                <w:szCs w:val="21"/>
              </w:rPr>
              <w:t>电子文档应为PDF与WORD格式各一份</w:t>
            </w:r>
            <w:r>
              <w:rPr>
                <w:rFonts w:hint="eastAsia" w:asciiTheme="minorEastAsia" w:hAnsiTheme="minorEastAsia" w:cstheme="minorEastAsia"/>
                <w:szCs w:val="21"/>
              </w:rPr>
              <w:t>）、开标一览表一份</w:t>
            </w:r>
            <w:r>
              <w:rPr>
                <w:rFonts w:hint="eastAsia" w:asciiTheme="minorEastAsia" w:hAnsiTheme="minorEastAsia" w:cstheme="minorEastAsia"/>
                <w:b/>
                <w:bCs/>
                <w:szCs w:val="21"/>
              </w:rPr>
              <w:t>（</w:t>
            </w:r>
            <w:r>
              <w:rPr>
                <w:rFonts w:hint="eastAsia" w:asciiTheme="minorEastAsia" w:hAnsiTheme="minorEastAsia" w:cstheme="minorEastAsia"/>
                <w:szCs w:val="21"/>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64"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包装密封</w:t>
            </w:r>
          </w:p>
        </w:tc>
        <w:tc>
          <w:tcPr>
            <w:tcW w:w="8207" w:type="dxa"/>
            <w:vAlign w:val="center"/>
          </w:tcPr>
          <w:p>
            <w:pPr>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szCs w:val="21"/>
              </w:rPr>
              <w:t>投标文件正本、所有的副本、电子版本、开标一览表需分开密封装在单独的封袋中（封袋不得有破损），且在封袋正面标明“正本”“副本”“电子版”“开标一览表”字样。封袋应加贴封条，并在封线处加盖投标人</w:t>
            </w:r>
            <w:r>
              <w:rPr>
                <w:rFonts w:hint="eastAsia" w:asciiTheme="minorEastAsia" w:hAnsiTheme="minorEastAsia" w:cstheme="minorEastAsia"/>
                <w:color w:val="000000" w:themeColor="text1"/>
                <w:szCs w:val="21"/>
                <w14:textFill>
                  <w14:solidFill>
                    <w14:schemeClr w14:val="tx1"/>
                  </w14:solidFill>
                </w14:textFill>
              </w:rPr>
              <w:t>鲜章，封袋正面要粘贴投标人全称、项目名称、编号、包号等标识</w:t>
            </w:r>
            <w:r>
              <w:rPr>
                <w:rFonts w:hint="eastAsia" w:asciiTheme="minorEastAsia" w:hAnsiTheme="minorEastAsia" w:cstheme="minorEastAsia"/>
                <w:szCs w:val="21"/>
              </w:rPr>
              <w:t>，且</w:t>
            </w:r>
            <w:r>
              <w:rPr>
                <w:rFonts w:hint="eastAsia" w:asciiTheme="minorEastAsia" w:hAnsiTheme="minorEastAsia" w:cstheme="minorEastAsia"/>
                <w:kern w:val="0"/>
                <w:szCs w:val="21"/>
              </w:rPr>
              <w:t>投标文件袋上应加盖投标人公章（</w:t>
            </w:r>
            <w:r>
              <w:rPr>
                <w:rFonts w:hint="eastAsia" w:asciiTheme="minorEastAsia" w:hAnsiTheme="minorEastAsia" w:cstheme="minorEastAsia"/>
                <w:szCs w:val="21"/>
              </w:rPr>
              <w:t>封面标识见招标文件</w:t>
            </w:r>
            <w:r>
              <w:rPr>
                <w:rFonts w:hint="eastAsia" w:asciiTheme="minorEastAsia" w:hAnsiTheme="minorEastAsia" w:cstheme="minorEastAsia"/>
                <w:b/>
                <w:bCs/>
                <w:szCs w:val="21"/>
              </w:rPr>
              <w:t>附件一</w:t>
            </w:r>
            <w:r>
              <w:rPr>
                <w:rFonts w:hint="eastAsia" w:asciiTheme="minorEastAsia" w:hAnsiTheme="minorEastAsia" w:cstheme="minorEastAsia"/>
                <w:szCs w:val="21"/>
              </w:rPr>
              <w:t>）</w:t>
            </w:r>
            <w:r>
              <w:rPr>
                <w:rFonts w:hint="eastAsia" w:asciiTheme="minorEastAsia" w:hAnsiTheme="minorEastAsia" w:cstheme="minorEastAsia"/>
                <w:kern w:val="0"/>
                <w:szCs w:val="21"/>
              </w:rPr>
              <w:t>如果未按上述规定进行密封，投标人的投标文件有权被拒绝</w:t>
            </w:r>
            <w:r>
              <w:rPr>
                <w:rFonts w:hint="eastAsia" w:asciiTheme="minorEastAsia" w:hAnsiTheme="minorEastAsia" w:cstheme="minorEastAsia"/>
                <w:szCs w:val="21"/>
              </w:rPr>
              <w:t>。</w:t>
            </w:r>
          </w:p>
          <w:p>
            <w:pPr>
              <w:spacing w:line="360" w:lineRule="auto"/>
              <w:ind w:firstLine="422" w:firstLineChars="200"/>
              <w:rPr>
                <w:rFonts w:asciiTheme="minorEastAsia" w:hAnsiTheme="minorEastAsia" w:cstheme="minorEastAsia"/>
                <w:szCs w:val="21"/>
              </w:rPr>
            </w:pPr>
            <w:r>
              <w:rPr>
                <w:rFonts w:hint="eastAsia" w:asciiTheme="minorEastAsia" w:hAnsiTheme="minorEastAsia" w:cstheme="minorEastAsia"/>
                <w:b/>
                <w:bCs/>
                <w:szCs w:val="21"/>
              </w:rPr>
              <w:t>如果投标人未按上述要求密封及加写标记，误投或过早启封的投标文件，将自行承担其投标文件被拒收的风险。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szCs w:val="21"/>
              </w:rPr>
              <w:t>评审办法</w:t>
            </w:r>
          </w:p>
        </w:tc>
        <w:tc>
          <w:tcPr>
            <w:tcW w:w="8207" w:type="dxa"/>
            <w:vAlign w:val="center"/>
          </w:tcPr>
          <w:p>
            <w:pPr>
              <w:spacing w:line="360" w:lineRule="auto"/>
              <w:rPr>
                <w:rFonts w:asciiTheme="minorEastAsia" w:hAnsiTheme="minorEastAsia" w:cstheme="minorEastAsia"/>
                <w:b/>
                <w:bCs/>
                <w:color w:val="000000"/>
                <w:szCs w:val="21"/>
              </w:rPr>
            </w:pPr>
            <w:r>
              <w:rPr>
                <w:rFonts w:hint="eastAsia" w:asciiTheme="minorEastAsia" w:hAnsiTheme="minorEastAsia" w:cstheme="minorEastAsia"/>
                <w:szCs w:val="21"/>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542" w:type="dxa"/>
            <w:vAlign w:val="center"/>
          </w:tcPr>
          <w:p>
            <w:pPr>
              <w:spacing w:line="360" w:lineRule="auto"/>
              <w:jc w:val="center"/>
              <w:rPr>
                <w:rFonts w:asciiTheme="minorEastAsia" w:hAnsiTheme="minorEastAsia" w:cstheme="minorEastAsia"/>
                <w:b/>
                <w:bCs/>
                <w:szCs w:val="21"/>
                <w:highlight w:val="yellow"/>
              </w:rPr>
            </w:pPr>
            <w:r>
              <w:rPr>
                <w:rFonts w:hint="eastAsia" w:asciiTheme="minorEastAsia" w:hAnsiTheme="minorEastAsia" w:cstheme="minorEastAsia"/>
                <w:b/>
                <w:bCs/>
                <w:szCs w:val="21"/>
                <w:highlight w:val="none"/>
              </w:rPr>
              <w:t>13</w:t>
            </w:r>
          </w:p>
        </w:tc>
        <w:tc>
          <w:tcPr>
            <w:tcW w:w="972" w:type="dxa"/>
            <w:vAlign w:val="center"/>
          </w:tcPr>
          <w:p>
            <w:pPr>
              <w:spacing w:line="360" w:lineRule="auto"/>
              <w:jc w:val="left"/>
              <w:textAlignment w:val="baseline"/>
              <w:rPr>
                <w:rFonts w:ascii="Times New Roman" w:hAnsi="Times New Roman" w:eastAsia="宋体" w:cs="Times New Roman"/>
                <w:b/>
                <w:bCs/>
                <w:szCs w:val="21"/>
                <w:highlight w:val="yellow"/>
              </w:rPr>
            </w:pPr>
            <w:r>
              <w:rPr>
                <w:rFonts w:hint="eastAsia" w:ascii="Times New Roman" w:hAnsi="Times New Roman" w:eastAsia="宋体" w:cs="Times New Roman"/>
                <w:b/>
                <w:bCs/>
                <w:szCs w:val="21"/>
                <w:highlight w:val="none"/>
              </w:rPr>
              <w:t>核心产品</w:t>
            </w:r>
          </w:p>
        </w:tc>
        <w:tc>
          <w:tcPr>
            <w:tcW w:w="8207" w:type="dxa"/>
            <w:vAlign w:val="center"/>
          </w:tcPr>
          <w:p>
            <w:pPr>
              <w:spacing w:line="360" w:lineRule="auto"/>
              <w:jc w:val="left"/>
              <w:textAlignment w:val="baseline"/>
              <w:rPr>
                <w:rFonts w:hint="eastAsia" w:ascii="Times New Roman" w:hAnsi="Times New Roman" w:eastAsia="宋体" w:cs="Times New Roman"/>
                <w:b/>
                <w:bCs/>
                <w:szCs w:val="21"/>
                <w:highlight w:val="yellow"/>
                <w:lang w:eastAsia="zh-CN"/>
              </w:rPr>
            </w:pPr>
            <w:r>
              <w:rPr>
                <w:rFonts w:ascii="Times New Roman" w:hAnsi="Times New Roman" w:eastAsia="宋体" w:cs="Times New Roman"/>
                <w:b/>
                <w:bCs/>
                <w:szCs w:val="21"/>
                <w:highlight w:val="none"/>
              </w:rPr>
              <w:t>冷冻干燥机</w:t>
            </w:r>
            <w:r>
              <w:rPr>
                <w:rFonts w:hint="eastAsia" w:ascii="Times New Roman" w:hAnsi="Times New Roman" w:eastAsia="宋体" w:cs="Times New Roman"/>
                <w:b/>
                <w:bCs/>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972" w:type="dxa"/>
            <w:vAlign w:val="center"/>
          </w:tcPr>
          <w:p>
            <w:pPr>
              <w:spacing w:line="360" w:lineRule="auto"/>
              <w:jc w:val="left"/>
              <w:textAlignment w:val="baseline"/>
            </w:pPr>
            <w:r>
              <w:rPr>
                <w:rFonts w:hint="eastAsia"/>
              </w:rPr>
              <w:t>是否允许采购进口产品</w:t>
            </w:r>
          </w:p>
        </w:tc>
        <w:tc>
          <w:tcPr>
            <w:tcW w:w="8207" w:type="dxa"/>
            <w:vAlign w:val="center"/>
          </w:tcPr>
          <w:p>
            <w:pPr>
              <w:spacing w:line="360" w:lineRule="auto"/>
              <w:jc w:val="left"/>
              <w:textAlignment w:val="baseline"/>
              <w:rPr>
                <w:rFonts w:ascii="宋体" w:hAnsi="宋体" w:eastAsia="宋体" w:cs="宋体"/>
                <w:kern w:val="0"/>
                <w:szCs w:val="21"/>
                <w:highlight w:val="yellow"/>
              </w:rPr>
            </w:pPr>
            <w:r>
              <w:rPr>
                <w:rFonts w:hint="eastAsia" w:asciiTheme="minorEastAsia" w:hAnsiTheme="minorEastAsia" w:cstheme="minorEastAsia"/>
                <w:szCs w:val="21"/>
              </w:rPr>
              <w:t xml:space="preserve">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972" w:type="dxa"/>
            <w:vAlign w:val="center"/>
          </w:tcPr>
          <w:p>
            <w:pPr>
              <w:spacing w:line="360" w:lineRule="auto"/>
              <w:jc w:val="left"/>
              <w:textAlignment w:val="baseline"/>
              <w:rPr>
                <w:rFonts w:asciiTheme="minorEastAsia" w:hAnsiTheme="minorEastAsia" w:cstheme="minorEastAsia"/>
                <w:szCs w:val="21"/>
              </w:rPr>
            </w:pPr>
            <w:r>
              <w:rPr>
                <w:rFonts w:hint="eastAsia" w:ascii="宋体" w:hAnsi="宋体" w:cs="宋体"/>
                <w:szCs w:val="21"/>
              </w:rPr>
              <w:t>履约验收</w:t>
            </w:r>
          </w:p>
        </w:tc>
        <w:tc>
          <w:tcPr>
            <w:tcW w:w="8207" w:type="dxa"/>
            <w:vAlign w:val="center"/>
          </w:tcPr>
          <w:p>
            <w:pPr>
              <w:spacing w:line="360" w:lineRule="auto"/>
              <w:jc w:val="left"/>
              <w:textAlignment w:val="baseline"/>
              <w:rPr>
                <w:rFonts w:ascii="宋体" w:hAnsi="宋体" w:eastAsia="宋体" w:cs="宋体"/>
                <w:kern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1" w:hRule="atLeast"/>
        </w:trPr>
        <w:tc>
          <w:tcPr>
            <w:tcW w:w="542" w:type="dxa"/>
            <w:vAlign w:val="center"/>
          </w:tcPr>
          <w:p>
            <w:pPr>
              <w:spacing w:line="360" w:lineRule="auto"/>
              <w:jc w:val="center"/>
              <w:textAlignment w:val="baseline"/>
              <w:rPr>
                <w:rFonts w:ascii="宋体" w:hAnsi="宋体" w:cs="宋体"/>
                <w:szCs w:val="21"/>
              </w:rPr>
            </w:pPr>
            <w:r>
              <w:rPr>
                <w:rFonts w:hint="eastAsia" w:ascii="宋体" w:hAnsi="宋体" w:cs="宋体"/>
                <w:szCs w:val="21"/>
              </w:rPr>
              <w:t>16</w:t>
            </w:r>
          </w:p>
        </w:tc>
        <w:tc>
          <w:tcPr>
            <w:tcW w:w="972" w:type="dxa"/>
            <w:vAlign w:val="center"/>
          </w:tcPr>
          <w:p>
            <w:pPr>
              <w:spacing w:line="360" w:lineRule="auto"/>
              <w:jc w:val="left"/>
              <w:textAlignment w:val="baseline"/>
              <w:rPr>
                <w:rFonts w:ascii="宋体" w:hAnsi="宋体" w:cs="宋体"/>
                <w:szCs w:val="21"/>
              </w:rPr>
            </w:pPr>
            <w:r>
              <w:rPr>
                <w:rFonts w:hint="eastAsia" w:ascii="宋体" w:hAnsi="宋体" w:cs="宋体"/>
                <w:szCs w:val="21"/>
              </w:rPr>
              <w:t>履约</w:t>
            </w:r>
          </w:p>
          <w:p>
            <w:pPr>
              <w:spacing w:line="360" w:lineRule="auto"/>
              <w:jc w:val="left"/>
              <w:textAlignment w:val="baseline"/>
              <w:rPr>
                <w:rFonts w:ascii="宋体" w:hAnsi="宋体" w:cs="宋体"/>
                <w:szCs w:val="21"/>
              </w:rPr>
            </w:pPr>
            <w:r>
              <w:rPr>
                <w:rFonts w:hint="eastAsia" w:ascii="宋体" w:hAnsi="宋体" w:cs="宋体"/>
                <w:szCs w:val="21"/>
              </w:rPr>
              <w:t>保证金</w:t>
            </w:r>
          </w:p>
        </w:tc>
        <w:tc>
          <w:tcPr>
            <w:tcW w:w="8207" w:type="dxa"/>
            <w:vAlign w:val="center"/>
          </w:tcPr>
          <w:p>
            <w:pPr>
              <w:spacing w:line="360" w:lineRule="auto"/>
              <w:jc w:val="left"/>
              <w:textAlignment w:val="baseline"/>
              <w:rPr>
                <w:rFonts w:ascii="宋体" w:hAnsi="宋体" w:cs="宋体"/>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17</w:t>
            </w:r>
          </w:p>
        </w:tc>
        <w:tc>
          <w:tcPr>
            <w:tcW w:w="972" w:type="dxa"/>
            <w:vAlign w:val="center"/>
          </w:tcPr>
          <w:p>
            <w:pPr>
              <w:jc w:val="center"/>
              <w:textAlignment w:val="baseline"/>
              <w:rPr>
                <w:rFonts w:asciiTheme="minorEastAsia" w:hAnsiTheme="minorEastAsia" w:cstheme="minorEastAsia"/>
                <w:szCs w:val="21"/>
              </w:rPr>
            </w:pPr>
            <w:r>
              <w:rPr>
                <w:rFonts w:hint="eastAsia" w:ascii="宋体" w:hAnsi="宋体" w:cs="宋体"/>
                <w:b/>
                <w:bCs/>
                <w:color w:val="000000"/>
                <w:szCs w:val="21"/>
              </w:rPr>
              <w:t>现场勘查</w:t>
            </w:r>
          </w:p>
        </w:tc>
        <w:tc>
          <w:tcPr>
            <w:tcW w:w="8207" w:type="dxa"/>
            <w:vAlign w:val="center"/>
          </w:tcPr>
          <w:p>
            <w:pPr>
              <w:spacing w:line="360" w:lineRule="auto"/>
              <w:jc w:val="left"/>
              <w:textAlignment w:val="baseline"/>
              <w:rPr>
                <w:rFonts w:ascii="宋体" w:hAnsi="宋体" w:cs="宋体"/>
                <w:kern w:val="0"/>
                <w:szCs w:val="21"/>
              </w:rPr>
            </w:pPr>
            <w:r>
              <w:rPr>
                <w:rFonts w:hint="eastAsia" w:ascii="宋体" w:hAnsi="宋体" w:cs="宋体"/>
                <w:b/>
                <w:bCs/>
                <w:szCs w:val="21"/>
              </w:rPr>
              <w:t>本项目不需要现场勘查。</w:t>
            </w:r>
          </w:p>
        </w:tc>
      </w:tr>
    </w:tbl>
    <w:p>
      <w:pPr>
        <w:rPr>
          <w:sz w:val="36"/>
          <w:szCs w:val="36"/>
        </w:rPr>
      </w:pPr>
      <w:r>
        <w:rPr>
          <w:rFonts w:hint="eastAsia"/>
          <w:sz w:val="36"/>
          <w:szCs w:val="36"/>
        </w:rPr>
        <w:br w:type="page"/>
      </w:r>
    </w:p>
    <w:p>
      <w:pPr>
        <w:pStyle w:val="3"/>
        <w:jc w:val="center"/>
      </w:pPr>
      <w:bookmarkStart w:id="13" w:name="_Toc18138"/>
      <w:r>
        <w:rPr>
          <w:rFonts w:hint="eastAsia"/>
          <w:sz w:val="36"/>
          <w:szCs w:val="36"/>
        </w:rPr>
        <w:t>第三部分  投标人须知</w:t>
      </w:r>
      <w:bookmarkEnd w:id="10"/>
      <w:bookmarkEnd w:id="11"/>
      <w:bookmarkEnd w:id="13"/>
    </w:p>
    <w:p>
      <w:pPr>
        <w:pStyle w:val="4"/>
        <w:rPr>
          <w:rFonts w:asciiTheme="minorEastAsia" w:hAnsiTheme="minorEastAsia" w:eastAsiaTheme="minorEastAsia" w:cstheme="minorEastAsia"/>
        </w:rPr>
      </w:pPr>
      <w:bookmarkStart w:id="14" w:name="_Toc26739"/>
      <w:bookmarkStart w:id="15" w:name="_Toc17553"/>
      <w:bookmarkStart w:id="16" w:name="_Toc15316"/>
      <w:r>
        <w:rPr>
          <w:rFonts w:hint="eastAsia" w:asciiTheme="minorEastAsia" w:hAnsiTheme="minorEastAsia" w:eastAsiaTheme="minorEastAsia" w:cstheme="minorEastAsia"/>
        </w:rPr>
        <w:t>一、总 则</w:t>
      </w:r>
      <w:bookmarkEnd w:id="14"/>
      <w:bookmarkEnd w:id="15"/>
      <w:bookmarkEnd w:id="16"/>
    </w:p>
    <w:p>
      <w:pPr>
        <w:pStyle w:val="5"/>
        <w:numPr>
          <w:ilvl w:val="0"/>
          <w:numId w:val="3"/>
        </w:numPr>
      </w:pPr>
      <w:bookmarkStart w:id="17" w:name="_Toc6742"/>
      <w:bookmarkStart w:id="18" w:name="_Toc380336725"/>
      <w:bookmarkStart w:id="19" w:name="_Toc9257"/>
      <w:bookmarkStart w:id="20" w:name="_Toc358364319"/>
      <w:r>
        <w:rPr>
          <w:rFonts w:hint="eastAsia"/>
        </w:rPr>
        <w:t>适用范围</w:t>
      </w:r>
      <w:bookmarkEnd w:id="17"/>
      <w:bookmarkEnd w:id="18"/>
      <w:bookmarkEnd w:id="19"/>
      <w:bookmarkEnd w:id="20"/>
    </w:p>
    <w:p>
      <w:pPr>
        <w:widowControl/>
        <w:numPr>
          <w:ilvl w:val="1"/>
          <w:numId w:val="4"/>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本招标文件适用于本次招标活动的全过程。</w:t>
      </w:r>
    </w:p>
    <w:p>
      <w:pPr>
        <w:widowControl/>
        <w:numPr>
          <w:ilvl w:val="1"/>
          <w:numId w:val="4"/>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本次采购属政府采购，采购人、采购代理机构、投标人、评标委员会的相关行为均受《中华人民共和国政府采购法》及实施条例、财政部规章及政府采购项目所在地有关法规</w:t>
      </w:r>
      <w:r>
        <w:rPr>
          <w:rFonts w:hint="eastAsia" w:asciiTheme="minorEastAsia" w:hAnsiTheme="minorEastAsia" w:cstheme="minorEastAsia"/>
          <w:color w:val="000000" w:themeColor="text1"/>
          <w:kern w:val="0"/>
          <w:sz w:val="24"/>
          <w:szCs w:val="24"/>
          <w14:textFill>
            <w14:solidFill>
              <w14:schemeClr w14:val="tx1"/>
            </w14:solidFill>
          </w14:textFill>
        </w:rPr>
        <w:t>、规章</w:t>
      </w:r>
      <w:r>
        <w:rPr>
          <w:rFonts w:hint="eastAsia" w:asciiTheme="minorEastAsia" w:hAnsiTheme="minorEastAsia" w:cstheme="minorEastAsia"/>
          <w:kern w:val="0"/>
          <w:sz w:val="24"/>
          <w:szCs w:val="24"/>
        </w:rPr>
        <w:t>的约束，其权利受到上述法律法规的保护。</w:t>
      </w:r>
    </w:p>
    <w:p>
      <w:pPr>
        <w:pStyle w:val="5"/>
        <w:numPr>
          <w:ilvl w:val="0"/>
          <w:numId w:val="3"/>
        </w:numPr>
      </w:pPr>
      <w:bookmarkStart w:id="21" w:name="_Toc380336726"/>
      <w:bookmarkStart w:id="22" w:name="_Toc7922"/>
      <w:bookmarkStart w:id="23" w:name="_Toc358364320"/>
      <w:bookmarkStart w:id="24" w:name="_Toc11287"/>
      <w:r>
        <w:rPr>
          <w:rFonts w:hint="eastAsia"/>
        </w:rPr>
        <w:t>定义</w:t>
      </w:r>
      <w:bookmarkEnd w:id="21"/>
      <w:bookmarkEnd w:id="22"/>
      <w:bookmarkEnd w:id="23"/>
      <w:bookmarkEnd w:id="24"/>
      <w:r>
        <w:rPr>
          <w:rFonts w:hint="eastAsia"/>
        </w:rPr>
        <w:t xml:space="preserve"> </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2.1 “采购人”是指依法进行政府采购的国家机关、事业单位、团体组织。本次政府采购的采购人名称、地址、电话见投标人须知前附表。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2.2 “采购代理机构”是指接受采购人委托，代理采购项目的集中采购机构和其他采购代理机构。本次采购代理机构名称、地址、电话见投标人须知前附表。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2.3 “投标人”是</w:t>
      </w:r>
      <w:r>
        <w:rPr>
          <w:rFonts w:hint="eastAsia" w:ascii="宋体" w:hAnsi="宋体" w:cs="宋体"/>
          <w:sz w:val="24"/>
          <w:szCs w:val="24"/>
        </w:rPr>
        <w:t>参与本项目投标活动的</w:t>
      </w:r>
      <w:r>
        <w:rPr>
          <w:rFonts w:hint="eastAsia" w:ascii="宋体" w:hAnsi="宋体" w:eastAsia="宋体" w:cs="宋体"/>
          <w:color w:val="000000"/>
          <w:sz w:val="24"/>
          <w:szCs w:val="24"/>
        </w:rPr>
        <w:t>法人</w:t>
      </w:r>
      <w:r>
        <w:rPr>
          <w:rFonts w:hint="eastAsia" w:ascii="宋体" w:hAnsi="宋体" w:cs="宋体"/>
          <w:color w:val="000000"/>
          <w:sz w:val="24"/>
          <w:szCs w:val="24"/>
        </w:rPr>
        <w:t>、</w:t>
      </w:r>
      <w:r>
        <w:rPr>
          <w:rFonts w:hint="eastAsia" w:ascii="宋体" w:hAnsi="宋体" w:eastAsia="宋体" w:cs="宋体"/>
          <w:color w:val="000000"/>
          <w:sz w:val="24"/>
          <w:szCs w:val="24"/>
        </w:rPr>
        <w:t>其他组织</w:t>
      </w:r>
      <w:r>
        <w:rPr>
          <w:rFonts w:hint="eastAsia" w:ascii="宋体" w:hAnsi="宋体" w:cs="宋体"/>
          <w:color w:val="000000"/>
          <w:sz w:val="24"/>
          <w:szCs w:val="24"/>
        </w:rPr>
        <w:t>或自然人</w:t>
      </w:r>
      <w:r>
        <w:rPr>
          <w:rFonts w:hint="eastAsia" w:asciiTheme="minorEastAsia" w:hAnsiTheme="minorEastAsia" w:cstheme="minorEastAsia"/>
          <w:kern w:val="0"/>
          <w:sz w:val="24"/>
          <w:szCs w:val="24"/>
        </w:rPr>
        <w:t>。</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2.5 “服务”指除了货物和工程外的其他政府采购对象。包含除货物以外规定由投标人承担的与货物有关的辅助服务。</w:t>
      </w:r>
    </w:p>
    <w:p>
      <w:pPr>
        <w:pStyle w:val="5"/>
        <w:numPr>
          <w:ilvl w:val="0"/>
          <w:numId w:val="3"/>
        </w:numPr>
      </w:pPr>
      <w:bookmarkStart w:id="25" w:name="_Toc380336727"/>
      <w:bookmarkStart w:id="26" w:name="_Toc23781"/>
      <w:bookmarkStart w:id="27" w:name="_Toc358364321"/>
      <w:bookmarkStart w:id="28" w:name="_Toc17676"/>
      <w:r>
        <w:rPr>
          <w:rFonts w:hint="eastAsia"/>
        </w:rPr>
        <w:t>合格的</w:t>
      </w:r>
      <w:bookmarkEnd w:id="25"/>
      <w:bookmarkEnd w:id="26"/>
      <w:bookmarkEnd w:id="27"/>
      <w:bookmarkEnd w:id="28"/>
      <w:r>
        <w:rPr>
          <w:rFonts w:hint="eastAsia"/>
        </w:rPr>
        <w:t>投标人</w:t>
      </w:r>
    </w:p>
    <w:p>
      <w:p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3.1具有本项目生产、制造、加工、供应或实施能力，符合、承认并承诺履行本招标文件各项规定的国内投标人。</w:t>
      </w:r>
    </w:p>
    <w:p>
      <w:p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3.2投标人应遵守有关的国家法律、法规和条例，具备《中华人民共和国政府采购法》和本文件中规定的条件：</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具有独立承担民事责任的能力；</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具有良好的商业信誉和健全的财务会计制度；</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具有履行合同所必需的设备和专业技术能力；</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具有依法缴纳税收和社会保障资金的良好记录；</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参加此项采购活动前三年内，在经营活动中没有重大违法记录；</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法律、行政法规规定的其他条件。</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3.3投标人购买招标文件时应登记备案，并提供有效联系方式。</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3.4如投标人代表不是法定代表人，须持有《法定代表人授权委托书》 (按招标文件提供的格式填写)。</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3.5投标人应独立于采购人，不得直接或间接地与采购人为采购本次招标的货物进行设计、编制技术规格和其它文件所委托的咨询公司或其附属机构有任何关联。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3.6投标人不得存在下列情形之一：</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（1）与采购人采购代理机构存在隶属关系或者其他利害关系；</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（2）与其他投标人的法定代表人（或者负责人）为同一人，或者与其他投标人存在直接控股、管理关系；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Theme="minorEastAsia" w:hAnsiTheme="minorEastAsia" w:cstheme="minorEastAsia"/>
          <w:kern w:val="0"/>
          <w:sz w:val="24"/>
          <w:szCs w:val="24"/>
        </w:rPr>
        <w:t>他重大违法记录。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3"/>
        </w:numPr>
      </w:pPr>
      <w:bookmarkStart w:id="29" w:name="_Toc22444"/>
      <w:bookmarkStart w:id="30" w:name="_Toc358364322"/>
      <w:bookmarkStart w:id="31" w:name="_Toc540"/>
      <w:bookmarkStart w:id="32" w:name="_Toc380336728"/>
      <w:r>
        <w:rPr>
          <w:rFonts w:hint="eastAsia"/>
        </w:rPr>
        <w:t>费用</w:t>
      </w:r>
      <w:bookmarkEnd w:id="29"/>
      <w:bookmarkEnd w:id="30"/>
      <w:bookmarkEnd w:id="31"/>
      <w:bookmarkEnd w:id="32"/>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w:t>
      </w:r>
      <w:r>
        <w:rPr>
          <w:rFonts w:hint="eastAsia" w:asciiTheme="minorEastAsia" w:hAnsiTheme="minorEastAsia" w:cstheme="minorEastAsia"/>
          <w:kern w:val="0"/>
          <w:sz w:val="24"/>
          <w:szCs w:val="24"/>
        </w:rPr>
        <w:t>标人应承担所有与准备和参加投标有关的费用，采购代理机构（或采购人)在任何情况下均无义务和责任承担这些费用。</w:t>
      </w:r>
    </w:p>
    <w:p>
      <w:pPr>
        <w:pStyle w:val="5"/>
        <w:numPr>
          <w:ilvl w:val="0"/>
          <w:numId w:val="3"/>
        </w:numPr>
      </w:pPr>
      <w:r>
        <w:rPr>
          <w:rFonts w:hint="eastAsia"/>
        </w:rPr>
        <w:t>采购进口产品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 除公告及投标人须知前附表另有规定外，本项目拒绝进口产品参加采购活动，供应商以进口产品进行投标时，将在符合性审查时按照无效投标进行处理。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5.2 本项目第五部分采购要求中标明“可接受进口产品”的，采购活动不限制满足招标文件要求的国产产品参与本次采购。</w:t>
      </w:r>
    </w:p>
    <w:p>
      <w:pPr>
        <w:pStyle w:val="5"/>
        <w:numPr>
          <w:ilvl w:val="0"/>
          <w:numId w:val="3"/>
        </w:numPr>
        <w:spacing w:after="325" w:afterLines="100"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政府采购政策支持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6.3产品同时属于“非强制采购节能产品”、环境标志产品的，评审时只有其中一项能享受优先待遇（投标人自行选择，并在报价文件中填写相关信息及数据）。</w:t>
      </w:r>
    </w:p>
    <w:p>
      <w:pPr>
        <w:pStyle w:val="4"/>
        <w:jc w:val="left"/>
      </w:pPr>
      <w:r>
        <w:rPr>
          <w:rFonts w:hint="eastAsia" w:asciiTheme="minorEastAsia" w:hAnsiTheme="minorEastAsia" w:cstheme="minorEastAsia"/>
          <w:color w:val="0000FF"/>
          <w:kern w:val="0"/>
          <w:sz w:val="24"/>
          <w:szCs w:val="24"/>
        </w:rPr>
        <w:t xml:space="preserve"> </w:t>
      </w:r>
      <w:bookmarkStart w:id="33" w:name="_Toc21454"/>
      <w:bookmarkStart w:id="34" w:name="_Toc25506"/>
      <w:bookmarkStart w:id="35" w:name="_Toc7144"/>
      <w:r>
        <w:rPr>
          <w:rFonts w:hint="eastAsia"/>
        </w:rPr>
        <w:t>二、招标文件</w:t>
      </w:r>
      <w:bookmarkEnd w:id="33"/>
      <w:bookmarkEnd w:id="34"/>
      <w:bookmarkEnd w:id="35"/>
    </w:p>
    <w:p>
      <w:pPr>
        <w:pStyle w:val="5"/>
        <w:numPr>
          <w:ilvl w:val="0"/>
          <w:numId w:val="6"/>
        </w:numPr>
      </w:pPr>
      <w:bookmarkStart w:id="36" w:name="_Toc17817"/>
      <w:bookmarkStart w:id="37" w:name="_Toc5801"/>
      <w:r>
        <w:rPr>
          <w:rFonts w:hint="eastAsia"/>
        </w:rPr>
        <w:t>招标文件</w:t>
      </w:r>
      <w:bookmarkEnd w:id="36"/>
      <w:r>
        <w:rPr>
          <w:rFonts w:hint="eastAsia"/>
        </w:rPr>
        <w:t>的构成</w:t>
      </w:r>
      <w:bookmarkEnd w:id="37"/>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1.1 招标文件是投标人准备投标文件和参加投标的依据，同时也是评标的重要依据，具有准法律文件性质。本招标文件包括以下内容：</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公开招标公告；</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投标人须知前附表；</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评审办法；</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采购要求；</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合同条款；</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投标文件格式。</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1.2 </w:t>
      </w:r>
      <w:r>
        <w:rPr>
          <w:rFonts w:hint="eastAsia" w:asciiTheme="minorEastAsia" w:hAnsiTheme="minorEastAsia" w:cstheme="minorEastAsia"/>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6"/>
        </w:numPr>
      </w:pPr>
      <w:bookmarkStart w:id="38" w:name="_Toc19797"/>
      <w:r>
        <w:rPr>
          <w:rFonts w:hint="eastAsia"/>
        </w:rPr>
        <w:t>招标文件的澄清</w:t>
      </w:r>
      <w:bookmarkEnd w:id="38"/>
    </w:p>
    <w:p>
      <w:pPr>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任何对招标文件进行询问或要求进行澄清的投标人，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39" w:name="_Toc6390"/>
      <w:r>
        <w:rPr>
          <w:rFonts w:hint="eastAsia" w:asciiTheme="minorEastAsia" w:hAnsiTheme="minorEastAsia" w:cstheme="minorEastAsia"/>
          <w:szCs w:val="28"/>
        </w:rPr>
        <w:t>招标文件的修改</w:t>
      </w:r>
      <w:bookmarkEnd w:id="39"/>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40" w:name="_Toc31188"/>
      <w:r>
        <w:rPr>
          <w:rFonts w:hint="eastAsia" w:asciiTheme="minorEastAsia" w:hAnsiTheme="minorEastAsia" w:cstheme="minorEastAsia"/>
          <w:szCs w:val="28"/>
        </w:rPr>
        <w:t>招标文件的获取</w:t>
      </w:r>
      <w:bookmarkEnd w:id="40"/>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投标人必须从代理机构购买招标文件，投标人自行转让或复制招标文件视为无效。招标文件一经售出，一律不退，仅作为本次公开招标使用。</w:t>
      </w:r>
    </w:p>
    <w:p>
      <w:pPr>
        <w:pStyle w:val="5"/>
        <w:numPr>
          <w:ilvl w:val="0"/>
          <w:numId w:val="6"/>
        </w:numPr>
        <w:spacing w:line="500" w:lineRule="exact"/>
        <w:ind w:firstLine="562" w:firstLineChars="200"/>
        <w:rPr>
          <w:rFonts w:asciiTheme="minorEastAsia" w:hAnsiTheme="minorEastAsia" w:cstheme="minorEastAsia"/>
          <w:szCs w:val="28"/>
        </w:rPr>
      </w:pPr>
      <w:bookmarkStart w:id="41" w:name="_Toc5095"/>
      <w:r>
        <w:rPr>
          <w:rFonts w:hint="eastAsia" w:asciiTheme="minorEastAsia" w:hAnsiTheme="minorEastAsia" w:cstheme="minorEastAsia"/>
          <w:szCs w:val="28"/>
        </w:rPr>
        <w:t>招标文件的解释权归代理机构</w:t>
      </w:r>
      <w:bookmarkEnd w:id="41"/>
    </w:p>
    <w:p>
      <w:pPr>
        <w:pStyle w:val="4"/>
        <w:rPr>
          <w:rFonts w:asciiTheme="minorEastAsia" w:hAnsiTheme="minorEastAsia" w:eastAsiaTheme="minorEastAsia" w:cstheme="minorEastAsia"/>
        </w:rPr>
      </w:pPr>
      <w:bookmarkStart w:id="42" w:name="_Toc30368"/>
      <w:bookmarkStart w:id="43" w:name="_Toc15601"/>
      <w:bookmarkStart w:id="44" w:name="_Toc28989"/>
      <w:r>
        <w:rPr>
          <w:rFonts w:hint="eastAsia" w:asciiTheme="minorEastAsia" w:hAnsiTheme="minorEastAsia" w:eastAsiaTheme="minorEastAsia" w:cstheme="minorEastAsia"/>
        </w:rPr>
        <w:t>三、投标文件</w:t>
      </w:r>
      <w:bookmarkEnd w:id="42"/>
      <w:bookmarkEnd w:id="43"/>
      <w:bookmarkEnd w:id="44"/>
    </w:p>
    <w:p>
      <w:pPr>
        <w:pStyle w:val="5"/>
        <w:numPr>
          <w:ilvl w:val="0"/>
          <w:numId w:val="8"/>
        </w:numPr>
        <w:spacing w:line="500" w:lineRule="exact"/>
        <w:ind w:firstLine="562" w:firstLineChars="200"/>
        <w:rPr>
          <w:rFonts w:asciiTheme="minorEastAsia" w:hAnsiTheme="minorEastAsia" w:cstheme="minorEastAsia"/>
          <w:szCs w:val="28"/>
        </w:rPr>
      </w:pPr>
      <w:bookmarkStart w:id="45" w:name="_Toc17549"/>
      <w:r>
        <w:rPr>
          <w:rFonts w:hint="eastAsia" w:asciiTheme="minorEastAsia" w:hAnsiTheme="minorEastAsia" w:cstheme="minorEastAsia"/>
          <w:szCs w:val="28"/>
        </w:rPr>
        <w:t>投标文件的编制</w:t>
      </w:r>
      <w:bookmarkEnd w:id="45"/>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1.1 投标文件应根据代理机构发售的招标文件格式和顺序编制。具体内容包括：</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投标函；</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开标一览表；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分项报价表；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cs="宋体"/>
          <w:sz w:val="24"/>
          <w:szCs w:val="24"/>
        </w:rPr>
        <w:t>投标保证金</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投标人资质证明资料；</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 xml:space="preserve">商务和技术响应偏离表；  </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技术支持资料；</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cs="宋体"/>
          <w:sz w:val="24"/>
          <w:szCs w:val="24"/>
        </w:rPr>
        <w:t>投标人业绩一览表；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投标人认为有必要说明的其他问题；</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投标人承诺书。</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1.2 投标人须依据招标文件内容和投标文件格式的要求编制投标文件；</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投标文件规格幅面（A4），可采用双面打印，按照招标文件所规定的内容顺序，统一编目、编页码装订，技术文件中的各项表格须按照招标文件第七部分格式要求制作。由于编排混乱导致投标文件被误读或查找不到，其责任应当由投标人承担。 </w:t>
      </w:r>
    </w:p>
    <w:p>
      <w:pPr>
        <w:pStyle w:val="5"/>
        <w:numPr>
          <w:ilvl w:val="0"/>
          <w:numId w:val="8"/>
        </w:numPr>
      </w:pPr>
      <w:bookmarkStart w:id="46" w:name="_Toc27646"/>
      <w:r>
        <w:rPr>
          <w:rFonts w:hint="eastAsia"/>
        </w:rPr>
        <w:t>投标报价</w:t>
      </w:r>
      <w:bookmarkEnd w:id="46"/>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 投标人应在投标报价表中标明完成本次招标所要求的服务且验收合格的所有费用，包括</w:t>
      </w:r>
      <w:r>
        <w:rPr>
          <w:rFonts w:hint="eastAsia" w:ascii="宋体" w:hAnsi="宋体" w:cs="宋体"/>
          <w:sz w:val="24"/>
          <w:szCs w:val="24"/>
        </w:rPr>
        <w:t>货物报价、保险费用、保洁费用、技术培训费、人工费、税金及国家按现行税收政策征收的一切税费等</w:t>
      </w:r>
      <w:r>
        <w:rPr>
          <w:rFonts w:hint="eastAsia" w:asciiTheme="minorEastAsia" w:hAnsiTheme="minorEastAsia" w:cstheme="minorEastAsia"/>
          <w:sz w:val="24"/>
          <w:szCs w:val="24"/>
        </w:rPr>
        <w:t>。投标报价表中标明本次服务的所有单项价格和总价，任何有选择的报价将不予接受，否则按无效投标处理。</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 投标人应在投标文件中的开标一览表（唱标报告）上，标明完成本次服务的总报价、交货期、质保期等，并由法定代表人或被授权人代表签署；任何有选择的报价不予接受。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2.3投标报价表中标的价格，在合同执行过程中，不得以任何理由变更。</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 采用综合评分法的，最低报价不能作为中标的保证。</w:t>
      </w:r>
    </w:p>
    <w:p>
      <w:pPr>
        <w:pStyle w:val="5"/>
        <w:numPr>
          <w:ilvl w:val="0"/>
          <w:numId w:val="8"/>
        </w:numPr>
        <w:spacing w:line="500" w:lineRule="exact"/>
        <w:ind w:firstLine="562" w:firstLineChars="200"/>
        <w:rPr>
          <w:rFonts w:asciiTheme="minorEastAsia" w:hAnsiTheme="minorEastAsia" w:cstheme="minorEastAsia"/>
          <w:szCs w:val="28"/>
        </w:rPr>
      </w:pPr>
      <w:bookmarkStart w:id="47" w:name="_Toc29200"/>
      <w:r>
        <w:rPr>
          <w:rFonts w:hint="eastAsia" w:asciiTheme="minorEastAsia" w:hAnsiTheme="minorEastAsia" w:cstheme="minorEastAsia"/>
          <w:szCs w:val="28"/>
        </w:rPr>
        <w:t>投标货币</w:t>
      </w:r>
      <w:bookmarkEnd w:id="47"/>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投标人应当根据招标文件的要求和范围，以人民币为投标货币。</w:t>
      </w:r>
    </w:p>
    <w:p>
      <w:pPr>
        <w:pStyle w:val="5"/>
        <w:numPr>
          <w:ilvl w:val="0"/>
          <w:numId w:val="8"/>
        </w:numPr>
        <w:spacing w:line="500" w:lineRule="exact"/>
        <w:ind w:firstLine="562" w:firstLineChars="200"/>
        <w:rPr>
          <w:rFonts w:asciiTheme="minorEastAsia" w:hAnsiTheme="minorEastAsia" w:cstheme="minorEastAsia"/>
          <w:szCs w:val="28"/>
        </w:rPr>
      </w:pPr>
      <w:bookmarkStart w:id="48" w:name="_Toc1311"/>
      <w:r>
        <w:rPr>
          <w:rFonts w:hint="eastAsia" w:asciiTheme="minorEastAsia" w:hAnsiTheme="minorEastAsia" w:cstheme="minorEastAsia"/>
          <w:szCs w:val="28"/>
        </w:rPr>
        <w:t>投标保证金</w:t>
      </w:r>
      <w:bookmarkEnd w:id="48"/>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投标保证金按照投标人须知前附表要求缴纳。</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 投标人未按照招标文件要求交纳投标保证金的或投标保证金的交付单位和投标人的名称不一致的，视为无效投标。</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 未中标投标人的投标保证金，在中标通知书发出后5个工作日内无息退还；中标投标人的投标保证金在合同签订后5个工作日内无息退还。</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 发生下列情形之一的，代理机构将不予退还投标人缴纳的投标保证金：</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投标有效期内投标人撤销其所投投标文件的；</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在采购人确定中标人以前放弃中标候选资格的；</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投标人企图影响开标、评标的任何活动，将导致投标被拒绝，并由其承担相应的法律责任；</w:t>
      </w:r>
    </w:p>
    <w:p>
      <w:pPr>
        <w:numPr>
          <w:ilvl w:val="0"/>
          <w:numId w:val="10"/>
        </w:numPr>
        <w:adjustRightInd w:val="0"/>
        <w:snapToGrid w:val="0"/>
        <w:spacing w:line="500" w:lineRule="exact"/>
        <w:rPr>
          <w:rFonts w:ascii="宋体" w:cs="宋体"/>
          <w:sz w:val="24"/>
          <w:szCs w:val="24"/>
        </w:rPr>
      </w:pPr>
      <w:r>
        <w:rPr>
          <w:rFonts w:hint="eastAsia" w:cs="宋体"/>
          <w:kern w:val="0"/>
          <w:sz w:val="24"/>
          <w:szCs w:val="24"/>
        </w:rPr>
        <w:t>除因不可抗力或招标文件认可的情形以外，投标人</w:t>
      </w:r>
      <w:r>
        <w:rPr>
          <w:rFonts w:hint="eastAsia" w:ascii="宋体" w:hAnsi="宋体" w:cs="宋体"/>
          <w:sz w:val="24"/>
          <w:szCs w:val="24"/>
        </w:rPr>
        <w:t>不与采购人签订合同的；</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由于中标人原因未能按照招标文件的规定交纳履约保证金；</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投标有效期内，投标人在政府采购活动中有违法、违规、违纪行为；</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中标人与采购人订立背离合同实质性内容的其它协议；</w:t>
      </w:r>
      <w:r>
        <w:rPr>
          <w:rFonts w:ascii="宋体" w:hAnsi="宋体" w:cs="宋体"/>
          <w:sz w:val="24"/>
          <w:szCs w:val="24"/>
        </w:rPr>
        <w:t xml:space="preserve"> </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投标人未按招标文件规定和合同约定履行义务的。</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 未中标的投标人在退取投标保证金时，须携带以下资料到代理机构的财务部门办理：</w:t>
      </w:r>
    </w:p>
    <w:p>
      <w:pPr>
        <w:numPr>
          <w:ilvl w:val="0"/>
          <w:numId w:val="11"/>
        </w:numPr>
        <w:spacing w:line="500" w:lineRule="exact"/>
        <w:rPr>
          <w:rFonts w:asciiTheme="minorEastAsia" w:hAnsiTheme="minorEastAsia" w:cstheme="minorEastAsia"/>
          <w:sz w:val="24"/>
          <w:szCs w:val="24"/>
        </w:rPr>
      </w:pPr>
      <w:r>
        <w:rPr>
          <w:rFonts w:hint="eastAsia" w:asciiTheme="minorEastAsia" w:hAnsiTheme="minorEastAsia" w:cstheme="minorEastAsia"/>
          <w:bCs/>
          <w:kern w:val="0"/>
          <w:sz w:val="24"/>
          <w:szCs w:val="24"/>
        </w:rPr>
        <w:t>投标人须提供投标保证金缴纳凭证（复印件加盖公章）</w:t>
      </w:r>
      <w:r>
        <w:rPr>
          <w:rFonts w:hint="eastAsia" w:asciiTheme="minorEastAsia" w:hAnsiTheme="minorEastAsia" w:cstheme="minorEastAsia"/>
          <w:sz w:val="24"/>
          <w:szCs w:val="24"/>
        </w:rPr>
        <w:t>；</w:t>
      </w:r>
    </w:p>
    <w:p>
      <w:pPr>
        <w:numPr>
          <w:ilvl w:val="0"/>
          <w:numId w:val="11"/>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投标人对公银行账户信息（加盖公章）见</w:t>
      </w:r>
      <w:r>
        <w:rPr>
          <w:rFonts w:hint="eastAsia" w:asciiTheme="minorEastAsia" w:hAnsiTheme="minorEastAsia" w:cstheme="minorEastAsia"/>
          <w:b/>
          <w:bCs/>
          <w:sz w:val="24"/>
          <w:szCs w:val="24"/>
        </w:rPr>
        <w:t>附件七</w:t>
      </w:r>
      <w:r>
        <w:rPr>
          <w:rFonts w:hint="eastAsia" w:asciiTheme="minorEastAsia" w:hAnsiTheme="minorEastAsia" w:cstheme="minorEastAsia"/>
          <w:sz w:val="24"/>
          <w:szCs w:val="24"/>
        </w:rPr>
        <w:t>。</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4.6 </w:t>
      </w:r>
      <w:r>
        <w:rPr>
          <w:rFonts w:hint="eastAsia" w:asciiTheme="minorEastAsia" w:hAnsiTheme="minorEastAsia" w:cstheme="minorEastAsia"/>
          <w:b/>
          <w:bCs/>
          <w:sz w:val="24"/>
          <w:szCs w:val="24"/>
        </w:rPr>
        <w:t>中标人在退还投标保证金时，除携带上述资料外还需携带与采购人签订的采购合同（原件）</w:t>
      </w:r>
      <w:r>
        <w:rPr>
          <w:rFonts w:hint="eastAsia" w:asciiTheme="minorEastAsia" w:hAnsiTheme="minorEastAsia" w:cstheme="minorEastAsia"/>
          <w:sz w:val="24"/>
          <w:szCs w:val="24"/>
        </w:rPr>
        <w:t>。</w:t>
      </w:r>
    </w:p>
    <w:p>
      <w:pPr>
        <w:numPr>
          <w:ilvl w:val="0"/>
          <w:numId w:val="12"/>
        </w:numPr>
        <w:adjustRightInd w:val="0"/>
        <w:snapToGrid w:val="0"/>
        <w:spacing w:line="360" w:lineRule="auto"/>
        <w:ind w:left="0" w:firstLine="0"/>
        <w:rPr>
          <w:rFonts w:asciiTheme="minorEastAsia" w:hAnsiTheme="minorEastAsia" w:cstheme="minorEastAsia"/>
          <w:b/>
          <w:bCs/>
          <w:sz w:val="24"/>
          <w:szCs w:val="24"/>
        </w:rPr>
      </w:pPr>
      <w:r>
        <w:rPr>
          <w:rFonts w:hint="eastAsia" w:ascii="宋体" w:hAnsi="宋体" w:eastAsia="宋体" w:cs="宋体"/>
          <w:b/>
          <w:bCs/>
          <w:sz w:val="24"/>
          <w:szCs w:val="24"/>
        </w:rPr>
        <w:t xml:space="preserve">供应商可在开标当天将保证金退还账户信息确认表与投标保证金缴纳凭证（复印件加盖公章）一并交给工作人员，当天未提交保证金退还账户信息确认表与投标保证金缴纳凭证（复印件加盖公章）的供应商，在开标后自行找财务办理保证金退还手续。 </w:t>
      </w:r>
    </w:p>
    <w:p>
      <w:pPr>
        <w:pStyle w:val="5"/>
        <w:numPr>
          <w:ilvl w:val="0"/>
          <w:numId w:val="8"/>
        </w:numPr>
        <w:spacing w:line="500" w:lineRule="exact"/>
        <w:ind w:firstLine="562" w:firstLineChars="200"/>
        <w:rPr>
          <w:rFonts w:asciiTheme="minorEastAsia" w:hAnsiTheme="minorEastAsia" w:cstheme="minorEastAsia"/>
          <w:szCs w:val="28"/>
        </w:rPr>
      </w:pPr>
      <w:bookmarkStart w:id="49" w:name="_Toc19668"/>
      <w:r>
        <w:rPr>
          <w:rFonts w:hint="eastAsia" w:asciiTheme="minorEastAsia" w:hAnsiTheme="minorEastAsia" w:cstheme="minorEastAsia"/>
          <w:szCs w:val="28"/>
        </w:rPr>
        <w:t>投标有效期</w:t>
      </w:r>
      <w:bookmarkEnd w:id="49"/>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投标有效期见投标人须知前附表，无投标有效期或投标有效期短于此规定期限的投标文件，视为无效文件，其投标将被拒绝。</w:t>
      </w:r>
    </w:p>
    <w:p>
      <w:pPr>
        <w:pStyle w:val="5"/>
        <w:numPr>
          <w:ilvl w:val="0"/>
          <w:numId w:val="8"/>
        </w:numPr>
        <w:spacing w:line="500" w:lineRule="exact"/>
        <w:ind w:firstLine="562" w:firstLineChars="200"/>
        <w:rPr>
          <w:rFonts w:asciiTheme="minorEastAsia" w:hAnsiTheme="minorEastAsia" w:cstheme="minorEastAsia"/>
          <w:szCs w:val="28"/>
        </w:rPr>
      </w:pPr>
      <w:bookmarkStart w:id="50" w:name="_Toc24827"/>
      <w:r>
        <w:rPr>
          <w:rFonts w:hint="eastAsia" w:asciiTheme="minorEastAsia" w:hAnsiTheme="minorEastAsia" w:cstheme="minorEastAsia"/>
          <w:szCs w:val="28"/>
        </w:rPr>
        <w:t>投标文件的装订、密封和签署</w:t>
      </w:r>
      <w:bookmarkEnd w:id="50"/>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 投标文件的装订</w:t>
      </w:r>
    </w:p>
    <w:p>
      <w:pPr>
        <w:tabs>
          <w:tab w:val="left" w:pos="0"/>
        </w:tabs>
        <w:spacing w:line="500" w:lineRule="exact"/>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投标文件</w:t>
      </w:r>
      <w:r>
        <w:rPr>
          <w:rFonts w:hint="eastAsia" w:asciiTheme="minorEastAsia" w:hAnsiTheme="minorEastAsia" w:cstheme="minorEastAsia"/>
          <w:b/>
          <w:bCs/>
          <w:sz w:val="24"/>
          <w:szCs w:val="24"/>
        </w:rPr>
        <w:t>正本一份、副本四份</w:t>
      </w:r>
      <w:r>
        <w:rPr>
          <w:rFonts w:hint="eastAsia" w:asciiTheme="minorEastAsia" w:hAnsiTheme="minorEastAsia" w:cstheme="minorEastAsia"/>
          <w:sz w:val="24"/>
          <w:szCs w:val="24"/>
        </w:rPr>
        <w:t>，分别胶装装订成册，且封面须清楚地标明“正本”或“副本”；若正本和副本不符，以正本书面文件为准；同时提供与正本内容一致的</w:t>
      </w:r>
      <w:bookmarkStart w:id="51" w:name="OLE_LINK13"/>
      <w:r>
        <w:rPr>
          <w:rFonts w:hint="eastAsia" w:asciiTheme="minorEastAsia" w:hAnsiTheme="minorEastAsia" w:cstheme="minorEastAsia"/>
          <w:sz w:val="24"/>
          <w:szCs w:val="24"/>
        </w:rPr>
        <w:t>电子版</w:t>
      </w:r>
      <w:bookmarkEnd w:id="51"/>
      <w:r>
        <w:rPr>
          <w:rFonts w:hint="eastAsia" w:asciiTheme="minorEastAsia" w:hAnsiTheme="minorEastAsia" w:cstheme="minorEastAsia"/>
          <w:sz w:val="24"/>
          <w:szCs w:val="24"/>
        </w:rPr>
        <w:t>（U盘、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用于开标唱标单独提交的“开标一览表”应为原件</w:t>
      </w:r>
      <w:r>
        <w:rPr>
          <w:rFonts w:hint="eastAsia" w:asciiTheme="minorEastAsia" w:hAnsiTheme="minorEastAsia" w:cstheme="minorEastAsia"/>
          <w:b/>
          <w:bCs/>
          <w:sz w:val="24"/>
          <w:szCs w:val="24"/>
        </w:rPr>
        <w:t>）。</w:t>
      </w:r>
    </w:p>
    <w:p>
      <w:pPr>
        <w:spacing w:line="500" w:lineRule="exact"/>
        <w:ind w:left="420" w:left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6.2 投标文件的签署</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sz w:val="24"/>
          <w:szCs w:val="24"/>
        </w:rPr>
        <w:t>6.2.1投标人在投标文件中指定的页面的落款处，按招标文件要求由投标人的法定代表人或其授权代表在规定的签章处签字或盖章。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6.2.2投标人应按照招标文件要求，在每一份投标文件的正本和副本封面下方以及其他招标文件要求的位置填写投标人全称并加盖公章。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6.2.3投标文件应字迹清楚、内容齐全、不得涂改或增删。如有修改和增删，必须有投标人公章及法定代表人或其授权代表签字。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6.2.4因投标文件字迹潦草或表达不清所引起的不利后果由投标人承担。</w:t>
      </w:r>
    </w:p>
    <w:p>
      <w:pPr>
        <w:spacing w:line="500" w:lineRule="exact"/>
        <w:ind w:left="420" w:left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6.3 投标文件的密封</w:t>
      </w:r>
    </w:p>
    <w:p>
      <w:pPr>
        <w:numPr>
          <w:ilvl w:val="0"/>
          <w:numId w:val="13"/>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鲜章，封袋正面要粘贴投标人全称、项目名称、编号、包号等标识、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numPr>
          <w:ilvl w:val="0"/>
          <w:numId w:val="13"/>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如果投标人未按上述要求密封及加写标记，误投或过早启封的投标文件，将自行承担其投标文件被视为无效投标文件的风险；</w:t>
      </w:r>
    </w:p>
    <w:p>
      <w:pPr>
        <w:spacing w:line="500" w:lineRule="exact"/>
        <w:ind w:firstLine="420" w:firstLineChars="175"/>
        <w:rPr>
          <w:rFonts w:asciiTheme="minorEastAsia" w:hAnsiTheme="minorEastAsia" w:cstheme="minorEastAsia"/>
          <w:color w:val="FF0000"/>
          <w:sz w:val="24"/>
          <w:szCs w:val="24"/>
        </w:rPr>
      </w:pPr>
      <w:r>
        <w:rPr>
          <w:rFonts w:hint="eastAsia" w:asciiTheme="minorEastAsia" w:hAnsiTheme="minorEastAsia" w:cstheme="minorEastAsia"/>
          <w:sz w:val="24"/>
          <w:szCs w:val="24"/>
        </w:rPr>
        <w:t>（3）本次招标只接受简体中文文字的投标文件；</w:t>
      </w:r>
      <w:r>
        <w:rPr>
          <w:rFonts w:hint="eastAsia" w:asciiTheme="minorEastAsia" w:hAnsiTheme="minorEastAsia" w:cstheme="minorEastAsia"/>
          <w:b/>
          <w:bCs/>
          <w:sz w:val="24"/>
          <w:szCs w:val="24"/>
        </w:rPr>
        <w:t>如投标文件中出现外文资料，必须配以中文译文，否则，由此引发的一切责任由投标人自负</w:t>
      </w:r>
      <w:r>
        <w:rPr>
          <w:rFonts w:hint="eastAsia" w:asciiTheme="minorEastAsia" w:hAnsiTheme="minorEastAsia" w:cstheme="minorEastAsia"/>
          <w:sz w:val="24"/>
          <w:szCs w:val="24"/>
        </w:rPr>
        <w:t>。</w:t>
      </w:r>
    </w:p>
    <w:p>
      <w:pPr>
        <w:widowControl/>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（4）拒绝接受以电话、传真、电子邮件形式的投标。</w:t>
      </w:r>
    </w:p>
    <w:p>
      <w:pPr>
        <w:pStyle w:val="5"/>
        <w:numPr>
          <w:ilvl w:val="0"/>
          <w:numId w:val="8"/>
        </w:numPr>
        <w:spacing w:line="500" w:lineRule="exact"/>
        <w:ind w:firstLine="562" w:firstLineChars="200"/>
        <w:rPr>
          <w:rFonts w:asciiTheme="minorEastAsia" w:hAnsiTheme="minorEastAsia" w:cstheme="minorEastAsia"/>
          <w:szCs w:val="28"/>
        </w:rPr>
      </w:pPr>
      <w:bookmarkStart w:id="52" w:name="_Toc22752"/>
      <w:r>
        <w:rPr>
          <w:rFonts w:hint="eastAsia" w:asciiTheme="minorEastAsia" w:hAnsiTheme="minorEastAsia" w:cstheme="minorEastAsia"/>
          <w:szCs w:val="28"/>
        </w:rPr>
        <w:t>知识产权</w:t>
      </w:r>
      <w:bookmarkEnd w:id="52"/>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 采购人享有本项目在实施过程中产生的知识成果及知识产权。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7.4 如投标人所不拥有的知识产权，则在投标报价中必须包括合法获取该知识产权的相关费用。</w:t>
      </w:r>
    </w:p>
    <w:p>
      <w:pPr>
        <w:pStyle w:val="4"/>
      </w:pPr>
      <w:bookmarkStart w:id="53" w:name="_Toc3565"/>
      <w:bookmarkStart w:id="54" w:name="_Toc1700"/>
      <w:bookmarkStart w:id="55" w:name="_Toc11701"/>
      <w:bookmarkStart w:id="56" w:name="_Toc3736"/>
      <w:r>
        <w:rPr>
          <w:rFonts w:hint="eastAsia"/>
        </w:rPr>
        <w:t>四、投标文件的递交</w:t>
      </w:r>
      <w:bookmarkEnd w:id="53"/>
      <w:bookmarkEnd w:id="54"/>
      <w:bookmarkEnd w:id="55"/>
    </w:p>
    <w:bookmarkEnd w:id="56"/>
    <w:p>
      <w:pPr>
        <w:pStyle w:val="5"/>
        <w:numPr>
          <w:ilvl w:val="0"/>
          <w:numId w:val="14"/>
        </w:numPr>
      </w:pPr>
      <w:bookmarkStart w:id="57" w:name="_Toc3685"/>
      <w:r>
        <w:rPr>
          <w:rFonts w:hint="eastAsia"/>
        </w:rPr>
        <w:t>投标文件递交</w:t>
      </w:r>
      <w:bookmarkEnd w:id="57"/>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 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1.2逾期送达或者未按照招标文件要求密封的投标文件，采购代理机构应当拒收。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1.3代理机构不接受邮寄的投标文件。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 无论投标人中标与否，其投标文件恕不退还。</w:t>
      </w:r>
    </w:p>
    <w:p>
      <w:pPr>
        <w:pStyle w:val="5"/>
        <w:numPr>
          <w:ilvl w:val="0"/>
          <w:numId w:val="14"/>
        </w:numPr>
      </w:pPr>
      <w:bookmarkStart w:id="58" w:name="_Toc12741"/>
      <w:r>
        <w:rPr>
          <w:rFonts w:hint="eastAsia"/>
        </w:rPr>
        <w:t>投标文件的修改和撤回</w:t>
      </w:r>
      <w:bookmarkEnd w:id="58"/>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投标人可以在投标截止时间前，对所递交的投标文件进行补充、修改或者撤回，并以书面形式通知采购代理机构（或采购人)。</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2.3 在投标截止时间之后，投标人不得对其投标文件进行补充、修改或撤回。</w:t>
      </w:r>
    </w:p>
    <w:p>
      <w:pPr>
        <w:pStyle w:val="4"/>
      </w:pPr>
      <w:bookmarkStart w:id="59" w:name="_Toc10182"/>
      <w:bookmarkStart w:id="60" w:name="_Toc27066"/>
      <w:bookmarkStart w:id="61" w:name="_Toc5992"/>
      <w:bookmarkStart w:id="62" w:name="_Toc14415"/>
      <w:r>
        <w:rPr>
          <w:rFonts w:hint="eastAsia"/>
        </w:rPr>
        <w:t>五、 开标、评审、定标</w:t>
      </w:r>
      <w:bookmarkEnd w:id="59"/>
      <w:bookmarkEnd w:id="60"/>
      <w:bookmarkEnd w:id="61"/>
      <w:bookmarkEnd w:id="62"/>
    </w:p>
    <w:p>
      <w:pPr>
        <w:pStyle w:val="5"/>
        <w:keepNext w:val="0"/>
        <w:keepLines w:val="0"/>
        <w:numPr>
          <w:ilvl w:val="0"/>
          <w:numId w:val="15"/>
        </w:numPr>
        <w:spacing w:line="500" w:lineRule="exact"/>
        <w:ind w:firstLine="562" w:firstLineChars="200"/>
        <w:rPr>
          <w:rFonts w:asciiTheme="minorEastAsia" w:hAnsiTheme="minorEastAsia" w:cstheme="minorEastAsia"/>
          <w:szCs w:val="28"/>
        </w:rPr>
      </w:pPr>
      <w:bookmarkStart w:id="63" w:name="_Toc27216"/>
      <w:r>
        <w:rPr>
          <w:rFonts w:hint="eastAsia" w:asciiTheme="minorEastAsia" w:hAnsiTheme="minorEastAsia" w:cstheme="minorEastAsia"/>
          <w:szCs w:val="28"/>
        </w:rPr>
        <w:t>开标</w:t>
      </w:r>
      <w:bookmarkEnd w:id="63"/>
    </w:p>
    <w:p>
      <w:pPr>
        <w:widowControl/>
        <w:numPr>
          <w:ilvl w:val="1"/>
          <w:numId w:val="16"/>
        </w:numPr>
        <w:tabs>
          <w:tab w:val="left" w:pos="0"/>
        </w:tabs>
        <w:spacing w:line="500" w:lineRule="exact"/>
        <w:ind w:firstLine="480" w:firstLineChars="200"/>
        <w:jc w:val="left"/>
      </w:pPr>
      <w:r>
        <w:rPr>
          <w:rFonts w:hint="eastAsia" w:asciiTheme="minorEastAsia" w:hAnsiTheme="minorEastAsia" w:cstheme="minorEastAsia"/>
          <w:sz w:val="24"/>
          <w:szCs w:val="24"/>
        </w:rPr>
        <w:t>采购代理机构按招标公告中规定的时间和地点接收投标人递交的投标文件，主持开标会议，邀请投标人参加。投标人不足三家的，不得开标。评标委员会成员不得参加开标活动。</w:t>
      </w:r>
    </w:p>
    <w:p>
      <w:pPr>
        <w:widowControl/>
        <w:numPr>
          <w:ilvl w:val="1"/>
          <w:numId w:val="16"/>
        </w:num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开标时，由投标人或者其推选的代表检查投标文件的密封情况；经确认无误后，由采购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6"/>
        </w:numPr>
        <w:tabs>
          <w:tab w:val="left" w:pos="0"/>
        </w:tabs>
        <w:spacing w:line="500" w:lineRule="exact"/>
        <w:ind w:firstLine="480" w:firstLineChars="200"/>
        <w:jc w:val="left"/>
        <w:rPr>
          <w:rFonts w:asciiTheme="minorEastAsia" w:hAnsiTheme="minorEastAsia" w:cstheme="minorEastAsia"/>
          <w:sz w:val="24"/>
          <w:szCs w:val="24"/>
        </w:rPr>
      </w:pPr>
      <w:r>
        <w:rPr>
          <w:rFonts w:asciiTheme="minorEastAsia" w:hAnsiTheme="minorEastAsia" w:cstheme="minorEastAsia"/>
          <w:sz w:val="24"/>
          <w:szCs w:val="24"/>
        </w:rPr>
        <w:t>代理机构指定专人负责将投标人的名称、投标项目名称、投标价格等</w:t>
      </w:r>
      <w:r>
        <w:rPr>
          <w:rFonts w:hint="eastAsia" w:asciiTheme="minorEastAsia" w:hAnsiTheme="minorEastAsia" w:cstheme="minorEastAsia"/>
          <w:sz w:val="24"/>
          <w:szCs w:val="24"/>
        </w:rPr>
        <w:t>开标过程</w:t>
      </w:r>
      <w:r>
        <w:rPr>
          <w:rFonts w:asciiTheme="minorEastAsia" w:hAnsiTheme="minorEastAsia" w:cstheme="minorEastAsia"/>
          <w:sz w:val="24"/>
          <w:szCs w:val="24"/>
        </w:rPr>
        <w:t>进行记录，</w:t>
      </w:r>
      <w:r>
        <w:rPr>
          <w:rFonts w:hint="eastAsia" w:asciiTheme="minorEastAsia" w:hAnsiTheme="minorEastAsia" w:cstheme="minorEastAsia"/>
          <w:sz w:val="24"/>
          <w:szCs w:val="24"/>
        </w:rPr>
        <w:t>由参加开标的各投标人代表和相关工作人员签字确认，</w:t>
      </w:r>
      <w:r>
        <w:rPr>
          <w:rFonts w:asciiTheme="minorEastAsia" w:hAnsiTheme="minorEastAsia" w:cstheme="minorEastAsia"/>
          <w:sz w:val="24"/>
          <w:szCs w:val="24"/>
        </w:rPr>
        <w:t>并存档备案</w:t>
      </w:r>
      <w:r>
        <w:rPr>
          <w:rFonts w:hint="eastAsia" w:asciiTheme="minorEastAsia" w:hAnsiTheme="minorEastAsia" w:cstheme="minorEastAsia"/>
          <w:sz w:val="24"/>
          <w:szCs w:val="24"/>
        </w:rPr>
        <w:t xml:space="preserve">。投标人未参加开标或未签字确认的，视同认可开标结果。 </w:t>
      </w:r>
    </w:p>
    <w:p>
      <w:pPr>
        <w:widowControl/>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1.4开标时，投标文件中出现下列情况，修正原则为：</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投标文件中开标一览表（报价表）内容与投标文件中相应内容不一致的，以开标一览表（报价表）为准；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单价金额小数点或者百分比有明显错位的，以开标一览表的总价为准，并修改单价；</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投标文件正本与副本不一致的，以正本为准；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报价金额精确到小数点后两位，不进行四舍五入； </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投标文件单独密封递交的开标一览表与正本不一致的，以单独密封递交的开标一览表为准；</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同时出现两种以上不一致的，按照前款规定的顺序修正。修正后的报价按照《政府采购货物和服务招标投标管理办法》第五十一条第二款的规定经投标人确认后产生约束力，投标人不确认的，其投标无效。</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5"/>
        </w:numPr>
        <w:spacing w:line="500" w:lineRule="exact"/>
        <w:ind w:firstLine="562" w:firstLineChars="200"/>
        <w:rPr>
          <w:rFonts w:asciiTheme="minorEastAsia" w:hAnsiTheme="minorEastAsia" w:cstheme="minorEastAsia"/>
          <w:szCs w:val="28"/>
        </w:rPr>
      </w:pPr>
      <w:bookmarkStart w:id="64" w:name="_Toc20569"/>
      <w:bookmarkStart w:id="65" w:name="_Toc380336750"/>
      <w:bookmarkStart w:id="66" w:name="_Toc358364344"/>
      <w:bookmarkStart w:id="67" w:name="_Toc801"/>
      <w:r>
        <w:rPr>
          <w:rFonts w:hint="eastAsia" w:asciiTheme="minorEastAsia" w:hAnsiTheme="minorEastAsia" w:cstheme="minorEastAsia"/>
          <w:szCs w:val="28"/>
        </w:rPr>
        <w:t>评标委员会</w:t>
      </w:r>
      <w:bookmarkEnd w:id="64"/>
      <w:bookmarkEnd w:id="65"/>
      <w:bookmarkEnd w:id="66"/>
      <w:bookmarkEnd w:id="67"/>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r>
        <w:rPr>
          <w:rFonts w:ascii="宋体" w:hAnsi="宋体" w:cs="宋体"/>
          <w:sz w:val="24"/>
          <w:szCs w:val="24"/>
        </w:rPr>
        <w:t>为</w:t>
      </w:r>
      <w:r>
        <w:rPr>
          <w:rFonts w:hint="eastAsia" w:asciiTheme="minorEastAsia" w:hAnsiTheme="minorEastAsia" w:cstheme="minorEastAsia"/>
          <w:kern w:val="0"/>
          <w:sz w:val="24"/>
          <w:szCs w:val="24"/>
        </w:rPr>
        <w:t>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rPr>
      </w:pPr>
      <w:r>
        <w:rPr>
          <w:rFonts w:hint="eastAsia" w:asciiTheme="minorEastAsia" w:hAnsiTheme="minorEastAsia" w:cstheme="minorEastAsia"/>
          <w:kern w:val="0"/>
          <w:sz w:val="24"/>
          <w:szCs w:val="24"/>
        </w:rPr>
        <w:t>2.1.1遵纪守</w:t>
      </w:r>
      <w:r>
        <w:rPr>
          <w:rFonts w:hint="eastAsia" w:ascii="宋体" w:hAnsi="宋体" w:cs="宋体"/>
          <w:sz w:val="24"/>
          <w:szCs w:val="24"/>
        </w:rPr>
        <w:t>法，客</w:t>
      </w:r>
      <w:r>
        <w:rPr>
          <w:rFonts w:ascii="宋体" w:hAnsi="宋体" w:cs="宋体"/>
          <w:sz w:val="24"/>
          <w:szCs w:val="24"/>
        </w:rPr>
        <w:t>观</w:t>
      </w:r>
      <w:r>
        <w:rPr>
          <w:rFonts w:hint="eastAsia" w:ascii="宋体" w:hAnsi="宋体" w:cs="宋体"/>
          <w:sz w:val="24"/>
          <w:szCs w:val="24"/>
        </w:rPr>
        <w:t>、公正、</w:t>
      </w:r>
      <w:r>
        <w:rPr>
          <w:rFonts w:ascii="宋体" w:hAnsi="宋体" w:cs="宋体"/>
          <w:sz w:val="24"/>
          <w:szCs w:val="24"/>
        </w:rPr>
        <w:t>认</w:t>
      </w:r>
      <w:r>
        <w:rPr>
          <w:rFonts w:hint="eastAsia" w:ascii="宋体" w:hAnsi="宋体" w:cs="宋体"/>
          <w:sz w:val="24"/>
          <w:szCs w:val="24"/>
        </w:rPr>
        <w:t>真</w:t>
      </w:r>
      <w:r>
        <w:rPr>
          <w:rFonts w:ascii="宋体" w:hAnsi="宋体" w:cs="宋体"/>
          <w:sz w:val="24"/>
          <w:szCs w:val="24"/>
        </w:rPr>
        <w:t>负责</w:t>
      </w:r>
      <w:r>
        <w:rPr>
          <w:rFonts w:hint="eastAsia" w:ascii="宋体" w:hAnsi="宋体" w:cs="宋体"/>
          <w:sz w:val="24"/>
          <w:szCs w:val="24"/>
        </w:rPr>
        <w:t>地履行</w:t>
      </w:r>
      <w:r>
        <w:rPr>
          <w:rFonts w:ascii="宋体" w:hAnsi="宋体" w:cs="宋体"/>
          <w:sz w:val="24"/>
          <w:szCs w:val="24"/>
        </w:rPr>
        <w:t>职责，审</w:t>
      </w:r>
      <w:r>
        <w:rPr>
          <w:rFonts w:hint="eastAsia" w:ascii="宋体" w:hAnsi="宋体" w:cs="宋体"/>
          <w:sz w:val="24"/>
          <w:szCs w:val="24"/>
        </w:rPr>
        <w:t>查投</w:t>
      </w:r>
      <w:r>
        <w:rPr>
          <w:rFonts w:ascii="宋体" w:hAnsi="宋体" w:cs="宋体"/>
          <w:sz w:val="24"/>
          <w:szCs w:val="24"/>
        </w:rPr>
        <w:t>标</w:t>
      </w:r>
      <w:r>
        <w:rPr>
          <w:rFonts w:hint="eastAsia" w:ascii="宋体" w:hAnsi="宋体" w:cs="宋体"/>
          <w:sz w:val="24"/>
          <w:szCs w:val="24"/>
        </w:rPr>
        <w:t>文件是否符合</w:t>
      </w:r>
      <w:r>
        <w:rPr>
          <w:rFonts w:ascii="宋体" w:hAnsi="宋体" w:cs="宋体"/>
          <w:sz w:val="24"/>
          <w:szCs w:val="24"/>
        </w:rPr>
        <w:t>招标</w:t>
      </w:r>
      <w:r>
        <w:rPr>
          <w:rFonts w:hint="eastAsia" w:ascii="宋体" w:hAnsi="宋体" w:cs="宋体"/>
          <w:sz w:val="24"/>
          <w:szCs w:val="24"/>
        </w:rPr>
        <w:t>文件的要求，并做出</w:t>
      </w:r>
      <w:r>
        <w:rPr>
          <w:rFonts w:ascii="宋体" w:hAnsi="宋体" w:cs="宋体"/>
          <w:sz w:val="24"/>
          <w:szCs w:val="24"/>
        </w:rPr>
        <w:t>评</w:t>
      </w:r>
      <w:r>
        <w:rPr>
          <w:rFonts w:hint="eastAsia" w:ascii="宋体" w:hAnsi="宋体" w:cs="宋体"/>
          <w:sz w:val="24"/>
          <w:szCs w:val="24"/>
        </w:rPr>
        <w:t>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2.1.3要求投标人</w:t>
      </w:r>
      <w:r>
        <w:rPr>
          <w:rFonts w:ascii="宋体" w:hAnsi="宋体" w:cs="宋体"/>
          <w:sz w:val="24"/>
          <w:szCs w:val="24"/>
        </w:rPr>
        <w:t>对</w:t>
      </w:r>
      <w:r>
        <w:rPr>
          <w:rFonts w:hint="eastAsia" w:ascii="宋体" w:hAnsi="宋体" w:cs="宋体"/>
          <w:sz w:val="24"/>
          <w:szCs w:val="24"/>
        </w:rPr>
        <w:t>投</w:t>
      </w:r>
      <w:r>
        <w:rPr>
          <w:rFonts w:ascii="宋体" w:hAnsi="宋体" w:cs="宋体"/>
          <w:sz w:val="24"/>
          <w:szCs w:val="24"/>
        </w:rPr>
        <w:t>标</w:t>
      </w:r>
      <w:r>
        <w:rPr>
          <w:rFonts w:hint="eastAsia" w:ascii="宋体" w:hAnsi="宋体" w:cs="宋体"/>
          <w:sz w:val="24"/>
          <w:szCs w:val="24"/>
        </w:rPr>
        <w:t>文件有</w:t>
      </w:r>
      <w:r>
        <w:rPr>
          <w:rFonts w:ascii="宋体" w:hAnsi="宋体" w:cs="宋体"/>
          <w:sz w:val="24"/>
          <w:szCs w:val="24"/>
        </w:rPr>
        <w:t>关</w:t>
      </w:r>
      <w:r>
        <w:rPr>
          <w:rFonts w:hint="eastAsia" w:ascii="宋体" w:hAnsi="宋体" w:cs="宋体"/>
          <w:sz w:val="24"/>
          <w:szCs w:val="24"/>
        </w:rPr>
        <w:t>事</w:t>
      </w:r>
      <w:r>
        <w:rPr>
          <w:rFonts w:ascii="宋体" w:hAnsi="宋体" w:cs="宋体"/>
          <w:sz w:val="24"/>
          <w:szCs w:val="24"/>
        </w:rPr>
        <w:t>项</w:t>
      </w:r>
      <w:r>
        <w:rPr>
          <w:rFonts w:hint="eastAsia" w:ascii="宋体" w:hAnsi="宋体" w:cs="宋体"/>
          <w:sz w:val="24"/>
          <w:szCs w:val="24"/>
        </w:rPr>
        <w:t>作出</w:t>
      </w:r>
      <w:r>
        <w:rPr>
          <w:rFonts w:ascii="宋体" w:hAnsi="宋体" w:cs="宋体"/>
          <w:sz w:val="24"/>
          <w:szCs w:val="24"/>
        </w:rPr>
        <w:t>解释</w:t>
      </w:r>
      <w:r>
        <w:rPr>
          <w:rFonts w:hint="eastAsia" w:ascii="宋体" w:hAnsi="宋体" w:cs="宋体"/>
          <w:sz w:val="24"/>
          <w:szCs w:val="24"/>
        </w:rPr>
        <w:t>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w:t>
      </w:r>
      <w:r>
        <w:rPr>
          <w:rFonts w:ascii="宋体" w:hAnsi="宋体" w:cs="宋体"/>
          <w:sz w:val="24"/>
          <w:szCs w:val="24"/>
        </w:rPr>
        <w:t>对评审</w:t>
      </w:r>
      <w:r>
        <w:rPr>
          <w:rFonts w:hint="eastAsia" w:ascii="宋体" w:hAnsi="宋体" w:cs="宋体"/>
          <w:sz w:val="24"/>
          <w:szCs w:val="24"/>
        </w:rPr>
        <w:t>意</w:t>
      </w:r>
      <w:r>
        <w:rPr>
          <w:rFonts w:ascii="宋体" w:hAnsi="宋体" w:cs="宋体"/>
          <w:sz w:val="24"/>
          <w:szCs w:val="24"/>
        </w:rPr>
        <w:t>见</w:t>
      </w:r>
      <w:r>
        <w:rPr>
          <w:rFonts w:hint="eastAsia" w:ascii="宋体" w:hAnsi="宋体" w:cs="宋体"/>
          <w:sz w:val="24"/>
          <w:szCs w:val="24"/>
        </w:rPr>
        <w:t>承</w:t>
      </w:r>
      <w:r>
        <w:rPr>
          <w:rFonts w:ascii="宋体" w:hAnsi="宋体" w:cs="宋体"/>
          <w:sz w:val="24"/>
          <w:szCs w:val="24"/>
        </w:rPr>
        <w:t>担个</w:t>
      </w:r>
      <w:r>
        <w:rPr>
          <w:rFonts w:hint="eastAsia" w:ascii="宋体" w:hAnsi="宋体" w:cs="宋体"/>
          <w:sz w:val="24"/>
          <w:szCs w:val="24"/>
        </w:rPr>
        <w:t>人</w:t>
      </w:r>
      <w:r>
        <w:rPr>
          <w:rFonts w:ascii="宋体" w:hAnsi="宋体" w:cs="宋体"/>
          <w:sz w:val="24"/>
          <w:szCs w:val="24"/>
        </w:rPr>
        <w:t>责</w:t>
      </w:r>
      <w:r>
        <w:rPr>
          <w:rFonts w:hint="eastAsia" w:ascii="宋体" w:hAnsi="宋体" w:cs="宋体"/>
          <w:sz w:val="24"/>
          <w:szCs w:val="24"/>
        </w:rPr>
        <w:t>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w:t>
      </w:r>
      <w:r>
        <w:rPr>
          <w:rFonts w:ascii="宋体" w:hAnsi="宋体" w:cs="宋体"/>
          <w:sz w:val="24"/>
          <w:szCs w:val="24"/>
        </w:rPr>
        <w:t>对评标过</w:t>
      </w:r>
      <w:r>
        <w:rPr>
          <w:rFonts w:hint="eastAsia" w:ascii="宋体" w:hAnsi="宋体" w:cs="宋体"/>
          <w:sz w:val="24"/>
          <w:szCs w:val="24"/>
        </w:rPr>
        <w:t>程和</w:t>
      </w:r>
      <w:r>
        <w:rPr>
          <w:rFonts w:ascii="宋体" w:hAnsi="宋体" w:cs="宋体"/>
          <w:sz w:val="24"/>
          <w:szCs w:val="24"/>
        </w:rPr>
        <w:t>结</w:t>
      </w:r>
      <w:r>
        <w:rPr>
          <w:rFonts w:hint="eastAsia" w:ascii="宋体" w:hAnsi="宋体" w:cs="宋体"/>
          <w:sz w:val="24"/>
          <w:szCs w:val="24"/>
        </w:rPr>
        <w:t>果以及投标人的商</w:t>
      </w:r>
      <w:r>
        <w:rPr>
          <w:rFonts w:ascii="宋体" w:hAnsi="宋体" w:cs="宋体"/>
          <w:sz w:val="24"/>
          <w:szCs w:val="24"/>
        </w:rPr>
        <w:t>业</w:t>
      </w:r>
      <w:r>
        <w:rPr>
          <w:rFonts w:hint="eastAsia" w:ascii="宋体" w:hAnsi="宋体" w:cs="宋体"/>
          <w:sz w:val="24"/>
          <w:szCs w:val="24"/>
        </w:rPr>
        <w:t>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w:t>
      </w:r>
      <w:r>
        <w:rPr>
          <w:rFonts w:ascii="宋体" w:hAnsi="宋体" w:cs="宋体"/>
          <w:sz w:val="24"/>
          <w:szCs w:val="24"/>
        </w:rPr>
        <w:t>参</w:t>
      </w:r>
      <w:r>
        <w:rPr>
          <w:rFonts w:hint="eastAsia" w:ascii="宋体" w:hAnsi="宋体" w:cs="宋体"/>
          <w:sz w:val="24"/>
          <w:szCs w:val="24"/>
        </w:rPr>
        <w:t>与</w:t>
      </w:r>
      <w:r>
        <w:rPr>
          <w:rFonts w:ascii="宋体" w:hAnsi="宋体" w:cs="宋体"/>
          <w:sz w:val="24"/>
          <w:szCs w:val="24"/>
        </w:rPr>
        <w:t>评标结</w:t>
      </w:r>
      <w:r>
        <w:rPr>
          <w:rFonts w:hint="eastAsia" w:ascii="宋体" w:hAnsi="宋体" w:cs="宋体"/>
          <w:sz w:val="24"/>
          <w:szCs w:val="24"/>
        </w:rPr>
        <w:t>果</w:t>
      </w:r>
      <w:r>
        <w:rPr>
          <w:rFonts w:ascii="宋体" w:hAnsi="宋体" w:cs="宋体"/>
          <w:sz w:val="24"/>
          <w:szCs w:val="24"/>
        </w:rPr>
        <w:t>报</w:t>
      </w:r>
      <w:r>
        <w:rPr>
          <w:rFonts w:hint="eastAsia" w:ascii="宋体" w:hAnsi="宋体" w:cs="宋体"/>
          <w:sz w:val="24"/>
          <w:szCs w:val="24"/>
        </w:rPr>
        <w:t>告的起草；</w:t>
      </w:r>
    </w:p>
    <w:p>
      <w:pPr>
        <w:spacing w:line="360" w:lineRule="auto"/>
        <w:ind w:left="420" w:firstLine="240" w:firstLineChars="100"/>
        <w:jc w:val="left"/>
        <w:rPr>
          <w:rFonts w:eastAsia="宋体"/>
        </w:rPr>
      </w:pPr>
      <w:r>
        <w:rPr>
          <w:rFonts w:hint="eastAsia" w:ascii="宋体" w:hAnsi="宋体" w:cs="宋体"/>
          <w:sz w:val="24"/>
          <w:szCs w:val="24"/>
        </w:rPr>
        <w:t>2.1.7配合采</w:t>
      </w:r>
      <w:r>
        <w:rPr>
          <w:rFonts w:ascii="宋体" w:hAnsi="宋体" w:cs="宋体"/>
          <w:sz w:val="24"/>
          <w:szCs w:val="24"/>
        </w:rPr>
        <w:t>购</w:t>
      </w:r>
      <w:r>
        <w:rPr>
          <w:rFonts w:hint="eastAsia" w:ascii="宋体" w:hAnsi="宋体" w:cs="宋体"/>
          <w:sz w:val="24"/>
          <w:szCs w:val="24"/>
        </w:rPr>
        <w:t>人、代理机构答复投标人提出的</w:t>
      </w:r>
      <w:r>
        <w:rPr>
          <w:rFonts w:ascii="宋体" w:hAnsi="宋体" w:cs="宋体"/>
          <w:sz w:val="24"/>
          <w:szCs w:val="24"/>
        </w:rPr>
        <w:t>质</w:t>
      </w:r>
      <w:r>
        <w:rPr>
          <w:rFonts w:hint="eastAsia" w:ascii="宋体" w:hAnsi="宋体" w:cs="宋体"/>
          <w:sz w:val="24"/>
          <w:szCs w:val="24"/>
        </w:rPr>
        <w:t>疑，配合</w:t>
      </w:r>
      <w:r>
        <w:rPr>
          <w:rFonts w:ascii="宋体" w:hAnsi="宋体" w:cs="宋体"/>
          <w:sz w:val="24"/>
          <w:szCs w:val="24"/>
        </w:rPr>
        <w:t>财</w:t>
      </w:r>
      <w:r>
        <w:rPr>
          <w:rFonts w:hint="eastAsia" w:ascii="宋体" w:hAnsi="宋体" w:cs="宋体"/>
          <w:sz w:val="24"/>
          <w:szCs w:val="24"/>
        </w:rPr>
        <w:t>政</w:t>
      </w:r>
      <w:r>
        <w:rPr>
          <w:rFonts w:ascii="宋体" w:hAnsi="宋体" w:cs="宋体"/>
          <w:sz w:val="24"/>
          <w:szCs w:val="24"/>
        </w:rPr>
        <w:t>部门处</w:t>
      </w:r>
      <w:r>
        <w:rPr>
          <w:rFonts w:hint="eastAsia" w:ascii="宋体" w:hAnsi="宋体" w:cs="宋体"/>
          <w:sz w:val="24"/>
          <w:szCs w:val="24"/>
        </w:rPr>
        <w:t>理投</w:t>
      </w:r>
      <w:r>
        <w:rPr>
          <w:rFonts w:ascii="宋体" w:hAnsi="宋体" w:cs="宋体"/>
          <w:sz w:val="24"/>
          <w:szCs w:val="24"/>
        </w:rPr>
        <w:t>诉</w:t>
      </w:r>
      <w:r>
        <w:rPr>
          <w:rFonts w:hint="eastAsia" w:ascii="宋体" w:hAnsi="宋体" w:cs="宋体"/>
          <w:sz w:val="24"/>
          <w:szCs w:val="24"/>
        </w:rPr>
        <w:t>工作；</w:t>
      </w:r>
    </w:p>
    <w:p>
      <w:pPr>
        <w:spacing w:line="360" w:lineRule="auto"/>
        <w:ind w:firstLine="420" w:firstLineChars="175"/>
        <w:jc w:val="left"/>
        <w:rPr>
          <w:rFonts w:asciiTheme="minorEastAsia" w:hAnsiTheme="minorEastAsia" w:cstheme="minorEastAsia"/>
          <w:kern w:val="0"/>
          <w:sz w:val="24"/>
          <w:szCs w:val="24"/>
        </w:rPr>
      </w:pPr>
      <w:r>
        <w:rPr>
          <w:rFonts w:hint="eastAsia" w:ascii="宋体" w:hAnsi="宋体" w:cs="宋体"/>
          <w:sz w:val="24"/>
          <w:szCs w:val="24"/>
        </w:rPr>
        <w:t xml:space="preserve">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   </w:t>
      </w:r>
    </w:p>
    <w:p>
      <w:pPr>
        <w:pStyle w:val="5"/>
        <w:numPr>
          <w:ilvl w:val="0"/>
          <w:numId w:val="15"/>
        </w:numPr>
        <w:spacing w:line="500" w:lineRule="exact"/>
        <w:ind w:firstLine="562" w:firstLineChars="200"/>
        <w:rPr>
          <w:rFonts w:asciiTheme="minorEastAsia" w:hAnsiTheme="minorEastAsia" w:cstheme="minorEastAsia"/>
          <w:szCs w:val="28"/>
        </w:rPr>
      </w:pPr>
      <w:bookmarkStart w:id="68" w:name="_Toc28085"/>
      <w:bookmarkStart w:id="69" w:name="_Toc386129876"/>
      <w:bookmarkStart w:id="70" w:name="_Toc27940"/>
      <w:bookmarkStart w:id="71" w:name="_Toc385958808"/>
      <w:r>
        <w:rPr>
          <w:rFonts w:hint="eastAsia" w:asciiTheme="minorEastAsia" w:hAnsiTheme="minorEastAsia" w:cstheme="minorEastAsia"/>
          <w:szCs w:val="28"/>
        </w:rPr>
        <w:t>投标文件初审</w:t>
      </w:r>
      <w:bookmarkEnd w:id="68"/>
      <w:bookmarkEnd w:id="69"/>
      <w:bookmarkEnd w:id="70"/>
      <w:bookmarkEnd w:id="71"/>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3.1 投标人的资格性审查</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按照《中华人民共和国政府采购法》及实施条例和《政府采购货物和服务招标投标管理办法》（中华人民共和国财政部令第87号）的规定，资格审查由采购代理机构或采购人对投标人的资格证明文件进行审查，</w:t>
      </w:r>
      <w:r>
        <w:rPr>
          <w:rFonts w:hint="eastAsia" w:asciiTheme="minorEastAsia" w:hAnsiTheme="minorEastAsia" w:cstheme="minorEastAsia"/>
          <w:b/>
          <w:bCs/>
          <w:kern w:val="0"/>
          <w:sz w:val="24"/>
          <w:szCs w:val="24"/>
        </w:rPr>
        <w:t>投标人应按照招标文件第二部分投标人须知前附表8、资格要求提交资格证明材料，以确保投标人是否具备相应资格。</w:t>
      </w:r>
      <w:r>
        <w:rPr>
          <w:rFonts w:hint="eastAsia" w:asciiTheme="minorEastAsia" w:hAnsiTheme="minorEastAsia" w:cstheme="minorEastAsia"/>
          <w:kern w:val="0"/>
          <w:sz w:val="24"/>
          <w:szCs w:val="24"/>
        </w:rPr>
        <w:t xml:space="preserve">未通过资格审查的投标人不得进入评标，其投标将被认定为无效。 </w:t>
      </w:r>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3.2 投标文件符合性审查 </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2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413"/>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restart"/>
            <w:vAlign w:val="center"/>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符合性审查</w:t>
            </w: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投标文件签字、盖章是否满足招标文件要求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投标文件是否有采购人不能接受的附加条件的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是否符合法律法规和招标文件规定的其他实质性要求</w:t>
            </w:r>
          </w:p>
        </w:tc>
      </w:tr>
    </w:tbl>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3.3 经过对投标人及投标文件审查，出现下列情况者（但不限于），视为未响应招标文件实质性要求，其投标文件按无效投标处理：</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投标人的投标报价超过采购预算或者最高限价； </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投标人未经过正常渠道购买招标文件，或投标人名称与购买招标文件时登记的投标人名称不符的；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投标文件未按招标文件要求签署、盖章的；无投标有效期或有效期达不到招标文件要求的；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投标人未按照招标文件投标保证金的要求缴纳或投标保证金的交付单位和投标人的名称不一致，视为无效投标；</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投标人针对同一项目递交两份或多份内容不同的投标文件，未书面声明哪一份是有效的或出现选择性报价的；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投标人未按招标文件要求提供产品的技术参数及产品供货渠道不明确的；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人的报价明显低于其他通过符合性审查投标人的报价，有可能影响货物质量或者不能诚信履约的，且不能按照评标委员会要求在评标现场合理的时间内提供书面说明及相关证明材料且证明其报价合理性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经评标委员会一致认定为虚假应标的；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投标报价出现漏项或货物数量与要求不符的；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经评标委员会一致认定投标货物的技术参数、性能指标与招标文件要求出现重大负偏差的；或者提供虚假证明（包括第三方的虚假证明），除按无效文件处理外，还将按照政府采购法的有关规定进行处罚；</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投标文件与招标文件在实质性要求条款要求不一致或附加了采购人不能接受的附加条件或条款的；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如澄清、说明的内容与投标文件内容有重大相悖或矛盾，将被认定为无效投标；</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招标文件规定的其他投标无效的情形。</w:t>
      </w:r>
    </w:p>
    <w:p>
      <w:pPr>
        <w:tabs>
          <w:tab w:val="left" w:pos="0"/>
        </w:tabs>
        <w:spacing w:line="500" w:lineRule="exact"/>
        <w:ind w:firstLine="480" w:firstLineChars="200"/>
        <w:rPr>
          <w:rFonts w:asciiTheme="minorEastAsia" w:hAnsiTheme="minorEastAsia" w:cstheme="minorEastAsia"/>
          <w:kern w:val="0"/>
          <w:sz w:val="24"/>
          <w:szCs w:val="24"/>
        </w:rPr>
      </w:pPr>
      <w:bookmarkStart w:id="72" w:name="_Toc17705"/>
      <w:r>
        <w:rPr>
          <w:rFonts w:hint="eastAsia" w:asciiTheme="minorEastAsia" w:hAnsiTheme="minorEastAsia" w:cstheme="minorEastAsia"/>
          <w:kern w:val="0"/>
          <w:sz w:val="24"/>
          <w:szCs w:val="24"/>
        </w:rPr>
        <w:t>3.4有下列情形之一的，视为投标人串通投标，评标委员会应当认定其投标文件无效：</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（1）不同投标人的投标文件由同一单位或者个人编制；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（2）不同投标人委托同一单位或者个人办理投标事宜；</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（3）不同投标人的投标文件载明的项目管理成员或者联系人员为同一人；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（4）不同投标人的投标文件异常一致或者投标报价呈规律性差异；</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（5）不同投标人的投标文件相互混装；</w:t>
      </w:r>
    </w:p>
    <w:p>
      <w:pPr>
        <w:spacing w:line="500" w:lineRule="exact"/>
        <w:ind w:firstLine="420" w:firstLineChars="175"/>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（6）不同投标人的投标保证金从同一单位或者个人的账户转出。</w:t>
      </w:r>
    </w:p>
    <w:p>
      <w:pPr>
        <w:spacing w:line="500" w:lineRule="exact"/>
        <w:ind w:firstLine="420" w:firstLineChars="175"/>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3.5 如出现对招标文件作出实质性响应的投标人或者合格投标人不足三家的情况，不得评标。</w:t>
      </w:r>
    </w:p>
    <w:p>
      <w:pPr>
        <w:spacing w:line="500" w:lineRule="exact"/>
        <w:ind w:firstLine="422" w:firstLineChars="175"/>
      </w:pPr>
      <w:r>
        <w:rPr>
          <w:rFonts w:hint="eastAsia" w:asciiTheme="minorEastAsia" w:hAnsiTheme="minorEastAsia" w:cstheme="minorEastAsia"/>
          <w:b/>
          <w:bCs/>
          <w:sz w:val="24"/>
          <w:szCs w:val="24"/>
        </w:rPr>
        <w:t>3.6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候选人推荐资格；评审得分相同的，由采购人或者采购人委托评标委员会按照报价得分最高的方式确定一个投标人获得中标候选人推荐资格。</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4、投标文件澄清</w:t>
      </w:r>
      <w:bookmarkEnd w:id="72"/>
    </w:p>
    <w:p>
      <w:pPr>
        <w:overflowPunct w:val="0"/>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在评标期间,采购代理机构可根据评标委员会对其投标文件有疑义不清楚的内容，要求投标人对其投标文件进行澄清。</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numPr>
          <w:ilvl w:val="0"/>
          <w:numId w:val="15"/>
        </w:numPr>
      </w:pPr>
      <w:bookmarkStart w:id="73" w:name="_Toc8353"/>
      <w:r>
        <w:rPr>
          <w:rFonts w:hint="eastAsia"/>
        </w:rPr>
        <w:t>评标</w:t>
      </w:r>
      <w:bookmarkEnd w:id="73"/>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（一）分值汇总计算错误的；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（二）分项评分超出评分标准范围的；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（四）经评标委员会认定评分畸高、畸低的。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5"/>
        </w:numPr>
      </w:pPr>
      <w:bookmarkStart w:id="74" w:name="_Toc12947"/>
      <w:r>
        <w:rPr>
          <w:rFonts w:hint="eastAsia"/>
        </w:rPr>
        <w:t>定标</w:t>
      </w:r>
      <w:bookmarkEnd w:id="74"/>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2、代理机构收到采购单位“定标复函”后2个工作日内，在财政部门指定的政府采购信息媒体上发布中标公告，并向中标人发出“中标通知书”。</w:t>
      </w:r>
    </w:p>
    <w:p>
      <w:pPr>
        <w:pStyle w:val="5"/>
        <w:ind w:firstLine="562" w:firstLineChars="200"/>
      </w:pPr>
      <w:r>
        <w:rPr>
          <w:rFonts w:hint="eastAsia"/>
        </w:rPr>
        <w:t>6、信用担保</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投标人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
      <w:pPr>
        <w:pStyle w:val="4"/>
      </w:pPr>
      <w:bookmarkStart w:id="75" w:name="_Toc20526"/>
      <w:bookmarkStart w:id="76" w:name="_Toc3364"/>
      <w:bookmarkStart w:id="77" w:name="_Toc19972"/>
      <w:bookmarkStart w:id="78" w:name="_Toc25308"/>
      <w:r>
        <w:rPr>
          <w:rFonts w:hint="eastAsia"/>
        </w:rPr>
        <w:t>六、履约验收</w:t>
      </w:r>
      <w:bookmarkEnd w:id="75"/>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2、履约验收的费用及要求详见“供应商须知前附表”。</w:t>
      </w:r>
    </w:p>
    <w:p>
      <w:pPr>
        <w:pStyle w:val="4"/>
      </w:pPr>
      <w:bookmarkStart w:id="79" w:name="_Toc2734"/>
      <w:r>
        <w:rPr>
          <w:rFonts w:hint="eastAsia"/>
        </w:rPr>
        <w:t>七、签订合同</w:t>
      </w:r>
      <w:bookmarkEnd w:id="76"/>
      <w:bookmarkEnd w:id="77"/>
      <w:bookmarkEnd w:id="78"/>
      <w:bookmarkEnd w:id="79"/>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1、中标后，中标人与采购人洽谈合同条款，并签订供货合同，同时送代理机构归档，招标文件及中标人的投标文件均作为合同的组成部分。</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2、所签订的合同不得对招标文件和中标人投标文件作实质性修改。</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3、招标文件、中标人的投标文件及澄清文件等，均作为合同的附件，是签订合同的依据。</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4、根据需要，代理机构应协助采购人监督、协调和处理履约过程中出现的问题。</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5、陕西省财政厅政府采购管理处在合同履行期间以及履行期后，可以随时检查项目的执行情况，对采购标准、采购内容进行调查核实，并对发现的问题进行处理。</w:t>
      </w:r>
    </w:p>
    <w:p>
      <w:pPr>
        <w:pStyle w:val="4"/>
      </w:pPr>
      <w:bookmarkStart w:id="80" w:name="_Toc6499"/>
      <w:bookmarkStart w:id="81" w:name="_Toc2796"/>
      <w:bookmarkStart w:id="82" w:name="_Toc28110"/>
      <w:bookmarkStart w:id="83" w:name="_Toc26132"/>
      <w:r>
        <w:rPr>
          <w:rFonts w:hint="eastAsia"/>
        </w:rPr>
        <w:t>八、代理服务费</w:t>
      </w:r>
      <w:bookmarkEnd w:id="80"/>
      <w:bookmarkEnd w:id="81"/>
      <w:bookmarkEnd w:id="82"/>
      <w:bookmarkEnd w:id="83"/>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参照（计价格[2002]1980号）文件规定收费标准收取，由中标人在领取中标通知书时向代理机构缴纳代理服务费。 </w:t>
      </w:r>
    </w:p>
    <w:p>
      <w:pPr>
        <w:spacing w:line="360" w:lineRule="auto"/>
        <w:ind w:firstLine="480" w:firstLineChars="200"/>
        <w:jc w:val="left"/>
        <w:rPr>
          <w:rFonts w:asciiTheme="minorEastAsia" w:hAnsiTheme="minorEastAsia" w:cstheme="minorEastAsia"/>
          <w:sz w:val="28"/>
          <w:szCs w:val="28"/>
        </w:rPr>
      </w:pPr>
      <w:r>
        <w:rPr>
          <w:rFonts w:hint="eastAsia" w:asciiTheme="minorEastAsia" w:hAnsiTheme="minorEastAsia" w:cstheme="minorEastAsia"/>
          <w:sz w:val="24"/>
          <w:szCs w:val="24"/>
        </w:rPr>
        <w:t>投标人将招标代理服务费计入投标报价但不单独列明，中标单位在领取中标通知书前，须向采购代理机构一次性支付招标代理服务费；代理服务费以转账、电汇或现金等形式交纳</w:t>
      </w:r>
      <w:r>
        <w:rPr>
          <w:rFonts w:hint="eastAsia" w:asciiTheme="minorEastAsia" w:hAnsiTheme="minorEastAsia" w:cstheme="minorEastAsia"/>
          <w:sz w:val="28"/>
          <w:szCs w:val="28"/>
        </w:rPr>
        <w:t>。</w:t>
      </w:r>
    </w:p>
    <w:p>
      <w:pPr>
        <w:pStyle w:val="4"/>
      </w:pPr>
      <w:bookmarkStart w:id="84" w:name="_Toc11411"/>
      <w:bookmarkStart w:id="85" w:name="_Toc12124"/>
      <w:bookmarkStart w:id="86" w:name="_Toc3298"/>
      <w:bookmarkStart w:id="87" w:name="_Toc12904"/>
      <w:r>
        <w:rPr>
          <w:rFonts w:hint="eastAsia"/>
        </w:rPr>
        <w:t>九、质疑和投诉</w:t>
      </w:r>
      <w:bookmarkEnd w:id="84"/>
      <w:bookmarkEnd w:id="85"/>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eastAsia="宋体" w:asciiTheme="minorEastAsia" w:hAnsiTheme="minorEastAsia" w:cstheme="minorEastAsia"/>
          <w:sz w:val="24"/>
          <w:szCs w:val="24"/>
        </w:rPr>
      </w:pPr>
      <w:r>
        <w:rPr>
          <w:rFonts w:hint="eastAsia" w:asciiTheme="minorEastAsia" w:hAnsiTheme="minorEastAsia" w:cstheme="minorEastAsia"/>
          <w:sz w:val="24"/>
          <w:szCs w:val="24"/>
        </w:rPr>
        <w:t>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eastAsia="宋体" w:cs="宋体"/>
          <w:color w:val="333333"/>
          <w:sz w:val="24"/>
          <w:szCs w:val="24"/>
          <w:shd w:val="clear" w:color="auto" w:fill="FFFFFF"/>
        </w:rPr>
        <w:t>供应商应该在法定质疑期内一次性提出针对同一采购程序环节的质疑</w:t>
      </w:r>
      <w:r>
        <w:rPr>
          <w:rFonts w:hint="eastAsia" w:ascii="宋体" w:hAnsi="宋体" w:cs="宋体"/>
          <w:color w:val="333333"/>
          <w:sz w:val="24"/>
          <w:szCs w:val="24"/>
          <w:shd w:val="clear" w:color="auto" w:fill="FFFFFF"/>
        </w:rPr>
        <w:t>，</w:t>
      </w:r>
      <w:r>
        <w:rPr>
          <w:rFonts w:hint="eastAsia" w:asciiTheme="minorEastAsia" w:hAnsiTheme="minorEastAsia" w:cstheme="minorEastAsia"/>
          <w:sz w:val="24"/>
          <w:szCs w:val="24"/>
        </w:rPr>
        <w:t>逾期质疑无效。</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2、 质疑文件应当包括下列主要内容：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tabs>
          <w:tab w:val="left" w:pos="840"/>
        </w:tabs>
        <w:spacing w:line="360" w:lineRule="auto"/>
        <w:ind w:firstLine="600" w:firstLineChars="25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4）提出质疑的日期。</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3、质疑函应当署名。质疑供应商为自然人的，应当由本人签字；质疑供应商为法人或者其他组织的，应当由法定代表人或者主要负责人签字盖章并加盖公章。</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4、供应商质疑应当有明确的请求和必要的证明材料。</w:t>
      </w:r>
      <w:r>
        <w:rPr>
          <w:rFonts w:hint="eastAsia" w:asciiTheme="minorEastAsia" w:hAnsiTheme="minorEastAsia" w:cstheme="minorEastAsia"/>
          <w:color w:val="000000" w:themeColor="text1"/>
          <w:sz w:val="24"/>
          <w:szCs w:val="24"/>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Theme="minorEastAsia" w:hAnsiTheme="minorEastAsia" w:cstheme="minorEastAsia"/>
          <w:sz w:val="24"/>
          <w:szCs w:val="24"/>
        </w:rPr>
        <w:t>其作出解释说明。对捏造事实、滥用维权扰乱采购秩序的恶意质疑者，将依法处理。</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 xml:space="preserve">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19" w:leftChars="9" w:firstLine="458" w:firstLineChars="191"/>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7、质疑受理部门：陕西万泽招标有限公司。</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8、提交质疑文件地点：西安市西关正街英达大厦1507室。</w:t>
      </w:r>
    </w:p>
    <w:p>
      <w:pPr>
        <w:tabs>
          <w:tab w:val="left" w:pos="0"/>
          <w:tab w:val="left" w:pos="600"/>
          <w:tab w:val="left" w:pos="4700"/>
        </w:tabs>
        <w:autoSpaceDE w:val="0"/>
        <w:autoSpaceDN w:val="0"/>
        <w:spacing w:line="360" w:lineRule="auto"/>
        <w:ind w:left="599" w:leftChars="228" w:hanging="120" w:hangingChars="50"/>
        <w:textAlignment w:val="bottom"/>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9、本次采购活动中，采购代理机构对质疑回复等文件的送达方式为现场取件。</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10、质疑函应当使用中文。质疑函范本详见财政部制定的范本即招标文件附件六。</w:t>
      </w:r>
    </w:p>
    <w:p>
      <w:pPr>
        <w:pStyle w:val="3"/>
        <w:sectPr>
          <w:headerReference r:id="rId8" w:type="default"/>
          <w:footerReference r:id="rId9" w:type="default"/>
          <w:pgSz w:w="11906" w:h="16838"/>
          <w:pgMar w:top="1440" w:right="1304" w:bottom="1440" w:left="1304" w:header="851" w:footer="992" w:gutter="0"/>
          <w:cols w:space="0" w:num="1"/>
          <w:docGrid w:type="lines" w:linePitch="325" w:charSpace="0"/>
        </w:sectPr>
      </w:pPr>
    </w:p>
    <w:p>
      <w:pPr>
        <w:pStyle w:val="3"/>
        <w:jc w:val="center"/>
        <w:rPr>
          <w:lang w:val="en-US"/>
        </w:rPr>
      </w:pPr>
      <w:bookmarkStart w:id="88" w:name="_Toc1864"/>
      <w:r>
        <w:rPr>
          <w:rFonts w:hint="eastAsia"/>
          <w:sz w:val="36"/>
          <w:szCs w:val="36"/>
        </w:rPr>
        <w:t xml:space="preserve">第四部分  </w:t>
      </w:r>
      <w:bookmarkEnd w:id="86"/>
      <w:r>
        <w:rPr>
          <w:rFonts w:hint="eastAsia"/>
          <w:sz w:val="36"/>
          <w:szCs w:val="36"/>
        </w:rPr>
        <w:t>评审办法</w:t>
      </w:r>
      <w:bookmarkEnd w:id="87"/>
      <w:bookmarkEnd w:id="88"/>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w:t>
      </w:r>
      <w:r>
        <w:rPr>
          <w:rFonts w:hint="eastAsia" w:asciiTheme="minorEastAsia" w:hAnsiTheme="minorEastAsia" w:cstheme="minorEastAsia"/>
          <w:sz w:val="24"/>
          <w:szCs w:val="24"/>
          <w:lang w:val="en-US" w:eastAsia="zh-CN"/>
        </w:rPr>
        <w:t>商务</w:t>
      </w:r>
      <w:r>
        <w:rPr>
          <w:rFonts w:hint="eastAsia" w:asciiTheme="minorEastAsia" w:hAnsiTheme="minorEastAsia" w:cstheme="minorEastAsia"/>
          <w:sz w:val="24"/>
          <w:szCs w:val="24"/>
        </w:rPr>
        <w:t>等以及对招标文件的响应程度。每一投标人的最终得分为所有评委评分的算数平均值。</w:t>
      </w:r>
    </w:p>
    <w:tbl>
      <w:tblPr>
        <w:tblStyle w:val="20"/>
        <w:tblW w:w="883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82"/>
        <w:gridCol w:w="686"/>
        <w:gridCol w:w="54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78" w:type="dxa"/>
            <w:vAlign w:val="center"/>
          </w:tcPr>
          <w:p>
            <w:pPr>
              <w:pStyle w:val="11"/>
              <w:rPr>
                <w:rFonts w:ascii="宋体" w:hAnsi="宋体" w:eastAsia="宋体" w:cs="宋体"/>
                <w:b/>
                <w:bCs/>
                <w:sz w:val="21"/>
                <w:szCs w:val="21"/>
              </w:rPr>
            </w:pPr>
            <w:r>
              <w:rPr>
                <w:rFonts w:hint="eastAsia" w:ascii="宋体" w:hAnsi="宋体" w:cs="宋体"/>
                <w:b/>
                <w:bCs/>
                <w:sz w:val="21"/>
                <w:szCs w:val="21"/>
              </w:rPr>
              <w:t>评审项及最高得分</w:t>
            </w:r>
          </w:p>
        </w:tc>
        <w:tc>
          <w:tcPr>
            <w:tcW w:w="782" w:type="dxa"/>
            <w:vAlign w:val="center"/>
          </w:tcPr>
          <w:p>
            <w:pPr>
              <w:jc w:val="center"/>
              <w:rPr>
                <w:rFonts w:ascii="宋体" w:hAnsi="宋体" w:cs="宋体"/>
                <w:b/>
                <w:bCs/>
                <w:szCs w:val="21"/>
              </w:rPr>
            </w:pPr>
            <w:r>
              <w:rPr>
                <w:rFonts w:hint="eastAsia" w:ascii="宋体" w:hAnsi="宋体" w:cs="宋体"/>
                <w:b/>
                <w:bCs/>
                <w:szCs w:val="21"/>
              </w:rPr>
              <w:t>评审</w:t>
            </w:r>
          </w:p>
          <w:p>
            <w:pPr>
              <w:jc w:val="center"/>
              <w:rPr>
                <w:rFonts w:ascii="宋体" w:hAnsi="宋体" w:eastAsia="宋体" w:cs="宋体"/>
                <w:b/>
                <w:bCs/>
                <w:szCs w:val="21"/>
              </w:rPr>
            </w:pPr>
            <w:r>
              <w:rPr>
                <w:rFonts w:hint="eastAsia" w:ascii="宋体" w:hAnsi="宋体" w:cs="宋体"/>
                <w:b/>
                <w:bCs/>
                <w:szCs w:val="21"/>
              </w:rPr>
              <w:t>内容</w:t>
            </w:r>
          </w:p>
        </w:tc>
        <w:tc>
          <w:tcPr>
            <w:tcW w:w="686" w:type="dxa"/>
            <w:vAlign w:val="center"/>
          </w:tcPr>
          <w:p>
            <w:pPr>
              <w:jc w:val="center"/>
              <w:rPr>
                <w:rFonts w:ascii="宋体" w:hAnsi="宋体" w:cs="宋体"/>
                <w:b/>
                <w:bCs/>
                <w:szCs w:val="21"/>
              </w:rPr>
            </w:pPr>
            <w:r>
              <w:rPr>
                <w:rFonts w:hint="eastAsia" w:ascii="宋体" w:hAnsi="宋体" w:cs="宋体"/>
                <w:b/>
                <w:bCs/>
                <w:szCs w:val="21"/>
              </w:rPr>
              <w:t>分项</w:t>
            </w:r>
          </w:p>
          <w:p>
            <w:pPr>
              <w:jc w:val="center"/>
              <w:rPr>
                <w:rFonts w:ascii="宋体" w:hAnsi="宋体" w:eastAsia="宋体" w:cs="宋体"/>
                <w:b/>
                <w:bCs/>
                <w:szCs w:val="21"/>
              </w:rPr>
            </w:pPr>
            <w:r>
              <w:rPr>
                <w:rFonts w:hint="eastAsia" w:ascii="宋体" w:hAnsi="宋体" w:cs="宋体"/>
                <w:b/>
                <w:bCs/>
                <w:szCs w:val="21"/>
              </w:rPr>
              <w:t>得分</w:t>
            </w:r>
          </w:p>
        </w:tc>
        <w:tc>
          <w:tcPr>
            <w:tcW w:w="5484" w:type="dxa"/>
            <w:vAlign w:val="center"/>
          </w:tcPr>
          <w:p>
            <w:pPr>
              <w:jc w:val="center"/>
              <w:rPr>
                <w:rFonts w:ascii="宋体" w:hAnsi="宋体" w:cs="宋体"/>
                <w:b/>
                <w:bCs/>
                <w:szCs w:val="21"/>
              </w:rPr>
            </w:pPr>
            <w:r>
              <w:rPr>
                <w:rFonts w:hint="eastAsia" w:ascii="宋体" w:hAnsi="宋体" w:cs="宋体"/>
                <w:b/>
                <w:bCs/>
                <w:szCs w:val="21"/>
              </w:rPr>
              <w:t>评审要素</w:t>
            </w:r>
          </w:p>
          <w:p>
            <w:pPr>
              <w:jc w:val="center"/>
              <w:rPr>
                <w:rFonts w:ascii="宋体" w:hAnsi="宋体" w:eastAsia="宋体" w:cs="宋体"/>
                <w:b/>
                <w:bCs/>
                <w:szCs w:val="21"/>
              </w:rPr>
            </w:pPr>
            <w:r>
              <w:rPr>
                <w:rFonts w:hint="eastAsia" w:ascii="宋体" w:hAnsi="宋体" w:cs="宋体"/>
                <w:b/>
                <w:bCs/>
                <w:szCs w:val="21"/>
              </w:rPr>
              <w:t xml:space="preserve"> </w:t>
            </w:r>
          </w:p>
        </w:tc>
        <w:tc>
          <w:tcPr>
            <w:tcW w:w="1009" w:type="dxa"/>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78" w:type="dxa"/>
            <w:vAlign w:val="center"/>
          </w:tcPr>
          <w:p>
            <w:pPr>
              <w:jc w:val="center"/>
              <w:rPr>
                <w:rFonts w:ascii="宋体" w:hAnsi="宋体" w:cs="宋体"/>
                <w:b/>
                <w:bCs/>
                <w:szCs w:val="21"/>
              </w:rPr>
            </w:pPr>
            <w:r>
              <w:rPr>
                <w:rFonts w:hint="eastAsia" w:ascii="宋体" w:hAnsi="宋体" w:cs="宋体"/>
                <w:szCs w:val="21"/>
              </w:rPr>
              <w:t>价格部分（30分）</w:t>
            </w:r>
          </w:p>
        </w:tc>
        <w:tc>
          <w:tcPr>
            <w:tcW w:w="782" w:type="dxa"/>
            <w:vAlign w:val="center"/>
          </w:tcPr>
          <w:p>
            <w:pPr>
              <w:rPr>
                <w:rFonts w:ascii="宋体" w:hAnsi="宋体" w:cs="宋体"/>
                <w:b/>
                <w:bCs/>
                <w:szCs w:val="21"/>
              </w:rPr>
            </w:pPr>
            <w:r>
              <w:rPr>
                <w:rFonts w:hint="eastAsia" w:ascii="宋体" w:hAnsi="宋体" w:cs="宋体"/>
                <w:szCs w:val="21"/>
              </w:rPr>
              <w:t>报价得分</w:t>
            </w:r>
          </w:p>
        </w:tc>
        <w:tc>
          <w:tcPr>
            <w:tcW w:w="686" w:type="dxa"/>
            <w:vAlign w:val="center"/>
          </w:tcPr>
          <w:p>
            <w:pPr>
              <w:rPr>
                <w:rFonts w:ascii="宋体" w:hAnsi="宋体" w:cs="宋体"/>
                <w:b/>
                <w:bCs/>
                <w:szCs w:val="21"/>
              </w:rPr>
            </w:pPr>
            <w:r>
              <w:rPr>
                <w:rFonts w:hint="eastAsia" w:ascii="宋体" w:hAnsi="宋体" w:cs="宋体"/>
                <w:bCs/>
                <w:szCs w:val="21"/>
              </w:rPr>
              <w:t>30</w:t>
            </w:r>
            <w:r>
              <w:rPr>
                <w:rFonts w:hint="eastAsia" w:ascii="宋体" w:hAnsi="宋体" w:cs="宋体"/>
                <w:szCs w:val="21"/>
              </w:rPr>
              <w:t>分</w:t>
            </w:r>
          </w:p>
        </w:tc>
        <w:tc>
          <w:tcPr>
            <w:tcW w:w="5484" w:type="dxa"/>
            <w:vAlign w:val="center"/>
          </w:tcPr>
          <w:p>
            <w:pPr>
              <w:numPr>
                <w:ilvl w:val="0"/>
                <w:numId w:val="19"/>
              </w:numPr>
              <w:rPr>
                <w:rFonts w:ascii="宋体" w:hAnsi="宋体" w:cs="宋体"/>
                <w:szCs w:val="21"/>
              </w:rPr>
            </w:pPr>
            <w:r>
              <w:rPr>
                <w:rFonts w:hint="eastAsia" w:ascii="宋体" w:hAnsi="宋体" w:cs="宋体"/>
                <w:szCs w:val="21"/>
              </w:rPr>
              <w:t>经初审合格的投标文件，其投标报价为有效投标报价；</w:t>
            </w:r>
          </w:p>
          <w:p>
            <w:pPr>
              <w:numPr>
                <w:ilvl w:val="0"/>
                <w:numId w:val="19"/>
              </w:numPr>
              <w:rPr>
                <w:rFonts w:ascii="宋体" w:hAnsi="宋体" w:cs="宋体"/>
                <w:szCs w:val="21"/>
              </w:rPr>
            </w:pPr>
            <w:r>
              <w:rPr>
                <w:rFonts w:hint="eastAsia" w:ascii="宋体" w:hAnsi="宋体" w:cs="宋体"/>
                <w:szCs w:val="21"/>
              </w:rPr>
              <w:t>满足招标文件要求且提交报价最低的投标报价为评标基准价。</w:t>
            </w:r>
          </w:p>
          <w:p>
            <w:pPr>
              <w:numPr>
                <w:ilvl w:val="0"/>
                <w:numId w:val="19"/>
              </w:numPr>
              <w:rPr>
                <w:rFonts w:ascii="宋体" w:hAnsi="宋体" w:cs="宋体"/>
                <w:szCs w:val="21"/>
              </w:rPr>
            </w:pPr>
            <w:r>
              <w:rPr>
                <w:rFonts w:hint="eastAsia" w:ascii="宋体" w:hAnsi="宋体" w:cs="宋体"/>
                <w:szCs w:val="21"/>
              </w:rPr>
              <w:t xml:space="preserve">报价得分=(评审基准价／投标报价)×30 </w:t>
            </w:r>
          </w:p>
          <w:p>
            <w:pPr>
              <w:pStyle w:val="26"/>
              <w:numPr>
                <w:ilvl w:val="0"/>
                <w:numId w:val="19"/>
              </w:numPr>
              <w:ind w:firstLineChars="0"/>
              <w:rPr>
                <w:rFonts w:ascii="宋体" w:hAnsi="宋体" w:cs="宋体"/>
                <w:b/>
                <w:bCs/>
                <w:szCs w:val="21"/>
              </w:rPr>
            </w:pPr>
            <w:r>
              <w:rPr>
                <w:rFonts w:hint="eastAsia" w:ascii="宋体" w:hAnsi="宋体" w:cs="宋体"/>
                <w:szCs w:val="21"/>
              </w:rPr>
              <w:t>投标报价不完整的，本项得0分。</w:t>
            </w:r>
          </w:p>
        </w:tc>
        <w:tc>
          <w:tcPr>
            <w:tcW w:w="1009" w:type="dxa"/>
            <w:vAlign w:val="center"/>
          </w:tcPr>
          <w:p>
            <w:pPr>
              <w:pStyle w:val="26"/>
              <w:ind w:firstLine="0" w:firstLineChars="0"/>
              <w:rPr>
                <w:rFonts w:ascii="宋体" w:hAnsi="宋体" w:cs="宋体"/>
                <w:szCs w:val="21"/>
              </w:rPr>
            </w:pPr>
            <w:r>
              <w:rPr>
                <w:rFonts w:hint="eastAsia" w:ascii="宋体" w:hAnsi="宋体" w:cs="宋体"/>
                <w:szCs w:val="21"/>
              </w:rPr>
              <w:t>报价政策性优惠见评分办法备注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878" w:type="dxa"/>
            <w:vMerge w:val="restart"/>
            <w:vAlign w:val="center"/>
          </w:tcPr>
          <w:p>
            <w:pPr>
              <w:jc w:val="center"/>
              <w:rPr>
                <w:rFonts w:ascii="宋体" w:hAnsi="宋体" w:eastAsia="宋体" w:cs="宋体"/>
                <w:szCs w:val="21"/>
              </w:rPr>
            </w:pPr>
            <w:r>
              <w:rPr>
                <w:rFonts w:hint="eastAsia" w:ascii="宋体" w:hAnsi="宋体" w:cs="宋体"/>
                <w:szCs w:val="21"/>
              </w:rPr>
              <w:t>技术部分（55分）</w:t>
            </w:r>
          </w:p>
        </w:tc>
        <w:tc>
          <w:tcPr>
            <w:tcW w:w="782" w:type="dxa"/>
            <w:vAlign w:val="center"/>
          </w:tcPr>
          <w:p>
            <w:pPr>
              <w:rPr>
                <w:rFonts w:ascii="宋体" w:hAnsi="宋体" w:cs="宋体"/>
                <w:bCs/>
                <w:szCs w:val="21"/>
              </w:rPr>
            </w:pPr>
            <w:r>
              <w:rPr>
                <w:rFonts w:hint="eastAsia" w:ascii="宋体" w:hAnsi="宋体" w:cs="宋体"/>
                <w:szCs w:val="21"/>
              </w:rPr>
              <w:t>产品技术参数</w:t>
            </w:r>
          </w:p>
        </w:tc>
        <w:tc>
          <w:tcPr>
            <w:tcW w:w="686" w:type="dxa"/>
            <w:vAlign w:val="center"/>
          </w:tcPr>
          <w:p>
            <w:pPr>
              <w:rPr>
                <w:rFonts w:ascii="宋体" w:hAnsi="宋体" w:eastAsia="宋体" w:cs="宋体"/>
                <w:szCs w:val="21"/>
              </w:rPr>
            </w:pPr>
            <w:r>
              <w:rPr>
                <w:rFonts w:hint="eastAsia" w:ascii="宋体" w:hAnsi="宋体" w:cs="宋体"/>
                <w:szCs w:val="21"/>
              </w:rPr>
              <w:t>40分</w:t>
            </w:r>
          </w:p>
        </w:tc>
        <w:tc>
          <w:tcPr>
            <w:tcW w:w="5484" w:type="dxa"/>
            <w:vAlign w:val="center"/>
          </w:tcPr>
          <w:p>
            <w:r>
              <w:rPr>
                <w:rFonts w:hint="eastAsia"/>
              </w:rPr>
              <w:t>评委根据投标人所提供产品的技术性能、可靠性、稳定性、产品的兼容性、操作性、维护性对招标文件的响应程度等因素综合打分：</w:t>
            </w:r>
          </w:p>
          <w:p>
            <w:pPr>
              <w:ind w:firstLine="210" w:firstLineChars="100"/>
              <w:rPr>
                <w:rFonts w:ascii="Calibri" w:hAnsi="Calibri"/>
              </w:rPr>
            </w:pPr>
            <w:r>
              <w:rPr>
                <w:rFonts w:hint="eastAsia"/>
              </w:rPr>
              <w:t>响应产品技术参数清楚、完整、明确，能够完全满足招标要求得40分，参数负偏离一项扣1分，扣完为止。</w:t>
            </w:r>
          </w:p>
          <w:p>
            <w:pPr>
              <w:ind w:firstLine="211" w:firstLineChars="100"/>
              <w:rPr>
                <w:bCs/>
              </w:rPr>
            </w:pPr>
            <w:r>
              <w:rPr>
                <w:rFonts w:hint="eastAsia" w:ascii="宋体" w:hAnsi="宋体" w:cs="宋体"/>
                <w:b/>
                <w:bCs/>
                <w:szCs w:val="21"/>
              </w:rPr>
              <w:t>响应产品技术参数应根据响应产品实际情况逐项填写，响应内容不能完全复制招标文件技术参数要求，如投标文件完全复制招标文件技术参数要求的，评标委员会将对其本项扣20分</w:t>
            </w:r>
            <w:r>
              <w:rPr>
                <w:rFonts w:hint="eastAsia"/>
              </w:rPr>
              <w:t>。</w:t>
            </w:r>
          </w:p>
        </w:tc>
        <w:tc>
          <w:tcPr>
            <w:tcW w:w="1009" w:type="dxa"/>
            <w:vMerge w:val="restart"/>
            <w:vAlign w:val="center"/>
          </w:tcPr>
          <w:p>
            <w:pPr>
              <w:rPr>
                <w:rFonts w:ascii="宋体" w:hAnsi="宋体" w:cs="宋体"/>
                <w:szCs w:val="21"/>
              </w:rPr>
            </w:pPr>
            <w:r>
              <w:rPr>
                <w:rFonts w:hint="eastAsia" w:ascii="宋体" w:hAnsi="宋体" w:cs="宋体"/>
                <w:kern w:val="0"/>
                <w:szCs w:val="21"/>
              </w:rPr>
              <w:t>投标人应尽可能多的提供相关技术参数佐证材料予以证明其技术参数的响应性。</w:t>
            </w:r>
            <w:r>
              <w:rPr>
                <w:rFonts w:hint="eastAsia" w:ascii="宋体" w:hAnsi="宋体" w:cs="宋体"/>
                <w:b/>
                <w:szCs w:val="21"/>
              </w:rPr>
              <w:t>证明材料要求复印件加盖公章。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trPr>
        <w:tc>
          <w:tcPr>
            <w:tcW w:w="878" w:type="dxa"/>
            <w:vMerge w:val="continue"/>
            <w:vAlign w:val="center"/>
          </w:tcPr>
          <w:p>
            <w:pPr>
              <w:jc w:val="center"/>
              <w:rPr>
                <w:rFonts w:ascii="宋体" w:hAnsi="宋体" w:cs="宋体"/>
                <w:szCs w:val="21"/>
              </w:rPr>
            </w:pPr>
          </w:p>
        </w:tc>
        <w:tc>
          <w:tcPr>
            <w:tcW w:w="782" w:type="dxa"/>
            <w:vAlign w:val="center"/>
          </w:tcPr>
          <w:p>
            <w:pPr>
              <w:rPr>
                <w:rFonts w:ascii="宋体" w:hAnsi="宋体" w:eastAsia="宋体" w:cs="宋体"/>
                <w:bCs/>
                <w:szCs w:val="21"/>
              </w:rPr>
            </w:pPr>
            <w:r>
              <w:rPr>
                <w:rFonts w:hint="eastAsia" w:ascii="宋体" w:hAnsi="宋体" w:cs="宋体"/>
                <w:bCs/>
                <w:szCs w:val="21"/>
              </w:rPr>
              <w:t>产品技术资料</w:t>
            </w:r>
          </w:p>
        </w:tc>
        <w:tc>
          <w:tcPr>
            <w:tcW w:w="686" w:type="dxa"/>
            <w:vAlign w:val="center"/>
          </w:tcPr>
          <w:p>
            <w:pPr>
              <w:rPr>
                <w:rFonts w:ascii="宋体" w:hAnsi="宋体" w:eastAsia="宋体" w:cs="宋体"/>
                <w:szCs w:val="21"/>
              </w:rPr>
            </w:pPr>
            <w:r>
              <w:rPr>
                <w:rFonts w:hint="eastAsia" w:ascii="宋体" w:hAnsi="宋体" w:cs="宋体"/>
                <w:szCs w:val="21"/>
              </w:rPr>
              <w:t>10分</w:t>
            </w:r>
          </w:p>
        </w:tc>
        <w:tc>
          <w:tcPr>
            <w:tcW w:w="5484" w:type="dxa"/>
            <w:vAlign w:val="center"/>
          </w:tcPr>
          <w:p>
            <w:pPr>
              <w:rPr>
                <w:rFonts w:ascii="宋体" w:hAnsi="宋体" w:eastAsia="宋体" w:cs="宋体"/>
                <w:szCs w:val="21"/>
              </w:rPr>
            </w:pPr>
            <w:r>
              <w:rPr>
                <w:rFonts w:hint="eastAsia" w:ascii="宋体" w:hAnsi="宋体" w:cs="宋体"/>
                <w:szCs w:val="21"/>
              </w:rPr>
              <w:t>1、所响应设备（产品）技术资料详尽、齐全、表述真实一致，计3.1-5分；较详尽齐全计1.0-3分，未提供不得分；</w:t>
            </w:r>
          </w:p>
          <w:p>
            <w:pPr>
              <w:rPr>
                <w:rFonts w:ascii="宋体" w:hAnsi="宋体" w:eastAsia="宋体" w:cs="宋体"/>
                <w:szCs w:val="21"/>
              </w:rPr>
            </w:pPr>
            <w:r>
              <w:rPr>
                <w:rFonts w:hint="eastAsia" w:ascii="宋体" w:hAnsi="宋体" w:cs="宋体"/>
                <w:szCs w:val="21"/>
              </w:rPr>
              <w:t>2、所投设备（产品）及备品备件符合国内、国际相关标准且无产权纠纷，无假货、水货、翻新货，提供所投产品来源渠道合法证明文件（包括但不限于销售协议、代理协议、原厂授权等）等，齐全计3.1-5分，较齐全计1.0-3分，未提供不得分；</w:t>
            </w:r>
          </w:p>
          <w:p>
            <w:pPr>
              <w:rPr>
                <w:rFonts w:ascii="宋体" w:hAnsi="宋体" w:cs="宋体"/>
                <w:szCs w:val="21"/>
              </w:rPr>
            </w:pPr>
            <w:r>
              <w:rPr>
                <w:rFonts w:hint="eastAsia" w:ascii="宋体" w:hAnsi="宋体" w:cs="宋体"/>
                <w:b/>
                <w:bCs/>
                <w:szCs w:val="21"/>
              </w:rPr>
              <w:t>评审依据：投标人应提供详细的响应产品设备技术白皮书、认证证书、检测报告等相关佐证材料。</w:t>
            </w:r>
            <w:r>
              <w:rPr>
                <w:rFonts w:hint="eastAsia" w:ascii="宋体" w:hAnsi="宋体" w:cs="宋体"/>
                <w:szCs w:val="21"/>
              </w:rPr>
              <w:t xml:space="preserve"> </w:t>
            </w:r>
          </w:p>
        </w:tc>
        <w:tc>
          <w:tcPr>
            <w:tcW w:w="1009" w:type="dxa"/>
            <w:vMerge w:val="continue"/>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878" w:type="dxa"/>
            <w:vMerge w:val="continue"/>
            <w:vAlign w:val="center"/>
          </w:tcPr>
          <w:p>
            <w:pPr>
              <w:jc w:val="center"/>
              <w:rPr>
                <w:rFonts w:ascii="宋体" w:hAnsi="宋体" w:cs="宋体"/>
                <w:szCs w:val="21"/>
              </w:rPr>
            </w:pPr>
          </w:p>
        </w:tc>
        <w:tc>
          <w:tcPr>
            <w:tcW w:w="782" w:type="dxa"/>
            <w:vAlign w:val="center"/>
          </w:tcPr>
          <w:p>
            <w:pPr>
              <w:rPr>
                <w:rFonts w:ascii="宋体" w:hAnsi="宋体" w:eastAsia="宋体" w:cs="宋体"/>
                <w:szCs w:val="21"/>
              </w:rPr>
            </w:pPr>
            <w:r>
              <w:rPr>
                <w:rFonts w:hint="eastAsia" w:ascii="宋体" w:hAnsi="宋体" w:cs="宋体"/>
                <w:szCs w:val="21"/>
              </w:rPr>
              <w:t>技术及实施方案</w:t>
            </w:r>
          </w:p>
        </w:tc>
        <w:tc>
          <w:tcPr>
            <w:tcW w:w="686" w:type="dxa"/>
            <w:vAlign w:val="center"/>
          </w:tcPr>
          <w:p>
            <w:pPr>
              <w:rPr>
                <w:rFonts w:ascii="宋体" w:hAnsi="宋体" w:eastAsia="宋体" w:cs="宋体"/>
                <w:szCs w:val="21"/>
              </w:rPr>
            </w:pPr>
            <w:r>
              <w:rPr>
                <w:rFonts w:hint="eastAsia" w:ascii="宋体" w:hAnsi="宋体" w:cs="宋体"/>
                <w:szCs w:val="21"/>
              </w:rPr>
              <w:t>5分</w:t>
            </w:r>
          </w:p>
        </w:tc>
        <w:tc>
          <w:tcPr>
            <w:tcW w:w="5484" w:type="dxa"/>
            <w:vAlign w:val="center"/>
          </w:tcPr>
          <w:p>
            <w:pPr>
              <w:rPr>
                <w:rFonts w:ascii="宋体" w:hAnsi="宋体" w:eastAsia="宋体" w:cs="宋体"/>
                <w:szCs w:val="21"/>
              </w:rPr>
            </w:pPr>
            <w:r>
              <w:rPr>
                <w:rFonts w:hint="eastAsia" w:ascii="宋体" w:hAnsi="宋体" w:cs="宋体"/>
                <w:szCs w:val="21"/>
              </w:rPr>
              <w:t xml:space="preserve">根据投标人提供的技术方案和组织实施方案等内容进行综合评定 </w:t>
            </w:r>
          </w:p>
          <w:p>
            <w:pPr>
              <w:rPr>
                <w:rFonts w:ascii="宋体" w:hAnsi="宋体" w:cs="宋体"/>
                <w:szCs w:val="21"/>
              </w:rPr>
            </w:pPr>
            <w:r>
              <w:rPr>
                <w:rFonts w:hint="eastAsia" w:ascii="宋体" w:hAnsi="宋体" w:cs="宋体"/>
                <w:szCs w:val="21"/>
              </w:rPr>
              <w:t>1.方案细致完整、描述条理清晰，内容齐全，有较高的针对性，得3.1-5分；</w:t>
            </w:r>
          </w:p>
          <w:p>
            <w:pPr>
              <w:rPr>
                <w:rFonts w:ascii="宋体" w:hAnsi="宋体" w:cs="宋体"/>
                <w:szCs w:val="21"/>
              </w:rPr>
            </w:pPr>
            <w:r>
              <w:rPr>
                <w:rFonts w:hint="eastAsia" w:ascii="宋体" w:hAnsi="宋体" w:cs="宋体"/>
                <w:szCs w:val="21"/>
              </w:rPr>
              <w:t>2.方案较完整，可基本实现及满足采购要求，得1.0-3分；</w:t>
            </w:r>
          </w:p>
          <w:p>
            <w:pPr>
              <w:rPr>
                <w:rFonts w:ascii="宋体" w:hAnsi="宋体" w:cs="宋体"/>
                <w:szCs w:val="21"/>
              </w:rPr>
            </w:pPr>
            <w:r>
              <w:rPr>
                <w:rFonts w:hint="eastAsia" w:ascii="宋体" w:hAnsi="宋体" w:cs="宋体"/>
                <w:szCs w:val="21"/>
              </w:rPr>
              <w:t>3.方案有明显缺陷，针对性较差不得分。</w:t>
            </w:r>
          </w:p>
        </w:tc>
        <w:tc>
          <w:tcPr>
            <w:tcW w:w="1009"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878" w:type="dxa"/>
            <w:vMerge w:val="restart"/>
            <w:vAlign w:val="center"/>
          </w:tcPr>
          <w:p>
            <w:pPr>
              <w:jc w:val="center"/>
              <w:rPr>
                <w:rFonts w:hAnsi="宋体" w:eastAsia="宋体"/>
                <w:szCs w:val="21"/>
              </w:rPr>
            </w:pPr>
            <w:r>
              <w:rPr>
                <w:rFonts w:hint="eastAsia" w:hAnsi="宋体"/>
                <w:szCs w:val="21"/>
              </w:rPr>
              <w:t>商务部分（15分）</w:t>
            </w:r>
          </w:p>
        </w:tc>
        <w:tc>
          <w:tcPr>
            <w:tcW w:w="782" w:type="dxa"/>
            <w:vAlign w:val="center"/>
          </w:tcPr>
          <w:p>
            <w:pPr>
              <w:jc w:val="center"/>
              <w:rPr>
                <w:rFonts w:hAnsi="宋体"/>
                <w:szCs w:val="21"/>
              </w:rPr>
            </w:pPr>
            <w:r>
              <w:rPr>
                <w:rFonts w:hint="eastAsia" w:hAnsi="宋体"/>
                <w:szCs w:val="21"/>
              </w:rPr>
              <w:t>售后服务</w:t>
            </w:r>
          </w:p>
          <w:p>
            <w:pPr>
              <w:jc w:val="center"/>
              <w:rPr>
                <w:rFonts w:hAnsi="宋体"/>
                <w:bCs/>
                <w:color w:val="000000" w:themeColor="text1"/>
                <w:szCs w:val="21"/>
                <w14:textFill>
                  <w14:solidFill>
                    <w14:schemeClr w14:val="tx1"/>
                  </w14:solidFill>
                </w14:textFill>
              </w:rPr>
            </w:pPr>
          </w:p>
        </w:tc>
        <w:tc>
          <w:tcPr>
            <w:tcW w:w="686" w:type="dxa"/>
            <w:vAlign w:val="center"/>
          </w:tcPr>
          <w:p>
            <w:pPr>
              <w:rPr>
                <w:rFonts w:hAnsi="宋体"/>
                <w:color w:val="000000" w:themeColor="text1"/>
                <w:szCs w:val="21"/>
                <w14:textFill>
                  <w14:solidFill>
                    <w14:schemeClr w14:val="tx1"/>
                  </w14:solidFill>
                </w14:textFill>
              </w:rPr>
            </w:pPr>
            <w:r>
              <w:rPr>
                <w:rFonts w:hint="eastAsia" w:hAnsi="宋体"/>
                <w:szCs w:val="21"/>
              </w:rPr>
              <w:t>6分</w:t>
            </w:r>
          </w:p>
        </w:tc>
        <w:tc>
          <w:tcPr>
            <w:tcW w:w="5484" w:type="dxa"/>
            <w:vAlign w:val="center"/>
          </w:tcPr>
          <w:p>
            <w:pPr>
              <w:rPr>
                <w:rFonts w:ascii="宋体" w:hAnsi="宋体" w:eastAsia="宋体" w:cs="宋体"/>
                <w:szCs w:val="21"/>
              </w:rPr>
            </w:pPr>
            <w:r>
              <w:rPr>
                <w:rFonts w:hint="eastAsia" w:ascii="宋体" w:hAnsi="宋体" w:eastAsia="宋体" w:cs="宋体"/>
                <w:szCs w:val="21"/>
              </w:rPr>
              <w:t>1、针对本项目</w:t>
            </w:r>
            <w:r>
              <w:rPr>
                <w:rFonts w:hint="eastAsia" w:ascii="宋体" w:hAnsi="宋体" w:eastAsia="宋体" w:cs="宋体"/>
                <w:szCs w:val="21"/>
                <w:lang w:val="zh-CN"/>
              </w:rPr>
              <w:t>制定相应的售后服务</w:t>
            </w:r>
            <w:r>
              <w:rPr>
                <w:rFonts w:hint="eastAsia" w:ascii="宋体" w:hAnsi="宋体" w:cs="宋体"/>
                <w:szCs w:val="21"/>
                <w:lang w:val="zh-CN"/>
              </w:rPr>
              <w:t>方案</w:t>
            </w:r>
            <w:r>
              <w:rPr>
                <w:rFonts w:hint="eastAsia" w:ascii="宋体" w:hAnsi="宋体" w:eastAsia="宋体" w:cs="宋体"/>
                <w:szCs w:val="21"/>
                <w:lang w:val="zh-CN"/>
              </w:rPr>
              <w:t>，</w:t>
            </w:r>
            <w:r>
              <w:rPr>
                <w:rFonts w:hint="eastAsia" w:ascii="宋体" w:hAnsi="宋体" w:cs="宋体"/>
                <w:szCs w:val="21"/>
                <w:lang w:val="zh-CN"/>
              </w:rPr>
              <w:t>售后服务方案</w:t>
            </w:r>
            <w:r>
              <w:rPr>
                <w:rFonts w:hint="eastAsia" w:ascii="宋体" w:hAnsi="宋体" w:eastAsia="宋体" w:cs="宋体"/>
                <w:szCs w:val="21"/>
                <w:lang w:val="zh-CN"/>
              </w:rPr>
              <w:t>包括送货响应时效、调换货响应时效、为采购人提供必要的技术支持等</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szCs w:val="21"/>
              </w:rPr>
              <w:t>方案有针对性合理可行</w:t>
            </w:r>
            <w:r>
              <w:rPr>
                <w:rFonts w:hint="eastAsia" w:ascii="宋体" w:hAnsi="宋体" w:cs="宋体"/>
                <w:szCs w:val="21"/>
              </w:rPr>
              <w:t>计2.1-3</w:t>
            </w:r>
            <w:r>
              <w:rPr>
                <w:rFonts w:hint="eastAsia" w:ascii="宋体" w:hAnsi="宋体" w:eastAsia="宋体" w:cs="宋体"/>
                <w:szCs w:val="21"/>
              </w:rPr>
              <w:t>分；</w:t>
            </w:r>
          </w:p>
          <w:p>
            <w:pPr>
              <w:rPr>
                <w:rFonts w:ascii="宋体" w:hAnsi="宋体" w:eastAsia="宋体" w:cs="宋体"/>
                <w:szCs w:val="21"/>
              </w:rPr>
            </w:pPr>
            <w:r>
              <w:rPr>
                <w:rFonts w:hint="eastAsia" w:ascii="宋体" w:hAnsi="宋体" w:eastAsia="宋体" w:cs="宋体"/>
                <w:szCs w:val="21"/>
              </w:rPr>
              <w:t>方案一般时效性不够及时</w:t>
            </w:r>
            <w:r>
              <w:rPr>
                <w:rFonts w:hint="eastAsia" w:ascii="宋体" w:hAnsi="宋体" w:cs="宋体"/>
                <w:szCs w:val="21"/>
              </w:rPr>
              <w:t>计1.0-2</w:t>
            </w:r>
            <w:r>
              <w:rPr>
                <w:rFonts w:hint="eastAsia" w:ascii="宋体" w:hAnsi="宋体" w:eastAsia="宋体" w:cs="宋体"/>
                <w:szCs w:val="21"/>
              </w:rPr>
              <w:t>分；</w:t>
            </w:r>
          </w:p>
          <w:p>
            <w:pPr>
              <w:rPr>
                <w:rFonts w:ascii="宋体" w:hAnsi="宋体" w:eastAsia="宋体" w:cs="宋体"/>
                <w:szCs w:val="21"/>
              </w:rPr>
            </w:pPr>
            <w:r>
              <w:rPr>
                <w:rFonts w:hint="eastAsia" w:ascii="宋体" w:hAnsi="宋体" w:eastAsia="宋体" w:cs="宋体"/>
                <w:szCs w:val="21"/>
              </w:rPr>
              <w:t>未提供不得分。</w:t>
            </w:r>
          </w:p>
          <w:p>
            <w:pPr>
              <w:tabs>
                <w:tab w:val="left" w:pos="307"/>
              </w:tabs>
              <w:rPr>
                <w:rFonts w:ascii="宋体" w:hAnsi="宋体" w:eastAsia="宋体" w:cs="宋体"/>
                <w:szCs w:val="21"/>
                <w:lang w:val="zh-CN"/>
              </w:rPr>
            </w:pPr>
            <w:r>
              <w:rPr>
                <w:rFonts w:hint="eastAsia" w:ascii="宋体" w:hAnsi="宋体" w:eastAsia="宋体" w:cs="宋体"/>
                <w:szCs w:val="21"/>
              </w:rPr>
              <w:t>2、针对本项目</w:t>
            </w:r>
            <w:r>
              <w:rPr>
                <w:rFonts w:hint="eastAsia" w:ascii="宋体" w:hAnsi="宋体" w:eastAsia="宋体" w:cs="宋体"/>
                <w:szCs w:val="21"/>
                <w:lang w:val="zh-CN"/>
              </w:rPr>
              <w:t>制定</w:t>
            </w:r>
            <w:r>
              <w:rPr>
                <w:rFonts w:hint="eastAsia" w:ascii="宋体" w:hAnsi="宋体" w:eastAsia="宋体" w:cs="宋体"/>
                <w:szCs w:val="21"/>
              </w:rPr>
              <w:t>出现</w:t>
            </w:r>
            <w:r>
              <w:rPr>
                <w:rFonts w:hint="eastAsia" w:ascii="宋体" w:hAnsi="宋体" w:eastAsia="宋体" w:cs="宋体"/>
                <w:szCs w:val="21"/>
                <w:lang w:val="zh-CN"/>
              </w:rPr>
              <w:t>产品质量或可能影响产品质量的售后服务措施。</w:t>
            </w:r>
          </w:p>
          <w:p>
            <w:pPr>
              <w:rPr>
                <w:rFonts w:ascii="宋体" w:hAnsi="宋体" w:eastAsia="宋体" w:cs="宋体"/>
                <w:szCs w:val="21"/>
              </w:rPr>
            </w:pPr>
            <w:r>
              <w:rPr>
                <w:rFonts w:hint="eastAsia" w:ascii="宋体" w:hAnsi="宋体" w:eastAsia="宋体" w:cs="宋体"/>
                <w:szCs w:val="21"/>
                <w:lang w:val="zh-CN"/>
              </w:rPr>
              <w:t>措施及时、有效</w:t>
            </w:r>
            <w:r>
              <w:rPr>
                <w:rFonts w:hint="eastAsia" w:ascii="宋体" w:hAnsi="宋体" w:cs="宋体"/>
                <w:szCs w:val="21"/>
              </w:rPr>
              <w:t>计2.1-3</w:t>
            </w:r>
            <w:r>
              <w:rPr>
                <w:rFonts w:hint="eastAsia" w:ascii="宋体" w:hAnsi="宋体" w:eastAsia="宋体" w:cs="宋体"/>
                <w:szCs w:val="21"/>
              </w:rPr>
              <w:t>分；</w:t>
            </w:r>
          </w:p>
          <w:p>
            <w:pPr>
              <w:rPr>
                <w:rFonts w:ascii="宋体" w:hAnsi="宋体" w:eastAsia="宋体" w:cs="宋体"/>
                <w:szCs w:val="21"/>
              </w:rPr>
            </w:pPr>
            <w:r>
              <w:rPr>
                <w:rFonts w:hint="eastAsia" w:ascii="宋体" w:hAnsi="宋体" w:eastAsia="宋体" w:cs="宋体"/>
                <w:szCs w:val="21"/>
              </w:rPr>
              <w:t>措施相对有效但不够及时</w:t>
            </w:r>
            <w:r>
              <w:rPr>
                <w:rFonts w:hint="eastAsia" w:ascii="宋体" w:hAnsi="宋体" w:cs="宋体"/>
                <w:szCs w:val="21"/>
              </w:rPr>
              <w:t>计1.0-2</w:t>
            </w:r>
            <w:r>
              <w:rPr>
                <w:rFonts w:hint="eastAsia" w:ascii="宋体" w:hAnsi="宋体" w:eastAsia="宋体" w:cs="宋体"/>
                <w:szCs w:val="21"/>
              </w:rPr>
              <w:t>分；</w:t>
            </w:r>
          </w:p>
          <w:p>
            <w:pPr>
              <w:rPr>
                <w:rFonts w:ascii="宋体" w:hAnsi="宋体" w:eastAsia="宋体" w:cs="宋体"/>
                <w:szCs w:val="21"/>
              </w:rPr>
            </w:pPr>
            <w:r>
              <w:rPr>
                <w:rFonts w:hint="eastAsia" w:ascii="宋体" w:hAnsi="宋体" w:eastAsia="宋体" w:cs="宋体"/>
                <w:szCs w:val="21"/>
              </w:rPr>
              <w:t>未提供不得分；</w:t>
            </w:r>
          </w:p>
          <w:p>
            <w:pPr>
              <w:jc w:val="left"/>
              <w:rPr>
                <w:rFonts w:hAnsi="宋体"/>
                <w:color w:val="000000" w:themeColor="text1"/>
                <w:szCs w:val="21"/>
                <w14:textFill>
                  <w14:solidFill>
                    <w14:schemeClr w14:val="tx1"/>
                  </w14:solidFill>
                </w14:textFill>
              </w:rPr>
            </w:pPr>
            <w:r>
              <w:rPr>
                <w:rFonts w:hint="eastAsia" w:hAnsi="宋体"/>
                <w:b/>
                <w:bCs/>
                <w:szCs w:val="21"/>
                <w:lang w:val="zh-CN"/>
              </w:rPr>
              <w:t>评审依据：</w:t>
            </w:r>
            <w:r>
              <w:rPr>
                <w:rFonts w:hint="eastAsia" w:hAnsi="宋体"/>
                <w:szCs w:val="21"/>
                <w:lang w:val="zh-CN"/>
              </w:rPr>
              <w:t>提供售后服务及培训方案，</w:t>
            </w:r>
            <w:r>
              <w:rPr>
                <w:rFonts w:hint="eastAsia" w:hAnsi="宋体"/>
                <w:szCs w:val="21"/>
              </w:rPr>
              <w:t>售后服务机构专职人员名单及相关行业从业资历，本行业内的技术</w:t>
            </w:r>
            <w:r>
              <w:rPr>
                <w:rFonts w:hint="eastAsia" w:hAnsi="宋体"/>
                <w:szCs w:val="21"/>
                <w:lang w:val="zh-CN"/>
              </w:rPr>
              <w:t>证书</w:t>
            </w:r>
            <w:r>
              <w:rPr>
                <w:rFonts w:hint="eastAsia" w:hAnsi="宋体"/>
                <w:szCs w:val="21"/>
              </w:rPr>
              <w:t xml:space="preserve">及相关证明材料等资料（复印件加盖公章）。  </w:t>
            </w:r>
          </w:p>
        </w:tc>
        <w:tc>
          <w:tcPr>
            <w:tcW w:w="1009" w:type="dxa"/>
            <w:vAlign w:val="center"/>
          </w:tcPr>
          <w:p>
            <w:pPr>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878" w:type="dxa"/>
            <w:vMerge w:val="continue"/>
            <w:vAlign w:val="center"/>
          </w:tcPr>
          <w:p>
            <w:pPr>
              <w:jc w:val="center"/>
              <w:rPr>
                <w:rFonts w:hAnsi="宋体"/>
                <w:szCs w:val="21"/>
              </w:rPr>
            </w:pPr>
          </w:p>
        </w:tc>
        <w:tc>
          <w:tcPr>
            <w:tcW w:w="782" w:type="dxa"/>
            <w:vAlign w:val="center"/>
          </w:tcPr>
          <w:p>
            <w:pPr>
              <w:jc w:val="center"/>
              <w:rPr>
                <w:rFonts w:hAnsi="宋体"/>
                <w:szCs w:val="21"/>
              </w:rPr>
            </w:pPr>
          </w:p>
          <w:p>
            <w:pPr>
              <w:jc w:val="center"/>
              <w:rPr>
                <w:rFonts w:hAnsi="宋体"/>
                <w:szCs w:val="21"/>
              </w:rPr>
            </w:pPr>
            <w:r>
              <w:rPr>
                <w:rFonts w:hint="eastAsia" w:hAnsi="宋体"/>
                <w:szCs w:val="21"/>
              </w:rPr>
              <w:t>商务</w:t>
            </w:r>
          </w:p>
          <w:p>
            <w:pPr>
              <w:jc w:val="center"/>
              <w:rPr>
                <w:rFonts w:hAnsi="宋体"/>
                <w:szCs w:val="21"/>
              </w:rPr>
            </w:pPr>
            <w:r>
              <w:rPr>
                <w:rFonts w:hint="eastAsia" w:hAnsi="宋体"/>
                <w:szCs w:val="21"/>
              </w:rPr>
              <w:t>响应</w:t>
            </w:r>
          </w:p>
          <w:p>
            <w:pPr>
              <w:jc w:val="center"/>
              <w:rPr>
                <w:rFonts w:hAnsi="宋体"/>
                <w:bCs/>
                <w:szCs w:val="21"/>
              </w:rPr>
            </w:pPr>
          </w:p>
        </w:tc>
        <w:tc>
          <w:tcPr>
            <w:tcW w:w="686" w:type="dxa"/>
            <w:vAlign w:val="center"/>
          </w:tcPr>
          <w:p>
            <w:pPr>
              <w:rPr>
                <w:rFonts w:hAnsi="宋体"/>
                <w:szCs w:val="21"/>
              </w:rPr>
            </w:pPr>
            <w:r>
              <w:rPr>
                <w:rFonts w:hint="eastAsia" w:hAnsi="宋体"/>
                <w:szCs w:val="21"/>
              </w:rPr>
              <w:t>4分</w:t>
            </w:r>
          </w:p>
        </w:tc>
        <w:tc>
          <w:tcPr>
            <w:tcW w:w="5484" w:type="dxa"/>
            <w:vAlign w:val="center"/>
          </w:tcPr>
          <w:p>
            <w:pPr>
              <w:rPr>
                <w:rFonts w:hAnsi="宋体"/>
                <w:b/>
                <w:bCs/>
                <w:szCs w:val="21"/>
                <w:lang w:val="zh-CN"/>
              </w:rPr>
            </w:pPr>
            <w:r>
              <w:rPr>
                <w:rFonts w:hint="eastAsia" w:hAnsi="宋体"/>
                <w:szCs w:val="21"/>
              </w:rPr>
              <w:t>投标文件完全满足招标文件商务要求并有相应商务响应说明得1分；</w:t>
            </w:r>
            <w:r>
              <w:rPr>
                <w:rFonts w:hint="eastAsia" w:hAnsi="宋体"/>
                <w:szCs w:val="21"/>
                <w:lang w:val="zh-CN"/>
              </w:rPr>
              <w:t>交货</w:t>
            </w:r>
            <w:r>
              <w:rPr>
                <w:rFonts w:hint="eastAsia" w:hAnsi="宋体"/>
                <w:szCs w:val="21"/>
              </w:rPr>
              <w:t>期优于招标文件要求的加1分，</w:t>
            </w:r>
            <w:r>
              <w:rPr>
                <w:rFonts w:hint="eastAsia" w:hAnsi="宋体"/>
                <w:szCs w:val="21"/>
                <w:lang w:val="zh-CN"/>
              </w:rPr>
              <w:t>质保</w:t>
            </w:r>
            <w:r>
              <w:rPr>
                <w:rFonts w:hint="eastAsia" w:hAnsi="宋体"/>
                <w:szCs w:val="21"/>
              </w:rPr>
              <w:t>期每增加1年原厂质保加1分，最多加2分。</w:t>
            </w:r>
          </w:p>
        </w:tc>
        <w:tc>
          <w:tcPr>
            <w:tcW w:w="1009" w:type="dxa"/>
            <w:vAlign w:val="center"/>
          </w:tcPr>
          <w:p>
            <w:pPr>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878" w:type="dxa"/>
            <w:vMerge w:val="continue"/>
            <w:vAlign w:val="center"/>
          </w:tcPr>
          <w:p>
            <w:pPr>
              <w:jc w:val="center"/>
              <w:rPr>
                <w:rFonts w:hAnsi="宋体"/>
                <w:szCs w:val="21"/>
              </w:rPr>
            </w:pPr>
          </w:p>
        </w:tc>
        <w:tc>
          <w:tcPr>
            <w:tcW w:w="782" w:type="dxa"/>
            <w:vAlign w:val="center"/>
          </w:tcPr>
          <w:p>
            <w:pPr>
              <w:jc w:val="center"/>
              <w:rPr>
                <w:rFonts w:hAnsi="宋体"/>
                <w:szCs w:val="21"/>
              </w:rPr>
            </w:pPr>
            <w:r>
              <w:rPr>
                <w:rFonts w:hint="eastAsia" w:hAnsi="宋体"/>
                <w:szCs w:val="21"/>
              </w:rPr>
              <w:t>业绩</w:t>
            </w:r>
          </w:p>
          <w:p>
            <w:pPr>
              <w:jc w:val="center"/>
              <w:rPr>
                <w:rFonts w:hAnsi="宋体"/>
                <w:bCs/>
                <w:szCs w:val="21"/>
              </w:rPr>
            </w:pPr>
          </w:p>
        </w:tc>
        <w:tc>
          <w:tcPr>
            <w:tcW w:w="686" w:type="dxa"/>
            <w:vAlign w:val="center"/>
          </w:tcPr>
          <w:p>
            <w:pPr>
              <w:rPr>
                <w:rFonts w:hAnsi="宋体" w:eastAsia="宋体"/>
                <w:szCs w:val="21"/>
              </w:rPr>
            </w:pPr>
            <w:r>
              <w:rPr>
                <w:rFonts w:hint="eastAsia" w:hAnsi="宋体"/>
                <w:szCs w:val="21"/>
              </w:rPr>
              <w:t>5分</w:t>
            </w:r>
          </w:p>
        </w:tc>
        <w:tc>
          <w:tcPr>
            <w:tcW w:w="5484" w:type="dxa"/>
            <w:vAlign w:val="center"/>
          </w:tcPr>
          <w:p>
            <w:pPr>
              <w:rPr>
                <w:rFonts w:hAnsi="宋体" w:cs="宋体"/>
                <w:szCs w:val="21"/>
              </w:rPr>
            </w:pPr>
            <w:r>
              <w:rPr>
                <w:rFonts w:hint="eastAsia" w:hAnsi="宋体" w:cs="宋体"/>
                <w:szCs w:val="21"/>
              </w:rPr>
              <w:t>提供投标人2019年1月1日至今同类项目的业绩合同（以合同签订时间为准），一个业绩计1分，最高5分。</w:t>
            </w:r>
          </w:p>
          <w:p>
            <w:pPr>
              <w:pStyle w:val="2"/>
              <w:rPr>
                <w:rFonts w:hint="default"/>
              </w:rPr>
            </w:pPr>
            <w:r>
              <w:rPr>
                <w:rFonts w:hAnsi="宋体" w:cs="宋体"/>
                <w:sz w:val="21"/>
                <w:szCs w:val="21"/>
              </w:rPr>
              <w:t>备注：同类业绩指实验室设备类业绩。</w:t>
            </w:r>
          </w:p>
          <w:p>
            <w:pPr>
              <w:rPr>
                <w:rFonts w:hAnsi="宋体"/>
                <w:szCs w:val="21"/>
              </w:rPr>
            </w:pPr>
            <w:r>
              <w:rPr>
                <w:rFonts w:hint="eastAsia" w:hAnsi="宋体"/>
                <w:b/>
                <w:bCs/>
                <w:szCs w:val="21"/>
              </w:rPr>
              <w:t>评审依据：</w:t>
            </w:r>
            <w:r>
              <w:rPr>
                <w:rFonts w:hint="eastAsia" w:hAnsi="宋体" w:cs="宋体"/>
                <w:szCs w:val="21"/>
              </w:rPr>
              <w:t>投标文件中</w:t>
            </w:r>
            <w:r>
              <w:rPr>
                <w:rFonts w:hint="eastAsia"/>
              </w:rPr>
              <w:t>须提供业绩合同证明材料复印件加盖公章，含合同关键页（即合同首页、合同标的物、合同金额页及双方签字盖章页），</w:t>
            </w:r>
            <w:r>
              <w:rPr>
                <w:rFonts w:hint="eastAsia"/>
                <w:b/>
                <w:bCs/>
              </w:rPr>
              <w:t>以合同签订时间为准，复印件清晰可辨</w:t>
            </w:r>
            <w:r>
              <w:rPr>
                <w:rFonts w:hint="eastAsia" w:hAnsi="宋体"/>
                <w:b/>
                <w:bCs/>
                <w:szCs w:val="21"/>
              </w:rPr>
              <w:t xml:space="preserve">。 </w:t>
            </w:r>
          </w:p>
        </w:tc>
        <w:tc>
          <w:tcPr>
            <w:tcW w:w="1009" w:type="dxa"/>
            <w:vAlign w:val="center"/>
          </w:tcPr>
          <w:p>
            <w:pPr>
              <w:rPr>
                <w:rFonts w:hAnsi="宋体"/>
                <w:szCs w:val="21"/>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78" w:type="dxa"/>
            <w:vAlign w:val="center"/>
          </w:tcPr>
          <w:p>
            <w:pPr>
              <w:rPr>
                <w:rFonts w:hAnsi="宋体"/>
                <w:szCs w:val="21"/>
              </w:rPr>
            </w:pPr>
            <w:r>
              <w:rPr>
                <w:rFonts w:hint="eastAsia" w:hAnsi="宋体"/>
                <w:szCs w:val="21"/>
              </w:rPr>
              <w:t>备注</w:t>
            </w:r>
          </w:p>
        </w:tc>
        <w:tc>
          <w:tcPr>
            <w:tcW w:w="7961" w:type="dxa"/>
            <w:gridSpan w:val="4"/>
          </w:tcPr>
          <w:p>
            <w:pPr>
              <w:rPr>
                <w:rFonts w:hAnsi="宋体"/>
                <w:szCs w:val="21"/>
              </w:rPr>
            </w:pPr>
            <w:r>
              <w:rPr>
                <w:rFonts w:hint="eastAsia" w:hAnsi="宋体"/>
                <w:szCs w:val="21"/>
              </w:rPr>
              <w:t>1）各评委独立打分。</w:t>
            </w:r>
          </w:p>
          <w:p>
            <w:pPr>
              <w:rPr>
                <w:rFonts w:hAnsi="宋体"/>
                <w:szCs w:val="21"/>
              </w:rPr>
            </w:pPr>
            <w:r>
              <w:rPr>
                <w:rFonts w:hint="eastAsia" w:hAnsi="宋体"/>
                <w:szCs w:val="21"/>
              </w:rPr>
              <w:t>2）评委打分超过得分界限或未按本表规定赋分时，该评委的打分无效，不计入汇总分。</w:t>
            </w:r>
          </w:p>
          <w:p>
            <w:pPr>
              <w:rPr>
                <w:rFonts w:hAnsi="宋体"/>
                <w:szCs w:val="21"/>
              </w:rPr>
            </w:pPr>
            <w:r>
              <w:rPr>
                <w:rFonts w:hint="eastAsia" w:hAnsi="宋体"/>
                <w:szCs w:val="21"/>
              </w:rPr>
              <w:t>3）若出现综合得分相同的，按投标报价由低到高顺序排列名次；得分且投标报价相同的，按技术指标得分顺序排列名次。</w:t>
            </w:r>
          </w:p>
          <w:p>
            <w:pPr>
              <w:rPr>
                <w:rFonts w:hAnsi="宋体"/>
                <w:szCs w:val="21"/>
              </w:rPr>
            </w:pPr>
            <w:r>
              <w:rPr>
                <w:rFonts w:hint="eastAsia" w:hAnsi="宋体"/>
                <w:szCs w:val="21"/>
              </w:rPr>
              <w:t>4）最终结果数字保留二位小数，不进行四舍五入。</w:t>
            </w:r>
          </w:p>
        </w:tc>
      </w:tr>
    </w:tbl>
    <w:p>
      <w:pPr>
        <w:pStyle w:val="19"/>
        <w:ind w:firstLine="0" w:firstLineChars="0"/>
        <w:rPr>
          <w:rFonts w:asciiTheme="minorEastAsia" w:hAnsiTheme="minorEastAsia" w:cstheme="minorEastAsia"/>
          <w:sz w:val="24"/>
          <w:szCs w:val="24"/>
        </w:rPr>
      </w:pPr>
    </w:p>
    <w:p>
      <w:pPr>
        <w:ind w:firstLine="240" w:firstLineChars="100"/>
        <w:rPr>
          <w:rFonts w:ascii="宋体" w:hAnsi="宋体" w:cs="宋体"/>
          <w:sz w:val="24"/>
          <w:szCs w:val="24"/>
        </w:rPr>
      </w:pPr>
      <w:r>
        <w:rPr>
          <w:rFonts w:hint="eastAsia" w:ascii="宋体" w:hAnsi="宋体" w:cs="宋体"/>
          <w:sz w:val="24"/>
          <w:szCs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根据《政府采购促进中小企业发展管理办法》（</w:t>
      </w:r>
      <w:r>
        <w:rPr>
          <w:rFonts w:hint="eastAsia" w:ascii="宋体" w:hAnsi="宋体"/>
          <w:spacing w:val="6"/>
          <w:sz w:val="24"/>
        </w:rPr>
        <w:t>财库[2020]46号</w:t>
      </w:r>
      <w:r>
        <w:rPr>
          <w:rFonts w:hint="eastAsia" w:ascii="宋体" w:hAnsi="宋体" w:cs="宋体"/>
          <w:sz w:val="24"/>
          <w:szCs w:val="24"/>
        </w:rPr>
        <w:t>）的规定，对于非专门面向中小企业的项目，对小型和微型企业产品的价格给予10</w:t>
      </w:r>
      <w:r>
        <w:rPr>
          <w:rFonts w:ascii="宋体" w:hAnsi="宋体" w:cs="宋体"/>
          <w:sz w:val="24"/>
          <w:szCs w:val="24"/>
        </w:rPr>
        <w:t>%</w:t>
      </w:r>
      <w:r>
        <w:rPr>
          <w:rFonts w:hint="eastAsia" w:ascii="宋体" w:hAnsi="宋体" w:cs="宋体"/>
          <w:sz w:val="24"/>
          <w:szCs w:val="24"/>
        </w:rPr>
        <w:t>的扣除，用扣除后的价格参与评审；投标人可在投标文件中提供小型和微型企业声明，具体格式详见附件。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环境标志产品政府采购执行机制的通知》（财库〔2019〕9号），及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rPr>
          <w:sz w:val="24"/>
          <w:szCs w:val="24"/>
        </w:rPr>
        <w:sectPr>
          <w:pgSz w:w="11900" w:h="16840"/>
          <w:pgMar w:top="1440" w:right="1800" w:bottom="1440" w:left="1800" w:header="851" w:footer="992" w:gutter="0"/>
          <w:cols w:space="425" w:num="1"/>
          <w:docGrid w:type="lines" w:linePitch="312" w:charSpace="0"/>
        </w:sectPr>
      </w:pPr>
    </w:p>
    <w:p>
      <w:pPr>
        <w:pStyle w:val="3"/>
        <w:pageBreakBefore/>
        <w:tabs>
          <w:tab w:val="left" w:pos="1290"/>
        </w:tabs>
        <w:spacing w:before="381" w:beforeLines="100" w:after="381" w:afterLines="100" w:line="500" w:lineRule="exact"/>
        <w:jc w:val="center"/>
        <w:rPr>
          <w:rFonts w:asciiTheme="minorEastAsia" w:hAnsiTheme="minorEastAsia" w:eastAsiaTheme="minorEastAsia" w:cstheme="minorEastAsia"/>
          <w:sz w:val="36"/>
          <w:szCs w:val="36"/>
        </w:rPr>
      </w:pPr>
      <w:bookmarkStart w:id="89" w:name="_Toc15136"/>
      <w:bookmarkStart w:id="90" w:name="_Toc975"/>
      <w:bookmarkStart w:id="91" w:name="_Toc19586"/>
      <w:bookmarkStart w:id="92" w:name="_Toc473"/>
      <w:r>
        <w:rPr>
          <w:rFonts w:hint="eastAsia" w:asciiTheme="minorEastAsia" w:hAnsiTheme="minorEastAsia" w:eastAsiaTheme="minorEastAsia" w:cstheme="minorEastAsia"/>
          <w:sz w:val="36"/>
          <w:szCs w:val="36"/>
        </w:rPr>
        <w:t>第五部分  采购要求</w:t>
      </w:r>
      <w:bookmarkEnd w:id="89"/>
      <w:bookmarkEnd w:id="90"/>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一、商务要求</w:t>
      </w:r>
    </w:p>
    <w:p>
      <w:pPr>
        <w:spacing w:line="360" w:lineRule="auto"/>
        <w:ind w:right="58" w:rightChars="27" w:firstLine="49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1、项目名称：</w:t>
      </w:r>
      <w:r>
        <w:rPr>
          <w:rFonts w:hint="eastAsia" w:asciiTheme="minorEastAsia" w:hAnsiTheme="minorEastAsia" w:cstheme="minorEastAsia"/>
          <w:bCs/>
          <w:sz w:val="24"/>
          <w:szCs w:val="24"/>
          <w:lang w:eastAsia="zh-CN"/>
        </w:rPr>
        <w:t>西安医学院基本教学实验设备补充更新项目（二次）</w:t>
      </w:r>
      <w:r>
        <w:rPr>
          <w:rFonts w:hint="eastAsia" w:asciiTheme="minorEastAsia" w:hAnsiTheme="minorEastAsia" w:cstheme="minorEastAsia"/>
          <w:bCs/>
          <w:sz w:val="24"/>
          <w:szCs w:val="24"/>
        </w:rPr>
        <w:t xml:space="preserve">                                                 </w:t>
      </w:r>
    </w:p>
    <w:p>
      <w:pPr>
        <w:tabs>
          <w:tab w:val="left" w:pos="420"/>
        </w:tabs>
        <w:spacing w:line="360" w:lineRule="auto"/>
        <w:ind w:firstLine="490" w:firstLineChars="200"/>
        <w:rPr>
          <w:rFonts w:asciiTheme="minorEastAsia" w:hAnsiTheme="minorEastAsia" w:cstheme="minorEastAsia"/>
          <w:bCs/>
          <w:sz w:val="24"/>
          <w:szCs w:val="24"/>
          <w:highlight w:val="yellow"/>
        </w:rPr>
      </w:pPr>
      <w:r>
        <w:rPr>
          <w:rFonts w:hint="eastAsia" w:ascii="宋体" w:hAnsi="宋体" w:cs="宋体"/>
          <w:sz w:val="24"/>
          <w:szCs w:val="24"/>
        </w:rPr>
        <w:t xml:space="preserve">2、交货期：自合同签订之日起60日历日；   </w:t>
      </w:r>
      <w:r>
        <w:rPr>
          <w:rFonts w:hint="eastAsia" w:asciiTheme="minorEastAsia" w:hAnsiTheme="minorEastAsia" w:cstheme="minorEastAsia"/>
          <w:bCs/>
          <w:sz w:val="24"/>
          <w:szCs w:val="24"/>
        </w:rPr>
        <w:t xml:space="preserve">                           </w:t>
      </w:r>
    </w:p>
    <w:p>
      <w:pPr>
        <w:widowControl/>
        <w:spacing w:line="360" w:lineRule="auto"/>
        <w:ind w:right="58" w:rightChars="27" w:firstLine="490" w:firstLineChars="200"/>
        <w:jc w:val="left"/>
        <w:rPr>
          <w:rFonts w:asciiTheme="minorEastAsia" w:hAnsiTheme="minorEastAsia" w:cstheme="minorEastAsia"/>
          <w:bCs/>
          <w:sz w:val="24"/>
          <w:szCs w:val="24"/>
          <w:highlight w:val="yellow"/>
        </w:rPr>
      </w:pPr>
      <w:r>
        <w:rPr>
          <w:rFonts w:hint="eastAsia" w:asciiTheme="minorEastAsia" w:hAnsiTheme="minorEastAsia" w:cstheme="minorEastAsia"/>
          <w:bCs/>
          <w:sz w:val="24"/>
          <w:szCs w:val="24"/>
        </w:rPr>
        <w:t>3、质保期：</w:t>
      </w:r>
      <w:r>
        <w:rPr>
          <w:rFonts w:hint="eastAsia" w:ascii="宋体" w:hAnsi="宋体" w:cs="宋体"/>
          <w:sz w:val="24"/>
          <w:szCs w:val="24"/>
        </w:rPr>
        <w:t>验收合格后2年；</w:t>
      </w:r>
    </w:p>
    <w:p>
      <w:pPr>
        <w:widowControl/>
        <w:spacing w:line="360" w:lineRule="auto"/>
        <w:ind w:right="58" w:rightChars="27" w:firstLine="490" w:firstLineChars="200"/>
        <w:jc w:val="left"/>
        <w:rPr>
          <w:rFonts w:asciiTheme="minorEastAsia" w:hAnsiTheme="minorEastAsia" w:cstheme="minorEastAsia"/>
          <w:bCs/>
          <w:sz w:val="24"/>
          <w:szCs w:val="24"/>
        </w:rPr>
      </w:pPr>
      <w:r>
        <w:rPr>
          <w:rFonts w:hint="eastAsia" w:asciiTheme="minorEastAsia" w:hAnsiTheme="minorEastAsia" w:cstheme="minorEastAsia"/>
          <w:bCs/>
          <w:sz w:val="24"/>
          <w:szCs w:val="24"/>
        </w:rPr>
        <w:t>4、交货地点：西安医学院指定地点；</w:t>
      </w:r>
    </w:p>
    <w:p>
      <w:pPr>
        <w:spacing w:line="360" w:lineRule="auto"/>
        <w:ind w:right="58" w:rightChars="27" w:firstLine="49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5、其他商务要求：详见第六部分合同条款。</w:t>
      </w:r>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二、技术要求</w:t>
      </w:r>
    </w:p>
    <w:p>
      <w:pPr>
        <w:pStyle w:val="5"/>
        <w:rPr>
          <w:rFonts w:hint="eastAsia" w:eastAsiaTheme="minorEastAsia"/>
          <w:lang w:eastAsia="zh-CN"/>
        </w:rPr>
      </w:pPr>
      <w:r>
        <w:rPr>
          <w:rFonts w:hint="eastAsia"/>
        </w:rPr>
        <w:t>1、拟购置设备类清单：</w:t>
      </w:r>
      <w:r>
        <w:rPr>
          <w:rFonts w:hint="eastAsia"/>
          <w:lang w:eastAsia="zh-CN"/>
        </w:rPr>
        <w:t>（采购预算：</w:t>
      </w:r>
      <w:r>
        <w:rPr>
          <w:rFonts w:hint="eastAsia" w:ascii="宋体" w:hAnsi="宋体" w:eastAsia="宋体" w:cs="宋体"/>
          <w:b/>
          <w:color w:val="000000" w:themeColor="text1"/>
          <w:sz w:val="28"/>
          <w:szCs w:val="28"/>
          <w14:textFill>
            <w14:solidFill>
              <w14:schemeClr w14:val="tx1"/>
            </w14:solidFill>
          </w14:textFill>
        </w:rPr>
        <w:t>43515</w:t>
      </w:r>
      <w:r>
        <w:rPr>
          <w:rFonts w:hint="eastAsia" w:ascii="宋体" w:hAnsi="宋体" w:eastAsia="宋体" w:cs="宋体"/>
          <w:b/>
          <w:color w:val="000000" w:themeColor="text1"/>
          <w:sz w:val="28"/>
          <w:szCs w:val="28"/>
          <w:lang w:val="en-US" w:eastAsia="zh-CN"/>
          <w14:textFill>
            <w14:solidFill>
              <w14:schemeClr w14:val="tx1"/>
            </w14:solidFill>
          </w14:textFill>
        </w:rPr>
        <w:t>0.00</w:t>
      </w:r>
      <w:r>
        <w:rPr>
          <w:rFonts w:hint="eastAsia" w:ascii="宋体" w:hAnsi="宋体" w:eastAsia="宋体" w:cs="宋体"/>
          <w:b/>
          <w:color w:val="000000" w:themeColor="text1"/>
          <w:sz w:val="28"/>
          <w:szCs w:val="28"/>
          <w14:textFill>
            <w14:solidFill>
              <w14:schemeClr w14:val="tx1"/>
            </w14:solidFill>
          </w14:textFill>
        </w:rPr>
        <w:t>元</w:t>
      </w:r>
      <w:r>
        <w:rPr>
          <w:rFonts w:hint="eastAsia"/>
          <w:lang w:eastAsia="zh-CN"/>
        </w:rPr>
        <w:t>）</w:t>
      </w:r>
    </w:p>
    <w:bookmarkEnd w:id="91"/>
    <w:tbl>
      <w:tblPr>
        <w:tblStyle w:val="21"/>
        <w:tblW w:w="85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3"/>
        <w:gridCol w:w="2129"/>
        <w:gridCol w:w="3776"/>
        <w:gridCol w:w="818"/>
        <w:gridCol w:w="12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3" w:hRule="atLeast"/>
          <w:jc w:val="center"/>
        </w:trPr>
        <w:tc>
          <w:tcPr>
            <w:tcW w:w="593" w:type="dxa"/>
            <w:vAlign w:val="center"/>
          </w:tcPr>
          <w:p>
            <w:pPr>
              <w:jc w:val="center"/>
              <w:rPr>
                <w:rFonts w:ascii="Times New Roman" w:hAnsi="Times New Roman" w:eastAsia="宋体" w:cs="Times New Roman"/>
                <w:szCs w:val="21"/>
              </w:rPr>
            </w:pPr>
            <w:bookmarkStart w:id="93" w:name="_Toc8618"/>
            <w:r>
              <w:rPr>
                <w:rFonts w:ascii="Times New Roman" w:hAnsi="Times New Roman" w:eastAsia="宋体" w:cs="Times New Roman"/>
                <w:szCs w:val="21"/>
              </w:rPr>
              <w:t>序号</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设备名称</w:t>
            </w:r>
          </w:p>
        </w:tc>
        <w:tc>
          <w:tcPr>
            <w:tcW w:w="37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技术指标及要求</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221" w:type="dxa"/>
            <w:tcBorders>
              <w:left w:val="single" w:color="auto" w:sz="4" w:space="0"/>
            </w:tcBorders>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备注</w:t>
            </w:r>
          </w:p>
          <w:p>
            <w:pPr>
              <w:jc w:val="center"/>
              <w:rPr>
                <w:rFonts w:ascii="Times New Roman" w:hAnsi="Times New Roman" w:eastAsia="宋体" w:cs="Times New Roman"/>
                <w:szCs w:val="21"/>
              </w:rPr>
            </w:pPr>
            <w:r>
              <w:rPr>
                <w:rFonts w:ascii="Times New Roman" w:hAnsi="Times New Roman" w:eastAsia="宋体" w:cs="Times New Roman"/>
                <w:szCs w:val="21"/>
              </w:rPr>
              <w:t>（新增、补充或更新）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鼓风干燥箱</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1.容积：≥140L；</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2.电源：220V，50HZ，≥1800W；</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3.不锈钢内胆；带观察窗；</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4.温控范围：室温+10～300℃；</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5.温度分辨率：≤0.1℃；</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6.内胆尺寸：</w:t>
            </w:r>
            <w:r>
              <w:rPr>
                <w:rFonts w:hint="eastAsia" w:ascii="Times New Roman" w:hAnsi="Times New Roman" w:eastAsia="宋体" w:cs="Times New Roman"/>
                <w:szCs w:val="21"/>
              </w:rPr>
              <w:t>≥</w:t>
            </w:r>
            <w:r>
              <w:rPr>
                <w:rFonts w:ascii="Times New Roman" w:hAnsi="Times New Roman" w:eastAsia="宋体" w:cs="Times New Roman"/>
                <w:szCs w:val="21"/>
              </w:rPr>
              <w:t>550×450×550mm。</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更新，更换升级老旧设备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4"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真空干燥箱</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1.容积：≥50L；</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2.电源：220V，50HZ，≥700W；</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3.不锈钢内胆；带观察窗；</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4.温控范围：室温+10～200℃；</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5.温度分辨率：≤±0.1℃；</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6.内胆尺寸：</w:t>
            </w:r>
            <w:r>
              <w:rPr>
                <w:rFonts w:hint="eastAsia" w:ascii="Times New Roman" w:hAnsi="Times New Roman" w:eastAsia="宋体" w:cs="Times New Roman"/>
                <w:szCs w:val="21"/>
              </w:rPr>
              <w:t>≥</w:t>
            </w:r>
            <w:r>
              <w:rPr>
                <w:rFonts w:ascii="Times New Roman" w:hAnsi="Times New Roman" w:eastAsia="宋体" w:cs="Times New Roman"/>
                <w:szCs w:val="21"/>
              </w:rPr>
              <w:t>420×350×350mm；</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7.隔板：2块；</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8.真空度：＜</w:t>
            </w:r>
            <w:r>
              <w:rPr>
                <w:rFonts w:hint="eastAsia" w:ascii="Times New Roman" w:hAnsi="Times New Roman" w:eastAsia="宋体" w:cs="Times New Roman"/>
                <w:szCs w:val="21"/>
              </w:rPr>
              <w:t>135</w:t>
            </w:r>
            <w:r>
              <w:rPr>
                <w:rFonts w:ascii="Times New Roman" w:hAnsi="Times New Roman" w:eastAsia="宋体" w:cs="Times New Roman"/>
                <w:szCs w:val="21"/>
              </w:rPr>
              <w:t>Pa。</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9.每套配</w:t>
            </w:r>
            <w:r>
              <w:rPr>
                <w:rFonts w:hint="eastAsia" w:ascii="Times New Roman" w:hAnsi="Times New Roman" w:eastAsia="宋体" w:cs="Times New Roman"/>
                <w:szCs w:val="21"/>
              </w:rPr>
              <w:t>隔膜泵</w:t>
            </w:r>
            <w:r>
              <w:rPr>
                <w:rFonts w:ascii="Times New Roman" w:hAnsi="Times New Roman" w:eastAsia="宋体" w:cs="Times New Roman"/>
                <w:szCs w:val="21"/>
              </w:rPr>
              <w:t>及真空管</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隔膜真空泵</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1.气体接触的部位</w:t>
            </w:r>
            <w:r>
              <w:rPr>
                <w:rFonts w:hint="eastAsia" w:ascii="Times New Roman" w:hAnsi="Times New Roman" w:eastAsia="宋体" w:cs="Times New Roman"/>
                <w:szCs w:val="21"/>
              </w:rPr>
              <w:t>经</w:t>
            </w:r>
            <w:r>
              <w:rPr>
                <w:rFonts w:ascii="Times New Roman" w:hAnsi="Times New Roman" w:eastAsia="宋体" w:cs="Times New Roman"/>
                <w:szCs w:val="21"/>
              </w:rPr>
              <w:t>表面处理，有完全的抗化学腐蚀能力；</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2.路间增加过滤器和进气口分离瓶，防止固体颗粒和液态水进入泵体；</w:t>
            </w:r>
          </w:p>
          <w:p>
            <w:pPr>
              <w:tabs>
                <w:tab w:val="left" w:pos="312"/>
              </w:tabs>
              <w:adjustRightInd w:val="0"/>
              <w:snapToGrid w:val="0"/>
              <w:rPr>
                <w:rFonts w:ascii="Times New Roman" w:hAnsi="Times New Roman" w:eastAsia="宋体" w:cs="Times New Roman"/>
                <w:szCs w:val="21"/>
              </w:rPr>
            </w:pPr>
            <w:r>
              <w:rPr>
                <w:rFonts w:ascii="Times New Roman" w:hAnsi="Times New Roman" w:eastAsia="宋体" w:cs="Times New Roman"/>
                <w:szCs w:val="21"/>
              </w:rPr>
              <w:t>3.EEK材质阀片，特氟隆材质隔膜，有效防止气体腐蚀；</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4.有真空调节装置，可根据实验需要调节真空指标，带消音器，可降低噪音；</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5.功率：约</w:t>
            </w:r>
            <w:r>
              <w:rPr>
                <w:rFonts w:hint="eastAsia" w:ascii="Times New Roman" w:hAnsi="Times New Roman" w:eastAsia="宋体" w:cs="Times New Roman"/>
                <w:szCs w:val="21"/>
              </w:rPr>
              <w:t>100~200</w:t>
            </w:r>
            <w:r>
              <w:rPr>
                <w:rFonts w:ascii="Times New Roman" w:hAnsi="Times New Roman" w:eastAsia="宋体" w:cs="Times New Roman"/>
                <w:szCs w:val="21"/>
              </w:rPr>
              <w:t>W</w:t>
            </w:r>
            <w:r>
              <w:rPr>
                <w:rFonts w:hint="eastAsia" w:ascii="Times New Roman" w:hAnsi="Times New Roman" w:eastAsia="宋体" w:cs="Times New Roman"/>
                <w:szCs w:val="21"/>
              </w:rPr>
              <w:t>；</w:t>
            </w:r>
            <w:r>
              <w:rPr>
                <w:rFonts w:ascii="Times New Roman" w:hAnsi="Times New Roman" w:eastAsia="宋体" w:cs="Times New Roman"/>
                <w:szCs w:val="21"/>
              </w:rPr>
              <w:t>转速:约1300</w:t>
            </w:r>
            <w:r>
              <w:rPr>
                <w:rFonts w:hint="eastAsia" w:ascii="Times New Roman" w:hAnsi="Times New Roman" w:eastAsia="宋体" w:cs="Times New Roman"/>
                <w:szCs w:val="21"/>
              </w:rPr>
              <w:t>~1400</w:t>
            </w:r>
            <w:r>
              <w:rPr>
                <w:rFonts w:ascii="Times New Roman" w:hAnsi="Times New Roman" w:eastAsia="宋体" w:cs="Times New Roman"/>
                <w:szCs w:val="21"/>
              </w:rPr>
              <w:t xml:space="preserve"> rpm</w:t>
            </w:r>
            <w:r>
              <w:rPr>
                <w:rFonts w:hint="eastAsia" w:ascii="Times New Roman" w:hAnsi="Times New Roman" w:eastAsia="宋体" w:cs="Times New Roman"/>
                <w:szCs w:val="21"/>
              </w:rPr>
              <w:t>；</w:t>
            </w:r>
            <w:r>
              <w:rPr>
                <w:rFonts w:ascii="Times New Roman" w:hAnsi="Times New Roman" w:eastAsia="宋体" w:cs="Times New Roman"/>
                <w:szCs w:val="21"/>
              </w:rPr>
              <w:t>吸气口径：约Φ</w:t>
            </w:r>
            <w:r>
              <w:rPr>
                <w:rFonts w:hint="eastAsia" w:ascii="Times New Roman" w:hAnsi="Times New Roman" w:eastAsia="宋体" w:cs="Times New Roman"/>
                <w:szCs w:val="21"/>
              </w:rPr>
              <w:t>6~10</w:t>
            </w:r>
            <w:r>
              <w:rPr>
                <w:rFonts w:ascii="Times New Roman" w:hAnsi="Times New Roman" w:eastAsia="宋体" w:cs="Times New Roman"/>
                <w:szCs w:val="21"/>
              </w:rPr>
              <w:t>mm；</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w:t>
            </w:r>
            <w:r>
              <w:rPr>
                <w:rFonts w:ascii="Times New Roman" w:hAnsi="Times New Roman" w:eastAsia="宋体" w:cs="Times New Roman"/>
                <w:szCs w:val="21"/>
              </w:rPr>
              <w:t>最大真空度：≥0.0992MPa(≤8mbar)</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 xml:space="preserve">7. </w:t>
            </w:r>
            <w:r>
              <w:rPr>
                <w:rFonts w:ascii="Times New Roman" w:hAnsi="Times New Roman" w:eastAsia="宋体" w:cs="Times New Roman"/>
                <w:szCs w:val="21"/>
              </w:rPr>
              <w:t>抽气量：≥25 L/min。</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4"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超声清洗机</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1.清洗内槽尺寸</w:t>
            </w:r>
            <w:r>
              <w:rPr>
                <w:rFonts w:hint="eastAsia" w:ascii="Times New Roman" w:hAnsi="Times New Roman" w:eastAsia="宋体" w:cs="Times New Roman"/>
                <w:szCs w:val="21"/>
              </w:rPr>
              <w:t>（mm)</w:t>
            </w:r>
            <w:r>
              <w:rPr>
                <w:rFonts w:ascii="Times New Roman" w:hAnsi="Times New Roman" w:eastAsia="宋体" w:cs="Times New Roman"/>
                <w:szCs w:val="21"/>
              </w:rPr>
              <w:t>：</w:t>
            </w:r>
          </w:p>
          <w:p>
            <w:pPr>
              <w:adjustRightInd w:val="0"/>
              <w:snapToGrid w:val="0"/>
              <w:ind w:firstLine="1290" w:firstLineChars="6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500×300×150；</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2.超声清洗功率：≥500 W；</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3.超声频率：40 KHz；</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4.加热功率：≥1000 W。</w:t>
            </w:r>
          </w:p>
        </w:tc>
        <w:tc>
          <w:tcPr>
            <w:tcW w:w="818" w:type="dxa"/>
            <w:shd w:val="clear" w:color="auto" w:fill="auto"/>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更新，更换升级老旧设备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68"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电子天平</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1.量程≥5000g；</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2.读数精度</w:t>
            </w:r>
            <w:r>
              <w:rPr>
                <w:rFonts w:hint="eastAsia" w:ascii="Times New Roman" w:hAnsi="Times New Roman" w:eastAsia="宋体" w:cs="Times New Roman"/>
                <w:szCs w:val="21"/>
              </w:rPr>
              <w:t>≤</w:t>
            </w:r>
            <w:r>
              <w:rPr>
                <w:rFonts w:ascii="Times New Roman" w:hAnsi="Times New Roman" w:eastAsia="宋体" w:cs="Times New Roman"/>
                <w:szCs w:val="21"/>
              </w:rPr>
              <w:t>0.01g；</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3.秤盘尺寸：方形边长≥15cm；</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4.带水准器；</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5.重复性：</w:t>
            </w:r>
            <w:r>
              <w:rPr>
                <w:rFonts w:hint="eastAsia" w:ascii="Times New Roman" w:hAnsi="Times New Roman" w:eastAsia="宋体" w:cs="Times New Roman"/>
                <w:szCs w:val="21"/>
              </w:rPr>
              <w:t>≤</w:t>
            </w:r>
            <w:r>
              <w:rPr>
                <w:rFonts w:ascii="Times New Roman" w:hAnsi="Times New Roman" w:eastAsia="宋体" w:cs="Times New Roman"/>
                <w:szCs w:val="21"/>
              </w:rPr>
              <w:t>±0.01g；线性：</w:t>
            </w:r>
            <w:r>
              <w:rPr>
                <w:rFonts w:hint="eastAsia" w:ascii="Times New Roman" w:hAnsi="Times New Roman" w:eastAsia="宋体" w:cs="Times New Roman"/>
                <w:szCs w:val="21"/>
              </w:rPr>
              <w:t>≤</w:t>
            </w:r>
            <w:r>
              <w:rPr>
                <w:rFonts w:ascii="Times New Roman" w:hAnsi="Times New Roman" w:eastAsia="宋体" w:cs="Times New Roman"/>
                <w:szCs w:val="21"/>
              </w:rPr>
              <w:t>±0.02g；</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6.液晶显示（有背光）；陶瓷可变电容传感器技术；</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7.内置RS232接口；六键操作；</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8.3种输出模式：立即、连续、间断；环境温度补偿；</w:t>
            </w:r>
            <w:r>
              <w:rPr>
                <w:rFonts w:hint="eastAsia" w:ascii="Times New Roman" w:hAnsi="Times New Roman" w:eastAsia="宋体" w:cs="Times New Roman"/>
                <w:szCs w:val="21"/>
              </w:rPr>
              <w:t>有</w:t>
            </w:r>
            <w:r>
              <w:rPr>
                <w:rFonts w:ascii="Times New Roman" w:hAnsi="Times New Roman" w:eastAsia="宋体" w:cs="Times New Roman"/>
                <w:szCs w:val="21"/>
              </w:rPr>
              <w:t>过载/冲击保护功能；外部砝码校准，带校准砝码。</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电子天平</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1.量程</w:t>
            </w:r>
            <w:r>
              <w:rPr>
                <w:rFonts w:hint="eastAsia" w:ascii="Times New Roman" w:hAnsi="Times New Roman" w:eastAsia="宋体" w:cs="Times New Roman"/>
                <w:szCs w:val="21"/>
              </w:rPr>
              <w:t>≥</w:t>
            </w:r>
            <w:r>
              <w:rPr>
                <w:rFonts w:ascii="Times New Roman" w:hAnsi="Times New Roman" w:eastAsia="宋体" w:cs="Times New Roman"/>
                <w:szCs w:val="21"/>
              </w:rPr>
              <w:t>500g，读数精度</w:t>
            </w:r>
            <w:r>
              <w:rPr>
                <w:rFonts w:hint="eastAsia" w:ascii="Times New Roman" w:hAnsi="Times New Roman" w:eastAsia="宋体" w:cs="Times New Roman"/>
                <w:szCs w:val="21"/>
              </w:rPr>
              <w:t>≤</w:t>
            </w:r>
            <w:r>
              <w:rPr>
                <w:rFonts w:ascii="Times New Roman" w:hAnsi="Times New Roman" w:eastAsia="宋体" w:cs="Times New Roman"/>
                <w:szCs w:val="21"/>
              </w:rPr>
              <w:t>0.01g；</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2.秤盘尺寸：圆形直径</w:t>
            </w:r>
            <w:r>
              <w:rPr>
                <w:rFonts w:hint="eastAsia" w:ascii="Times New Roman" w:hAnsi="Times New Roman" w:eastAsia="宋体" w:cs="Times New Roman"/>
                <w:szCs w:val="21"/>
              </w:rPr>
              <w:t>≥</w:t>
            </w:r>
            <w:r>
              <w:rPr>
                <w:rFonts w:ascii="Times New Roman" w:hAnsi="Times New Roman" w:eastAsia="宋体" w:cs="Times New Roman"/>
                <w:szCs w:val="21"/>
              </w:rPr>
              <w:t>12cm；</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3.带水准器，液晶显示，</w:t>
            </w:r>
            <w:r>
              <w:rPr>
                <w:rFonts w:hint="eastAsia" w:ascii="Times New Roman" w:hAnsi="Times New Roman" w:eastAsia="宋体" w:cs="Times New Roman"/>
                <w:szCs w:val="21"/>
              </w:rPr>
              <w:t>有</w:t>
            </w:r>
            <w:r>
              <w:rPr>
                <w:rFonts w:ascii="Times New Roman" w:hAnsi="Times New Roman" w:eastAsia="宋体" w:cs="Times New Roman"/>
                <w:szCs w:val="21"/>
              </w:rPr>
              <w:t>过载/冲击保护功能，外部砝码校准，带校准砝码；</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4.重复性：</w:t>
            </w:r>
            <w:r>
              <w:rPr>
                <w:rFonts w:hint="eastAsia" w:ascii="Times New Roman" w:hAnsi="Times New Roman" w:eastAsia="宋体" w:cs="Times New Roman"/>
                <w:szCs w:val="21"/>
              </w:rPr>
              <w:t>≤</w:t>
            </w:r>
            <w:r>
              <w:rPr>
                <w:rFonts w:ascii="Times New Roman" w:hAnsi="Times New Roman" w:eastAsia="宋体" w:cs="Times New Roman"/>
                <w:szCs w:val="21"/>
              </w:rPr>
              <w:t>±0.01g。</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0"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集热式磁力搅拌器</w:t>
            </w:r>
          </w:p>
        </w:tc>
        <w:tc>
          <w:tcPr>
            <w:tcW w:w="3776"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1.最大处理量：≥1800 mL；</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2.搅拌速度：无级调速0~2600</w:t>
            </w:r>
            <w:r>
              <w:rPr>
                <w:rFonts w:hint="eastAsia" w:ascii="Times New Roman" w:hAnsi="Times New Roman" w:eastAsia="宋体" w:cs="Times New Roman"/>
                <w:szCs w:val="21"/>
              </w:rPr>
              <w:t>rpm</w:t>
            </w:r>
            <w:r>
              <w:rPr>
                <w:rFonts w:ascii="Times New Roman" w:hAnsi="Times New Roman" w:eastAsia="宋体" w:cs="Times New Roman"/>
                <w:szCs w:val="21"/>
              </w:rPr>
              <w:t>；</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3.加热温度：室温~400℃；</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4.数显控温，智能控温，控温</w:t>
            </w:r>
            <w:r>
              <w:rPr>
                <w:rFonts w:hint="eastAsia" w:ascii="Times New Roman" w:hAnsi="Times New Roman" w:eastAsia="宋体" w:cs="Times New Roman"/>
                <w:szCs w:val="21"/>
              </w:rPr>
              <w:t xml:space="preserve">精:≤ </w:t>
            </w:r>
            <w:r>
              <w:rPr>
                <w:rFonts w:ascii="Times New Roman" w:hAnsi="Times New Roman" w:eastAsia="宋体" w:cs="Times New Roman"/>
                <w:szCs w:val="21"/>
              </w:rPr>
              <w:t>±</w:t>
            </w:r>
            <w:r>
              <w:rPr>
                <w:rFonts w:hint="eastAsia" w:ascii="Times New Roman" w:hAnsi="Times New Roman" w:eastAsia="宋体" w:cs="Times New Roman"/>
                <w:szCs w:val="21"/>
              </w:rPr>
              <w:t>1</w:t>
            </w:r>
            <w:r>
              <w:rPr>
                <w:rFonts w:hint="eastAsia" w:ascii="宋体" w:hAnsi="宋体" w:eastAsia="宋体" w:cs="宋体"/>
                <w:szCs w:val="21"/>
              </w:rPr>
              <w:t>℃</w:t>
            </w:r>
            <w:r>
              <w:rPr>
                <w:rFonts w:ascii="Times New Roman" w:hAnsi="Times New Roman" w:eastAsia="宋体" w:cs="Times New Roman"/>
                <w:szCs w:val="21"/>
              </w:rPr>
              <w:t>。</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35</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6"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旋转蒸发仪</w:t>
            </w:r>
          </w:p>
        </w:tc>
        <w:tc>
          <w:tcPr>
            <w:tcW w:w="3776" w:type="dxa"/>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1.旋转速度范围：</w:t>
            </w:r>
            <w:r>
              <w:rPr>
                <w:rFonts w:hint="eastAsia" w:ascii="Times New Roman" w:hAnsi="Times New Roman" w:eastAsia="宋体" w:cs="Times New Roman"/>
                <w:szCs w:val="21"/>
              </w:rPr>
              <w:t>1</w:t>
            </w:r>
            <w:r>
              <w:rPr>
                <w:rFonts w:ascii="Times New Roman" w:hAnsi="Times New Roman" w:eastAsia="宋体" w:cs="Times New Roman"/>
                <w:szCs w:val="21"/>
              </w:rPr>
              <w:t>~300rpm</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2.蒸发能力：</w:t>
            </w:r>
            <w:r>
              <w:rPr>
                <w:rFonts w:hint="eastAsia" w:ascii="Times New Roman" w:hAnsi="Times New Roman" w:eastAsia="宋体" w:cs="Times New Roman"/>
                <w:szCs w:val="21"/>
              </w:rPr>
              <w:t>≥</w:t>
            </w:r>
            <w:r>
              <w:rPr>
                <w:rFonts w:ascii="Times New Roman" w:hAnsi="Times New Roman" w:eastAsia="宋体" w:cs="Times New Roman"/>
                <w:szCs w:val="21"/>
              </w:rPr>
              <w:t>20m</w:t>
            </w:r>
            <w:r>
              <w:rPr>
                <w:rFonts w:hint="eastAsia" w:ascii="Times New Roman" w:hAnsi="Times New Roman" w:eastAsia="宋体" w:cs="Times New Roman"/>
                <w:szCs w:val="21"/>
              </w:rPr>
              <w:t>L</w:t>
            </w:r>
            <w:r>
              <w:rPr>
                <w:rFonts w:ascii="Times New Roman" w:hAnsi="Times New Roman" w:eastAsia="宋体" w:cs="Times New Roman"/>
                <w:szCs w:val="21"/>
              </w:rPr>
              <w:t>/min（1L试料瓶、水的蒸发量）</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3.可达真空度：</w:t>
            </w:r>
            <w:r>
              <w:rPr>
                <w:rFonts w:hint="eastAsia" w:ascii="Times New Roman" w:hAnsi="Times New Roman" w:eastAsia="宋体" w:cs="Times New Roman"/>
                <w:szCs w:val="21"/>
              </w:rPr>
              <w:t>≥400</w:t>
            </w:r>
            <w:r>
              <w:rPr>
                <w:rFonts w:ascii="Times New Roman" w:hAnsi="Times New Roman" w:eastAsia="宋体" w:cs="Times New Roman"/>
                <w:szCs w:val="21"/>
              </w:rPr>
              <w:t>Pa（3mmHg）</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4.转速设定/显示：旋钮设定/数字显示</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5.升降功能：电动升降+手动辅助提升</w:t>
            </w:r>
          </w:p>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.冷凝管：冷却面积</w:t>
            </w:r>
            <w:r>
              <w:rPr>
                <w:rFonts w:hint="eastAsia" w:ascii="Times New Roman" w:hAnsi="Times New Roman" w:eastAsia="宋体" w:cs="Times New Roman"/>
                <w:szCs w:val="21"/>
              </w:rPr>
              <w:t>≥</w:t>
            </w:r>
            <w:r>
              <w:rPr>
                <w:rFonts w:ascii="Times New Roman" w:hAnsi="Times New Roman" w:eastAsia="宋体" w:cs="Times New Roman"/>
                <w:szCs w:val="21"/>
              </w:rPr>
              <w:t>0.14m</w:t>
            </w:r>
            <w:r>
              <w:rPr>
                <w:rFonts w:ascii="Times New Roman" w:hAnsi="Times New Roman" w:eastAsia="宋体" w:cs="Times New Roman"/>
                <w:szCs w:val="21"/>
                <w:vertAlign w:val="superscript"/>
              </w:rPr>
              <w:t>2</w:t>
            </w:r>
          </w:p>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试料瓶：</w:t>
            </w:r>
            <w:r>
              <w:rPr>
                <w:rFonts w:hint="eastAsia" w:ascii="Times New Roman" w:hAnsi="Times New Roman" w:eastAsia="宋体" w:cs="Times New Roman"/>
                <w:szCs w:val="21"/>
              </w:rPr>
              <w:t>≥</w:t>
            </w:r>
            <w:r>
              <w:rPr>
                <w:rFonts w:ascii="Times New Roman" w:hAnsi="Times New Roman" w:eastAsia="宋体" w:cs="Times New Roman"/>
                <w:szCs w:val="21"/>
              </w:rPr>
              <w:t xml:space="preserve">1L </w:t>
            </w:r>
          </w:p>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.回收瓶：</w:t>
            </w:r>
            <w:r>
              <w:rPr>
                <w:rFonts w:hint="eastAsia" w:ascii="Times New Roman" w:hAnsi="Times New Roman" w:eastAsia="宋体" w:cs="Times New Roman"/>
                <w:szCs w:val="21"/>
              </w:rPr>
              <w:t>≥</w:t>
            </w:r>
            <w:r>
              <w:rPr>
                <w:rFonts w:ascii="Times New Roman" w:hAnsi="Times New Roman" w:eastAsia="宋体" w:cs="Times New Roman"/>
                <w:szCs w:val="21"/>
              </w:rPr>
              <w:t xml:space="preserve">1L  </w:t>
            </w:r>
          </w:p>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.真空密封圈：双重密封圈</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12.接口口径：接嘴外径</w:t>
            </w:r>
            <w:r>
              <w:rPr>
                <w:rFonts w:hint="eastAsia" w:ascii="Times New Roman" w:hAnsi="Times New Roman" w:eastAsia="宋体" w:cs="Times New Roman"/>
                <w:szCs w:val="21"/>
              </w:rPr>
              <w:t>≤</w:t>
            </w:r>
            <w:r>
              <w:rPr>
                <w:rFonts w:ascii="Times New Roman" w:hAnsi="Times New Roman" w:eastAsia="宋体" w:cs="Times New Roman"/>
                <w:szCs w:val="21"/>
              </w:rPr>
              <w:t>10mm（塔接）</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13.升降范围：</w:t>
            </w:r>
          </w:p>
          <w:p>
            <w:pPr>
              <w:jc w:val="left"/>
              <w:rPr>
                <w:rFonts w:ascii="Times New Roman" w:hAnsi="Times New Roman" w:eastAsia="宋体" w:cs="Times New Roman"/>
                <w:szCs w:val="21"/>
              </w:rPr>
            </w:pPr>
            <w:r>
              <w:rPr>
                <w:rFonts w:ascii="Times New Roman" w:hAnsi="Times New Roman" w:eastAsia="宋体" w:cs="Times New Roman"/>
                <w:szCs w:val="21"/>
              </w:rPr>
              <w:t>电动升降</w:t>
            </w:r>
            <w:r>
              <w:rPr>
                <w:rFonts w:hint="eastAsia" w:ascii="Times New Roman" w:hAnsi="Times New Roman" w:eastAsia="宋体" w:cs="Times New Roman"/>
                <w:szCs w:val="21"/>
              </w:rPr>
              <w:t>≥</w:t>
            </w:r>
            <w:r>
              <w:rPr>
                <w:rFonts w:ascii="Times New Roman" w:hAnsi="Times New Roman" w:eastAsia="宋体" w:cs="Times New Roman"/>
                <w:szCs w:val="21"/>
              </w:rPr>
              <w:t>100mm+手动辅助提升</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115mm</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循环水真空泵</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1.流量：≥50 L/min；</w:t>
            </w:r>
          </w:p>
          <w:p>
            <w:pPr>
              <w:rPr>
                <w:rFonts w:ascii="Times New Roman" w:hAnsi="Times New Roman" w:eastAsia="宋体" w:cs="Times New Roman"/>
                <w:szCs w:val="21"/>
              </w:rPr>
            </w:pPr>
            <w:r>
              <w:rPr>
                <w:rFonts w:ascii="Times New Roman" w:hAnsi="Times New Roman" w:eastAsia="宋体" w:cs="Times New Roman"/>
                <w:szCs w:val="21"/>
              </w:rPr>
              <w:t>2.扬程：≥7 m；</w:t>
            </w:r>
          </w:p>
          <w:p>
            <w:pPr>
              <w:rPr>
                <w:rFonts w:ascii="Times New Roman" w:hAnsi="Times New Roman" w:eastAsia="宋体" w:cs="Times New Roman"/>
                <w:szCs w:val="21"/>
              </w:rPr>
            </w:pPr>
            <w:r>
              <w:rPr>
                <w:rFonts w:ascii="Times New Roman" w:hAnsi="Times New Roman" w:eastAsia="宋体" w:cs="Times New Roman"/>
                <w:szCs w:val="21"/>
              </w:rPr>
              <w:t>3.最大真空度：</w:t>
            </w:r>
            <w:r>
              <w:rPr>
                <w:rFonts w:hint="eastAsia" w:ascii="Times New Roman" w:hAnsi="Times New Roman" w:eastAsia="宋体" w:cs="Times New Roman"/>
                <w:szCs w:val="21"/>
              </w:rPr>
              <w:t>≥</w:t>
            </w:r>
            <w:r>
              <w:rPr>
                <w:rFonts w:ascii="Times New Roman" w:hAnsi="Times New Roman" w:eastAsia="宋体" w:cs="Times New Roman"/>
                <w:szCs w:val="21"/>
              </w:rPr>
              <w:t>0.098 Mpa；</w:t>
            </w:r>
          </w:p>
          <w:p>
            <w:pPr>
              <w:rPr>
                <w:rFonts w:ascii="Times New Roman" w:hAnsi="Times New Roman" w:eastAsia="宋体" w:cs="Times New Roman"/>
                <w:szCs w:val="21"/>
              </w:rPr>
            </w:pPr>
            <w:r>
              <w:rPr>
                <w:rFonts w:ascii="Times New Roman" w:hAnsi="Times New Roman" w:eastAsia="宋体" w:cs="Times New Roman"/>
                <w:szCs w:val="21"/>
              </w:rPr>
              <w:t>4.单头抽气量：≥9 L/min；</w:t>
            </w:r>
          </w:p>
          <w:p>
            <w:pPr>
              <w:rPr>
                <w:rFonts w:ascii="Times New Roman" w:hAnsi="Times New Roman" w:eastAsia="宋体" w:cs="Times New Roman"/>
                <w:szCs w:val="21"/>
              </w:rPr>
            </w:pPr>
            <w:r>
              <w:rPr>
                <w:rFonts w:ascii="Times New Roman" w:hAnsi="Times New Roman" w:eastAsia="宋体" w:cs="Times New Roman"/>
                <w:szCs w:val="21"/>
              </w:rPr>
              <w:t>5.抽气头数：</w:t>
            </w:r>
            <w:r>
              <w:rPr>
                <w:rFonts w:hint="eastAsia" w:ascii="Times New Roman" w:hAnsi="Times New Roman" w:eastAsia="宋体" w:cs="Times New Roman"/>
                <w:szCs w:val="21"/>
              </w:rPr>
              <w:t>≥</w:t>
            </w:r>
            <w:r>
              <w:rPr>
                <w:rFonts w:ascii="Times New Roman" w:hAnsi="Times New Roman" w:eastAsia="宋体" w:cs="Times New Roman"/>
                <w:szCs w:val="21"/>
              </w:rPr>
              <w:t>2个</w:t>
            </w:r>
            <w:bookmarkStart w:id="378" w:name="_GoBack"/>
            <w:bookmarkEnd w:id="378"/>
          </w:p>
          <w:p>
            <w:pPr>
              <w:rPr>
                <w:rFonts w:ascii="Times New Roman" w:hAnsi="Times New Roman" w:eastAsia="宋体" w:cs="Times New Roman"/>
                <w:szCs w:val="21"/>
              </w:rPr>
            </w:pPr>
            <w:r>
              <w:rPr>
                <w:rFonts w:ascii="Times New Roman" w:hAnsi="Times New Roman" w:eastAsia="宋体" w:cs="Times New Roman"/>
                <w:szCs w:val="21"/>
              </w:rPr>
              <w:t>6.安全功能：逆流防止阀。</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更新，更换升级老旧设备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2129"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低温冷却循环泵</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1.储液溶剂：4~5L；</w:t>
            </w:r>
          </w:p>
          <w:p>
            <w:pPr>
              <w:rPr>
                <w:rFonts w:ascii="Times New Roman" w:hAnsi="Times New Roman" w:eastAsia="宋体" w:cs="Times New Roman"/>
                <w:szCs w:val="21"/>
              </w:rPr>
            </w:pPr>
            <w:r>
              <w:rPr>
                <w:rFonts w:ascii="Times New Roman" w:hAnsi="Times New Roman" w:eastAsia="宋体" w:cs="Times New Roman"/>
                <w:szCs w:val="21"/>
              </w:rPr>
              <w:t>2.空载最低温度：-12℃；</w:t>
            </w:r>
          </w:p>
          <w:p>
            <w:pPr>
              <w:rPr>
                <w:rFonts w:ascii="Times New Roman" w:hAnsi="Times New Roman" w:eastAsia="宋体" w:cs="Times New Roman"/>
                <w:szCs w:val="21"/>
              </w:rPr>
            </w:pPr>
            <w:r>
              <w:rPr>
                <w:rFonts w:ascii="Times New Roman" w:hAnsi="Times New Roman" w:eastAsia="宋体" w:cs="Times New Roman"/>
                <w:szCs w:val="21"/>
              </w:rPr>
              <w:t>3.制冷量：</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00</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lang w:val="en-US" w:eastAsia="zh-CN"/>
              </w:rPr>
              <w:t>3</w:t>
            </w:r>
            <w:r>
              <w:rPr>
                <w:rFonts w:ascii="Times New Roman" w:hAnsi="Times New Roman" w:eastAsia="宋体" w:cs="Times New Roman"/>
                <w:szCs w:val="21"/>
                <w:highlight w:val="none"/>
              </w:rPr>
              <w:t>0</w:t>
            </w:r>
            <w:r>
              <w:rPr>
                <w:rFonts w:hint="eastAsia" w:ascii="Times New Roman" w:hAnsi="Times New Roman" w:eastAsia="宋体" w:cs="Times New Roman"/>
                <w:szCs w:val="21"/>
                <w:highlight w:val="none"/>
              </w:rPr>
              <w:t>0</w:t>
            </w:r>
            <w:r>
              <w:rPr>
                <w:rFonts w:ascii="Times New Roman" w:hAnsi="Times New Roman" w:eastAsia="宋体" w:cs="Times New Roman"/>
                <w:szCs w:val="21"/>
                <w:highlight w:val="none"/>
              </w:rPr>
              <w:t>W</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4.流量：≥3</w:t>
            </w:r>
            <w:r>
              <w:rPr>
                <w:rFonts w:hint="eastAsia" w:ascii="Times New Roman" w:hAnsi="Times New Roman" w:eastAsia="宋体" w:cs="Times New Roman"/>
                <w:szCs w:val="21"/>
              </w:rPr>
              <w:t>0</w:t>
            </w:r>
            <w:r>
              <w:rPr>
                <w:rFonts w:ascii="Times New Roman" w:hAnsi="Times New Roman" w:eastAsia="宋体" w:cs="Times New Roman"/>
                <w:szCs w:val="21"/>
              </w:rPr>
              <w:t>L/min；</w:t>
            </w:r>
          </w:p>
          <w:p>
            <w:pPr>
              <w:rPr>
                <w:rFonts w:ascii="Times New Roman" w:hAnsi="Times New Roman" w:eastAsia="宋体" w:cs="Times New Roman"/>
                <w:szCs w:val="21"/>
              </w:rPr>
            </w:pPr>
            <w:r>
              <w:rPr>
                <w:rFonts w:ascii="Times New Roman" w:hAnsi="Times New Roman" w:eastAsia="宋体" w:cs="Times New Roman"/>
                <w:szCs w:val="21"/>
              </w:rPr>
              <w:t>5.扬程：</w:t>
            </w:r>
            <w:r>
              <w:rPr>
                <w:rFonts w:hint="eastAsia" w:ascii="Times New Roman" w:hAnsi="Times New Roman" w:eastAsia="宋体" w:cs="Times New Roman"/>
                <w:szCs w:val="21"/>
              </w:rPr>
              <w:t>≥</w:t>
            </w:r>
            <w:r>
              <w:rPr>
                <w:rFonts w:ascii="Times New Roman" w:hAnsi="Times New Roman" w:eastAsia="宋体" w:cs="Times New Roman"/>
                <w:szCs w:val="21"/>
              </w:rPr>
              <w:t>4m。</w:t>
            </w:r>
          </w:p>
        </w:tc>
        <w:tc>
          <w:tcPr>
            <w:tcW w:w="818"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显微熔点仪</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1.熔点测量范围：室温~300℃；</w:t>
            </w:r>
          </w:p>
          <w:p>
            <w:pPr>
              <w:rPr>
                <w:rFonts w:ascii="Times New Roman" w:hAnsi="Times New Roman" w:eastAsia="宋体" w:cs="Times New Roman"/>
                <w:szCs w:val="21"/>
              </w:rPr>
            </w:pPr>
            <w:r>
              <w:rPr>
                <w:rFonts w:ascii="Times New Roman" w:hAnsi="Times New Roman" w:eastAsia="宋体" w:cs="Times New Roman"/>
                <w:szCs w:val="21"/>
              </w:rPr>
              <w:t>2.线性升温速度：</w:t>
            </w:r>
            <w:r>
              <w:rPr>
                <w:rFonts w:hint="eastAsia" w:ascii="Times New Roman" w:hAnsi="Times New Roman" w:eastAsia="宋体" w:cs="Times New Roman"/>
                <w:szCs w:val="21"/>
              </w:rPr>
              <w:t>多档位可选，且至少有</w:t>
            </w:r>
            <w:r>
              <w:rPr>
                <w:rFonts w:ascii="Times New Roman" w:hAnsi="Times New Roman" w:eastAsia="宋体" w:cs="Times New Roman"/>
                <w:szCs w:val="21"/>
              </w:rPr>
              <w:t>0.2，0.5，1，1.5，2，3，4，5(℃/min)；</w:t>
            </w:r>
          </w:p>
          <w:p>
            <w:pPr>
              <w:rPr>
                <w:rFonts w:ascii="Times New Roman" w:hAnsi="Times New Roman" w:eastAsia="宋体" w:cs="Times New Roman"/>
                <w:szCs w:val="21"/>
              </w:rPr>
            </w:pPr>
            <w:r>
              <w:rPr>
                <w:rFonts w:ascii="Times New Roman" w:hAnsi="Times New Roman" w:eastAsia="宋体" w:cs="Times New Roman"/>
                <w:szCs w:val="21"/>
              </w:rPr>
              <w:t>3.测量重复性：&lt;200℃时：</w:t>
            </w:r>
            <w:r>
              <w:rPr>
                <w:rFonts w:hint="eastAsia" w:ascii="Times New Roman" w:hAnsi="Times New Roman" w:eastAsia="宋体" w:cs="Times New Roman"/>
                <w:szCs w:val="21"/>
              </w:rPr>
              <w:t>≤</w:t>
            </w:r>
            <w:r>
              <w:rPr>
                <w:rFonts w:ascii="Times New Roman" w:hAnsi="Times New Roman" w:eastAsia="宋体" w:cs="Times New Roman"/>
                <w:szCs w:val="21"/>
              </w:rPr>
              <w:t xml:space="preserve">±0.5℃，200℃-300℃时， </w:t>
            </w:r>
            <w:r>
              <w:rPr>
                <w:rFonts w:hint="eastAsia" w:ascii="Times New Roman" w:hAnsi="Times New Roman" w:eastAsia="宋体" w:cs="Times New Roman"/>
                <w:szCs w:val="21"/>
              </w:rPr>
              <w:t>≤</w:t>
            </w:r>
            <w:r>
              <w:rPr>
                <w:rFonts w:ascii="Times New Roman" w:hAnsi="Times New Roman" w:eastAsia="宋体" w:cs="Times New Roman"/>
                <w:szCs w:val="21"/>
              </w:rPr>
              <w:t>±0.8℃；</w:t>
            </w:r>
          </w:p>
          <w:p>
            <w:pPr>
              <w:rPr>
                <w:rFonts w:ascii="Times New Roman" w:hAnsi="Times New Roman" w:eastAsia="宋体" w:cs="Times New Roman"/>
                <w:szCs w:val="21"/>
              </w:rPr>
            </w:pPr>
            <w:r>
              <w:rPr>
                <w:rFonts w:ascii="Times New Roman" w:hAnsi="Times New Roman" w:eastAsia="宋体" w:cs="Times New Roman"/>
                <w:szCs w:val="21"/>
              </w:rPr>
              <w:t>4.小读数值：</w:t>
            </w:r>
            <w:r>
              <w:rPr>
                <w:rFonts w:hint="eastAsia" w:ascii="Times New Roman" w:hAnsi="Times New Roman" w:eastAsia="宋体" w:cs="Times New Roman"/>
                <w:szCs w:val="21"/>
              </w:rPr>
              <w:t>≤</w:t>
            </w:r>
            <w:r>
              <w:rPr>
                <w:rFonts w:ascii="Times New Roman" w:hAnsi="Times New Roman" w:eastAsia="宋体" w:cs="Times New Roman"/>
                <w:szCs w:val="21"/>
              </w:rPr>
              <w:t>0.1℃；</w:t>
            </w:r>
          </w:p>
          <w:p>
            <w:pPr>
              <w:rPr>
                <w:rFonts w:ascii="Times New Roman" w:hAnsi="Times New Roman" w:eastAsia="宋体" w:cs="Times New Roman"/>
                <w:szCs w:val="21"/>
              </w:rPr>
            </w:pPr>
            <w:r>
              <w:rPr>
                <w:rFonts w:ascii="Times New Roman" w:hAnsi="Times New Roman" w:eastAsia="宋体" w:cs="Times New Roman"/>
                <w:szCs w:val="21"/>
              </w:rPr>
              <w:t>5.光电检测，数字显示。</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1"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水浴锅</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1.数显控温范围：室温+5~100℃；</w:t>
            </w:r>
          </w:p>
          <w:p>
            <w:pPr>
              <w:rPr>
                <w:rFonts w:ascii="Times New Roman" w:hAnsi="Times New Roman" w:eastAsia="宋体" w:cs="Times New Roman"/>
                <w:szCs w:val="21"/>
              </w:rPr>
            </w:pPr>
            <w:r>
              <w:rPr>
                <w:rFonts w:ascii="Times New Roman" w:hAnsi="Times New Roman" w:eastAsia="宋体" w:cs="Times New Roman"/>
                <w:szCs w:val="21"/>
              </w:rPr>
              <w:t>2.温度波动：</w:t>
            </w:r>
            <w:r>
              <w:rPr>
                <w:rFonts w:hint="eastAsia" w:ascii="Times New Roman" w:hAnsi="Times New Roman" w:eastAsia="宋体" w:cs="Times New Roman"/>
                <w:szCs w:val="21"/>
              </w:rPr>
              <w:t>≤</w:t>
            </w:r>
            <w:r>
              <w:rPr>
                <w:rFonts w:ascii="Times New Roman" w:hAnsi="Times New Roman" w:eastAsia="宋体" w:cs="Times New Roman"/>
                <w:szCs w:val="21"/>
              </w:rPr>
              <w:t>±0.5℃；</w:t>
            </w:r>
          </w:p>
          <w:p>
            <w:pPr>
              <w:rPr>
                <w:rFonts w:ascii="Times New Roman" w:hAnsi="Times New Roman" w:eastAsia="宋体" w:cs="Times New Roman"/>
                <w:szCs w:val="21"/>
              </w:rPr>
            </w:pPr>
            <w:r>
              <w:rPr>
                <w:rFonts w:ascii="Times New Roman" w:hAnsi="Times New Roman" w:eastAsia="宋体" w:cs="Times New Roman"/>
                <w:szCs w:val="21"/>
              </w:rPr>
              <w:t>3.双列四孔，内胆不锈钢；</w:t>
            </w:r>
          </w:p>
          <w:p>
            <w:pPr>
              <w:rPr>
                <w:rFonts w:ascii="Times New Roman" w:hAnsi="Times New Roman" w:eastAsia="宋体" w:cs="Times New Roman"/>
                <w:szCs w:val="21"/>
              </w:rPr>
            </w:pPr>
            <w:r>
              <w:rPr>
                <w:rFonts w:ascii="Times New Roman" w:hAnsi="Times New Roman" w:eastAsia="宋体" w:cs="Times New Roman"/>
                <w:szCs w:val="21"/>
              </w:rPr>
              <w:t>4.加热功率：</w:t>
            </w:r>
            <w:r>
              <w:rPr>
                <w:rFonts w:hint="eastAsia" w:ascii="Times New Roman" w:hAnsi="Times New Roman" w:eastAsia="宋体" w:cs="Times New Roman"/>
                <w:szCs w:val="21"/>
              </w:rPr>
              <w:t>≥</w:t>
            </w:r>
            <w:r>
              <w:rPr>
                <w:rFonts w:ascii="Times New Roman" w:hAnsi="Times New Roman" w:eastAsia="宋体" w:cs="Times New Roman"/>
                <w:szCs w:val="21"/>
              </w:rPr>
              <w:t>1000W。</w:t>
            </w:r>
          </w:p>
          <w:p>
            <w:pPr>
              <w:rPr>
                <w:rFonts w:ascii="Times New Roman" w:hAnsi="Times New Roman" w:eastAsia="宋体" w:cs="Times New Roman"/>
                <w:szCs w:val="21"/>
              </w:rPr>
            </w:pPr>
            <w:r>
              <w:rPr>
                <w:rFonts w:hint="eastAsia" w:ascii="Times New Roman" w:hAnsi="Times New Roman" w:eastAsia="宋体" w:cs="Times New Roman"/>
                <w:szCs w:val="21"/>
              </w:rPr>
              <w:t>5.容量：≥12L</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更新，更换升级老旧设备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0"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13</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暗箱式三用紫外仪</w:t>
            </w:r>
          </w:p>
        </w:tc>
        <w:tc>
          <w:tcPr>
            <w:tcW w:w="3776" w:type="dxa"/>
            <w:vAlign w:val="center"/>
          </w:tcPr>
          <w:p>
            <w:pPr>
              <w:numPr>
                <w:ilvl w:val="0"/>
                <w:numId w:val="20"/>
              </w:numPr>
              <w:rPr>
                <w:rFonts w:ascii="Times New Roman" w:hAnsi="Times New Roman" w:eastAsia="宋体" w:cs="Times New Roman"/>
                <w:szCs w:val="21"/>
              </w:rPr>
            </w:pPr>
            <w:r>
              <w:rPr>
                <w:rFonts w:ascii="Times New Roman" w:hAnsi="Times New Roman" w:eastAsia="宋体" w:cs="Times New Roman"/>
                <w:szCs w:val="21"/>
              </w:rPr>
              <w:t>采用环保型高分子高强度ABS材质；</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 xml:space="preserve"> </w:t>
            </w:r>
            <w:r>
              <w:rPr>
                <w:rFonts w:ascii="Times New Roman" w:hAnsi="Times New Roman" w:eastAsia="宋体" w:cs="Times New Roman"/>
                <w:szCs w:val="21"/>
              </w:rPr>
              <w:t>LCD大液晶显示屏</w:t>
            </w:r>
            <w:r>
              <w:rPr>
                <w:rFonts w:hint="eastAsia" w:ascii="Times New Roman" w:hAnsi="Times New Roman" w:eastAsia="宋体" w:cs="Times New Roman"/>
                <w:szCs w:val="21"/>
              </w:rPr>
              <w:t>，</w:t>
            </w:r>
            <w:r>
              <w:rPr>
                <w:rFonts w:ascii="Times New Roman" w:hAnsi="Times New Roman" w:eastAsia="宋体" w:cs="Times New Roman"/>
                <w:szCs w:val="21"/>
              </w:rPr>
              <w:t>中文显示，可切换显示，</w:t>
            </w:r>
            <w:r>
              <w:rPr>
                <w:rFonts w:hint="eastAsia" w:ascii="Times New Roman" w:hAnsi="Times New Roman" w:eastAsia="宋体" w:cs="Times New Roman"/>
                <w:szCs w:val="21"/>
              </w:rPr>
              <w:t>波长范围：</w:t>
            </w:r>
            <w:r>
              <w:rPr>
                <w:rFonts w:ascii="Times New Roman" w:hAnsi="Times New Roman" w:eastAsia="宋体" w:cs="Times New Roman"/>
                <w:szCs w:val="21"/>
              </w:rPr>
              <w:t>254</w:t>
            </w:r>
            <w:r>
              <w:rPr>
                <w:rFonts w:hint="eastAsia" w:ascii="Times New Roman" w:hAnsi="Times New Roman" w:eastAsia="宋体" w:cs="Times New Roman"/>
                <w:szCs w:val="21"/>
              </w:rPr>
              <w:t>nm~</w:t>
            </w:r>
            <w:r>
              <w:rPr>
                <w:rFonts w:ascii="Times New Roman" w:hAnsi="Times New Roman" w:eastAsia="宋体" w:cs="Times New Roman"/>
                <w:szCs w:val="21"/>
              </w:rPr>
              <w:t>365nm、可见光；</w:t>
            </w:r>
          </w:p>
          <w:p>
            <w:pPr>
              <w:rPr>
                <w:rFonts w:ascii="Times New Roman" w:hAnsi="Times New Roman" w:eastAsia="宋体" w:cs="Times New Roman"/>
                <w:szCs w:val="21"/>
              </w:rPr>
            </w:pPr>
            <w:r>
              <w:rPr>
                <w:rFonts w:ascii="Times New Roman" w:hAnsi="Times New Roman" w:eastAsia="宋体" w:cs="Times New Roman"/>
                <w:szCs w:val="21"/>
              </w:rPr>
              <w:t>3.液晶中文显示功能，微电脑单片机控制，切换显示；</w:t>
            </w:r>
          </w:p>
          <w:p>
            <w:pPr>
              <w:rPr>
                <w:rFonts w:ascii="Times New Roman" w:hAnsi="Times New Roman" w:eastAsia="宋体" w:cs="Times New Roman"/>
                <w:szCs w:val="21"/>
              </w:rPr>
            </w:pPr>
            <w:r>
              <w:rPr>
                <w:rFonts w:ascii="Times New Roman" w:hAnsi="Times New Roman" w:eastAsia="宋体" w:cs="Times New Roman"/>
                <w:szCs w:val="21"/>
              </w:rPr>
              <w:t>4.报警功能：机器停止运行后，报警提醒操作者；</w:t>
            </w:r>
          </w:p>
          <w:p>
            <w:pP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.紫外灯角度可调节，左右两侧设活动操作口；</w:t>
            </w:r>
          </w:p>
          <w:p>
            <w:pP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观察窗口具有防紫外</w:t>
            </w:r>
            <w:r>
              <w:rPr>
                <w:rFonts w:hint="eastAsia" w:ascii="Times New Roman" w:hAnsi="Times New Roman" w:eastAsia="宋体" w:cs="Times New Roman"/>
                <w:szCs w:val="21"/>
              </w:rPr>
              <w:t>的能力，可滤去≥90%的紫外线</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.纳米医疗级紫外线灯，紫外线强度</w:t>
            </w:r>
            <w:r>
              <w:rPr>
                <w:rFonts w:hint="eastAsia" w:ascii="Times New Roman" w:hAnsi="Times New Roman" w:eastAsia="宋体" w:cs="Times New Roman"/>
                <w:szCs w:val="21"/>
              </w:rPr>
              <w:t>≥</w:t>
            </w:r>
            <w:r>
              <w:rPr>
                <w:rFonts w:ascii="Times New Roman" w:hAnsi="Times New Roman" w:eastAsia="宋体" w:cs="Times New Roman"/>
                <w:szCs w:val="21"/>
              </w:rPr>
              <w:t>120μW/cm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9" w:hRule="atLeast"/>
          <w:jc w:val="center"/>
        </w:trPr>
        <w:tc>
          <w:tcPr>
            <w:tcW w:w="593"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14</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小型台式离心机</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1.容量：</w:t>
            </w:r>
            <w:r>
              <w:rPr>
                <w:rFonts w:hint="eastAsia" w:ascii="Times New Roman" w:hAnsi="Times New Roman" w:eastAsia="宋体" w:cs="Times New Roman"/>
                <w:szCs w:val="21"/>
              </w:rPr>
              <w:t>≥</w:t>
            </w:r>
            <w:r>
              <w:rPr>
                <w:rFonts w:ascii="Times New Roman" w:hAnsi="Times New Roman" w:eastAsia="宋体" w:cs="Times New Roman"/>
                <w:szCs w:val="21"/>
              </w:rPr>
              <w:t>20m</w:t>
            </w:r>
            <w:r>
              <w:rPr>
                <w:rFonts w:hint="eastAsia" w:ascii="Times New Roman" w:hAnsi="Times New Roman" w:eastAsia="宋体" w:cs="Times New Roman"/>
                <w:szCs w:val="21"/>
              </w:rPr>
              <w:t>L</w:t>
            </w:r>
            <w:r>
              <w:rPr>
                <w:rFonts w:ascii="Times New Roman" w:hAnsi="Times New Roman" w:eastAsia="宋体" w:cs="Times New Roman"/>
                <w:szCs w:val="21"/>
              </w:rPr>
              <w:t>×6；</w:t>
            </w:r>
          </w:p>
          <w:p>
            <w:pPr>
              <w:rPr>
                <w:rFonts w:ascii="Times New Roman" w:hAnsi="Times New Roman" w:eastAsia="宋体" w:cs="Times New Roman"/>
                <w:szCs w:val="21"/>
              </w:rPr>
            </w:pPr>
            <w:r>
              <w:rPr>
                <w:rFonts w:ascii="Times New Roman" w:hAnsi="Times New Roman" w:eastAsia="宋体" w:cs="Times New Roman"/>
                <w:szCs w:val="21"/>
              </w:rPr>
              <w:t>2.外壳：塑料（圆），透明盖，调速旋钮；</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.相对离心力：</w:t>
            </w:r>
            <w:r>
              <w:rPr>
                <w:rFonts w:hint="eastAsia" w:ascii="Times New Roman" w:hAnsi="Times New Roman" w:eastAsia="宋体" w:cs="Times New Roman"/>
                <w:szCs w:val="21"/>
              </w:rPr>
              <w:t>≥</w:t>
            </w:r>
            <w:r>
              <w:rPr>
                <w:rFonts w:ascii="Times New Roman" w:hAnsi="Times New Roman" w:eastAsia="宋体" w:cs="Times New Roman"/>
                <w:szCs w:val="21"/>
              </w:rPr>
              <w:t>1790×g，可定时。</w:t>
            </w:r>
          </w:p>
        </w:tc>
        <w:tc>
          <w:tcPr>
            <w:tcW w:w="81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1" w:hRule="atLeast"/>
          <w:jc w:val="center"/>
        </w:trPr>
        <w:tc>
          <w:tcPr>
            <w:tcW w:w="5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涡旋振荡器</w:t>
            </w:r>
          </w:p>
        </w:tc>
        <w:tc>
          <w:tcPr>
            <w:tcW w:w="3776"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1.功率：35~40W；</w:t>
            </w:r>
          </w:p>
          <w:p>
            <w:pPr>
              <w:jc w:val="left"/>
              <w:rPr>
                <w:rFonts w:ascii="Times New Roman" w:hAnsi="Times New Roman" w:eastAsia="宋体" w:cs="Times New Roman"/>
                <w:szCs w:val="21"/>
              </w:rPr>
            </w:pPr>
            <w:r>
              <w:rPr>
                <w:rFonts w:ascii="Times New Roman" w:hAnsi="Times New Roman" w:eastAsia="宋体" w:cs="Times New Roman"/>
                <w:szCs w:val="21"/>
              </w:rPr>
              <w:t>2.转速：≥2900rpm；</w:t>
            </w:r>
          </w:p>
          <w:p>
            <w:pPr>
              <w:jc w:val="left"/>
              <w:rPr>
                <w:rFonts w:ascii="Times New Roman" w:hAnsi="Times New Roman" w:eastAsia="宋体" w:cs="Times New Roman"/>
                <w:szCs w:val="21"/>
              </w:rPr>
            </w:pPr>
            <w:r>
              <w:rPr>
                <w:rFonts w:ascii="Times New Roman" w:hAnsi="Times New Roman" w:eastAsia="宋体" w:cs="Times New Roman"/>
                <w:szCs w:val="21"/>
              </w:rPr>
              <w:t>3.工作方式：点动、连续、无级调速；</w:t>
            </w:r>
          </w:p>
          <w:p>
            <w:pPr>
              <w:jc w:val="left"/>
              <w:rPr>
                <w:rFonts w:ascii="Times New Roman" w:hAnsi="Times New Roman" w:eastAsia="宋体" w:cs="Times New Roman"/>
                <w:szCs w:val="21"/>
              </w:rPr>
            </w:pPr>
            <w:r>
              <w:rPr>
                <w:rFonts w:ascii="Times New Roman" w:hAnsi="Times New Roman" w:eastAsia="宋体" w:cs="Times New Roman"/>
                <w:szCs w:val="21"/>
              </w:rPr>
              <w:t>4.工作台直径：≥5</w:t>
            </w:r>
            <w:r>
              <w:rPr>
                <w:rFonts w:hint="eastAsia" w:ascii="Times New Roman" w:hAnsi="Times New Roman" w:eastAsia="宋体" w:cs="Times New Roman"/>
                <w:szCs w:val="21"/>
              </w:rPr>
              <w:t>0</w:t>
            </w:r>
            <w:r>
              <w:rPr>
                <w:rFonts w:ascii="Times New Roman" w:hAnsi="Times New Roman" w:eastAsia="宋体" w:cs="Times New Roman"/>
                <w:szCs w:val="21"/>
              </w:rPr>
              <w:t>mm橡胶。</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台</w:t>
            </w:r>
          </w:p>
        </w:tc>
        <w:tc>
          <w:tcPr>
            <w:tcW w:w="1221" w:type="dxa"/>
            <w:tcBorders>
              <w:left w:val="single" w:color="auto" w:sz="4" w:space="0"/>
            </w:tcBorders>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jc w:val="center"/>
        </w:trPr>
        <w:tc>
          <w:tcPr>
            <w:tcW w:w="5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防爆冰箱</w:t>
            </w:r>
          </w:p>
        </w:tc>
        <w:tc>
          <w:tcPr>
            <w:tcW w:w="3776" w:type="dxa"/>
          </w:tcPr>
          <w:p>
            <w:pPr>
              <w:rPr>
                <w:rFonts w:ascii="Times New Roman" w:hAnsi="Times New Roman" w:eastAsia="宋体" w:cs="Times New Roman"/>
                <w:szCs w:val="21"/>
              </w:rPr>
            </w:pPr>
            <w:r>
              <w:rPr>
                <w:rFonts w:ascii="Times New Roman" w:hAnsi="Times New Roman" w:eastAsia="宋体" w:cs="Times New Roman"/>
                <w:szCs w:val="21"/>
              </w:rPr>
              <w:t>1.防爆型；</w:t>
            </w:r>
          </w:p>
          <w:p>
            <w:pPr>
              <w:rPr>
                <w:rFonts w:ascii="Times New Roman" w:hAnsi="Times New Roman" w:eastAsia="宋体" w:cs="Times New Roman"/>
                <w:szCs w:val="21"/>
              </w:rPr>
            </w:pPr>
            <w:r>
              <w:rPr>
                <w:rFonts w:ascii="Times New Roman" w:hAnsi="Times New Roman" w:eastAsia="宋体" w:cs="Times New Roman"/>
                <w:szCs w:val="21"/>
              </w:rPr>
              <w:t>2.能效等级：三级</w:t>
            </w:r>
            <w:r>
              <w:rPr>
                <w:rFonts w:hint="eastAsia" w:ascii="Times New Roman" w:hAnsi="Times New Roman" w:eastAsia="宋体" w:cs="Times New Roman"/>
                <w:szCs w:val="21"/>
              </w:rPr>
              <w:t>及以上</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3.压缩机：定频；</w:t>
            </w:r>
          </w:p>
          <w:p>
            <w:pPr>
              <w:rPr>
                <w:rFonts w:ascii="Times New Roman" w:hAnsi="Times New Roman" w:eastAsia="宋体" w:cs="Times New Roman"/>
                <w:szCs w:val="21"/>
              </w:rPr>
            </w:pPr>
            <w:r>
              <w:rPr>
                <w:rFonts w:ascii="Times New Roman" w:hAnsi="Times New Roman" w:eastAsia="宋体" w:cs="Times New Roman"/>
                <w:szCs w:val="21"/>
              </w:rPr>
              <w:t>4.门款式：双门；</w:t>
            </w:r>
          </w:p>
          <w:p>
            <w:pPr>
              <w:rPr>
                <w:rFonts w:ascii="Times New Roman" w:hAnsi="Times New Roman" w:eastAsia="宋体" w:cs="Times New Roman"/>
                <w:szCs w:val="21"/>
              </w:rPr>
            </w:pPr>
            <w:r>
              <w:rPr>
                <w:rFonts w:ascii="Times New Roman" w:hAnsi="Times New Roman" w:eastAsia="宋体" w:cs="Times New Roman"/>
                <w:szCs w:val="21"/>
              </w:rPr>
              <w:t>5.制冷方式：风冷（无霜）；</w:t>
            </w:r>
          </w:p>
          <w:p>
            <w:pPr>
              <w:rPr>
                <w:rFonts w:ascii="Times New Roman" w:hAnsi="Times New Roman" w:eastAsia="宋体" w:cs="Times New Roman"/>
                <w:szCs w:val="21"/>
              </w:rPr>
            </w:pPr>
            <w:r>
              <w:rPr>
                <w:rFonts w:ascii="Times New Roman" w:hAnsi="Times New Roman" w:eastAsia="宋体" w:cs="Times New Roman"/>
                <w:szCs w:val="21"/>
              </w:rPr>
              <w:t>6.总容积：≥190L，冷冻≥70L，冷藏≥120L</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7.</w:t>
            </w:r>
            <w:r>
              <w:rPr>
                <w:rFonts w:hint="eastAsia" w:ascii="Times New Roman" w:hAnsi="Times New Roman" w:eastAsia="宋体" w:cs="Times New Roman"/>
                <w:szCs w:val="21"/>
              </w:rPr>
              <w:t xml:space="preserve"> </w:t>
            </w:r>
            <w:r>
              <w:rPr>
                <w:rFonts w:ascii="Times New Roman" w:hAnsi="Times New Roman" w:eastAsia="宋体" w:cs="Times New Roman"/>
                <w:szCs w:val="21"/>
              </w:rPr>
              <w:t>冷藏区</w:t>
            </w:r>
            <w:r>
              <w:rPr>
                <w:rFonts w:hint="eastAsia" w:ascii="Times New Roman" w:hAnsi="Times New Roman" w:eastAsia="宋体" w:cs="Times New Roman"/>
                <w:szCs w:val="21"/>
              </w:rPr>
              <w:t>可调</w:t>
            </w:r>
            <w:r>
              <w:rPr>
                <w:rFonts w:ascii="Times New Roman" w:hAnsi="Times New Roman" w:eastAsia="宋体" w:cs="Times New Roman"/>
                <w:szCs w:val="21"/>
              </w:rPr>
              <w:t>温度区间：0~9</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8. 冷冻区温度区间：-26~0℃。</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8"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多媒体系统</w:t>
            </w:r>
          </w:p>
        </w:tc>
        <w:tc>
          <w:tcPr>
            <w:tcW w:w="3776" w:type="dxa"/>
          </w:tcPr>
          <w:p>
            <w:pPr>
              <w:rPr>
                <w:rFonts w:ascii="Times New Roman" w:hAnsi="Times New Roman" w:eastAsia="宋体" w:cs="Times New Roman"/>
                <w:szCs w:val="21"/>
              </w:rPr>
            </w:pPr>
            <w:r>
              <w:rPr>
                <w:rFonts w:ascii="Times New Roman" w:hAnsi="Times New Roman" w:eastAsia="宋体" w:cs="Times New Roman"/>
                <w:szCs w:val="21"/>
              </w:rPr>
              <w:t>1.多媒体讲台：</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①</w:t>
            </w:r>
            <w:r>
              <w:rPr>
                <w:rFonts w:ascii="Times New Roman" w:hAnsi="Times New Roman" w:eastAsia="宋体" w:cs="Times New Roman"/>
                <w:szCs w:val="21"/>
              </w:rPr>
              <w:t>钢制多媒体讲台（含中央控制器）用于安装计算机</w:t>
            </w:r>
            <w:r>
              <w:rPr>
                <w:rFonts w:hint="eastAsia" w:ascii="Times New Roman" w:hAnsi="Times New Roman" w:eastAsia="宋体" w:cs="Times New Roman"/>
                <w:szCs w:val="21"/>
              </w:rPr>
              <w:t>、</w:t>
            </w:r>
            <w:r>
              <w:rPr>
                <w:rFonts w:ascii="Times New Roman" w:hAnsi="Times New Roman" w:eastAsia="宋体" w:cs="Times New Roman"/>
                <w:szCs w:val="21"/>
              </w:rPr>
              <w:t>显示器</w:t>
            </w:r>
            <w:r>
              <w:rPr>
                <w:rFonts w:hint="eastAsia" w:ascii="Times New Roman" w:hAnsi="Times New Roman" w:eastAsia="宋体" w:cs="Times New Roman"/>
                <w:szCs w:val="21"/>
              </w:rPr>
              <w:t>、</w:t>
            </w:r>
            <w:r>
              <w:rPr>
                <w:rFonts w:ascii="Times New Roman" w:hAnsi="Times New Roman" w:eastAsia="宋体" w:cs="Times New Roman"/>
                <w:szCs w:val="21"/>
              </w:rPr>
              <w:t>功放和中央控制器；尺寸：宽800～900cm；深700～800cm；高1000～1100cm，含防盗锁控。</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②</w:t>
            </w:r>
            <w:r>
              <w:rPr>
                <w:rFonts w:ascii="Times New Roman" w:hAnsi="Times New Roman" w:eastAsia="宋体" w:cs="Times New Roman"/>
                <w:szCs w:val="21"/>
              </w:rPr>
              <w:t>中央控制器：面板带USB接口、笔记本电脑VGA接口、笔记本音频接口；</w:t>
            </w:r>
            <w:r>
              <w:rPr>
                <w:rFonts w:hint="eastAsia" w:ascii="Times New Roman" w:hAnsi="Times New Roman" w:eastAsia="宋体" w:cs="Times New Roman"/>
                <w:szCs w:val="21"/>
              </w:rPr>
              <w:t>通过按钮可实现对</w:t>
            </w:r>
            <w:r>
              <w:rPr>
                <w:rFonts w:ascii="Times New Roman" w:hAnsi="Times New Roman" w:eastAsia="宋体" w:cs="Times New Roman"/>
                <w:szCs w:val="21"/>
              </w:rPr>
              <w:t>投影机、AV接口切换、电动幕布</w:t>
            </w:r>
            <w:r>
              <w:rPr>
                <w:rFonts w:hint="eastAsia" w:ascii="Times New Roman" w:hAnsi="Times New Roman" w:eastAsia="宋体" w:cs="Times New Roman"/>
                <w:szCs w:val="21"/>
              </w:rPr>
              <w:t>的控制</w:t>
            </w:r>
            <w:r>
              <w:rPr>
                <w:rFonts w:ascii="Times New Roman" w:hAnsi="Times New Roman" w:eastAsia="宋体" w:cs="Times New Roman"/>
                <w:szCs w:val="21"/>
              </w:rPr>
              <w:t>；一体化设计，铝制面板、铝合金按键。</w:t>
            </w:r>
          </w:p>
          <w:p>
            <w:pPr>
              <w:rPr>
                <w:rFonts w:ascii="Times New Roman" w:hAnsi="Times New Roman" w:eastAsia="宋体" w:cs="Times New Roman"/>
                <w:szCs w:val="21"/>
              </w:rPr>
            </w:pPr>
            <w:r>
              <w:rPr>
                <w:rFonts w:hint="eastAsia" w:ascii="宋体" w:hAnsi="宋体" w:eastAsia="宋体" w:cs="宋体"/>
                <w:szCs w:val="21"/>
              </w:rPr>
              <w:t>③</w:t>
            </w:r>
            <w:r>
              <w:rPr>
                <w:rFonts w:ascii="Times New Roman" w:hAnsi="Times New Roman" w:eastAsia="宋体" w:cs="Times New Roman"/>
                <w:szCs w:val="21"/>
              </w:rPr>
              <w:t>含安装所需附件，负责安装。</w:t>
            </w:r>
          </w:p>
          <w:p>
            <w:pPr>
              <w:rPr>
                <w:rFonts w:ascii="Times New Roman" w:hAnsi="Times New Roman" w:eastAsia="宋体" w:cs="Times New Roman"/>
                <w:szCs w:val="21"/>
              </w:rPr>
            </w:pPr>
            <w:r>
              <w:rPr>
                <w:rFonts w:ascii="Times New Roman" w:hAnsi="Times New Roman" w:eastAsia="宋体" w:cs="Times New Roman"/>
                <w:szCs w:val="21"/>
              </w:rPr>
              <w:t>2.计算机</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CPU</w:t>
            </w:r>
            <w:r>
              <w:rPr>
                <w:rFonts w:hint="eastAsia" w:ascii="Times New Roman" w:hAnsi="Times New Roman" w:eastAsia="宋体" w:cs="Times New Roman"/>
                <w:szCs w:val="21"/>
              </w:rPr>
              <w:t>：</w:t>
            </w:r>
            <w:r>
              <w:rPr>
                <w:rFonts w:ascii="Times New Roman" w:hAnsi="Times New Roman" w:eastAsia="宋体" w:cs="Times New Roman"/>
                <w:szCs w:val="21"/>
              </w:rPr>
              <w:t>酷睿i5</w:t>
            </w:r>
            <w:r>
              <w:rPr>
                <w:rFonts w:hint="eastAsia" w:ascii="Times New Roman" w:hAnsi="Times New Roman" w:eastAsia="宋体" w:cs="Times New Roman"/>
                <w:szCs w:val="21"/>
              </w:rPr>
              <w:t xml:space="preserve"> 十代及以上</w:t>
            </w:r>
            <w:r>
              <w:rPr>
                <w:rFonts w:ascii="Times New Roman" w:hAnsi="Times New Roman" w:eastAsia="宋体" w:cs="Times New Roman"/>
                <w:szCs w:val="21"/>
              </w:rPr>
              <w:t>，4核；硬盘≥500G；内存≥8G；液晶显示屏≥19寸。独立显卡</w:t>
            </w:r>
            <w:r>
              <w:rPr>
                <w:rFonts w:hint="eastAsia" w:ascii="Times New Roman" w:hAnsi="Times New Roman" w:eastAsia="宋体" w:cs="Times New Roman"/>
                <w:szCs w:val="21"/>
              </w:rPr>
              <w:t>，显存≥2G；</w:t>
            </w:r>
            <w:r>
              <w:rPr>
                <w:rFonts w:ascii="Times New Roman" w:hAnsi="Times New Roman" w:eastAsia="宋体" w:cs="Times New Roman"/>
                <w:szCs w:val="21"/>
              </w:rPr>
              <w:t>HDMI接口；WIN7操作系统；含USB</w:t>
            </w:r>
            <w:r>
              <w:rPr>
                <w:rFonts w:hint="eastAsia" w:ascii="Times New Roman" w:hAnsi="Times New Roman" w:eastAsia="宋体" w:cs="Times New Roman"/>
                <w:szCs w:val="21"/>
              </w:rPr>
              <w:t>口和</w:t>
            </w:r>
            <w:r>
              <w:rPr>
                <w:rFonts w:ascii="Times New Roman" w:hAnsi="Times New Roman" w:eastAsia="宋体" w:cs="Times New Roman"/>
                <w:szCs w:val="21"/>
              </w:rPr>
              <w:t>无线网卡（≥300Mbps）。</w:t>
            </w:r>
          </w:p>
          <w:p>
            <w:pPr>
              <w:snapToGrid w:val="0"/>
              <w:rPr>
                <w:rFonts w:ascii="Times New Roman" w:hAnsi="Times New Roman" w:eastAsia="宋体" w:cs="Times New Roman"/>
                <w:szCs w:val="21"/>
              </w:rPr>
            </w:pPr>
            <w:r>
              <w:rPr>
                <w:rFonts w:ascii="Times New Roman" w:hAnsi="Times New Roman" w:eastAsia="宋体" w:cs="Times New Roman"/>
                <w:szCs w:val="21"/>
              </w:rPr>
              <w:t>3.投影仪</w:t>
            </w:r>
          </w:p>
          <w:p>
            <w:pPr>
              <w:rPr>
                <w:rFonts w:ascii="Times New Roman" w:hAnsi="Times New Roman" w:eastAsia="宋体" w:cs="Times New Roman"/>
                <w:szCs w:val="21"/>
              </w:rPr>
            </w:pPr>
            <w:r>
              <w:rPr>
                <w:rFonts w:hint="eastAsia" w:ascii="宋体" w:hAnsi="宋体" w:eastAsia="宋体" w:cs="宋体"/>
                <w:szCs w:val="21"/>
              </w:rPr>
              <w:t>①</w:t>
            </w:r>
            <w:r>
              <w:rPr>
                <w:rFonts w:ascii="Times New Roman" w:hAnsi="Times New Roman" w:eastAsia="宋体" w:cs="Times New Roman"/>
                <w:szCs w:val="21"/>
              </w:rPr>
              <w:t>短焦投影机及电动幕布，投影距离：</w:t>
            </w:r>
            <w:r>
              <w:rPr>
                <w:rFonts w:hint="eastAsia" w:ascii="Times New Roman" w:hAnsi="Times New Roman" w:eastAsia="宋体" w:cs="Times New Roman"/>
                <w:szCs w:val="21"/>
              </w:rPr>
              <w:t>≤</w:t>
            </w:r>
            <w:r>
              <w:rPr>
                <w:rFonts w:ascii="Times New Roman" w:hAnsi="Times New Roman" w:eastAsia="宋体" w:cs="Times New Roman"/>
                <w:szCs w:val="21"/>
              </w:rPr>
              <w:t>2米；投影尺寸≥120</w:t>
            </w:r>
            <w:r>
              <w:rPr>
                <w:rFonts w:hint="eastAsia" w:ascii="Times New Roman" w:hAnsi="Times New Roman" w:eastAsia="宋体" w:cs="Times New Roman"/>
                <w:szCs w:val="21"/>
              </w:rPr>
              <w:t>英</w:t>
            </w:r>
            <w:r>
              <w:rPr>
                <w:rFonts w:ascii="Times New Roman" w:hAnsi="Times New Roman" w:eastAsia="宋体" w:cs="Times New Roman"/>
                <w:szCs w:val="21"/>
              </w:rPr>
              <w:t>寸。</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②</w:t>
            </w:r>
            <w:r>
              <w:rPr>
                <w:rFonts w:ascii="Times New Roman" w:hAnsi="Times New Roman" w:eastAsia="宋体" w:cs="Times New Roman"/>
                <w:szCs w:val="21"/>
              </w:rPr>
              <w:t>亮度：≥4000流明；对比度：≥10000:1；投影技术：3LCD；标准分辨率：</w:t>
            </w:r>
            <w:r>
              <w:rPr>
                <w:rFonts w:hint="eastAsia" w:ascii="Times New Roman" w:hAnsi="Times New Roman" w:eastAsia="宋体" w:cs="Times New Roman"/>
                <w:szCs w:val="21"/>
              </w:rPr>
              <w:t>≥</w:t>
            </w:r>
            <w:r>
              <w:rPr>
                <w:rFonts w:ascii="Times New Roman" w:hAnsi="Times New Roman" w:eastAsia="宋体" w:cs="Times New Roman"/>
                <w:szCs w:val="21"/>
              </w:rPr>
              <w:t>1024×768。</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③</w:t>
            </w:r>
            <w:r>
              <w:rPr>
                <w:rFonts w:ascii="Times New Roman" w:hAnsi="Times New Roman" w:eastAsia="宋体" w:cs="Times New Roman"/>
                <w:szCs w:val="21"/>
              </w:rPr>
              <w:t>屏幕比例：4:3；光源寿命：正常模式≥5000小时。</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④</w:t>
            </w:r>
            <w:r>
              <w:rPr>
                <w:rFonts w:ascii="Times New Roman" w:hAnsi="Times New Roman" w:eastAsia="宋体" w:cs="Times New Roman"/>
                <w:szCs w:val="21"/>
              </w:rPr>
              <w:t>含吊架（耐腐蚀）及安装辅材，负责安装。</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⑤</w:t>
            </w:r>
            <w:r>
              <w:rPr>
                <w:rFonts w:ascii="Times New Roman" w:hAnsi="Times New Roman" w:eastAsia="宋体" w:cs="Times New Roman"/>
                <w:szCs w:val="21"/>
              </w:rPr>
              <w:t>材质：玻珠；增益倍数＞2。</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4.功放：</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①</w:t>
            </w:r>
            <w:r>
              <w:rPr>
                <w:rFonts w:hint="eastAsia" w:ascii="Times New Roman" w:hAnsi="Times New Roman" w:eastAsia="宋体" w:cs="Times New Roman"/>
                <w:szCs w:val="21"/>
              </w:rPr>
              <w:t xml:space="preserve"> （</w:t>
            </w:r>
            <w:r>
              <w:rPr>
                <w:rFonts w:ascii="Times New Roman" w:hAnsi="Times New Roman" w:eastAsia="宋体" w:cs="Times New Roman"/>
                <w:szCs w:val="21"/>
              </w:rPr>
              <w:t>每套含一对音箱或扬声器）</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输出功率   300W+300W(THD＜1%1KHz</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频率范围（</w:t>
            </w:r>
            <w:r>
              <w:rPr>
                <w:rFonts w:hint="eastAsia" w:ascii="Times New Roman" w:hAnsi="Times New Roman" w:eastAsia="宋体" w:cs="Times New Roman"/>
                <w:szCs w:val="21"/>
              </w:rPr>
              <w:t>±</w:t>
            </w:r>
            <w:r>
              <w:rPr>
                <w:rFonts w:ascii="Times New Roman" w:hAnsi="Times New Roman" w:eastAsia="宋体" w:cs="Times New Roman"/>
                <w:szCs w:val="21"/>
              </w:rPr>
              <w:t>0.5dB）</w:t>
            </w:r>
            <w:r>
              <w:rPr>
                <w:rFonts w:hint="eastAsia" w:ascii="Times New Roman" w:hAnsi="Times New Roman" w:eastAsia="宋体" w:cs="Times New Roman"/>
                <w:szCs w:val="21"/>
              </w:rPr>
              <w:t>：</w:t>
            </w:r>
            <w:r>
              <w:rPr>
                <w:rFonts w:ascii="Times New Roman" w:hAnsi="Times New Roman" w:eastAsia="宋体" w:cs="Times New Roman"/>
                <w:szCs w:val="21"/>
              </w:rPr>
              <w:t>-20KHz</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输入灵敏度</w:t>
            </w:r>
            <w:r>
              <w:rPr>
                <w:rFonts w:hint="eastAsia" w:ascii="Times New Roman" w:hAnsi="Times New Roman" w:eastAsia="宋体" w:cs="Times New Roman"/>
                <w:szCs w:val="21"/>
              </w:rPr>
              <w:t>：</w:t>
            </w:r>
            <w:r>
              <w:rPr>
                <w:rFonts w:ascii="Times New Roman" w:hAnsi="Times New Roman" w:eastAsia="宋体" w:cs="Times New Roman"/>
                <w:szCs w:val="21"/>
              </w:rPr>
              <w:t xml:space="preserve"> 250mV</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输入阻抗</w:t>
            </w:r>
            <w:r>
              <w:rPr>
                <w:rFonts w:hint="eastAsia" w:ascii="Times New Roman" w:hAnsi="Times New Roman" w:eastAsia="宋体" w:cs="Times New Roman"/>
                <w:szCs w:val="21"/>
              </w:rPr>
              <w:t>：</w:t>
            </w:r>
            <w:r>
              <w:rPr>
                <w:rFonts w:ascii="Times New Roman" w:hAnsi="Times New Roman" w:eastAsia="宋体" w:cs="Times New Roman"/>
                <w:szCs w:val="21"/>
              </w:rPr>
              <w:t xml:space="preserve"> 47KΩ/信号 2K/话筒</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信噪比</w:t>
            </w:r>
            <w:r>
              <w:rPr>
                <w:rFonts w:hint="eastAsia" w:ascii="Times New Roman" w:hAnsi="Times New Roman" w:eastAsia="宋体" w:cs="Times New Roman"/>
                <w:szCs w:val="21"/>
              </w:rPr>
              <w:t>：</w:t>
            </w:r>
            <w:r>
              <w:rPr>
                <w:rFonts w:ascii="Times New Roman" w:hAnsi="Times New Roman" w:eastAsia="宋体" w:cs="Times New Roman"/>
                <w:szCs w:val="21"/>
              </w:rPr>
              <w:t>＞85dB</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麦克风输入</w:t>
            </w:r>
            <w:r>
              <w:rPr>
                <w:rFonts w:hint="eastAsia" w:ascii="Times New Roman" w:hAnsi="Times New Roman" w:eastAsia="宋体" w:cs="Times New Roman"/>
                <w:szCs w:val="21"/>
              </w:rPr>
              <w:t>：</w:t>
            </w:r>
            <w:r>
              <w:rPr>
                <w:rFonts w:ascii="Times New Roman" w:hAnsi="Times New Roman" w:eastAsia="宋体" w:cs="Times New Roman"/>
                <w:szCs w:val="21"/>
              </w:rPr>
              <w:t xml:space="preserve"> 20mV</w:t>
            </w:r>
            <w:r>
              <w:rPr>
                <w:rFonts w:hint="eastAsia" w:ascii="Times New Roman" w:hAnsi="Times New Roman" w:eastAsia="宋体" w:cs="Times New Roman"/>
                <w:szCs w:val="21"/>
              </w:rPr>
              <w:t>；</w:t>
            </w:r>
          </w:p>
          <w:p>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每路麦克风音色与效果可单独调节,可搭配不同音箱。</w:t>
            </w:r>
          </w:p>
          <w:p>
            <w:pPr>
              <w:adjustRightInd w:val="0"/>
              <w:snapToGrid w:val="0"/>
              <w:jc w:val="left"/>
              <w:rPr>
                <w:rFonts w:ascii="Times New Roman" w:hAnsi="Times New Roman" w:eastAsia="宋体" w:cs="Times New Roman"/>
                <w:szCs w:val="21"/>
              </w:rPr>
            </w:pPr>
            <w:r>
              <w:rPr>
                <w:rFonts w:hint="eastAsia" w:ascii="宋体" w:hAnsi="宋体" w:eastAsia="宋体" w:cs="宋体"/>
                <w:szCs w:val="21"/>
              </w:rPr>
              <w:t>②</w:t>
            </w:r>
            <w:r>
              <w:rPr>
                <w:rFonts w:ascii="Times New Roman" w:hAnsi="Times New Roman" w:eastAsia="宋体" w:cs="Times New Roman"/>
                <w:szCs w:val="21"/>
              </w:rPr>
              <w:t xml:space="preserve">音箱/扬声器规格：≥10寸，≥2单元；功率100-200W；频响48Hz-20KHz；灵敏度: </w:t>
            </w:r>
            <w:r>
              <w:rPr>
                <w:rFonts w:hint="eastAsia" w:ascii="Times New Roman" w:hAnsi="Times New Roman" w:eastAsia="宋体" w:cs="Times New Roman"/>
                <w:szCs w:val="21"/>
              </w:rPr>
              <w:t>≥</w:t>
            </w:r>
            <w:r>
              <w:rPr>
                <w:rFonts w:ascii="Times New Roman" w:hAnsi="Times New Roman" w:eastAsia="宋体" w:cs="Times New Roman"/>
                <w:szCs w:val="21"/>
              </w:rPr>
              <w:t>96dB；阻抗：</w:t>
            </w:r>
            <w:r>
              <w:rPr>
                <w:rFonts w:hint="eastAsia" w:ascii="Times New Roman" w:hAnsi="Times New Roman" w:eastAsia="宋体" w:cs="Times New Roman"/>
                <w:szCs w:val="21"/>
              </w:rPr>
              <w:t>≤</w:t>
            </w:r>
            <w:r>
              <w:rPr>
                <w:rFonts w:ascii="Times New Roman" w:hAnsi="Times New Roman" w:eastAsia="宋体" w:cs="Times New Roman"/>
                <w:szCs w:val="21"/>
              </w:rPr>
              <w:t>8Ω；覆盖角度：</w:t>
            </w:r>
            <w:r>
              <w:rPr>
                <w:rFonts w:hint="eastAsia" w:ascii="Times New Roman" w:hAnsi="Times New Roman" w:eastAsia="宋体" w:cs="Times New Roman"/>
                <w:szCs w:val="21"/>
              </w:rPr>
              <w:t>≥</w:t>
            </w:r>
            <w:r>
              <w:rPr>
                <w:rFonts w:ascii="Times New Roman" w:hAnsi="Times New Roman" w:eastAsia="宋体" w:cs="Times New Roman"/>
                <w:szCs w:val="21"/>
              </w:rPr>
              <w:t>100°(H)×50°(V)。</w:t>
            </w:r>
          </w:p>
          <w:p>
            <w:pPr>
              <w:rPr>
                <w:rFonts w:ascii="Times New Roman" w:hAnsi="Times New Roman" w:eastAsia="宋体" w:cs="Times New Roman"/>
                <w:szCs w:val="21"/>
              </w:rPr>
            </w:pPr>
            <w:r>
              <w:rPr>
                <w:rFonts w:hint="eastAsia" w:ascii="宋体" w:hAnsi="宋体" w:eastAsia="宋体" w:cs="宋体"/>
                <w:szCs w:val="21"/>
              </w:rPr>
              <w:t>③</w:t>
            </w:r>
            <w:r>
              <w:rPr>
                <w:rFonts w:ascii="Times New Roman" w:hAnsi="Times New Roman" w:eastAsia="宋体" w:cs="Times New Roman"/>
                <w:szCs w:val="21"/>
              </w:rPr>
              <w:t>含壁架及安装辅材</w:t>
            </w:r>
            <w:r>
              <w:rPr>
                <w:rFonts w:hint="eastAsia" w:ascii="Times New Roman" w:hAnsi="Times New Roman" w:eastAsia="宋体" w:cs="Times New Roman"/>
                <w:szCs w:val="21"/>
              </w:rPr>
              <w:t>，</w:t>
            </w:r>
            <w:r>
              <w:rPr>
                <w:rFonts w:ascii="Times New Roman" w:hAnsi="Times New Roman" w:eastAsia="宋体" w:cs="Times New Roman"/>
                <w:szCs w:val="21"/>
              </w:rPr>
              <w:t>负责安装</w:t>
            </w:r>
            <w:r>
              <w:rPr>
                <w:rFonts w:hint="eastAsia" w:ascii="Times New Roman" w:hAnsi="Times New Roman" w:eastAsia="宋体" w:cs="Times New Roman"/>
                <w:szCs w:val="21"/>
              </w:rPr>
              <w:t>，配4条HDMI线</w:t>
            </w:r>
            <w:r>
              <w:rPr>
                <w:rFonts w:ascii="Times New Roman" w:hAnsi="Times New Roman" w:eastAsia="宋体" w:cs="Times New Roman"/>
                <w:szCs w:val="21"/>
              </w:rPr>
              <w:t>。</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套</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9"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18</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酸度计</w:t>
            </w:r>
          </w:p>
        </w:tc>
        <w:tc>
          <w:tcPr>
            <w:tcW w:w="3776" w:type="dxa"/>
          </w:tcPr>
          <w:p>
            <w:pPr>
              <w:rPr>
                <w:rFonts w:ascii="Times New Roman" w:hAnsi="Times New Roman" w:eastAsia="宋体" w:cs="Times New Roman"/>
                <w:szCs w:val="21"/>
              </w:rPr>
            </w:pPr>
            <w:r>
              <w:rPr>
                <w:rFonts w:ascii="Times New Roman" w:hAnsi="Times New Roman" w:eastAsia="宋体" w:cs="Times New Roman"/>
                <w:szCs w:val="21"/>
              </w:rPr>
              <w:t>分辨率：</w:t>
            </w:r>
            <w:r>
              <w:rPr>
                <w:rFonts w:hint="eastAsia" w:ascii="Times New Roman" w:hAnsi="Times New Roman" w:eastAsia="宋体" w:cs="Times New Roman"/>
                <w:szCs w:val="21"/>
              </w:rPr>
              <w:t>≤</w:t>
            </w:r>
            <w:r>
              <w:rPr>
                <w:rFonts w:ascii="Times New Roman" w:hAnsi="Times New Roman" w:eastAsia="宋体" w:cs="Times New Roman"/>
                <w:szCs w:val="21"/>
              </w:rPr>
              <w:t>0.001pH；</w:t>
            </w:r>
          </w:p>
          <w:p>
            <w:pPr>
              <w:rPr>
                <w:rFonts w:ascii="Times New Roman" w:hAnsi="Times New Roman" w:eastAsia="宋体" w:cs="Times New Roman"/>
                <w:szCs w:val="21"/>
              </w:rPr>
            </w:pPr>
            <w:r>
              <w:rPr>
                <w:rFonts w:hint="eastAsia" w:ascii="Times New Roman" w:hAnsi="Times New Roman" w:eastAsia="宋体" w:cs="Times New Roman"/>
                <w:szCs w:val="21"/>
              </w:rPr>
              <w:t>检测</w:t>
            </w:r>
            <w:r>
              <w:rPr>
                <w:rFonts w:ascii="Times New Roman" w:hAnsi="Times New Roman" w:eastAsia="宋体" w:cs="Times New Roman"/>
                <w:szCs w:val="21"/>
              </w:rPr>
              <w:t>范围</w:t>
            </w:r>
            <w:r>
              <w:rPr>
                <w:rFonts w:hint="eastAsia" w:ascii="Times New Roman" w:hAnsi="Times New Roman" w:eastAsia="宋体" w:cs="Times New Roman"/>
                <w:szCs w:val="21"/>
              </w:rPr>
              <w:t>：</w:t>
            </w:r>
            <w:r>
              <w:rPr>
                <w:rFonts w:ascii="Times New Roman" w:hAnsi="Times New Roman" w:eastAsia="宋体" w:cs="Times New Roman"/>
                <w:szCs w:val="21"/>
              </w:rPr>
              <w:t>0～14pH；</w:t>
            </w:r>
          </w:p>
          <w:p>
            <w:pPr>
              <w:rPr>
                <w:rFonts w:ascii="Times New Roman" w:hAnsi="Times New Roman" w:eastAsia="宋体" w:cs="Times New Roman"/>
                <w:szCs w:val="21"/>
              </w:rPr>
            </w:pPr>
            <w:r>
              <w:rPr>
                <w:rFonts w:ascii="Times New Roman" w:hAnsi="Times New Roman" w:eastAsia="宋体" w:cs="Times New Roman"/>
                <w:szCs w:val="21"/>
              </w:rPr>
              <w:t>误差：</w:t>
            </w:r>
            <w:r>
              <w:t>≤</w:t>
            </w:r>
            <w:r>
              <w:rPr>
                <w:rFonts w:ascii="Times New Roman" w:hAnsi="Times New Roman" w:eastAsia="宋体" w:cs="Times New Roman"/>
                <w:szCs w:val="21"/>
              </w:rPr>
              <w:t>±0.005pH±1个字；</w:t>
            </w:r>
          </w:p>
          <w:p>
            <w:pPr>
              <w:rPr>
                <w:rFonts w:ascii="Times New Roman" w:hAnsi="Times New Roman" w:eastAsia="宋体" w:cs="Times New Roman"/>
                <w:szCs w:val="21"/>
              </w:rPr>
            </w:pPr>
            <w:r>
              <w:rPr>
                <w:rFonts w:ascii="Times New Roman" w:hAnsi="Times New Roman" w:eastAsia="宋体" w:cs="Times New Roman"/>
                <w:szCs w:val="21"/>
              </w:rPr>
              <w:t>稳定性：</w:t>
            </w:r>
            <w:r>
              <w:t>≤</w:t>
            </w:r>
            <w:r>
              <w:rPr>
                <w:rFonts w:ascii="Times New Roman" w:hAnsi="Times New Roman" w:eastAsia="宋体" w:cs="Times New Roman"/>
                <w:szCs w:val="21"/>
              </w:rPr>
              <w:t>±0.005pH+1个字；</w:t>
            </w:r>
          </w:p>
          <w:p>
            <w:pPr>
              <w:rPr>
                <w:rFonts w:ascii="Times New Roman" w:hAnsi="Times New Roman" w:eastAsia="宋体" w:cs="Times New Roman"/>
                <w:szCs w:val="21"/>
              </w:rPr>
            </w:pPr>
            <w:r>
              <w:rPr>
                <w:rFonts w:ascii="Times New Roman" w:hAnsi="Times New Roman" w:eastAsia="宋体" w:cs="Times New Roman"/>
                <w:szCs w:val="21"/>
              </w:rPr>
              <w:t>温度补偿：自动；</w:t>
            </w:r>
          </w:p>
          <w:p>
            <w:pPr>
              <w:rPr>
                <w:rFonts w:ascii="Times New Roman" w:hAnsi="Times New Roman" w:eastAsia="宋体" w:cs="Times New Roman"/>
                <w:szCs w:val="21"/>
              </w:rPr>
            </w:pPr>
            <w:r>
              <w:rPr>
                <w:rFonts w:ascii="Times New Roman" w:hAnsi="Times New Roman" w:eastAsia="宋体" w:cs="Times New Roman"/>
                <w:szCs w:val="21"/>
              </w:rPr>
              <w:t>温度分辨率：</w:t>
            </w:r>
            <w:r>
              <w:rPr>
                <w:rFonts w:hint="eastAsia" w:ascii="Times New Roman" w:hAnsi="Times New Roman" w:eastAsia="宋体" w:cs="Times New Roman"/>
                <w:szCs w:val="21"/>
              </w:rPr>
              <w:t>≤</w:t>
            </w:r>
            <w:r>
              <w:rPr>
                <w:rFonts w:ascii="Times New Roman" w:hAnsi="Times New Roman" w:eastAsia="宋体" w:cs="Times New Roman"/>
                <w:szCs w:val="21"/>
              </w:rPr>
              <w:t>0.1℃；</w:t>
            </w:r>
          </w:p>
          <w:p>
            <w:pPr>
              <w:rPr>
                <w:rFonts w:ascii="Times New Roman" w:hAnsi="Times New Roman" w:eastAsia="宋体" w:cs="Times New Roman"/>
                <w:szCs w:val="21"/>
              </w:rPr>
            </w:pPr>
            <w:r>
              <w:rPr>
                <w:rFonts w:ascii="Times New Roman" w:hAnsi="Times New Roman" w:eastAsia="宋体" w:cs="Times New Roman"/>
                <w:szCs w:val="21"/>
              </w:rPr>
              <w:t>温度显示：-5～105℃；</w:t>
            </w:r>
          </w:p>
          <w:p>
            <w:pPr>
              <w:rPr>
                <w:rFonts w:ascii="Times New Roman" w:hAnsi="Times New Roman" w:eastAsia="宋体" w:cs="Times New Roman"/>
                <w:szCs w:val="21"/>
              </w:rPr>
            </w:pPr>
            <w:r>
              <w:rPr>
                <w:rFonts w:ascii="Times New Roman" w:hAnsi="Times New Roman" w:eastAsia="宋体" w:cs="Times New Roman"/>
                <w:szCs w:val="21"/>
              </w:rPr>
              <w:t>配备2个电极。</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8"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旋转蒸发仪</w:t>
            </w:r>
          </w:p>
        </w:tc>
        <w:tc>
          <w:tcPr>
            <w:tcW w:w="3776" w:type="dxa"/>
          </w:tcPr>
          <w:p>
            <w:pPr>
              <w:rPr>
                <w:rFonts w:ascii="Times New Roman" w:hAnsi="Times New Roman" w:eastAsia="宋体" w:cs="Times New Roman"/>
                <w:szCs w:val="21"/>
              </w:rPr>
            </w:pPr>
            <w:r>
              <w:rPr>
                <w:rFonts w:ascii="Times New Roman" w:hAnsi="Times New Roman" w:eastAsia="宋体" w:cs="Times New Roman"/>
                <w:szCs w:val="21"/>
              </w:rPr>
              <w:t>转速范围：20</w:t>
            </w:r>
            <w:r>
              <w:rPr>
                <w:rFonts w:hint="eastAsia" w:ascii="Times New Roman" w:hAnsi="Times New Roman" w:eastAsia="宋体" w:cs="Times New Roman"/>
                <w:szCs w:val="21"/>
              </w:rPr>
              <w:t>~</w:t>
            </w:r>
            <w:r>
              <w:rPr>
                <w:rFonts w:ascii="Times New Roman" w:hAnsi="Times New Roman" w:eastAsia="宋体" w:cs="Times New Roman"/>
                <w:szCs w:val="21"/>
              </w:rPr>
              <w:t>200rpm；</w:t>
            </w:r>
          </w:p>
          <w:p>
            <w:pPr>
              <w:rPr>
                <w:rFonts w:ascii="Times New Roman" w:hAnsi="Times New Roman" w:eastAsia="宋体" w:cs="Times New Roman"/>
                <w:szCs w:val="21"/>
              </w:rPr>
            </w:pPr>
            <w:r>
              <w:rPr>
                <w:rFonts w:ascii="Times New Roman" w:hAnsi="Times New Roman" w:eastAsia="宋体" w:cs="Times New Roman"/>
                <w:szCs w:val="21"/>
              </w:rPr>
              <w:t>显示屏：LED（速度/温度/时间）；</w:t>
            </w:r>
          </w:p>
          <w:p>
            <w:pPr>
              <w:rPr>
                <w:rFonts w:ascii="Times New Roman" w:hAnsi="Times New Roman" w:eastAsia="宋体" w:cs="Times New Roman"/>
                <w:szCs w:val="21"/>
              </w:rPr>
            </w:pPr>
            <w:r>
              <w:rPr>
                <w:rFonts w:ascii="Times New Roman" w:hAnsi="Times New Roman" w:eastAsia="宋体" w:cs="Times New Roman"/>
                <w:szCs w:val="21"/>
              </w:rPr>
              <w:t>正反向旋转：有；</w:t>
            </w:r>
          </w:p>
          <w:p>
            <w:pPr>
              <w:rPr>
                <w:rFonts w:ascii="Times New Roman" w:hAnsi="Times New Roman" w:eastAsia="宋体" w:cs="Times New Roman"/>
                <w:szCs w:val="21"/>
              </w:rPr>
            </w:pPr>
            <w:r>
              <w:rPr>
                <w:rFonts w:ascii="Times New Roman" w:hAnsi="Times New Roman" w:eastAsia="宋体" w:cs="Times New Roman"/>
                <w:szCs w:val="21"/>
              </w:rPr>
              <w:t>温度范围：室温~180℃；</w:t>
            </w:r>
          </w:p>
          <w:p>
            <w:pPr>
              <w:rPr>
                <w:rFonts w:ascii="Times New Roman" w:hAnsi="Times New Roman" w:eastAsia="宋体" w:cs="Times New Roman"/>
                <w:szCs w:val="21"/>
              </w:rPr>
            </w:pPr>
            <w:r>
              <w:rPr>
                <w:rFonts w:ascii="Times New Roman" w:hAnsi="Times New Roman" w:eastAsia="宋体" w:cs="Times New Roman"/>
                <w:szCs w:val="21"/>
              </w:rPr>
              <w:t>温度控制精度：水浴：</w:t>
            </w:r>
            <w:r>
              <w:rPr>
                <w:rFonts w:hint="eastAsia" w:ascii="Times New Roman" w:hAnsi="Times New Roman" w:eastAsia="宋体" w:cs="Times New Roman"/>
                <w:szCs w:val="21"/>
              </w:rPr>
              <w:t>≤</w:t>
            </w:r>
            <w:r>
              <w:rPr>
                <w:rFonts w:ascii="Times New Roman" w:hAnsi="Times New Roman" w:eastAsia="宋体" w:cs="Times New Roman"/>
                <w:szCs w:val="21"/>
              </w:rPr>
              <w:t>±1℃；油浴：</w:t>
            </w:r>
            <w:r>
              <w:rPr>
                <w:rFonts w:hint="eastAsia" w:ascii="Times New Roman" w:hAnsi="Times New Roman" w:eastAsia="宋体" w:cs="Times New Roman"/>
                <w:szCs w:val="21"/>
              </w:rPr>
              <w:t>≤</w:t>
            </w:r>
            <w:r>
              <w:rPr>
                <w:rFonts w:ascii="Times New Roman" w:hAnsi="Times New Roman" w:eastAsia="宋体" w:cs="Times New Roman"/>
                <w:szCs w:val="21"/>
              </w:rPr>
              <w:t>±3℃；</w:t>
            </w:r>
          </w:p>
          <w:p>
            <w:pPr>
              <w:rPr>
                <w:rFonts w:ascii="Times New Roman" w:hAnsi="Times New Roman" w:eastAsia="宋体" w:cs="Times New Roman"/>
                <w:szCs w:val="21"/>
              </w:rPr>
            </w:pPr>
            <w:r>
              <w:rPr>
                <w:rFonts w:ascii="Times New Roman" w:hAnsi="Times New Roman" w:eastAsia="宋体" w:cs="Times New Roman"/>
                <w:szCs w:val="21"/>
              </w:rPr>
              <w:t>加热功率：</w:t>
            </w:r>
            <w:r>
              <w:rPr>
                <w:rFonts w:hint="eastAsia" w:eastAsia="宋体"/>
              </w:rPr>
              <w:t>≥</w:t>
            </w:r>
            <w:r>
              <w:t>1</w:t>
            </w:r>
            <w:r>
              <w:rPr>
                <w:rFonts w:hint="eastAsia"/>
              </w:rPr>
              <w:t>10</w:t>
            </w:r>
            <w:r>
              <w:t>0 W</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升降行程：手动</w:t>
            </w:r>
            <w:r>
              <w:rPr>
                <w:rFonts w:hint="eastAsia" w:ascii="Times New Roman" w:hAnsi="Times New Roman" w:eastAsia="宋体" w:cs="Times New Roman"/>
                <w:szCs w:val="21"/>
              </w:rPr>
              <w:t>≥</w:t>
            </w:r>
            <w:r>
              <w:rPr>
                <w:rFonts w:ascii="Times New Roman" w:hAnsi="Times New Roman" w:eastAsia="宋体" w:cs="Times New Roman"/>
                <w:szCs w:val="21"/>
              </w:rPr>
              <w:t>110mm+辅助延长</w:t>
            </w:r>
            <w:r>
              <w:rPr>
                <w:rFonts w:hint="eastAsia" w:ascii="Times New Roman" w:hAnsi="Times New Roman" w:eastAsia="宋体" w:cs="Times New Roman"/>
                <w:szCs w:val="21"/>
              </w:rPr>
              <w:t>≥</w:t>
            </w:r>
            <w:r>
              <w:rPr>
                <w:rFonts w:ascii="Times New Roman" w:hAnsi="Times New Roman" w:eastAsia="宋体" w:cs="Times New Roman"/>
                <w:szCs w:val="21"/>
              </w:rPr>
              <w:t>100mm；</w:t>
            </w:r>
          </w:p>
          <w:p>
            <w:pPr>
              <w:rPr>
                <w:rFonts w:ascii="Times New Roman" w:hAnsi="Times New Roman" w:eastAsia="宋体" w:cs="Times New Roman"/>
                <w:szCs w:val="21"/>
              </w:rPr>
            </w:pPr>
            <w:r>
              <w:rPr>
                <w:rFonts w:ascii="Times New Roman" w:hAnsi="Times New Roman" w:eastAsia="宋体" w:cs="Times New Roman"/>
                <w:szCs w:val="21"/>
              </w:rPr>
              <w:t>正反转间歇时间设定：1~999 秒。</w:t>
            </w:r>
          </w:p>
          <w:p>
            <w:pPr>
              <w:rPr>
                <w:rFonts w:ascii="Times New Roman" w:hAnsi="Times New Roman" w:eastAsia="宋体" w:cs="Times New Roman"/>
                <w:szCs w:val="21"/>
              </w:rPr>
            </w:pPr>
            <w:r>
              <w:rPr>
                <w:rFonts w:hint="eastAsia" w:ascii="Times New Roman" w:hAnsi="Times New Roman" w:eastAsia="宋体" w:cs="Times New Roman"/>
                <w:szCs w:val="21"/>
              </w:rPr>
              <w:t>容量瓶体积：50~2000mL</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7"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0</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kern w:val="0"/>
                <w:szCs w:val="21"/>
              </w:rPr>
              <w:t>防腐双表双抽循环水真空泵</w:t>
            </w:r>
          </w:p>
        </w:tc>
        <w:tc>
          <w:tcPr>
            <w:tcW w:w="3776" w:type="dxa"/>
          </w:tcPr>
          <w:p>
            <w:pPr>
              <w:pStyle w:val="17"/>
              <w:spacing w:beforeAutospacing="0" w:afterAutospacing="0"/>
              <w:rPr>
                <w:rFonts w:ascii="Times New Roman" w:hAnsi="Times New Roman"/>
                <w:sz w:val="21"/>
                <w:szCs w:val="21"/>
              </w:rPr>
            </w:pPr>
            <w:r>
              <w:rPr>
                <w:rFonts w:ascii="Times New Roman" w:hAnsi="Times New Roman"/>
                <w:sz w:val="21"/>
                <w:szCs w:val="21"/>
              </w:rPr>
              <w:t>采用二抽头，可单独或并联使用装有两个真空表；</w:t>
            </w:r>
          </w:p>
          <w:p>
            <w:pPr>
              <w:pStyle w:val="17"/>
              <w:spacing w:beforeAutospacing="0" w:afterAutospacing="0"/>
              <w:rPr>
                <w:rFonts w:ascii="Times New Roman" w:hAnsi="Times New Roman"/>
                <w:sz w:val="21"/>
                <w:szCs w:val="21"/>
              </w:rPr>
            </w:pPr>
            <w:r>
              <w:rPr>
                <w:rFonts w:ascii="Times New Roman" w:hAnsi="Times New Roman"/>
                <w:sz w:val="21"/>
                <w:szCs w:val="21"/>
              </w:rPr>
              <w:t>主机采用不锈钢材质机芯制造。</w:t>
            </w:r>
          </w:p>
          <w:p>
            <w:pPr>
              <w:pStyle w:val="17"/>
              <w:spacing w:beforeAutospacing="0" w:afterAutospacing="0"/>
              <w:rPr>
                <w:rFonts w:ascii="Times New Roman" w:hAnsi="Times New Roman"/>
                <w:sz w:val="21"/>
                <w:szCs w:val="21"/>
              </w:rPr>
            </w:pPr>
            <w:r>
              <w:rPr>
                <w:rFonts w:ascii="Times New Roman" w:hAnsi="Times New Roman"/>
                <w:sz w:val="21"/>
                <w:szCs w:val="21"/>
              </w:rPr>
              <w:t>耐腐蚀、无污染、噪音低、移动方便，</w:t>
            </w:r>
            <w:r>
              <w:rPr>
                <w:rFonts w:hint="eastAsia" w:ascii="Times New Roman" w:hAnsi="Times New Roman"/>
                <w:sz w:val="21"/>
                <w:szCs w:val="21"/>
              </w:rPr>
              <w:t>并</w:t>
            </w:r>
            <w:r>
              <w:rPr>
                <w:rFonts w:ascii="Times New Roman" w:hAnsi="Times New Roman"/>
                <w:sz w:val="21"/>
                <w:szCs w:val="21"/>
              </w:rPr>
              <w:t>可根据用户需要加装真空调节阀。</w:t>
            </w:r>
          </w:p>
          <w:p>
            <w:pPr>
              <w:rPr>
                <w:rFonts w:ascii="Times New Roman" w:hAnsi="Times New Roman" w:eastAsia="宋体" w:cs="Times New Roman"/>
                <w:szCs w:val="21"/>
              </w:rPr>
            </w:pPr>
            <w:r>
              <w:rPr>
                <w:rFonts w:ascii="Times New Roman" w:hAnsi="Times New Roman" w:eastAsia="宋体" w:cs="Times New Roman"/>
                <w:szCs w:val="21"/>
              </w:rPr>
              <w:t>流量：≥50 L/min；</w:t>
            </w:r>
          </w:p>
          <w:p>
            <w:pPr>
              <w:rPr>
                <w:rFonts w:ascii="Times New Roman" w:hAnsi="Times New Roman" w:eastAsia="宋体" w:cs="Times New Roman"/>
                <w:szCs w:val="21"/>
              </w:rPr>
            </w:pPr>
            <w:r>
              <w:rPr>
                <w:rFonts w:ascii="Times New Roman" w:hAnsi="Times New Roman" w:eastAsia="宋体" w:cs="Times New Roman"/>
                <w:szCs w:val="21"/>
              </w:rPr>
              <w:t>扬程：≥7 m；</w:t>
            </w:r>
          </w:p>
          <w:p>
            <w:pPr>
              <w:rPr>
                <w:rFonts w:ascii="Times New Roman" w:hAnsi="Times New Roman" w:eastAsia="宋体" w:cs="Times New Roman"/>
                <w:szCs w:val="21"/>
              </w:rPr>
            </w:pPr>
            <w:r>
              <w:rPr>
                <w:rFonts w:ascii="Times New Roman" w:hAnsi="Times New Roman" w:eastAsia="宋体" w:cs="Times New Roman"/>
                <w:szCs w:val="21"/>
              </w:rPr>
              <w:t>最大真空度：0.098 Mpa；</w:t>
            </w:r>
          </w:p>
          <w:p>
            <w:pPr>
              <w:rPr>
                <w:rFonts w:ascii="Times New Roman" w:hAnsi="Times New Roman" w:eastAsia="宋体" w:cs="Times New Roman"/>
                <w:szCs w:val="21"/>
              </w:rPr>
            </w:pPr>
            <w:r>
              <w:rPr>
                <w:rFonts w:ascii="Times New Roman" w:hAnsi="Times New Roman" w:eastAsia="宋体" w:cs="Times New Roman"/>
                <w:szCs w:val="21"/>
              </w:rPr>
              <w:t>单头抽气量：≥9 L/min；</w:t>
            </w:r>
          </w:p>
          <w:p>
            <w:pPr>
              <w:pStyle w:val="17"/>
              <w:spacing w:beforeAutospacing="0" w:afterAutospacing="0"/>
              <w:rPr>
                <w:rFonts w:ascii="Times New Roman" w:hAnsi="Times New Roman"/>
                <w:sz w:val="21"/>
                <w:szCs w:val="21"/>
              </w:rPr>
            </w:pPr>
            <w:r>
              <w:rPr>
                <w:rFonts w:ascii="Times New Roman" w:hAnsi="Times New Roman"/>
                <w:sz w:val="21"/>
                <w:szCs w:val="21"/>
              </w:rPr>
              <w:t>抽气头数：</w:t>
            </w:r>
            <w:r>
              <w:rPr>
                <w:rFonts w:hint="eastAsia" w:ascii="Times New Roman" w:hAnsi="Times New Roman"/>
                <w:sz w:val="21"/>
                <w:szCs w:val="21"/>
              </w:rPr>
              <w:t>≥</w:t>
            </w:r>
            <w:r>
              <w:rPr>
                <w:rFonts w:ascii="Times New Roman" w:hAnsi="Times New Roman"/>
                <w:sz w:val="21"/>
                <w:szCs w:val="21"/>
              </w:rPr>
              <w:t>2个。</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9"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1</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控温磁力搅拌器</w:t>
            </w:r>
          </w:p>
        </w:tc>
        <w:tc>
          <w:tcPr>
            <w:tcW w:w="3776" w:type="dxa"/>
          </w:tcPr>
          <w:p>
            <w:pPr>
              <w:rPr>
                <w:kern w:val="0"/>
                <w:sz w:val="21"/>
                <w:szCs w:val="21"/>
              </w:rPr>
            </w:pPr>
            <w:r>
              <w:rPr>
                <w:rFonts w:hint="eastAsia"/>
                <w:kern w:val="0"/>
                <w:sz w:val="21"/>
                <w:szCs w:val="21"/>
              </w:rPr>
              <w:t>工作盘尺寸：≤φ</w:t>
            </w:r>
            <w:r>
              <w:rPr>
                <w:kern w:val="0"/>
                <w:sz w:val="21"/>
                <w:szCs w:val="21"/>
              </w:rPr>
              <w:t>135mm；</w:t>
            </w:r>
          </w:p>
          <w:p>
            <w:pPr>
              <w:rPr>
                <w:kern w:val="0"/>
                <w:sz w:val="21"/>
                <w:szCs w:val="21"/>
              </w:rPr>
            </w:pPr>
            <w:r>
              <w:rPr>
                <w:rFonts w:hint="eastAsia"/>
                <w:kern w:val="0"/>
                <w:sz w:val="21"/>
                <w:szCs w:val="21"/>
              </w:rPr>
              <w:t>盘面材料：不锈钢陶瓷涂层；</w:t>
            </w:r>
          </w:p>
          <w:p>
            <w:pPr>
              <w:rPr>
                <w:kern w:val="0"/>
                <w:sz w:val="21"/>
                <w:szCs w:val="21"/>
                <w:highlight w:val="yellow"/>
              </w:rPr>
            </w:pPr>
            <w:r>
              <w:rPr>
                <w:rFonts w:hint="eastAsia"/>
                <w:kern w:val="0"/>
                <w:sz w:val="21"/>
                <w:szCs w:val="21"/>
                <w:highlight w:val="none"/>
              </w:rPr>
              <w:t>电机类型：直流无刷电机</w:t>
            </w:r>
          </w:p>
          <w:p>
            <w:pPr>
              <w:rPr>
                <w:kern w:val="0"/>
                <w:sz w:val="21"/>
                <w:szCs w:val="21"/>
              </w:rPr>
            </w:pPr>
            <w:r>
              <w:rPr>
                <w:rFonts w:hint="eastAsia"/>
                <w:kern w:val="0"/>
                <w:sz w:val="21"/>
                <w:szCs w:val="21"/>
              </w:rPr>
              <w:t>功率：≥</w:t>
            </w:r>
            <w:r>
              <w:rPr>
                <w:kern w:val="0"/>
                <w:sz w:val="21"/>
                <w:szCs w:val="21"/>
              </w:rPr>
              <w:t>5</w:t>
            </w:r>
            <w:r>
              <w:rPr>
                <w:rFonts w:hint="eastAsia"/>
                <w:kern w:val="0"/>
                <w:sz w:val="21"/>
                <w:szCs w:val="21"/>
              </w:rPr>
              <w:t>00</w:t>
            </w:r>
            <w:r>
              <w:rPr>
                <w:kern w:val="0"/>
                <w:sz w:val="21"/>
                <w:szCs w:val="21"/>
              </w:rPr>
              <w:t>W；</w:t>
            </w:r>
          </w:p>
          <w:p>
            <w:pPr>
              <w:rPr>
                <w:kern w:val="0"/>
                <w:sz w:val="21"/>
                <w:szCs w:val="21"/>
              </w:rPr>
            </w:pPr>
            <w:r>
              <w:rPr>
                <w:rFonts w:hint="eastAsia"/>
                <w:kern w:val="0"/>
                <w:sz w:val="21"/>
                <w:szCs w:val="21"/>
                <w:highlight w:val="none"/>
              </w:rPr>
              <w:t>最大搅拌量</w:t>
            </w:r>
            <w:r>
              <w:rPr>
                <w:kern w:val="0"/>
                <w:sz w:val="21"/>
                <w:szCs w:val="21"/>
                <w:highlight w:val="none"/>
              </w:rPr>
              <w:t>(H</w:t>
            </w:r>
            <w:r>
              <w:rPr>
                <w:kern w:val="0"/>
                <w:sz w:val="21"/>
                <w:szCs w:val="21"/>
                <w:highlight w:val="none"/>
                <w:vertAlign w:val="subscript"/>
              </w:rPr>
              <w:t>2</w:t>
            </w:r>
            <w:r>
              <w:rPr>
                <w:kern w:val="0"/>
                <w:sz w:val="21"/>
                <w:szCs w:val="21"/>
                <w:highlight w:val="none"/>
              </w:rPr>
              <w:t>O) ：</w:t>
            </w:r>
            <w:r>
              <w:rPr>
                <w:rFonts w:hint="eastAsia"/>
                <w:kern w:val="0"/>
                <w:sz w:val="21"/>
                <w:szCs w:val="21"/>
                <w:highlight w:val="none"/>
              </w:rPr>
              <w:t>约100 mL</w:t>
            </w:r>
            <w:r>
              <w:rPr>
                <w:kern w:val="0"/>
                <w:sz w:val="21"/>
                <w:szCs w:val="21"/>
              </w:rPr>
              <w:t>；</w:t>
            </w:r>
          </w:p>
          <w:p>
            <w:pPr>
              <w:rPr>
                <w:kern w:val="0"/>
                <w:sz w:val="21"/>
                <w:szCs w:val="21"/>
              </w:rPr>
            </w:pPr>
            <w:r>
              <w:rPr>
                <w:rFonts w:hint="eastAsia"/>
                <w:kern w:val="0"/>
                <w:sz w:val="21"/>
                <w:szCs w:val="21"/>
              </w:rPr>
              <w:t>搅拌子最大直径尺寸：≤3</w:t>
            </w:r>
            <w:r>
              <w:rPr>
                <w:kern w:val="0"/>
                <w:sz w:val="21"/>
                <w:szCs w:val="21"/>
              </w:rPr>
              <w:t>0mm；</w:t>
            </w:r>
          </w:p>
          <w:p>
            <w:pPr>
              <w:rPr>
                <w:kern w:val="0"/>
                <w:sz w:val="21"/>
                <w:szCs w:val="21"/>
              </w:rPr>
            </w:pPr>
            <w:r>
              <w:rPr>
                <w:rFonts w:hint="eastAsia"/>
                <w:kern w:val="0"/>
                <w:sz w:val="21"/>
                <w:szCs w:val="21"/>
              </w:rPr>
              <w:t>转速范围：</w:t>
            </w:r>
            <w:r>
              <w:rPr>
                <w:kern w:val="0"/>
                <w:sz w:val="21"/>
                <w:szCs w:val="21"/>
              </w:rPr>
              <w:t>200-1500rpm；</w:t>
            </w:r>
          </w:p>
          <w:p>
            <w:pPr>
              <w:rPr>
                <w:kern w:val="0"/>
                <w:sz w:val="21"/>
                <w:szCs w:val="21"/>
              </w:rPr>
            </w:pPr>
            <w:r>
              <w:rPr>
                <w:rFonts w:hint="eastAsia"/>
                <w:kern w:val="0"/>
                <w:sz w:val="21"/>
                <w:szCs w:val="21"/>
              </w:rPr>
              <w:t>控制精度：≤±</w:t>
            </w:r>
            <w:r>
              <w:rPr>
                <w:kern w:val="0"/>
                <w:sz w:val="21"/>
                <w:szCs w:val="21"/>
              </w:rPr>
              <w:t>1rpm；</w:t>
            </w:r>
          </w:p>
          <w:p>
            <w:pPr>
              <w:rPr>
                <w:kern w:val="0"/>
                <w:sz w:val="21"/>
                <w:szCs w:val="21"/>
              </w:rPr>
            </w:pPr>
            <w:r>
              <w:rPr>
                <w:rFonts w:hint="eastAsia"/>
                <w:kern w:val="0"/>
                <w:sz w:val="21"/>
                <w:szCs w:val="21"/>
              </w:rPr>
              <w:t>加热温度范围：室温~≥30</w:t>
            </w:r>
            <w:r>
              <w:rPr>
                <w:kern w:val="0"/>
                <w:sz w:val="21"/>
                <w:szCs w:val="21"/>
              </w:rPr>
              <w:t>0℃，步长</w:t>
            </w:r>
            <w:r>
              <w:rPr>
                <w:rFonts w:hint="eastAsia"/>
                <w:kern w:val="0"/>
                <w:sz w:val="21"/>
                <w:szCs w:val="21"/>
              </w:rPr>
              <w:t>≤</w:t>
            </w:r>
            <w:r>
              <w:rPr>
                <w:kern w:val="0"/>
                <w:sz w:val="21"/>
                <w:szCs w:val="21"/>
              </w:rPr>
              <w:t>1°C；</w:t>
            </w:r>
          </w:p>
          <w:p>
            <w:pPr>
              <w:rPr>
                <w:kern w:val="0"/>
                <w:sz w:val="21"/>
                <w:szCs w:val="21"/>
              </w:rPr>
            </w:pPr>
            <w:r>
              <w:rPr>
                <w:rFonts w:hint="eastAsia"/>
                <w:kern w:val="0"/>
                <w:sz w:val="21"/>
                <w:szCs w:val="21"/>
              </w:rPr>
              <w:t>工作盘控制精度：≤±</w:t>
            </w:r>
            <w:r>
              <w:rPr>
                <w:kern w:val="0"/>
                <w:sz w:val="21"/>
                <w:szCs w:val="21"/>
              </w:rPr>
              <w:t>1%(</w:t>
            </w:r>
            <w:r>
              <w:rPr>
                <w:rFonts w:hint="eastAsia"/>
                <w:kern w:val="0"/>
                <w:sz w:val="21"/>
                <w:szCs w:val="21"/>
              </w:rPr>
              <w:t>≤</w:t>
            </w:r>
            <w:r>
              <w:rPr>
                <w:kern w:val="0"/>
                <w:sz w:val="21"/>
                <w:szCs w:val="21"/>
              </w:rPr>
              <w:t>100°C)，</w:t>
            </w:r>
            <w:r>
              <w:rPr>
                <w:rFonts w:hint="eastAsia"/>
                <w:kern w:val="0"/>
                <w:sz w:val="21"/>
                <w:szCs w:val="21"/>
              </w:rPr>
              <w:t>≤</w:t>
            </w:r>
            <w:r>
              <w:rPr>
                <w:kern w:val="0"/>
                <w:sz w:val="21"/>
                <w:szCs w:val="21"/>
              </w:rPr>
              <w:t>±1°C)(&gt;100°C)；</w:t>
            </w:r>
          </w:p>
          <w:p>
            <w:pPr>
              <w:rPr>
                <w:kern w:val="0"/>
                <w:sz w:val="21"/>
                <w:szCs w:val="21"/>
              </w:rPr>
            </w:pPr>
            <w:r>
              <w:rPr>
                <w:rFonts w:hint="eastAsia"/>
                <w:kern w:val="0"/>
                <w:sz w:val="21"/>
                <w:szCs w:val="21"/>
              </w:rPr>
              <w:t>过热保护：≥</w:t>
            </w:r>
            <w:r>
              <w:rPr>
                <w:kern w:val="0"/>
                <w:sz w:val="21"/>
                <w:szCs w:val="21"/>
              </w:rPr>
              <w:t>320℃；</w:t>
            </w:r>
          </w:p>
          <w:p>
            <w:pPr>
              <w:rPr>
                <w:kern w:val="0"/>
                <w:sz w:val="21"/>
                <w:szCs w:val="21"/>
              </w:rPr>
            </w:pPr>
            <w:r>
              <w:rPr>
                <w:rFonts w:hint="eastAsia"/>
                <w:kern w:val="0"/>
                <w:sz w:val="21"/>
                <w:szCs w:val="21"/>
              </w:rPr>
              <w:t>温度显示分辨率</w:t>
            </w:r>
            <w:r>
              <w:rPr>
                <w:kern w:val="0"/>
                <w:sz w:val="21"/>
                <w:szCs w:val="21"/>
              </w:rPr>
              <w:t xml:space="preserve">  </w:t>
            </w:r>
            <w:r>
              <w:rPr>
                <w:rFonts w:hint="eastAsia"/>
                <w:kern w:val="0"/>
                <w:sz w:val="21"/>
                <w:szCs w:val="21"/>
              </w:rPr>
              <w:t>≤</w:t>
            </w:r>
            <w:r>
              <w:rPr>
                <w:kern w:val="0"/>
                <w:sz w:val="21"/>
                <w:szCs w:val="21"/>
              </w:rPr>
              <w:t>±1℃；</w:t>
            </w:r>
          </w:p>
          <w:p>
            <w:r>
              <w:rPr>
                <w:rFonts w:hint="eastAsia"/>
                <w:kern w:val="0"/>
                <w:sz w:val="21"/>
                <w:szCs w:val="21"/>
              </w:rPr>
              <w:t>外置温度传感器：</w:t>
            </w:r>
            <w:r>
              <w:rPr>
                <w:kern w:val="0"/>
                <w:sz w:val="21"/>
                <w:szCs w:val="21"/>
              </w:rPr>
              <w:t>精度</w:t>
            </w:r>
            <w:r>
              <w:rPr>
                <w:rFonts w:hint="eastAsia"/>
                <w:kern w:val="0"/>
                <w:sz w:val="21"/>
                <w:szCs w:val="21"/>
              </w:rPr>
              <w:t>≤</w:t>
            </w:r>
            <w:r>
              <w:rPr>
                <w:kern w:val="0"/>
                <w:sz w:val="21"/>
                <w:szCs w:val="21"/>
              </w:rPr>
              <w:t>±0.5°C。</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6"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2</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电泳仪电源</w:t>
            </w:r>
          </w:p>
        </w:tc>
        <w:tc>
          <w:tcPr>
            <w:tcW w:w="3776" w:type="dxa"/>
          </w:tcPr>
          <w:p>
            <w:pPr>
              <w:rPr>
                <w:rFonts w:ascii="Times New Roman" w:hAnsi="Times New Roman" w:eastAsia="宋体" w:cs="Times New Roman"/>
                <w:szCs w:val="21"/>
              </w:rPr>
            </w:pPr>
            <w:r>
              <w:rPr>
                <w:rFonts w:ascii="Times New Roman" w:hAnsi="Times New Roman" w:eastAsia="宋体" w:cs="Times New Roman"/>
                <w:szCs w:val="21"/>
              </w:rPr>
              <w:t>输出类型：恒压、恒流、恒功率</w:t>
            </w:r>
            <w:r>
              <w:rPr>
                <w:rFonts w:hint="eastAsia" w:ascii="Times New Roman" w:hAnsi="Times New Roman" w:eastAsia="宋体" w:cs="Times New Roman"/>
                <w:szCs w:val="21"/>
              </w:rPr>
              <w:t>，且均</w:t>
            </w:r>
            <w:r>
              <w:rPr>
                <w:rFonts w:ascii="Times New Roman" w:hAnsi="Times New Roman" w:eastAsia="宋体" w:cs="Times New Roman"/>
                <w:szCs w:val="21"/>
              </w:rPr>
              <w:t>连续可调；</w:t>
            </w:r>
          </w:p>
          <w:p>
            <w:pPr>
              <w:rPr>
                <w:rFonts w:ascii="Times New Roman" w:hAnsi="Times New Roman" w:eastAsia="宋体" w:cs="Times New Roman"/>
                <w:szCs w:val="21"/>
              </w:rPr>
            </w:pPr>
            <w:r>
              <w:rPr>
                <w:rFonts w:ascii="Times New Roman" w:hAnsi="Times New Roman" w:eastAsia="宋体" w:cs="Times New Roman"/>
                <w:szCs w:val="21"/>
              </w:rPr>
              <w:t>输出范围：</w:t>
            </w:r>
            <w:r>
              <w:rPr>
                <w:rFonts w:hint="eastAsia" w:ascii="Times New Roman" w:hAnsi="Times New Roman" w:eastAsia="宋体" w:cs="Times New Roman"/>
                <w:szCs w:val="21"/>
              </w:rPr>
              <w:t>电压</w:t>
            </w:r>
            <w:r>
              <w:rPr>
                <w:rFonts w:ascii="Times New Roman" w:hAnsi="Times New Roman" w:eastAsia="宋体" w:cs="Times New Roman"/>
                <w:szCs w:val="21"/>
              </w:rPr>
              <w:t>30～1000V</w:t>
            </w:r>
            <w:r>
              <w:rPr>
                <w:rFonts w:hint="eastAsia" w:ascii="Times New Roman" w:hAnsi="Times New Roman" w:eastAsia="宋体" w:cs="Times New Roman"/>
                <w:szCs w:val="21"/>
              </w:rPr>
              <w:t>；</w:t>
            </w:r>
          </w:p>
          <w:p>
            <w:pPr>
              <w:ind w:firstLine="1075" w:firstLineChars="500"/>
              <w:rPr>
                <w:rFonts w:ascii="Times New Roman" w:hAnsi="Times New Roman" w:eastAsia="宋体" w:cs="Times New Roman"/>
                <w:szCs w:val="21"/>
              </w:rPr>
            </w:pPr>
            <w:r>
              <w:rPr>
                <w:rFonts w:hint="eastAsia" w:ascii="Times New Roman" w:hAnsi="Times New Roman" w:eastAsia="宋体" w:cs="Times New Roman"/>
                <w:szCs w:val="21"/>
              </w:rPr>
              <w:t>电流</w:t>
            </w:r>
            <w:r>
              <w:rPr>
                <w:rFonts w:ascii="Times New Roman" w:hAnsi="Times New Roman" w:eastAsia="宋体" w:cs="Times New Roman"/>
                <w:szCs w:val="21"/>
              </w:rPr>
              <w:t>1～500mA</w:t>
            </w:r>
            <w:r>
              <w:rPr>
                <w:rFonts w:hint="eastAsia" w:ascii="Times New Roman" w:hAnsi="Times New Roman" w:eastAsia="宋体" w:cs="Times New Roman"/>
                <w:szCs w:val="21"/>
              </w:rPr>
              <w:t>；</w:t>
            </w:r>
          </w:p>
          <w:p>
            <w:pPr>
              <w:ind w:firstLine="1075" w:firstLineChars="500"/>
              <w:rPr>
                <w:rFonts w:ascii="Times New Roman" w:hAnsi="Times New Roman" w:eastAsia="宋体" w:cs="Times New Roman"/>
                <w:szCs w:val="21"/>
              </w:rPr>
            </w:pPr>
            <w:r>
              <w:rPr>
                <w:rFonts w:hint="eastAsia" w:ascii="Times New Roman" w:hAnsi="Times New Roman" w:eastAsia="宋体" w:cs="Times New Roman"/>
                <w:szCs w:val="21"/>
              </w:rPr>
              <w:t>功率</w:t>
            </w:r>
            <w:r>
              <w:rPr>
                <w:rFonts w:ascii="Times New Roman" w:hAnsi="Times New Roman" w:eastAsia="宋体" w:cs="Times New Roman"/>
                <w:szCs w:val="21"/>
              </w:rPr>
              <w:t>1～300W；</w:t>
            </w:r>
          </w:p>
          <w:p>
            <w:pPr>
              <w:ind w:left="864" w:hanging="860" w:hangingChars="400"/>
              <w:rPr>
                <w:rFonts w:ascii="Times New Roman" w:hAnsi="Times New Roman" w:eastAsia="宋体" w:cs="Times New Roman"/>
                <w:szCs w:val="21"/>
              </w:rPr>
            </w:pPr>
            <w:r>
              <w:rPr>
                <w:rFonts w:ascii="Times New Roman" w:hAnsi="Times New Roman" w:eastAsia="宋体" w:cs="Times New Roman"/>
                <w:szCs w:val="21"/>
              </w:rPr>
              <w:t>分辨率：电压</w:t>
            </w:r>
            <w:r>
              <w:rPr>
                <w:rFonts w:hint="eastAsia" w:ascii="Times New Roman" w:hAnsi="Times New Roman" w:eastAsia="宋体" w:cs="Times New Roman"/>
                <w:szCs w:val="21"/>
              </w:rPr>
              <w:t>：</w:t>
            </w:r>
            <w:r>
              <w:rPr>
                <w:rFonts w:hint="eastAsia"/>
              </w:rPr>
              <w:t>≤</w:t>
            </w:r>
            <w:r>
              <w:rPr>
                <w:rFonts w:ascii="Times New Roman" w:hAnsi="Times New Roman" w:eastAsia="宋体" w:cs="Times New Roman"/>
                <w:szCs w:val="21"/>
              </w:rPr>
              <w:t>1V</w:t>
            </w:r>
            <w:r>
              <w:rPr>
                <w:rFonts w:hint="eastAsia" w:ascii="Times New Roman" w:hAnsi="Times New Roman" w:eastAsia="宋体" w:cs="Times New Roman"/>
                <w:szCs w:val="21"/>
              </w:rPr>
              <w:t>；</w:t>
            </w:r>
          </w:p>
          <w:p>
            <w:pPr>
              <w:ind w:left="875" w:leftChars="407"/>
              <w:rPr>
                <w:rFonts w:ascii="Times New Roman" w:hAnsi="Times New Roman" w:eastAsia="宋体" w:cs="Times New Roman"/>
                <w:szCs w:val="21"/>
              </w:rPr>
            </w:pPr>
            <w:r>
              <w:rPr>
                <w:rFonts w:ascii="Times New Roman" w:hAnsi="Times New Roman" w:eastAsia="宋体" w:cs="Times New Roman"/>
                <w:szCs w:val="21"/>
              </w:rPr>
              <w:t>电流</w:t>
            </w:r>
            <w:r>
              <w:rPr>
                <w:rFonts w:hint="eastAsia" w:ascii="Times New Roman" w:hAnsi="Times New Roman" w:eastAsia="宋体" w:cs="Times New Roman"/>
                <w:szCs w:val="21"/>
              </w:rPr>
              <w:t>：</w:t>
            </w:r>
            <w:r>
              <w:rPr>
                <w:rFonts w:hint="eastAsia"/>
              </w:rPr>
              <w:t>≤</w:t>
            </w:r>
            <w:r>
              <w:rPr>
                <w:rFonts w:ascii="Times New Roman" w:hAnsi="Times New Roman" w:eastAsia="宋体" w:cs="Times New Roman"/>
                <w:szCs w:val="21"/>
              </w:rPr>
              <w:t>1mA</w:t>
            </w:r>
            <w:r>
              <w:rPr>
                <w:rFonts w:hint="eastAsia" w:ascii="Times New Roman" w:hAnsi="Times New Roman" w:eastAsia="宋体" w:cs="Times New Roman"/>
                <w:szCs w:val="21"/>
              </w:rPr>
              <w:t>；</w:t>
            </w:r>
          </w:p>
          <w:p>
            <w:pPr>
              <w:ind w:firstLine="860" w:firstLineChars="400"/>
              <w:rPr>
                <w:rFonts w:ascii="Times New Roman" w:hAnsi="Times New Roman" w:eastAsia="宋体" w:cs="Times New Roman"/>
                <w:szCs w:val="21"/>
              </w:rPr>
            </w:pPr>
            <w:r>
              <w:rPr>
                <w:rFonts w:ascii="Times New Roman" w:hAnsi="Times New Roman" w:eastAsia="宋体" w:cs="Times New Roman"/>
                <w:szCs w:val="21"/>
              </w:rPr>
              <w:t>功率</w:t>
            </w:r>
            <w:r>
              <w:rPr>
                <w:rFonts w:hint="eastAsia" w:ascii="Times New Roman" w:hAnsi="Times New Roman" w:eastAsia="宋体" w:cs="Times New Roman"/>
                <w:szCs w:val="21"/>
              </w:rPr>
              <w:t>：</w:t>
            </w:r>
            <w:r>
              <w:rPr>
                <w:rFonts w:hint="eastAsia"/>
              </w:rPr>
              <w:t>≤</w:t>
            </w:r>
            <w:r>
              <w:rPr>
                <w:rFonts w:ascii="Times New Roman" w:hAnsi="Times New Roman" w:eastAsia="宋体" w:cs="Times New Roman"/>
                <w:szCs w:val="21"/>
              </w:rPr>
              <w:t>1W；</w:t>
            </w:r>
          </w:p>
          <w:p>
            <w:pPr>
              <w:rPr>
                <w:rFonts w:ascii="Times New Roman" w:hAnsi="Times New Roman" w:eastAsia="宋体" w:cs="Times New Roman"/>
                <w:szCs w:val="21"/>
              </w:rPr>
            </w:pPr>
            <w:r>
              <w:rPr>
                <w:rFonts w:ascii="Times New Roman" w:hAnsi="Times New Roman" w:eastAsia="宋体" w:cs="Times New Roman"/>
                <w:szCs w:val="21"/>
              </w:rPr>
              <w:t>定时范围：1分钟～99小时59分钟；</w:t>
            </w:r>
          </w:p>
          <w:p>
            <w:pPr>
              <w:rPr>
                <w:rFonts w:ascii="Times New Roman" w:hAnsi="Times New Roman" w:eastAsia="宋体" w:cs="Times New Roman"/>
                <w:szCs w:val="21"/>
              </w:rPr>
            </w:pPr>
            <w:r>
              <w:rPr>
                <w:rFonts w:ascii="Times New Roman" w:hAnsi="Times New Roman" w:eastAsia="宋体" w:cs="Times New Roman"/>
                <w:szCs w:val="21"/>
              </w:rPr>
              <w:t>伏时范围：1~99999V-hr</w:t>
            </w:r>
            <w:r>
              <w:rPr>
                <w:rFonts w:hint="eastAsia" w:ascii="Times New Roman" w:hAnsi="Times New Roman" w:eastAsia="宋体" w:cs="Times New Roman"/>
                <w:szCs w:val="21"/>
              </w:rPr>
              <w:t>，</w:t>
            </w:r>
            <w:r>
              <w:rPr>
                <w:rFonts w:ascii="Times New Roman" w:hAnsi="Times New Roman" w:eastAsia="宋体" w:cs="Times New Roman"/>
                <w:szCs w:val="21"/>
              </w:rPr>
              <w:t>增量</w:t>
            </w:r>
            <w:r>
              <w:rPr>
                <w:rFonts w:hint="eastAsia"/>
              </w:rPr>
              <w:t>≤</w:t>
            </w:r>
            <w:r>
              <w:rPr>
                <w:rFonts w:ascii="Times New Roman" w:hAnsi="Times New Roman" w:eastAsia="宋体" w:cs="Times New Roman"/>
                <w:szCs w:val="21"/>
              </w:rPr>
              <w:t>1V-hr；</w:t>
            </w:r>
          </w:p>
          <w:p>
            <w:pPr>
              <w:rPr>
                <w:rFonts w:ascii="Times New Roman" w:hAnsi="Times New Roman" w:eastAsia="宋体" w:cs="Times New Roman"/>
                <w:szCs w:val="21"/>
              </w:rPr>
            </w:pPr>
            <w:r>
              <w:rPr>
                <w:rFonts w:ascii="Times New Roman" w:hAnsi="Times New Roman" w:eastAsia="宋体" w:cs="Times New Roman"/>
                <w:szCs w:val="21"/>
              </w:rPr>
              <w:t>显示：带背光的LCD液晶屏；</w:t>
            </w:r>
          </w:p>
          <w:p>
            <w:pPr>
              <w:rPr>
                <w:rFonts w:ascii="Times New Roman" w:hAnsi="Times New Roman" w:eastAsia="宋体" w:cs="Times New Roman"/>
                <w:szCs w:val="21"/>
              </w:rPr>
            </w:pPr>
            <w:r>
              <w:rPr>
                <w:rFonts w:ascii="Times New Roman" w:hAnsi="Times New Roman" w:eastAsia="宋体" w:cs="Times New Roman"/>
                <w:szCs w:val="21"/>
              </w:rPr>
              <w:t>输出插孔：</w:t>
            </w:r>
            <w:r>
              <w:rPr>
                <w:rFonts w:hint="eastAsia" w:ascii="Times New Roman" w:hAnsi="Times New Roman" w:eastAsia="宋体" w:cs="Times New Roman"/>
                <w:szCs w:val="21"/>
              </w:rPr>
              <w:t>≥</w:t>
            </w:r>
            <w:r>
              <w:rPr>
                <w:rFonts w:ascii="Times New Roman" w:hAnsi="Times New Roman" w:eastAsia="宋体" w:cs="Times New Roman"/>
                <w:szCs w:val="21"/>
              </w:rPr>
              <w:t>4组；</w:t>
            </w:r>
          </w:p>
          <w:p>
            <w:pPr>
              <w:rPr>
                <w:rFonts w:ascii="Times New Roman" w:hAnsi="Times New Roman" w:eastAsia="宋体" w:cs="Times New Roman"/>
                <w:szCs w:val="21"/>
              </w:rPr>
            </w:pPr>
            <w:r>
              <w:rPr>
                <w:rFonts w:ascii="Times New Roman" w:hAnsi="Times New Roman" w:eastAsia="宋体" w:cs="Times New Roman"/>
                <w:szCs w:val="21"/>
              </w:rPr>
              <w:t>触摸按键，双核微处理器智能控制；</w:t>
            </w:r>
          </w:p>
          <w:p>
            <w:pPr>
              <w:rPr>
                <w:rFonts w:ascii="Times New Roman" w:hAnsi="Times New Roman" w:eastAsia="宋体" w:cs="Times New Roman"/>
                <w:szCs w:val="21"/>
              </w:rPr>
            </w:pPr>
            <w:r>
              <w:rPr>
                <w:rFonts w:ascii="Times New Roman" w:hAnsi="Times New Roman" w:eastAsia="宋体" w:cs="Times New Roman"/>
                <w:szCs w:val="21"/>
              </w:rPr>
              <w:t>通过增加快捷键；</w:t>
            </w:r>
          </w:p>
          <w:p>
            <w:pPr>
              <w:rPr>
                <w:rFonts w:ascii="Times New Roman" w:hAnsi="Times New Roman" w:eastAsia="宋体" w:cs="Times New Roman"/>
                <w:szCs w:val="21"/>
              </w:rPr>
            </w:pPr>
            <w:r>
              <w:rPr>
                <w:rFonts w:ascii="Times New Roman" w:hAnsi="Times New Roman" w:eastAsia="宋体" w:cs="Times New Roman"/>
                <w:szCs w:val="21"/>
              </w:rPr>
              <w:t>可同时显示预设值和实际输出值；</w:t>
            </w:r>
          </w:p>
          <w:p>
            <w:pPr>
              <w:rPr>
                <w:rFonts w:ascii="Times New Roman" w:hAnsi="Times New Roman" w:eastAsia="宋体" w:cs="Times New Roman"/>
                <w:szCs w:val="21"/>
              </w:rPr>
            </w:pPr>
            <w:r>
              <w:rPr>
                <w:rFonts w:ascii="Times New Roman" w:hAnsi="Times New Roman" w:eastAsia="宋体" w:cs="Times New Roman"/>
                <w:szCs w:val="21"/>
              </w:rPr>
              <w:t>可存储</w:t>
            </w:r>
            <w:r>
              <w:rPr>
                <w:rFonts w:hint="eastAsia" w:ascii="Times New Roman" w:hAnsi="Times New Roman" w:eastAsia="宋体" w:cs="Times New Roman"/>
                <w:szCs w:val="21"/>
              </w:rPr>
              <w:t>≥</w:t>
            </w:r>
            <w:r>
              <w:rPr>
                <w:rFonts w:ascii="Times New Roman" w:hAnsi="Times New Roman" w:eastAsia="宋体" w:cs="Times New Roman"/>
                <w:szCs w:val="21"/>
              </w:rPr>
              <w:t>100个电泳方法；</w:t>
            </w:r>
          </w:p>
          <w:p>
            <w:pPr>
              <w:rPr>
                <w:rFonts w:ascii="Times New Roman" w:hAnsi="Times New Roman" w:eastAsia="宋体" w:cs="Times New Roman"/>
                <w:szCs w:val="21"/>
              </w:rPr>
            </w:pPr>
            <w:r>
              <w:rPr>
                <w:rFonts w:ascii="Times New Roman" w:hAnsi="Times New Roman" w:eastAsia="宋体" w:cs="Times New Roman"/>
                <w:szCs w:val="21"/>
              </w:rPr>
              <w:t>具有自动记忆、自动关断功能；</w:t>
            </w:r>
          </w:p>
          <w:p>
            <w:pPr>
              <w:rPr>
                <w:rFonts w:ascii="Times New Roman" w:hAnsi="Times New Roman" w:eastAsia="宋体" w:cs="Times New Roman"/>
                <w:szCs w:val="21"/>
              </w:rPr>
            </w:pPr>
            <w:r>
              <w:rPr>
                <w:rFonts w:ascii="Times New Roman" w:hAnsi="Times New Roman" w:eastAsia="宋体" w:cs="Times New Roman"/>
                <w:szCs w:val="21"/>
              </w:rPr>
              <w:t>具有分步控制功能（可编辑</w:t>
            </w:r>
            <w:r>
              <w:rPr>
                <w:rFonts w:hint="eastAsia" w:ascii="Times New Roman" w:hAnsi="Times New Roman" w:eastAsia="宋体" w:cs="Times New Roman"/>
                <w:szCs w:val="21"/>
              </w:rPr>
              <w:t>≥</w:t>
            </w:r>
            <w:r>
              <w:rPr>
                <w:rFonts w:ascii="Times New Roman" w:hAnsi="Times New Roman" w:eastAsia="宋体" w:cs="Times New Roman"/>
                <w:szCs w:val="21"/>
              </w:rPr>
              <w:t>10组，每组最多使</w:t>
            </w:r>
            <w:r>
              <w:rPr>
                <w:rFonts w:hint="eastAsia" w:ascii="Times New Roman" w:hAnsi="Times New Roman" w:eastAsia="宋体" w:cs="Times New Roman"/>
                <w:szCs w:val="21"/>
              </w:rPr>
              <w:t>≥</w:t>
            </w:r>
            <w:r>
              <w:rPr>
                <w:rFonts w:ascii="Times New Roman" w:hAnsi="Times New Roman" w:eastAsia="宋体" w:cs="Times New Roman"/>
                <w:szCs w:val="21"/>
              </w:rPr>
              <w:t>10个程序自动连接运行）；</w:t>
            </w:r>
          </w:p>
          <w:p>
            <w:pPr>
              <w:rPr>
                <w:rFonts w:ascii="Times New Roman" w:hAnsi="Times New Roman" w:eastAsia="宋体" w:cs="Times New Roman"/>
                <w:szCs w:val="21"/>
              </w:rPr>
            </w:pPr>
            <w:r>
              <w:rPr>
                <w:rFonts w:ascii="Times New Roman" w:hAnsi="Times New Roman" w:eastAsia="宋体" w:cs="Times New Roman"/>
                <w:szCs w:val="21"/>
              </w:rPr>
              <w:t>具有暂停控制功能（含实时微调），暂停期间的调整不影响电泳仪的控制精度和稳定性；具有标准、定时、伏时、分步运行功能；</w:t>
            </w:r>
          </w:p>
          <w:p>
            <w:pPr>
              <w:rPr>
                <w:rFonts w:ascii="Times New Roman" w:hAnsi="Times New Roman" w:eastAsia="宋体" w:cs="Times New Roman"/>
                <w:szCs w:val="21"/>
              </w:rPr>
            </w:pPr>
            <w:r>
              <w:rPr>
                <w:rFonts w:ascii="Times New Roman" w:hAnsi="Times New Roman" w:eastAsia="宋体" w:cs="Times New Roman"/>
                <w:szCs w:val="21"/>
              </w:rPr>
              <w:t>具有恒压、恒流、恒功率、误操作、故障等智能提示功能；</w:t>
            </w:r>
          </w:p>
          <w:p>
            <w:pPr>
              <w:rPr>
                <w:rFonts w:ascii="Times New Roman" w:hAnsi="Times New Roman" w:eastAsia="宋体" w:cs="Times New Roman"/>
                <w:szCs w:val="21"/>
              </w:rPr>
            </w:pPr>
            <w:r>
              <w:rPr>
                <w:rFonts w:ascii="Times New Roman" w:hAnsi="Times New Roman" w:eastAsia="宋体" w:cs="Times New Roman"/>
                <w:szCs w:val="21"/>
              </w:rPr>
              <w:t>具有过载、空载、漏电等多项保护功能。</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3</w:t>
            </w:r>
          </w:p>
        </w:tc>
        <w:tc>
          <w:tcPr>
            <w:tcW w:w="2129" w:type="dxa"/>
            <w:vAlign w:val="center"/>
          </w:tcPr>
          <w:p>
            <w:pPr>
              <w:jc w:val="center"/>
              <w:rPr>
                <w:rFonts w:hint="eastAsia" w:ascii="Times New Roman" w:hAnsi="Times New Roman" w:eastAsia="宋体" w:cs="Times New Roman"/>
                <w:szCs w:val="21"/>
                <w:lang w:eastAsia="zh-CN"/>
              </w:rPr>
            </w:pPr>
            <w:r>
              <w:rPr>
                <w:rFonts w:ascii="Times New Roman" w:hAnsi="Times New Roman" w:eastAsia="宋体" w:cs="Times New Roman"/>
                <w:szCs w:val="21"/>
              </w:rPr>
              <w:t>垂直电泳槽</w:t>
            </w:r>
            <w:r>
              <w:rPr>
                <w:rFonts w:hint="eastAsia" w:ascii="Times New Roman" w:hAnsi="Times New Roman" w:eastAsia="宋体" w:cs="Times New Roman"/>
                <w:szCs w:val="21"/>
                <w:lang w:eastAsia="zh-CN"/>
              </w:rPr>
              <w:t>系统</w:t>
            </w:r>
          </w:p>
        </w:tc>
        <w:tc>
          <w:tcPr>
            <w:tcW w:w="3776" w:type="dxa"/>
          </w:tcPr>
          <w:p>
            <w:pPr>
              <w:rPr/>
            </w:pPr>
            <w:r>
              <w:rPr>
                <w:rFonts w:hint="eastAsia"/>
              </w:rPr>
              <w:t>垂直电泳系统：</w:t>
            </w:r>
          </w:p>
          <w:p>
            <w:pPr>
              <w:rPr/>
            </w:pPr>
            <w:r>
              <w:t>1、 容量：可同时进行</w:t>
            </w:r>
            <w:r>
              <w:rPr>
                <w:rFonts w:hint="eastAsia"/>
              </w:rPr>
              <w:t>≥</w:t>
            </w:r>
            <w:r>
              <w:t>4块凝胶电泳实验；</w:t>
            </w:r>
          </w:p>
          <w:p>
            <w:pPr>
              <w:rPr/>
            </w:pPr>
            <w:r>
              <w:t>2、</w:t>
            </w:r>
            <w:r>
              <w:rPr>
                <w:rFonts w:hint="eastAsia"/>
              </w:rPr>
              <w:t>凝</w:t>
            </w:r>
            <w:r>
              <w:t>胶面积：</w:t>
            </w:r>
            <w:r>
              <w:rPr>
                <w:rFonts w:hint="eastAsia"/>
              </w:rPr>
              <w:t>≥</w:t>
            </w:r>
            <w:r>
              <w:t>8</w:t>
            </w:r>
            <w:r>
              <w:rPr>
                <w:rFonts w:hint="eastAsia"/>
              </w:rPr>
              <w:t>0</w:t>
            </w:r>
            <w:r>
              <w:t xml:space="preserve"> x 7</w:t>
            </w:r>
            <w:r>
              <w:rPr>
                <w:rFonts w:hint="eastAsia"/>
              </w:rPr>
              <w:t>0</w:t>
            </w:r>
            <w:r>
              <w:t xml:space="preserve"> </w:t>
            </w:r>
            <w:r>
              <w:rPr>
                <w:rFonts w:hint="eastAsia"/>
              </w:rPr>
              <w:t>m</w:t>
            </w:r>
            <w:r>
              <w:t>m；</w:t>
            </w:r>
          </w:p>
          <w:p>
            <w:pPr>
              <w:rPr/>
            </w:pPr>
            <w:r>
              <w:t>3、 玻璃板：短玻璃板：</w:t>
            </w:r>
            <w:r>
              <w:rPr>
                <w:rFonts w:hint="eastAsia"/>
              </w:rPr>
              <w:t>≥</w:t>
            </w:r>
            <w:r>
              <w:t>10</w:t>
            </w:r>
            <w:r>
              <w:rPr>
                <w:rFonts w:hint="eastAsia"/>
              </w:rPr>
              <w:t>0</w:t>
            </w:r>
            <w:r>
              <w:t xml:space="preserve"> x 7</w:t>
            </w:r>
            <w:r>
              <w:rPr>
                <w:rFonts w:hint="eastAsia"/>
              </w:rPr>
              <w:t>0m</w:t>
            </w:r>
            <w:r>
              <w:t>m；长玻璃板：</w:t>
            </w:r>
            <w:r>
              <w:rPr>
                <w:rFonts w:hint="eastAsia"/>
              </w:rPr>
              <w:t>≥</w:t>
            </w:r>
            <w:r>
              <w:t>10</w:t>
            </w:r>
            <w:r>
              <w:rPr>
                <w:rFonts w:hint="eastAsia"/>
              </w:rPr>
              <w:t>0</w:t>
            </w:r>
            <w:r>
              <w:t xml:space="preserve"> x 8</w:t>
            </w:r>
            <w:r>
              <w:rPr>
                <w:rFonts w:hint="eastAsia"/>
              </w:rPr>
              <w:t>0</w:t>
            </w:r>
            <w:r>
              <w:t xml:space="preserve"> </w:t>
            </w:r>
            <w:r>
              <w:rPr>
                <w:rFonts w:hint="eastAsia"/>
              </w:rPr>
              <w:t>m</w:t>
            </w:r>
            <w:r>
              <w:t>m；封边垫条永久性地固定在长玻板上，保证玻板精确对齐，防止漏胶；</w:t>
            </w:r>
          </w:p>
          <w:p>
            <w:pPr>
              <w:rPr/>
            </w:pPr>
            <w:r>
              <w:t>4、 灌胶系统：</w:t>
            </w:r>
            <w:r>
              <w:rPr>
                <w:rFonts w:hint="eastAsia"/>
              </w:rPr>
              <w:t>≥</w:t>
            </w:r>
            <w:r>
              <w:t>2套，平行排列设计，每套能同时灌制两块凝胶，弹簧杠杆设计及软橡胶衬垫产生良好的密封性；</w:t>
            </w:r>
          </w:p>
          <w:p>
            <w:pPr>
              <w:rPr/>
            </w:pPr>
            <w:r>
              <w:t>5、 上样引导装置：防止泳道的遗漏上样或重复上样；</w:t>
            </w:r>
          </w:p>
          <w:p>
            <w:pPr>
              <w:rPr/>
            </w:pPr>
            <w:r>
              <w:t>6、 电泳梳：</w:t>
            </w:r>
            <w:r>
              <w:rPr>
                <w:rFonts w:hint="eastAsia"/>
              </w:rPr>
              <w:t>≥</w:t>
            </w:r>
            <w:r>
              <w:t>5个，电泳梳不会抑制凝胶聚合反应，制胶过程中，内置脊可避免凝胶过程与空气接触，保证均一的凝胶聚合；</w:t>
            </w:r>
          </w:p>
          <w:p>
            <w:pPr>
              <w:rPr/>
            </w:pPr>
            <w:r>
              <w:rPr>
                <w:rFonts w:hint="eastAsia"/>
              </w:rPr>
              <w:t>玻璃面积（</w:t>
            </w:r>
            <w:r>
              <w:t>W×L）：</w:t>
            </w:r>
            <w:r>
              <w:rPr>
                <w:rFonts w:hint="eastAsia"/>
              </w:rPr>
              <w:t>≥</w:t>
            </w:r>
            <w:r>
              <w:t xml:space="preserve">100×100（mm） </w:t>
            </w:r>
          </w:p>
          <w:p>
            <w:pPr>
              <w:rPr/>
            </w:pPr>
            <w:r>
              <w:rPr>
                <w:rFonts w:hint="eastAsia"/>
              </w:rPr>
              <w:t>凝胶面积（</w:t>
            </w:r>
            <w:r>
              <w:t>W×L）：</w:t>
            </w:r>
            <w:r>
              <w:rPr>
                <w:rFonts w:hint="eastAsia"/>
              </w:rPr>
              <w:t>≥</w:t>
            </w:r>
            <w:r>
              <w:t>8</w:t>
            </w:r>
            <w:r>
              <w:rPr>
                <w:rFonts w:hint="eastAsia"/>
              </w:rPr>
              <w:t>0</w:t>
            </w:r>
            <w:r>
              <w:t>×8</w:t>
            </w:r>
            <w:r>
              <w:rPr>
                <w:rFonts w:hint="eastAsia"/>
              </w:rPr>
              <w:t>5</w:t>
            </w:r>
            <w:r>
              <w:t xml:space="preserve">（mm） </w:t>
            </w:r>
          </w:p>
          <w:p>
            <w:pPr>
              <w:rPr/>
            </w:pPr>
            <w:r>
              <w:t xml:space="preserve"> </w:t>
            </w:r>
            <w:r>
              <w:rPr>
                <w:rFonts w:hint="eastAsia"/>
              </w:rPr>
              <w:t>凝胶数量：≥</w:t>
            </w:r>
            <w:r>
              <w:t xml:space="preserve">4块 </w:t>
            </w:r>
          </w:p>
          <w:p>
            <w:pPr>
              <w:rPr/>
            </w:pPr>
            <w:r>
              <w:rPr>
                <w:rFonts w:hint="eastAsia"/>
              </w:rPr>
              <w:t>样品通量：</w:t>
            </w:r>
            <w:r>
              <w:t>1.0mm厚</w:t>
            </w:r>
            <w:r>
              <w:rPr>
                <w:rFonts w:hint="eastAsia"/>
              </w:rPr>
              <w:t>：</w:t>
            </w:r>
            <w:r>
              <w:t>11、15齿；1.5mm厚</w:t>
            </w:r>
            <w:r>
              <w:rPr>
                <w:rFonts w:hint="eastAsia"/>
              </w:rPr>
              <w:t>：</w:t>
            </w:r>
            <w:r>
              <w:t xml:space="preserve">11、15齿 </w:t>
            </w:r>
          </w:p>
          <w:p>
            <w:pPr>
              <w:rPr/>
            </w:pPr>
            <w:r>
              <w:rPr>
                <w:rFonts w:hint="eastAsia"/>
              </w:rPr>
              <w:t>缓冲液容积：≥</w:t>
            </w:r>
            <w:r>
              <w:t>1000ml</w:t>
            </w:r>
          </w:p>
          <w:p>
            <w:pPr>
              <w:rPr/>
            </w:pPr>
            <w:r>
              <w:rPr>
                <w:rFonts w:hint="eastAsia"/>
              </w:rPr>
              <w:t>湿转系统：</w:t>
            </w:r>
          </w:p>
          <w:p>
            <w:pPr>
              <w:rPr/>
            </w:pPr>
            <w:r>
              <w:t>1、灵活转印：可以200V电压转移，仅需1个小时，也可以30V冰浴过</w:t>
            </w:r>
            <w:r>
              <w:rPr>
                <w:rFonts w:hint="eastAsia"/>
              </w:rPr>
              <w:t>液</w:t>
            </w:r>
            <w:r>
              <w:t>转移。</w:t>
            </w:r>
          </w:p>
          <w:p>
            <w:pPr>
              <w:rPr/>
            </w:pPr>
            <w:r>
              <w:t>2、 具有冷却芯，可用于酶(4℃)或高强度转移。</w:t>
            </w:r>
          </w:p>
          <w:p>
            <w:pPr>
              <w:rPr/>
            </w:pPr>
            <w:r>
              <w:t>3、 电极：阴极采用镀铂钛材料，阳极采用不锈钢，能产生更高强度的电场。</w:t>
            </w:r>
          </w:p>
          <w:p>
            <w:pPr>
              <w:rPr/>
            </w:pPr>
            <w:r>
              <w:t>4、最大胶尺寸：</w:t>
            </w:r>
            <w:r>
              <w:rPr>
                <w:rFonts w:hint="eastAsia"/>
              </w:rPr>
              <w:t>≥</w:t>
            </w:r>
            <w:r>
              <w:t>75×10</w:t>
            </w:r>
            <w:r>
              <w:rPr>
                <w:rFonts w:hint="eastAsia"/>
              </w:rPr>
              <w:t>0m</w:t>
            </w:r>
            <w:r>
              <w:t>m</w:t>
            </w:r>
            <w:r>
              <w:rPr>
                <w:rFonts w:hint="eastAsia"/>
              </w:rPr>
              <w:t>；</w:t>
            </w:r>
          </w:p>
          <w:p>
            <w:pPr>
              <w:rPr/>
            </w:pPr>
            <w:r>
              <w:t>5、缓冲液体积：</w:t>
            </w:r>
            <w:r>
              <w:rPr>
                <w:rFonts w:hint="eastAsia"/>
              </w:rPr>
              <w:t>≤</w:t>
            </w:r>
            <w:r>
              <w:t>450 ml</w:t>
            </w:r>
            <w:r>
              <w:rPr>
                <w:rFonts w:hint="eastAsia"/>
              </w:rPr>
              <w:t>；</w:t>
            </w:r>
          </w:p>
          <w:p>
            <w:pPr>
              <w:rPr/>
            </w:pPr>
            <w:r>
              <w:t>6、胶容量：</w:t>
            </w:r>
            <w:r>
              <w:rPr>
                <w:rFonts w:hint="eastAsia"/>
              </w:rPr>
              <w:t>≥</w:t>
            </w:r>
            <w:r>
              <w:t>2块小胶</w:t>
            </w:r>
            <w:r>
              <w:rPr>
                <w:rFonts w:hint="eastAsia"/>
              </w:rPr>
              <w:t>（胶最大尺寸≥75</w:t>
            </w:r>
            <w:r>
              <w:t>×</w:t>
            </w:r>
            <w:r>
              <w:rPr>
                <w:rFonts w:hint="eastAsia"/>
              </w:rPr>
              <w:t>100mm）</w:t>
            </w:r>
            <w:r>
              <w:t>。</w:t>
            </w:r>
          </w:p>
          <w:p>
            <w:r>
              <w:rPr>
                <w:rFonts w:hint="eastAsia"/>
              </w:rPr>
              <w:t>整套系统包括垂直电泳槽：</w:t>
            </w:r>
            <w:r>
              <w:t>1套，玻璃板</w:t>
            </w:r>
            <w:r>
              <w:rPr>
                <w:rFonts w:hint="eastAsia"/>
              </w:rPr>
              <w:t>：</w:t>
            </w:r>
            <w:r>
              <w:t>5套，灌胶系统</w:t>
            </w:r>
            <w:r>
              <w:rPr>
                <w:rFonts w:hint="eastAsia"/>
              </w:rPr>
              <w:t>：</w:t>
            </w:r>
            <w:r>
              <w:t>2套，上样引导装置，电泳梳</w:t>
            </w:r>
            <w:r>
              <w:rPr>
                <w:rFonts w:hint="eastAsia"/>
              </w:rPr>
              <w:t>：</w:t>
            </w:r>
            <w:r>
              <w:t>5把，转印芯1个，转印夹2个，海绵垫4个</w:t>
            </w:r>
            <w:r>
              <w:rPr>
                <w:rFonts w:hint="eastAsia"/>
              </w:rPr>
              <w:t>。</w:t>
            </w:r>
          </w:p>
          <w:p>
            <w:pPr>
              <w:rPr>
                <w:rFonts w:ascii="Times New Roman" w:hAnsi="Times New Roman" w:eastAsia="宋体" w:cs="Times New Roman"/>
                <w:szCs w:val="21"/>
              </w:rPr>
            </w:pP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0"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4</w:t>
            </w:r>
          </w:p>
        </w:tc>
        <w:tc>
          <w:tcPr>
            <w:tcW w:w="2129" w:type="dxa"/>
            <w:vAlign w:val="center"/>
          </w:tcPr>
          <w:p>
            <w:pPr>
              <w:rPr>
                <w:rFonts w:ascii="Times New Roman" w:hAnsi="Times New Roman" w:eastAsia="宋体" w:cs="Times New Roman"/>
                <w:szCs w:val="21"/>
              </w:rPr>
            </w:pPr>
            <w:r>
              <w:rPr>
                <w:rFonts w:ascii="Times New Roman" w:hAnsi="Times New Roman" w:eastAsia="宋体" w:cs="Times New Roman"/>
                <w:szCs w:val="21"/>
              </w:rPr>
              <w:t>离心机转子适配器</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4×1×50ml</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4×6×15ml；</w:t>
            </w:r>
          </w:p>
          <w:p>
            <w:pPr>
              <w:rPr>
                <w:rFonts w:ascii="Times New Roman" w:hAnsi="Times New Roman" w:eastAsia="宋体" w:cs="Times New Roman"/>
                <w:b/>
                <w:szCs w:val="21"/>
              </w:rPr>
            </w:pPr>
            <w:r>
              <w:rPr>
                <w:rFonts w:ascii="Times New Roman" w:hAnsi="Times New Roman" w:eastAsia="宋体" w:cs="Times New Roman"/>
                <w:b/>
                <w:szCs w:val="21"/>
              </w:rPr>
              <w:t>适用于实验室现有离心机L530</w:t>
            </w:r>
            <w:r>
              <w:rPr>
                <w:rFonts w:hint="eastAsia" w:ascii="Times New Roman" w:hAnsi="Times New Roman" w:eastAsia="宋体" w:cs="Times New Roman"/>
                <w:b/>
                <w:szCs w:val="21"/>
              </w:rPr>
              <w:t>；</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新增配件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5</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真空离心浓缩仪角转子</w:t>
            </w:r>
          </w:p>
        </w:tc>
        <w:tc>
          <w:tcPr>
            <w:tcW w:w="3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szCs w:val="21"/>
              </w:rPr>
            </w:pPr>
            <w:r>
              <w:rPr>
                <w:rFonts w:ascii="Times New Roman" w:hAnsi="Times New Roman" w:eastAsia="宋体" w:cs="Times New Roman"/>
                <w:szCs w:val="21"/>
              </w:rPr>
              <w:t>规格：</w:t>
            </w:r>
            <w:r>
              <w:rPr>
                <w:rFonts w:hint="eastAsia" w:ascii="Times New Roman" w:hAnsi="Times New Roman" w:eastAsia="宋体" w:cs="Times New Roman"/>
                <w:szCs w:val="21"/>
              </w:rPr>
              <w:t>≥</w:t>
            </w:r>
            <w:r>
              <w:rPr>
                <w:rFonts w:ascii="Times New Roman" w:hAnsi="Times New Roman" w:eastAsia="宋体" w:cs="Times New Roman"/>
                <w:szCs w:val="21"/>
              </w:rPr>
              <w:t>6×50ml</w:t>
            </w:r>
          </w:p>
          <w:p>
            <w:pPr>
              <w:widowControl/>
              <w:rPr>
                <w:rFonts w:ascii="Times New Roman" w:hAnsi="Times New Roman" w:eastAsia="宋体" w:cs="Times New Roman"/>
                <w:szCs w:val="21"/>
              </w:rPr>
            </w:pPr>
            <w:r>
              <w:rPr>
                <w:rFonts w:ascii="Times New Roman" w:hAnsi="Times New Roman" w:eastAsia="宋体" w:cs="Times New Roman"/>
                <w:szCs w:val="21"/>
              </w:rPr>
              <w:t>最高离心力：</w:t>
            </w:r>
            <w:r>
              <w:rPr>
                <w:rFonts w:hint="eastAsia" w:ascii="Times New Roman" w:hAnsi="Times New Roman" w:eastAsia="宋体" w:cs="Times New Roman"/>
                <w:szCs w:val="21"/>
              </w:rPr>
              <w:t>≥</w:t>
            </w:r>
            <w:r>
              <w:rPr>
                <w:rFonts w:ascii="Times New Roman" w:hAnsi="Times New Roman" w:eastAsia="宋体" w:cs="Times New Roman"/>
                <w:szCs w:val="21"/>
              </w:rPr>
              <w:t>53</w:t>
            </w:r>
            <w:r>
              <w:rPr>
                <w:rFonts w:hint="eastAsia" w:ascii="Times New Roman" w:hAnsi="Times New Roman" w:eastAsia="宋体" w:cs="Times New Roman"/>
                <w:szCs w:val="21"/>
              </w:rPr>
              <w:t>0</w:t>
            </w:r>
            <w:r>
              <w:rPr>
                <w:rFonts w:ascii="Times New Roman" w:hAnsi="Times New Roman" w:eastAsia="宋体" w:cs="Times New Roman"/>
                <w:szCs w:val="21"/>
              </w:rPr>
              <w:t>g；</w:t>
            </w:r>
          </w:p>
          <w:p>
            <w:pPr>
              <w:widowControl/>
              <w:rPr>
                <w:rFonts w:ascii="Times New Roman" w:hAnsi="Times New Roman" w:eastAsia="宋体" w:cs="Times New Roman"/>
                <w:szCs w:val="21"/>
              </w:rPr>
            </w:pPr>
            <w:r>
              <w:rPr>
                <w:rFonts w:ascii="Times New Roman" w:hAnsi="Times New Roman" w:eastAsia="宋体" w:cs="Times New Roman"/>
                <w:szCs w:val="21"/>
              </w:rPr>
              <w:t>最高转速：</w:t>
            </w:r>
            <w:r>
              <w:rPr>
                <w:rFonts w:hint="eastAsia" w:ascii="Times New Roman" w:hAnsi="Times New Roman" w:eastAsia="宋体" w:cs="Times New Roman"/>
                <w:szCs w:val="21"/>
              </w:rPr>
              <w:t>≥</w:t>
            </w:r>
            <w:r>
              <w:rPr>
                <w:rFonts w:ascii="Times New Roman" w:hAnsi="Times New Roman" w:eastAsia="宋体" w:cs="Times New Roman"/>
                <w:szCs w:val="21"/>
              </w:rPr>
              <w:t>1800rpm</w:t>
            </w:r>
            <w:r>
              <w:rPr>
                <w:rFonts w:hint="eastAsia" w:ascii="Times New Roman" w:hAnsi="Times New Roman" w:eastAsia="宋体" w:cs="Times New Roman"/>
                <w:szCs w:val="21"/>
              </w:rPr>
              <w:t>；</w:t>
            </w:r>
          </w:p>
          <w:p>
            <w:pPr>
              <w:widowControl/>
              <w:rPr>
                <w:rFonts w:ascii="Times New Roman" w:hAnsi="Times New Roman" w:eastAsia="宋体" w:cs="Times New Roman"/>
                <w:szCs w:val="21"/>
                <w:highlight w:val="yellow"/>
              </w:rPr>
            </w:pPr>
            <w:r>
              <w:rPr>
                <w:rFonts w:ascii="Times New Roman" w:hAnsi="Times New Roman" w:eastAsia="宋体" w:cs="Times New Roman"/>
                <w:szCs w:val="21"/>
                <w:highlight w:val="none"/>
              </w:rPr>
              <w:t>转速精度 ：</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±10 r/min；</w:t>
            </w:r>
          </w:p>
          <w:p>
            <w:pPr>
              <w:widowControl/>
              <w:rPr>
                <w:rFonts w:ascii="Times New Roman" w:hAnsi="Times New Roman" w:eastAsia="宋体" w:cs="Times New Roman"/>
                <w:szCs w:val="21"/>
              </w:rPr>
            </w:pPr>
            <w:r>
              <w:rPr>
                <w:rFonts w:ascii="Times New Roman" w:hAnsi="Times New Roman" w:eastAsia="宋体" w:cs="Times New Roman"/>
                <w:szCs w:val="21"/>
              </w:rPr>
              <w:t>配两个适配器：6×20ml；6×10ml。</w:t>
            </w:r>
          </w:p>
          <w:p>
            <w:pPr>
              <w:widowControl/>
              <w:rPr>
                <w:rFonts w:ascii="Times New Roman" w:hAnsi="Times New Roman" w:eastAsia="宋体" w:cs="Times New Roman"/>
                <w:b/>
                <w:szCs w:val="21"/>
              </w:rPr>
            </w:pPr>
            <w:r>
              <w:rPr>
                <w:rFonts w:hint="eastAsia" w:ascii="Times New Roman" w:hAnsi="Times New Roman" w:eastAsia="宋体" w:cs="Times New Roman"/>
                <w:b/>
                <w:szCs w:val="21"/>
                <w:highlight w:val="none"/>
              </w:rPr>
              <w:t>需与ZL3-1K真空离心浓缩仪设备匹配。</w:t>
            </w:r>
          </w:p>
        </w:tc>
        <w:tc>
          <w:tcPr>
            <w:tcW w:w="818"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新增配件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2</w:t>
            </w:r>
            <w:r>
              <w:rPr>
                <w:rFonts w:hint="eastAsia" w:ascii="Times New Roman" w:hAnsi="Times New Roman" w:eastAsia="宋体" w:cs="Times New Roman"/>
                <w:szCs w:val="21"/>
                <w:lang w:val="en-US" w:eastAsia="zh-CN"/>
              </w:rPr>
              <w:t>6</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台式冷冻离心机</w:t>
            </w:r>
          </w:p>
        </w:tc>
        <w:tc>
          <w:tcPr>
            <w:tcW w:w="3776" w:type="dxa"/>
            <w:vAlign w:val="center"/>
          </w:tcPr>
          <w:p>
            <w:pPr>
              <w:widowControl/>
              <w:rPr>
                <w:rFonts w:ascii="Times New Roman" w:hAnsi="Times New Roman" w:eastAsia="宋体" w:cs="Times New Roman"/>
                <w:szCs w:val="21"/>
              </w:rPr>
            </w:pPr>
            <w:r>
              <w:rPr>
                <w:rFonts w:ascii="Times New Roman" w:hAnsi="Times New Roman" w:eastAsia="宋体" w:cs="Times New Roman"/>
                <w:szCs w:val="21"/>
              </w:rPr>
              <w:t>最高转速：</w:t>
            </w:r>
            <w:r>
              <w:rPr>
                <w:rFonts w:hint="eastAsia" w:ascii="Times New Roman" w:hAnsi="Times New Roman" w:eastAsia="宋体" w:cs="Times New Roman"/>
                <w:szCs w:val="21"/>
              </w:rPr>
              <w:t>≥</w:t>
            </w:r>
            <w:r>
              <w:rPr>
                <w:rFonts w:ascii="Times New Roman" w:hAnsi="Times New Roman" w:eastAsia="宋体" w:cs="Times New Roman"/>
                <w:szCs w:val="21"/>
              </w:rPr>
              <w:t>16500 r/min；</w:t>
            </w:r>
          </w:p>
          <w:p>
            <w:pPr>
              <w:widowControl/>
              <w:rPr>
                <w:rFonts w:ascii="Times New Roman" w:hAnsi="Times New Roman" w:eastAsia="宋体" w:cs="Times New Roman"/>
                <w:szCs w:val="21"/>
                <w:highlight w:val="none"/>
              </w:rPr>
            </w:pPr>
            <w:r>
              <w:rPr>
                <w:rFonts w:ascii="Times New Roman" w:hAnsi="Times New Roman" w:eastAsia="宋体" w:cs="Times New Roman"/>
                <w:szCs w:val="21"/>
                <w:highlight w:val="none"/>
              </w:rPr>
              <w:t>转速精度 ：</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±10 r/min；</w:t>
            </w:r>
          </w:p>
          <w:p>
            <w:pPr>
              <w:rPr>
                <w:rFonts w:ascii="Times New Roman" w:hAnsi="Times New Roman" w:eastAsia="宋体" w:cs="Times New Roman"/>
                <w:szCs w:val="21"/>
              </w:rPr>
            </w:pPr>
            <w:r>
              <w:rPr>
                <w:rFonts w:ascii="Times New Roman" w:hAnsi="Times New Roman" w:eastAsia="宋体" w:cs="Times New Roman"/>
                <w:szCs w:val="21"/>
              </w:rPr>
              <w:t>最大离心力：</w:t>
            </w:r>
            <w:r>
              <w:rPr>
                <w:rFonts w:hint="eastAsia" w:ascii="Times New Roman" w:hAnsi="Times New Roman" w:eastAsia="宋体" w:cs="Times New Roman"/>
                <w:szCs w:val="21"/>
              </w:rPr>
              <w:t>≥</w:t>
            </w:r>
            <w:r>
              <w:rPr>
                <w:rFonts w:ascii="Times New Roman" w:hAnsi="Times New Roman" w:eastAsia="宋体" w:cs="Times New Roman"/>
                <w:szCs w:val="21"/>
              </w:rPr>
              <w:t>24760g；</w:t>
            </w:r>
          </w:p>
          <w:p>
            <w:pPr>
              <w:rPr>
                <w:rFonts w:ascii="Times New Roman" w:hAnsi="Times New Roman" w:eastAsia="宋体" w:cs="Times New Roman"/>
                <w:szCs w:val="21"/>
              </w:rPr>
            </w:pPr>
            <w:r>
              <w:rPr>
                <w:rFonts w:ascii="Times New Roman" w:hAnsi="Times New Roman" w:eastAsia="宋体" w:cs="Times New Roman"/>
                <w:szCs w:val="21"/>
              </w:rPr>
              <w:t>最大容量 ：</w:t>
            </w:r>
            <w:r>
              <w:rPr>
                <w:rFonts w:hint="eastAsia" w:ascii="Times New Roman" w:hAnsi="Times New Roman" w:eastAsia="宋体" w:cs="Times New Roman"/>
                <w:szCs w:val="21"/>
              </w:rPr>
              <w:t>≥</w:t>
            </w:r>
            <w:r>
              <w:rPr>
                <w:rFonts w:ascii="Times New Roman" w:hAnsi="Times New Roman" w:eastAsia="宋体" w:cs="Times New Roman"/>
                <w:szCs w:val="21"/>
              </w:rPr>
              <w:t>6×100ml（9000rpm）；</w:t>
            </w:r>
          </w:p>
          <w:p>
            <w:pPr>
              <w:rPr>
                <w:rFonts w:ascii="Times New Roman" w:hAnsi="Times New Roman" w:eastAsia="宋体" w:cs="Times New Roman"/>
                <w:szCs w:val="21"/>
              </w:rPr>
            </w:pPr>
            <w:r>
              <w:rPr>
                <w:rFonts w:ascii="Times New Roman" w:hAnsi="Times New Roman" w:eastAsia="宋体" w:cs="Times New Roman"/>
                <w:szCs w:val="21"/>
              </w:rPr>
              <w:t>温度控制范围 ：-20℃～40℃；</w:t>
            </w:r>
          </w:p>
          <w:p>
            <w:pPr>
              <w:rPr>
                <w:rFonts w:ascii="Times New Roman" w:hAnsi="Times New Roman" w:eastAsia="宋体" w:cs="Times New Roman"/>
                <w:szCs w:val="21"/>
              </w:rPr>
            </w:pPr>
            <w:r>
              <w:rPr>
                <w:rFonts w:ascii="Times New Roman" w:hAnsi="Times New Roman" w:eastAsia="宋体" w:cs="Times New Roman"/>
                <w:szCs w:val="21"/>
              </w:rPr>
              <w:t>温控精度 ：</w:t>
            </w:r>
            <w:r>
              <w:rPr>
                <w:rFonts w:hint="eastAsia" w:ascii="Times New Roman" w:hAnsi="Times New Roman" w:eastAsia="宋体" w:cs="Times New Roman"/>
                <w:szCs w:val="21"/>
              </w:rPr>
              <w:t>≤</w:t>
            </w:r>
            <w:r>
              <w:rPr>
                <w:rFonts w:ascii="Times New Roman" w:hAnsi="Times New Roman" w:eastAsia="宋体" w:cs="Times New Roman"/>
                <w:szCs w:val="21"/>
              </w:rPr>
              <w:t>±1℃；</w:t>
            </w:r>
          </w:p>
          <w:p>
            <w:pPr>
              <w:rPr>
                <w:rFonts w:ascii="Times New Roman" w:hAnsi="Times New Roman" w:eastAsia="宋体" w:cs="Times New Roman"/>
                <w:szCs w:val="21"/>
              </w:rPr>
            </w:pPr>
            <w:r>
              <w:rPr>
                <w:rFonts w:ascii="Times New Roman" w:hAnsi="Times New Roman" w:eastAsia="宋体" w:cs="Times New Roman"/>
                <w:szCs w:val="21"/>
              </w:rPr>
              <w:t>定时范围 ：1s~99H59min59s；</w:t>
            </w:r>
          </w:p>
          <w:p>
            <w:pPr>
              <w:rPr>
                <w:rFonts w:ascii="Times New Roman" w:hAnsi="Times New Roman" w:eastAsia="宋体" w:cs="Times New Roman"/>
                <w:szCs w:val="21"/>
              </w:rPr>
            </w:pPr>
            <w:r>
              <w:rPr>
                <w:rFonts w:ascii="Times New Roman" w:hAnsi="Times New Roman" w:eastAsia="宋体" w:cs="Times New Roman"/>
                <w:szCs w:val="21"/>
              </w:rPr>
              <w:t>噪  声：≤</w:t>
            </w:r>
            <w:r>
              <w:rPr>
                <w:rFonts w:hint="eastAsia" w:ascii="Times New Roman" w:hAnsi="Times New Roman" w:eastAsia="宋体" w:cs="Times New Roman"/>
                <w:szCs w:val="21"/>
              </w:rPr>
              <w:t>60</w:t>
            </w:r>
            <w:r>
              <w:rPr>
                <w:rFonts w:ascii="Times New Roman" w:hAnsi="Times New Roman" w:eastAsia="宋体" w:cs="Times New Roman"/>
                <w:szCs w:val="21"/>
              </w:rPr>
              <w:t>dB（A）；</w:t>
            </w:r>
          </w:p>
          <w:p>
            <w:pPr>
              <w:rPr>
                <w:rFonts w:ascii="Times New Roman" w:hAnsi="Times New Roman" w:eastAsia="宋体" w:cs="Times New Roman"/>
                <w:szCs w:val="21"/>
              </w:rPr>
            </w:pPr>
            <w:r>
              <w:rPr>
                <w:rFonts w:ascii="Times New Roman" w:hAnsi="Times New Roman" w:eastAsia="宋体" w:cs="Times New Roman"/>
                <w:szCs w:val="21"/>
              </w:rPr>
              <w:t>配套转子：6</w:t>
            </w:r>
            <w:r>
              <w:rPr>
                <w:rFonts w:hint="eastAsia" w:ascii="Times New Roman" w:hAnsi="Times New Roman" w:eastAsia="宋体" w:cs="Times New Roman"/>
                <w:szCs w:val="21"/>
              </w:rPr>
              <w:t>×</w:t>
            </w:r>
            <w:r>
              <w:rPr>
                <w:rFonts w:ascii="Times New Roman" w:hAnsi="Times New Roman" w:eastAsia="宋体" w:cs="Times New Roman"/>
                <w:szCs w:val="21"/>
              </w:rPr>
              <w:t>50ml</w:t>
            </w:r>
            <w:r>
              <w:rPr>
                <w:rFonts w:hint="eastAsia" w:ascii="Times New Roman" w:hAnsi="Times New Roman" w:eastAsia="宋体" w:cs="Times New Roman"/>
                <w:szCs w:val="21"/>
              </w:rPr>
              <w:t>，</w:t>
            </w:r>
            <w:r>
              <w:rPr>
                <w:rFonts w:ascii="Times New Roman" w:hAnsi="Times New Roman" w:eastAsia="宋体" w:cs="Times New Roman"/>
                <w:szCs w:val="21"/>
              </w:rPr>
              <w:t>12</w:t>
            </w:r>
            <w:r>
              <w:rPr>
                <w:rFonts w:hint="eastAsia" w:ascii="Times New Roman" w:hAnsi="Times New Roman" w:eastAsia="宋体" w:cs="Times New Roman"/>
                <w:szCs w:val="21"/>
              </w:rPr>
              <w:t>×</w:t>
            </w:r>
            <w:r>
              <w:rPr>
                <w:rFonts w:ascii="Times New Roman" w:hAnsi="Times New Roman" w:eastAsia="宋体" w:cs="Times New Roman"/>
                <w:szCs w:val="21"/>
              </w:rPr>
              <w:t>1.5/2.2ml，12</w:t>
            </w:r>
            <w:r>
              <w:rPr>
                <w:rFonts w:hint="eastAsia" w:ascii="Times New Roman" w:hAnsi="Times New Roman" w:eastAsia="宋体" w:cs="Times New Roman"/>
                <w:szCs w:val="21"/>
              </w:rPr>
              <w:t>×</w:t>
            </w:r>
            <w:r>
              <w:rPr>
                <w:rFonts w:ascii="Times New Roman" w:hAnsi="Times New Roman" w:eastAsia="宋体" w:cs="Times New Roman"/>
                <w:szCs w:val="21"/>
              </w:rPr>
              <w:t>10ml；配备设备安装工具箱1套。</w:t>
            </w:r>
          </w:p>
          <w:p>
            <w:pPr>
              <w:rPr>
                <w:rFonts w:ascii="Times New Roman" w:hAnsi="Times New Roman" w:eastAsia="宋体" w:cs="Times New Roman"/>
                <w:szCs w:val="21"/>
              </w:rPr>
            </w:pPr>
            <w:r>
              <w:rPr>
                <w:rFonts w:ascii="Times New Roman" w:hAnsi="Times New Roman" w:eastAsia="宋体" w:cs="Times New Roman"/>
                <w:szCs w:val="21"/>
              </w:rPr>
              <w:t>智能温控系统。</w:t>
            </w:r>
          </w:p>
          <w:p>
            <w:pPr>
              <w:rPr>
                <w:rFonts w:ascii="Times New Roman" w:hAnsi="Times New Roman" w:eastAsia="宋体" w:cs="Times New Roman"/>
                <w:szCs w:val="21"/>
              </w:rPr>
            </w:pPr>
            <w:r>
              <w:rPr>
                <w:rFonts w:hint="eastAsia" w:ascii="Times New Roman" w:hAnsi="Times New Roman" w:eastAsia="宋体" w:cs="Times New Roman"/>
                <w:szCs w:val="21"/>
              </w:rPr>
              <w:t>设备采用</w:t>
            </w:r>
            <w:r>
              <w:rPr>
                <w:rFonts w:ascii="Times New Roman" w:hAnsi="Times New Roman" w:eastAsia="宋体" w:cs="Times New Roman"/>
                <w:szCs w:val="21"/>
              </w:rPr>
              <w:t>智能识别技术，无需运行即能瞬间识别出转子规格、最高转速、最大离心力、生产日期、使用情况等信息。转子数量不受限制，即使非标定制转子，系统也能快速识别。</w:t>
            </w:r>
          </w:p>
          <w:p>
            <w:pPr>
              <w:rPr>
                <w:rFonts w:ascii="Times New Roman" w:hAnsi="Times New Roman" w:eastAsia="宋体" w:cs="Times New Roman"/>
                <w:szCs w:val="21"/>
              </w:rPr>
            </w:pPr>
            <w:r>
              <w:rPr>
                <w:rFonts w:ascii="Times New Roman" w:hAnsi="Times New Roman" w:eastAsia="宋体" w:cs="Times New Roman"/>
                <w:szCs w:val="21"/>
              </w:rPr>
              <w:t>采用三轴陀螺仪实时监测运行中主轴的振动状态，可以准确的检测出因漏液或装量不平衡引起的异常振动。</w:t>
            </w:r>
          </w:p>
          <w:p>
            <w:pPr>
              <w:rPr>
                <w:rFonts w:ascii="Times New Roman" w:hAnsi="Times New Roman" w:eastAsia="宋体" w:cs="Times New Roman"/>
                <w:szCs w:val="21"/>
              </w:rPr>
            </w:pPr>
            <w:r>
              <w:rPr>
                <w:rFonts w:ascii="Times New Roman" w:hAnsi="Times New Roman" w:eastAsia="宋体" w:cs="Times New Roman"/>
                <w:szCs w:val="21"/>
              </w:rPr>
              <w:t>采用免维护变频电机驱动，LCD触摸屏。</w:t>
            </w:r>
          </w:p>
          <w:p>
            <w:pPr>
              <w:rPr>
                <w:rFonts w:ascii="Times New Roman" w:hAnsi="Times New Roman" w:eastAsia="宋体" w:cs="Times New Roman"/>
                <w:szCs w:val="21"/>
              </w:rPr>
            </w:pPr>
            <w:r>
              <w:rPr>
                <w:rFonts w:ascii="Times New Roman" w:hAnsi="Times New Roman" w:eastAsia="宋体" w:cs="Times New Roman"/>
                <w:szCs w:val="21"/>
              </w:rPr>
              <w:t>可存储</w:t>
            </w:r>
            <w:r>
              <w:rPr>
                <w:rFonts w:hint="eastAsia" w:ascii="Times New Roman" w:hAnsi="Times New Roman" w:eastAsia="宋体" w:cs="Times New Roman"/>
                <w:szCs w:val="21"/>
              </w:rPr>
              <w:t>×</w:t>
            </w:r>
            <w:r>
              <w:rPr>
                <w:rFonts w:ascii="Times New Roman" w:hAnsi="Times New Roman" w:eastAsia="宋体" w:cs="Times New Roman"/>
                <w:szCs w:val="21"/>
              </w:rPr>
              <w:t>1000个程序组，</w:t>
            </w:r>
            <w:r>
              <w:rPr>
                <w:rFonts w:hint="eastAsia" w:ascii="Times New Roman" w:hAnsi="Times New Roman" w:eastAsia="宋体" w:cs="Times New Roman"/>
                <w:szCs w:val="21"/>
              </w:rPr>
              <w:t>≥</w:t>
            </w:r>
            <w:r>
              <w:rPr>
                <w:rFonts w:ascii="Times New Roman" w:hAnsi="Times New Roman" w:eastAsia="宋体" w:cs="Times New Roman"/>
                <w:szCs w:val="21"/>
              </w:rPr>
              <w:t>1000条使用记录。</w:t>
            </w:r>
          </w:p>
          <w:p>
            <w:pPr>
              <w:rPr>
                <w:rFonts w:ascii="Times New Roman" w:hAnsi="Times New Roman" w:eastAsia="宋体" w:cs="Times New Roman"/>
                <w:szCs w:val="21"/>
              </w:rPr>
            </w:pPr>
            <w:r>
              <w:rPr>
                <w:rFonts w:ascii="Times New Roman" w:hAnsi="Times New Roman" w:eastAsia="宋体" w:cs="Times New Roman"/>
                <w:szCs w:val="21"/>
              </w:rPr>
              <w:t>可设置</w:t>
            </w:r>
            <w:r>
              <w:rPr>
                <w:rFonts w:hint="eastAsia" w:ascii="Times New Roman" w:hAnsi="Times New Roman" w:eastAsia="宋体" w:cs="Times New Roman"/>
                <w:szCs w:val="21"/>
              </w:rPr>
              <w:t>≥</w:t>
            </w:r>
            <w:r>
              <w:rPr>
                <w:rFonts w:ascii="Times New Roman" w:hAnsi="Times New Roman" w:eastAsia="宋体" w:cs="Times New Roman"/>
                <w:szCs w:val="21"/>
              </w:rPr>
              <w:t>5段阶梯离心，满足多元化实验要求。</w:t>
            </w:r>
          </w:p>
          <w:p>
            <w:pPr>
              <w:rPr>
                <w:rFonts w:ascii="Times New Roman" w:hAnsi="Times New Roman" w:eastAsia="宋体" w:cs="Times New Roman"/>
                <w:szCs w:val="21"/>
              </w:rPr>
            </w:pPr>
            <w:r>
              <w:rPr>
                <w:rFonts w:ascii="Times New Roman" w:hAnsi="Times New Roman" w:eastAsia="宋体" w:cs="Times New Roman"/>
                <w:szCs w:val="21"/>
              </w:rPr>
              <w:t>具有曲线显示功能，运行参数以曲线形式直观的显示在屏幕上，用以监测各参数的变化过程和稳定性。</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40个升降速档位可调，在转速下降到500rpm~0的过程中采用曲线缓降，防止样品回荡，有效提升样品回收率。</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27</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冷冻干燥机</w:t>
            </w:r>
          </w:p>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核心产品</w:t>
            </w:r>
            <w:r>
              <w:rPr>
                <w:rFonts w:hint="eastAsia" w:ascii="Times New Roman" w:hAnsi="Times New Roman" w:eastAsia="宋体" w:cs="Times New Roman"/>
                <w:b/>
                <w:bCs/>
                <w:szCs w:val="21"/>
                <w:lang w:eastAsia="zh-CN"/>
              </w:rPr>
              <w:t>）</w:t>
            </w:r>
          </w:p>
        </w:tc>
        <w:tc>
          <w:tcPr>
            <w:tcW w:w="3776" w:type="dxa"/>
            <w:vAlign w:val="center"/>
          </w:tcPr>
          <w:p>
            <w:r>
              <w:rPr>
                <w:rFonts w:ascii="Times New Roman" w:hAnsi="Times New Roman" w:eastAsia="宋体" w:cs="Times New Roman"/>
                <w:szCs w:val="21"/>
              </w:rPr>
              <w:t>1、</w:t>
            </w:r>
            <w:r>
              <w:rPr>
                <w:rFonts w:hint="eastAsia" w:ascii="Times New Roman" w:hAnsi="Times New Roman" w:eastAsia="宋体" w:cs="Times New Roman"/>
                <w:szCs w:val="21"/>
              </w:rPr>
              <w:t>冷凝器具备化霜功能，可设置化霜温度与时间。</w:t>
            </w:r>
          </w:p>
          <w:p>
            <w:pPr>
              <w:rPr>
                <w:rFonts w:ascii="Times New Roman" w:hAnsi="Times New Roman" w:eastAsia="宋体" w:cs="Times New Roman"/>
                <w:sz w:val="22"/>
                <w:szCs w:val="21"/>
              </w:rPr>
            </w:pPr>
            <w:r>
              <w:rPr>
                <w:rFonts w:ascii="Times New Roman" w:hAnsi="Times New Roman" w:eastAsia="宋体" w:cs="Times New Roman"/>
                <w:szCs w:val="21"/>
              </w:rPr>
              <w:t>2、采用</w:t>
            </w:r>
            <w:r>
              <w:rPr>
                <w:rFonts w:hint="eastAsia" w:ascii="Times New Roman" w:hAnsi="Times New Roman" w:eastAsia="宋体" w:cs="Times New Roman"/>
                <w:szCs w:val="21"/>
              </w:rPr>
              <w:t>≥7英寸触摸液晶屏控制系统</w:t>
            </w:r>
            <w:r>
              <w:rPr>
                <w:rFonts w:ascii="Times New Roman" w:hAnsi="Times New Roman" w:eastAsia="宋体" w:cs="Times New Roman"/>
                <w:szCs w:val="21"/>
              </w:rPr>
              <w:t>，中文(英文)可转换界面，以曲线和数字形式显示工作时间、冷凝器温度、样品温度、真空度，并记录干燥曲线；</w:t>
            </w:r>
            <w:r>
              <w:t>屏幕操作具备锁屏功能，防止误操作保证仪器正常运行</w:t>
            </w:r>
            <w:r>
              <w:rPr>
                <w:rFonts w:hint="eastAsia"/>
              </w:rPr>
              <w:t>。</w:t>
            </w:r>
          </w:p>
          <w:p>
            <w:pPr>
              <w:rPr>
                <w:rFonts w:ascii="Times New Roman" w:hAnsi="Times New Roman" w:eastAsia="宋体" w:cs="Times New Roman"/>
                <w:szCs w:val="21"/>
              </w:rPr>
            </w:pPr>
            <w:r>
              <w:rPr>
                <w:rFonts w:ascii="Times New Roman" w:hAnsi="Times New Roman" w:eastAsia="宋体" w:cs="Times New Roman"/>
                <w:szCs w:val="21"/>
              </w:rPr>
              <w:t>3、工业嵌入式操作系统。配置USB通讯接口，实验数据U盘一键提取；</w:t>
            </w:r>
          </w:p>
          <w:p>
            <w:pPr>
              <w:rPr>
                <w:rFonts w:ascii="Times New Roman" w:hAnsi="Times New Roman" w:eastAsia="宋体" w:cs="Times New Roman"/>
                <w:szCs w:val="21"/>
              </w:rPr>
            </w:pPr>
            <w:r>
              <w:rPr>
                <w:rFonts w:ascii="Times New Roman" w:hAnsi="Times New Roman" w:eastAsia="宋体" w:cs="Times New Roman"/>
                <w:szCs w:val="21"/>
              </w:rPr>
              <w:t>4、控制系统自动保存冻干数据，并能以实时曲线和历史曲线的形式查看；</w:t>
            </w:r>
          </w:p>
          <w:p>
            <w:pPr>
              <w:rPr>
                <w:rFonts w:ascii="Times New Roman" w:hAnsi="Times New Roman" w:eastAsia="宋体" w:cs="Times New Roman"/>
                <w:szCs w:val="21"/>
              </w:rPr>
            </w:pPr>
            <w:r>
              <w:rPr>
                <w:rFonts w:ascii="Times New Roman" w:hAnsi="Times New Roman" w:eastAsia="宋体" w:cs="Times New Roman"/>
                <w:szCs w:val="21"/>
              </w:rPr>
              <w:t>5、干燥室采用无色透明一次注塑成型的聚碳干燥室；</w:t>
            </w:r>
          </w:p>
          <w:p>
            <w:pPr>
              <w:rPr>
                <w:rFonts w:ascii="Times New Roman" w:hAnsi="Times New Roman" w:eastAsia="宋体" w:cs="Times New Roman"/>
                <w:szCs w:val="21"/>
              </w:rPr>
            </w:pPr>
            <w:r>
              <w:rPr>
                <w:rFonts w:ascii="Times New Roman" w:hAnsi="Times New Roman" w:eastAsia="宋体" w:cs="Times New Roman"/>
                <w:szCs w:val="21"/>
              </w:rPr>
              <w:t>6、真空泵与主机连接采用快卸法兰；</w:t>
            </w:r>
          </w:p>
          <w:p>
            <w:pPr>
              <w:rPr>
                <w:rFonts w:ascii="Times New Roman" w:hAnsi="Times New Roman" w:eastAsia="宋体" w:cs="Times New Roman"/>
                <w:szCs w:val="21"/>
              </w:rPr>
            </w:pPr>
            <w:r>
              <w:rPr>
                <w:rFonts w:ascii="Times New Roman" w:hAnsi="Times New Roman" w:eastAsia="宋体" w:cs="Times New Roman"/>
                <w:szCs w:val="21"/>
              </w:rPr>
              <w:t>7、放水放气阀为不锈钢手动流量控制阀；</w:t>
            </w:r>
          </w:p>
          <w:p>
            <w:pPr>
              <w:rPr>
                <w:rFonts w:ascii="Times New Roman" w:hAnsi="Times New Roman" w:eastAsia="宋体" w:cs="Times New Roman"/>
                <w:szCs w:val="21"/>
              </w:rPr>
            </w:pPr>
            <w:r>
              <w:rPr>
                <w:rFonts w:ascii="Times New Roman" w:hAnsi="Times New Roman" w:eastAsia="宋体" w:cs="Times New Roman"/>
                <w:szCs w:val="21"/>
              </w:rPr>
              <w:t>8、技术参数要求：</w:t>
            </w:r>
          </w:p>
          <w:p>
            <w:pPr>
              <w:rPr>
                <w:rFonts w:ascii="Times New Roman" w:hAnsi="Times New Roman" w:eastAsia="宋体" w:cs="Times New Roman"/>
                <w:szCs w:val="21"/>
              </w:rPr>
            </w:pPr>
            <w:r>
              <w:rPr>
                <w:rFonts w:ascii="Times New Roman" w:hAnsi="Times New Roman" w:eastAsia="宋体" w:cs="Times New Roman"/>
                <w:szCs w:val="21"/>
              </w:rPr>
              <w:t>冻干面积：</w:t>
            </w:r>
            <w:r>
              <w:rPr>
                <w:rFonts w:hint="eastAsia" w:ascii="Times New Roman" w:hAnsi="Times New Roman" w:eastAsia="宋体" w:cs="Times New Roman"/>
                <w:szCs w:val="21"/>
              </w:rPr>
              <w:t>≥</w:t>
            </w:r>
            <w:r>
              <w:rPr>
                <w:rFonts w:ascii="Times New Roman" w:hAnsi="Times New Roman" w:eastAsia="宋体" w:cs="Times New Roman"/>
                <w:szCs w:val="21"/>
              </w:rPr>
              <w:t>0.12</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2</w:t>
            </w:r>
          </w:p>
          <w:p>
            <w:pPr>
              <w:rPr>
                <w:rFonts w:ascii="Times New Roman" w:hAnsi="Times New Roman" w:eastAsia="宋体" w:cs="Times New Roman"/>
                <w:szCs w:val="21"/>
              </w:rPr>
            </w:pPr>
            <w:r>
              <w:rPr>
                <w:rFonts w:ascii="Times New Roman" w:hAnsi="Times New Roman" w:eastAsia="宋体" w:cs="Times New Roman"/>
                <w:szCs w:val="21"/>
              </w:rPr>
              <w:t>冷阱温度：&lt;-</w:t>
            </w:r>
            <w:r>
              <w:rPr>
                <w:rFonts w:hint="eastAsia" w:ascii="Times New Roman" w:hAnsi="Times New Roman" w:eastAsia="宋体" w:cs="Times New Roman"/>
                <w:szCs w:val="21"/>
              </w:rPr>
              <w:t>70</w:t>
            </w:r>
            <w:r>
              <w:rPr>
                <w:rFonts w:ascii="Times New Roman" w:hAnsi="Times New Roman" w:eastAsia="宋体" w:cs="Times New Roman"/>
                <w:szCs w:val="21"/>
              </w:rPr>
              <w:t>℃</w:t>
            </w:r>
            <w:r>
              <w:rPr>
                <w:rFonts w:hint="eastAsia" w:ascii="Times New Roman" w:hAnsi="Times New Roman" w:eastAsia="宋体" w:cs="Times New Roman"/>
                <w:szCs w:val="21"/>
              </w:rPr>
              <w:t>(空载)</w:t>
            </w:r>
          </w:p>
          <w:p>
            <w:pPr>
              <w:rPr>
                <w:rFonts w:ascii="Times New Roman" w:hAnsi="Times New Roman" w:eastAsia="宋体" w:cs="Times New Roman"/>
                <w:szCs w:val="21"/>
              </w:rPr>
            </w:pPr>
            <w:r>
              <w:rPr>
                <w:rFonts w:ascii="Times New Roman" w:hAnsi="Times New Roman" w:eastAsia="宋体" w:cs="Times New Roman"/>
                <w:szCs w:val="21"/>
              </w:rPr>
              <w:t>极限真空度：</w:t>
            </w:r>
            <w:r>
              <w:rPr>
                <w:rFonts w:hint="eastAsia" w:ascii="Times New Roman" w:hAnsi="Times New Roman" w:eastAsia="宋体" w:cs="Times New Roman"/>
                <w:szCs w:val="21"/>
              </w:rPr>
              <w:t>≥</w:t>
            </w:r>
            <w:r>
              <w:rPr>
                <w:rFonts w:ascii="Times New Roman" w:hAnsi="Times New Roman" w:eastAsia="宋体" w:cs="Times New Roman"/>
                <w:szCs w:val="21"/>
              </w:rPr>
              <w:t>1Pa</w:t>
            </w:r>
          </w:p>
          <w:p>
            <w:pPr>
              <w:rPr>
                <w:rFonts w:ascii="Times New Roman" w:hAnsi="Times New Roman" w:eastAsia="宋体" w:cs="Times New Roman"/>
                <w:szCs w:val="21"/>
              </w:rPr>
            </w:pPr>
            <w:r>
              <w:rPr>
                <w:rFonts w:ascii="Times New Roman" w:hAnsi="Times New Roman" w:eastAsia="宋体" w:cs="Times New Roman"/>
                <w:szCs w:val="21"/>
              </w:rPr>
              <w:t>达标真空度：</w:t>
            </w:r>
            <w:r>
              <w:rPr>
                <w:rFonts w:hint="eastAsia" w:ascii="Times New Roman" w:hAnsi="Times New Roman" w:eastAsia="宋体" w:cs="Times New Roman"/>
                <w:szCs w:val="21"/>
              </w:rPr>
              <w:t>≥</w:t>
            </w:r>
            <w:r>
              <w:rPr>
                <w:rFonts w:ascii="Times New Roman" w:hAnsi="Times New Roman" w:eastAsia="宋体" w:cs="Times New Roman"/>
                <w:szCs w:val="21"/>
              </w:rPr>
              <w:t>5Pa</w:t>
            </w:r>
          </w:p>
          <w:p>
            <w:pPr>
              <w:rPr>
                <w:rFonts w:ascii="Times New Roman" w:hAnsi="Times New Roman" w:eastAsia="宋体" w:cs="Times New Roman"/>
                <w:szCs w:val="21"/>
              </w:rPr>
            </w:pPr>
            <w:r>
              <w:rPr>
                <w:rFonts w:ascii="Times New Roman" w:hAnsi="Times New Roman" w:eastAsia="宋体" w:cs="Times New Roman"/>
                <w:szCs w:val="21"/>
              </w:rPr>
              <w:t>捕水能力：3-4Kg/24h</w:t>
            </w:r>
          </w:p>
          <w:p>
            <w:pPr>
              <w:rPr>
                <w:rFonts w:ascii="Times New Roman" w:hAnsi="Times New Roman" w:eastAsia="宋体" w:cs="Times New Roman"/>
                <w:szCs w:val="21"/>
              </w:rPr>
            </w:pPr>
            <w:r>
              <w:rPr>
                <w:rFonts w:ascii="Times New Roman" w:hAnsi="Times New Roman" w:eastAsia="宋体" w:cs="Times New Roman"/>
                <w:szCs w:val="21"/>
              </w:rPr>
              <w:t xml:space="preserve">物料盘：φ200mm共4层 </w:t>
            </w:r>
          </w:p>
          <w:p>
            <w:pPr>
              <w:rPr>
                <w:rFonts w:ascii="Times New Roman" w:hAnsi="Times New Roman" w:eastAsia="宋体" w:cs="Times New Roman"/>
                <w:szCs w:val="21"/>
              </w:rPr>
            </w:pPr>
            <w:r>
              <w:rPr>
                <w:rFonts w:ascii="Times New Roman" w:hAnsi="Times New Roman" w:eastAsia="宋体" w:cs="Times New Roman"/>
                <w:szCs w:val="21"/>
              </w:rPr>
              <w:t>层间距：70mm</w:t>
            </w:r>
          </w:p>
          <w:p>
            <w:pPr>
              <w:rPr>
                <w:rFonts w:ascii="Times New Roman" w:hAnsi="Times New Roman" w:eastAsia="宋体" w:cs="Times New Roman"/>
                <w:szCs w:val="21"/>
              </w:rPr>
            </w:pPr>
            <w:r>
              <w:rPr>
                <w:rFonts w:ascii="Times New Roman" w:hAnsi="Times New Roman" w:eastAsia="宋体" w:cs="Times New Roman"/>
                <w:szCs w:val="21"/>
              </w:rPr>
              <w:t>整机功率：</w:t>
            </w:r>
            <w:r>
              <w:rPr>
                <w:rFonts w:hint="eastAsia" w:ascii="Times New Roman" w:hAnsi="Times New Roman" w:eastAsia="宋体" w:cs="Times New Roman"/>
                <w:szCs w:val="21"/>
              </w:rPr>
              <w:t>≥</w:t>
            </w:r>
            <w:r>
              <w:rPr>
                <w:rFonts w:ascii="Times New Roman" w:hAnsi="Times New Roman" w:eastAsia="宋体" w:cs="Times New Roman"/>
                <w:szCs w:val="21"/>
              </w:rPr>
              <w:t>950W</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可装物料：</w:t>
            </w:r>
            <w:r>
              <w:rPr>
                <w:rFonts w:hint="eastAsia" w:ascii="Times New Roman" w:hAnsi="Times New Roman" w:eastAsia="宋体" w:cs="Times New Roman"/>
                <w:szCs w:val="21"/>
              </w:rPr>
              <w:t>≥</w:t>
            </w:r>
            <w:r>
              <w:rPr>
                <w:rFonts w:ascii="Times New Roman" w:hAnsi="Times New Roman" w:eastAsia="宋体" w:cs="Times New Roman"/>
                <w:szCs w:val="21"/>
              </w:rPr>
              <w:t>1.2L(料厚</w:t>
            </w:r>
            <w:r>
              <w:rPr>
                <w:rFonts w:hint="eastAsia" w:ascii="Times New Roman" w:hAnsi="Times New Roman" w:eastAsia="宋体" w:cs="Times New Roman"/>
                <w:szCs w:val="21"/>
              </w:rPr>
              <w:t>≥</w:t>
            </w:r>
            <w:r>
              <w:rPr>
                <w:rFonts w:ascii="Times New Roman" w:hAnsi="Times New Roman" w:eastAsia="宋体" w:cs="Times New Roman"/>
                <w:szCs w:val="21"/>
              </w:rPr>
              <w:t>10mm)</w:t>
            </w:r>
            <w:r>
              <w:rPr>
                <w:rFonts w:hint="eastAsia" w:ascii="Times New Roman" w:hAnsi="Times New Roman" w:eastAsia="宋体" w:cs="Times New Roman"/>
                <w:szCs w:val="21"/>
              </w:rPr>
              <w:t>；</w:t>
            </w:r>
          </w:p>
          <w:p>
            <w:pPr>
              <w:jc w:val="left"/>
              <w:rPr>
                <w:rFonts w:ascii="Times New Roman" w:hAnsi="Times New Roman" w:eastAsia="宋体" w:cs="Times New Roman"/>
                <w:szCs w:val="21"/>
              </w:rPr>
            </w:pPr>
            <w:r>
              <w:rPr>
                <w:rFonts w:ascii="Times New Roman" w:hAnsi="Times New Roman" w:eastAsia="宋体" w:cs="Times New Roman"/>
                <w:szCs w:val="21"/>
              </w:rPr>
              <w:t>样品盘：特殊设计的不锈钢样品架，样品盘间距可调，层数自由设定；物料干燥盘直径为200mm，共四层2套，共8个；可放置物料约1.5L（料厚10mm）；</w:t>
            </w:r>
          </w:p>
          <w:p>
            <w:pPr>
              <w:jc w:val="left"/>
              <w:rPr>
                <w:rFonts w:ascii="Times New Roman" w:hAnsi="Times New Roman" w:eastAsia="宋体" w:cs="Times New Roman"/>
                <w:szCs w:val="21"/>
              </w:rPr>
            </w:pPr>
            <w:r>
              <w:rPr>
                <w:rFonts w:hint="eastAsia" w:ascii="Times New Roman" w:hAnsi="Times New Roman" w:eastAsia="宋体" w:cs="Times New Roman"/>
                <w:szCs w:val="21"/>
              </w:rPr>
              <w:t>主要配置；真空泵1台（</w:t>
            </w:r>
            <w:r>
              <w:t>真空泵配置一套油污过滤器，具备防倒吸功能</w:t>
            </w:r>
            <w:r>
              <w:rPr>
                <w:rFonts w:hint="eastAsia" w:ascii="Times New Roman" w:hAnsi="Times New Roman" w:eastAsia="宋体" w:cs="Times New Roman"/>
                <w:szCs w:val="21"/>
              </w:rPr>
              <w:t>），波纹管</w:t>
            </w:r>
            <w:r>
              <w:rPr>
                <w:rFonts w:ascii="Times New Roman" w:hAnsi="Times New Roman" w:eastAsia="宋体" w:cs="Times New Roman"/>
                <w:szCs w:val="21"/>
              </w:rPr>
              <w:t>1</w:t>
            </w:r>
            <w:r>
              <w:rPr>
                <w:rFonts w:hint="eastAsia" w:ascii="Times New Roman" w:hAnsi="Times New Roman" w:eastAsia="宋体" w:cs="Times New Roman"/>
                <w:szCs w:val="21"/>
              </w:rPr>
              <w:t>根，油雾过滤器1个。</w:t>
            </w:r>
          </w:p>
          <w:p>
            <w:pPr>
              <w:jc w:val="left"/>
              <w:rPr>
                <w:rFonts w:ascii="Times New Roman" w:hAnsi="Times New Roman" w:eastAsia="宋体" w:cs="Times New Roman"/>
                <w:szCs w:val="21"/>
              </w:rPr>
            </w:pPr>
            <w:r>
              <w:rPr>
                <w:rFonts w:ascii="Times New Roman" w:hAnsi="Times New Roman" w:eastAsia="宋体" w:cs="Times New Roman"/>
                <w:szCs w:val="21"/>
              </w:rPr>
              <w:t>配套真空泵油5桶。</w:t>
            </w:r>
            <w:r>
              <w:rPr>
                <w:rFonts w:hint="eastAsia" w:ascii="Times New Roman" w:hAnsi="Times New Roman" w:eastAsia="宋体" w:cs="Times New Roman"/>
                <w:szCs w:val="21"/>
              </w:rPr>
              <w:t>（一桶2.5L）</w:t>
            </w:r>
            <w:r>
              <w:rPr>
                <w:rFonts w:ascii="Times New Roman" w:hAnsi="Times New Roman" w:eastAsia="宋体" w:cs="Times New Roman"/>
                <w:szCs w:val="21"/>
              </w:rPr>
              <w:t xml:space="preserve"> </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7"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28</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分析天平</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可读性：</w:t>
            </w:r>
            <w:r>
              <w:rPr>
                <w:rFonts w:hint="eastAsia" w:ascii="Times New Roman" w:hAnsi="Times New Roman" w:eastAsia="宋体" w:cs="Times New Roman"/>
                <w:szCs w:val="21"/>
              </w:rPr>
              <w:t>≤</w:t>
            </w:r>
            <w:r>
              <w:rPr>
                <w:rFonts w:ascii="Times New Roman" w:hAnsi="Times New Roman" w:eastAsia="宋体" w:cs="Times New Roman"/>
                <w:szCs w:val="21"/>
              </w:rPr>
              <w:t>0.1mg</w:t>
            </w:r>
          </w:p>
          <w:p>
            <w:pPr>
              <w:rPr>
                <w:rFonts w:ascii="Times New Roman" w:hAnsi="Times New Roman" w:eastAsia="宋体" w:cs="Times New Roman"/>
                <w:szCs w:val="21"/>
              </w:rPr>
            </w:pPr>
            <w:r>
              <w:rPr>
                <w:rFonts w:ascii="Times New Roman" w:hAnsi="Times New Roman" w:eastAsia="宋体" w:cs="Times New Roman"/>
                <w:szCs w:val="21"/>
              </w:rPr>
              <w:t>重复性：</w:t>
            </w:r>
            <w:r>
              <w:rPr>
                <w:rFonts w:hint="eastAsia" w:ascii="Times New Roman" w:hAnsi="Times New Roman" w:eastAsia="宋体" w:cs="Times New Roman"/>
                <w:szCs w:val="21"/>
              </w:rPr>
              <w:t>≤</w:t>
            </w:r>
            <w:r>
              <w:rPr>
                <w:rFonts w:ascii="Times New Roman" w:hAnsi="Times New Roman" w:eastAsia="宋体" w:cs="Times New Roman"/>
                <w:szCs w:val="21"/>
              </w:rPr>
              <w:t>±0.1mg</w:t>
            </w:r>
          </w:p>
          <w:p>
            <w:pPr>
              <w:rPr>
                <w:rFonts w:ascii="Times New Roman" w:hAnsi="Times New Roman" w:eastAsia="宋体" w:cs="Times New Roman"/>
                <w:szCs w:val="21"/>
              </w:rPr>
            </w:pPr>
            <w:r>
              <w:rPr>
                <w:rFonts w:ascii="Times New Roman" w:hAnsi="Times New Roman" w:eastAsia="宋体" w:cs="Times New Roman"/>
                <w:szCs w:val="21"/>
              </w:rPr>
              <w:t>线性误差：</w:t>
            </w:r>
            <w:r>
              <w:rPr>
                <w:rFonts w:hint="eastAsia" w:ascii="Times New Roman" w:hAnsi="Times New Roman" w:eastAsia="宋体" w:cs="Times New Roman"/>
                <w:szCs w:val="21"/>
              </w:rPr>
              <w:t>≤</w:t>
            </w:r>
            <w:r>
              <w:rPr>
                <w:rFonts w:ascii="Times New Roman" w:hAnsi="Times New Roman" w:eastAsia="宋体" w:cs="Times New Roman"/>
                <w:szCs w:val="21"/>
              </w:rPr>
              <w:t>±0.06mg</w:t>
            </w:r>
          </w:p>
          <w:p>
            <w:pPr>
              <w:rPr>
                <w:rFonts w:ascii="Times New Roman" w:hAnsi="Times New Roman" w:eastAsia="宋体" w:cs="Times New Roman"/>
                <w:szCs w:val="21"/>
              </w:rPr>
            </w:pPr>
            <w:r>
              <w:rPr>
                <w:rFonts w:ascii="Times New Roman" w:hAnsi="Times New Roman" w:eastAsia="宋体" w:cs="Times New Roman"/>
                <w:szCs w:val="21"/>
              </w:rPr>
              <w:t>灵敏度漂移（10℃-30℃）：</w:t>
            </w:r>
            <w:r>
              <w:rPr>
                <w:rFonts w:hint="eastAsia" w:ascii="Times New Roman" w:hAnsi="Times New Roman" w:eastAsia="宋体" w:cs="Times New Roman"/>
                <w:szCs w:val="21"/>
              </w:rPr>
              <w:t>≤</w:t>
            </w:r>
            <w:r>
              <w:rPr>
                <w:rFonts w:ascii="Times New Roman" w:hAnsi="Times New Roman" w:eastAsia="宋体" w:cs="Times New Roman"/>
                <w:szCs w:val="21"/>
              </w:rPr>
              <w:t>±1.5ppm/K</w:t>
            </w:r>
          </w:p>
          <w:p>
            <w:pPr>
              <w:rPr>
                <w:rFonts w:ascii="Times New Roman" w:hAnsi="Times New Roman" w:eastAsia="宋体" w:cs="Times New Roman"/>
                <w:szCs w:val="21"/>
              </w:rPr>
            </w:pPr>
            <w:r>
              <w:rPr>
                <w:rFonts w:ascii="Times New Roman" w:hAnsi="Times New Roman" w:eastAsia="宋体" w:cs="Times New Roman"/>
                <w:szCs w:val="21"/>
              </w:rPr>
              <w:t>稳定时间：≤1.5s</w:t>
            </w:r>
          </w:p>
          <w:p>
            <w:pPr>
              <w:rPr>
                <w:rFonts w:ascii="Times New Roman" w:hAnsi="Times New Roman" w:eastAsia="宋体" w:cs="Times New Roman"/>
                <w:szCs w:val="21"/>
              </w:rPr>
            </w:pPr>
            <w:r>
              <w:rPr>
                <w:rFonts w:ascii="Times New Roman" w:hAnsi="Times New Roman" w:eastAsia="宋体" w:cs="Times New Roman"/>
                <w:szCs w:val="21"/>
              </w:rPr>
              <w:t>秤盘尺寸：</w:t>
            </w:r>
            <w:r>
              <w:rPr>
                <w:rFonts w:hint="eastAsia" w:ascii="Times New Roman" w:hAnsi="Times New Roman" w:eastAsia="宋体" w:cs="Times New Roman"/>
                <w:szCs w:val="21"/>
              </w:rPr>
              <w:t>≥</w:t>
            </w:r>
            <w:r>
              <w:rPr>
                <w:rFonts w:ascii="Times New Roman" w:hAnsi="Times New Roman" w:eastAsia="宋体" w:cs="Times New Roman"/>
                <w:szCs w:val="21"/>
              </w:rPr>
              <w:t>φ90mm</w:t>
            </w:r>
          </w:p>
          <w:p>
            <w:pPr>
              <w:rPr>
                <w:rFonts w:ascii="Times New Roman" w:hAnsi="Times New Roman" w:eastAsia="宋体" w:cs="Times New Roman"/>
                <w:szCs w:val="21"/>
              </w:rPr>
            </w:pPr>
            <w:r>
              <w:rPr>
                <w:rFonts w:ascii="Times New Roman" w:hAnsi="Times New Roman" w:eastAsia="宋体" w:cs="Times New Roman"/>
                <w:szCs w:val="21"/>
              </w:rPr>
              <w:t>具备iso CAL功能</w:t>
            </w:r>
          </w:p>
          <w:p>
            <w:pPr>
              <w:rPr>
                <w:rFonts w:ascii="Times New Roman" w:hAnsi="Times New Roman" w:eastAsia="宋体" w:cs="Times New Roman"/>
                <w:szCs w:val="21"/>
              </w:rPr>
            </w:pPr>
            <w:r>
              <w:rPr>
                <w:rFonts w:ascii="Times New Roman" w:hAnsi="Times New Roman" w:eastAsia="宋体" w:cs="Times New Roman"/>
                <w:szCs w:val="21"/>
              </w:rPr>
              <w:t>自动外部校准</w:t>
            </w:r>
          </w:p>
          <w:p>
            <w:pPr>
              <w:rPr>
                <w:rFonts w:ascii="Times New Roman" w:hAnsi="Times New Roman" w:eastAsia="宋体" w:cs="Times New Roman"/>
                <w:szCs w:val="21"/>
              </w:rPr>
            </w:pPr>
            <w:r>
              <w:rPr>
                <w:rFonts w:ascii="Times New Roman" w:hAnsi="Times New Roman" w:eastAsia="宋体" w:cs="Times New Roman"/>
                <w:szCs w:val="21"/>
              </w:rPr>
              <w:t>配有易于调节的地脚和直观懂的前置水平调节向导</w:t>
            </w:r>
          </w:p>
          <w:p>
            <w:pPr>
              <w:rPr>
                <w:rFonts w:ascii="Times New Roman" w:hAnsi="Times New Roman" w:eastAsia="宋体" w:cs="Times New Roman"/>
                <w:szCs w:val="21"/>
              </w:rPr>
            </w:pPr>
            <w:r>
              <w:rPr>
                <w:rFonts w:ascii="Times New Roman" w:hAnsi="Times New Roman" w:eastAsia="宋体" w:cs="Times New Roman"/>
                <w:szCs w:val="21"/>
              </w:rPr>
              <w:t>LED触摸屏</w:t>
            </w:r>
          </w:p>
          <w:p>
            <w:pPr>
              <w:rPr>
                <w:rFonts w:ascii="Times New Roman" w:hAnsi="Times New Roman" w:eastAsia="宋体" w:cs="Times New Roman"/>
                <w:szCs w:val="21"/>
              </w:rPr>
            </w:pPr>
            <w:r>
              <w:rPr>
                <w:rFonts w:ascii="Times New Roman" w:hAnsi="Times New Roman" w:eastAsia="宋体" w:cs="Times New Roman"/>
                <w:szCs w:val="21"/>
              </w:rPr>
              <w:t>USB型C接口、 行业通用的RS232接口</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密码保护确保安全操作</w:t>
            </w:r>
            <w:r>
              <w:rPr>
                <w:rFonts w:hint="eastAsia" w:ascii="Times New Roman" w:hAnsi="Times New Roman" w:eastAsia="宋体" w:cs="Times New Roman"/>
                <w:szCs w:val="21"/>
              </w:rPr>
              <w:t>，</w:t>
            </w:r>
            <w:r>
              <w:rPr>
                <w:rFonts w:ascii="Times New Roman" w:hAnsi="Times New Roman" w:eastAsia="宋体" w:cs="Times New Roman"/>
                <w:szCs w:val="21"/>
              </w:rPr>
              <w:t>配套标准砝码1套</w:t>
            </w:r>
            <w:r>
              <w:rPr>
                <w:rFonts w:hint="eastAsia" w:ascii="Times New Roman" w:hAnsi="Times New Roman" w:eastAsia="宋体" w:cs="Times New Roman"/>
                <w:szCs w:val="21"/>
              </w:rPr>
              <w:t>。</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8" w:hRule="atLeast"/>
          <w:jc w:val="center"/>
        </w:trPr>
        <w:tc>
          <w:tcPr>
            <w:tcW w:w="593"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29</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集热式恒温磁力搅拌器</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电源：A</w:t>
            </w:r>
            <w:r>
              <w:rPr>
                <w:rFonts w:hint="eastAsia" w:ascii="Times New Roman" w:hAnsi="Times New Roman" w:eastAsia="宋体" w:cs="Times New Roman"/>
                <w:szCs w:val="21"/>
              </w:rPr>
              <w:t xml:space="preserve">C </w:t>
            </w:r>
            <w:r>
              <w:rPr>
                <w:rFonts w:ascii="Times New Roman" w:hAnsi="Times New Roman" w:eastAsia="宋体" w:cs="Times New Roman"/>
                <w:szCs w:val="21"/>
              </w:rPr>
              <w:t>220V±10%</w:t>
            </w:r>
          </w:p>
          <w:p>
            <w:pPr>
              <w:rPr>
                <w:rFonts w:ascii="Times New Roman" w:hAnsi="Times New Roman" w:eastAsia="宋体" w:cs="Times New Roman"/>
                <w:szCs w:val="21"/>
              </w:rPr>
            </w:pPr>
            <w:r>
              <w:rPr>
                <w:rFonts w:ascii="Times New Roman" w:hAnsi="Times New Roman" w:eastAsia="宋体" w:cs="Times New Roman"/>
                <w:szCs w:val="21"/>
              </w:rPr>
              <w:t>工作方式：连续</w:t>
            </w:r>
          </w:p>
          <w:p>
            <w:pPr>
              <w:rPr>
                <w:rFonts w:ascii="Times New Roman" w:hAnsi="Times New Roman" w:eastAsia="宋体" w:cs="Times New Roman"/>
                <w:szCs w:val="21"/>
              </w:rPr>
            </w:pPr>
            <w:r>
              <w:rPr>
                <w:rFonts w:ascii="Times New Roman" w:hAnsi="Times New Roman" w:eastAsia="宋体" w:cs="Times New Roman"/>
                <w:szCs w:val="21"/>
              </w:rPr>
              <w:t>转速：0～1500r/min</w:t>
            </w:r>
          </w:p>
          <w:p>
            <w:pPr>
              <w:rPr>
                <w:rFonts w:ascii="Times New Roman" w:hAnsi="Times New Roman" w:eastAsia="宋体" w:cs="Times New Roman"/>
                <w:szCs w:val="21"/>
              </w:rPr>
            </w:pPr>
            <w:r>
              <w:rPr>
                <w:rFonts w:ascii="Times New Roman" w:hAnsi="Times New Roman" w:eastAsia="宋体" w:cs="Times New Roman"/>
                <w:szCs w:val="21"/>
              </w:rPr>
              <w:t>电机转矩：</w:t>
            </w:r>
            <w:r>
              <w:rPr>
                <w:rFonts w:hint="eastAsia" w:ascii="Times New Roman" w:hAnsi="Times New Roman" w:eastAsia="宋体" w:cs="Times New Roman"/>
                <w:szCs w:val="21"/>
              </w:rPr>
              <w:t>≥</w:t>
            </w:r>
            <w:r>
              <w:rPr>
                <w:rFonts w:ascii="Times New Roman" w:hAnsi="Times New Roman" w:eastAsia="宋体" w:cs="Times New Roman"/>
                <w:szCs w:val="21"/>
              </w:rPr>
              <w:t>40mN·</w:t>
            </w:r>
            <w:r>
              <w:rPr>
                <w:rFonts w:hint="eastAsia" w:ascii="Times New Roman" w:hAnsi="Times New Roman" w:eastAsia="宋体" w:cs="Times New Roman"/>
                <w:szCs w:val="21"/>
              </w:rPr>
              <w:t>m</w:t>
            </w:r>
          </w:p>
          <w:p>
            <w:pPr>
              <w:rPr>
                <w:rFonts w:ascii="Times New Roman" w:hAnsi="Times New Roman" w:eastAsia="宋体" w:cs="Times New Roman"/>
                <w:szCs w:val="21"/>
              </w:rPr>
            </w:pPr>
            <w:r>
              <w:rPr>
                <w:rFonts w:ascii="Times New Roman" w:hAnsi="Times New Roman" w:eastAsia="宋体" w:cs="Times New Roman"/>
                <w:szCs w:val="21"/>
              </w:rPr>
              <w:t>搅拌容量（水）：</w:t>
            </w:r>
            <w:r>
              <w:rPr>
                <w:rFonts w:hint="eastAsia" w:ascii="Times New Roman" w:hAnsi="Times New Roman" w:eastAsia="宋体" w:cs="Times New Roman"/>
                <w:szCs w:val="21"/>
              </w:rPr>
              <w:t>适应范围优于</w:t>
            </w: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500ml</w:t>
            </w:r>
            <w:r>
              <w:rPr>
                <w:rFonts w:hint="eastAsia"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加热功率：</w:t>
            </w:r>
            <w:r>
              <w:rPr>
                <w:rFonts w:hint="eastAsia" w:ascii="Times New Roman" w:hAnsi="Times New Roman" w:eastAsia="宋体" w:cs="Times New Roman"/>
                <w:szCs w:val="21"/>
              </w:rPr>
              <w:t>≥</w:t>
            </w:r>
            <w:r>
              <w:rPr>
                <w:rFonts w:ascii="Times New Roman" w:hAnsi="Times New Roman" w:eastAsia="宋体" w:cs="Times New Roman"/>
                <w:szCs w:val="21"/>
              </w:rPr>
              <w:t>600W</w:t>
            </w:r>
          </w:p>
          <w:p>
            <w:pPr>
              <w:rPr>
                <w:rFonts w:ascii="Times New Roman" w:hAnsi="Times New Roman" w:eastAsia="宋体" w:cs="Times New Roman"/>
                <w:szCs w:val="21"/>
              </w:rPr>
            </w:pPr>
            <w:r>
              <w:rPr>
                <w:rFonts w:ascii="Times New Roman" w:hAnsi="Times New Roman" w:eastAsia="宋体" w:cs="Times New Roman"/>
                <w:szCs w:val="21"/>
              </w:rPr>
              <w:t>台面温度设定：室温～250℃</w:t>
            </w:r>
          </w:p>
          <w:p>
            <w:pPr>
              <w:rPr>
                <w:rFonts w:ascii="Times New Roman" w:hAnsi="Times New Roman" w:eastAsia="宋体" w:cs="Times New Roman"/>
                <w:szCs w:val="21"/>
              </w:rPr>
            </w:pPr>
            <w:r>
              <w:rPr>
                <w:rFonts w:ascii="Times New Roman" w:hAnsi="Times New Roman" w:eastAsia="宋体" w:cs="Times New Roman"/>
                <w:szCs w:val="21"/>
              </w:rPr>
              <w:t>控温精度：</w:t>
            </w:r>
            <w:r>
              <w:rPr>
                <w:rFonts w:hint="eastAsia" w:ascii="Times New Roman" w:hAnsi="Times New Roman" w:eastAsia="宋体" w:cs="Times New Roman"/>
                <w:szCs w:val="21"/>
              </w:rPr>
              <w:t>≤</w:t>
            </w:r>
            <w:r>
              <w:rPr>
                <w:rFonts w:ascii="Times New Roman" w:hAnsi="Times New Roman" w:eastAsia="宋体" w:cs="Times New Roman"/>
                <w:szCs w:val="21"/>
              </w:rPr>
              <w:t>±0.1℃</w:t>
            </w:r>
          </w:p>
          <w:p>
            <w:pPr>
              <w:rPr>
                <w:rFonts w:ascii="Times New Roman" w:hAnsi="Times New Roman" w:eastAsia="宋体" w:cs="Times New Roman"/>
                <w:szCs w:val="21"/>
              </w:rPr>
            </w:pPr>
            <w:r>
              <w:rPr>
                <w:rFonts w:ascii="Times New Roman" w:hAnsi="Times New Roman" w:eastAsia="宋体" w:cs="Times New Roman"/>
                <w:szCs w:val="21"/>
              </w:rPr>
              <w:t>保护温度：超温</w:t>
            </w:r>
            <w:r>
              <w:rPr>
                <w:rFonts w:hint="eastAsia" w:ascii="Times New Roman" w:hAnsi="Times New Roman" w:eastAsia="宋体" w:cs="Times New Roman"/>
                <w:szCs w:val="21"/>
              </w:rPr>
              <w:t>≥</w:t>
            </w:r>
            <w:r>
              <w:rPr>
                <w:rFonts w:ascii="Times New Roman" w:hAnsi="Times New Roman" w:eastAsia="宋体" w:cs="Times New Roman"/>
                <w:szCs w:val="21"/>
              </w:rPr>
              <w:t>10℃</w:t>
            </w:r>
          </w:p>
          <w:p>
            <w:pPr>
              <w:rPr>
                <w:rFonts w:ascii="Times New Roman" w:hAnsi="Times New Roman" w:eastAsia="宋体" w:cs="Times New Roman"/>
                <w:szCs w:val="21"/>
              </w:rPr>
            </w:pPr>
            <w:r>
              <w:rPr>
                <w:rFonts w:ascii="Times New Roman" w:hAnsi="Times New Roman" w:eastAsia="宋体" w:cs="Times New Roman"/>
                <w:szCs w:val="21"/>
              </w:rPr>
              <w:t>数字显示：温度、转速显示</w:t>
            </w:r>
          </w:p>
          <w:p>
            <w:pPr>
              <w:rPr>
                <w:rFonts w:ascii="Times New Roman" w:hAnsi="Times New Roman" w:eastAsia="宋体" w:cs="Times New Roman"/>
                <w:szCs w:val="21"/>
              </w:rPr>
            </w:pPr>
            <w:r>
              <w:rPr>
                <w:rFonts w:ascii="Times New Roman" w:hAnsi="Times New Roman" w:eastAsia="宋体" w:cs="Times New Roman"/>
                <w:szCs w:val="21"/>
              </w:rPr>
              <w:t>定时范围：0~9999分钟</w:t>
            </w:r>
          </w:p>
          <w:p>
            <w:pPr>
              <w:rPr>
                <w:rFonts w:ascii="Times New Roman" w:hAnsi="Times New Roman" w:eastAsia="宋体" w:cs="Times New Roman"/>
                <w:szCs w:val="21"/>
              </w:rPr>
            </w:pPr>
            <w:r>
              <w:rPr>
                <w:rFonts w:ascii="Times New Roman" w:hAnsi="Times New Roman" w:eastAsia="宋体" w:cs="Times New Roman"/>
                <w:szCs w:val="21"/>
              </w:rPr>
              <w:t>传感器分度号：PT100</w:t>
            </w:r>
          </w:p>
          <w:p>
            <w:pPr>
              <w:rPr>
                <w:rFonts w:ascii="Times New Roman" w:hAnsi="Times New Roman" w:eastAsia="宋体" w:cs="Times New Roman"/>
                <w:szCs w:val="21"/>
              </w:rPr>
            </w:pPr>
            <w:r>
              <w:rPr>
                <w:rFonts w:ascii="Times New Roman" w:hAnsi="Times New Roman" w:eastAsia="宋体" w:cs="Times New Roman"/>
                <w:szCs w:val="21"/>
              </w:rPr>
              <w:t>加热锅尺寸：</w:t>
            </w:r>
            <w:r>
              <w:rPr>
                <w:rFonts w:hint="eastAsia" w:ascii="Times New Roman" w:hAnsi="Times New Roman" w:eastAsia="宋体" w:cs="Times New Roman"/>
                <w:szCs w:val="21"/>
              </w:rPr>
              <w:t>≥</w:t>
            </w:r>
            <w:r>
              <w:rPr>
                <w:rFonts w:ascii="Times New Roman" w:hAnsi="Times New Roman" w:eastAsia="宋体" w:cs="Times New Roman"/>
                <w:szCs w:val="21"/>
              </w:rPr>
              <w:t>Φ134</w:t>
            </w:r>
            <w:r>
              <w:rPr>
                <w:rFonts w:hint="eastAsia" w:ascii="Times New Roman" w:hAnsi="Times New Roman" w:eastAsia="宋体" w:cs="Times New Roman"/>
                <w:szCs w:val="21"/>
              </w:rPr>
              <w:t>×</w:t>
            </w:r>
            <w:r>
              <w:rPr>
                <w:rFonts w:ascii="Times New Roman" w:hAnsi="Times New Roman" w:eastAsia="宋体" w:cs="Times New Roman"/>
                <w:szCs w:val="21"/>
              </w:rPr>
              <w:t>70mm</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9"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0</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顶置电动搅拌器</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最大搅拌量（水）：</w:t>
            </w:r>
            <w:r>
              <w:rPr>
                <w:rFonts w:hint="eastAsia" w:ascii="Times New Roman" w:hAnsi="Times New Roman" w:eastAsia="宋体" w:cs="Times New Roman"/>
                <w:szCs w:val="21"/>
              </w:rPr>
              <w:t>≥</w:t>
            </w:r>
            <w:r>
              <w:rPr>
                <w:rFonts w:ascii="Times New Roman" w:hAnsi="Times New Roman" w:eastAsia="宋体" w:cs="Times New Roman"/>
                <w:szCs w:val="21"/>
              </w:rPr>
              <w:t>20 L</w:t>
            </w:r>
          </w:p>
          <w:p>
            <w:pPr>
              <w:rPr>
                <w:rFonts w:ascii="Times New Roman" w:hAnsi="Times New Roman" w:eastAsia="宋体" w:cs="Times New Roman"/>
                <w:szCs w:val="21"/>
              </w:rPr>
            </w:pPr>
            <w:r>
              <w:rPr>
                <w:rFonts w:ascii="Times New Roman" w:hAnsi="Times New Roman" w:eastAsia="宋体" w:cs="Times New Roman"/>
                <w:szCs w:val="21"/>
              </w:rPr>
              <w:t>电机输入功率：</w:t>
            </w:r>
            <w:r>
              <w:rPr>
                <w:rFonts w:hint="eastAsia" w:ascii="Times New Roman" w:hAnsi="Times New Roman" w:eastAsia="宋体" w:cs="Times New Roman"/>
                <w:szCs w:val="21"/>
              </w:rPr>
              <w:t>≥70</w:t>
            </w:r>
            <w:r>
              <w:rPr>
                <w:rFonts w:ascii="Times New Roman" w:hAnsi="Times New Roman" w:eastAsia="宋体" w:cs="Times New Roman"/>
                <w:szCs w:val="21"/>
              </w:rPr>
              <w:t xml:space="preserve"> W</w:t>
            </w:r>
          </w:p>
          <w:p>
            <w:pPr>
              <w:rPr>
                <w:rFonts w:ascii="Times New Roman" w:hAnsi="Times New Roman" w:eastAsia="宋体" w:cs="Times New Roman"/>
                <w:szCs w:val="21"/>
              </w:rPr>
            </w:pPr>
            <w:r>
              <w:rPr>
                <w:rFonts w:ascii="Times New Roman" w:hAnsi="Times New Roman" w:eastAsia="宋体" w:cs="Times New Roman"/>
                <w:szCs w:val="21"/>
              </w:rPr>
              <w:t>电机输出功率：</w:t>
            </w:r>
            <w:r>
              <w:rPr>
                <w:rFonts w:hint="eastAsia" w:ascii="Times New Roman" w:hAnsi="Times New Roman" w:eastAsia="宋体" w:cs="Times New Roman"/>
                <w:szCs w:val="21"/>
              </w:rPr>
              <w:t>≥35</w:t>
            </w:r>
            <w:r>
              <w:rPr>
                <w:rFonts w:ascii="Times New Roman" w:hAnsi="Times New Roman" w:eastAsia="宋体" w:cs="Times New Roman"/>
                <w:szCs w:val="21"/>
              </w:rPr>
              <w:t xml:space="preserve"> W</w:t>
            </w:r>
          </w:p>
          <w:p>
            <w:pPr>
              <w:rPr>
                <w:rFonts w:ascii="Times New Roman" w:hAnsi="Times New Roman" w:eastAsia="宋体" w:cs="Times New Roman"/>
                <w:szCs w:val="21"/>
              </w:rPr>
            </w:pPr>
            <w:r>
              <w:rPr>
                <w:rFonts w:ascii="Times New Roman" w:hAnsi="Times New Roman" w:eastAsia="宋体" w:cs="Times New Roman"/>
                <w:szCs w:val="21"/>
              </w:rPr>
              <w:t>电压：</w:t>
            </w:r>
            <w:r>
              <w:rPr>
                <w:rFonts w:hint="eastAsia" w:ascii="Times New Roman" w:hAnsi="Times New Roman" w:eastAsia="宋体" w:cs="Times New Roman"/>
                <w:szCs w:val="21"/>
              </w:rPr>
              <w:t>220</w:t>
            </w:r>
            <w:r>
              <w:rPr>
                <w:rFonts w:ascii="Times New Roman" w:hAnsi="Times New Roman" w:eastAsia="宋体" w:cs="Times New Roman"/>
                <w:szCs w:val="21"/>
              </w:rPr>
              <w:t>~240V</w:t>
            </w:r>
            <w:r>
              <w:rPr>
                <w:rFonts w:hint="eastAsia" w:ascii="Times New Roman" w:hAnsi="Times New Roman" w:eastAsia="宋体" w:cs="Times New Roman"/>
                <w:szCs w:val="21"/>
              </w:rPr>
              <w:t>，</w:t>
            </w:r>
            <w:r>
              <w:rPr>
                <w:rFonts w:ascii="Times New Roman" w:hAnsi="Times New Roman" w:eastAsia="宋体" w:cs="Times New Roman"/>
                <w:szCs w:val="21"/>
              </w:rPr>
              <w:t>50/60 Hz</w:t>
            </w:r>
          </w:p>
          <w:p>
            <w:pPr>
              <w:rPr>
                <w:rFonts w:ascii="Times New Roman" w:hAnsi="Times New Roman" w:eastAsia="宋体" w:cs="Times New Roman"/>
                <w:szCs w:val="21"/>
              </w:rPr>
            </w:pPr>
            <w:r>
              <w:rPr>
                <w:rFonts w:hint="eastAsia" w:ascii="Times New Roman" w:hAnsi="Times New Roman" w:eastAsia="宋体" w:cs="Times New Roman"/>
                <w:szCs w:val="21"/>
              </w:rPr>
              <w:t>搅拌轴最大输出功率</w:t>
            </w:r>
            <w:r>
              <w:rPr>
                <w:rFonts w:ascii="Times New Roman" w:hAnsi="Times New Roman" w:eastAsia="宋体" w:cs="Times New Roman"/>
                <w:szCs w:val="21"/>
              </w:rPr>
              <w:t>：</w:t>
            </w:r>
            <w:r>
              <w:rPr>
                <w:rFonts w:hint="eastAsia" w:ascii="Times New Roman" w:hAnsi="Times New Roman" w:eastAsia="宋体" w:cs="Times New Roman"/>
                <w:szCs w:val="21"/>
              </w:rPr>
              <w:t>≥26</w:t>
            </w:r>
            <w:r>
              <w:rPr>
                <w:rFonts w:ascii="Times New Roman" w:hAnsi="Times New Roman" w:eastAsia="宋体" w:cs="Times New Roman"/>
                <w:szCs w:val="21"/>
              </w:rPr>
              <w:t xml:space="preserve"> W</w:t>
            </w:r>
          </w:p>
          <w:p>
            <w:pPr>
              <w:rPr>
                <w:rFonts w:ascii="Times New Roman" w:hAnsi="Times New Roman" w:eastAsia="宋体" w:cs="Times New Roman"/>
                <w:szCs w:val="21"/>
              </w:rPr>
            </w:pPr>
            <w:r>
              <w:rPr>
                <w:rFonts w:ascii="Times New Roman" w:hAnsi="Times New Roman" w:eastAsia="宋体" w:cs="Times New Roman"/>
                <w:szCs w:val="21"/>
              </w:rPr>
              <w:t>转速控制精度：</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rpm</w:t>
            </w:r>
          </w:p>
          <w:p>
            <w:pPr>
              <w:rPr>
                <w:rFonts w:ascii="Times New Roman" w:hAnsi="Times New Roman" w:eastAsia="宋体" w:cs="Times New Roman"/>
                <w:szCs w:val="21"/>
              </w:rPr>
            </w:pPr>
            <w:r>
              <w:rPr>
                <w:rFonts w:ascii="Times New Roman" w:hAnsi="Times New Roman" w:eastAsia="宋体" w:cs="Times New Roman"/>
                <w:szCs w:val="21"/>
              </w:rPr>
              <w:t>速度测量偏差：</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30</w:t>
            </w:r>
            <w:r>
              <w:rPr>
                <w:rFonts w:ascii="Times New Roman" w:hAnsi="Times New Roman" w:eastAsia="宋体" w:cs="Times New Roman"/>
                <w:szCs w:val="21"/>
              </w:rPr>
              <w:t>rpm</w:t>
            </w:r>
          </w:p>
          <w:p>
            <w:pPr>
              <w:rPr>
                <w:rFonts w:ascii="Times New Roman" w:hAnsi="Times New Roman" w:eastAsia="宋体" w:cs="Times New Roman"/>
                <w:szCs w:val="21"/>
              </w:rPr>
            </w:pPr>
            <w:r>
              <w:rPr>
                <w:rFonts w:ascii="Times New Roman" w:hAnsi="Times New Roman" w:eastAsia="宋体" w:cs="Times New Roman"/>
                <w:szCs w:val="21"/>
              </w:rPr>
              <w:t>转速范围：</w:t>
            </w:r>
            <w:r>
              <w:rPr>
                <w:rFonts w:hint="eastAsia" w:ascii="Times New Roman" w:hAnsi="Times New Roman" w:eastAsia="宋体" w:cs="Times New Roman"/>
                <w:szCs w:val="21"/>
              </w:rPr>
              <w:t>60~</w:t>
            </w:r>
            <w:r>
              <w:rPr>
                <w:rFonts w:ascii="Times New Roman" w:hAnsi="Times New Roman" w:eastAsia="宋体" w:cs="Times New Roman"/>
                <w:szCs w:val="21"/>
              </w:rPr>
              <w:t>2200 rpm</w:t>
            </w:r>
          </w:p>
          <w:p>
            <w:pPr>
              <w:rPr>
                <w:rFonts w:ascii="Times New Roman" w:hAnsi="Times New Roman" w:eastAsia="宋体" w:cs="Times New Roman"/>
                <w:szCs w:val="21"/>
              </w:rPr>
            </w:pPr>
            <w:r>
              <w:rPr>
                <w:rFonts w:ascii="Times New Roman" w:hAnsi="Times New Roman" w:eastAsia="宋体" w:cs="Times New Roman"/>
                <w:szCs w:val="21"/>
              </w:rPr>
              <w:t>转速显示：LCD</w:t>
            </w:r>
          </w:p>
          <w:p>
            <w:pPr>
              <w:rPr>
                <w:rFonts w:ascii="Times New Roman" w:hAnsi="Times New Roman" w:eastAsia="宋体" w:cs="Times New Roman"/>
                <w:szCs w:val="21"/>
              </w:rPr>
            </w:pPr>
            <w:r>
              <w:rPr>
                <w:rFonts w:ascii="Times New Roman" w:hAnsi="Times New Roman" w:eastAsia="宋体" w:cs="Times New Roman"/>
                <w:szCs w:val="21"/>
              </w:rPr>
              <w:t>扭矩显示：LCD</w:t>
            </w:r>
          </w:p>
          <w:p>
            <w:pPr>
              <w:rPr>
                <w:rFonts w:ascii="Times New Roman" w:hAnsi="Times New Roman" w:eastAsia="宋体" w:cs="Times New Roman"/>
                <w:szCs w:val="21"/>
              </w:rPr>
            </w:pPr>
            <w:r>
              <w:rPr>
                <w:rFonts w:ascii="Times New Roman" w:hAnsi="Times New Roman" w:eastAsia="宋体" w:cs="Times New Roman"/>
                <w:szCs w:val="21"/>
              </w:rPr>
              <w:t>过载保护显示：LCD</w:t>
            </w:r>
          </w:p>
          <w:p>
            <w:pPr>
              <w:rPr>
                <w:rFonts w:ascii="Times New Roman" w:hAnsi="Times New Roman" w:eastAsia="宋体" w:cs="Times New Roman"/>
                <w:szCs w:val="21"/>
              </w:rPr>
            </w:pPr>
            <w:r>
              <w:rPr>
                <w:rFonts w:hint="eastAsia" w:ascii="Times New Roman" w:hAnsi="Times New Roman" w:eastAsia="宋体" w:cs="Times New Roman"/>
                <w:szCs w:val="21"/>
              </w:rPr>
              <w:t>最大转矩</w:t>
            </w:r>
            <w:r>
              <w:rPr>
                <w:rFonts w:ascii="Times New Roman" w:hAnsi="Times New Roman" w:eastAsia="宋体" w:cs="Times New Roman"/>
                <w:szCs w:val="21"/>
              </w:rPr>
              <w:t>：</w:t>
            </w:r>
            <w:r>
              <w:rPr>
                <w:rFonts w:hint="eastAsia" w:ascii="Times New Roman" w:hAnsi="Times New Roman" w:eastAsia="宋体" w:cs="Times New Roman"/>
                <w:szCs w:val="21"/>
              </w:rPr>
              <w:t>≥0.40</w:t>
            </w:r>
            <w:r>
              <w:rPr>
                <w:rFonts w:ascii="Times New Roman" w:hAnsi="Times New Roman" w:eastAsia="宋体" w:cs="Times New Roman"/>
                <w:szCs w:val="21"/>
              </w:rPr>
              <w:t>Nm</w:t>
            </w:r>
          </w:p>
          <w:p>
            <w:pPr>
              <w:rPr>
                <w:rFonts w:ascii="Times New Roman" w:hAnsi="Times New Roman" w:eastAsia="宋体" w:cs="Times New Roman"/>
                <w:szCs w:val="21"/>
              </w:rPr>
            </w:pPr>
            <w:r>
              <w:rPr>
                <w:rFonts w:ascii="Times New Roman" w:hAnsi="Times New Roman" w:eastAsia="宋体" w:cs="Times New Roman"/>
                <w:szCs w:val="21"/>
              </w:rPr>
              <w:t>最大粘度：</w:t>
            </w:r>
            <w:r>
              <w:rPr>
                <w:rFonts w:hint="eastAsia" w:ascii="Times New Roman" w:hAnsi="Times New Roman" w:eastAsia="宋体" w:cs="Times New Roman"/>
                <w:szCs w:val="21"/>
              </w:rPr>
              <w:t>≥</w:t>
            </w:r>
            <w:r>
              <w:rPr>
                <w:rFonts w:ascii="Times New Roman" w:hAnsi="Times New Roman" w:eastAsia="宋体" w:cs="Times New Roman"/>
                <w:szCs w:val="21"/>
              </w:rPr>
              <w:t>10000mPas</w:t>
            </w:r>
          </w:p>
          <w:p>
            <w:pPr>
              <w:rPr>
                <w:rFonts w:ascii="Times New Roman" w:hAnsi="Times New Roman" w:eastAsia="宋体" w:cs="Times New Roman"/>
                <w:szCs w:val="21"/>
              </w:rPr>
            </w:pPr>
            <w:r>
              <w:rPr>
                <w:rFonts w:ascii="Times New Roman" w:hAnsi="Times New Roman" w:eastAsia="宋体" w:cs="Times New Roman"/>
                <w:szCs w:val="21"/>
              </w:rPr>
              <w:t>转速控制：无极</w:t>
            </w:r>
          </w:p>
          <w:p>
            <w:pPr>
              <w:rPr>
                <w:rFonts w:ascii="Times New Roman" w:hAnsi="Times New Roman" w:eastAsia="宋体" w:cs="Times New Roman"/>
                <w:szCs w:val="21"/>
              </w:rPr>
            </w:pPr>
            <w:r>
              <w:rPr>
                <w:rFonts w:ascii="Times New Roman" w:hAnsi="Times New Roman" w:eastAsia="宋体" w:cs="Times New Roman"/>
                <w:szCs w:val="21"/>
              </w:rPr>
              <w:t>钻夹头夹持直径范围：0.5</w:t>
            </w:r>
            <w:r>
              <w:rPr>
                <w:rFonts w:hint="eastAsia" w:ascii="Times New Roman" w:hAnsi="Times New Roman" w:eastAsia="宋体" w:cs="Times New Roman"/>
                <w:szCs w:val="21"/>
              </w:rPr>
              <w:t>~</w:t>
            </w:r>
            <w:r>
              <w:rPr>
                <w:rFonts w:ascii="Times New Roman" w:hAnsi="Times New Roman" w:eastAsia="宋体" w:cs="Times New Roman"/>
                <w:szCs w:val="21"/>
              </w:rPr>
              <w:t>10 mm</w:t>
            </w:r>
          </w:p>
          <w:p>
            <w:pPr>
              <w:rPr>
                <w:rFonts w:ascii="Times New Roman" w:hAnsi="Times New Roman" w:eastAsia="宋体" w:cs="Times New Roman"/>
                <w:szCs w:val="21"/>
              </w:rPr>
            </w:pPr>
            <w:r>
              <w:rPr>
                <w:rFonts w:ascii="Times New Roman" w:hAnsi="Times New Roman" w:eastAsia="宋体" w:cs="Times New Roman"/>
                <w:szCs w:val="21"/>
              </w:rPr>
              <w:t>搅拌桨材质/数量：中号四氟搅拌浆/5支</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台</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6" w:hRule="atLeast"/>
          <w:jc w:val="center"/>
        </w:trPr>
        <w:tc>
          <w:tcPr>
            <w:tcW w:w="593" w:type="dxa"/>
            <w:vAlign w:val="center"/>
          </w:tcPr>
          <w:p>
            <w:pPr>
              <w:jc w:val="center"/>
              <w:rPr>
                <w:rFonts w:hint="eastAsia" w:ascii="Times New Roman" w:hAnsi="Times New Roman" w:eastAsia="宋体" w:cs="Times New Roman"/>
                <w:szCs w:val="21"/>
                <w:lang w:val="en-US" w:eastAsia="zh-CN"/>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1</w:t>
            </w:r>
          </w:p>
        </w:tc>
        <w:tc>
          <w:tcPr>
            <w:tcW w:w="21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单道可调移液器</w:t>
            </w:r>
          </w:p>
        </w:tc>
        <w:tc>
          <w:tcPr>
            <w:tcW w:w="3776" w:type="dxa"/>
            <w:vAlign w:val="center"/>
          </w:tcPr>
          <w:p>
            <w:pPr>
              <w:rPr>
                <w:rFonts w:ascii="Times New Roman" w:hAnsi="Times New Roman" w:eastAsia="宋体" w:cs="Times New Roman"/>
                <w:szCs w:val="21"/>
              </w:rPr>
            </w:pPr>
            <w:r>
              <w:rPr>
                <w:rFonts w:ascii="Times New Roman" w:hAnsi="Times New Roman" w:eastAsia="宋体" w:cs="Times New Roman"/>
                <w:szCs w:val="21"/>
              </w:rPr>
              <w:t>一套共4把，</w:t>
            </w:r>
            <w:r>
              <w:rPr>
                <w:rFonts w:hint="eastAsia" w:ascii="Times New Roman" w:hAnsi="Times New Roman" w:eastAsia="宋体" w:cs="Times New Roman"/>
                <w:szCs w:val="21"/>
              </w:rPr>
              <w:t>4</w:t>
            </w:r>
            <w:r>
              <w:rPr>
                <w:rFonts w:ascii="Times New Roman" w:hAnsi="Times New Roman" w:eastAsia="宋体" w:cs="Times New Roman"/>
                <w:szCs w:val="21"/>
              </w:rPr>
              <w:t>种量程。</w:t>
            </w:r>
          </w:p>
          <w:p>
            <w:pPr>
              <w:rPr>
                <w:rFonts w:ascii="Times New Roman" w:hAnsi="Times New Roman" w:eastAsia="宋体" w:cs="Times New Roman"/>
                <w:szCs w:val="21"/>
              </w:rPr>
            </w:pPr>
            <w:r>
              <w:rPr>
                <w:rFonts w:ascii="Times New Roman" w:hAnsi="Times New Roman" w:eastAsia="宋体" w:cs="Times New Roman"/>
                <w:szCs w:val="21"/>
              </w:rPr>
              <w:t>1.量程：5</w:t>
            </w:r>
            <w:r>
              <w:rPr>
                <w:rFonts w:hint="eastAsia" w:ascii="Times New Roman" w:hAnsi="Times New Roman" w:eastAsia="宋体" w:cs="Times New Roman"/>
                <w:szCs w:val="21"/>
              </w:rPr>
              <w:t>~</w:t>
            </w:r>
            <w:r>
              <w:rPr>
                <w:rFonts w:ascii="Times New Roman" w:hAnsi="Times New Roman" w:eastAsia="宋体" w:cs="Times New Roman"/>
                <w:szCs w:val="21"/>
              </w:rPr>
              <w:t xml:space="preserve">50 </w:t>
            </w:r>
            <w:r>
              <w:rPr>
                <w:rFonts w:hint="eastAsia" w:ascii="Times New Roman" w:hAnsi="Times New Roman" w:eastAsia="宋体" w:cs="Times New Roman"/>
                <w:szCs w:val="21"/>
              </w:rPr>
              <w:t>μ</w:t>
            </w:r>
            <w:r>
              <w:rPr>
                <w:rFonts w:ascii="Times New Roman" w:hAnsi="Times New Roman" w:eastAsia="宋体" w:cs="Times New Roman"/>
                <w:szCs w:val="21"/>
              </w:rPr>
              <w:t>l</w:t>
            </w:r>
            <w:r>
              <w:rPr>
                <w:rFonts w:hint="eastAsia" w:ascii="Times New Roman" w:hAnsi="Times New Roman" w:eastAsia="宋体" w:cs="Times New Roman"/>
                <w:szCs w:val="21"/>
              </w:rPr>
              <w:t>；</w:t>
            </w:r>
            <w:r>
              <w:rPr>
                <w:rFonts w:ascii="Times New Roman" w:hAnsi="Times New Roman" w:eastAsia="宋体" w:cs="Times New Roman"/>
                <w:szCs w:val="21"/>
              </w:rPr>
              <w:t>可变量(μl):</w:t>
            </w:r>
            <w:r>
              <w:rPr>
                <w:rFonts w:hint="eastAsia" w:ascii="Times New Roman" w:hAnsi="Times New Roman" w:eastAsia="宋体" w:cs="Times New Roman"/>
                <w:szCs w:val="21"/>
              </w:rPr>
              <w:t>≤</w:t>
            </w:r>
            <w:r>
              <w:rPr>
                <w:rFonts w:ascii="Times New Roman" w:hAnsi="Times New Roman" w:eastAsia="宋体" w:cs="Times New Roman"/>
                <w:szCs w:val="21"/>
              </w:rPr>
              <w:t>0.5</w:t>
            </w:r>
            <w:r>
              <w:rPr>
                <w:rFonts w:hint="eastAsia" w:ascii="Times New Roman" w:hAnsi="Times New Roman" w:eastAsia="宋体" w:cs="Times New Roman"/>
                <w:szCs w:val="21"/>
              </w:rPr>
              <w:t>；</w:t>
            </w:r>
            <w:r>
              <w:rPr>
                <w:rFonts w:ascii="Times New Roman" w:hAnsi="Times New Roman" w:eastAsia="宋体" w:cs="Times New Roman"/>
                <w:szCs w:val="21"/>
              </w:rPr>
              <w:t>测试体积 (μl) :</w:t>
            </w:r>
            <w:r>
              <w:rPr>
                <w:rFonts w:ascii="Times New Roman" w:hAnsi="Times New Roman" w:eastAsia="宋体" w:cs="Times New Roman"/>
                <w:szCs w:val="21"/>
              </w:rPr>
              <w:tab/>
            </w:r>
            <w:r>
              <w:rPr>
                <w:rFonts w:ascii="Times New Roman" w:hAnsi="Times New Roman" w:eastAsia="宋体" w:cs="Times New Roman"/>
                <w:szCs w:val="21"/>
              </w:rPr>
              <w:t>5</w:t>
            </w:r>
            <w:r>
              <w:rPr>
                <w:rFonts w:hint="eastAsia" w:ascii="Times New Roman" w:hAnsi="Times New Roman" w:eastAsia="宋体" w:cs="Times New Roman"/>
                <w:szCs w:val="21"/>
              </w:rPr>
              <w:t>、</w:t>
            </w:r>
            <w:r>
              <w:rPr>
                <w:rFonts w:ascii="Times New Roman" w:hAnsi="Times New Roman" w:eastAsia="宋体" w:cs="Times New Roman"/>
                <w:szCs w:val="21"/>
              </w:rPr>
              <w:t>25</w:t>
            </w: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不准确度(μl) ：</w:t>
            </w:r>
            <w:r>
              <w:rPr>
                <w:rFonts w:hint="eastAsia" w:ascii="Times New Roman" w:hAnsi="Times New Roman" w:eastAsia="宋体" w:cs="Times New Roman"/>
                <w:szCs w:val="21"/>
              </w:rPr>
              <w:t>≤</w:t>
            </w:r>
            <w:r>
              <w:rPr>
                <w:rFonts w:ascii="Times New Roman" w:hAnsi="Times New Roman" w:eastAsia="宋体" w:cs="Times New Roman"/>
                <w:szCs w:val="21"/>
              </w:rPr>
              <w:t>0.60</w:t>
            </w:r>
            <w:r>
              <w:rPr>
                <w:rFonts w:hint="eastAsia" w:ascii="Times New Roman" w:hAnsi="Times New Roman" w:eastAsia="宋体" w:cs="Times New Roman"/>
                <w:szCs w:val="21"/>
              </w:rPr>
              <w:t>≤</w:t>
            </w:r>
            <w:r>
              <w:rPr>
                <w:rFonts w:ascii="Times New Roman" w:hAnsi="Times New Roman" w:eastAsia="宋体" w:cs="Times New Roman"/>
                <w:szCs w:val="21"/>
              </w:rPr>
              <w:t>0.90</w:t>
            </w:r>
            <w:r>
              <w:rPr>
                <w:rFonts w:hint="eastAsia" w:ascii="Times New Roman" w:hAnsi="Times New Roman" w:eastAsia="宋体" w:cs="Times New Roman"/>
                <w:szCs w:val="21"/>
              </w:rPr>
              <w:t>、≤</w:t>
            </w:r>
            <w:r>
              <w:rPr>
                <w:rFonts w:ascii="Times New Roman" w:hAnsi="Times New Roman" w:eastAsia="宋体" w:cs="Times New Roman"/>
                <w:szCs w:val="21"/>
              </w:rPr>
              <w:t>2.00；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不精确度(μl)：</w:t>
            </w:r>
            <w:r>
              <w:rPr>
                <w:rFonts w:hint="eastAsia" w:ascii="Times New Roman" w:hAnsi="Times New Roman" w:eastAsia="宋体" w:cs="Times New Roman"/>
                <w:szCs w:val="21"/>
              </w:rPr>
              <w:t>≤</w:t>
            </w:r>
            <w:r>
              <w:rPr>
                <w:rFonts w:ascii="Times New Roman" w:hAnsi="Times New Roman" w:eastAsia="宋体" w:cs="Times New Roman"/>
                <w:szCs w:val="21"/>
              </w:rPr>
              <w:t>0.30</w:t>
            </w:r>
            <w:r>
              <w:rPr>
                <w:rFonts w:hint="eastAsia" w:ascii="Times New Roman" w:hAnsi="Times New Roman" w:eastAsia="宋体" w:cs="Times New Roman"/>
                <w:szCs w:val="21"/>
              </w:rPr>
              <w:t>、≤</w:t>
            </w:r>
            <w:r>
              <w:rPr>
                <w:rFonts w:ascii="Times New Roman" w:hAnsi="Times New Roman" w:eastAsia="宋体" w:cs="Times New Roman"/>
                <w:szCs w:val="21"/>
              </w:rPr>
              <w:t>0.60</w:t>
            </w:r>
            <w:r>
              <w:rPr>
                <w:rFonts w:hint="eastAsia" w:ascii="Times New Roman" w:hAnsi="Times New Roman" w:eastAsia="宋体" w:cs="Times New Roman"/>
                <w:szCs w:val="21"/>
              </w:rPr>
              <w:t>、≤</w:t>
            </w:r>
            <w:r>
              <w:rPr>
                <w:rFonts w:ascii="Times New Roman" w:hAnsi="Times New Roman" w:eastAsia="宋体" w:cs="Times New Roman"/>
                <w:szCs w:val="21"/>
              </w:rPr>
              <w:t>2.00；</w:t>
            </w:r>
          </w:p>
          <w:p>
            <w:pPr>
              <w:rPr>
                <w:rFonts w:ascii="Times New Roman" w:hAnsi="Times New Roman" w:eastAsia="宋体" w:cs="Times New Roman"/>
                <w:szCs w:val="21"/>
              </w:rPr>
            </w:pPr>
            <w:r>
              <w:rPr>
                <w:rFonts w:ascii="Times New Roman" w:hAnsi="Times New Roman" w:eastAsia="宋体" w:cs="Times New Roman"/>
                <w:szCs w:val="21"/>
              </w:rPr>
              <w:t xml:space="preserve">2.量程范围：20 μl </w:t>
            </w:r>
            <w:r>
              <w:rPr>
                <w:rFonts w:hint="eastAsia" w:ascii="Times New Roman" w:hAnsi="Times New Roman" w:eastAsia="宋体" w:cs="Times New Roman"/>
                <w:szCs w:val="21"/>
              </w:rPr>
              <w:t>~</w:t>
            </w:r>
            <w:r>
              <w:rPr>
                <w:rFonts w:ascii="Times New Roman" w:hAnsi="Times New Roman" w:eastAsia="宋体" w:cs="Times New Roman"/>
                <w:szCs w:val="21"/>
              </w:rPr>
              <w:t>200 μl ；可变量(μl):</w:t>
            </w:r>
            <w:r>
              <w:rPr>
                <w:rFonts w:hint="eastAsia" w:ascii="Times New Roman" w:hAnsi="Times New Roman" w:eastAsia="宋体" w:cs="Times New Roman"/>
                <w:szCs w:val="21"/>
              </w:rPr>
              <w:t>≤</w:t>
            </w:r>
            <w:r>
              <w:rPr>
                <w:rFonts w:ascii="Times New Roman" w:hAnsi="Times New Roman" w:eastAsia="宋体" w:cs="Times New Roman"/>
                <w:szCs w:val="21"/>
              </w:rPr>
              <w:t>1.0;</w:t>
            </w:r>
          </w:p>
          <w:p>
            <w:pPr>
              <w:rPr>
                <w:rFonts w:ascii="Times New Roman" w:hAnsi="Times New Roman" w:eastAsia="宋体" w:cs="Times New Roman"/>
                <w:szCs w:val="21"/>
              </w:rPr>
            </w:pPr>
            <w:r>
              <w:rPr>
                <w:rFonts w:ascii="Times New Roman" w:hAnsi="Times New Roman" w:eastAsia="宋体" w:cs="Times New Roman"/>
                <w:szCs w:val="21"/>
              </w:rPr>
              <w:t>测试体积 (μl) :</w:t>
            </w:r>
            <w:r>
              <w:rPr>
                <w:rFonts w:ascii="Times New Roman" w:hAnsi="Times New Roman" w:eastAsia="宋体" w:cs="Times New Roman"/>
                <w:szCs w:val="21"/>
              </w:rPr>
              <w:tab/>
            </w:r>
            <w:r>
              <w:rPr>
                <w:rFonts w:ascii="Times New Roman" w:hAnsi="Times New Roman" w:eastAsia="宋体" w:cs="Times New Roman"/>
                <w:szCs w:val="21"/>
              </w:rPr>
              <w:t>20</w:t>
            </w:r>
            <w:r>
              <w:rPr>
                <w:rFonts w:hint="eastAsia" w:ascii="Times New Roman" w:hAnsi="Times New Roman" w:eastAsia="宋体" w:cs="Times New Roman"/>
                <w:szCs w:val="21"/>
              </w:rPr>
              <w:t>、</w:t>
            </w:r>
            <w:r>
              <w:rPr>
                <w:rFonts w:ascii="Times New Roman" w:hAnsi="Times New Roman" w:eastAsia="宋体" w:cs="Times New Roman"/>
                <w:szCs w:val="21"/>
              </w:rPr>
              <w:t xml:space="preserve"> 100</w:t>
            </w:r>
            <w:r>
              <w:rPr>
                <w:rFonts w:hint="eastAsia" w:ascii="Times New Roman" w:hAnsi="Times New Roman" w:eastAsia="宋体" w:cs="Times New Roman"/>
                <w:szCs w:val="21"/>
              </w:rPr>
              <w:t>、</w:t>
            </w:r>
            <w:r>
              <w:rPr>
                <w:rFonts w:ascii="Times New Roman" w:hAnsi="Times New Roman" w:eastAsia="宋体" w:cs="Times New Roman"/>
                <w:szCs w:val="21"/>
              </w:rPr>
              <w:t xml:space="preserve"> 2</w:t>
            </w:r>
            <w:r>
              <w:rPr>
                <w:rFonts w:hint="eastAsia" w:ascii="Times New Roman" w:hAnsi="Times New Roman" w:eastAsia="宋体" w:cs="Times New Roman"/>
                <w:szCs w:val="21"/>
              </w:rPr>
              <w:t>00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不准确度(μl) ：</w:t>
            </w:r>
            <w:r>
              <w:rPr>
                <w:rFonts w:hint="eastAsia" w:ascii="Times New Roman" w:hAnsi="Times New Roman" w:eastAsia="宋体" w:cs="Times New Roman"/>
                <w:szCs w:val="21"/>
              </w:rPr>
              <w:t>≤</w:t>
            </w:r>
            <w:r>
              <w:rPr>
                <w:rFonts w:ascii="Times New Roman" w:hAnsi="Times New Roman" w:eastAsia="宋体" w:cs="Times New Roman"/>
                <w:szCs w:val="21"/>
              </w:rPr>
              <w:t>0.60</w:t>
            </w:r>
            <w:r>
              <w:rPr>
                <w:rFonts w:hint="eastAsia" w:ascii="Times New Roman" w:hAnsi="Times New Roman" w:eastAsia="宋体" w:cs="Times New Roman"/>
                <w:szCs w:val="21"/>
              </w:rPr>
              <w:t>、≤</w:t>
            </w:r>
            <w:r>
              <w:rPr>
                <w:rFonts w:ascii="Times New Roman" w:hAnsi="Times New Roman" w:eastAsia="宋体" w:cs="Times New Roman"/>
                <w:szCs w:val="21"/>
              </w:rPr>
              <w:t>0.80</w:t>
            </w:r>
            <w:r>
              <w:rPr>
                <w:rFonts w:hint="eastAsia" w:ascii="Times New Roman" w:hAnsi="Times New Roman" w:eastAsia="宋体" w:cs="Times New Roman"/>
                <w:szCs w:val="21"/>
              </w:rPr>
              <w:t>、≤</w:t>
            </w:r>
            <w:r>
              <w:rPr>
                <w:rFonts w:ascii="Times New Roman" w:hAnsi="Times New Roman" w:eastAsia="宋体" w:cs="Times New Roman"/>
                <w:szCs w:val="21"/>
              </w:rPr>
              <w:t>2.50；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不精确度(μl)：</w:t>
            </w:r>
            <w:r>
              <w:rPr>
                <w:rFonts w:hint="eastAsia" w:ascii="Times New Roman" w:hAnsi="Times New Roman" w:eastAsia="宋体" w:cs="Times New Roman"/>
                <w:szCs w:val="21"/>
              </w:rPr>
              <w:t>≤</w:t>
            </w:r>
            <w:r>
              <w:rPr>
                <w:rFonts w:ascii="Times New Roman" w:hAnsi="Times New Roman" w:eastAsia="宋体" w:cs="Times New Roman"/>
                <w:szCs w:val="21"/>
              </w:rPr>
              <w:t>0.30</w:t>
            </w:r>
            <w:r>
              <w:rPr>
                <w:rFonts w:hint="eastAsia" w:ascii="Times New Roman" w:hAnsi="Times New Roman" w:eastAsia="宋体" w:cs="Times New Roman"/>
                <w:szCs w:val="21"/>
              </w:rPr>
              <w:t>、≤</w:t>
            </w:r>
            <w:r>
              <w:rPr>
                <w:rFonts w:ascii="Times New Roman" w:hAnsi="Times New Roman" w:eastAsia="宋体" w:cs="Times New Roman"/>
                <w:szCs w:val="21"/>
              </w:rPr>
              <w:t>0.30</w:t>
            </w:r>
            <w:r>
              <w:rPr>
                <w:rFonts w:hint="eastAsia" w:ascii="Times New Roman" w:hAnsi="Times New Roman" w:eastAsia="宋体" w:cs="Times New Roman"/>
                <w:szCs w:val="21"/>
              </w:rPr>
              <w:t>、≤</w:t>
            </w:r>
            <w:r>
              <w:rPr>
                <w:rFonts w:ascii="Times New Roman" w:hAnsi="Times New Roman" w:eastAsia="宋体" w:cs="Times New Roman"/>
                <w:szCs w:val="21"/>
              </w:rPr>
              <w:t>0.80；</w:t>
            </w:r>
          </w:p>
          <w:p>
            <w:pPr>
              <w:rPr>
                <w:rFonts w:ascii="Times New Roman" w:hAnsi="Times New Roman" w:eastAsia="宋体" w:cs="Times New Roman"/>
                <w:szCs w:val="21"/>
              </w:rPr>
            </w:pPr>
            <w:r>
              <w:rPr>
                <w:rFonts w:ascii="Times New Roman" w:hAnsi="Times New Roman" w:eastAsia="宋体" w:cs="Times New Roman"/>
                <w:szCs w:val="21"/>
              </w:rPr>
              <w:t xml:space="preserve">3.量程范围：100 ul </w:t>
            </w:r>
            <w:r>
              <w:rPr>
                <w:rFonts w:hint="eastAsia" w:ascii="Times New Roman" w:hAnsi="Times New Roman" w:eastAsia="宋体" w:cs="Times New Roman"/>
                <w:szCs w:val="21"/>
              </w:rPr>
              <w:t>~</w:t>
            </w:r>
            <w:r>
              <w:rPr>
                <w:rFonts w:ascii="Times New Roman" w:hAnsi="Times New Roman" w:eastAsia="宋体" w:cs="Times New Roman"/>
                <w:szCs w:val="21"/>
              </w:rPr>
              <w:t>1000 ul （2支）；可变量(μl):</w:t>
            </w:r>
            <w:r>
              <w:rPr>
                <w:rFonts w:hint="eastAsia" w:ascii="Times New Roman" w:hAnsi="Times New Roman" w:eastAsia="宋体" w:cs="Times New Roman"/>
                <w:szCs w:val="21"/>
              </w:rPr>
              <w:t>≤</w:t>
            </w:r>
            <w:r>
              <w:rPr>
                <w:rFonts w:ascii="Times New Roman" w:hAnsi="Times New Roman" w:eastAsia="宋体" w:cs="Times New Roman"/>
                <w:szCs w:val="21"/>
              </w:rPr>
              <w:t>5.0;</w:t>
            </w:r>
          </w:p>
          <w:p>
            <w:pPr>
              <w:rPr>
                <w:rFonts w:ascii="Times New Roman" w:hAnsi="Times New Roman" w:eastAsia="宋体" w:cs="Times New Roman"/>
                <w:szCs w:val="21"/>
              </w:rPr>
            </w:pPr>
            <w:r>
              <w:rPr>
                <w:rFonts w:ascii="Times New Roman" w:hAnsi="Times New Roman" w:eastAsia="宋体" w:cs="Times New Roman"/>
                <w:szCs w:val="21"/>
              </w:rPr>
              <w:t>测试体积 (μl) :</w:t>
            </w:r>
            <w:r>
              <w:rPr>
                <w:rFonts w:ascii="Times New Roman" w:hAnsi="Times New Roman" w:eastAsia="宋体" w:cs="Times New Roman"/>
                <w:szCs w:val="21"/>
              </w:rPr>
              <w:tab/>
            </w:r>
            <w:r>
              <w:rPr>
                <w:rFonts w:ascii="Times New Roman" w:hAnsi="Times New Roman" w:eastAsia="宋体" w:cs="Times New Roman"/>
                <w:szCs w:val="21"/>
              </w:rPr>
              <w:t>100</w:t>
            </w:r>
            <w:r>
              <w:rPr>
                <w:rFonts w:hint="eastAsia" w:ascii="Times New Roman" w:hAnsi="Times New Roman" w:eastAsia="宋体" w:cs="Times New Roman"/>
                <w:szCs w:val="21"/>
              </w:rPr>
              <w:t>、</w:t>
            </w:r>
            <w:r>
              <w:rPr>
                <w:rFonts w:ascii="Times New Roman" w:hAnsi="Times New Roman" w:eastAsia="宋体" w:cs="Times New Roman"/>
                <w:szCs w:val="21"/>
              </w:rPr>
              <w:t>500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不准确度(μl) ：</w:t>
            </w:r>
            <w:r>
              <w:rPr>
                <w:rFonts w:hint="eastAsia" w:ascii="Times New Roman" w:hAnsi="Times New Roman" w:eastAsia="宋体" w:cs="Times New Roman"/>
                <w:szCs w:val="21"/>
              </w:rPr>
              <w:t>≤</w:t>
            </w:r>
            <w:r>
              <w:rPr>
                <w:rFonts w:ascii="Times New Roman" w:hAnsi="Times New Roman" w:eastAsia="宋体" w:cs="Times New Roman"/>
                <w:szCs w:val="21"/>
              </w:rPr>
              <w:t>0.60</w:t>
            </w:r>
            <w:r>
              <w:rPr>
                <w:rFonts w:hint="eastAsia" w:ascii="Times New Roman" w:hAnsi="Times New Roman" w:eastAsia="宋体" w:cs="Times New Roman"/>
                <w:szCs w:val="21"/>
              </w:rPr>
              <w:t>、≤</w:t>
            </w:r>
            <w:r>
              <w:rPr>
                <w:rFonts w:ascii="Times New Roman" w:hAnsi="Times New Roman" w:eastAsia="宋体" w:cs="Times New Roman"/>
                <w:szCs w:val="21"/>
              </w:rPr>
              <w:t>0.70</w:t>
            </w:r>
            <w:r>
              <w:rPr>
                <w:rFonts w:hint="eastAsia" w:ascii="Times New Roman" w:hAnsi="Times New Roman" w:eastAsia="宋体" w:cs="Times New Roman"/>
                <w:szCs w:val="21"/>
              </w:rPr>
              <w:t>、≤</w:t>
            </w:r>
            <w:r>
              <w:rPr>
                <w:rFonts w:ascii="Times New Roman" w:hAnsi="Times New Roman" w:eastAsia="宋体" w:cs="Times New Roman"/>
                <w:szCs w:val="21"/>
              </w:rPr>
              <w:t>2.00；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不精确度(μl)：</w:t>
            </w:r>
            <w:r>
              <w:rPr>
                <w:rFonts w:hint="eastAsia" w:ascii="Times New Roman" w:hAnsi="Times New Roman" w:eastAsia="宋体" w:cs="Times New Roman"/>
                <w:szCs w:val="21"/>
              </w:rPr>
              <w:t>≤</w:t>
            </w:r>
            <w:r>
              <w:rPr>
                <w:rFonts w:ascii="Times New Roman" w:hAnsi="Times New Roman" w:eastAsia="宋体" w:cs="Times New Roman"/>
                <w:szCs w:val="21"/>
              </w:rPr>
              <w:t>0.20</w:t>
            </w:r>
            <w:r>
              <w:rPr>
                <w:rFonts w:hint="eastAsia" w:ascii="Times New Roman" w:hAnsi="Times New Roman" w:eastAsia="宋体" w:cs="Times New Roman"/>
                <w:szCs w:val="21"/>
              </w:rPr>
              <w:t>、≤</w:t>
            </w:r>
            <w:r>
              <w:rPr>
                <w:rFonts w:ascii="Times New Roman" w:hAnsi="Times New Roman" w:eastAsia="宋体" w:cs="Times New Roman"/>
                <w:szCs w:val="21"/>
              </w:rPr>
              <w:t>0.25</w:t>
            </w:r>
            <w:r>
              <w:rPr>
                <w:rFonts w:hint="eastAsia" w:ascii="Times New Roman" w:hAnsi="Times New Roman" w:eastAsia="宋体" w:cs="Times New Roman"/>
                <w:szCs w:val="21"/>
              </w:rPr>
              <w:t>、≤</w:t>
            </w:r>
            <w:r>
              <w:rPr>
                <w:rFonts w:ascii="Times New Roman" w:hAnsi="Times New Roman" w:eastAsia="宋体" w:cs="Times New Roman"/>
                <w:szCs w:val="21"/>
              </w:rPr>
              <w:t>0.70；</w:t>
            </w:r>
          </w:p>
          <w:p>
            <w:pPr>
              <w:rPr>
                <w:rFonts w:ascii="Times New Roman" w:hAnsi="Times New Roman" w:eastAsia="宋体" w:cs="Times New Roman"/>
                <w:szCs w:val="21"/>
              </w:rPr>
            </w:pPr>
            <w:r>
              <w:rPr>
                <w:rFonts w:ascii="Times New Roman" w:hAnsi="Times New Roman" w:eastAsia="宋体" w:cs="Times New Roman"/>
                <w:szCs w:val="21"/>
              </w:rPr>
              <w:t>4.量程范围：1000 ul</w:t>
            </w:r>
            <w:r>
              <w:rPr>
                <w:rFonts w:hint="eastAsia" w:ascii="Times New Roman" w:hAnsi="Times New Roman" w:eastAsia="宋体" w:cs="Times New Roman"/>
                <w:szCs w:val="21"/>
              </w:rPr>
              <w:t>~</w:t>
            </w:r>
            <w:r>
              <w:rPr>
                <w:rFonts w:ascii="Times New Roman" w:hAnsi="Times New Roman" w:eastAsia="宋体" w:cs="Times New Roman"/>
                <w:szCs w:val="21"/>
              </w:rPr>
              <w:t>5000 ul ；可变量(μl):</w:t>
            </w:r>
            <w:r>
              <w:rPr>
                <w:rFonts w:hint="eastAsia" w:ascii="Times New Roman" w:hAnsi="Times New Roman" w:eastAsia="宋体" w:cs="Times New Roman"/>
                <w:szCs w:val="21"/>
              </w:rPr>
              <w:t>≤</w:t>
            </w:r>
            <w:r>
              <w:rPr>
                <w:rFonts w:ascii="Times New Roman" w:hAnsi="Times New Roman" w:eastAsia="宋体" w:cs="Times New Roman"/>
                <w:szCs w:val="21"/>
              </w:rPr>
              <w:t xml:space="preserve">50.0;测试体积 (μl) : </w:t>
            </w:r>
            <w:r>
              <w:rPr>
                <w:rFonts w:hint="eastAsia" w:ascii="Times New Roman" w:hAnsi="Times New Roman" w:eastAsia="宋体" w:cs="Times New Roman"/>
                <w:szCs w:val="21"/>
              </w:rPr>
              <w:t>1</w:t>
            </w:r>
            <w:r>
              <w:rPr>
                <w:rFonts w:ascii="Times New Roman" w:hAnsi="Times New Roman" w:eastAsia="宋体" w:cs="Times New Roman"/>
                <w:szCs w:val="21"/>
              </w:rPr>
              <w:t xml:space="preserve">000 </w:t>
            </w:r>
            <w:r>
              <w:rPr>
                <w:rFonts w:hint="eastAsia" w:ascii="Times New Roman" w:hAnsi="Times New Roman" w:eastAsia="宋体" w:cs="Times New Roman"/>
                <w:szCs w:val="21"/>
              </w:rPr>
              <w:t>、</w:t>
            </w:r>
            <w:r>
              <w:rPr>
                <w:rFonts w:ascii="Times New Roman" w:hAnsi="Times New Roman" w:eastAsia="宋体" w:cs="Times New Roman"/>
                <w:szCs w:val="21"/>
              </w:rPr>
              <w:t xml:space="preserve">2500 </w:t>
            </w:r>
            <w:r>
              <w:rPr>
                <w:rFonts w:hint="eastAsia" w:ascii="Times New Roman" w:hAnsi="Times New Roman" w:eastAsia="宋体" w:cs="Times New Roman"/>
                <w:szCs w:val="21"/>
              </w:rPr>
              <w:t>、5</w:t>
            </w:r>
            <w:r>
              <w:rPr>
                <w:rFonts w:ascii="Times New Roman" w:hAnsi="Times New Roman" w:eastAsia="宋体" w:cs="Times New Roman"/>
                <w:szCs w:val="21"/>
              </w:rPr>
              <w:t>000;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不准确度(μl) ：</w:t>
            </w:r>
            <w:r>
              <w:rPr>
                <w:rFonts w:hint="eastAsia" w:ascii="Times New Roman" w:hAnsi="Times New Roman" w:eastAsia="宋体" w:cs="Times New Roman"/>
                <w:szCs w:val="21"/>
              </w:rPr>
              <w:t>≤</w:t>
            </w:r>
            <w:r>
              <w:rPr>
                <w:rFonts w:ascii="Times New Roman" w:hAnsi="Times New Roman" w:eastAsia="宋体" w:cs="Times New Roman"/>
                <w:szCs w:val="21"/>
              </w:rPr>
              <w:t xml:space="preserve">0.50 </w:t>
            </w:r>
            <w:r>
              <w:rPr>
                <w:rFonts w:hint="eastAsia" w:ascii="Times New Roman" w:hAnsi="Times New Roman" w:eastAsia="宋体" w:cs="Times New Roman"/>
                <w:szCs w:val="21"/>
              </w:rPr>
              <w:t>、≤</w:t>
            </w:r>
            <w:r>
              <w:rPr>
                <w:rFonts w:ascii="Times New Roman" w:hAnsi="Times New Roman" w:eastAsia="宋体" w:cs="Times New Roman"/>
                <w:szCs w:val="21"/>
              </w:rPr>
              <w:t xml:space="preserve"> 0.60</w:t>
            </w:r>
            <w:r>
              <w:rPr>
                <w:rFonts w:hint="eastAsia" w:ascii="Times New Roman" w:hAnsi="Times New Roman" w:eastAsia="宋体" w:cs="Times New Roman"/>
                <w:szCs w:val="21"/>
              </w:rPr>
              <w:t>、≤</w:t>
            </w:r>
            <w:r>
              <w:rPr>
                <w:rFonts w:ascii="Times New Roman" w:hAnsi="Times New Roman" w:eastAsia="宋体" w:cs="Times New Roman"/>
                <w:szCs w:val="21"/>
              </w:rPr>
              <w:t>0.70；</w:t>
            </w:r>
          </w:p>
          <w:p>
            <w:pPr>
              <w:rPr>
                <w:rFonts w:ascii="Times New Roman" w:hAnsi="Times New Roman" w:eastAsia="宋体" w:cs="Times New Roman"/>
                <w:szCs w:val="21"/>
              </w:rPr>
            </w:pPr>
            <w:r>
              <w:rPr>
                <w:rFonts w:hint="eastAsia" w:ascii="Times New Roman" w:hAnsi="Times New Roman" w:eastAsia="宋体" w:cs="Times New Roman"/>
                <w:szCs w:val="21"/>
              </w:rPr>
              <w:t>对应的</w:t>
            </w:r>
            <w:r>
              <w:rPr>
                <w:rFonts w:ascii="Times New Roman" w:hAnsi="Times New Roman" w:eastAsia="宋体" w:cs="Times New Roman"/>
                <w:szCs w:val="21"/>
              </w:rPr>
              <w:t>不精确度(μl)：</w:t>
            </w:r>
            <w:r>
              <w:rPr>
                <w:rFonts w:hint="eastAsia" w:ascii="Times New Roman" w:hAnsi="Times New Roman" w:eastAsia="宋体" w:cs="Times New Roman"/>
                <w:szCs w:val="21"/>
              </w:rPr>
              <w:t>≤</w:t>
            </w:r>
            <w:r>
              <w:rPr>
                <w:rFonts w:ascii="Times New Roman" w:hAnsi="Times New Roman" w:eastAsia="宋体" w:cs="Times New Roman"/>
                <w:szCs w:val="21"/>
              </w:rPr>
              <w:t>0.20</w:t>
            </w:r>
            <w:r>
              <w:rPr>
                <w:rFonts w:hint="eastAsia" w:ascii="Times New Roman" w:hAnsi="Times New Roman" w:eastAsia="宋体" w:cs="Times New Roman"/>
                <w:szCs w:val="21"/>
              </w:rPr>
              <w:t>、≤</w:t>
            </w:r>
            <w:r>
              <w:rPr>
                <w:rFonts w:ascii="Times New Roman" w:hAnsi="Times New Roman" w:eastAsia="宋体" w:cs="Times New Roman"/>
                <w:szCs w:val="21"/>
              </w:rPr>
              <w:t>0.30</w:t>
            </w:r>
            <w:r>
              <w:rPr>
                <w:rFonts w:hint="eastAsia" w:ascii="Times New Roman" w:hAnsi="Times New Roman" w:eastAsia="宋体" w:cs="Times New Roman"/>
                <w:szCs w:val="21"/>
              </w:rPr>
              <w:t>、≤</w:t>
            </w:r>
            <w:r>
              <w:rPr>
                <w:rFonts w:ascii="Times New Roman" w:hAnsi="Times New Roman" w:eastAsia="宋体" w:cs="Times New Roman"/>
                <w:szCs w:val="21"/>
              </w:rPr>
              <w:t>0.300；</w:t>
            </w:r>
          </w:p>
          <w:p>
            <w:pPr>
              <w:rPr>
                <w:rFonts w:ascii="Times New Roman" w:hAnsi="Times New Roman" w:eastAsia="宋体" w:cs="Times New Roman"/>
                <w:szCs w:val="21"/>
              </w:rPr>
            </w:pP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.360°旋转按钮</w:t>
            </w:r>
            <w:r>
              <w:rPr>
                <w:rFonts w:hint="eastAsia" w:ascii="Times New Roman" w:hAnsi="Times New Roman" w:eastAsia="宋体" w:cs="Times New Roman"/>
                <w:szCs w:val="21"/>
                <w:highlight w:val="none"/>
              </w:rPr>
              <w:t>，具有</w:t>
            </w:r>
            <w:r>
              <w:rPr>
                <w:rFonts w:ascii="Times New Roman" w:hAnsi="Times New Roman" w:eastAsia="宋体" w:cs="Times New Roman"/>
                <w:szCs w:val="21"/>
                <w:highlight w:val="none"/>
              </w:rPr>
              <w:t>数字窗口，每套配枪架1个、枪盒5个。</w:t>
            </w:r>
          </w:p>
        </w:tc>
        <w:tc>
          <w:tcPr>
            <w:tcW w:w="8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套</w:t>
            </w:r>
          </w:p>
        </w:tc>
        <w:tc>
          <w:tcPr>
            <w:tcW w:w="1221" w:type="dxa"/>
            <w:tcBorders>
              <w:lef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新增</w:t>
            </w:r>
          </w:p>
        </w:tc>
      </w:tr>
    </w:tbl>
    <w:p>
      <w:pPr>
        <w:rPr>
          <w:rFonts w:ascii="Times New Roman" w:hAnsi="Times New Roman" w:eastAsia="宋体" w:cs="Times New Roman"/>
          <w:sz w:val="30"/>
          <w:szCs w:val="30"/>
        </w:rPr>
      </w:pPr>
    </w:p>
    <w:p>
      <w:pPr>
        <w:rPr>
          <w:rFonts w:ascii="Times New Roman" w:hAnsi="Times New Roman" w:eastAsia="宋体" w:cs="Times New Roman"/>
          <w:sz w:val="30"/>
          <w:szCs w:val="30"/>
        </w:rPr>
      </w:pPr>
      <w:r>
        <w:rPr>
          <w:rFonts w:ascii="Times New Roman" w:hAnsi="Times New Roman" w:eastAsia="宋体" w:cs="Times New Roman"/>
          <w:sz w:val="30"/>
          <w:szCs w:val="30"/>
        </w:rPr>
        <w:br w:type="page"/>
      </w:r>
    </w:p>
    <w:p>
      <w:pPr>
        <w:pStyle w:val="5"/>
      </w:pPr>
      <w:r>
        <w:rPr>
          <w:rFonts w:hint="eastAsia"/>
        </w:rPr>
        <w:t>2、</w:t>
      </w:r>
      <w:r>
        <w:t>拟购置实验室家具清单</w:t>
      </w:r>
      <w:r>
        <w:rPr>
          <w:rFonts w:hint="eastAsia"/>
          <w:lang w:eastAsia="zh-CN"/>
        </w:rPr>
        <w:t>（采购预算：</w:t>
      </w:r>
      <w:r>
        <w:rPr>
          <w:rFonts w:hint="eastAsia" w:ascii="宋体" w:hAnsi="宋体" w:eastAsia="宋体" w:cs="宋体"/>
          <w:lang w:eastAsia="zh-CN"/>
        </w:rPr>
        <w:t>4215</w:t>
      </w:r>
      <w:r>
        <w:rPr>
          <w:rFonts w:hint="eastAsia" w:ascii="宋体" w:hAnsi="宋体" w:eastAsia="宋体" w:cs="宋体"/>
          <w:lang w:val="en-US" w:eastAsia="zh-CN"/>
        </w:rPr>
        <w:t>00.00</w:t>
      </w:r>
      <w:r>
        <w:rPr>
          <w:rFonts w:hint="eastAsia" w:ascii="宋体" w:hAnsi="宋体" w:eastAsia="宋体" w:cs="宋体"/>
          <w:b/>
          <w:color w:val="000000" w:themeColor="text1"/>
          <w:sz w:val="28"/>
          <w:szCs w:val="28"/>
          <w14:textFill>
            <w14:solidFill>
              <w14:schemeClr w14:val="tx1"/>
            </w14:solidFill>
          </w14:textFill>
        </w:rPr>
        <w:t>元</w:t>
      </w:r>
      <w:r>
        <w:rPr>
          <w:rFonts w:hint="eastAsia"/>
          <w:lang w:eastAsia="zh-CN"/>
        </w:rPr>
        <w:t>）</w:t>
      </w:r>
    </w:p>
    <w:tbl>
      <w:tblPr>
        <w:tblStyle w:val="21"/>
        <w:tblW w:w="846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7"/>
        <w:gridCol w:w="1151"/>
        <w:gridCol w:w="4839"/>
        <w:gridCol w:w="801"/>
        <w:gridCol w:w="1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6"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序号</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家具名称</w:t>
            </w:r>
          </w:p>
        </w:tc>
        <w:tc>
          <w:tcPr>
            <w:tcW w:w="4839"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技术指标及要求</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数量</w:t>
            </w:r>
          </w:p>
        </w:tc>
        <w:tc>
          <w:tcPr>
            <w:tcW w:w="1126" w:type="dxa"/>
            <w:vAlign w:val="center"/>
          </w:tcPr>
          <w:p>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备注</w:t>
            </w:r>
          </w:p>
          <w:p>
            <w:pPr>
              <w:jc w:val="center"/>
              <w:rPr>
                <w:rFonts w:ascii="Times New Roman" w:hAnsi="Times New Roman" w:eastAsia="宋体" w:cs="Times New Roman"/>
                <w:sz w:val="30"/>
                <w:szCs w:val="30"/>
              </w:rPr>
            </w:pPr>
            <w:r>
              <w:rPr>
                <w:rFonts w:ascii="Times New Roman" w:hAnsi="Times New Roman" w:eastAsia="宋体" w:cs="Times New Roman"/>
                <w:szCs w:val="21"/>
              </w:rPr>
              <w:t>（新增、补充或更新）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中央实验台</w:t>
            </w:r>
          </w:p>
        </w:tc>
        <w:tc>
          <w:tcPr>
            <w:tcW w:w="483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1.尺寸：</w:t>
            </w:r>
            <w:r>
              <w:rPr>
                <w:rFonts w:hint="eastAsia" w:ascii="Times New Roman" w:hAnsi="Times New Roman" w:eastAsia="宋体" w:cs="Times New Roman"/>
                <w:kern w:val="0"/>
                <w:sz w:val="21"/>
                <w:szCs w:val="21"/>
              </w:rPr>
              <w:t>约</w:t>
            </w:r>
            <w:r>
              <w:rPr>
                <w:rFonts w:ascii="Times New Roman" w:hAnsi="Times New Roman" w:eastAsia="宋体" w:cs="Times New Roman"/>
                <w:kern w:val="0"/>
                <w:sz w:val="21"/>
                <w:szCs w:val="21"/>
              </w:rPr>
              <w:t>4500</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1500</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830mm</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2.钢木结构</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3.台面采用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12mm厚实芯理化板，耐酸碱及腐蚀；</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4.柜体采用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18mm厚双饰面实验室专用环保板材（三聚氰胺防潮板），封边采用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2mm厚优质PVC封条，自动热熔封边，防水处理；</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5.门板采用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18mm厚双饰面实验室专用环保板材（三聚氰胺防潮板），封边采用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2mm厚优质PVC封边，防水处理，四面对接无接缝处理；</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6.钢架采用</w:t>
            </w:r>
            <w:r>
              <w:rPr>
                <w:rFonts w:hint="eastAsia" w:ascii="Times New Roman" w:hAnsi="Times New Roman" w:eastAsia="宋体" w:cs="Times New Roman"/>
                <w:kern w:val="0"/>
                <w:sz w:val="21"/>
                <w:szCs w:val="21"/>
              </w:rPr>
              <w:t>约</w:t>
            </w:r>
            <w:r>
              <w:rPr>
                <w:rFonts w:ascii="Times New Roman" w:hAnsi="Times New Roman" w:eastAsia="宋体" w:cs="Times New Roman"/>
                <w:kern w:val="0"/>
                <w:sz w:val="21"/>
                <w:szCs w:val="21"/>
              </w:rPr>
              <w:t>50</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30</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2mm厚冷轧钢材质，外经酸洗磷化均匀灰白环氧树脂喷塑处理，承重≥200kg/㎡；</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7.地脚：采用不锈钢调节杆与改性聚氯乙烯脚垫组合，具有防滑减震功能，高低可调范围30~50mm；</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r>
              <w:rPr>
                <w:rFonts w:hint="eastAsia" w:ascii="Times New Roman" w:hAnsi="Times New Roman" w:eastAsia="宋体" w:cs="Times New Roman"/>
                <w:kern w:val="0"/>
                <w:sz w:val="21"/>
                <w:szCs w:val="21"/>
              </w:rPr>
              <w:t xml:space="preserve"> </w:t>
            </w:r>
            <w:r>
              <w:rPr>
                <w:rFonts w:ascii="Times New Roman" w:hAnsi="Times New Roman" w:eastAsia="宋体" w:cs="Times New Roman"/>
                <w:kern w:val="0"/>
                <w:sz w:val="21"/>
                <w:szCs w:val="21"/>
              </w:rPr>
              <w:t>含中号水槽</w:t>
            </w:r>
            <w:r>
              <w:rPr>
                <w:rFonts w:ascii="Times New Roman" w:hAnsi="Times New Roman" w:eastAsia="宋体" w:cs="Times New Roman"/>
                <w:color w:val="auto"/>
                <w:kern w:val="0"/>
                <w:sz w:val="21"/>
                <w:szCs w:val="21"/>
              </w:rPr>
              <w:t>（2套）</w:t>
            </w:r>
            <w:r>
              <w:rPr>
                <w:rFonts w:hint="eastAsia" w:ascii="Times New Roman" w:hAnsi="Times New Roman" w:eastAsia="宋体" w:cs="Times New Roman"/>
                <w:color w:val="auto"/>
                <w:kern w:val="0"/>
                <w:sz w:val="21"/>
                <w:szCs w:val="21"/>
              </w:rPr>
              <w:t>、杯槽（</w:t>
            </w:r>
            <w:r>
              <w:rPr>
                <w:rFonts w:ascii="Times New Roman" w:hAnsi="Times New Roman" w:eastAsia="宋体" w:cs="Times New Roman"/>
                <w:color w:val="auto"/>
                <w:kern w:val="0"/>
                <w:sz w:val="21"/>
                <w:szCs w:val="21"/>
              </w:rPr>
              <w:t>3</w:t>
            </w:r>
            <w:r>
              <w:rPr>
                <w:rFonts w:hint="eastAsia" w:ascii="Times New Roman" w:hAnsi="Times New Roman" w:eastAsia="宋体" w:cs="Times New Roman"/>
                <w:color w:val="auto"/>
                <w:kern w:val="0"/>
                <w:sz w:val="21"/>
                <w:szCs w:val="21"/>
              </w:rPr>
              <w:t>套）：</w:t>
            </w:r>
            <w:r>
              <w:rPr>
                <w:rFonts w:ascii="Times New Roman" w:hAnsi="Times New Roman" w:eastAsia="宋体" w:cs="Times New Roman"/>
                <w:kern w:val="0"/>
                <w:sz w:val="21"/>
                <w:szCs w:val="21"/>
              </w:rPr>
              <w:t>选用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8mm厚PP化验室专用水槽，耐强酸、碱及有机溶液，水槽配有PP材质防虹吸，瓶式隔臭回收器</w:t>
            </w:r>
            <w:r>
              <w:rPr>
                <w:rFonts w:hint="eastAsia" w:ascii="Times New Roman" w:hAnsi="Times New Roman" w:eastAsia="宋体" w:cs="Times New Roman"/>
                <w:kern w:val="0"/>
                <w:sz w:val="21"/>
                <w:szCs w:val="21"/>
              </w:rPr>
              <w:t>，配三联水龙头</w:t>
            </w:r>
            <w:r>
              <w:rPr>
                <w:rFonts w:ascii="Times New Roman" w:hAnsi="Times New Roman" w:eastAsia="宋体" w:cs="Times New Roman"/>
                <w:kern w:val="0"/>
                <w:sz w:val="21"/>
                <w:szCs w:val="21"/>
              </w:rPr>
              <w:t xml:space="preserve">； </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9. </w:t>
            </w:r>
            <w:r>
              <w:rPr>
                <w:rFonts w:hint="eastAsia" w:ascii="Times New Roman" w:hAnsi="Times New Roman" w:eastAsia="宋体" w:cs="Times New Roman"/>
                <w:kern w:val="0"/>
                <w:sz w:val="21"/>
                <w:szCs w:val="21"/>
              </w:rPr>
              <w:t>另含</w:t>
            </w:r>
            <w:r>
              <w:rPr>
                <w:rFonts w:ascii="Times New Roman" w:hAnsi="Times New Roman" w:eastAsia="宋体" w:cs="Times New Roman"/>
                <w:kern w:val="0"/>
                <w:sz w:val="21"/>
                <w:szCs w:val="21"/>
              </w:rPr>
              <w:t>含单联龙头</w:t>
            </w:r>
            <w:r>
              <w:rPr>
                <w:rFonts w:ascii="Times New Roman" w:hAnsi="Times New Roman" w:eastAsia="宋体" w:cs="Times New Roman"/>
                <w:color w:val="auto"/>
                <w:kern w:val="0"/>
                <w:sz w:val="21"/>
                <w:szCs w:val="21"/>
              </w:rPr>
              <w:t>（6套）</w:t>
            </w:r>
            <w:r>
              <w:rPr>
                <w:rFonts w:hint="eastAsia" w:ascii="Times New Roman" w:hAnsi="Times New Roman" w:eastAsia="宋体" w:cs="Times New Roman"/>
                <w:color w:val="auto"/>
                <w:kern w:val="0"/>
                <w:sz w:val="21"/>
                <w:szCs w:val="21"/>
              </w:rPr>
              <w:t>、三联水龙头</w:t>
            </w:r>
            <w:r>
              <w:rPr>
                <w:rFonts w:ascii="Times New Roman" w:hAnsi="Times New Roman" w:eastAsia="宋体" w:cs="Times New Roman"/>
                <w:color w:val="auto"/>
                <w:kern w:val="0"/>
                <w:sz w:val="21"/>
                <w:szCs w:val="21"/>
              </w:rPr>
              <w:t>（3套）：</w:t>
            </w:r>
            <w:r>
              <w:rPr>
                <w:rFonts w:ascii="Times New Roman" w:hAnsi="Times New Roman" w:eastAsia="宋体" w:cs="Times New Roman"/>
                <w:kern w:val="0"/>
                <w:sz w:val="21"/>
                <w:szCs w:val="21"/>
              </w:rPr>
              <w:t>选用铜制陶瓷阀芯，表面经环氧树脂静电喷涂固化处理的实验室专用水嘴，出水口可拆卸清洗，具有缓压作用，寿命</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60万次；</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三节超静音阻尼滑轨，带阻尼铰链；</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11.含上下水改造。上水管镀锌Φ25</w:t>
            </w:r>
            <w:r>
              <w:rPr>
                <w:rFonts w:hint="eastAsia" w:ascii="Times New Roman" w:hAnsi="Times New Roman" w:eastAsia="宋体" w:cs="Times New Roman"/>
                <w:kern w:val="0"/>
                <w:sz w:val="21"/>
                <w:szCs w:val="21"/>
              </w:rPr>
              <w:t>~40</w:t>
            </w:r>
            <w:r>
              <w:rPr>
                <w:rFonts w:ascii="Times New Roman" w:hAnsi="Times New Roman" w:eastAsia="宋体" w:cs="Times New Roman"/>
                <w:kern w:val="0"/>
                <w:sz w:val="21"/>
                <w:szCs w:val="21"/>
              </w:rPr>
              <w:t>管，下水管防腐蚀化工管Φ75</w:t>
            </w:r>
            <w:r>
              <w:rPr>
                <w:rFonts w:hint="eastAsia" w:ascii="Times New Roman" w:hAnsi="Times New Roman" w:eastAsia="宋体" w:cs="Times New Roman"/>
                <w:kern w:val="0"/>
                <w:sz w:val="21"/>
                <w:szCs w:val="21"/>
              </w:rPr>
              <w:t>~100</w:t>
            </w:r>
            <w:r>
              <w:rPr>
                <w:rFonts w:ascii="Times New Roman" w:hAnsi="Times New Roman" w:eastAsia="宋体" w:cs="Times New Roman"/>
                <w:kern w:val="0"/>
                <w:sz w:val="21"/>
                <w:szCs w:val="21"/>
              </w:rPr>
              <w:t>；</w:t>
            </w:r>
          </w:p>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12.动力电380V，加装配电箱60</w:t>
            </w:r>
            <w:r>
              <w:rPr>
                <w:rFonts w:hint="eastAsia" w:ascii="Times New Roman" w:hAnsi="Times New Roman" w:eastAsia="宋体" w:cs="Times New Roman"/>
                <w:kern w:val="0"/>
                <w:sz w:val="21"/>
                <w:szCs w:val="21"/>
              </w:rPr>
              <w:t>~80</w:t>
            </w:r>
            <w:r>
              <w:rPr>
                <w:rFonts w:ascii="Times New Roman" w:hAnsi="Times New Roman" w:eastAsia="宋体" w:cs="Times New Roman"/>
                <w:kern w:val="0"/>
                <w:sz w:val="21"/>
                <w:szCs w:val="21"/>
              </w:rPr>
              <w:t>Kw。氯乙烯脚垫组合，高低可调范围30~50mm；每套含塔式电源8组，每组5孔</w:t>
            </w:r>
            <w:r>
              <w:rPr>
                <w:rFonts w:hint="eastAsia" w:ascii="宋体" w:hAnsi="宋体" w:eastAsia="宋体" w:cs="宋体"/>
                <w:kern w:val="0"/>
                <w:sz w:val="21"/>
                <w:szCs w:val="21"/>
              </w:rPr>
              <w:t>≥</w:t>
            </w:r>
            <w:r>
              <w:rPr>
                <w:rFonts w:ascii="Times New Roman" w:hAnsi="Times New Roman" w:eastAsia="宋体" w:cs="Times New Roman"/>
                <w:kern w:val="0"/>
                <w:sz w:val="21"/>
                <w:szCs w:val="21"/>
              </w:rPr>
              <w:t>10A，带防水盖；</w:t>
            </w:r>
          </w:p>
          <w:p>
            <w:pPr>
              <w:rPr>
                <w:rFonts w:ascii="Times New Roman" w:hAnsi="Times New Roman" w:eastAsia="宋体" w:cs="Times New Roman"/>
                <w:szCs w:val="21"/>
              </w:rPr>
            </w:pPr>
            <w:r>
              <w:rPr>
                <w:rFonts w:ascii="Times New Roman" w:hAnsi="Times New Roman" w:eastAsia="宋体" w:cs="Times New Roman"/>
                <w:kern w:val="0"/>
                <w:sz w:val="21"/>
                <w:szCs w:val="21"/>
              </w:rPr>
              <w:t>13. 负责中央实验台的现场安装（含上下水改装和电路改造），包含安装配件，并负责原有实验台的搬运、拆卸和垃圾清运。</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6</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2"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2</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矮柜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740mm</w:t>
            </w:r>
            <w:r>
              <w:rPr>
                <w:rFonts w:hint="eastAsia" w:ascii="Times New Roman" w:hAnsi="Times New Roman" w:eastAsia="宋体" w:cs="Times New Roman"/>
                <w:szCs w:val="21"/>
              </w:rPr>
              <w:t>，</w:t>
            </w:r>
            <w:r>
              <w:rPr>
                <w:rFonts w:ascii="Times New Roman" w:hAnsi="Times New Roman" w:eastAsia="宋体" w:cs="Times New Roman"/>
                <w:szCs w:val="21"/>
              </w:rPr>
              <w:t>高度与实验室水泥台适配；</w:t>
            </w:r>
          </w:p>
          <w:p>
            <w:pPr>
              <w:rPr>
                <w:rFonts w:ascii="Times New Roman" w:hAnsi="Times New Roman" w:eastAsia="宋体" w:cs="Times New Roman"/>
                <w:szCs w:val="21"/>
              </w:rPr>
            </w:pPr>
            <w:r>
              <w:rPr>
                <w:rFonts w:ascii="Times New Roman" w:hAnsi="Times New Roman" w:eastAsia="宋体" w:cs="Times New Roman"/>
                <w:szCs w:val="21"/>
              </w:rPr>
              <w:t>2.全木结构，内加隔层，</w:t>
            </w:r>
            <w:r>
              <w:rPr>
                <w:rFonts w:hint="eastAsia" w:ascii="Times New Roman" w:hAnsi="Times New Roman" w:eastAsia="宋体" w:cs="Times New Roman"/>
                <w:szCs w:val="21"/>
              </w:rPr>
              <w:t>≥</w:t>
            </w:r>
            <w:r>
              <w:rPr>
                <w:rFonts w:ascii="Times New Roman" w:hAnsi="Times New Roman" w:eastAsia="宋体" w:cs="Times New Roman"/>
                <w:szCs w:val="21"/>
              </w:rPr>
              <w:t>18mm三聚氰胺板。</w:t>
            </w:r>
          </w:p>
          <w:p>
            <w:pPr>
              <w:jc w:val="center"/>
              <w:rPr>
                <w:rFonts w:ascii="Times New Roman" w:hAnsi="Times New Roman" w:eastAsia="宋体" w:cs="Times New Roman"/>
                <w:sz w:val="30"/>
                <w:szCs w:val="30"/>
              </w:rPr>
            </w:pPr>
            <w:r>
              <w:rPr>
                <w:rFonts w:ascii="Times New Roman" w:hAnsi="Times New Roman" w:eastAsia="宋体" w:cs="Times New Roman"/>
                <w:szCs w:val="21"/>
              </w:rPr>
              <w:t>3.负责柜子的现场安装（含上下水改装和电路改造），包含所有的安装配件，并负责原有实验台的搬运、拆卸和垃圾清运。</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13</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8"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3</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水池柜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3640</w:t>
            </w:r>
            <w:r>
              <w:rPr>
                <w:rFonts w:hint="eastAsia" w:ascii="Times New Roman" w:hAnsi="Times New Roman" w:eastAsia="宋体" w:cs="Times New Roman"/>
                <w:szCs w:val="21"/>
              </w:rPr>
              <w:t>×</w:t>
            </w:r>
            <w:r>
              <w:rPr>
                <w:rFonts w:ascii="Times New Roman" w:hAnsi="Times New Roman" w:eastAsia="宋体" w:cs="Times New Roman"/>
                <w:szCs w:val="21"/>
              </w:rPr>
              <w:t>600</w:t>
            </w:r>
            <w:r>
              <w:rPr>
                <w:rFonts w:hint="eastAsia" w:ascii="Times New Roman" w:hAnsi="Times New Roman" w:eastAsia="宋体" w:cs="Times New Roman"/>
                <w:szCs w:val="21"/>
              </w:rPr>
              <w:t>×</w:t>
            </w:r>
            <w:r>
              <w:rPr>
                <w:rFonts w:ascii="Times New Roman" w:hAnsi="Times New Roman" w:eastAsia="宋体" w:cs="Times New Roman"/>
                <w:szCs w:val="21"/>
              </w:rPr>
              <w:t>830 mm；</w:t>
            </w:r>
          </w:p>
          <w:p>
            <w:pPr>
              <w:rPr>
                <w:rFonts w:ascii="Times New Roman" w:hAnsi="Times New Roman" w:eastAsia="宋体" w:cs="Times New Roman"/>
                <w:szCs w:val="21"/>
              </w:rPr>
            </w:pPr>
            <w:r>
              <w:rPr>
                <w:rFonts w:ascii="Times New Roman" w:hAnsi="Times New Roman" w:eastAsia="宋体" w:cs="Times New Roman"/>
                <w:szCs w:val="21"/>
              </w:rPr>
              <w:t>2.柜体同中央实验台.每套含PP大号水盆2组，三联龙2组；</w:t>
            </w:r>
          </w:p>
          <w:p>
            <w:pPr>
              <w:rPr>
                <w:rFonts w:ascii="Times New Roman" w:hAnsi="Times New Roman" w:eastAsia="宋体" w:cs="Times New Roman"/>
                <w:szCs w:val="21"/>
              </w:rPr>
            </w:pPr>
            <w:r>
              <w:rPr>
                <w:rFonts w:ascii="Times New Roman" w:hAnsi="Times New Roman" w:eastAsia="宋体" w:cs="Times New Roman"/>
                <w:szCs w:val="21"/>
              </w:rPr>
              <w:t>3.含上下水改造。上水管镀锌Φ25管。下水管防腐蚀化工管Φ75；</w:t>
            </w:r>
          </w:p>
          <w:p>
            <w:pPr>
              <w:rPr>
                <w:rFonts w:ascii="Times New Roman" w:hAnsi="Times New Roman" w:eastAsia="宋体" w:cs="Times New Roman"/>
                <w:szCs w:val="21"/>
              </w:rPr>
            </w:pPr>
            <w:r>
              <w:rPr>
                <w:rFonts w:ascii="Times New Roman" w:hAnsi="Times New Roman" w:eastAsia="宋体" w:cs="Times New Roman"/>
                <w:szCs w:val="21"/>
              </w:rPr>
              <w:t>4、三节超静音阻尼滑轨，带阻尼铰链</w:t>
            </w:r>
            <w:r>
              <w:rPr>
                <w:rFonts w:hint="eastAsia" w:ascii="Times New Roman" w:hAnsi="Times New Roman" w:eastAsia="宋体" w:cs="Times New Roman"/>
                <w:szCs w:val="21"/>
              </w:rPr>
              <w:t>；</w:t>
            </w:r>
          </w:p>
          <w:p>
            <w:pPr>
              <w:jc w:val="left"/>
              <w:rPr>
                <w:rFonts w:ascii="Times New Roman" w:hAnsi="Times New Roman" w:eastAsia="宋体" w:cs="Times New Roman"/>
                <w:sz w:val="30"/>
                <w:szCs w:val="30"/>
              </w:rPr>
            </w:pPr>
            <w:r>
              <w:rPr>
                <w:rFonts w:ascii="Times New Roman" w:hAnsi="Times New Roman" w:eastAsia="宋体" w:cs="Times New Roman"/>
                <w:szCs w:val="21"/>
              </w:rPr>
              <w:t>5、负责柜子的现场安装（含电路改造），拆除原有水泥台并清运垃圾。</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2</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35"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4</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通风柜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850</w:t>
            </w:r>
            <w:r>
              <w:rPr>
                <w:rFonts w:hint="eastAsia" w:ascii="Times New Roman" w:hAnsi="Times New Roman" w:eastAsia="宋体" w:cs="Times New Roman"/>
                <w:szCs w:val="21"/>
              </w:rPr>
              <w:t>×</w:t>
            </w:r>
            <w:r>
              <w:rPr>
                <w:rFonts w:ascii="Times New Roman" w:hAnsi="Times New Roman" w:eastAsia="宋体" w:cs="Times New Roman"/>
                <w:szCs w:val="21"/>
              </w:rPr>
              <w:t>2350mm；</w:t>
            </w:r>
          </w:p>
          <w:p>
            <w:pPr>
              <w:rPr>
                <w:rFonts w:ascii="Times New Roman" w:hAnsi="Times New Roman" w:eastAsia="宋体" w:cs="Times New Roman"/>
                <w:szCs w:val="21"/>
              </w:rPr>
            </w:pPr>
            <w:r>
              <w:rPr>
                <w:rFonts w:ascii="Times New Roman" w:hAnsi="Times New Roman" w:eastAsia="宋体" w:cs="Times New Roman"/>
                <w:szCs w:val="21"/>
              </w:rPr>
              <w:t>2.全钢结构，</w:t>
            </w:r>
            <w:r>
              <w:rPr>
                <w:rFonts w:hint="eastAsia" w:ascii="Times New Roman" w:hAnsi="Times New Roman" w:eastAsia="宋体" w:cs="Times New Roman"/>
                <w:szCs w:val="21"/>
              </w:rPr>
              <w:t>≥</w:t>
            </w:r>
            <w:r>
              <w:rPr>
                <w:rFonts w:ascii="Times New Roman" w:hAnsi="Times New Roman" w:eastAsia="宋体" w:cs="Times New Roman"/>
                <w:szCs w:val="21"/>
              </w:rPr>
              <w:t>1.2mm冷轧钢板；</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12.7m实芯理化板台面，电源插座4组；</w:t>
            </w:r>
          </w:p>
          <w:p>
            <w:pPr>
              <w:numPr>
                <w:ilvl w:val="0"/>
                <w:numId w:val="21"/>
              </w:numPr>
              <w:rPr>
                <w:rFonts w:ascii="Times New Roman" w:hAnsi="Times New Roman" w:eastAsia="宋体" w:cs="Times New Roman"/>
                <w:szCs w:val="21"/>
              </w:rPr>
            </w:pPr>
            <w:r>
              <w:rPr>
                <w:rFonts w:ascii="Times New Roman" w:hAnsi="Times New Roman" w:eastAsia="宋体" w:cs="Times New Roman"/>
                <w:szCs w:val="21"/>
              </w:rPr>
              <w:t>带水槽龙头（材质同上水盆龙头要求）；</w:t>
            </w:r>
          </w:p>
          <w:p>
            <w:pPr>
              <w:rPr>
                <w:rFonts w:ascii="Times New Roman" w:hAnsi="Times New Roman" w:eastAsia="宋体" w:cs="Times New Roman"/>
                <w:szCs w:val="21"/>
              </w:rPr>
            </w:pPr>
            <w:r>
              <w:rPr>
                <w:rFonts w:ascii="Times New Roman" w:hAnsi="Times New Roman" w:eastAsia="宋体" w:cs="Times New Roman"/>
                <w:szCs w:val="21"/>
              </w:rPr>
              <w:t>5、三节超静音阻尼滑轨，带阻尼铰链。</w:t>
            </w:r>
          </w:p>
          <w:p>
            <w:pPr>
              <w:rPr>
                <w:rFonts w:ascii="Times New Roman" w:hAnsi="Times New Roman" w:eastAsia="宋体" w:cs="Times New Roman"/>
                <w:szCs w:val="21"/>
              </w:rPr>
            </w:pPr>
            <w:r>
              <w:rPr>
                <w:rFonts w:ascii="Times New Roman" w:hAnsi="Times New Roman" w:eastAsia="宋体" w:cs="Times New Roman"/>
                <w:szCs w:val="21"/>
              </w:rPr>
              <w:t>6.负责通风柜的现场安装（含上下水改装和电路改造），包含所有的安装配件，并负责原有实验台的搬运、拆卸和垃圾清运。</w:t>
            </w:r>
          </w:p>
          <w:p>
            <w:pPr>
              <w:rPr>
                <w:rFonts w:ascii="Times New Roman" w:hAnsi="Times New Roman" w:eastAsia="宋体" w:cs="Times New Roman"/>
                <w:szCs w:val="21"/>
              </w:rPr>
            </w:pPr>
            <w:r>
              <w:rPr>
                <w:rFonts w:ascii="Times New Roman" w:hAnsi="Times New Roman" w:eastAsia="宋体" w:cs="Times New Roman"/>
                <w:szCs w:val="21"/>
              </w:rPr>
              <w:t>7、楼顶琉玻璃离心风机，风量2530</w:t>
            </w:r>
            <w:r>
              <w:rPr>
                <w:rFonts w:hint="eastAsia" w:ascii="Times New Roman" w:hAnsi="Times New Roman" w:eastAsia="宋体" w:cs="Times New Roman"/>
                <w:szCs w:val="21"/>
              </w:rPr>
              <w:t>~</w:t>
            </w:r>
            <w:r>
              <w:rPr>
                <w:rFonts w:ascii="Times New Roman" w:hAnsi="Times New Roman" w:eastAsia="宋体" w:cs="Times New Roman"/>
                <w:szCs w:val="21"/>
              </w:rPr>
              <w:t>4060</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h，</w:t>
            </w:r>
            <w:r>
              <w:rPr>
                <w:rFonts w:ascii="Times New Roman" w:hAnsi="Times New Roman" w:eastAsia="宋体" w:cs="Times New Roman"/>
                <w:szCs w:val="21"/>
              </w:rPr>
              <w:t>转速</w:t>
            </w:r>
            <w:r>
              <w:rPr>
                <w:rFonts w:hint="eastAsia" w:ascii="Times New Roman" w:hAnsi="Times New Roman" w:eastAsia="宋体" w:cs="Times New Roman"/>
                <w:szCs w:val="21"/>
              </w:rPr>
              <w:t>1400~1500rpm</w:t>
            </w:r>
            <w:r>
              <w:rPr>
                <w:rFonts w:ascii="Times New Roman" w:hAnsi="Times New Roman" w:eastAsia="宋体" w:cs="Times New Roman"/>
                <w:szCs w:val="21"/>
              </w:rPr>
              <w:t>，带雨帽及风机底座。</w:t>
            </w:r>
          </w:p>
          <w:p>
            <w:pPr>
              <w:rPr>
                <w:rFonts w:ascii="Times New Roman" w:hAnsi="Times New Roman" w:eastAsia="宋体" w:cs="Times New Roman"/>
                <w:szCs w:val="21"/>
              </w:rPr>
            </w:pPr>
            <w:r>
              <w:rPr>
                <w:rFonts w:ascii="Times New Roman" w:hAnsi="Times New Roman" w:eastAsia="宋体" w:cs="Times New Roman"/>
                <w:szCs w:val="21"/>
              </w:rPr>
              <w:t>8、含PVC管道及配件.</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2"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5</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试剂柜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900</w:t>
            </w:r>
            <w:r>
              <w:rPr>
                <w:rFonts w:hint="eastAsia" w:ascii="Times New Roman" w:hAnsi="Times New Roman" w:eastAsia="宋体" w:cs="Times New Roman"/>
                <w:szCs w:val="21"/>
              </w:rPr>
              <w:t>×</w:t>
            </w:r>
            <w:r>
              <w:rPr>
                <w:rFonts w:ascii="Times New Roman" w:hAnsi="Times New Roman" w:eastAsia="宋体" w:cs="Times New Roman"/>
                <w:szCs w:val="21"/>
              </w:rPr>
              <w:t>450</w:t>
            </w:r>
            <w:r>
              <w:rPr>
                <w:rFonts w:hint="eastAsia" w:ascii="Times New Roman" w:hAnsi="Times New Roman" w:eastAsia="宋体" w:cs="Times New Roman"/>
                <w:szCs w:val="21"/>
              </w:rPr>
              <w:t>×</w:t>
            </w:r>
            <w:r>
              <w:rPr>
                <w:rFonts w:ascii="Times New Roman" w:hAnsi="Times New Roman" w:eastAsia="宋体" w:cs="Times New Roman"/>
                <w:szCs w:val="21"/>
              </w:rPr>
              <w:t>1900mm；</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钢木结构</w:t>
            </w:r>
            <w:r>
              <w:rPr>
                <w:rFonts w:ascii="Times New Roman" w:hAnsi="Times New Roman" w:eastAsia="宋体" w:cs="Times New Roman"/>
                <w:szCs w:val="21"/>
              </w:rPr>
              <w:t>，上玻下木门；阻尼铰链。</w:t>
            </w:r>
          </w:p>
          <w:p>
            <w:pPr>
              <w:jc w:val="center"/>
              <w:rPr>
                <w:rFonts w:ascii="Times New Roman" w:hAnsi="Times New Roman" w:eastAsia="宋体" w:cs="Times New Roman"/>
                <w:szCs w:val="21"/>
              </w:rPr>
            </w:pPr>
            <w:r>
              <w:rPr>
                <w:rFonts w:ascii="Times New Roman" w:hAnsi="Times New Roman" w:eastAsia="宋体" w:cs="Times New Roman"/>
                <w:szCs w:val="21"/>
              </w:rPr>
              <w:t>3.负责试剂柜的现场安装，包含所有的安装配件，并负责原有实验台的搬运、拆卸和垃圾清运。</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5</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47"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6</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桌上型通风罩</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4500</w:t>
            </w:r>
            <w:r>
              <w:rPr>
                <w:rFonts w:hint="eastAsia" w:ascii="Times New Roman" w:hAnsi="Times New Roman" w:eastAsia="宋体" w:cs="Times New Roman"/>
                <w:szCs w:val="21"/>
              </w:rPr>
              <w:t>×</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1800mm；</w:t>
            </w:r>
          </w:p>
          <w:p>
            <w:pPr>
              <w:rPr>
                <w:rFonts w:ascii="Times New Roman" w:hAnsi="Times New Roman" w:eastAsia="宋体" w:cs="Times New Roman"/>
                <w:szCs w:val="21"/>
              </w:rPr>
            </w:pPr>
            <w:r>
              <w:rPr>
                <w:rFonts w:ascii="Times New Roman" w:hAnsi="Times New Roman" w:eastAsia="宋体" w:cs="Times New Roman"/>
                <w:szCs w:val="21"/>
              </w:rPr>
              <w:t>2.框架：</w:t>
            </w:r>
            <w:r>
              <w:rPr>
                <w:rFonts w:hint="eastAsia" w:ascii="Times New Roman" w:hAnsi="Times New Roman" w:eastAsia="宋体" w:cs="Times New Roman"/>
                <w:szCs w:val="21"/>
              </w:rPr>
              <w:t>≥</w:t>
            </w:r>
            <w:r>
              <w:rPr>
                <w:rFonts w:ascii="Times New Roman" w:hAnsi="Times New Roman" w:eastAsia="宋体" w:cs="Times New Roman"/>
                <w:szCs w:val="21"/>
              </w:rPr>
              <w:t>1.0mm冷轧钢板；</w:t>
            </w:r>
          </w:p>
          <w:p>
            <w:pPr>
              <w:rPr>
                <w:rFonts w:ascii="Times New Roman" w:hAnsi="Times New Roman" w:eastAsia="宋体" w:cs="Times New Roman"/>
                <w:szCs w:val="21"/>
              </w:rPr>
            </w:pPr>
            <w:r>
              <w:rPr>
                <w:rFonts w:ascii="Times New Roman" w:hAnsi="Times New Roman" w:eastAsia="宋体" w:cs="Times New Roman"/>
                <w:szCs w:val="21"/>
              </w:rPr>
              <w:t>3.侧板：</w:t>
            </w:r>
            <w:r>
              <w:rPr>
                <w:rFonts w:hint="eastAsia" w:ascii="Times New Roman" w:hAnsi="Times New Roman" w:eastAsia="宋体" w:cs="Times New Roman"/>
                <w:szCs w:val="21"/>
              </w:rPr>
              <w:t>≥</w:t>
            </w:r>
            <w:r>
              <w:rPr>
                <w:rFonts w:ascii="Times New Roman" w:hAnsi="Times New Roman" w:eastAsia="宋体" w:cs="Times New Roman"/>
                <w:szCs w:val="21"/>
              </w:rPr>
              <w:t>5mm钢化玻璃；</w:t>
            </w:r>
          </w:p>
          <w:p>
            <w:pPr>
              <w:rPr>
                <w:rFonts w:ascii="Times New Roman" w:hAnsi="Times New Roman" w:eastAsia="宋体" w:cs="Times New Roman"/>
                <w:szCs w:val="21"/>
              </w:rPr>
            </w:pPr>
            <w:r>
              <w:rPr>
                <w:rFonts w:ascii="Times New Roman" w:hAnsi="Times New Roman" w:eastAsia="宋体" w:cs="Times New Roman"/>
                <w:szCs w:val="21"/>
              </w:rPr>
              <w:t>4.上下移动滑门：钢化玻璃+铝合金拉手；</w:t>
            </w:r>
          </w:p>
          <w:p>
            <w:pPr>
              <w:rPr>
                <w:rFonts w:ascii="Times New Roman" w:hAnsi="Times New Roman" w:eastAsia="宋体" w:cs="Times New Roman"/>
                <w:szCs w:val="21"/>
              </w:rPr>
            </w:pPr>
            <w:r>
              <w:rPr>
                <w:rFonts w:ascii="Times New Roman" w:hAnsi="Times New Roman" w:eastAsia="宋体" w:cs="Times New Roman"/>
                <w:szCs w:val="21"/>
              </w:rPr>
              <w:t>5.集气罩：pp风罩；</w:t>
            </w:r>
          </w:p>
          <w:p>
            <w:pPr>
              <w:rPr>
                <w:rFonts w:ascii="Times New Roman" w:hAnsi="Times New Roman" w:eastAsia="宋体" w:cs="Times New Roman"/>
                <w:szCs w:val="21"/>
              </w:rPr>
            </w:pPr>
            <w:r>
              <w:rPr>
                <w:rFonts w:ascii="Times New Roman" w:hAnsi="Times New Roman" w:eastAsia="宋体" w:cs="Times New Roman"/>
                <w:szCs w:val="21"/>
              </w:rPr>
              <w:t>6.电路控制：液晶开关（每位配1只）；</w:t>
            </w:r>
          </w:p>
          <w:p>
            <w:pPr>
              <w:rPr>
                <w:rFonts w:ascii="Times New Roman" w:hAnsi="Times New Roman" w:eastAsia="宋体" w:cs="Times New Roman"/>
                <w:szCs w:val="21"/>
              </w:rPr>
            </w:pPr>
            <w:r>
              <w:rPr>
                <w:rFonts w:ascii="Times New Roman" w:hAnsi="Times New Roman" w:eastAsia="宋体" w:cs="Times New Roman"/>
                <w:szCs w:val="21"/>
              </w:rPr>
              <w:t>7.插座：10A防溅插座；</w:t>
            </w:r>
          </w:p>
          <w:p>
            <w:pPr>
              <w:rPr>
                <w:rFonts w:ascii="Times New Roman" w:hAnsi="Times New Roman" w:eastAsia="宋体" w:cs="Times New Roman"/>
                <w:szCs w:val="21"/>
              </w:rPr>
            </w:pPr>
            <w:r>
              <w:rPr>
                <w:rFonts w:ascii="Times New Roman" w:hAnsi="Times New Roman" w:eastAsia="宋体" w:cs="Times New Roman"/>
                <w:szCs w:val="21"/>
              </w:rPr>
              <w:t>8.照明：LED灯；</w:t>
            </w:r>
          </w:p>
          <w:p>
            <w:pPr>
              <w:rPr>
                <w:rFonts w:ascii="Times New Roman" w:hAnsi="Times New Roman" w:eastAsia="宋体" w:cs="Times New Roman"/>
                <w:szCs w:val="21"/>
              </w:rPr>
            </w:pPr>
            <w:r>
              <w:rPr>
                <w:rFonts w:ascii="Times New Roman" w:hAnsi="Times New Roman" w:eastAsia="宋体" w:cs="Times New Roman"/>
                <w:szCs w:val="21"/>
              </w:rPr>
              <w:t>9.含与风机对接管道：主管道PP材质，分管PVC阻燃材料。带配件，弯头，支架；</w:t>
            </w:r>
          </w:p>
          <w:p>
            <w:pPr>
              <w:rPr>
                <w:rFonts w:ascii="Times New Roman" w:hAnsi="Times New Roman" w:eastAsia="宋体" w:cs="Times New Roman"/>
                <w:szCs w:val="21"/>
              </w:rPr>
            </w:pPr>
            <w:r>
              <w:rPr>
                <w:rFonts w:ascii="Times New Roman" w:hAnsi="Times New Roman" w:eastAsia="宋体" w:cs="Times New Roman"/>
                <w:szCs w:val="21"/>
              </w:rPr>
              <w:t>10.楼顶玻璃钢风机；电压380V、风量</w:t>
            </w:r>
            <w:r>
              <w:rPr>
                <w:rFonts w:ascii="Times New Roman" w:hAnsi="Times New Roman" w:eastAsia="宋体" w:cs="Times New Roman"/>
                <w:szCs w:val="21"/>
                <w:highlight w:val="none"/>
              </w:rPr>
              <w:t>11262～20320</w:t>
            </w:r>
            <w:r>
              <w:rPr>
                <w:rFonts w:hint="eastAsia" w:ascii="Times New Roman" w:hAnsi="Times New Roman" w:eastAsia="宋体" w:cs="Times New Roman"/>
                <w:szCs w:val="21"/>
                <w:highlight w:val="none"/>
              </w:rPr>
              <w:t xml:space="preserve"> m</w:t>
            </w:r>
            <w:r>
              <w:rPr>
                <w:rFonts w:hint="eastAsia" w:ascii="Times New Roman" w:hAnsi="Times New Roman" w:eastAsia="宋体" w:cs="Times New Roman"/>
                <w:szCs w:val="21"/>
                <w:highlight w:val="none"/>
                <w:vertAlign w:val="superscript"/>
              </w:rPr>
              <w:t>3</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h</w:t>
            </w:r>
            <w:r>
              <w:rPr>
                <w:rFonts w:ascii="Times New Roman" w:hAnsi="Times New Roman" w:eastAsia="宋体" w:cs="Times New Roman"/>
                <w:szCs w:val="21"/>
              </w:rPr>
              <w:t>、风压</w:t>
            </w:r>
            <w:r>
              <w:rPr>
                <w:rFonts w:hint="eastAsia" w:ascii="宋体" w:hAnsi="宋体" w:eastAsia="宋体" w:cs="宋体"/>
                <w:szCs w:val="21"/>
              </w:rPr>
              <w:t>≦</w:t>
            </w:r>
            <w:r>
              <w:rPr>
                <w:rFonts w:ascii="Times New Roman" w:hAnsi="Times New Roman" w:eastAsia="宋体" w:cs="Times New Roman"/>
                <w:szCs w:val="21"/>
              </w:rPr>
              <w:t>1750Pa、功率</w:t>
            </w:r>
            <w:r>
              <w:rPr>
                <w:rFonts w:hint="eastAsia" w:ascii="宋体" w:hAnsi="宋体" w:eastAsia="宋体" w:cs="宋体"/>
                <w:szCs w:val="21"/>
              </w:rPr>
              <w:t>≥</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Kw。</w:t>
            </w:r>
          </w:p>
          <w:p>
            <w:pPr>
              <w:rPr>
                <w:rFonts w:ascii="Times New Roman" w:hAnsi="Times New Roman" w:eastAsia="宋体" w:cs="Times New Roman"/>
                <w:szCs w:val="21"/>
              </w:rPr>
            </w:pPr>
            <w:r>
              <w:rPr>
                <w:rFonts w:ascii="Times New Roman" w:hAnsi="Times New Roman" w:eastAsia="宋体" w:cs="Times New Roman"/>
                <w:szCs w:val="21"/>
              </w:rPr>
              <w:t>11.带风机水泥底座减震。</w:t>
            </w:r>
          </w:p>
          <w:p>
            <w:pPr>
              <w:rPr>
                <w:rFonts w:ascii="Times New Roman" w:hAnsi="Times New Roman" w:eastAsia="宋体" w:cs="Times New Roman"/>
                <w:szCs w:val="21"/>
              </w:rPr>
            </w:pPr>
            <w:r>
              <w:rPr>
                <w:rFonts w:ascii="Times New Roman" w:hAnsi="Times New Roman" w:eastAsia="宋体" w:cs="Times New Roman"/>
                <w:szCs w:val="21"/>
              </w:rPr>
              <w:t>12.含风机出口气流消声器：防腐材质、蜂窝微孔型阻抗式消声器；</w:t>
            </w:r>
          </w:p>
          <w:p>
            <w:pPr>
              <w:rPr>
                <w:rFonts w:ascii="Times New Roman" w:hAnsi="Times New Roman" w:eastAsia="宋体" w:cs="Times New Roman"/>
                <w:sz w:val="30"/>
                <w:szCs w:val="30"/>
              </w:rPr>
            </w:pPr>
            <w:r>
              <w:rPr>
                <w:rFonts w:ascii="Times New Roman" w:hAnsi="Times New Roman" w:eastAsia="宋体" w:cs="Times New Roman"/>
                <w:szCs w:val="21"/>
              </w:rPr>
              <w:t>13..负责通风罩的现场安装，含安装的所有配件。</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6</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3"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7</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实验边台</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4800</w:t>
            </w:r>
            <w:r>
              <w:rPr>
                <w:rFonts w:hint="eastAsia" w:ascii="Times New Roman" w:hAnsi="Times New Roman" w:eastAsia="宋体" w:cs="Times New Roman"/>
                <w:szCs w:val="21"/>
              </w:rPr>
              <w:t>×</w:t>
            </w:r>
            <w:r>
              <w:rPr>
                <w:rFonts w:ascii="Times New Roman" w:hAnsi="Times New Roman" w:eastAsia="宋体" w:cs="Times New Roman"/>
                <w:szCs w:val="21"/>
              </w:rPr>
              <w:t>750</w:t>
            </w:r>
            <w:r>
              <w:rPr>
                <w:rFonts w:hint="eastAsia" w:ascii="Times New Roman" w:hAnsi="Times New Roman" w:eastAsia="宋体" w:cs="Times New Roman"/>
                <w:szCs w:val="21"/>
              </w:rPr>
              <w:t>×</w:t>
            </w:r>
            <w:r>
              <w:rPr>
                <w:rFonts w:ascii="Times New Roman" w:hAnsi="Times New Roman" w:eastAsia="宋体" w:cs="Times New Roman"/>
                <w:szCs w:val="21"/>
              </w:rPr>
              <w:t>830mm</w:t>
            </w:r>
          </w:p>
          <w:p>
            <w:pPr>
              <w:rPr>
                <w:rFonts w:ascii="Times New Roman" w:hAnsi="Times New Roman" w:eastAsia="宋体" w:cs="Times New Roman"/>
                <w:szCs w:val="21"/>
              </w:rPr>
            </w:pPr>
            <w:r>
              <w:rPr>
                <w:rFonts w:ascii="Times New Roman" w:hAnsi="Times New Roman" w:eastAsia="宋体" w:cs="Times New Roman"/>
                <w:szCs w:val="21"/>
              </w:rPr>
              <w:t>2.钢木结构</w:t>
            </w:r>
          </w:p>
          <w:p>
            <w:pPr>
              <w:rPr>
                <w:rFonts w:ascii="Times New Roman" w:hAnsi="Times New Roman" w:eastAsia="宋体" w:cs="Times New Roman"/>
                <w:szCs w:val="21"/>
              </w:rPr>
            </w:pPr>
            <w:r>
              <w:rPr>
                <w:rFonts w:ascii="Times New Roman" w:hAnsi="Times New Roman" w:eastAsia="宋体" w:cs="Times New Roman"/>
                <w:szCs w:val="21"/>
              </w:rPr>
              <w:t>3.台面采用</w:t>
            </w:r>
            <w:r>
              <w:rPr>
                <w:rFonts w:hint="eastAsia" w:ascii="Times New Roman" w:hAnsi="Times New Roman" w:eastAsia="宋体" w:cs="Times New Roman"/>
                <w:szCs w:val="21"/>
              </w:rPr>
              <w:t>≥</w:t>
            </w:r>
            <w:r>
              <w:rPr>
                <w:rFonts w:ascii="Times New Roman" w:hAnsi="Times New Roman" w:eastAsia="宋体" w:cs="Times New Roman"/>
                <w:szCs w:val="21"/>
              </w:rPr>
              <w:t>12mm厚实芯理化板，耐酸碱及腐蚀；</w:t>
            </w:r>
          </w:p>
          <w:p>
            <w:pPr>
              <w:rPr>
                <w:rFonts w:ascii="Times New Roman" w:hAnsi="Times New Roman" w:eastAsia="宋体" w:cs="Times New Roman"/>
                <w:szCs w:val="21"/>
              </w:rPr>
            </w:pPr>
            <w:r>
              <w:rPr>
                <w:rFonts w:ascii="Times New Roman" w:hAnsi="Times New Roman" w:eastAsia="宋体" w:cs="Times New Roman"/>
                <w:szCs w:val="21"/>
              </w:rPr>
              <w:t>4.柜体采用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w:t>
            </w:r>
            <w:r>
              <w:rPr>
                <w:rFonts w:hint="eastAsia" w:ascii="Times New Roman" w:hAnsi="Times New Roman" w:eastAsia="宋体" w:cs="Times New Roman"/>
                <w:szCs w:val="21"/>
              </w:rPr>
              <w:t>≥</w:t>
            </w:r>
            <w:r>
              <w:rPr>
                <w:rFonts w:ascii="Times New Roman" w:hAnsi="Times New Roman" w:eastAsia="宋体" w:cs="Times New Roman"/>
                <w:szCs w:val="21"/>
              </w:rPr>
              <w:t>2mm厚优质PVC封条，自动热熔封边，防水处理；</w:t>
            </w:r>
          </w:p>
          <w:p>
            <w:pPr>
              <w:rPr>
                <w:rFonts w:ascii="Times New Roman" w:hAnsi="Times New Roman" w:eastAsia="宋体" w:cs="Times New Roman"/>
                <w:szCs w:val="21"/>
              </w:rPr>
            </w:pPr>
            <w:r>
              <w:rPr>
                <w:rFonts w:ascii="Times New Roman" w:hAnsi="Times New Roman" w:eastAsia="宋体" w:cs="Times New Roman"/>
                <w:szCs w:val="21"/>
              </w:rPr>
              <w:t>5.门板采用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w:t>
            </w:r>
            <w:r>
              <w:rPr>
                <w:rFonts w:hint="eastAsia" w:ascii="Times New Roman" w:hAnsi="Times New Roman" w:eastAsia="宋体" w:cs="Times New Roman"/>
                <w:szCs w:val="21"/>
              </w:rPr>
              <w:t>≥</w:t>
            </w:r>
            <w:r>
              <w:rPr>
                <w:rFonts w:ascii="Times New Roman" w:hAnsi="Times New Roman" w:eastAsia="宋体" w:cs="Times New Roman"/>
                <w:szCs w:val="21"/>
              </w:rPr>
              <w:t>2mm厚优质PVC封边，防水处理，四面对接无接缝处理；</w:t>
            </w:r>
          </w:p>
          <w:p>
            <w:pPr>
              <w:rPr>
                <w:rFonts w:ascii="Times New Roman" w:hAnsi="Times New Roman" w:eastAsia="宋体" w:cs="Times New Roman"/>
                <w:szCs w:val="21"/>
              </w:rPr>
            </w:pPr>
            <w:r>
              <w:rPr>
                <w:rFonts w:ascii="Times New Roman" w:hAnsi="Times New Roman" w:eastAsia="宋体" w:cs="Times New Roman"/>
                <w:szCs w:val="21"/>
              </w:rPr>
              <w:t>6.钢架采用</w:t>
            </w:r>
            <w:r>
              <w:rPr>
                <w:rFonts w:hint="eastAsia" w:ascii="Times New Roman" w:hAnsi="Times New Roman" w:eastAsia="宋体" w:cs="Times New Roman"/>
                <w:szCs w:val="21"/>
              </w:rPr>
              <w:t>约</w:t>
            </w:r>
            <w:r>
              <w:rPr>
                <w:rFonts w:ascii="Times New Roman" w:hAnsi="Times New Roman" w:eastAsia="宋体" w:cs="Times New Roman"/>
                <w:szCs w:val="21"/>
              </w:rPr>
              <w:t>50</w:t>
            </w:r>
            <w:r>
              <w:rPr>
                <w:rFonts w:hint="eastAsia" w:ascii="Times New Roman" w:hAnsi="Times New Roman" w:eastAsia="宋体" w:cs="Times New Roman"/>
                <w:szCs w:val="21"/>
              </w:rPr>
              <w:t>×</w:t>
            </w:r>
            <w:r>
              <w:rPr>
                <w:rFonts w:ascii="Times New Roman" w:hAnsi="Times New Roman" w:eastAsia="宋体" w:cs="Times New Roman"/>
                <w:szCs w:val="21"/>
              </w:rPr>
              <w:t>30</w:t>
            </w:r>
            <w:r>
              <w:rPr>
                <w:rFonts w:hint="eastAsia" w:ascii="Times New Roman" w:hAnsi="Times New Roman" w:eastAsia="宋体" w:cs="Times New Roman"/>
                <w:szCs w:val="21"/>
              </w:rPr>
              <w:t>×</w:t>
            </w:r>
            <w:r>
              <w:rPr>
                <w:rFonts w:ascii="Times New Roman" w:hAnsi="Times New Roman" w:eastAsia="宋体" w:cs="Times New Roman"/>
                <w:szCs w:val="21"/>
              </w:rPr>
              <w:t>2mm厚冷轧钢材质，外经酸洗磷化均匀灰白环氧树脂喷塑处理，承重≥100kg/㎡；</w:t>
            </w:r>
          </w:p>
          <w:p>
            <w:pPr>
              <w:rPr>
                <w:rFonts w:ascii="Times New Roman" w:hAnsi="Times New Roman" w:eastAsia="宋体" w:cs="Times New Roman"/>
                <w:szCs w:val="21"/>
              </w:rPr>
            </w:pPr>
            <w:r>
              <w:rPr>
                <w:rFonts w:ascii="Times New Roman" w:hAnsi="Times New Roman" w:eastAsia="宋体" w:cs="Times New Roman"/>
                <w:szCs w:val="21"/>
              </w:rPr>
              <w:t>7.地脚：采用不锈钢调节杆与改性聚氯乙烯脚垫组合，高低可调范围30~50mm；</w:t>
            </w:r>
          </w:p>
          <w:p>
            <w:pPr>
              <w:rPr>
                <w:rFonts w:ascii="Times New Roman" w:hAnsi="Times New Roman" w:eastAsia="宋体" w:cs="Times New Roman"/>
                <w:szCs w:val="21"/>
              </w:rPr>
            </w:pPr>
            <w:r>
              <w:rPr>
                <w:rFonts w:ascii="Times New Roman" w:hAnsi="Times New Roman" w:eastAsia="宋体" w:cs="Times New Roman"/>
                <w:szCs w:val="21"/>
              </w:rPr>
              <w:t>8.带上翻岩</w:t>
            </w:r>
            <w:r>
              <w:rPr>
                <w:rFonts w:hint="eastAsia" w:ascii="Times New Roman" w:hAnsi="Times New Roman" w:eastAsia="宋体" w:cs="Times New Roman"/>
                <w:szCs w:val="21"/>
              </w:rPr>
              <w:t>≥</w:t>
            </w:r>
            <w:r>
              <w:rPr>
                <w:rFonts w:ascii="Times New Roman" w:hAnsi="Times New Roman" w:eastAsia="宋体" w:cs="Times New Roman"/>
                <w:szCs w:val="21"/>
              </w:rPr>
              <w:t>180cm高，加装5组电源五孔插座；</w:t>
            </w:r>
          </w:p>
          <w:p>
            <w:pPr>
              <w:rPr>
                <w:rFonts w:ascii="Times New Roman" w:hAnsi="Times New Roman" w:eastAsia="宋体" w:cs="Times New Roman"/>
                <w:szCs w:val="21"/>
              </w:rPr>
            </w:pPr>
            <w:r>
              <w:rPr>
                <w:rFonts w:ascii="Times New Roman" w:hAnsi="Times New Roman" w:eastAsia="宋体" w:cs="Times New Roman"/>
                <w:szCs w:val="21"/>
              </w:rPr>
              <w:t>9、三节超静音阻尼滑轨，带阻尼铰链。</w:t>
            </w:r>
          </w:p>
          <w:p>
            <w:pPr>
              <w:rPr>
                <w:rFonts w:ascii="Times New Roman" w:hAnsi="Times New Roman" w:eastAsia="宋体" w:cs="Times New Roman"/>
                <w:szCs w:val="21"/>
              </w:rPr>
            </w:pPr>
            <w:r>
              <w:rPr>
                <w:rFonts w:ascii="Times New Roman" w:hAnsi="Times New Roman" w:eastAsia="宋体" w:cs="Times New Roman"/>
                <w:szCs w:val="21"/>
              </w:rPr>
              <w:t>10.负责实验边台的现场安装，含电路改造，并包含安装的所有配件。</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9"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8</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中央实验台</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1200</w:t>
            </w:r>
            <w:r>
              <w:rPr>
                <w:rFonts w:hint="eastAsia" w:ascii="Times New Roman" w:hAnsi="Times New Roman" w:eastAsia="宋体" w:cs="Times New Roman"/>
                <w:szCs w:val="21"/>
              </w:rPr>
              <w:t>×</w:t>
            </w:r>
            <w:r>
              <w:rPr>
                <w:rFonts w:ascii="Times New Roman" w:hAnsi="Times New Roman" w:eastAsia="宋体" w:cs="Times New Roman"/>
                <w:szCs w:val="21"/>
              </w:rPr>
              <w:t>830mm</w:t>
            </w:r>
          </w:p>
          <w:p>
            <w:pPr>
              <w:rPr>
                <w:rFonts w:ascii="Times New Roman" w:hAnsi="Times New Roman" w:eastAsia="宋体" w:cs="Times New Roman"/>
                <w:szCs w:val="21"/>
              </w:rPr>
            </w:pPr>
            <w:r>
              <w:rPr>
                <w:rFonts w:ascii="Times New Roman" w:hAnsi="Times New Roman" w:eastAsia="宋体" w:cs="Times New Roman"/>
                <w:szCs w:val="21"/>
              </w:rPr>
              <w:t>2.钢木结构</w:t>
            </w:r>
          </w:p>
          <w:p>
            <w:pPr>
              <w:rPr>
                <w:rFonts w:ascii="Times New Roman" w:hAnsi="Times New Roman" w:eastAsia="宋体" w:cs="Times New Roman"/>
                <w:szCs w:val="21"/>
              </w:rPr>
            </w:pPr>
            <w:r>
              <w:rPr>
                <w:rFonts w:ascii="Times New Roman" w:hAnsi="Times New Roman" w:eastAsia="宋体" w:cs="Times New Roman"/>
                <w:szCs w:val="21"/>
              </w:rPr>
              <w:t>3.台面采用</w:t>
            </w:r>
            <w:r>
              <w:rPr>
                <w:rFonts w:hint="eastAsia" w:ascii="Times New Roman" w:hAnsi="Times New Roman" w:eastAsia="宋体" w:cs="Times New Roman"/>
                <w:szCs w:val="21"/>
              </w:rPr>
              <w:t>≥</w:t>
            </w:r>
            <w:r>
              <w:rPr>
                <w:rFonts w:ascii="Times New Roman" w:hAnsi="Times New Roman" w:eastAsia="宋体" w:cs="Times New Roman"/>
                <w:szCs w:val="21"/>
              </w:rPr>
              <w:t>12mm厚实芯理化板，耐酸碱及腐蚀；3.柜体采用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w:t>
            </w:r>
            <w:r>
              <w:rPr>
                <w:rFonts w:hint="eastAsia" w:ascii="Times New Roman" w:hAnsi="Times New Roman" w:eastAsia="宋体" w:cs="Times New Roman"/>
                <w:szCs w:val="21"/>
              </w:rPr>
              <w:t>≥</w:t>
            </w:r>
            <w:r>
              <w:rPr>
                <w:rFonts w:ascii="Times New Roman" w:hAnsi="Times New Roman" w:eastAsia="宋体" w:cs="Times New Roman"/>
                <w:szCs w:val="21"/>
              </w:rPr>
              <w:t>2mm厚优质PVC封条，自动热熔封边，防水处理；</w:t>
            </w:r>
          </w:p>
          <w:p>
            <w:pPr>
              <w:rPr>
                <w:rFonts w:ascii="Times New Roman" w:hAnsi="Times New Roman" w:eastAsia="宋体" w:cs="Times New Roman"/>
                <w:szCs w:val="21"/>
              </w:rPr>
            </w:pPr>
            <w:r>
              <w:rPr>
                <w:rFonts w:ascii="Times New Roman" w:hAnsi="Times New Roman" w:eastAsia="宋体" w:cs="Times New Roman"/>
                <w:szCs w:val="21"/>
              </w:rPr>
              <w:t>4.门板采用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w:t>
            </w:r>
            <w:r>
              <w:rPr>
                <w:rFonts w:hint="eastAsia" w:ascii="Times New Roman" w:hAnsi="Times New Roman" w:eastAsia="宋体" w:cs="Times New Roman"/>
                <w:szCs w:val="21"/>
              </w:rPr>
              <w:t>≥</w:t>
            </w:r>
            <w:r>
              <w:rPr>
                <w:rFonts w:ascii="Times New Roman" w:hAnsi="Times New Roman" w:eastAsia="宋体" w:cs="Times New Roman"/>
                <w:szCs w:val="21"/>
              </w:rPr>
              <w:t>2mm厚优质PVC封边，防水处理，四面对接无接缝处理；</w:t>
            </w:r>
          </w:p>
          <w:p>
            <w:pPr>
              <w:rPr>
                <w:rFonts w:ascii="Times New Roman" w:hAnsi="Times New Roman" w:eastAsia="宋体" w:cs="Times New Roman"/>
                <w:szCs w:val="21"/>
              </w:rPr>
            </w:pPr>
            <w:r>
              <w:rPr>
                <w:rFonts w:ascii="Times New Roman" w:hAnsi="Times New Roman" w:eastAsia="宋体" w:cs="Times New Roman"/>
                <w:szCs w:val="21"/>
              </w:rPr>
              <w:t>5.钢架采用</w:t>
            </w:r>
            <w:r>
              <w:rPr>
                <w:rFonts w:hint="eastAsia" w:ascii="Times New Roman" w:hAnsi="Times New Roman" w:eastAsia="宋体" w:cs="Times New Roman"/>
                <w:szCs w:val="21"/>
              </w:rPr>
              <w:t>约</w:t>
            </w:r>
            <w:r>
              <w:rPr>
                <w:rFonts w:ascii="Times New Roman" w:hAnsi="Times New Roman" w:eastAsia="宋体" w:cs="Times New Roman"/>
                <w:szCs w:val="21"/>
              </w:rPr>
              <w:t>50</w:t>
            </w:r>
            <w:r>
              <w:rPr>
                <w:rFonts w:hint="eastAsia" w:ascii="Times New Roman" w:hAnsi="Times New Roman" w:eastAsia="宋体" w:cs="Times New Roman"/>
                <w:szCs w:val="21"/>
              </w:rPr>
              <w:t>×</w:t>
            </w:r>
            <w:r>
              <w:rPr>
                <w:rFonts w:ascii="Times New Roman" w:hAnsi="Times New Roman" w:eastAsia="宋体" w:cs="Times New Roman"/>
                <w:szCs w:val="21"/>
              </w:rPr>
              <w:t>30</w:t>
            </w:r>
            <w:r>
              <w:rPr>
                <w:rFonts w:hint="eastAsia" w:ascii="Times New Roman" w:hAnsi="Times New Roman" w:eastAsia="宋体" w:cs="Times New Roman"/>
                <w:szCs w:val="21"/>
              </w:rPr>
              <w:t>×</w:t>
            </w:r>
            <w:r>
              <w:rPr>
                <w:rFonts w:ascii="Times New Roman" w:hAnsi="Times New Roman" w:eastAsia="宋体" w:cs="Times New Roman"/>
                <w:szCs w:val="21"/>
              </w:rPr>
              <w:t>2mm厚冷轧钢材质，外经酸洗磷化均匀灰白环氧树脂喷塑处理，承重≥100kg/㎡；</w:t>
            </w:r>
          </w:p>
          <w:p>
            <w:pPr>
              <w:rPr>
                <w:rFonts w:ascii="Times New Roman" w:hAnsi="Times New Roman" w:eastAsia="宋体" w:cs="Times New Roman"/>
                <w:szCs w:val="21"/>
              </w:rPr>
            </w:pPr>
            <w:r>
              <w:rPr>
                <w:rFonts w:ascii="Times New Roman" w:hAnsi="Times New Roman" w:eastAsia="宋体" w:cs="Times New Roman"/>
                <w:szCs w:val="21"/>
              </w:rPr>
              <w:t>6.地脚：采用不锈钢调节杆与改性聚氯乙烯脚垫组合，高低可调范围30~50mm；</w:t>
            </w:r>
          </w:p>
          <w:p>
            <w:pPr>
              <w:rPr>
                <w:rFonts w:ascii="Times New Roman" w:hAnsi="Times New Roman" w:eastAsia="宋体" w:cs="Times New Roman"/>
                <w:szCs w:val="21"/>
              </w:rPr>
            </w:pPr>
            <w:r>
              <w:rPr>
                <w:rFonts w:ascii="Times New Roman" w:hAnsi="Times New Roman" w:eastAsia="宋体" w:cs="Times New Roman"/>
                <w:szCs w:val="21"/>
              </w:rPr>
              <w:t>7、带塔式电源4组，每组5孔插座。</w:t>
            </w:r>
          </w:p>
          <w:p>
            <w:pPr>
              <w:jc w:val="left"/>
              <w:rPr>
                <w:rFonts w:ascii="Times New Roman" w:hAnsi="Times New Roman" w:eastAsia="宋体" w:cs="Times New Roman"/>
                <w:szCs w:val="21"/>
              </w:rPr>
            </w:pPr>
            <w:r>
              <w:rPr>
                <w:rFonts w:ascii="Times New Roman" w:hAnsi="Times New Roman" w:eastAsia="宋体" w:cs="Times New Roman"/>
                <w:szCs w:val="21"/>
              </w:rPr>
              <w:t>8、三节超静音阻尼滑轨，带阻尼铰链。</w:t>
            </w:r>
          </w:p>
          <w:p>
            <w:pPr>
              <w:jc w:val="left"/>
              <w:rPr>
                <w:rFonts w:ascii="Times New Roman" w:hAnsi="Times New Roman" w:eastAsia="宋体" w:cs="Times New Roman"/>
                <w:sz w:val="30"/>
                <w:szCs w:val="30"/>
              </w:rPr>
            </w:pPr>
            <w:r>
              <w:rPr>
                <w:rFonts w:ascii="Times New Roman" w:hAnsi="Times New Roman" w:eastAsia="宋体" w:cs="Times New Roman"/>
                <w:szCs w:val="21"/>
              </w:rPr>
              <w:t>9.负责中央实验台的现场安装，含电路改造，并包含安装的所有配件。</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35"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9</w:t>
            </w:r>
          </w:p>
        </w:tc>
        <w:tc>
          <w:tcPr>
            <w:tcW w:w="11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桌上型</w:t>
            </w:r>
          </w:p>
          <w:p>
            <w:pPr>
              <w:jc w:val="center"/>
              <w:rPr>
                <w:rFonts w:ascii="Times New Roman" w:hAnsi="Times New Roman" w:eastAsia="宋体" w:cs="Times New Roman"/>
                <w:sz w:val="30"/>
                <w:szCs w:val="30"/>
              </w:rPr>
            </w:pPr>
            <w:r>
              <w:rPr>
                <w:rFonts w:ascii="Times New Roman" w:hAnsi="Times New Roman" w:eastAsia="宋体" w:cs="Times New Roman"/>
                <w:szCs w:val="21"/>
              </w:rPr>
              <w:t>通风罩</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1200</w:t>
            </w:r>
            <w:r>
              <w:rPr>
                <w:rFonts w:hint="eastAsia" w:ascii="Times New Roman" w:hAnsi="Times New Roman" w:eastAsia="宋体" w:cs="Times New Roman"/>
                <w:szCs w:val="21"/>
              </w:rPr>
              <w:t>×</w:t>
            </w:r>
            <w:r>
              <w:rPr>
                <w:rFonts w:ascii="Times New Roman" w:hAnsi="Times New Roman" w:eastAsia="宋体" w:cs="Times New Roman"/>
                <w:szCs w:val="21"/>
              </w:rPr>
              <w:t>1500mm；</w:t>
            </w:r>
          </w:p>
          <w:p>
            <w:pPr>
              <w:rPr>
                <w:rFonts w:ascii="Times New Roman" w:hAnsi="Times New Roman" w:eastAsia="宋体" w:cs="Times New Roman"/>
                <w:szCs w:val="21"/>
              </w:rPr>
            </w:pPr>
            <w:r>
              <w:rPr>
                <w:rFonts w:ascii="Times New Roman" w:hAnsi="Times New Roman" w:eastAsia="宋体" w:cs="Times New Roman"/>
                <w:szCs w:val="21"/>
              </w:rPr>
              <w:t>2.框架：</w:t>
            </w:r>
            <w:r>
              <w:rPr>
                <w:rFonts w:hint="eastAsia" w:ascii="Times New Roman" w:hAnsi="Times New Roman" w:eastAsia="宋体" w:cs="Times New Roman"/>
                <w:szCs w:val="21"/>
              </w:rPr>
              <w:t>≥</w:t>
            </w:r>
            <w:r>
              <w:rPr>
                <w:rFonts w:ascii="Times New Roman" w:hAnsi="Times New Roman" w:eastAsia="宋体" w:cs="Times New Roman"/>
                <w:szCs w:val="21"/>
              </w:rPr>
              <w:t>1.0mm冷轧钢板；</w:t>
            </w:r>
          </w:p>
          <w:p>
            <w:pPr>
              <w:rPr>
                <w:rFonts w:ascii="Times New Roman" w:hAnsi="Times New Roman" w:eastAsia="宋体" w:cs="Times New Roman"/>
                <w:szCs w:val="21"/>
              </w:rPr>
            </w:pPr>
            <w:r>
              <w:rPr>
                <w:rFonts w:ascii="Times New Roman" w:hAnsi="Times New Roman" w:eastAsia="宋体" w:cs="Times New Roman"/>
                <w:szCs w:val="21"/>
              </w:rPr>
              <w:t>3.侧板：</w:t>
            </w:r>
            <w:r>
              <w:rPr>
                <w:rFonts w:hint="eastAsia" w:ascii="Times New Roman" w:hAnsi="Times New Roman" w:eastAsia="宋体" w:cs="Times New Roman"/>
                <w:szCs w:val="21"/>
              </w:rPr>
              <w:t>≥</w:t>
            </w:r>
            <w:r>
              <w:rPr>
                <w:rFonts w:ascii="Times New Roman" w:hAnsi="Times New Roman" w:eastAsia="宋体" w:cs="Times New Roman"/>
                <w:szCs w:val="21"/>
              </w:rPr>
              <w:t>5mm钢化玻璃；</w:t>
            </w:r>
          </w:p>
          <w:p>
            <w:pPr>
              <w:rPr>
                <w:rFonts w:ascii="Times New Roman" w:hAnsi="Times New Roman" w:eastAsia="宋体" w:cs="Times New Roman"/>
                <w:szCs w:val="21"/>
              </w:rPr>
            </w:pPr>
            <w:r>
              <w:rPr>
                <w:rFonts w:ascii="Times New Roman" w:hAnsi="Times New Roman" w:eastAsia="宋体" w:cs="Times New Roman"/>
                <w:szCs w:val="21"/>
              </w:rPr>
              <w:t>4.上下移动滑门：钢化玻璃+铝合金拉手；</w:t>
            </w:r>
          </w:p>
          <w:p>
            <w:pPr>
              <w:rPr>
                <w:rFonts w:ascii="Times New Roman" w:hAnsi="Times New Roman" w:eastAsia="宋体" w:cs="Times New Roman"/>
                <w:szCs w:val="21"/>
              </w:rPr>
            </w:pPr>
            <w:r>
              <w:rPr>
                <w:rFonts w:ascii="Times New Roman" w:hAnsi="Times New Roman" w:eastAsia="宋体" w:cs="Times New Roman"/>
                <w:szCs w:val="21"/>
              </w:rPr>
              <w:t>5.集气罩：pp风罩；</w:t>
            </w:r>
          </w:p>
          <w:p>
            <w:pPr>
              <w:rPr>
                <w:rFonts w:ascii="Times New Roman" w:hAnsi="Times New Roman" w:eastAsia="宋体" w:cs="Times New Roman"/>
                <w:szCs w:val="21"/>
              </w:rPr>
            </w:pPr>
            <w:r>
              <w:rPr>
                <w:rFonts w:ascii="Times New Roman" w:hAnsi="Times New Roman" w:eastAsia="宋体" w:cs="Times New Roman"/>
                <w:szCs w:val="21"/>
              </w:rPr>
              <w:t>6.电路控制：液晶开关（每位配1只）；</w:t>
            </w:r>
          </w:p>
          <w:p>
            <w:pPr>
              <w:rPr>
                <w:rFonts w:ascii="Times New Roman" w:hAnsi="Times New Roman" w:eastAsia="宋体" w:cs="Times New Roman"/>
                <w:szCs w:val="21"/>
              </w:rPr>
            </w:pPr>
            <w:r>
              <w:rPr>
                <w:rFonts w:ascii="Times New Roman" w:hAnsi="Times New Roman" w:eastAsia="宋体" w:cs="Times New Roman"/>
                <w:szCs w:val="21"/>
              </w:rPr>
              <w:t>7.插座：</w:t>
            </w:r>
            <w:r>
              <w:rPr>
                <w:rFonts w:hint="eastAsia" w:ascii="Times New Roman" w:hAnsi="Times New Roman" w:eastAsia="宋体" w:cs="Times New Roman"/>
                <w:szCs w:val="21"/>
              </w:rPr>
              <w:t>≥</w:t>
            </w:r>
            <w:r>
              <w:rPr>
                <w:rFonts w:ascii="Times New Roman" w:hAnsi="Times New Roman" w:eastAsia="宋体" w:cs="Times New Roman"/>
                <w:szCs w:val="21"/>
              </w:rPr>
              <w:t>10A</w:t>
            </w:r>
            <w:r>
              <w:rPr>
                <w:rFonts w:hint="eastAsia" w:ascii="Times New Roman" w:hAnsi="Times New Roman" w:eastAsia="宋体" w:cs="Times New Roman"/>
                <w:szCs w:val="21"/>
              </w:rPr>
              <w:t>，</w:t>
            </w:r>
            <w:r>
              <w:rPr>
                <w:rFonts w:ascii="Times New Roman" w:hAnsi="Times New Roman" w:eastAsia="宋体" w:cs="Times New Roman"/>
                <w:szCs w:val="21"/>
              </w:rPr>
              <w:t>防溅插座；</w:t>
            </w:r>
          </w:p>
          <w:p>
            <w:pPr>
              <w:rPr>
                <w:rFonts w:ascii="Times New Roman" w:hAnsi="Times New Roman" w:eastAsia="宋体" w:cs="Times New Roman"/>
                <w:szCs w:val="21"/>
              </w:rPr>
            </w:pPr>
            <w:r>
              <w:rPr>
                <w:rFonts w:ascii="Times New Roman" w:hAnsi="Times New Roman" w:eastAsia="宋体" w:cs="Times New Roman"/>
                <w:szCs w:val="21"/>
              </w:rPr>
              <w:t>8.照明：LED灯；</w:t>
            </w:r>
          </w:p>
          <w:p>
            <w:pPr>
              <w:rPr>
                <w:rFonts w:ascii="Times New Roman" w:hAnsi="Times New Roman" w:eastAsia="宋体" w:cs="Times New Roman"/>
                <w:szCs w:val="21"/>
              </w:rPr>
            </w:pPr>
            <w:r>
              <w:rPr>
                <w:rFonts w:ascii="Times New Roman" w:hAnsi="Times New Roman" w:eastAsia="宋体" w:cs="Times New Roman"/>
                <w:szCs w:val="21"/>
              </w:rPr>
              <w:t>9.负责桌上型通风罩的现场安装，与原有的通风系统进行并轨，并进行现场调试，含电路改造，并包含安装的所需的所有管道配件。</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7"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10</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货架</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2000</w:t>
            </w:r>
            <w:r>
              <w:rPr>
                <w:rFonts w:hint="eastAsia" w:ascii="Times New Roman" w:hAnsi="Times New Roman" w:eastAsia="宋体" w:cs="Times New Roman"/>
                <w:szCs w:val="21"/>
              </w:rPr>
              <w:t>×</w:t>
            </w:r>
            <w:r>
              <w:rPr>
                <w:rFonts w:ascii="Times New Roman" w:hAnsi="Times New Roman" w:eastAsia="宋体" w:cs="Times New Roman"/>
                <w:szCs w:val="21"/>
              </w:rPr>
              <w:t>550</w:t>
            </w:r>
            <w:r>
              <w:rPr>
                <w:rFonts w:hint="eastAsia" w:ascii="Times New Roman" w:hAnsi="Times New Roman" w:eastAsia="宋体" w:cs="Times New Roman"/>
                <w:szCs w:val="21"/>
              </w:rPr>
              <w:t>×</w:t>
            </w:r>
            <w:r>
              <w:rPr>
                <w:rFonts w:ascii="Times New Roman" w:hAnsi="Times New Roman" w:eastAsia="宋体" w:cs="Times New Roman"/>
                <w:szCs w:val="21"/>
              </w:rPr>
              <w:t>2000mm；</w:t>
            </w:r>
          </w:p>
          <w:p>
            <w:pPr>
              <w:rPr>
                <w:rFonts w:ascii="Times New Roman" w:hAnsi="Times New Roman" w:eastAsia="宋体" w:cs="Times New Roman"/>
                <w:szCs w:val="21"/>
              </w:rPr>
            </w:pPr>
            <w:r>
              <w:rPr>
                <w:rFonts w:ascii="Times New Roman" w:hAnsi="Times New Roman" w:eastAsia="宋体" w:cs="Times New Roman"/>
                <w:szCs w:val="21"/>
              </w:rPr>
              <w:t>2.全钢结构，承重型，每层</w:t>
            </w:r>
            <w:r>
              <w:rPr>
                <w:rFonts w:hint="eastAsia" w:ascii="Times New Roman" w:hAnsi="Times New Roman" w:eastAsia="宋体" w:cs="Times New Roman"/>
                <w:szCs w:val="21"/>
              </w:rPr>
              <w:t>≥</w:t>
            </w:r>
            <w:r>
              <w:rPr>
                <w:rFonts w:ascii="Times New Roman" w:hAnsi="Times New Roman" w:eastAsia="宋体" w:cs="Times New Roman"/>
                <w:szCs w:val="21"/>
              </w:rPr>
              <w:t>260kg；</w:t>
            </w:r>
          </w:p>
          <w:p>
            <w:pPr>
              <w:rPr>
                <w:rFonts w:ascii="Times New Roman" w:hAnsi="Times New Roman" w:eastAsia="宋体" w:cs="Times New Roman"/>
                <w:sz w:val="30"/>
                <w:szCs w:val="30"/>
              </w:rPr>
            </w:pPr>
            <w:r>
              <w:rPr>
                <w:rFonts w:ascii="Times New Roman" w:hAnsi="Times New Roman" w:eastAsia="宋体" w:cs="Times New Roman"/>
                <w:szCs w:val="21"/>
              </w:rPr>
              <w:t>3.负责货架的现场安装。</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3</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8"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11</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实验边台</w:t>
            </w:r>
          </w:p>
        </w:tc>
        <w:tc>
          <w:tcPr>
            <w:tcW w:w="4839" w:type="dxa"/>
            <w:vAlign w:val="center"/>
          </w:tcPr>
          <w:p>
            <w:pPr>
              <w:spacing w:line="240" w:lineRule="atLeast"/>
              <w:contextualSpacing/>
            </w:pPr>
            <w:r>
              <w:t>1.尺寸</w:t>
            </w:r>
            <w:r>
              <w:rPr>
                <w:rFonts w:hint="eastAsia"/>
              </w:rPr>
              <w:t>：</w:t>
            </w:r>
            <w:r>
              <w:rPr>
                <w:rFonts w:hint="eastAsia" w:ascii="Times New Roman" w:hAnsi="Times New Roman" w:eastAsia="宋体" w:cs="Times New Roman"/>
                <w:szCs w:val="21"/>
              </w:rPr>
              <w:t>约</w:t>
            </w:r>
            <w:r>
              <w:t>2600</w:t>
            </w:r>
            <w:r>
              <w:rPr>
                <w:rFonts w:hint="eastAsia" w:ascii="Times New Roman" w:hAnsi="Times New Roman" w:eastAsia="宋体" w:cs="Times New Roman"/>
                <w:szCs w:val="21"/>
              </w:rPr>
              <w:t>×</w:t>
            </w:r>
            <w:r>
              <w:t>750</w:t>
            </w:r>
            <w:r>
              <w:rPr>
                <w:rFonts w:hint="eastAsia" w:ascii="Times New Roman" w:hAnsi="Times New Roman" w:eastAsia="宋体" w:cs="Times New Roman"/>
                <w:szCs w:val="21"/>
              </w:rPr>
              <w:t>×</w:t>
            </w:r>
            <w:r>
              <w:t>830mm</w:t>
            </w:r>
            <w:r>
              <w:rPr>
                <w:rFonts w:hint="eastAsia"/>
              </w:rPr>
              <w:t>；</w:t>
            </w:r>
          </w:p>
          <w:p>
            <w:pPr>
              <w:spacing w:line="240" w:lineRule="atLeast"/>
              <w:contextualSpacing/>
            </w:pPr>
            <w:r>
              <w:t>2.钢木结构，颜色可选</w:t>
            </w:r>
            <w:r>
              <w:rPr>
                <w:rFonts w:hint="eastAsia"/>
              </w:rPr>
              <w:t>；</w:t>
            </w:r>
          </w:p>
          <w:p>
            <w:pPr>
              <w:spacing w:line="240" w:lineRule="atLeast"/>
              <w:contextualSpacing/>
            </w:pPr>
            <w:r>
              <w:t>3.台面采用</w:t>
            </w:r>
            <w:r>
              <w:rPr>
                <w:rFonts w:hint="eastAsia" w:ascii="Times New Roman" w:hAnsi="Times New Roman" w:eastAsia="宋体" w:cs="Times New Roman"/>
                <w:szCs w:val="21"/>
              </w:rPr>
              <w:t>≥</w:t>
            </w:r>
            <w:r>
              <w:t>12mm厚实芯理化板；双面膜</w:t>
            </w:r>
            <w:r>
              <w:rPr>
                <w:rFonts w:hint="eastAsia"/>
              </w:rPr>
              <w:t>；</w:t>
            </w:r>
          </w:p>
          <w:p>
            <w:pPr>
              <w:spacing w:line="240" w:lineRule="atLeast"/>
              <w:contextualSpacing/>
            </w:pPr>
            <w:r>
              <w:t>4.柜体采用</w:t>
            </w:r>
            <w:r>
              <w:rPr>
                <w:rFonts w:hint="eastAsia" w:ascii="Times New Roman" w:hAnsi="Times New Roman" w:eastAsia="宋体" w:cs="Times New Roman"/>
                <w:szCs w:val="21"/>
              </w:rPr>
              <w:t>≥</w:t>
            </w:r>
            <w:r>
              <w:t>18mm厚双饰面实验室专用环保板材（三聚氰胺防潮板），封边采用</w:t>
            </w:r>
            <w:r>
              <w:rPr>
                <w:rFonts w:hint="eastAsia" w:ascii="Times New Roman" w:hAnsi="Times New Roman" w:eastAsia="宋体" w:cs="Times New Roman"/>
                <w:szCs w:val="21"/>
              </w:rPr>
              <w:t>≥</w:t>
            </w:r>
            <w:r>
              <w:t>2mm厚PVC封条，自动热熔封边，防水处理；</w:t>
            </w:r>
          </w:p>
          <w:p>
            <w:pPr>
              <w:spacing w:line="240" w:lineRule="atLeast"/>
              <w:contextualSpacing/>
            </w:pPr>
            <w:r>
              <w:t>5.门板采用</w:t>
            </w:r>
            <w:r>
              <w:rPr>
                <w:rFonts w:hint="eastAsia" w:ascii="Times New Roman" w:hAnsi="Times New Roman" w:eastAsia="宋体" w:cs="Times New Roman"/>
                <w:szCs w:val="21"/>
              </w:rPr>
              <w:t>≥</w:t>
            </w:r>
            <w:r>
              <w:t>18mm厚双饰面实验室专用环保板材（三聚氰胺防潮板），封边采用</w:t>
            </w:r>
            <w:r>
              <w:rPr>
                <w:rFonts w:hint="eastAsia" w:ascii="Times New Roman" w:hAnsi="Times New Roman" w:eastAsia="宋体" w:cs="Times New Roman"/>
                <w:szCs w:val="21"/>
              </w:rPr>
              <w:t>≥</w:t>
            </w:r>
            <w:r>
              <w:t>2mm厚PVC封边，防水处理，四面对接无接缝处理；</w:t>
            </w:r>
          </w:p>
          <w:p>
            <w:pPr>
              <w:spacing w:line="240" w:lineRule="atLeast"/>
              <w:contextualSpacing/>
            </w:pPr>
            <w:r>
              <w:t>6.钢架采用</w:t>
            </w:r>
            <w:r>
              <w:rPr>
                <w:rFonts w:hint="eastAsia" w:ascii="Times New Roman" w:hAnsi="Times New Roman" w:eastAsia="宋体" w:cs="Times New Roman"/>
                <w:szCs w:val="21"/>
              </w:rPr>
              <w:t>约</w:t>
            </w:r>
            <w:r>
              <w:t>50</w:t>
            </w:r>
            <w:r>
              <w:rPr>
                <w:rFonts w:hint="eastAsia" w:ascii="Times New Roman" w:hAnsi="Times New Roman" w:eastAsia="宋体" w:cs="Times New Roman"/>
                <w:szCs w:val="21"/>
              </w:rPr>
              <w:t>×</w:t>
            </w:r>
            <w:r>
              <w:t>30</w:t>
            </w:r>
            <w:r>
              <w:rPr>
                <w:rFonts w:hint="eastAsia" w:ascii="Times New Roman" w:hAnsi="Times New Roman" w:eastAsia="宋体" w:cs="Times New Roman"/>
                <w:szCs w:val="21"/>
              </w:rPr>
              <w:t>×</w:t>
            </w:r>
            <w:r>
              <w:t>2mm厚冷轧钢材质，外经酸洗磷化均匀灰白环氧树脂喷塑处理，承重≥200kg/㎡；</w:t>
            </w:r>
          </w:p>
          <w:p>
            <w:pPr>
              <w:spacing w:line="240" w:lineRule="atLeast"/>
              <w:contextualSpacing/>
            </w:pPr>
            <w:r>
              <w:t>7.地脚：采用不锈钢调节杆与改性聚氯乙烯脚垫组合，具有防滑减震功能，可调范围30~50mm；三节超静音阻尼滑轨，带阻尼铰链。带暗扣拉手。</w:t>
            </w:r>
          </w:p>
          <w:p>
            <w:pPr>
              <w:spacing w:line="240" w:lineRule="atLeast"/>
              <w:contextualSpacing/>
            </w:pPr>
            <w:r>
              <w:t>8.负责中央实验台的现场安装，含电路改造（满足设备使用需要，并包含安装现场暖气改造。）</w:t>
            </w:r>
          </w:p>
          <w:p>
            <w:pPr>
              <w:spacing w:line="240" w:lineRule="atLeast"/>
              <w:contextualSpacing/>
              <w:rPr>
                <w:highlight w:val="none"/>
              </w:rPr>
            </w:pPr>
            <w:r>
              <w:rPr>
                <w:highlight w:val="none"/>
              </w:rPr>
              <w:t>9</w:t>
            </w:r>
            <w:r>
              <w:rPr>
                <w:rFonts w:hint="eastAsia"/>
                <w:highlight w:val="none"/>
              </w:rPr>
              <w:t xml:space="preserve">. </w:t>
            </w:r>
            <w:r>
              <w:rPr>
                <w:highlight w:val="none"/>
              </w:rPr>
              <w:t>带塔式电源</w:t>
            </w:r>
            <w:r>
              <w:rPr>
                <w:rFonts w:hint="eastAsia"/>
                <w:highlight w:val="none"/>
              </w:rPr>
              <w:t>≥</w:t>
            </w:r>
            <w:r>
              <w:rPr>
                <w:highlight w:val="none"/>
              </w:rPr>
              <w:t>4组，每组</w:t>
            </w:r>
            <w:r>
              <w:rPr>
                <w:rFonts w:hint="eastAsia"/>
                <w:highlight w:val="none"/>
              </w:rPr>
              <w:t>≥</w:t>
            </w:r>
            <w:r>
              <w:rPr>
                <w:highlight w:val="none"/>
              </w:rPr>
              <w:t>5孔插座</w:t>
            </w:r>
            <w:r>
              <w:rPr>
                <w:rFonts w:hint="eastAsia"/>
                <w:highlight w:val="none"/>
              </w:rPr>
              <w:t>，所有抽屉和柜子均带锁</w:t>
            </w:r>
            <w:r>
              <w:rPr>
                <w:highlight w:val="none"/>
              </w:rPr>
              <w:t>。</w:t>
            </w:r>
          </w:p>
          <w:p>
            <w:pPr>
              <w:spacing w:line="240" w:lineRule="atLeast"/>
              <w:contextualSpacing/>
              <w:rPr>
                <w:highlight w:val="none"/>
              </w:rPr>
            </w:pPr>
            <w:r>
              <w:rPr>
                <w:rFonts w:hint="eastAsia"/>
                <w:highlight w:val="none"/>
              </w:rPr>
              <w:t xml:space="preserve">10. </w:t>
            </w:r>
            <w:r>
              <w:rPr>
                <w:highlight w:val="none"/>
              </w:rPr>
              <w:t>其中1组</w:t>
            </w:r>
            <w:r>
              <w:rPr>
                <w:rFonts w:hint="eastAsia"/>
                <w:highlight w:val="none"/>
              </w:rPr>
              <w:t>为</w:t>
            </w:r>
            <w:r>
              <w:rPr>
                <w:highlight w:val="none"/>
              </w:rPr>
              <w:t>水池柜</w:t>
            </w:r>
            <w:r>
              <w:rPr>
                <w:rFonts w:hint="eastAsia"/>
                <w:highlight w:val="none"/>
              </w:rPr>
              <w:t>（约</w:t>
            </w:r>
            <w:r>
              <w:rPr>
                <w:highlight w:val="none"/>
              </w:rPr>
              <w:t>1300</w:t>
            </w:r>
            <w:r>
              <w:rPr>
                <w:rFonts w:hint="eastAsia" w:ascii="Times New Roman" w:hAnsi="Times New Roman" w:eastAsia="宋体" w:cs="Times New Roman"/>
                <w:szCs w:val="21"/>
                <w:highlight w:val="none"/>
              </w:rPr>
              <w:t>×</w:t>
            </w:r>
            <w:r>
              <w:rPr>
                <w:highlight w:val="none"/>
              </w:rPr>
              <w:t>750</w:t>
            </w:r>
            <w:r>
              <w:rPr>
                <w:rFonts w:hint="eastAsia" w:ascii="Times New Roman" w:hAnsi="Times New Roman" w:eastAsia="宋体" w:cs="Times New Roman"/>
                <w:szCs w:val="21"/>
                <w:highlight w:val="none"/>
              </w:rPr>
              <w:t>×</w:t>
            </w:r>
            <w:r>
              <w:rPr>
                <w:rFonts w:hint="eastAsia"/>
                <w:highlight w:val="none"/>
              </w:rPr>
              <w:t>830</w:t>
            </w:r>
            <w:r>
              <w:rPr>
                <w:highlight w:val="none"/>
              </w:rPr>
              <w:t>mm</w:t>
            </w:r>
            <w:r>
              <w:rPr>
                <w:rFonts w:hint="eastAsia"/>
                <w:highlight w:val="none"/>
              </w:rPr>
              <w:t>）与2个边台（约</w:t>
            </w:r>
            <w:r>
              <w:rPr>
                <w:highlight w:val="none"/>
              </w:rPr>
              <w:t>750</w:t>
            </w:r>
            <w:r>
              <w:rPr>
                <w:rFonts w:hint="eastAsia" w:ascii="Times New Roman" w:hAnsi="Times New Roman" w:eastAsia="宋体" w:cs="Times New Roman"/>
                <w:szCs w:val="21"/>
                <w:highlight w:val="none"/>
              </w:rPr>
              <w:t>×</w:t>
            </w:r>
            <w:r>
              <w:rPr>
                <w:highlight w:val="none"/>
              </w:rPr>
              <w:t>750</w:t>
            </w:r>
            <w:r>
              <w:rPr>
                <w:rFonts w:hint="eastAsia" w:ascii="Times New Roman" w:hAnsi="Times New Roman" w:eastAsia="宋体" w:cs="Times New Roman"/>
                <w:szCs w:val="21"/>
                <w:highlight w:val="none"/>
              </w:rPr>
              <w:t>×</w:t>
            </w:r>
            <w:r>
              <w:rPr>
                <w:highlight w:val="none"/>
              </w:rPr>
              <w:t>830mm</w:t>
            </w:r>
            <w:r>
              <w:rPr>
                <w:rFonts w:hint="eastAsia"/>
                <w:highlight w:val="none"/>
              </w:rPr>
              <w:t>）的组合，水池柜为纯黑色石英石台面，</w:t>
            </w:r>
            <w:r>
              <w:rPr>
                <w:highlight w:val="none"/>
              </w:rPr>
              <w:t>带黑</w:t>
            </w:r>
            <w:r>
              <w:rPr>
                <w:rFonts w:hint="eastAsia"/>
                <w:highlight w:val="none"/>
              </w:rPr>
              <w:t>色</w:t>
            </w:r>
            <w:r>
              <w:rPr>
                <w:highlight w:val="none"/>
              </w:rPr>
              <w:t>中号</w:t>
            </w:r>
            <w:r>
              <w:rPr>
                <w:rFonts w:hint="eastAsia"/>
                <w:highlight w:val="none"/>
              </w:rPr>
              <w:t>石英石</w:t>
            </w:r>
            <w:r>
              <w:rPr>
                <w:highlight w:val="none"/>
              </w:rPr>
              <w:t>水盆</w:t>
            </w:r>
            <w:r>
              <w:rPr>
                <w:rFonts w:hint="eastAsia"/>
                <w:highlight w:val="none"/>
              </w:rPr>
              <w:t>，配</w:t>
            </w:r>
            <w:r>
              <w:rPr>
                <w:highlight w:val="none"/>
              </w:rPr>
              <w:t>黑色全铜抽拉式水龙头。</w:t>
            </w:r>
          </w:p>
          <w:p>
            <w:pPr>
              <w:spacing w:line="240" w:lineRule="atLeast"/>
              <w:contextualSpacing/>
              <w:rPr>
                <w:highlight w:val="none"/>
              </w:rPr>
            </w:pPr>
            <w:r>
              <w:rPr>
                <w:highlight w:val="none"/>
              </w:rPr>
              <w:t>1</w:t>
            </w:r>
            <w:r>
              <w:rPr>
                <w:rFonts w:hint="eastAsia"/>
                <w:highlight w:val="none"/>
              </w:rPr>
              <w:t>1. 其中</w:t>
            </w:r>
            <w:r>
              <w:rPr>
                <w:highlight w:val="none"/>
              </w:rPr>
              <w:t>4组</w:t>
            </w:r>
            <w:r>
              <w:rPr>
                <w:rFonts w:hint="eastAsia"/>
                <w:highlight w:val="none"/>
              </w:rPr>
              <w:t>边台含抽屉</w:t>
            </w:r>
            <w:r>
              <w:rPr>
                <w:highlight w:val="none"/>
              </w:rPr>
              <w:t>，</w:t>
            </w:r>
            <w:r>
              <w:rPr>
                <w:rFonts w:hint="eastAsia"/>
                <w:highlight w:val="none"/>
              </w:rPr>
              <w:t>做活动柜体设计，活动柜体可与边台抽拉拼合，</w:t>
            </w:r>
            <w:r>
              <w:rPr>
                <w:highlight w:val="none"/>
              </w:rPr>
              <w:t>每组</w:t>
            </w:r>
            <w:r>
              <w:rPr>
                <w:rFonts w:hint="eastAsia"/>
                <w:highlight w:val="none"/>
              </w:rPr>
              <w:t>含</w:t>
            </w:r>
            <w:r>
              <w:rPr>
                <w:highlight w:val="none"/>
              </w:rPr>
              <w:t>活动柜3</w:t>
            </w:r>
            <w:r>
              <w:rPr>
                <w:rFonts w:hint="eastAsia"/>
                <w:highlight w:val="none"/>
              </w:rPr>
              <w:t>个</w:t>
            </w:r>
            <w:r>
              <w:rPr>
                <w:highlight w:val="none"/>
              </w:rPr>
              <w:t>，</w:t>
            </w:r>
            <w:r>
              <w:rPr>
                <w:rFonts w:hint="eastAsia"/>
                <w:highlight w:val="none"/>
              </w:rPr>
              <w:t>每个活动柜至少含2个抽屉。</w:t>
            </w:r>
          </w:p>
          <w:p>
            <w:pPr>
              <w:spacing w:line="240" w:lineRule="atLeast"/>
              <w:contextualSpacing/>
              <w:rPr>
                <w:highlight w:val="none"/>
              </w:rPr>
            </w:pPr>
            <w:r>
              <w:rPr>
                <w:highlight w:val="none"/>
              </w:rPr>
              <w:t>1</w:t>
            </w:r>
            <w:r>
              <w:rPr>
                <w:rFonts w:hint="eastAsia"/>
                <w:highlight w:val="none"/>
              </w:rPr>
              <w:t>2</w:t>
            </w:r>
            <w:r>
              <w:rPr>
                <w:highlight w:val="none"/>
              </w:rPr>
              <w:t>.</w:t>
            </w:r>
            <w:r>
              <w:rPr>
                <w:rFonts w:hint="eastAsia"/>
                <w:highlight w:val="none"/>
              </w:rPr>
              <w:t xml:space="preserve"> 其中1组为尺寸约</w:t>
            </w:r>
            <w:r>
              <w:rPr>
                <w:highlight w:val="none"/>
              </w:rPr>
              <w:t>2500</w:t>
            </w:r>
            <w:r>
              <w:rPr>
                <w:rFonts w:hint="eastAsia"/>
                <w:highlight w:val="none"/>
              </w:rPr>
              <w:t>×</w:t>
            </w:r>
            <w:r>
              <w:rPr>
                <w:highlight w:val="none"/>
              </w:rPr>
              <w:t>750</w:t>
            </w:r>
            <w:r>
              <w:rPr>
                <w:rFonts w:hint="eastAsia"/>
                <w:highlight w:val="none"/>
              </w:rPr>
              <w:t>×</w:t>
            </w:r>
            <w:r>
              <w:rPr>
                <w:highlight w:val="none"/>
              </w:rPr>
              <w:t>830mm</w:t>
            </w:r>
            <w:r>
              <w:rPr>
                <w:rFonts w:hint="eastAsia"/>
                <w:highlight w:val="none"/>
              </w:rPr>
              <w:t>的边台；</w:t>
            </w:r>
            <w:r>
              <w:rPr>
                <w:highlight w:val="none"/>
              </w:rPr>
              <w:t>带吊柜1套</w:t>
            </w:r>
            <w:r>
              <w:rPr>
                <w:rFonts w:hint="eastAsia"/>
                <w:highlight w:val="none"/>
              </w:rPr>
              <w:t>，</w:t>
            </w:r>
            <w:r>
              <w:rPr>
                <w:highlight w:val="none"/>
              </w:rPr>
              <w:t>尺寸：</w:t>
            </w:r>
            <w:r>
              <w:rPr>
                <w:rFonts w:hint="eastAsia"/>
                <w:highlight w:val="none"/>
              </w:rPr>
              <w:t>约</w:t>
            </w:r>
            <w:r>
              <w:rPr>
                <w:highlight w:val="none"/>
              </w:rPr>
              <w:t>2500</w:t>
            </w:r>
            <w:r>
              <w:rPr>
                <w:rFonts w:hint="eastAsia"/>
                <w:highlight w:val="none"/>
              </w:rPr>
              <w:t>×</w:t>
            </w:r>
            <w:r>
              <w:rPr>
                <w:highlight w:val="none"/>
              </w:rPr>
              <w:t>300</w:t>
            </w:r>
            <w:r>
              <w:rPr>
                <w:rFonts w:hint="eastAsia"/>
                <w:highlight w:val="none"/>
              </w:rPr>
              <w:t>×</w:t>
            </w:r>
            <w:r>
              <w:rPr>
                <w:highlight w:val="none"/>
              </w:rPr>
              <w:t>750mm。</w:t>
            </w:r>
          </w:p>
          <w:p>
            <w:pPr>
              <w:spacing w:line="240" w:lineRule="atLeast"/>
              <w:contextualSpacing/>
              <w:rPr>
                <w:highlight w:val="none"/>
              </w:rPr>
            </w:pPr>
            <w:r>
              <w:rPr>
                <w:highlight w:val="none"/>
              </w:rPr>
              <w:t>1</w:t>
            </w:r>
            <w:r>
              <w:rPr>
                <w:rFonts w:hint="eastAsia"/>
                <w:highlight w:val="none"/>
              </w:rPr>
              <w:t xml:space="preserve">4. </w:t>
            </w:r>
            <w:r>
              <w:rPr>
                <w:highlight w:val="none"/>
              </w:rPr>
              <w:t>带全木更衣柜1组</w:t>
            </w:r>
            <w:r>
              <w:rPr>
                <w:rFonts w:hint="eastAsia"/>
                <w:highlight w:val="none"/>
              </w:rPr>
              <w:t>，</w:t>
            </w:r>
            <w:r>
              <w:rPr>
                <w:highlight w:val="none"/>
              </w:rPr>
              <w:t>尺寸：</w:t>
            </w:r>
            <w:r>
              <w:rPr>
                <w:rFonts w:hint="eastAsia" w:ascii="Times New Roman" w:hAnsi="Times New Roman" w:eastAsia="宋体" w:cs="Times New Roman"/>
                <w:szCs w:val="21"/>
                <w:highlight w:val="none"/>
              </w:rPr>
              <w:t>约</w:t>
            </w:r>
            <w:r>
              <w:rPr>
                <w:highlight w:val="none"/>
              </w:rPr>
              <w:t>430</w:t>
            </w:r>
            <w:r>
              <w:rPr>
                <w:rFonts w:hint="eastAsia" w:ascii="Times New Roman" w:hAnsi="Times New Roman" w:eastAsia="宋体" w:cs="Times New Roman"/>
                <w:szCs w:val="21"/>
                <w:highlight w:val="none"/>
              </w:rPr>
              <w:t>×</w:t>
            </w:r>
            <w:r>
              <w:rPr>
                <w:highlight w:val="none"/>
              </w:rPr>
              <w:t>500</w:t>
            </w:r>
            <w:r>
              <w:rPr>
                <w:rFonts w:hint="eastAsia" w:ascii="Times New Roman" w:hAnsi="Times New Roman" w:eastAsia="宋体" w:cs="Times New Roman"/>
                <w:szCs w:val="21"/>
                <w:highlight w:val="none"/>
              </w:rPr>
              <w:t>×</w:t>
            </w:r>
            <w:r>
              <w:rPr>
                <w:highlight w:val="none"/>
              </w:rPr>
              <w:t>1600mm，带锁</w:t>
            </w:r>
            <w:r>
              <w:rPr>
                <w:rFonts w:hint="eastAsia"/>
                <w:highlight w:val="none"/>
              </w:rPr>
              <w:t>，配衣架20个</w:t>
            </w:r>
            <w:r>
              <w:rPr>
                <w:highlight w:val="none"/>
              </w:rPr>
              <w:t>。</w:t>
            </w:r>
          </w:p>
          <w:p>
            <w:pPr>
              <w:rPr>
                <w:rFonts w:ascii="Times New Roman" w:hAnsi="Times New Roman" w:cs="Times New Roman"/>
                <w:sz w:val="30"/>
                <w:szCs w:val="30"/>
              </w:rPr>
            </w:pPr>
            <w:r>
              <w:rPr>
                <w:rFonts w:hint="eastAsia"/>
                <w:highlight w:val="none"/>
              </w:rPr>
              <w:t>15</w:t>
            </w:r>
            <w:r>
              <w:rPr>
                <w:highlight w:val="none"/>
              </w:rPr>
              <w:t>.</w:t>
            </w:r>
            <w:r>
              <w:rPr>
                <w:rFonts w:hint="eastAsia"/>
                <w:highlight w:val="none"/>
              </w:rPr>
              <w:t xml:space="preserve"> 带</w:t>
            </w:r>
            <w:r>
              <w:rPr>
                <w:highlight w:val="none"/>
              </w:rPr>
              <w:t>12把</w:t>
            </w:r>
            <w:r>
              <w:rPr>
                <w:rFonts w:hint="eastAsia"/>
                <w:highlight w:val="none"/>
              </w:rPr>
              <w:t>人体工学靠背椅：</w:t>
            </w:r>
            <w:r>
              <w:rPr>
                <w:rFonts w:hint="eastAsia"/>
              </w:rPr>
              <w:t>可升降、可旋转、具有升降扶手功能，网布面料，铝合金脚，靠背可调角度≥150°，隐藏式伸缩脚踏</w:t>
            </w:r>
            <w:r>
              <w:t>。</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6</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3"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12</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中央台</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830mm（2套）1500*1200*830mm（2套）</w:t>
            </w:r>
          </w:p>
          <w:p>
            <w:pPr>
              <w:rPr>
                <w:rFonts w:ascii="Times New Roman" w:hAnsi="Times New Roman" w:eastAsia="宋体" w:cs="Times New Roman"/>
                <w:szCs w:val="21"/>
              </w:rPr>
            </w:pPr>
            <w:r>
              <w:rPr>
                <w:rFonts w:ascii="Times New Roman" w:hAnsi="Times New Roman" w:eastAsia="宋体" w:cs="Times New Roman"/>
                <w:szCs w:val="21"/>
              </w:rPr>
              <w:t>2.结构：钢木结构，颜色可选。</w:t>
            </w:r>
          </w:p>
          <w:p>
            <w:pPr>
              <w:rPr>
                <w:rFonts w:ascii="Times New Roman" w:hAnsi="Times New Roman" w:eastAsia="宋体" w:cs="Times New Roman"/>
                <w:szCs w:val="21"/>
              </w:rPr>
            </w:pPr>
            <w:r>
              <w:rPr>
                <w:rFonts w:ascii="Times New Roman" w:hAnsi="Times New Roman" w:eastAsia="宋体" w:cs="Times New Roman"/>
                <w:szCs w:val="21"/>
              </w:rPr>
              <w:t>3.台面采用</w:t>
            </w:r>
            <w:r>
              <w:rPr>
                <w:rFonts w:hint="eastAsia" w:ascii="Times New Roman" w:hAnsi="Times New Roman" w:eastAsia="宋体" w:cs="Times New Roman"/>
                <w:szCs w:val="21"/>
              </w:rPr>
              <w:t>≥</w:t>
            </w:r>
            <w:r>
              <w:rPr>
                <w:rFonts w:ascii="Times New Roman" w:hAnsi="Times New Roman" w:eastAsia="宋体" w:cs="Times New Roman"/>
                <w:szCs w:val="21"/>
              </w:rPr>
              <w:t>12mm厚实芯理化板；双面膜。</w:t>
            </w:r>
          </w:p>
          <w:p>
            <w:pPr>
              <w:rPr>
                <w:rFonts w:ascii="Times New Roman" w:hAnsi="Times New Roman" w:eastAsia="宋体" w:cs="Times New Roman"/>
                <w:szCs w:val="21"/>
              </w:rPr>
            </w:pPr>
            <w:r>
              <w:rPr>
                <w:rFonts w:ascii="Times New Roman" w:hAnsi="Times New Roman" w:eastAsia="宋体" w:cs="Times New Roman"/>
                <w:szCs w:val="21"/>
              </w:rPr>
              <w:t>4.柜体采用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18mm厚双饰面实验室专用环保板材（三聚氰胺防潮板），封边采用2mm厚PVC封条，自动热熔封边，防水处理；</w:t>
            </w:r>
          </w:p>
          <w:p>
            <w:pPr>
              <w:rPr>
                <w:rFonts w:ascii="Times New Roman" w:hAnsi="Times New Roman" w:eastAsia="宋体" w:cs="Times New Roman"/>
                <w:szCs w:val="21"/>
              </w:rPr>
            </w:pPr>
            <w:r>
              <w:rPr>
                <w:rFonts w:ascii="Times New Roman" w:hAnsi="Times New Roman" w:eastAsia="宋体" w:cs="Times New Roman"/>
                <w:szCs w:val="21"/>
              </w:rPr>
              <w:t>5.门板采用</w:t>
            </w:r>
            <w:r>
              <w:rPr>
                <w:rFonts w:hint="eastAsia" w:ascii="Times New Roman" w:hAnsi="Times New Roman" w:eastAsia="宋体" w:cs="Times New Roman"/>
                <w:szCs w:val="21"/>
              </w:rPr>
              <w:t>≥</w:t>
            </w:r>
            <w:r>
              <w:rPr>
                <w:rFonts w:ascii="Times New Roman" w:hAnsi="Times New Roman" w:eastAsia="宋体" w:cs="Times New Roman"/>
                <w:szCs w:val="21"/>
              </w:rPr>
              <w:t>18mm厚双饰面实验室专用环保板材（三聚氰胺防潮板），封边采用</w:t>
            </w:r>
            <w:r>
              <w:rPr>
                <w:rFonts w:hint="eastAsia" w:ascii="Times New Roman" w:hAnsi="Times New Roman" w:eastAsia="宋体" w:cs="Times New Roman"/>
                <w:szCs w:val="21"/>
              </w:rPr>
              <w:t>≥</w:t>
            </w:r>
            <w:r>
              <w:rPr>
                <w:rFonts w:ascii="Times New Roman" w:hAnsi="Times New Roman" w:eastAsia="宋体" w:cs="Times New Roman"/>
                <w:szCs w:val="21"/>
              </w:rPr>
              <w:t>2mm厚PVC封边，防水处理，四面对接无接缝处理；</w:t>
            </w:r>
          </w:p>
          <w:p>
            <w:pPr>
              <w:rPr>
                <w:rFonts w:ascii="Times New Roman" w:hAnsi="Times New Roman" w:eastAsia="宋体" w:cs="Times New Roman"/>
                <w:szCs w:val="21"/>
              </w:rPr>
            </w:pPr>
            <w:r>
              <w:rPr>
                <w:rFonts w:ascii="Times New Roman" w:hAnsi="Times New Roman" w:eastAsia="宋体" w:cs="Times New Roman"/>
                <w:szCs w:val="21"/>
              </w:rPr>
              <w:t>6.钢架采用</w:t>
            </w:r>
            <w:r>
              <w:rPr>
                <w:rFonts w:hint="eastAsia" w:ascii="Times New Roman" w:hAnsi="Times New Roman" w:eastAsia="宋体" w:cs="Times New Roman"/>
                <w:szCs w:val="21"/>
              </w:rPr>
              <w:t>约</w:t>
            </w:r>
            <w:r>
              <w:rPr>
                <w:rFonts w:ascii="Times New Roman" w:hAnsi="Times New Roman" w:eastAsia="宋体" w:cs="Times New Roman"/>
                <w:szCs w:val="21"/>
              </w:rPr>
              <w:t>50</w:t>
            </w:r>
            <w:r>
              <w:rPr>
                <w:rFonts w:hint="eastAsia" w:ascii="Times New Roman" w:hAnsi="Times New Roman" w:eastAsia="宋体" w:cs="Times New Roman"/>
                <w:szCs w:val="21"/>
              </w:rPr>
              <w:t>×</w:t>
            </w:r>
            <w:r>
              <w:rPr>
                <w:rFonts w:ascii="Times New Roman" w:hAnsi="Times New Roman" w:eastAsia="宋体" w:cs="Times New Roman"/>
                <w:szCs w:val="21"/>
              </w:rPr>
              <w:t>30</w:t>
            </w:r>
            <w:r>
              <w:rPr>
                <w:rFonts w:hint="eastAsia" w:ascii="Times New Roman" w:hAnsi="Times New Roman" w:eastAsia="宋体" w:cs="Times New Roman"/>
                <w:szCs w:val="21"/>
              </w:rPr>
              <w:t>×</w:t>
            </w:r>
            <w:r>
              <w:rPr>
                <w:rFonts w:ascii="Times New Roman" w:hAnsi="Times New Roman" w:eastAsia="宋体" w:cs="Times New Roman"/>
                <w:szCs w:val="21"/>
              </w:rPr>
              <w:t>2mm厚冷轧钢材质，外经酸洗磷化均匀灰白环氧树脂喷塑处理，承重≥200kg/㎡；</w:t>
            </w:r>
          </w:p>
          <w:p>
            <w:pPr>
              <w:rPr>
                <w:rFonts w:ascii="Times New Roman" w:hAnsi="Times New Roman" w:eastAsia="宋体" w:cs="Times New Roman"/>
                <w:szCs w:val="21"/>
              </w:rPr>
            </w:pPr>
            <w:r>
              <w:rPr>
                <w:rFonts w:ascii="Times New Roman" w:hAnsi="Times New Roman" w:eastAsia="宋体" w:cs="Times New Roman"/>
                <w:szCs w:val="21"/>
              </w:rPr>
              <w:t>7.地脚：采用不锈钢调节杆与改性聚氯乙烯脚垫组合，具有防滑减震功能，可调范围30~50mm；</w:t>
            </w:r>
          </w:p>
          <w:p>
            <w:pPr>
              <w:rPr>
                <w:rFonts w:ascii="Times New Roman" w:hAnsi="Times New Roman" w:eastAsia="宋体" w:cs="Times New Roman"/>
                <w:szCs w:val="21"/>
              </w:rPr>
            </w:pPr>
            <w:r>
              <w:rPr>
                <w:rFonts w:ascii="Times New Roman" w:hAnsi="Times New Roman" w:eastAsia="宋体" w:cs="Times New Roman"/>
                <w:szCs w:val="21"/>
              </w:rPr>
              <w:t>8.负责中央实验台的现场安装，含电路改造（满足现在所有设备使用要求），并包含安装的所有配件。</w:t>
            </w:r>
          </w:p>
          <w:p>
            <w:pPr>
              <w:rPr>
                <w:rFonts w:ascii="Times New Roman" w:hAnsi="Times New Roman" w:eastAsia="宋体" w:cs="Times New Roman"/>
                <w:szCs w:val="21"/>
              </w:rPr>
            </w:pPr>
            <w:r>
              <w:rPr>
                <w:rFonts w:ascii="Times New Roman" w:hAnsi="Times New Roman" w:eastAsia="宋体" w:cs="Times New Roman"/>
                <w:szCs w:val="21"/>
              </w:rPr>
              <w:t>9、三节超静音阻尼滑轨，带阻尼铰链。明拉手。带锁。</w:t>
            </w:r>
          </w:p>
          <w:p>
            <w:pPr>
              <w:rPr>
                <w:rFonts w:ascii="Times New Roman" w:hAnsi="Times New Roman" w:eastAsia="宋体" w:cs="Times New Roman"/>
                <w:szCs w:val="21"/>
              </w:rPr>
            </w:pPr>
            <w:r>
              <w:rPr>
                <w:rFonts w:ascii="Times New Roman" w:hAnsi="Times New Roman" w:eastAsia="宋体" w:cs="Times New Roman"/>
                <w:szCs w:val="21"/>
              </w:rPr>
              <w:t>10、带塔式电源</w:t>
            </w:r>
            <w:r>
              <w:rPr>
                <w:rFonts w:hint="eastAsia" w:ascii="Times New Roman" w:hAnsi="Times New Roman" w:eastAsia="宋体" w:cs="Times New Roman"/>
                <w:szCs w:val="21"/>
              </w:rPr>
              <w:t>≥</w:t>
            </w:r>
            <w:r>
              <w:rPr>
                <w:rFonts w:ascii="Times New Roman" w:hAnsi="Times New Roman" w:eastAsia="宋体" w:cs="Times New Roman"/>
                <w:szCs w:val="21"/>
              </w:rPr>
              <w:t>16组，每组</w:t>
            </w:r>
            <w:r>
              <w:rPr>
                <w:rFonts w:hint="eastAsia" w:ascii="Times New Roman" w:hAnsi="Times New Roman" w:eastAsia="宋体" w:cs="Times New Roman"/>
                <w:szCs w:val="21"/>
              </w:rPr>
              <w:t>≥</w:t>
            </w:r>
            <w:r>
              <w:rPr>
                <w:rFonts w:ascii="Times New Roman" w:hAnsi="Times New Roman" w:eastAsia="宋体" w:cs="Times New Roman"/>
                <w:szCs w:val="21"/>
              </w:rPr>
              <w:t>5孔插座。</w:t>
            </w:r>
          </w:p>
          <w:p>
            <w:pPr>
              <w:rPr>
                <w:rFonts w:ascii="Times New Roman" w:hAnsi="Times New Roman" w:eastAsia="宋体" w:cs="Times New Roman"/>
                <w:sz w:val="30"/>
                <w:szCs w:val="30"/>
              </w:rPr>
            </w:pPr>
            <w:r>
              <w:rPr>
                <w:rFonts w:ascii="Times New Roman" w:hAnsi="Times New Roman" w:eastAsia="宋体" w:cs="Times New Roman"/>
                <w:szCs w:val="21"/>
              </w:rPr>
              <w:t>11、其中带钢玻试剂架</w:t>
            </w:r>
            <w:r>
              <w:rPr>
                <w:rFonts w:hint="eastAsia" w:ascii="Times New Roman" w:hAnsi="Times New Roman" w:eastAsia="宋体" w:cs="Times New Roman"/>
                <w:szCs w:val="21"/>
              </w:rPr>
              <w:t>约</w:t>
            </w: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400</w:t>
            </w:r>
            <w:r>
              <w:rPr>
                <w:rFonts w:hint="eastAsia" w:ascii="Times New Roman" w:hAnsi="Times New Roman" w:eastAsia="宋体" w:cs="Times New Roman"/>
                <w:szCs w:val="21"/>
              </w:rPr>
              <w:t>×</w:t>
            </w:r>
            <w:r>
              <w:rPr>
                <w:rFonts w:ascii="Times New Roman" w:hAnsi="Times New Roman" w:eastAsia="宋体" w:cs="Times New Roman"/>
                <w:szCs w:val="21"/>
              </w:rPr>
              <w:t>750</w:t>
            </w:r>
            <w:r>
              <w:t>mm</w:t>
            </w:r>
            <w:r>
              <w:rPr>
                <w:rFonts w:ascii="Times New Roman" w:hAnsi="Times New Roman" w:eastAsia="宋体" w:cs="Times New Roman"/>
                <w:szCs w:val="21"/>
              </w:rPr>
              <w:t>，1组。</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4</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3"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13</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试剂柜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尺寸：</w:t>
            </w:r>
            <w:r>
              <w:rPr>
                <w:rFonts w:hint="eastAsia" w:ascii="Times New Roman" w:hAnsi="Times New Roman" w:eastAsia="宋体" w:cs="Times New Roman"/>
                <w:szCs w:val="21"/>
              </w:rPr>
              <w:t>约</w:t>
            </w:r>
            <w:r>
              <w:rPr>
                <w:rFonts w:ascii="Times New Roman" w:hAnsi="Times New Roman" w:eastAsia="宋体" w:cs="Times New Roman"/>
                <w:szCs w:val="21"/>
              </w:rPr>
              <w:t>900</w:t>
            </w:r>
            <w:r>
              <w:rPr>
                <w:rFonts w:hint="eastAsia" w:ascii="Times New Roman" w:hAnsi="Times New Roman" w:eastAsia="宋体" w:cs="Times New Roman"/>
                <w:szCs w:val="21"/>
              </w:rPr>
              <w:t>×</w:t>
            </w:r>
            <w:r>
              <w:rPr>
                <w:rFonts w:ascii="Times New Roman" w:hAnsi="Times New Roman" w:eastAsia="宋体" w:cs="Times New Roman"/>
                <w:szCs w:val="21"/>
              </w:rPr>
              <w:t>450</w:t>
            </w:r>
            <w:r>
              <w:rPr>
                <w:rFonts w:hint="eastAsia" w:ascii="Times New Roman" w:hAnsi="Times New Roman" w:eastAsia="宋体" w:cs="Times New Roman"/>
                <w:szCs w:val="21"/>
              </w:rPr>
              <w:t>×</w:t>
            </w:r>
            <w:r>
              <w:rPr>
                <w:rFonts w:ascii="Times New Roman" w:hAnsi="Times New Roman" w:eastAsia="宋体" w:cs="Times New Roman"/>
                <w:szCs w:val="21"/>
              </w:rPr>
              <w:t>1900 mm</w:t>
            </w:r>
          </w:p>
          <w:p>
            <w:pPr>
              <w:rPr>
                <w:rFonts w:ascii="Times New Roman" w:hAnsi="Times New Roman" w:eastAsia="宋体" w:cs="Times New Roman"/>
                <w:szCs w:val="21"/>
              </w:rPr>
            </w:pPr>
            <w:r>
              <w:rPr>
                <w:rFonts w:ascii="Times New Roman" w:hAnsi="Times New Roman" w:eastAsia="宋体" w:cs="Times New Roman"/>
                <w:szCs w:val="21"/>
              </w:rPr>
              <w:t>1.柜体：完全采用瓷白色</w:t>
            </w:r>
            <w:r>
              <w:rPr>
                <w:rFonts w:hint="eastAsia" w:ascii="Times New Roman" w:hAnsi="Times New Roman" w:eastAsia="宋体" w:cs="Times New Roman"/>
                <w:szCs w:val="21"/>
              </w:rPr>
              <w:t>≥</w:t>
            </w:r>
            <w:r>
              <w:rPr>
                <w:rFonts w:ascii="Times New Roman" w:hAnsi="Times New Roman" w:eastAsia="宋体" w:cs="Times New Roman"/>
                <w:szCs w:val="21"/>
              </w:rPr>
              <w:t>8mm</w:t>
            </w:r>
            <w:r>
              <w:rPr>
                <w:rFonts w:hint="eastAsia" w:ascii="Times New Roman" w:hAnsi="Times New Roman" w:eastAsia="宋体" w:cs="Times New Roman"/>
                <w:szCs w:val="21"/>
              </w:rPr>
              <w:t xml:space="preserve"> </w:t>
            </w:r>
            <w:r>
              <w:rPr>
                <w:rFonts w:ascii="Times New Roman" w:hAnsi="Times New Roman" w:eastAsia="宋体" w:cs="Times New Roman"/>
                <w:szCs w:val="21"/>
              </w:rPr>
              <w:t>PP（聚丙烯）板材，经同色焊条无缝手工焊接处理，保证柜体之坚固及密封性，具有卓越的耐腐蚀性（上顶需封平，不带上岩）。</w:t>
            </w:r>
          </w:p>
          <w:p>
            <w:pPr>
              <w:rPr>
                <w:rFonts w:ascii="Times New Roman" w:hAnsi="Times New Roman" w:eastAsia="宋体" w:cs="Times New Roman"/>
                <w:szCs w:val="21"/>
              </w:rPr>
            </w:pPr>
            <w:r>
              <w:rPr>
                <w:rFonts w:ascii="Times New Roman" w:hAnsi="Times New Roman" w:eastAsia="宋体" w:cs="Times New Roman"/>
                <w:szCs w:val="21"/>
              </w:rPr>
              <w:t>2.柜门：采用同质PP板制作，门板折弯厚度</w:t>
            </w:r>
            <w:r>
              <w:rPr>
                <w:rFonts w:hint="eastAsia" w:ascii="Times New Roman" w:hAnsi="Times New Roman" w:eastAsia="宋体" w:cs="Times New Roman"/>
                <w:szCs w:val="21"/>
              </w:rPr>
              <w:t>≥</w:t>
            </w:r>
            <w:r>
              <w:rPr>
                <w:rFonts w:ascii="Times New Roman" w:hAnsi="Times New Roman" w:eastAsia="宋体" w:cs="Times New Roman"/>
                <w:szCs w:val="21"/>
              </w:rPr>
              <w:t>16mm。</w:t>
            </w:r>
          </w:p>
          <w:p>
            <w:pPr>
              <w:rPr>
                <w:rFonts w:ascii="Times New Roman" w:hAnsi="Times New Roman" w:eastAsia="宋体" w:cs="Times New Roman"/>
                <w:szCs w:val="21"/>
              </w:rPr>
            </w:pPr>
            <w:r>
              <w:rPr>
                <w:rFonts w:ascii="Times New Roman" w:hAnsi="Times New Roman" w:eastAsia="宋体" w:cs="Times New Roman"/>
                <w:szCs w:val="21"/>
              </w:rPr>
              <w:t>3.视窗：采用</w:t>
            </w:r>
            <w:r>
              <w:rPr>
                <w:rFonts w:hint="eastAsia" w:ascii="Times New Roman" w:hAnsi="Times New Roman" w:eastAsia="宋体" w:cs="Times New Roman"/>
                <w:szCs w:val="21"/>
              </w:rPr>
              <w:t>≥</w:t>
            </w:r>
            <w:r>
              <w:rPr>
                <w:rFonts w:ascii="Times New Roman" w:hAnsi="Times New Roman" w:eastAsia="宋体" w:cs="Times New Roman"/>
                <w:szCs w:val="21"/>
              </w:rPr>
              <w:t>5mm钢化玻璃制作。</w:t>
            </w:r>
          </w:p>
          <w:p>
            <w:pPr>
              <w:rPr>
                <w:rFonts w:ascii="Times New Roman" w:hAnsi="Times New Roman" w:eastAsia="宋体" w:cs="Times New Roman"/>
                <w:szCs w:val="21"/>
              </w:rPr>
            </w:pPr>
            <w:r>
              <w:rPr>
                <w:rFonts w:ascii="Times New Roman" w:hAnsi="Times New Roman" w:eastAsia="宋体" w:cs="Times New Roman"/>
                <w:szCs w:val="21"/>
              </w:rPr>
              <w:t>4.层板：采用瓷白色PP（聚丙烯）板材，四周有立边，里边整体焊接成型。每层承重</w:t>
            </w:r>
            <w:r>
              <w:rPr>
                <w:rFonts w:hint="eastAsia" w:ascii="Times New Roman" w:hAnsi="Times New Roman" w:eastAsia="宋体" w:cs="Times New Roman"/>
                <w:szCs w:val="21"/>
              </w:rPr>
              <w:t>≥</w:t>
            </w:r>
            <w:r>
              <w:rPr>
                <w:rFonts w:ascii="Times New Roman" w:hAnsi="Times New Roman" w:eastAsia="宋体" w:cs="Times New Roman"/>
                <w:szCs w:val="21"/>
              </w:rPr>
              <w:t>50KG。</w:t>
            </w:r>
          </w:p>
          <w:p>
            <w:pPr>
              <w:rPr>
                <w:rFonts w:ascii="Times New Roman" w:hAnsi="Times New Roman" w:eastAsia="宋体" w:cs="Times New Roman"/>
                <w:szCs w:val="21"/>
              </w:rPr>
            </w:pPr>
            <w:r>
              <w:rPr>
                <w:rFonts w:ascii="Times New Roman" w:hAnsi="Times New Roman" w:eastAsia="宋体" w:cs="Times New Roman"/>
                <w:szCs w:val="21"/>
              </w:rPr>
              <w:t>5.门把手：PP材料制成。（颜色可选：湛蓝，磁白）</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6.门铰链：PP材质制成。（颜色可选：湛蓝，磁白）带双锁。</w:t>
            </w:r>
          </w:p>
          <w:p>
            <w:pPr>
              <w:rPr>
                <w:rFonts w:ascii="Times New Roman" w:hAnsi="Times New Roman" w:eastAsia="宋体" w:cs="Times New Roman"/>
                <w:szCs w:val="21"/>
              </w:rPr>
            </w:pPr>
            <w:r>
              <w:rPr>
                <w:rFonts w:ascii="Times New Roman" w:hAnsi="Times New Roman" w:eastAsia="宋体" w:cs="Times New Roman"/>
                <w:szCs w:val="21"/>
              </w:rPr>
              <w:t>7.螺丝：PP或304不锈钢材质。</w:t>
            </w:r>
          </w:p>
          <w:p>
            <w:pPr>
              <w:jc w:val="left"/>
              <w:rPr>
                <w:rFonts w:ascii="Times New Roman" w:hAnsi="Times New Roman" w:eastAsia="宋体" w:cs="Times New Roman"/>
                <w:sz w:val="30"/>
                <w:szCs w:val="30"/>
              </w:rPr>
            </w:pPr>
            <w:r>
              <w:rPr>
                <w:rFonts w:ascii="Times New Roman" w:hAnsi="Times New Roman" w:eastAsia="宋体" w:cs="Times New Roman"/>
                <w:szCs w:val="21"/>
              </w:rPr>
              <w:t>8</w:t>
            </w:r>
            <w:r>
              <w:rPr>
                <w:rFonts w:hint="eastAsia" w:ascii="Times New Roman" w:hAnsi="Times New Roman" w:eastAsia="宋体" w:cs="Times New Roman"/>
                <w:szCs w:val="21"/>
              </w:rPr>
              <w:t>.</w:t>
            </w:r>
            <w:r>
              <w:rPr>
                <w:rFonts w:ascii="Times New Roman" w:hAnsi="Times New Roman" w:eastAsia="宋体" w:cs="Times New Roman"/>
                <w:szCs w:val="21"/>
              </w:rPr>
              <w:t>顶板设有连接管道排风孔，中隔板后边有通风孔便于下部柜体气体排出，下门板有百叶孔补风。带管道排风系统。带定时控制器。</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2</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6"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14</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通风柜</w:t>
            </w:r>
          </w:p>
        </w:tc>
        <w:tc>
          <w:tcPr>
            <w:tcW w:w="4839" w:type="dxa"/>
            <w:vAlign w:val="center"/>
          </w:tcPr>
          <w:p>
            <w:pPr>
              <w:rPr>
                <w:rFonts w:ascii="Times New Roman" w:hAnsi="Times New Roman" w:eastAsia="宋体" w:cs="Times New Roman"/>
                <w:szCs w:val="21"/>
              </w:rPr>
            </w:pPr>
            <w:r>
              <w:rPr>
                <w:rFonts w:ascii="Times New Roman" w:hAnsi="Times New Roman" w:eastAsia="宋体" w:cs="Times New Roman"/>
                <w:szCs w:val="21"/>
              </w:rPr>
              <w:t>1.尺寸：</w:t>
            </w:r>
            <w:r>
              <w:rPr>
                <w:rFonts w:hint="eastAsia" w:ascii="Times New Roman" w:hAnsi="Times New Roman" w:eastAsia="宋体" w:cs="Times New Roman"/>
                <w:szCs w:val="21"/>
              </w:rPr>
              <w:t>约</w:t>
            </w:r>
            <w:r>
              <w:rPr>
                <w:rFonts w:ascii="Times New Roman" w:hAnsi="Times New Roman" w:eastAsia="宋体" w:cs="Times New Roman"/>
                <w:szCs w:val="21"/>
              </w:rPr>
              <w:t>2000</w:t>
            </w:r>
            <w:r>
              <w:rPr>
                <w:rFonts w:hint="eastAsia" w:ascii="Times New Roman" w:hAnsi="Times New Roman" w:eastAsia="宋体" w:cs="Times New Roman"/>
                <w:szCs w:val="21"/>
              </w:rPr>
              <w:t>×</w:t>
            </w:r>
            <w:r>
              <w:rPr>
                <w:rFonts w:ascii="Times New Roman" w:hAnsi="Times New Roman" w:eastAsia="宋体" w:cs="Times New Roman"/>
                <w:szCs w:val="21"/>
              </w:rPr>
              <w:t>850</w:t>
            </w:r>
            <w:r>
              <w:rPr>
                <w:rFonts w:hint="eastAsia" w:ascii="Times New Roman" w:hAnsi="Times New Roman" w:eastAsia="宋体" w:cs="Times New Roman"/>
                <w:szCs w:val="21"/>
              </w:rPr>
              <w:t>×</w:t>
            </w:r>
            <w:r>
              <w:rPr>
                <w:rFonts w:ascii="Times New Roman" w:hAnsi="Times New Roman" w:eastAsia="宋体" w:cs="Times New Roman"/>
                <w:szCs w:val="21"/>
              </w:rPr>
              <w:t>2350mm；</w:t>
            </w:r>
          </w:p>
          <w:p>
            <w:pPr>
              <w:rPr>
                <w:rFonts w:ascii="Times New Roman" w:hAnsi="Times New Roman" w:eastAsia="宋体" w:cs="Times New Roman"/>
                <w:szCs w:val="21"/>
              </w:rPr>
            </w:pPr>
            <w:r>
              <w:rPr>
                <w:rFonts w:ascii="Times New Roman" w:hAnsi="Times New Roman" w:eastAsia="宋体" w:cs="Times New Roman"/>
                <w:szCs w:val="21"/>
              </w:rPr>
              <w:t>2.全钢结构，</w:t>
            </w:r>
            <w:r>
              <w:rPr>
                <w:rFonts w:hint="eastAsia" w:ascii="Times New Roman" w:hAnsi="Times New Roman" w:eastAsia="宋体" w:cs="Times New Roman"/>
                <w:szCs w:val="21"/>
              </w:rPr>
              <w:t>≥</w:t>
            </w:r>
            <w:r>
              <w:rPr>
                <w:rFonts w:ascii="Times New Roman" w:hAnsi="Times New Roman" w:eastAsia="宋体" w:cs="Times New Roman"/>
                <w:szCs w:val="21"/>
              </w:rPr>
              <w:t>1.2mm冷轧钢板；</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12mm实芯理化板台面，还电源插座</w:t>
            </w:r>
            <w:r>
              <w:rPr>
                <w:rFonts w:hint="eastAsia" w:ascii="Times New Roman" w:hAnsi="Times New Roman" w:eastAsia="宋体" w:cs="Times New Roman"/>
                <w:szCs w:val="21"/>
              </w:rPr>
              <w:t>≥</w:t>
            </w:r>
            <w:r>
              <w:rPr>
                <w:rFonts w:ascii="Times New Roman" w:hAnsi="Times New Roman" w:eastAsia="宋体" w:cs="Times New Roman"/>
                <w:szCs w:val="21"/>
              </w:rPr>
              <w:t>4组；</w:t>
            </w:r>
          </w:p>
          <w:p>
            <w:pPr>
              <w:rPr>
                <w:rFonts w:ascii="Times New Roman" w:hAnsi="Times New Roman" w:eastAsia="宋体" w:cs="Times New Roman"/>
                <w:szCs w:val="21"/>
              </w:rPr>
            </w:pPr>
            <w:r>
              <w:rPr>
                <w:rFonts w:ascii="Times New Roman" w:hAnsi="Times New Roman" w:eastAsia="宋体" w:cs="Times New Roman"/>
                <w:szCs w:val="21"/>
              </w:rPr>
              <w:t>4.带水槽龙头（材质同上水盆龙头要求）；</w:t>
            </w:r>
          </w:p>
          <w:p>
            <w:pPr>
              <w:rPr>
                <w:rFonts w:ascii="Times New Roman" w:hAnsi="Times New Roman" w:eastAsia="宋体" w:cs="Times New Roman"/>
                <w:szCs w:val="21"/>
              </w:rPr>
            </w:pPr>
            <w:r>
              <w:rPr>
                <w:rFonts w:ascii="Times New Roman" w:hAnsi="Times New Roman" w:eastAsia="宋体" w:cs="Times New Roman"/>
                <w:szCs w:val="21"/>
              </w:rPr>
              <w:t>5.带试剂钢架；</w:t>
            </w:r>
          </w:p>
          <w:p>
            <w:pPr>
              <w:rPr>
                <w:rFonts w:ascii="Times New Roman" w:hAnsi="Times New Roman" w:eastAsia="宋体" w:cs="Times New Roman"/>
                <w:szCs w:val="21"/>
              </w:rPr>
            </w:pPr>
            <w:r>
              <w:rPr>
                <w:rFonts w:ascii="Times New Roman" w:hAnsi="Times New Roman" w:eastAsia="宋体" w:cs="Times New Roman"/>
                <w:szCs w:val="21"/>
              </w:rPr>
              <w:t>6.负责通风柜的现场安装（含上下水改装和电路改造），包含所有的安装配件，并负责原有实验台的搬运、拆卸和垃圾清运。</w:t>
            </w:r>
          </w:p>
          <w:p>
            <w:pP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下柜体钢木结构，带抽届设计。</w:t>
            </w:r>
          </w:p>
          <w:p>
            <w:pPr>
              <w:rPr>
                <w:rFonts w:ascii="Times New Roman" w:hAnsi="Times New Roman" w:eastAsia="宋体" w:cs="Times New Roman"/>
                <w:szCs w:val="21"/>
              </w:rPr>
            </w:pPr>
            <w:r>
              <w:rPr>
                <w:rFonts w:hint="eastAsia" w:ascii="Times New Roman" w:hAnsi="Times New Roman" w:eastAsia="宋体" w:cs="Times New Roman"/>
                <w:szCs w:val="21"/>
              </w:rPr>
              <w:t xml:space="preserve">8. </w:t>
            </w:r>
            <w:r>
              <w:rPr>
                <w:rFonts w:ascii="Times New Roman" w:hAnsi="Times New Roman" w:eastAsia="宋体" w:cs="Times New Roman"/>
                <w:szCs w:val="21"/>
              </w:rPr>
              <w:t>五金配件环氧树脂喷粉防腐处理。三节超静音阻尼滑轨，带阻尼铰链。</w:t>
            </w:r>
          </w:p>
        </w:tc>
        <w:tc>
          <w:tcPr>
            <w:tcW w:w="801" w:type="dxa"/>
            <w:vAlign w:val="center"/>
          </w:tcPr>
          <w:p>
            <w:pPr>
              <w:jc w:val="center"/>
              <w:rPr>
                <w:rFonts w:ascii="Times New Roman" w:hAnsi="Times New Roman" w:eastAsia="宋体" w:cs="Times New Roman"/>
                <w:sz w:val="30"/>
                <w:szCs w:val="30"/>
              </w:rPr>
            </w:pPr>
            <w:r>
              <w:rPr>
                <w:rFonts w:hint="eastAsia" w:ascii="Times New Roman" w:hAnsi="Times New Roman" w:eastAsia="宋体" w:cs="Times New Roman"/>
                <w:szCs w:val="21"/>
              </w:rPr>
              <w:t>1套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7" w:hRule="atLeast"/>
        </w:trPr>
        <w:tc>
          <w:tcPr>
            <w:tcW w:w="547"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15</w:t>
            </w:r>
          </w:p>
        </w:tc>
        <w:tc>
          <w:tcPr>
            <w:tcW w:w="115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通风系统</w:t>
            </w:r>
          </w:p>
        </w:tc>
        <w:tc>
          <w:tcPr>
            <w:tcW w:w="483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PP材质离心风机4</w:t>
            </w:r>
            <w:r>
              <w:rPr>
                <w:rFonts w:hint="eastAsia" w:ascii="Times New Roman" w:hAnsi="Times New Roman" w:eastAsia="宋体" w:cs="Times New Roman"/>
                <w:szCs w:val="21"/>
              </w:rPr>
              <w:t>40</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73</w:t>
            </w:r>
            <w:r>
              <w:rPr>
                <w:rFonts w:hint="eastAsia" w:ascii="Times New Roman" w:hAnsi="Times New Roman" w:eastAsia="宋体" w:cs="Times New Roman"/>
                <w:szCs w:val="21"/>
              </w:rPr>
              <w:t>0</w:t>
            </w:r>
            <w:r>
              <w:rPr>
                <w:rFonts w:ascii="Times New Roman" w:hAnsi="Times New Roman" w:eastAsia="宋体" w:cs="Times New Roman"/>
                <w:szCs w:val="21"/>
              </w:rPr>
              <w:t>0</w:t>
            </w:r>
            <w:r>
              <w:rPr>
                <w:rFonts w:hint="eastAsia" w:ascii="Times New Roman" w:hAnsi="Times New Roman" w:eastAsia="宋体" w:cs="Times New Roman"/>
                <w:szCs w:val="21"/>
              </w:rPr>
              <w:t>m</w:t>
            </w:r>
            <w:r>
              <w:rPr>
                <w:rFonts w:hint="eastAsia" w:ascii="Times New Roman" w:hAnsi="Times New Roman" w:eastAsia="宋体" w:cs="Times New Roman"/>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h</w:t>
            </w:r>
            <w:r>
              <w:rPr>
                <w:rFonts w:ascii="Times New Roman" w:hAnsi="Times New Roman" w:eastAsia="宋体" w:cs="Times New Roman"/>
                <w:szCs w:val="21"/>
              </w:rPr>
              <w:t>，管道采用PVC 250管</w:t>
            </w:r>
          </w:p>
          <w:p>
            <w:pPr>
              <w:rPr>
                <w:rFonts w:ascii="Times New Roman" w:hAnsi="Times New Roman" w:eastAsia="宋体" w:cs="Times New Roman"/>
                <w:szCs w:val="21"/>
              </w:rPr>
            </w:pPr>
            <w:r>
              <w:rPr>
                <w:rFonts w:ascii="Times New Roman" w:hAnsi="Times New Roman" w:eastAsia="宋体" w:cs="Times New Roman"/>
                <w:szCs w:val="21"/>
              </w:rPr>
              <w:t>道（楼顶风机）带电子风阀。含安装，带控制器。</w:t>
            </w:r>
          </w:p>
        </w:tc>
        <w:tc>
          <w:tcPr>
            <w:tcW w:w="801"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2</w:t>
            </w:r>
            <w:r>
              <w:rPr>
                <w:rFonts w:hint="eastAsia" w:ascii="Times New Roman" w:hAnsi="Times New Roman" w:eastAsia="宋体" w:cs="Times New Roman"/>
                <w:szCs w:val="21"/>
              </w:rPr>
              <w:t>套</w:t>
            </w:r>
          </w:p>
        </w:tc>
        <w:tc>
          <w:tcPr>
            <w:tcW w:w="1126" w:type="dxa"/>
            <w:vAlign w:val="center"/>
          </w:tcPr>
          <w:p>
            <w:pPr>
              <w:jc w:val="center"/>
              <w:rPr>
                <w:rFonts w:ascii="Times New Roman" w:hAnsi="Times New Roman" w:eastAsia="宋体" w:cs="Times New Roman"/>
                <w:sz w:val="30"/>
                <w:szCs w:val="30"/>
              </w:rPr>
            </w:pPr>
            <w:r>
              <w:rPr>
                <w:rFonts w:ascii="Times New Roman" w:hAnsi="Times New Roman" w:eastAsia="宋体" w:cs="Times New Roman"/>
                <w:szCs w:val="21"/>
              </w:rPr>
              <w:t>新增</w:t>
            </w:r>
          </w:p>
        </w:tc>
      </w:tr>
    </w:tbl>
    <w:p>
      <w:pPr>
        <w:rPr>
          <w:rFonts w:asciiTheme="minorEastAsia" w:hAnsiTheme="minorEastAsia" w:cstheme="minorEastAsia"/>
          <w:sz w:val="36"/>
          <w:szCs w:val="36"/>
        </w:rPr>
      </w:pPr>
      <w:bookmarkStart w:id="94" w:name="_Toc19450"/>
      <w:r>
        <w:rPr>
          <w:rFonts w:hint="eastAsia" w:asciiTheme="minorEastAsia" w:hAnsiTheme="minorEastAsia" w:cstheme="minorEastAsia"/>
          <w:sz w:val="36"/>
          <w:szCs w:val="36"/>
        </w:rPr>
        <w:br w:type="page"/>
      </w:r>
    </w:p>
    <w:p>
      <w:pPr>
        <w:pStyle w:val="3"/>
        <w:spacing w:before="381" w:beforeLines="100" w:after="571" w:afterLines="150" w:line="500" w:lineRule="exact"/>
        <w:jc w:val="center"/>
        <w:rPr>
          <w:rFonts w:asciiTheme="minorEastAsia" w:hAnsiTheme="minorEastAsia" w:eastAsiaTheme="minorEastAsia" w:cstheme="minorEastAsia"/>
          <w:sz w:val="36"/>
          <w:szCs w:val="36"/>
          <w:lang w:val="en-US"/>
        </w:rPr>
      </w:pPr>
      <w:r>
        <w:rPr>
          <w:rFonts w:hint="eastAsia" w:asciiTheme="minorEastAsia" w:hAnsiTheme="minorEastAsia" w:eastAsiaTheme="minorEastAsia" w:cstheme="minorEastAsia"/>
          <w:sz w:val="36"/>
          <w:szCs w:val="36"/>
          <w:lang w:val="en-US"/>
        </w:rPr>
        <w:t xml:space="preserve">第六部分 </w:t>
      </w:r>
      <w:r>
        <w:rPr>
          <w:rFonts w:hint="eastAsia" w:asciiTheme="minorEastAsia" w:hAnsiTheme="minorEastAsia" w:eastAsiaTheme="minorEastAsia" w:cstheme="minorEastAsia"/>
          <w:sz w:val="36"/>
          <w:szCs w:val="36"/>
        </w:rPr>
        <w:t>合同条款</w:t>
      </w:r>
      <w:bookmarkEnd w:id="93"/>
      <w:r>
        <w:rPr>
          <w:rFonts w:hint="eastAsia" w:asciiTheme="minorEastAsia" w:hAnsiTheme="minorEastAsia" w:eastAsiaTheme="minorEastAsia" w:cstheme="minorEastAsia"/>
          <w:sz w:val="36"/>
          <w:szCs w:val="36"/>
        </w:rPr>
        <w:t>（参考合同）</w:t>
      </w:r>
      <w:bookmarkEnd w:id="94"/>
    </w:p>
    <w:p>
      <w:pPr>
        <w:wordWrap w:val="0"/>
        <w:adjustRightInd w:val="0"/>
        <w:snapToGrid w:val="0"/>
        <w:spacing w:line="360" w:lineRule="auto"/>
        <w:jc w:val="right"/>
        <w:rPr>
          <w:rFonts w:asciiTheme="minorEastAsia" w:hAnsiTheme="minorEastAsia" w:cstheme="minorEastAsia"/>
          <w:szCs w:val="21"/>
        </w:rPr>
      </w:pPr>
    </w:p>
    <w:p>
      <w:pPr>
        <w:adjustRightInd w:val="0"/>
        <w:snapToGrid w:val="0"/>
        <w:spacing w:line="360" w:lineRule="auto"/>
        <w:ind w:firstLine="479" w:firstLineChars="196"/>
        <w:rPr>
          <w:rFonts w:asciiTheme="minorEastAsia" w:hAnsiTheme="minorEastAsia" w:cstheme="minorEastAsia"/>
          <w:b/>
          <w:bCs/>
          <w:sz w:val="24"/>
          <w:szCs w:val="24"/>
        </w:rPr>
      </w:pPr>
      <w:bookmarkStart w:id="95" w:name="_Toc398_WPSOffice_Level1"/>
      <w:bookmarkStart w:id="96" w:name="_Toc10117_WPSOffice_Level1"/>
      <w:bookmarkStart w:id="97" w:name="_Toc25596_WPSOffice_Level1"/>
      <w:r>
        <w:rPr>
          <w:rFonts w:hint="eastAsia" w:asciiTheme="minorEastAsia" w:hAnsiTheme="minorEastAsia" w:cstheme="minorEastAsia"/>
          <w:b/>
          <w:bCs/>
          <w:sz w:val="24"/>
          <w:szCs w:val="24"/>
        </w:rPr>
        <w:t>1.术语定义</w:t>
      </w:r>
      <w:bookmarkEnd w:id="95"/>
      <w:bookmarkEnd w:id="96"/>
      <w:bookmarkEnd w:id="97"/>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本政府采购合同下列术语应解释为：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1.2“政府采购合同价”指根据合同约定供方在正确地完全履行政府采购合同义务后，需方应支付给供方的价格。</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1.5“需方”指项目基本内容及要求中所述取得货物和服务的采购人。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1.6“供方”指项目基本内容及要求中所述提供产品和服务的中标人。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1.7“检验”指需方或者需方的最终用户收货后，按照本政府采购合同约定的标准对政府采购合同货物进行的检测与查验。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1.8“验收书”指需方对供方履行政府采购合同情况及结果进行现场检验和评估意见的文件。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1.10“保修期”指自验收书签署之日起，供方以自担费用方式保证政府采购合同货物正常运行的时期。</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1.11“第三人”是指本政府采购合同双方以外的任何中国境内外的自然人.法人或其它经济组织。</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1.12“法律.法规”是指由中国各级政府及有关部门制定的法律.行政法规.地方性法规.规章及其它规范性文件的有关规定。</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1.13“招标文件”指采购人或者采购代理机构发布的招标文件。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1.14“投标文件”指供方按照采购代理机构招标文件的要求编制和递交，并最终被评标委员会接受的投标文件。</w:t>
      </w:r>
    </w:p>
    <w:p>
      <w:pPr>
        <w:rPr>
          <w:rFonts w:asciiTheme="minorEastAsia" w:hAnsiTheme="minorEastAsia" w:cstheme="minorEastAsia"/>
          <w:sz w:val="24"/>
          <w:szCs w:val="24"/>
        </w:rPr>
      </w:pPr>
      <w:bookmarkStart w:id="98" w:name="_Toc29737_WPSOffice_Level1"/>
      <w:bookmarkStart w:id="99" w:name="_Toc22454_WPSOffice_Level1"/>
      <w:bookmarkStart w:id="100" w:name="_Toc750_WPSOffice_Level1"/>
      <w:r>
        <w:rPr>
          <w:rFonts w:hint="eastAsia" w:asciiTheme="minorEastAsia" w:hAnsiTheme="minorEastAsia" w:cstheme="minorEastAsia"/>
          <w:sz w:val="24"/>
          <w:szCs w:val="24"/>
        </w:rPr>
        <w:t>2.技术指标</w:t>
      </w:r>
      <w:bookmarkEnd w:id="98"/>
      <w:bookmarkEnd w:id="99"/>
      <w:bookmarkEnd w:id="100"/>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2.1交付产品的技术指标应与招标文件规定的技术指标要求及投标文件中的“技术规格偏离表及商务条款偏离表”的承诺内容相一致。</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2.2 除技术指标另有规定外，计量单位应该使用公制。</w:t>
      </w:r>
    </w:p>
    <w:p>
      <w:pPr>
        <w:adjustRightInd w:val="0"/>
        <w:snapToGrid w:val="0"/>
        <w:spacing w:line="360" w:lineRule="auto"/>
        <w:ind w:firstLine="479" w:firstLineChars="196"/>
        <w:rPr>
          <w:rFonts w:asciiTheme="minorEastAsia" w:hAnsiTheme="minorEastAsia" w:cstheme="minorEastAsia"/>
          <w:b/>
          <w:sz w:val="24"/>
          <w:szCs w:val="24"/>
        </w:rPr>
      </w:pPr>
      <w:bookmarkStart w:id="101" w:name="_Toc17648_WPSOffice_Level1"/>
      <w:bookmarkStart w:id="102" w:name="_Toc19640_WPSOffice_Level1"/>
      <w:bookmarkStart w:id="103" w:name="_Toc1538_WPSOffice_Level1"/>
      <w:r>
        <w:rPr>
          <w:rFonts w:hint="eastAsia" w:asciiTheme="minorEastAsia" w:hAnsiTheme="minorEastAsia" w:cstheme="minorEastAsia"/>
          <w:b/>
          <w:sz w:val="24"/>
          <w:szCs w:val="24"/>
        </w:rPr>
        <w:t>3.交货</w:t>
      </w:r>
      <w:bookmarkEnd w:id="101"/>
      <w:bookmarkEnd w:id="102"/>
      <w:bookmarkEnd w:id="103"/>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3.1供方按照合同约定的时间.地点交货</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79" w:firstLineChars="196"/>
        <w:rPr>
          <w:rFonts w:asciiTheme="minorEastAsia" w:hAnsiTheme="minorEastAsia" w:cstheme="minorEastAsia"/>
          <w:b/>
          <w:sz w:val="24"/>
          <w:szCs w:val="24"/>
        </w:rPr>
      </w:pPr>
      <w:bookmarkStart w:id="104" w:name="_Toc1266_WPSOffice_Level1"/>
      <w:bookmarkStart w:id="105" w:name="_Toc15048_WPSOffice_Level1"/>
      <w:bookmarkStart w:id="106" w:name="_Toc11745_WPSOffice_Level1"/>
      <w:r>
        <w:rPr>
          <w:rFonts w:hint="eastAsia" w:asciiTheme="minorEastAsia" w:hAnsiTheme="minorEastAsia" w:cstheme="minorEastAsia"/>
          <w:b/>
          <w:sz w:val="24"/>
          <w:szCs w:val="24"/>
        </w:rPr>
        <w:t>4.合同金额</w:t>
      </w:r>
      <w:bookmarkEnd w:id="104"/>
      <w:bookmarkEnd w:id="105"/>
      <w:bookmarkEnd w:id="106"/>
    </w:p>
    <w:p>
      <w:pPr>
        <w:adjustRightInd w:val="0"/>
        <w:snapToGrid w:val="0"/>
        <w:spacing w:line="360" w:lineRule="auto"/>
        <w:ind w:firstLine="479" w:firstLineChars="196"/>
        <w:rPr>
          <w:rFonts w:asciiTheme="minorEastAsia" w:hAnsiTheme="minorEastAsia" w:cstheme="minorEastAsia"/>
          <w:b/>
          <w:sz w:val="24"/>
          <w:szCs w:val="24"/>
        </w:rPr>
      </w:pPr>
      <w:r>
        <w:rPr>
          <w:rFonts w:hint="eastAsia" w:asciiTheme="minorEastAsia" w:hAnsiTheme="minorEastAsia" w:cstheme="minorEastAsia"/>
          <w:sz w:val="24"/>
          <w:szCs w:val="24"/>
        </w:rPr>
        <w:t>根据政府采购合同文件要求，确定政府采购合同的总金额。</w:t>
      </w:r>
    </w:p>
    <w:p>
      <w:pPr>
        <w:adjustRightInd w:val="0"/>
        <w:snapToGrid w:val="0"/>
        <w:spacing w:line="360" w:lineRule="auto"/>
        <w:ind w:firstLine="479" w:firstLineChars="196"/>
        <w:rPr>
          <w:rFonts w:asciiTheme="minorEastAsia" w:hAnsiTheme="minorEastAsia" w:cstheme="minorEastAsia"/>
          <w:b/>
          <w:sz w:val="24"/>
          <w:szCs w:val="24"/>
        </w:rPr>
      </w:pPr>
      <w:bookmarkStart w:id="107" w:name="_Toc11969_WPSOffice_Level1"/>
      <w:bookmarkStart w:id="108" w:name="_Toc22359_WPSOffice_Level1"/>
      <w:bookmarkStart w:id="109" w:name="_Toc941_WPSOffice_Level1"/>
      <w:r>
        <w:rPr>
          <w:rFonts w:hint="eastAsia" w:asciiTheme="minorEastAsia" w:hAnsiTheme="minorEastAsia" w:cstheme="minorEastAsia"/>
          <w:b/>
          <w:sz w:val="24"/>
          <w:szCs w:val="24"/>
        </w:rPr>
        <w:t>5.付款</w:t>
      </w:r>
      <w:bookmarkEnd w:id="107"/>
      <w:bookmarkEnd w:id="108"/>
      <w:bookmarkEnd w:id="109"/>
    </w:p>
    <w:p>
      <w:pPr>
        <w:adjustRightInd w:val="0"/>
        <w:snapToGrid w:val="0"/>
        <w:spacing w:line="360" w:lineRule="auto"/>
        <w:ind w:firstLine="479" w:firstLineChars="196"/>
        <w:rPr>
          <w:rFonts w:asciiTheme="minorEastAsia" w:hAnsiTheme="minorEastAsia" w:cstheme="minorEastAsia"/>
          <w:sz w:val="24"/>
          <w:szCs w:val="24"/>
          <w:u w:val="single"/>
        </w:rPr>
      </w:pPr>
      <w:bookmarkStart w:id="110" w:name="_Toc22351_WPSOffice_Level2"/>
      <w:r>
        <w:rPr>
          <w:rFonts w:hint="eastAsia" w:asciiTheme="minorEastAsia" w:hAnsiTheme="minorEastAsia" w:cstheme="minorEastAsia"/>
          <w:sz w:val="24"/>
          <w:szCs w:val="24"/>
        </w:rPr>
        <w:t>5.1付款方式.条件：需方按照合同约定的方式和条件付款。</w:t>
      </w:r>
      <w:bookmarkEnd w:id="110"/>
    </w:p>
    <w:p>
      <w:pPr>
        <w:adjustRightInd w:val="0"/>
        <w:snapToGrid w:val="0"/>
        <w:spacing w:line="360" w:lineRule="auto"/>
        <w:ind w:firstLine="479" w:firstLineChars="196"/>
        <w:rPr>
          <w:rFonts w:asciiTheme="minorEastAsia" w:hAnsiTheme="minorEastAsia" w:cstheme="minorEastAsia"/>
          <w:b/>
          <w:sz w:val="24"/>
          <w:szCs w:val="24"/>
        </w:rPr>
      </w:pPr>
      <w:bookmarkStart w:id="111" w:name="_Toc10526_WPSOffice_Level1"/>
      <w:bookmarkStart w:id="112" w:name="_Toc27769_WPSOffice_Level1"/>
      <w:bookmarkStart w:id="113" w:name="_Toc30478_WPSOffice_Level1"/>
      <w:r>
        <w:rPr>
          <w:rFonts w:hint="eastAsia" w:asciiTheme="minorEastAsia" w:hAnsiTheme="minorEastAsia" w:cstheme="minorEastAsia"/>
          <w:b/>
          <w:sz w:val="24"/>
          <w:szCs w:val="24"/>
        </w:rPr>
        <w:t>6.验收</w:t>
      </w:r>
      <w:bookmarkEnd w:id="111"/>
      <w:bookmarkEnd w:id="112"/>
      <w:bookmarkEnd w:id="113"/>
      <w:r>
        <w:rPr>
          <w:rFonts w:hint="eastAsia" w:asciiTheme="minorEastAsia" w:hAnsiTheme="minorEastAsia" w:cstheme="minorEastAsia"/>
          <w:b/>
          <w:sz w:val="24"/>
          <w:szCs w:val="24"/>
        </w:rPr>
        <w:t xml:space="preserve"> </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6.1供方提交的货物由需方或者需方的最终用户负责验收。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6.3大型或者复杂的项目，应当邀请国家认可的质量检测机构参加验收。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6.4政府向社会公众提供的公共服务项目，验收时应当邀请服务对象参与并出具意见，验收结果应当向社会公告。</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3.3款所列明的销售发票等文件并在验收书上签字和加盖单位公章，作为验收合格.同意付款的依据。</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6.6货物保修期自验收书签署之日起计算。</w:t>
      </w:r>
    </w:p>
    <w:p>
      <w:pPr>
        <w:adjustRightInd w:val="0"/>
        <w:snapToGrid w:val="0"/>
        <w:spacing w:line="360" w:lineRule="auto"/>
        <w:ind w:firstLine="479" w:firstLineChars="196"/>
        <w:rPr>
          <w:rFonts w:asciiTheme="minorEastAsia" w:hAnsiTheme="minorEastAsia" w:cstheme="minorEastAsia"/>
          <w:b/>
          <w:sz w:val="24"/>
          <w:szCs w:val="24"/>
        </w:rPr>
      </w:pPr>
      <w:bookmarkStart w:id="114" w:name="_Toc23127_WPSOffice_Level1"/>
      <w:bookmarkStart w:id="115" w:name="_Toc31292_WPSOffice_Level1"/>
      <w:bookmarkStart w:id="116" w:name="_Toc21868_WPSOffice_Level1"/>
      <w:r>
        <w:rPr>
          <w:rFonts w:hint="eastAsia" w:asciiTheme="minorEastAsia" w:hAnsiTheme="minorEastAsia" w:cstheme="minorEastAsia"/>
          <w:b/>
          <w:sz w:val="24"/>
          <w:szCs w:val="24"/>
        </w:rPr>
        <w:t>7.知识产权及有关规定</w:t>
      </w:r>
      <w:bookmarkEnd w:id="114"/>
      <w:bookmarkEnd w:id="115"/>
      <w:bookmarkEnd w:id="116"/>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7.4本合同中涉及保密和知识产权任何条款，在合同期限内及合同终止后持续有效。</w:t>
      </w:r>
    </w:p>
    <w:p>
      <w:pPr>
        <w:adjustRightInd w:val="0"/>
        <w:snapToGrid w:val="0"/>
        <w:spacing w:line="360" w:lineRule="auto"/>
        <w:ind w:firstLine="479" w:firstLineChars="196"/>
        <w:rPr>
          <w:rFonts w:asciiTheme="minorEastAsia" w:hAnsiTheme="minorEastAsia" w:cstheme="minorEastAsia"/>
          <w:b/>
          <w:sz w:val="24"/>
          <w:szCs w:val="24"/>
        </w:rPr>
      </w:pPr>
      <w:bookmarkStart w:id="117" w:name="_Toc21090_WPSOffice_Level1"/>
      <w:bookmarkStart w:id="118" w:name="_Toc26796_WPSOffice_Level1"/>
      <w:bookmarkStart w:id="119" w:name="_Toc24765_WPSOffice_Level1"/>
      <w:r>
        <w:rPr>
          <w:rFonts w:hint="eastAsia" w:asciiTheme="minorEastAsia" w:hAnsiTheme="minorEastAsia" w:cstheme="minorEastAsia"/>
          <w:b/>
          <w:sz w:val="24"/>
          <w:szCs w:val="24"/>
        </w:rPr>
        <w:t>8.包装要求</w:t>
      </w:r>
      <w:bookmarkEnd w:id="117"/>
      <w:bookmarkEnd w:id="118"/>
      <w:bookmarkEnd w:id="119"/>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8.2每一个包装箱内应附一份详细的装箱单和质量合格证书。</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8.3包装费由供方承担，包装物不回收。</w:t>
      </w:r>
    </w:p>
    <w:p>
      <w:pPr>
        <w:adjustRightInd w:val="0"/>
        <w:snapToGrid w:val="0"/>
        <w:spacing w:line="360" w:lineRule="auto"/>
        <w:ind w:firstLine="479" w:firstLineChars="196"/>
        <w:rPr>
          <w:rFonts w:asciiTheme="minorEastAsia" w:hAnsiTheme="minorEastAsia" w:cstheme="minorEastAsia"/>
          <w:b/>
          <w:sz w:val="24"/>
          <w:szCs w:val="24"/>
        </w:rPr>
      </w:pPr>
      <w:bookmarkStart w:id="120" w:name="_Toc26447_WPSOffice_Level1"/>
      <w:bookmarkStart w:id="121" w:name="_Toc2304_WPSOffice_Level1"/>
      <w:bookmarkStart w:id="122" w:name="_Toc1308_WPSOffice_Level1"/>
      <w:r>
        <w:rPr>
          <w:rFonts w:hint="eastAsia" w:asciiTheme="minorEastAsia" w:hAnsiTheme="minorEastAsia" w:cstheme="minorEastAsia"/>
          <w:b/>
          <w:sz w:val="24"/>
          <w:szCs w:val="24"/>
        </w:rPr>
        <w:t>9.伴随服务</w:t>
      </w:r>
      <w:bookmarkEnd w:id="120"/>
      <w:bookmarkEnd w:id="121"/>
      <w:bookmarkEnd w:id="122"/>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9.1供方应提供所交付货物的全套技术文件资料，包括产品目录.图纸.操作手册.使用说明.维护手册和服务指南等。</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9.2供方还应提供下列服务：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9.2.1货物的现场安装.启动和试运行；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9.2.2提供货物组装和维修所需的工具；</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9.2.4在制造厂家或在项目现场就货物的安装.启动.运行.维护等对需方人员进行培训，直至需方人员掌握全部上述技能为止。</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9.3伴随服务的费用应含在合同价中，不单独进行支付。</w:t>
      </w:r>
    </w:p>
    <w:p>
      <w:pPr>
        <w:adjustRightInd w:val="0"/>
        <w:snapToGrid w:val="0"/>
        <w:spacing w:line="360" w:lineRule="auto"/>
        <w:ind w:firstLine="479" w:firstLineChars="196"/>
        <w:rPr>
          <w:rFonts w:asciiTheme="minorEastAsia" w:hAnsiTheme="minorEastAsia" w:cstheme="minorEastAsia"/>
          <w:b/>
          <w:sz w:val="24"/>
          <w:szCs w:val="24"/>
        </w:rPr>
      </w:pPr>
      <w:bookmarkStart w:id="123" w:name="_Toc7636_WPSOffice_Level1"/>
      <w:bookmarkStart w:id="124" w:name="_Toc14320_WPSOffice_Level1"/>
      <w:bookmarkStart w:id="125" w:name="_Toc8205_WPSOffice_Level1"/>
      <w:r>
        <w:rPr>
          <w:rFonts w:hint="eastAsia" w:asciiTheme="minorEastAsia" w:hAnsiTheme="minorEastAsia" w:cstheme="minorEastAsia"/>
          <w:b/>
          <w:sz w:val="24"/>
          <w:szCs w:val="24"/>
        </w:rPr>
        <w:t>10.质量保证期</w:t>
      </w:r>
      <w:bookmarkEnd w:id="123"/>
      <w:bookmarkEnd w:id="124"/>
      <w:bookmarkEnd w:id="125"/>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10.1以招标文件中的规定为准，如果投标文件中的承诺优于招标文件规定，则以投标文件为准。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79" w:firstLineChars="196"/>
        <w:rPr>
          <w:rFonts w:asciiTheme="minorEastAsia" w:hAnsiTheme="minorEastAsia" w:cstheme="minorEastAsia"/>
          <w:b/>
          <w:sz w:val="24"/>
          <w:szCs w:val="24"/>
        </w:rPr>
      </w:pPr>
      <w:bookmarkStart w:id="126" w:name="_Toc16220_WPSOffice_Level1"/>
      <w:bookmarkStart w:id="127" w:name="_Toc18427_WPSOffice_Level1"/>
      <w:bookmarkStart w:id="128" w:name="_Toc13950_WPSOffice_Level1"/>
      <w:r>
        <w:rPr>
          <w:rFonts w:hint="eastAsia" w:asciiTheme="minorEastAsia" w:hAnsiTheme="minorEastAsia" w:cstheme="minorEastAsia"/>
          <w:b/>
          <w:sz w:val="24"/>
          <w:szCs w:val="24"/>
        </w:rPr>
        <w:t>11.质量保证</w:t>
      </w:r>
      <w:bookmarkEnd w:id="126"/>
      <w:bookmarkEnd w:id="127"/>
      <w:bookmarkEnd w:id="128"/>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79" w:firstLineChars="196"/>
        <w:rPr>
          <w:rFonts w:asciiTheme="minorEastAsia" w:hAnsiTheme="minorEastAsia" w:cstheme="minorEastAsia"/>
          <w:b/>
          <w:sz w:val="24"/>
          <w:szCs w:val="24"/>
        </w:rPr>
      </w:pPr>
      <w:bookmarkStart w:id="129" w:name="_Toc9090_WPSOffice_Level1"/>
      <w:bookmarkStart w:id="130" w:name="_Toc24667_WPSOffice_Level1"/>
      <w:bookmarkStart w:id="131" w:name="_Toc29469_WPSOffice_Level1"/>
      <w:r>
        <w:rPr>
          <w:rFonts w:hint="eastAsia" w:asciiTheme="minorEastAsia" w:hAnsiTheme="minorEastAsia" w:cstheme="minorEastAsia"/>
          <w:b/>
          <w:sz w:val="24"/>
          <w:szCs w:val="24"/>
        </w:rPr>
        <w:t>12.技术服务和保修责任</w:t>
      </w:r>
      <w:bookmarkEnd w:id="129"/>
      <w:bookmarkEnd w:id="130"/>
      <w:bookmarkEnd w:id="131"/>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12.1供方对政府采购合同货物的保修期，以招标文件中的规定为准，如果投标文件中的承诺优于招标文件规定，则以投标文件为准。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12.2投标人应按如下内容提供售后服务承诺书：</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12.2.5保修期内，供方应对出现故障无法修复的产品或无法正常运行的系统，提供替代产品以保证系统的正常工作。</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12.2.6保修期内，供方应投标时的承诺提供相关服务。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9" w:firstLineChars="196"/>
        <w:rPr>
          <w:rFonts w:asciiTheme="minorEastAsia" w:hAnsiTheme="minorEastAsia" w:cstheme="minorEastAsia"/>
          <w:b/>
          <w:sz w:val="24"/>
          <w:szCs w:val="24"/>
        </w:rPr>
      </w:pPr>
      <w:bookmarkStart w:id="132" w:name="_Toc11781_WPSOffice_Level1"/>
      <w:bookmarkStart w:id="133" w:name="_Toc16924_WPSOffice_Level1"/>
      <w:bookmarkStart w:id="134" w:name="_Toc8548_WPSOffice_Level1"/>
      <w:r>
        <w:rPr>
          <w:rFonts w:hint="eastAsia" w:asciiTheme="minorEastAsia" w:hAnsiTheme="minorEastAsia" w:cstheme="minorEastAsia"/>
          <w:b/>
          <w:sz w:val="24"/>
          <w:szCs w:val="24"/>
        </w:rPr>
        <w:t>13.违约责任</w:t>
      </w:r>
      <w:bookmarkEnd w:id="132"/>
      <w:bookmarkEnd w:id="133"/>
      <w:bookmarkEnd w:id="134"/>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13.1.1在需方同意延长的期限内交付全部货物.提供服务并承担由此给需方造成的一切损失；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13.1.3根据货物低劣程度.损坏程度以及使需方所遭受的损失，经双方商定降低货物的价格或赔偿需方所遭受的损失；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13.1.5需方有权部分或全部解除政府采购合同并要求供方赔偿由此造成的损失。此时需方可采取必要的补救措施，相关费用由供方承担。</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13.3延期交货的违约责任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13.4以上各项交付的违约金并不影响违约方履行政府采购合同的各项义务。</w:t>
      </w:r>
    </w:p>
    <w:p>
      <w:pPr>
        <w:adjustRightInd w:val="0"/>
        <w:snapToGrid w:val="0"/>
        <w:spacing w:line="360" w:lineRule="auto"/>
        <w:ind w:firstLine="479" w:firstLineChars="196"/>
        <w:rPr>
          <w:rFonts w:asciiTheme="minorEastAsia" w:hAnsiTheme="minorEastAsia" w:cstheme="minorEastAsia"/>
          <w:b/>
          <w:sz w:val="24"/>
          <w:szCs w:val="24"/>
        </w:rPr>
      </w:pPr>
      <w:bookmarkStart w:id="135" w:name="_Toc21833_WPSOffice_Level1"/>
      <w:bookmarkStart w:id="136" w:name="_Toc28610_WPSOffice_Level1"/>
      <w:bookmarkStart w:id="137" w:name="_Toc32310_WPSOffice_Level1"/>
      <w:r>
        <w:rPr>
          <w:rFonts w:hint="eastAsia" w:asciiTheme="minorEastAsia" w:hAnsiTheme="minorEastAsia" w:cstheme="minorEastAsia"/>
          <w:b/>
          <w:sz w:val="24"/>
          <w:szCs w:val="24"/>
        </w:rPr>
        <w:t>14.不可抗力</w:t>
      </w:r>
      <w:bookmarkEnd w:id="135"/>
      <w:bookmarkEnd w:id="136"/>
      <w:bookmarkEnd w:id="137"/>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9" w:firstLineChars="196"/>
        <w:rPr>
          <w:rFonts w:asciiTheme="minorEastAsia" w:hAnsiTheme="minorEastAsia" w:cstheme="minorEastAsia"/>
          <w:b/>
          <w:sz w:val="24"/>
          <w:szCs w:val="24"/>
        </w:rPr>
      </w:pPr>
      <w:bookmarkStart w:id="138" w:name="_Toc13390_WPSOffice_Level1"/>
      <w:bookmarkStart w:id="139" w:name="_Toc3262_WPSOffice_Level1"/>
      <w:bookmarkStart w:id="140" w:name="_Toc12037_WPSOffice_Level1"/>
      <w:r>
        <w:rPr>
          <w:rFonts w:hint="eastAsia" w:asciiTheme="minorEastAsia" w:hAnsiTheme="minorEastAsia" w:cstheme="minorEastAsia"/>
          <w:b/>
          <w:sz w:val="24"/>
          <w:szCs w:val="24"/>
        </w:rPr>
        <w:t>15.争端的解决</w:t>
      </w:r>
      <w:bookmarkEnd w:id="138"/>
      <w:bookmarkEnd w:id="139"/>
      <w:bookmarkEnd w:id="140"/>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15.1政府采购合同的履行.违约责任和解决争议的方法等适用《中华人民共和国民法典》。</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15.2需方和供方应通过友好协商，解决在执行本政府采购合同过程中所发生的或与本政府采购合同有关的一切争端。</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15.3如果调解不成，双方中的任何一方可向需方所在地的人民法院提起诉讼。</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15.4因政府采购合同部分履行引发诉讼的，在诉讼期间，除正在进行诉讼的部分外，本政府采购合同的其它部分应继续执行。</w:t>
      </w:r>
    </w:p>
    <w:p>
      <w:pPr>
        <w:adjustRightInd w:val="0"/>
        <w:snapToGrid w:val="0"/>
        <w:spacing w:line="360" w:lineRule="auto"/>
        <w:ind w:firstLine="479" w:firstLineChars="196"/>
        <w:rPr>
          <w:rFonts w:asciiTheme="minorEastAsia" w:hAnsiTheme="minorEastAsia" w:cstheme="minorEastAsia"/>
          <w:b/>
          <w:sz w:val="24"/>
          <w:szCs w:val="24"/>
        </w:rPr>
      </w:pPr>
      <w:bookmarkStart w:id="141" w:name="_Toc1917_WPSOffice_Level1"/>
      <w:bookmarkStart w:id="142" w:name="_Toc7773_WPSOffice_Level1"/>
      <w:bookmarkStart w:id="143" w:name="_Toc27539_WPSOffice_Level1"/>
      <w:r>
        <w:rPr>
          <w:rFonts w:hint="eastAsia" w:asciiTheme="minorEastAsia" w:hAnsiTheme="minorEastAsia" w:cstheme="minorEastAsia"/>
          <w:b/>
          <w:sz w:val="24"/>
          <w:szCs w:val="24"/>
        </w:rPr>
        <w:t>16.违约终止政府采购合同</w:t>
      </w:r>
      <w:bookmarkEnd w:id="141"/>
      <w:bookmarkEnd w:id="142"/>
      <w:bookmarkEnd w:id="143"/>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16.1.1如果供方未能在政府采购合同规定的限期或需方同意延长的限期内提供部分或全部货物和服务；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16.1.2未经需方事先书面同意，供方部分转让和分包或全部转让和分包其应履行的政府采购合同义务。</w:t>
      </w:r>
    </w:p>
    <w:p>
      <w:pPr>
        <w:adjustRightInd w:val="0"/>
        <w:snapToGrid w:val="0"/>
        <w:spacing w:line="360" w:lineRule="auto"/>
        <w:ind w:firstLine="479" w:firstLineChars="196"/>
        <w:rPr>
          <w:rFonts w:asciiTheme="minorEastAsia" w:hAnsiTheme="minorEastAsia" w:cstheme="minorEastAsia"/>
          <w:b/>
          <w:sz w:val="24"/>
          <w:szCs w:val="24"/>
        </w:rPr>
      </w:pPr>
      <w:bookmarkStart w:id="144" w:name="_Toc11967_WPSOffice_Level1"/>
      <w:bookmarkStart w:id="145" w:name="_Toc4220_WPSOffice_Level1"/>
      <w:bookmarkStart w:id="146" w:name="_Toc27976_WPSOffice_Level1"/>
      <w:r>
        <w:rPr>
          <w:rFonts w:hint="eastAsia" w:asciiTheme="minorEastAsia" w:hAnsiTheme="minorEastAsia" w:cstheme="minorEastAsia"/>
          <w:b/>
          <w:sz w:val="24"/>
          <w:szCs w:val="24"/>
        </w:rPr>
        <w:t>17.政府采购合同转让和分包</w:t>
      </w:r>
      <w:bookmarkEnd w:id="144"/>
      <w:bookmarkEnd w:id="145"/>
      <w:bookmarkEnd w:id="146"/>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除招标文件规定,并经需方事先书面同意外，供方不得部分转让和分包或全部转让和分包其应履行的政府采购合同义务。</w:t>
      </w:r>
    </w:p>
    <w:p>
      <w:pPr>
        <w:adjustRightInd w:val="0"/>
        <w:snapToGrid w:val="0"/>
        <w:spacing w:line="360" w:lineRule="auto"/>
        <w:ind w:firstLine="479" w:firstLineChars="196"/>
        <w:rPr>
          <w:rFonts w:asciiTheme="minorEastAsia" w:hAnsiTheme="minorEastAsia" w:cstheme="minorEastAsia"/>
          <w:b/>
          <w:sz w:val="24"/>
          <w:szCs w:val="24"/>
        </w:rPr>
      </w:pPr>
      <w:bookmarkStart w:id="147" w:name="_Toc16873_WPSOffice_Level1"/>
      <w:bookmarkStart w:id="148" w:name="_Toc30020_WPSOffice_Level1"/>
      <w:bookmarkStart w:id="149" w:name="_Toc737_WPSOffice_Level1"/>
      <w:r>
        <w:rPr>
          <w:rFonts w:hint="eastAsia" w:asciiTheme="minorEastAsia" w:hAnsiTheme="minorEastAsia" w:cstheme="minorEastAsia"/>
          <w:b/>
          <w:sz w:val="24"/>
          <w:szCs w:val="24"/>
        </w:rPr>
        <w:t>18.适用法律：</w:t>
      </w:r>
      <w:bookmarkEnd w:id="147"/>
      <w:bookmarkEnd w:id="148"/>
      <w:bookmarkEnd w:id="149"/>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本政府采购合同按照中华人民共和国的现行法律进行解释。</w:t>
      </w:r>
    </w:p>
    <w:p>
      <w:pPr>
        <w:adjustRightInd w:val="0"/>
        <w:snapToGrid w:val="0"/>
        <w:spacing w:line="360" w:lineRule="auto"/>
        <w:ind w:firstLine="479" w:firstLineChars="196"/>
        <w:rPr>
          <w:rFonts w:asciiTheme="minorEastAsia" w:hAnsiTheme="minorEastAsia" w:cstheme="minorEastAsia"/>
          <w:b/>
          <w:sz w:val="24"/>
          <w:szCs w:val="24"/>
        </w:rPr>
      </w:pPr>
      <w:bookmarkStart w:id="150" w:name="_Toc20985_WPSOffice_Level1"/>
      <w:bookmarkStart w:id="151" w:name="_Toc23749_WPSOffice_Level1"/>
      <w:bookmarkStart w:id="152" w:name="_Toc29009_WPSOffice_Level1"/>
      <w:r>
        <w:rPr>
          <w:rFonts w:hint="eastAsia" w:asciiTheme="minorEastAsia" w:hAnsiTheme="minorEastAsia" w:cstheme="minorEastAsia"/>
          <w:b/>
          <w:sz w:val="24"/>
          <w:szCs w:val="24"/>
        </w:rPr>
        <w:t>19.政府采购合同生效</w:t>
      </w:r>
      <w:bookmarkEnd w:id="150"/>
      <w:bookmarkEnd w:id="151"/>
      <w:bookmarkEnd w:id="152"/>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19.1本政府采购合同在供需双方法定代表人或其授权代理人签字和加盖公章后生效。</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19.2本政府采购合同一式五份，需方执二份，供方.采购代理机构.财政部门各执一份。</w:t>
      </w:r>
    </w:p>
    <w:p>
      <w:pPr>
        <w:adjustRightInd w:val="0"/>
        <w:snapToGrid w:val="0"/>
        <w:spacing w:line="360" w:lineRule="auto"/>
        <w:ind w:firstLine="479" w:firstLineChars="196"/>
        <w:rPr>
          <w:rFonts w:asciiTheme="minorEastAsia" w:hAnsiTheme="minorEastAsia" w:cstheme="minorEastAsia"/>
          <w:b/>
          <w:sz w:val="24"/>
          <w:szCs w:val="24"/>
        </w:rPr>
      </w:pPr>
      <w:bookmarkStart w:id="153" w:name="_Toc12339_WPSOffice_Level1"/>
      <w:bookmarkStart w:id="154" w:name="_Toc20274_WPSOffice_Level1"/>
      <w:bookmarkStart w:id="155" w:name="_Toc405_WPSOffice_Level1"/>
      <w:r>
        <w:rPr>
          <w:rFonts w:hint="eastAsia" w:asciiTheme="minorEastAsia" w:hAnsiTheme="minorEastAsia" w:cstheme="minorEastAsia"/>
          <w:b/>
          <w:sz w:val="24"/>
          <w:szCs w:val="24"/>
        </w:rPr>
        <w:t>20.政府采购合同附件</w:t>
      </w:r>
      <w:bookmarkEnd w:id="153"/>
      <w:bookmarkEnd w:id="154"/>
      <w:bookmarkEnd w:id="155"/>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下列文件构成本政府采购合同不可分割的组成部分，与本政府采购合同具有同等法律效力：</w:t>
      </w:r>
    </w:p>
    <w:p>
      <w:pPr>
        <w:adjustRightInd w:val="0"/>
        <w:snapToGrid w:val="0"/>
        <w:spacing w:line="360" w:lineRule="auto"/>
        <w:ind w:firstLine="479" w:firstLineChars="196"/>
        <w:rPr>
          <w:rFonts w:asciiTheme="minorEastAsia" w:hAnsiTheme="minorEastAsia" w:cstheme="minorEastAsia"/>
          <w:sz w:val="24"/>
          <w:szCs w:val="24"/>
        </w:rPr>
      </w:pPr>
      <w:bookmarkStart w:id="156" w:name="_Toc3518_WPSOffice_Level2"/>
      <w:r>
        <w:rPr>
          <w:rFonts w:hint="eastAsia" w:asciiTheme="minorEastAsia" w:hAnsiTheme="minorEastAsia" w:cstheme="minorEastAsia"/>
          <w:sz w:val="24"/>
          <w:szCs w:val="24"/>
        </w:rPr>
        <w:t>20.1招标文件；</w:t>
      </w:r>
      <w:bookmarkEnd w:id="156"/>
    </w:p>
    <w:p>
      <w:pPr>
        <w:adjustRightInd w:val="0"/>
        <w:snapToGrid w:val="0"/>
        <w:spacing w:line="360" w:lineRule="auto"/>
        <w:ind w:firstLine="479" w:firstLineChars="196"/>
        <w:rPr>
          <w:rFonts w:asciiTheme="minorEastAsia" w:hAnsiTheme="minorEastAsia" w:cstheme="minorEastAsia"/>
          <w:sz w:val="24"/>
          <w:szCs w:val="24"/>
        </w:rPr>
      </w:pPr>
      <w:bookmarkStart w:id="157" w:name="_Toc7342_WPSOffice_Level2"/>
      <w:r>
        <w:rPr>
          <w:rFonts w:hint="eastAsia" w:asciiTheme="minorEastAsia" w:hAnsiTheme="minorEastAsia" w:cstheme="minorEastAsia"/>
          <w:sz w:val="24"/>
          <w:szCs w:val="24"/>
        </w:rPr>
        <w:t>20.2招标文件的更正公告.变更公告；</w:t>
      </w:r>
      <w:bookmarkEnd w:id="157"/>
    </w:p>
    <w:p>
      <w:pPr>
        <w:adjustRightInd w:val="0"/>
        <w:snapToGrid w:val="0"/>
        <w:spacing w:line="360" w:lineRule="auto"/>
        <w:ind w:firstLine="479" w:firstLineChars="196"/>
        <w:rPr>
          <w:rFonts w:asciiTheme="minorEastAsia" w:hAnsiTheme="minorEastAsia" w:cstheme="minorEastAsia"/>
          <w:sz w:val="24"/>
          <w:szCs w:val="24"/>
        </w:rPr>
      </w:pPr>
      <w:bookmarkStart w:id="158" w:name="_Toc576_WPSOffice_Level2"/>
      <w:r>
        <w:rPr>
          <w:rFonts w:hint="eastAsia" w:asciiTheme="minorEastAsia" w:hAnsiTheme="minorEastAsia" w:cstheme="minorEastAsia"/>
          <w:sz w:val="24"/>
          <w:szCs w:val="24"/>
        </w:rPr>
        <w:t>20.3中标人提交的投标文件；</w:t>
      </w:r>
      <w:bookmarkEnd w:id="158"/>
    </w:p>
    <w:p>
      <w:pPr>
        <w:adjustRightInd w:val="0"/>
        <w:snapToGrid w:val="0"/>
        <w:spacing w:line="360" w:lineRule="auto"/>
        <w:ind w:firstLine="479" w:firstLineChars="196"/>
        <w:rPr>
          <w:rFonts w:asciiTheme="minorEastAsia" w:hAnsiTheme="minorEastAsia" w:cstheme="minorEastAsia"/>
          <w:sz w:val="24"/>
          <w:szCs w:val="24"/>
        </w:rPr>
      </w:pPr>
      <w:bookmarkStart w:id="159" w:name="_Toc25464_WPSOffice_Level2"/>
      <w:r>
        <w:rPr>
          <w:rFonts w:hint="eastAsia" w:asciiTheme="minorEastAsia" w:hAnsiTheme="minorEastAsia" w:cstheme="minorEastAsia"/>
          <w:sz w:val="24"/>
          <w:szCs w:val="24"/>
        </w:rPr>
        <w:t>20.4政府采购合同条款；</w:t>
      </w:r>
      <w:bookmarkEnd w:id="159"/>
    </w:p>
    <w:p>
      <w:pPr>
        <w:adjustRightInd w:val="0"/>
        <w:snapToGrid w:val="0"/>
        <w:spacing w:line="360" w:lineRule="auto"/>
        <w:ind w:firstLine="479" w:firstLineChars="196"/>
        <w:rPr>
          <w:rFonts w:asciiTheme="minorEastAsia" w:hAnsiTheme="minorEastAsia" w:cstheme="minorEastAsia"/>
          <w:sz w:val="24"/>
          <w:szCs w:val="24"/>
        </w:rPr>
      </w:pPr>
      <w:bookmarkStart w:id="160" w:name="_Toc25590_WPSOffice_Level2"/>
      <w:r>
        <w:rPr>
          <w:rFonts w:hint="eastAsia" w:asciiTheme="minorEastAsia" w:hAnsiTheme="minorEastAsia" w:cstheme="minorEastAsia"/>
          <w:sz w:val="24"/>
          <w:szCs w:val="24"/>
        </w:rPr>
        <w:t>20.5中标通知书；</w:t>
      </w:r>
      <w:bookmarkEnd w:id="160"/>
    </w:p>
    <w:p>
      <w:pPr>
        <w:adjustRightInd w:val="0"/>
        <w:snapToGrid w:val="0"/>
        <w:spacing w:line="360" w:lineRule="auto"/>
        <w:ind w:firstLine="479" w:firstLineChars="196"/>
        <w:rPr>
          <w:rFonts w:asciiTheme="minorEastAsia" w:hAnsiTheme="minorEastAsia" w:cstheme="minorEastAsia"/>
          <w:sz w:val="24"/>
          <w:szCs w:val="24"/>
        </w:rPr>
      </w:pPr>
      <w:bookmarkStart w:id="161" w:name="_Toc10297_WPSOffice_Level2"/>
      <w:r>
        <w:rPr>
          <w:rFonts w:hint="eastAsia" w:asciiTheme="minorEastAsia" w:hAnsiTheme="minorEastAsia" w:cstheme="minorEastAsia"/>
          <w:sz w:val="24"/>
          <w:szCs w:val="24"/>
        </w:rPr>
        <w:t>20.6政府采购合同的其它附件。</w:t>
      </w:r>
      <w:bookmarkEnd w:id="161"/>
    </w:p>
    <w:p>
      <w:pPr>
        <w:pStyle w:val="4"/>
        <w:adjustRightInd w:val="0"/>
        <w:snapToGrid w:val="0"/>
        <w:spacing w:line="240" w:lineRule="auto"/>
        <w:jc w:val="left"/>
        <w:rPr>
          <w:rFonts w:asciiTheme="minorEastAsia" w:hAnsiTheme="minorEastAsia" w:eastAsiaTheme="minorEastAsia" w:cstheme="minorEastAsia"/>
          <w:sz w:val="21"/>
          <w:szCs w:val="21"/>
        </w:rPr>
      </w:pPr>
      <w:bookmarkStart w:id="162" w:name="_Toc372_WPSOffice_Level1"/>
      <w:bookmarkStart w:id="163" w:name="_Toc3044_WPSOffice_Level1"/>
      <w:bookmarkStart w:id="164" w:name="_Toc20263"/>
      <w:bookmarkStart w:id="165" w:name="_Toc7859"/>
      <w:bookmarkStart w:id="166" w:name="_Toc7342_WPSOffice_Level1"/>
      <w:bookmarkStart w:id="167" w:name="_Toc30392"/>
      <w:r>
        <w:rPr>
          <w:rFonts w:hint="eastAsia" w:asciiTheme="minorEastAsia" w:hAnsiTheme="minorEastAsia" w:eastAsiaTheme="minorEastAsia" w:cstheme="minorEastAsia"/>
          <w:szCs w:val="28"/>
        </w:rPr>
        <w:t>合同格式</w:t>
      </w:r>
      <w:bookmarkEnd w:id="162"/>
      <w:bookmarkEnd w:id="163"/>
      <w:bookmarkEnd w:id="164"/>
      <w:bookmarkEnd w:id="165"/>
      <w:bookmarkEnd w:id="166"/>
      <w:bookmarkEnd w:id="167"/>
      <w:r>
        <w:rPr>
          <w:rFonts w:hint="eastAsia" w:asciiTheme="minorEastAsia" w:hAnsiTheme="minorEastAsia" w:eastAsiaTheme="minorEastAsia" w:cstheme="minorEastAsia"/>
          <w:szCs w:val="28"/>
        </w:rPr>
        <w:t xml:space="preserve">   </w:t>
      </w:r>
    </w:p>
    <w:p>
      <w:pPr>
        <w:adjustRightInd w:val="0"/>
        <w:snapToGrid w:val="0"/>
        <w:spacing w:line="360" w:lineRule="auto"/>
        <w:jc w:val="center"/>
        <w:rPr>
          <w:rFonts w:asciiTheme="minorEastAsia" w:hAnsiTheme="minorEastAsia" w:cstheme="minorEastAsia"/>
          <w:b/>
          <w:bCs/>
          <w:sz w:val="44"/>
          <w:szCs w:val="44"/>
        </w:rPr>
      </w:pPr>
      <w:bookmarkStart w:id="168" w:name="_Toc7832_WPSOffice_Level1"/>
      <w:bookmarkStart w:id="169" w:name="_Toc11644_WPSOffice_Level1"/>
      <w:r>
        <w:rPr>
          <w:rFonts w:hint="eastAsia" w:asciiTheme="minorEastAsia" w:hAnsiTheme="minorEastAsia" w:cstheme="minorEastAsia"/>
          <w:b/>
          <w:bCs/>
          <w:sz w:val="44"/>
          <w:szCs w:val="44"/>
        </w:rPr>
        <w:t>政府采购合同格式</w:t>
      </w:r>
      <w:bookmarkEnd w:id="168"/>
      <w:bookmarkEnd w:id="169"/>
      <w:r>
        <w:rPr>
          <w:rFonts w:hint="eastAsia" w:asciiTheme="minorEastAsia" w:hAnsiTheme="minorEastAsia" w:cstheme="minorEastAsia"/>
          <w:b/>
          <w:bCs/>
          <w:sz w:val="44"/>
          <w:szCs w:val="44"/>
        </w:rPr>
        <w:t>（参考合同）</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政府采购合同编号：</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签订地点：</w:t>
      </w:r>
    </w:p>
    <w:p>
      <w:pPr>
        <w:adjustRightInd w:val="0"/>
        <w:snapToGrid w:val="0"/>
        <w:spacing w:line="360" w:lineRule="auto"/>
        <w:ind w:firstLine="640"/>
        <w:jc w:val="left"/>
        <w:rPr>
          <w:rFonts w:asciiTheme="minorEastAsia" w:hAnsiTheme="minorEastAsia" w:cstheme="minorEastAsia"/>
          <w:szCs w:val="21"/>
        </w:rPr>
      </w:pPr>
      <w:r>
        <w:rPr>
          <w:rFonts w:hint="eastAsia" w:asciiTheme="minorEastAsia" w:hAnsiTheme="minorEastAsia" w:cstheme="minorEastAsia"/>
          <w:szCs w:val="21"/>
          <w:u w:val="single"/>
        </w:rPr>
        <w:t xml:space="preserve">    (需方名称</w:t>
      </w:r>
      <w:r>
        <w:rPr>
          <w:rFonts w:hint="eastAsia" w:asciiTheme="minorEastAsia" w:hAnsiTheme="minorEastAsia" w:cstheme="minorEastAsia"/>
          <w:szCs w:val="21"/>
        </w:rPr>
        <w:t>)</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（以下简称需方）和</w:t>
      </w:r>
      <w:r>
        <w:rPr>
          <w:rFonts w:hint="eastAsia" w:asciiTheme="minorEastAsia" w:hAnsiTheme="minorEastAsia" w:cstheme="minorEastAsia"/>
          <w:szCs w:val="21"/>
          <w:u w:val="single"/>
        </w:rPr>
        <w:t xml:space="preserve">   (供方名称)    </w:t>
      </w:r>
      <w:r>
        <w:rPr>
          <w:rFonts w:hint="eastAsia" w:asciiTheme="minorEastAsia" w:hAnsiTheme="minorEastAsia" w:cstheme="minorEastAsia"/>
          <w:szCs w:val="21"/>
        </w:rPr>
        <w:t xml:space="preserve"> （以下简称供方）根据《中华人民共和国民法典》和有关法律法规，遵循平等.自愿.公平和诚实信用原则，同意按照下面的条款和条件订立本政府采购合同，共同信守。</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0" w:name="_Toc13230_WPSOffice_Level2"/>
      <w:r>
        <w:rPr>
          <w:rFonts w:hint="eastAsia" w:asciiTheme="minorEastAsia" w:hAnsiTheme="minorEastAsia" w:cstheme="minorEastAsia"/>
          <w:b/>
          <w:szCs w:val="21"/>
        </w:rPr>
        <w:t>一.政府采购合同文件</w:t>
      </w:r>
      <w:bookmarkEnd w:id="170"/>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本政府采购合同所附下列文件是构成本政府采购合同不可分割的部分：</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1.招标文件（招标文件编号</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2.招标文件的更正公告.变更公告；</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3.中标人提交的投标文件；</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4.政府采购合同条款；</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5.中标通知书；</w:t>
      </w:r>
    </w:p>
    <w:p>
      <w:pPr>
        <w:adjustRightInd w:val="0"/>
        <w:snapToGrid w:val="0"/>
        <w:spacing w:line="360" w:lineRule="auto"/>
        <w:ind w:firstLine="430" w:firstLineChars="200"/>
        <w:jc w:val="left"/>
        <w:rPr>
          <w:rFonts w:asciiTheme="minorEastAsia" w:hAnsiTheme="minorEastAsia" w:cstheme="minorEastAsia"/>
          <w:szCs w:val="21"/>
        </w:rPr>
      </w:pPr>
      <w:r>
        <w:rPr>
          <w:rFonts w:hint="eastAsia" w:asciiTheme="minorEastAsia" w:hAnsiTheme="minorEastAsia" w:cstheme="minorEastAsia"/>
          <w:szCs w:val="21"/>
        </w:rPr>
        <w:t>6.政府采购合同的其它附件。</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1" w:name="_Toc19527_WPSOffice_Level2"/>
      <w:r>
        <w:rPr>
          <w:rFonts w:hint="eastAsia" w:asciiTheme="minorEastAsia" w:hAnsiTheme="minorEastAsia" w:cstheme="minorEastAsia"/>
          <w:b/>
          <w:szCs w:val="21"/>
        </w:rPr>
        <w:t>二.政府采购合同范围和条件</w:t>
      </w:r>
      <w:bookmarkEnd w:id="171"/>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本政府采购合同的范围和条件与上述政府采购合同文件的规定相一致。</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2" w:name="_Toc18050_WPSOffice_Level2"/>
      <w:r>
        <w:rPr>
          <w:rFonts w:hint="eastAsia" w:asciiTheme="minorEastAsia" w:hAnsiTheme="minorEastAsia" w:cstheme="minorEastAsia"/>
          <w:b/>
          <w:szCs w:val="21"/>
        </w:rPr>
        <w:t>三.政府采购合同标的</w:t>
      </w:r>
      <w:bookmarkEnd w:id="172"/>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本政府采购合同的标的和数量为政府采购合同货物清单(同投标文件中投标产品价格明细表)中所列货物及相关服务。</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3" w:name="_Toc27886_WPSOffice_Level2"/>
      <w:r>
        <w:rPr>
          <w:rFonts w:hint="eastAsia" w:asciiTheme="minorEastAsia" w:hAnsiTheme="minorEastAsia" w:cstheme="minorEastAsia"/>
          <w:b/>
          <w:szCs w:val="21"/>
        </w:rPr>
        <w:t>四.政府采购合同金额</w:t>
      </w:r>
      <w:bookmarkEnd w:id="173"/>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根据上述政府采购合同文件要求，政府采购合同的总金额为人民币</w:t>
      </w:r>
      <w:r>
        <w:rPr>
          <w:rFonts w:hint="eastAsia" w:asciiTheme="minorEastAsia" w:hAnsiTheme="minorEastAsia" w:cstheme="minorEastAsia"/>
          <w:szCs w:val="21"/>
          <w:u w:val="single"/>
        </w:rPr>
        <w:t xml:space="preserve">  （大写）                </w:t>
      </w:r>
      <w:r>
        <w:rPr>
          <w:rFonts w:hint="eastAsia" w:asciiTheme="minorEastAsia" w:hAnsiTheme="minorEastAsia" w:cstheme="minorEastAsia"/>
          <w:szCs w:val="21"/>
        </w:rPr>
        <w:t xml:space="preserve"> 元。</w:t>
      </w:r>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注：存在分项产品的必须清晰列明分项产品明细，包括名称.数量.分项报价等，并作为合同组成部分。</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4" w:name="_Toc22211_WPSOffice_Level2"/>
      <w:r>
        <w:rPr>
          <w:rFonts w:hint="eastAsia" w:asciiTheme="minorEastAsia" w:hAnsiTheme="minorEastAsia" w:cstheme="minorEastAsia"/>
          <w:b/>
          <w:szCs w:val="21"/>
        </w:rPr>
        <w:t>五.付款方式及条件</w:t>
      </w:r>
      <w:bookmarkEnd w:id="174"/>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szCs w:val="21"/>
        </w:rPr>
        <w:t xml:space="preserve">    1.付款时间：</w:t>
      </w:r>
    </w:p>
    <w:p>
      <w:pPr>
        <w:adjustRightInd w:val="0"/>
        <w:snapToGrid w:val="0"/>
        <w:spacing w:line="360" w:lineRule="auto"/>
        <w:ind w:firstLine="420"/>
        <w:jc w:val="left"/>
        <w:rPr>
          <w:rFonts w:asciiTheme="minorEastAsia" w:hAnsiTheme="minorEastAsia" w:cstheme="minorEastAsia"/>
          <w:szCs w:val="21"/>
        </w:rPr>
      </w:pPr>
      <w:r>
        <w:rPr>
          <w:rFonts w:hint="eastAsia" w:asciiTheme="minorEastAsia" w:hAnsiTheme="minorEastAsia" w:cstheme="minorEastAsia"/>
          <w:szCs w:val="21"/>
        </w:rPr>
        <w:t>2.付款方式：</w:t>
      </w:r>
    </w:p>
    <w:p>
      <w:pPr>
        <w:pStyle w:val="19"/>
        <w:ind w:left="423" w:leftChars="197" w:firstLine="430" w:firstLineChars="200"/>
        <w:rPr>
          <w:sz w:val="21"/>
          <w:szCs w:val="21"/>
        </w:rPr>
      </w:pPr>
      <w:r>
        <w:rPr>
          <w:rFonts w:hint="eastAsia"/>
          <w:sz w:val="21"/>
          <w:szCs w:val="21"/>
          <w:highlight w:val="none"/>
          <w:u w:val="single"/>
        </w:rPr>
        <w:t>货物验收合格安装调试运转正常后支付合同总价的95%；尾款5%作为质量保证金，待设备运行满一年后，无质量问题甲方签字确认后无息支付。如遇国家法定节假日或甲方寒暑假等，则顺延。</w:t>
      </w:r>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szCs w:val="21"/>
        </w:rPr>
        <w:t xml:space="preserve">    3.付款条件：</w:t>
      </w:r>
      <w:r>
        <w:rPr>
          <w:rFonts w:hint="eastAsia" w:asciiTheme="minorEastAsia" w:hAnsiTheme="minorEastAsia" w:cstheme="minorEastAsia"/>
          <w:szCs w:val="21"/>
          <w:u w:val="single"/>
        </w:rPr>
        <w:t xml:space="preserve">        </w:t>
      </w:r>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b/>
          <w:szCs w:val="21"/>
        </w:rPr>
        <w:t>　　</w:t>
      </w:r>
      <w:bookmarkStart w:id="175" w:name="_Toc27813_WPSOffice_Level2"/>
      <w:r>
        <w:rPr>
          <w:rFonts w:hint="eastAsia" w:asciiTheme="minorEastAsia" w:hAnsiTheme="minorEastAsia" w:cstheme="minorEastAsia"/>
          <w:b/>
          <w:szCs w:val="21"/>
        </w:rPr>
        <w:t>六.交货时间和交货地点</w:t>
      </w:r>
      <w:bookmarkEnd w:id="175"/>
      <w:r>
        <w:rPr>
          <w:rFonts w:hint="eastAsia" w:asciiTheme="minorEastAsia" w:hAnsiTheme="minorEastAsia" w:cstheme="minorEastAsia"/>
          <w:szCs w:val="21"/>
        </w:rPr>
        <w:t xml:space="preserve">   </w:t>
      </w:r>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szCs w:val="21"/>
        </w:rPr>
        <w:t xml:space="preserve">    1.交货时间：</w:t>
      </w:r>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szCs w:val="21"/>
        </w:rPr>
        <w:t xml:space="preserve">    2.交货地点：西安医学院指定地点；</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w:t>
      </w:r>
      <w:bookmarkStart w:id="176" w:name="_Toc12497_WPSOffice_Level2"/>
      <w:r>
        <w:rPr>
          <w:rFonts w:hint="eastAsia" w:asciiTheme="minorEastAsia" w:hAnsiTheme="minorEastAsia" w:cstheme="minorEastAsia"/>
          <w:b/>
          <w:szCs w:val="21"/>
        </w:rPr>
        <w:t>七.验收要求</w:t>
      </w:r>
      <w:bookmarkEnd w:id="176"/>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b/>
          <w:szCs w:val="21"/>
        </w:rPr>
        <w:t xml:space="preserve">    </w:t>
      </w:r>
      <w:r>
        <w:rPr>
          <w:rFonts w:hint="eastAsia" w:asciiTheme="minorEastAsia" w:hAnsiTheme="minorEastAsia" w:cstheme="minorEastAsia"/>
          <w:szCs w:val="21"/>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xml:space="preserve">    </w:t>
      </w:r>
      <w:bookmarkStart w:id="177" w:name="_Toc4868_WPSOffice_Level2"/>
      <w:r>
        <w:rPr>
          <w:rFonts w:hint="eastAsia" w:asciiTheme="minorEastAsia" w:hAnsiTheme="minorEastAsia" w:cstheme="minorEastAsia"/>
          <w:b/>
          <w:szCs w:val="21"/>
        </w:rPr>
        <w:t>八.违约责任</w:t>
      </w:r>
      <w:bookmarkEnd w:id="177"/>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1.供方逾期供货的，每逾期一天向需方支付逾期供货金额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%的违约金，逾期</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日的，需方有权单方面解除本协议。</w:t>
      </w:r>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    3.需方逾期付款的，每逾期一天向供方支付逾期金额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%的违约金，逾期</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日的，供方有权单方面解除本协议。</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xml:space="preserve">    </w:t>
      </w:r>
      <w:bookmarkStart w:id="178" w:name="_Toc24496_WPSOffice_Level2"/>
      <w:r>
        <w:rPr>
          <w:rFonts w:hint="eastAsia" w:asciiTheme="minorEastAsia" w:hAnsiTheme="minorEastAsia" w:cstheme="minorEastAsia"/>
          <w:b/>
          <w:szCs w:val="21"/>
        </w:rPr>
        <w:t>九.争议解决</w:t>
      </w:r>
      <w:bookmarkEnd w:id="178"/>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szCs w:val="21"/>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Theme="minorEastAsia" w:hAnsiTheme="minorEastAsia" w:cstheme="minorEastAsia"/>
          <w:b/>
          <w:szCs w:val="21"/>
        </w:rPr>
      </w:pPr>
      <w:r>
        <w:rPr>
          <w:rFonts w:hint="eastAsia" w:asciiTheme="minorEastAsia" w:hAnsiTheme="minorEastAsia" w:cstheme="minorEastAsia"/>
          <w:b/>
          <w:szCs w:val="21"/>
        </w:rPr>
        <w:t xml:space="preserve">    </w:t>
      </w:r>
      <w:bookmarkStart w:id="179" w:name="_Toc24974_WPSOffice_Level2"/>
      <w:r>
        <w:rPr>
          <w:rFonts w:hint="eastAsia" w:asciiTheme="minorEastAsia" w:hAnsiTheme="minorEastAsia" w:cstheme="minorEastAsia"/>
          <w:b/>
          <w:szCs w:val="21"/>
        </w:rPr>
        <w:t>十.合同生效</w:t>
      </w:r>
      <w:bookmarkEnd w:id="179"/>
    </w:p>
    <w:p>
      <w:pPr>
        <w:adjustRightInd w:val="0"/>
        <w:snapToGrid w:val="0"/>
        <w:spacing w:line="360" w:lineRule="auto"/>
        <w:ind w:firstLine="420"/>
        <w:jc w:val="left"/>
        <w:rPr>
          <w:rFonts w:asciiTheme="minorEastAsia" w:hAnsiTheme="minorEastAsia" w:cstheme="minorEastAsia"/>
          <w:szCs w:val="21"/>
        </w:rPr>
      </w:pPr>
      <w:r>
        <w:rPr>
          <w:rFonts w:hint="eastAsia" w:asciiTheme="minorEastAsia" w:hAnsiTheme="minorEastAsia" w:cstheme="minorEastAsia"/>
          <w:szCs w:val="21"/>
        </w:rPr>
        <w:t>本政府采购合同经双方授权代表签字盖章后生效。</w:t>
      </w:r>
    </w:p>
    <w:p>
      <w:pPr>
        <w:adjustRightInd w:val="0"/>
        <w:snapToGrid w:val="0"/>
        <w:spacing w:line="360" w:lineRule="auto"/>
        <w:ind w:firstLine="420"/>
        <w:jc w:val="left"/>
        <w:rPr>
          <w:rFonts w:asciiTheme="minorEastAsia" w:hAnsiTheme="minorEastAsia" w:cstheme="minorEastAsia"/>
          <w:szCs w:val="21"/>
        </w:rPr>
      </w:pPr>
    </w:p>
    <w:p>
      <w:pPr>
        <w:adjustRightInd w:val="0"/>
        <w:snapToGrid w:val="0"/>
        <w:spacing w:line="360" w:lineRule="auto"/>
        <w:ind w:firstLine="420"/>
        <w:jc w:val="left"/>
        <w:rPr>
          <w:rFonts w:asciiTheme="minorEastAsia" w:hAnsiTheme="minorEastAsia" w:cstheme="minorEastAsia"/>
          <w:szCs w:val="21"/>
        </w:rPr>
      </w:pPr>
    </w:p>
    <w:p>
      <w:pPr>
        <w:adjustRightInd w:val="0"/>
        <w:snapToGrid w:val="0"/>
        <w:spacing w:line="360" w:lineRule="auto"/>
        <w:ind w:firstLine="420"/>
        <w:jc w:val="left"/>
        <w:rPr>
          <w:rFonts w:asciiTheme="minorEastAsia" w:hAnsiTheme="minorEastAsia" w:cstheme="minorEastAsia"/>
          <w:szCs w:val="21"/>
        </w:rPr>
      </w:pPr>
    </w:p>
    <w:p>
      <w:pPr>
        <w:adjustRightInd w:val="0"/>
        <w:snapToGrid w:val="0"/>
        <w:spacing w:line="360" w:lineRule="auto"/>
        <w:jc w:val="left"/>
        <w:rPr>
          <w:rFonts w:asciiTheme="minorEastAsia" w:hAnsiTheme="minorEastAsia" w:cstheme="minorEastAsia"/>
          <w:szCs w:val="21"/>
          <w:u w:val="single"/>
        </w:rPr>
      </w:pPr>
      <w:r>
        <w:rPr>
          <w:rFonts w:hint="eastAsia" w:asciiTheme="minorEastAsia" w:hAnsiTheme="minorEastAsia" w:cstheme="minorEastAsia"/>
          <w:szCs w:val="21"/>
        </w:rPr>
        <w:t xml:space="preserve">需方（公章）：                          供方(公章)：                          </w:t>
      </w:r>
      <w:r>
        <w:rPr>
          <w:rFonts w:hint="eastAsia" w:asciiTheme="minorEastAsia" w:hAnsiTheme="minorEastAsia" w:cstheme="minorEastAsia"/>
          <w:szCs w:val="21"/>
          <w:u w:val="single"/>
        </w:rPr>
        <w:t xml:space="preserve">                 </w:t>
      </w:r>
    </w:p>
    <w:p>
      <w:pPr>
        <w:adjustRightInd w:val="0"/>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法定代表人或授权代表人(签字):          法定代表人或授权代表人(签字):</w:t>
      </w:r>
      <w:r>
        <w:rPr>
          <w:rFonts w:hint="eastAsia" w:asciiTheme="minorEastAsia" w:hAnsiTheme="minorEastAsia" w:cstheme="minorEastAsia"/>
          <w:szCs w:val="21"/>
          <w:u w:val="single"/>
        </w:rPr>
        <w:t xml:space="preserve">  </w:t>
      </w:r>
    </w:p>
    <w:p>
      <w:pPr>
        <w:adjustRightInd w:val="0"/>
        <w:snapToGrid w:val="0"/>
        <w:spacing w:line="360" w:lineRule="auto"/>
        <w:rPr>
          <w:rFonts w:asciiTheme="minorEastAsia" w:hAnsiTheme="minorEastAsia" w:cstheme="minorEastAsia"/>
          <w:szCs w:val="21"/>
          <w:u w:val="single"/>
        </w:rPr>
      </w:pPr>
      <w:r>
        <w:rPr>
          <w:rFonts w:hint="eastAsia" w:asciiTheme="minorEastAsia" w:hAnsiTheme="minorEastAsia" w:cstheme="minorEastAsia"/>
          <w:szCs w:val="21"/>
        </w:rPr>
        <w:t>地址：</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地址：</w:t>
      </w:r>
      <w:r>
        <w:rPr>
          <w:rFonts w:hint="eastAsia" w:asciiTheme="minorEastAsia" w:hAnsiTheme="minorEastAsia" w:cstheme="minorEastAsia"/>
          <w:szCs w:val="21"/>
          <w:u w:val="single"/>
        </w:rPr>
        <w:t xml:space="preserve">                            </w:t>
      </w:r>
    </w:p>
    <w:p>
      <w:pPr>
        <w:adjustRightInd w:val="0"/>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联系人：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联系人：</w:t>
      </w:r>
      <w:r>
        <w:rPr>
          <w:rFonts w:hint="eastAsia" w:asciiTheme="minorEastAsia" w:hAnsiTheme="minorEastAsia" w:cstheme="minorEastAsia"/>
          <w:szCs w:val="21"/>
          <w:u w:val="single"/>
        </w:rPr>
        <w:t xml:space="preserve">                          </w:t>
      </w:r>
    </w:p>
    <w:p>
      <w:pPr>
        <w:adjustRightInd w:val="0"/>
        <w:snapToGrid w:val="0"/>
        <w:spacing w:line="360" w:lineRule="auto"/>
        <w:rPr>
          <w:rFonts w:asciiTheme="minorEastAsia" w:hAnsiTheme="minorEastAsia" w:cstheme="minorEastAsia"/>
          <w:szCs w:val="21"/>
          <w:u w:val="single"/>
        </w:rPr>
      </w:pPr>
      <w:r>
        <w:rPr>
          <w:rFonts w:hint="eastAsia" w:asciiTheme="minorEastAsia" w:hAnsiTheme="minorEastAsia" w:cstheme="minorEastAsia"/>
          <w:szCs w:val="21"/>
        </w:rPr>
        <w:t>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电话：</w:t>
      </w:r>
      <w:r>
        <w:rPr>
          <w:rFonts w:hint="eastAsia" w:asciiTheme="minorEastAsia" w:hAnsiTheme="minorEastAsia" w:cstheme="minorEastAsia"/>
          <w:szCs w:val="21"/>
          <w:u w:val="single"/>
        </w:rPr>
        <w:t xml:space="preserve">                            </w:t>
      </w:r>
    </w:p>
    <w:p>
      <w:pPr>
        <w:adjustRightInd w:val="0"/>
        <w:snapToGrid w:val="0"/>
        <w:spacing w:line="360" w:lineRule="auto"/>
        <w:rPr>
          <w:rFonts w:asciiTheme="minorEastAsia" w:hAnsiTheme="minorEastAsia" w:cstheme="minorEastAsia"/>
          <w:szCs w:val="21"/>
          <w:u w:val="single"/>
        </w:rPr>
      </w:pPr>
      <w:r>
        <w:rPr>
          <w:rFonts w:hint="eastAsia" w:asciiTheme="minorEastAsia" w:hAnsiTheme="minorEastAsia" w:cstheme="minorEastAsia"/>
          <w:szCs w:val="21"/>
        </w:rPr>
        <w:t>传真：</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传真：</w:t>
      </w:r>
      <w:r>
        <w:rPr>
          <w:rFonts w:hint="eastAsia" w:asciiTheme="minorEastAsia" w:hAnsiTheme="minorEastAsia" w:cstheme="minorEastAsia"/>
          <w:szCs w:val="21"/>
          <w:u w:val="single"/>
        </w:rPr>
        <w:t xml:space="preserve">                            </w:t>
      </w:r>
    </w:p>
    <w:p>
      <w:pPr>
        <w:adjustRightInd w:val="0"/>
        <w:snapToGrid w:val="0"/>
        <w:spacing w:line="360" w:lineRule="auto"/>
        <w:rPr>
          <w:rFonts w:asciiTheme="minorEastAsia" w:hAnsiTheme="minorEastAsia" w:cstheme="minorEastAsia"/>
          <w:szCs w:val="21"/>
          <w:u w:val="single"/>
        </w:rPr>
      </w:pPr>
      <w:r>
        <w:rPr>
          <w:rFonts w:hint="eastAsia" w:asciiTheme="minorEastAsia" w:hAnsiTheme="minorEastAsia" w:cstheme="minorEastAsia"/>
          <w:szCs w:val="21"/>
        </w:rPr>
        <w:t>邮编：</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邮编：</w:t>
      </w:r>
      <w:r>
        <w:rPr>
          <w:rFonts w:hint="eastAsia" w:asciiTheme="minorEastAsia" w:hAnsiTheme="minorEastAsia" w:cstheme="minorEastAsia"/>
          <w:szCs w:val="21"/>
          <w:u w:val="single"/>
        </w:rPr>
        <w:t xml:space="preserve">                           </w:t>
      </w:r>
    </w:p>
    <w:p>
      <w:pPr>
        <w:pStyle w:val="19"/>
        <w:ind w:firstLine="0" w:firstLineChars="0"/>
        <w:rPr>
          <w:sz w:val="24"/>
          <w:szCs w:val="24"/>
        </w:rPr>
      </w:pPr>
      <w:r>
        <w:rPr>
          <w:rFonts w:hint="eastAsia" w:asciiTheme="minorEastAsia" w:hAnsiTheme="minorEastAsia" w:cstheme="minorEastAsia"/>
          <w:sz w:val="21"/>
          <w:szCs w:val="21"/>
        </w:rPr>
        <w:t xml:space="preserve">日期： </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r>
        <w:rPr>
          <w:rFonts w:hint="eastAsia" w:asciiTheme="minorEastAsia" w:hAnsiTheme="minorEastAsia" w:cstheme="minorEastAsia"/>
          <w:sz w:val="21"/>
          <w:szCs w:val="21"/>
        </w:rPr>
        <w:t xml:space="preserve">日期： </w:t>
      </w:r>
      <w:r>
        <w:rPr>
          <w:rFonts w:hint="eastAsia" w:asciiTheme="minorEastAsia" w:hAnsiTheme="minorEastAsia" w:cstheme="minorEastAsia"/>
          <w:szCs w:val="21"/>
          <w:u w:val="single"/>
        </w:rPr>
        <w:t xml:space="preserve">                         </w:t>
      </w:r>
    </w:p>
    <w:p>
      <w:pPr>
        <w:pStyle w:val="19"/>
        <w:ind w:firstLine="246"/>
        <w:rPr>
          <w:sz w:val="24"/>
          <w:szCs w:val="24"/>
        </w:rPr>
        <w:sectPr>
          <w:footerReference r:id="rId11" w:type="first"/>
          <w:footerReference r:id="rId10" w:type="default"/>
          <w:pgSz w:w="11906" w:h="16838"/>
          <w:pgMar w:top="1440" w:right="1803" w:bottom="1440" w:left="1803" w:header="850" w:footer="992" w:gutter="0"/>
          <w:cols w:space="720" w:num="1"/>
          <w:titlePg/>
          <w:docGrid w:type="linesAndChars" w:linePitch="381" w:charSpace="1228"/>
        </w:sectPr>
      </w:pPr>
      <w:r>
        <w:rPr>
          <w:rFonts w:hint="eastAsia"/>
          <w:sz w:val="24"/>
          <w:szCs w:val="24"/>
        </w:rPr>
        <w:t xml:space="preserve"> </w:t>
      </w:r>
    </w:p>
    <w:p>
      <w:pPr>
        <w:pStyle w:val="3"/>
        <w:keepNext w:val="0"/>
        <w:pageBreakBefore/>
        <w:spacing w:before="325" w:beforeLines="100" w:after="487" w:afterLines="150" w:line="500" w:lineRule="exact"/>
        <w:jc w:val="center"/>
        <w:rPr>
          <w:rFonts w:asciiTheme="minorEastAsia" w:hAnsiTheme="minorEastAsia" w:eastAsiaTheme="minorEastAsia" w:cstheme="minorEastAsia"/>
        </w:rPr>
      </w:pPr>
      <w:bookmarkStart w:id="180" w:name="_Toc13252"/>
      <w:r>
        <w:rPr>
          <w:rFonts w:hint="eastAsia" w:asciiTheme="minorEastAsia" w:hAnsiTheme="minorEastAsia" w:eastAsiaTheme="minorEastAsia" w:cstheme="minorEastAsia"/>
          <w:sz w:val="36"/>
          <w:szCs w:val="36"/>
        </w:rPr>
        <w:t>第七部分  投标文件格式</w:t>
      </w:r>
      <w:bookmarkEnd w:id="92"/>
      <w:bookmarkEnd w:id="180"/>
    </w:p>
    <w:p>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项目编号：</w:t>
      </w:r>
      <w:r>
        <w:rPr>
          <w:rFonts w:hint="eastAsia" w:asciiTheme="minorEastAsia" w:hAnsiTheme="minorEastAsia" w:cstheme="minorEastAsia"/>
          <w:b/>
          <w:w w:val="120"/>
          <w:sz w:val="28"/>
          <w:szCs w:val="28"/>
          <w:lang w:eastAsia="zh-CN"/>
        </w:rPr>
        <w:t>SXWZ2022ZB-YXY-126A</w:t>
      </w:r>
      <w:r>
        <w:rPr>
          <w:rFonts w:hint="eastAsia" w:asciiTheme="minorEastAsia" w:hAnsiTheme="minorEastAsia" w:cstheme="minorEastAsia"/>
          <w:b/>
          <w:w w:val="120"/>
          <w:sz w:val="28"/>
          <w:szCs w:val="28"/>
        </w:rPr>
        <w:t xml:space="preserve">       （正本或副本）</w:t>
      </w:r>
    </w:p>
    <w:p>
      <w:pPr>
        <w:snapToGrid w:val="0"/>
        <w:spacing w:line="360" w:lineRule="auto"/>
        <w:ind w:right="-99" w:rightChars="-47"/>
        <w:rPr>
          <w:rFonts w:asciiTheme="minorEastAsia" w:hAnsiTheme="minorEastAsia" w:cstheme="minorEastAsia"/>
          <w:b/>
          <w:bCs/>
          <w:sz w:val="72"/>
          <w:szCs w:val="72"/>
        </w:rPr>
      </w:pPr>
      <w:r>
        <w:rPr>
          <w:rFonts w:hint="eastAsia" w:ascii="宋体" w:hAnsi="宋体" w:cs="宋体"/>
          <w:b/>
          <w:bCs/>
          <w:sz w:val="72"/>
          <w:szCs w:val="72"/>
        </w:rPr>
        <w:t xml:space="preserve">         </w:t>
      </w:r>
    </w:p>
    <w:p>
      <w:pPr>
        <w:snapToGrid w:val="0"/>
        <w:spacing w:line="480" w:lineRule="auto"/>
        <w:jc w:val="center"/>
        <w:rPr>
          <w:rFonts w:hint="eastAsia" w:asciiTheme="minorEastAsia" w:hAnsiTheme="minorEastAsia" w:eastAsiaTheme="minorEastAsia" w:cstheme="minorEastAsia"/>
          <w:b/>
          <w:bCs/>
          <w:sz w:val="48"/>
          <w:szCs w:val="48"/>
          <w:lang w:eastAsia="zh-CN"/>
        </w:rPr>
      </w:pPr>
      <w:r>
        <w:rPr>
          <w:rFonts w:hint="eastAsia" w:asciiTheme="minorEastAsia" w:hAnsiTheme="minorEastAsia" w:cstheme="minorEastAsia"/>
          <w:b/>
          <w:bCs/>
          <w:sz w:val="48"/>
          <w:szCs w:val="48"/>
          <w:lang w:eastAsia="zh-CN"/>
        </w:rPr>
        <w:t>西安医学院基本教学实验设备补充更新项目（二次）</w:t>
      </w:r>
    </w:p>
    <w:p>
      <w:pPr>
        <w:pStyle w:val="19"/>
        <w:ind w:firstLine="180"/>
      </w:pPr>
    </w:p>
    <w:p>
      <w:pPr>
        <w:snapToGrid w:val="0"/>
        <w:spacing w:line="48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投标文件</w:t>
      </w:r>
    </w:p>
    <w:p>
      <w:pPr>
        <w:pStyle w:val="19"/>
        <w:ind w:firstLine="723"/>
        <w:rPr>
          <w:rFonts w:asciiTheme="minorEastAsia" w:hAnsiTheme="minorEastAsia" w:cstheme="minorEastAsia"/>
          <w:b/>
          <w:bCs/>
          <w:sz w:val="72"/>
          <w:szCs w:val="72"/>
        </w:rPr>
      </w:pPr>
    </w:p>
    <w:p>
      <w:pPr>
        <w:pStyle w:val="19"/>
        <w:ind w:firstLine="723"/>
        <w:rPr>
          <w:rFonts w:asciiTheme="minorEastAsia" w:hAnsiTheme="minorEastAsia" w:cstheme="minorEastAsia"/>
          <w:b/>
          <w:bCs/>
          <w:sz w:val="72"/>
          <w:szCs w:val="72"/>
        </w:rPr>
      </w:pPr>
    </w:p>
    <w:p>
      <w:pPr>
        <w:snapToGrid w:val="0"/>
        <w:spacing w:line="480" w:lineRule="auto"/>
        <w:ind w:firstLine="1600" w:firstLineChars="500"/>
        <w:jc w:val="left"/>
        <w:rPr>
          <w:rFonts w:hint="eastAsia" w:asciiTheme="minorEastAsia" w:hAnsiTheme="minorEastAsia" w:cstheme="minorEastAsia"/>
          <w:sz w:val="32"/>
          <w:szCs w:val="32"/>
          <w:lang w:val="zh-CN"/>
        </w:rPr>
      </w:pPr>
      <w:r>
        <w:rPr>
          <w:rFonts w:hint="eastAsia" w:asciiTheme="minorEastAsia" w:hAnsiTheme="minorEastAsia" w:cstheme="minorEastAsia"/>
          <w:sz w:val="32"/>
          <w:szCs w:val="32"/>
          <w:lang w:val="zh-CN"/>
        </w:rPr>
        <w:t>投标人（单位名称及公章）：</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p>
    <w:p>
      <w:pPr>
        <w:pageBreakBefore/>
        <w:spacing w:before="325" w:beforeLines="100" w:after="487"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10"/>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第一章   投标函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开标一览表 </w:t>
      </w:r>
    </w:p>
    <w:p>
      <w:pPr>
        <w:pStyle w:val="10"/>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分项报价表</w:t>
      </w:r>
    </w:p>
    <w:p>
      <w:pPr>
        <w:pStyle w:val="10"/>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第四章   投标保证金</w:t>
      </w:r>
    </w:p>
    <w:p>
      <w:pPr>
        <w:pStyle w:val="10"/>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投标人资质证明资料</w:t>
      </w:r>
    </w:p>
    <w:p>
      <w:pPr>
        <w:pStyle w:val="10"/>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商务和技术响应偏离表</w:t>
      </w:r>
    </w:p>
    <w:p>
      <w:pPr>
        <w:pStyle w:val="10"/>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第七</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技术支持资料</w:t>
      </w:r>
    </w:p>
    <w:p>
      <w:pPr>
        <w:pStyle w:val="10"/>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投标人业绩一览表</w:t>
      </w:r>
    </w:p>
    <w:p>
      <w:pPr>
        <w:pStyle w:val="10"/>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第九</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第十章   投标人承诺书</w:t>
      </w:r>
    </w:p>
    <w:p>
      <w:pPr>
        <w:pStyle w:val="4"/>
        <w:pageBreakBefore/>
        <w:spacing w:before="325" w:beforeLines="100" w:after="487" w:afterLines="150" w:line="500" w:lineRule="exact"/>
        <w:rPr>
          <w:rFonts w:asciiTheme="minorEastAsia" w:hAnsiTheme="minorEastAsia" w:eastAsiaTheme="minorEastAsia" w:cstheme="minorEastAsia"/>
          <w:sz w:val="36"/>
          <w:szCs w:val="36"/>
        </w:rPr>
      </w:pPr>
      <w:bookmarkStart w:id="181" w:name="_Toc21472"/>
      <w:bookmarkStart w:id="182" w:name="_Toc30704"/>
      <w:r>
        <w:rPr>
          <w:rFonts w:hint="eastAsia" w:asciiTheme="minorEastAsia" w:hAnsiTheme="minorEastAsia" w:eastAsiaTheme="minorEastAsia" w:cstheme="minorEastAsia"/>
          <w:sz w:val="36"/>
          <w:szCs w:val="36"/>
        </w:rPr>
        <w:t>第一章  投标函</w:t>
      </w:r>
      <w:bookmarkEnd w:id="181"/>
      <w:bookmarkEnd w:id="182"/>
    </w:p>
    <w:p>
      <w:pPr>
        <w:adjustRightInd w:val="0"/>
        <w:snapToGrid w:val="0"/>
        <w:spacing w:line="276" w:lineRule="auto"/>
        <w:jc w:val="left"/>
        <w:rPr>
          <w:rFonts w:asciiTheme="minorEastAsia" w:hAnsiTheme="minorEastAsia" w:cstheme="minorEastAsia"/>
          <w:bCs/>
          <w:sz w:val="28"/>
          <w:szCs w:val="28"/>
        </w:rPr>
      </w:pPr>
      <w:r>
        <w:rPr>
          <w:rFonts w:hint="eastAsia" w:asciiTheme="minorEastAsia" w:hAnsiTheme="minorEastAsia" w:cstheme="minorEastAsia"/>
          <w:b/>
          <w:bCs/>
          <w:sz w:val="28"/>
          <w:szCs w:val="28"/>
        </w:rPr>
        <w:t>陕西万泽招标有限公司</w:t>
      </w:r>
      <w:r>
        <w:rPr>
          <w:rFonts w:hint="eastAsia" w:asciiTheme="minorEastAsia" w:hAnsiTheme="minorEastAsia" w:cstheme="minorEastAsia"/>
          <w:bCs/>
          <w:sz w:val="28"/>
          <w:szCs w:val="28"/>
        </w:rPr>
        <w:t>：</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我单位收到编号为：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2、按照招标文件的规定，完成总体供货和服务的投标总报价为：</w:t>
      </w:r>
    </w:p>
    <w:p>
      <w:pPr>
        <w:adjustRightInd w:val="0"/>
        <w:snapToGrid w:val="0"/>
        <w:spacing w:line="360" w:lineRule="auto"/>
        <w:ind w:left="210" w:leftChars="100"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人民币（大写）：</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；（小写）</w:t>
      </w:r>
      <w:r>
        <w:rPr>
          <w:rFonts w:hint="eastAsia" w:asciiTheme="minorEastAsia" w:hAnsiTheme="minorEastAsia" w:cstheme="minorEastAsia"/>
          <w:spacing w:val="-6"/>
          <w:sz w:val="24"/>
          <w:szCs w:val="24"/>
        </w:rPr>
        <w:t>￥</w:t>
      </w:r>
      <w:r>
        <w:rPr>
          <w:rFonts w:hint="eastAsia" w:asciiTheme="minorEastAsia" w:hAnsiTheme="minorEastAsia" w:cstheme="minorEastAsia"/>
          <w:sz w:val="24"/>
          <w:szCs w:val="24"/>
        </w:rPr>
        <w:t>：</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3、我方提交的投标文件正本一份、副本四份，电子文档一份、开标一览表一份。</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7、我方承诺投标有效期为开标后</w:t>
      </w:r>
      <w:r>
        <w:rPr>
          <w:rFonts w:hint="eastAsia" w:asciiTheme="minorEastAsia" w:hAnsiTheme="minorEastAsia" w:cstheme="minorEastAsia"/>
          <w:sz w:val="24"/>
          <w:szCs w:val="24"/>
          <w:u w:val="single"/>
        </w:rPr>
        <w:t xml:space="preserve">    90    </w:t>
      </w:r>
      <w:r>
        <w:rPr>
          <w:rFonts w:hint="eastAsia" w:asciiTheme="minorEastAsia" w:hAnsiTheme="minorEastAsia" w:cstheme="minorEastAsia"/>
          <w:sz w:val="24"/>
          <w:szCs w:val="24"/>
        </w:rPr>
        <w:t>日历日内有效。</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8、所有关于本次投标的函电，请按下列地址联系：</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地    址： </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开户银行： </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帐    号：</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电    话：</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传    真：</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邮    编：</w:t>
      </w:r>
      <w:r>
        <w:rPr>
          <w:rFonts w:hint="eastAsia" w:asciiTheme="minorEastAsia" w:hAnsiTheme="minorEastAsia" w:cstheme="minorEastAsia"/>
          <w:sz w:val="24"/>
          <w:szCs w:val="24"/>
          <w:u w:val="single"/>
        </w:rPr>
        <w:t xml:space="preserve">                                  </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pPr>
        <w:widowControl/>
        <w:spacing w:line="460" w:lineRule="exact"/>
        <w:ind w:firstLine="480" w:firstLineChars="200"/>
        <w:jc w:val="left"/>
        <w:rPr>
          <w:rFonts w:asciiTheme="minorEastAsia" w:hAnsiTheme="minorEastAsia" w:cstheme="minorEastAsia"/>
          <w:sz w:val="24"/>
          <w:szCs w:val="24"/>
          <w:u w:val="single"/>
        </w:rPr>
      </w:pPr>
    </w:p>
    <w:p>
      <w:pPr>
        <w:pStyle w:val="10"/>
        <w:spacing w:line="480" w:lineRule="auto"/>
        <w:ind w:firstLine="643" w:firstLineChars="200"/>
        <w:jc w:val="center"/>
        <w:rPr>
          <w:rFonts w:asciiTheme="minorEastAsia" w:hAnsiTheme="minorEastAsia" w:cstheme="minorEastAsia"/>
          <w:b/>
          <w:sz w:val="32"/>
        </w:rPr>
      </w:pPr>
    </w:p>
    <w:p>
      <w:pPr>
        <w:pStyle w:val="4"/>
        <w:spacing w:before="325" w:beforeLines="100" w:after="487" w:afterLines="150" w:line="500" w:lineRule="exact"/>
        <w:rPr>
          <w:rFonts w:asciiTheme="minorEastAsia" w:hAnsiTheme="minorEastAsia" w:eastAsiaTheme="minorEastAsia" w:cstheme="minorEastAsia"/>
          <w:sz w:val="36"/>
          <w:szCs w:val="36"/>
        </w:rPr>
      </w:pPr>
      <w:bookmarkStart w:id="183" w:name="_Toc15401"/>
      <w:bookmarkStart w:id="184" w:name="_Toc24595"/>
      <w:r>
        <w:rPr>
          <w:rFonts w:hint="eastAsia" w:asciiTheme="minorEastAsia" w:hAnsiTheme="minorEastAsia" w:eastAsiaTheme="minorEastAsia" w:cstheme="minorEastAsia"/>
          <w:sz w:val="36"/>
          <w:szCs w:val="36"/>
        </w:rPr>
        <w:t>第二章  开标一览表</w:t>
      </w:r>
      <w:bookmarkEnd w:id="183"/>
      <w:bookmarkEnd w:id="184"/>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r>
        <w:rPr>
          <w:rFonts w:hint="eastAsia" w:asciiTheme="minorEastAsia" w:hAnsiTheme="minorEastAsia" w:cstheme="minorEastAsia"/>
          <w:sz w:val="28"/>
          <w:szCs w:val="28"/>
          <w:u w:val="single"/>
        </w:rPr>
        <w:t xml:space="preserve">                                       </w:t>
      </w:r>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项目编号：</w:t>
      </w:r>
      <w:r>
        <w:rPr>
          <w:rFonts w:hint="eastAsia" w:asciiTheme="minorEastAsia" w:hAnsiTheme="minorEastAsia" w:cstheme="minorEastAsia"/>
          <w:sz w:val="28"/>
          <w:szCs w:val="28"/>
          <w:u w:val="single"/>
        </w:rPr>
        <w:t xml:space="preserve">                                       </w:t>
      </w:r>
    </w:p>
    <w:p>
      <w:pPr>
        <w:kinsoku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单    位：元</w:t>
      </w:r>
    </w:p>
    <w:tbl>
      <w:tblPr>
        <w:tblStyle w:val="20"/>
        <w:tblpPr w:leftFromText="180" w:rightFromText="180" w:vertAnchor="text" w:horzAnchor="page" w:tblpXSpec="center" w:tblpY="360"/>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2377"/>
        <w:gridCol w:w="205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348" w:type="dxa"/>
            <w:tcBorders>
              <w:tl2br w:val="single" w:color="auto" w:sz="4" w:space="0"/>
            </w:tcBorders>
          </w:tcPr>
          <w:p>
            <w:pPr>
              <w:kinsoku w:val="0"/>
              <w:spacing w:line="480" w:lineRule="auto"/>
              <w:ind w:firstLine="840" w:firstLineChars="400"/>
              <w:jc w:val="left"/>
              <w:rPr>
                <w:rFonts w:ascii="宋体" w:hAnsi="宋体" w:cs="宋体"/>
                <w:szCs w:val="21"/>
              </w:rPr>
            </w:pPr>
            <w:r>
              <w:rPr>
                <w:rFonts w:ascii="宋体" w:hAnsi="宋体" w:cs="宋体"/>
                <w:szCs w:val="21"/>
              </w:rPr>
              <w:t>报价内</w:t>
            </w:r>
            <w:r>
              <w:rPr>
                <w:rFonts w:hint="eastAsia" w:ascii="宋体" w:hAnsi="宋体" w:cs="宋体"/>
                <w:szCs w:val="21"/>
              </w:rPr>
              <w:t>容</w:t>
            </w:r>
          </w:p>
          <w:p>
            <w:pPr>
              <w:kinsoku w:val="0"/>
              <w:spacing w:line="480" w:lineRule="auto"/>
              <w:jc w:val="left"/>
              <w:rPr>
                <w:rFonts w:ascii="宋体" w:hAnsi="宋体" w:cs="宋体"/>
                <w:szCs w:val="21"/>
              </w:rPr>
            </w:pPr>
            <w:r>
              <w:rPr>
                <w:rFonts w:hint="eastAsia" w:ascii="宋体" w:hAnsi="宋体" w:cs="宋体"/>
                <w:szCs w:val="21"/>
              </w:rPr>
              <w:t>投</w:t>
            </w:r>
            <w:r>
              <w:rPr>
                <w:rFonts w:ascii="宋体" w:hAnsi="宋体" w:cs="宋体"/>
                <w:szCs w:val="21"/>
              </w:rPr>
              <w:t>标内</w:t>
            </w:r>
            <w:r>
              <w:rPr>
                <w:rFonts w:hint="eastAsia" w:ascii="宋体" w:hAnsi="宋体" w:cs="宋体"/>
                <w:szCs w:val="21"/>
              </w:rPr>
              <w:t>容</w:t>
            </w:r>
          </w:p>
        </w:tc>
        <w:tc>
          <w:tcPr>
            <w:tcW w:w="2377" w:type="dxa"/>
            <w:vAlign w:val="center"/>
          </w:tcPr>
          <w:p>
            <w:pPr>
              <w:kinsoku w:val="0"/>
              <w:spacing w:line="480" w:lineRule="auto"/>
              <w:jc w:val="center"/>
              <w:rPr>
                <w:rFonts w:ascii="宋体" w:hAnsi="宋体" w:cs="宋体"/>
                <w:szCs w:val="21"/>
              </w:rPr>
            </w:pPr>
            <w:r>
              <w:rPr>
                <w:rFonts w:hint="eastAsia" w:ascii="宋体" w:hAnsi="宋体" w:cs="宋体"/>
                <w:szCs w:val="21"/>
              </w:rPr>
              <w:t>投标总报价（元）</w:t>
            </w:r>
          </w:p>
        </w:tc>
        <w:tc>
          <w:tcPr>
            <w:tcW w:w="2050" w:type="dxa"/>
            <w:vAlign w:val="center"/>
          </w:tcPr>
          <w:p>
            <w:pPr>
              <w:kinsoku w:val="0"/>
              <w:spacing w:line="480" w:lineRule="auto"/>
              <w:ind w:firstLine="420" w:firstLineChars="200"/>
              <w:rPr>
                <w:rFonts w:ascii="宋体" w:hAnsi="宋体" w:cs="宋体"/>
                <w:szCs w:val="21"/>
              </w:rPr>
            </w:pPr>
            <w:r>
              <w:rPr>
                <w:rFonts w:hint="eastAsia" w:ascii="宋体" w:hAnsi="宋体" w:cs="宋体"/>
                <w:szCs w:val="21"/>
              </w:rPr>
              <w:t>交货期</w:t>
            </w:r>
          </w:p>
        </w:tc>
        <w:tc>
          <w:tcPr>
            <w:tcW w:w="2469" w:type="dxa"/>
            <w:vAlign w:val="center"/>
          </w:tcPr>
          <w:p>
            <w:pPr>
              <w:kinsoku w:val="0"/>
              <w:spacing w:line="480" w:lineRule="auto"/>
              <w:ind w:firstLine="840" w:firstLineChars="400"/>
              <w:rPr>
                <w:rFonts w:ascii="宋体" w:hAnsi="宋体" w:cs="宋体"/>
                <w:szCs w:val="21"/>
              </w:rPr>
            </w:pPr>
            <w:r>
              <w:rPr>
                <w:rFonts w:hint="eastAsia" w:ascii="宋体" w:hAnsi="宋体" w:cs="宋体"/>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2348" w:type="dxa"/>
            <w:vAlign w:val="center"/>
          </w:tcPr>
          <w:p>
            <w:pPr>
              <w:kinsoku w:val="0"/>
              <w:spacing w:line="480" w:lineRule="auto"/>
              <w:jc w:val="left"/>
              <w:rPr>
                <w:rFonts w:hint="eastAsia" w:ascii="宋体" w:hAnsi="宋体" w:cs="宋体" w:eastAsiaTheme="minorEastAsia"/>
                <w:szCs w:val="21"/>
                <w:lang w:eastAsia="zh-CN"/>
              </w:rPr>
            </w:pPr>
            <w:r>
              <w:rPr>
                <w:rFonts w:hint="eastAsia" w:ascii="宋体" w:hAnsi="宋体" w:cs="宋体"/>
                <w:szCs w:val="21"/>
                <w:lang w:eastAsia="zh-CN"/>
              </w:rPr>
              <w:t>西安医学院基本教学实验设备补充更新项目（二次）</w:t>
            </w:r>
          </w:p>
        </w:tc>
        <w:tc>
          <w:tcPr>
            <w:tcW w:w="2377" w:type="dxa"/>
            <w:vAlign w:val="center"/>
          </w:tcPr>
          <w:p>
            <w:pPr>
              <w:kinsoku w:val="0"/>
              <w:spacing w:line="480" w:lineRule="auto"/>
              <w:jc w:val="left"/>
              <w:rPr>
                <w:rFonts w:ascii="宋体" w:hAnsi="宋体" w:cs="宋体"/>
                <w:szCs w:val="21"/>
              </w:rPr>
            </w:pPr>
          </w:p>
        </w:tc>
        <w:tc>
          <w:tcPr>
            <w:tcW w:w="2050" w:type="dxa"/>
            <w:vAlign w:val="center"/>
          </w:tcPr>
          <w:p>
            <w:pPr>
              <w:tabs>
                <w:tab w:val="left" w:pos="420"/>
              </w:tabs>
              <w:spacing w:line="360" w:lineRule="auto"/>
              <w:rPr>
                <w:rFonts w:ascii="宋体" w:hAnsi="宋体" w:cs="宋体"/>
                <w:sz w:val="24"/>
                <w:szCs w:val="24"/>
              </w:rPr>
            </w:pPr>
          </w:p>
          <w:p>
            <w:pPr>
              <w:tabs>
                <w:tab w:val="left" w:pos="420"/>
              </w:tabs>
              <w:spacing w:line="360" w:lineRule="auto"/>
              <w:rPr>
                <w:rFonts w:ascii="宋体" w:hAnsi="宋体" w:cs="宋体"/>
                <w:sz w:val="24"/>
                <w:szCs w:val="24"/>
              </w:rPr>
            </w:pPr>
          </w:p>
          <w:p>
            <w:pPr>
              <w:tabs>
                <w:tab w:val="left" w:pos="420"/>
              </w:tabs>
              <w:spacing w:line="360" w:lineRule="auto"/>
              <w:rPr>
                <w:rFonts w:asciiTheme="minorEastAsia" w:hAnsiTheme="minorEastAsia" w:cstheme="minorEastAsia"/>
                <w:bCs/>
                <w:sz w:val="24"/>
                <w:szCs w:val="24"/>
              </w:rPr>
            </w:pPr>
            <w:r>
              <w:rPr>
                <w:rFonts w:hint="eastAsia" w:ascii="宋体" w:hAnsi="宋体" w:cs="宋体"/>
                <w:sz w:val="24"/>
                <w:szCs w:val="24"/>
              </w:rPr>
              <w:t>自合同签订之日起</w:t>
            </w:r>
            <w:r>
              <w:rPr>
                <w:rFonts w:hint="eastAsia" w:ascii="宋体" w:hAnsi="宋体" w:cs="宋体"/>
                <w:sz w:val="24"/>
                <w:szCs w:val="24"/>
                <w:u w:val="single"/>
              </w:rPr>
              <w:t xml:space="preserve">   </w:t>
            </w:r>
            <w:r>
              <w:rPr>
                <w:rFonts w:hint="eastAsia" w:ascii="宋体" w:hAnsi="宋体" w:cs="宋体"/>
                <w:sz w:val="24"/>
                <w:szCs w:val="24"/>
              </w:rPr>
              <w:t xml:space="preserve">日历日   </w:t>
            </w:r>
            <w:r>
              <w:rPr>
                <w:rFonts w:hint="eastAsia" w:asciiTheme="minorEastAsia" w:hAnsiTheme="minorEastAsia" w:cstheme="minorEastAsia"/>
                <w:bCs/>
                <w:sz w:val="24"/>
                <w:szCs w:val="24"/>
              </w:rPr>
              <w:t xml:space="preserve">                           </w:t>
            </w:r>
          </w:p>
          <w:p>
            <w:pPr>
              <w:kinsoku w:val="0"/>
              <w:spacing w:line="480" w:lineRule="auto"/>
              <w:ind w:firstLine="420" w:firstLineChars="200"/>
              <w:jc w:val="left"/>
              <w:rPr>
                <w:rFonts w:ascii="宋体" w:hAnsi="宋体" w:cs="宋体"/>
                <w:szCs w:val="21"/>
              </w:rPr>
            </w:pPr>
          </w:p>
        </w:tc>
        <w:tc>
          <w:tcPr>
            <w:tcW w:w="2469" w:type="dxa"/>
            <w:vAlign w:val="center"/>
          </w:tcPr>
          <w:p>
            <w:pPr>
              <w:kinsoku w:val="0"/>
              <w:spacing w:line="480" w:lineRule="auto"/>
              <w:jc w:val="left"/>
              <w:rPr>
                <w:rFonts w:ascii="宋体" w:hAnsi="宋体" w:cs="宋体"/>
                <w:szCs w:val="21"/>
              </w:rPr>
            </w:pPr>
            <w:r>
              <w:rPr>
                <w:rFonts w:hint="eastAsia" w:ascii="宋体" w:hAnsi="宋体" w:cs="宋体"/>
                <w:sz w:val="24"/>
                <w:szCs w:val="24"/>
              </w:rPr>
              <w:t>验收合格后</w:t>
            </w:r>
            <w:r>
              <w:rPr>
                <w:rFonts w:hint="eastAsia" w:ascii="宋体" w:hAnsi="宋体" w:cs="宋体"/>
                <w:sz w:val="24"/>
                <w:szCs w:val="24"/>
                <w:u w:val="single"/>
              </w:rPr>
              <w:t xml:space="preserve">   </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244" w:type="dxa"/>
            <w:gridSpan w:val="4"/>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投</w:t>
            </w:r>
            <w:r>
              <w:rPr>
                <w:rFonts w:ascii="宋体" w:hAnsi="宋体" w:cs="宋体"/>
                <w:szCs w:val="21"/>
              </w:rPr>
              <w:t>标总报价</w:t>
            </w:r>
            <w:r>
              <w:rPr>
                <w:rFonts w:hint="eastAsia" w:ascii="宋体" w:hAnsi="宋体" w:cs="宋体"/>
                <w:szCs w:val="21"/>
              </w:rPr>
              <w:t>：人民</w:t>
            </w:r>
            <w:r>
              <w:rPr>
                <w:rFonts w:ascii="宋体" w:hAnsi="宋体" w:cs="宋体"/>
                <w:szCs w:val="21"/>
              </w:rPr>
              <w:t>币</w:t>
            </w:r>
            <w:r>
              <w:rPr>
                <w:rFonts w:hint="eastAsia" w:ascii="宋体" w:hAnsi="宋体" w:cs="宋体"/>
                <w:szCs w:val="21"/>
                <w:u w:val="single"/>
              </w:rPr>
              <w:t>（大</w:t>
            </w:r>
            <w:r>
              <w:rPr>
                <w:rFonts w:ascii="宋体" w:hAnsi="宋体" w:cs="宋体"/>
                <w:szCs w:val="21"/>
                <w:u w:val="single"/>
              </w:rPr>
              <w:t>写</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u w:val="single"/>
              </w:rPr>
              <w:t>（小</w:t>
            </w:r>
            <w:r>
              <w:rPr>
                <w:rFonts w:ascii="宋体" w:hAnsi="宋体" w:cs="宋体"/>
                <w:szCs w:val="21"/>
                <w:u w:val="single"/>
              </w:rPr>
              <w:t>写</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244" w:type="dxa"/>
            <w:gridSpan w:val="4"/>
            <w:vAlign w:val="center"/>
          </w:tcPr>
          <w:p>
            <w:pPr>
              <w:kinsoku w:val="0"/>
              <w:spacing w:line="480" w:lineRule="auto"/>
              <w:ind w:firstLine="420" w:firstLineChars="200"/>
              <w:jc w:val="left"/>
            </w:pPr>
            <w:r>
              <w:t>备</w:t>
            </w:r>
            <w:r>
              <w:rPr>
                <w:rFonts w:hint="eastAsia"/>
              </w:rPr>
              <w:t>注：表</w:t>
            </w:r>
            <w:r>
              <w:t>内报价内</w:t>
            </w:r>
            <w:r>
              <w:rPr>
                <w:rFonts w:hint="eastAsia"/>
              </w:rPr>
              <w:t>容以元</w:t>
            </w:r>
            <w:r>
              <w:t>为单</w:t>
            </w:r>
            <w:r>
              <w:rPr>
                <w:rFonts w:hint="eastAsia"/>
              </w:rPr>
              <w:t xml:space="preserve">位，精确到小数点后两位。 </w:t>
            </w:r>
          </w:p>
          <w:p>
            <w:pPr>
              <w:pStyle w:val="19"/>
              <w:ind w:firstLine="1050" w:firstLineChars="500"/>
            </w:pPr>
            <w:r>
              <w:rPr>
                <w:rFonts w:hint="eastAsia" w:asciiTheme="minorHAnsi" w:hAnsiTheme="minorHAnsi"/>
                <w:sz w:val="21"/>
                <w:szCs w:val="22"/>
              </w:rPr>
              <w:t>交货期、质保期详见招标文件第五部分采购要求。</w:t>
            </w:r>
          </w:p>
        </w:tc>
      </w:tr>
    </w:tbl>
    <w:p>
      <w:pPr>
        <w:widowControl/>
        <w:tabs>
          <w:tab w:val="left" w:pos="4000"/>
        </w:tabs>
        <w:snapToGrid w:val="0"/>
        <w:spacing w:line="300" w:lineRule="auto"/>
        <w:jc w:val="left"/>
        <w:rPr>
          <w:rFonts w:asciiTheme="minorEastAsia" w:hAnsiTheme="minorEastAsia" w:cstheme="minorEastAsia"/>
          <w:b/>
          <w:bCs/>
          <w:spacing w:val="20"/>
          <w:kern w:val="0"/>
          <w:sz w:val="28"/>
          <w:szCs w:val="28"/>
        </w:rPr>
      </w:pPr>
      <w:r>
        <w:rPr>
          <w:rFonts w:hint="eastAsia" w:asciiTheme="minorEastAsia" w:hAnsiTheme="minorEastAsia" w:cstheme="minorEastAsia"/>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Theme="minorEastAsia" w:hAnsiTheme="minorEastAsia" w:cstheme="minorEastAsia"/>
          <w:b/>
          <w:bCs/>
          <w:spacing w:val="20"/>
          <w:kern w:val="0"/>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r>
        <w:rPr>
          <w:rFonts w:hint="eastAsia" w:asciiTheme="minorEastAsia" w:hAnsiTheme="minorEastAsia" w:cstheme="minorEastAsia"/>
          <w:sz w:val="28"/>
          <w:szCs w:val="28"/>
          <w:u w:val="single"/>
        </w:rPr>
        <w:t xml:space="preserve">                           </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r>
        <w:rPr>
          <w:rFonts w:hint="eastAsia" w:asciiTheme="minorEastAsia" w:hAnsiTheme="minorEastAsia" w:cstheme="minorEastAsia"/>
          <w:sz w:val="28"/>
          <w:szCs w:val="28"/>
          <w:u w:val="single"/>
        </w:rPr>
        <w:t xml:space="preserve">                       </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日    期：</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w:t>
      </w:r>
    </w:p>
    <w:p>
      <w:pPr>
        <w:jc w:val="left"/>
        <w:rPr>
          <w:rFonts w:asciiTheme="minorEastAsia" w:hAnsiTheme="minorEastAsia" w:cstheme="minorEastAsia"/>
          <w:b/>
          <w:sz w:val="32"/>
        </w:rPr>
        <w:sectPr>
          <w:headerReference r:id="rId12" w:type="default"/>
          <w:footerReference r:id="rId13"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sz w:val="32"/>
        </w:rPr>
        <w:br w:type="page"/>
      </w:r>
    </w:p>
    <w:p>
      <w:pPr>
        <w:pStyle w:val="4"/>
      </w:pPr>
      <w:bookmarkStart w:id="185" w:name="_Toc10661"/>
      <w:r>
        <w:rPr>
          <w:rFonts w:hint="eastAsia"/>
        </w:rPr>
        <w:t>第三章  分项报价表</w:t>
      </w:r>
      <w:bookmarkEnd w:id="185"/>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r>
        <w:rPr>
          <w:rFonts w:hint="eastAsia" w:asciiTheme="minorEastAsia" w:hAnsiTheme="minorEastAsia" w:cstheme="minorEastAsia"/>
          <w:sz w:val="28"/>
          <w:szCs w:val="28"/>
          <w:u w:val="single"/>
        </w:rPr>
        <w:t xml:space="preserve"> </w:t>
      </w:r>
    </w:p>
    <w:p>
      <w:pPr>
        <w:widowControl/>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项目编号： </w:t>
      </w:r>
    </w:p>
    <w:p>
      <w:pPr>
        <w:widowControl/>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共</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页，第</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页</w:t>
      </w:r>
    </w:p>
    <w:tbl>
      <w:tblPr>
        <w:tblStyle w:val="20"/>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pPr>
              <w:jc w:val="left"/>
              <w:rPr>
                <w:rFonts w:ascii="宋体" w:hAnsi="宋体"/>
                <w:sz w:val="22"/>
              </w:rPr>
            </w:pPr>
            <w:r>
              <w:rPr>
                <w:rFonts w:hint="eastAsia" w:ascii="宋体" w:hAnsi="宋体"/>
                <w:sz w:val="22"/>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ascii="宋体" w:hAnsi="宋体"/>
                <w:sz w:val="22"/>
              </w:rPr>
            </w:pPr>
            <w:r>
              <w:rPr>
                <w:rFonts w:hint="eastAsia" w:ascii="宋体" w:hAnsi="宋体"/>
                <w:sz w:val="22"/>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rPr>
            </w:pPr>
            <w:r>
              <w:rPr>
                <w:rFonts w:hint="eastAsia" w:ascii="宋体" w:hAnsi="宋体"/>
                <w:sz w:val="22"/>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162" w:beforeLines="50" w:after="120"/>
              <w:jc w:val="center"/>
              <w:rPr>
                <w:rFonts w:ascii="宋体" w:hAnsi="宋体"/>
                <w:sz w:val="22"/>
              </w:rPr>
            </w:pPr>
            <w:r>
              <w:rPr>
                <w:rFonts w:hint="eastAsia" w:ascii="宋体" w:hAnsi="宋体"/>
                <w:sz w:val="22"/>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rPr>
            </w:pPr>
          </w:p>
        </w:tc>
        <w:tc>
          <w:tcPr>
            <w:tcW w:w="528" w:type="dxa"/>
            <w:tcBorders>
              <w:top w:val="single" w:color="auto" w:sz="6" w:space="0"/>
              <w:left w:val="single" w:color="auto" w:sz="4" w:space="0"/>
              <w:bottom w:val="single" w:color="auto" w:sz="4" w:space="0"/>
            </w:tcBorders>
            <w:vAlign w:val="center"/>
          </w:tcPr>
          <w:p>
            <w:pPr>
              <w:spacing w:before="325" w:beforeLines="100"/>
              <w:jc w:val="center"/>
              <w:rPr>
                <w:rFonts w:ascii="宋体" w:hAnsi="宋体"/>
                <w:sz w:val="22"/>
              </w:rPr>
            </w:pPr>
            <w:r>
              <w:rPr>
                <w:rFonts w:hint="eastAsia" w:ascii="宋体" w:hAnsi="宋体"/>
                <w:sz w:val="22"/>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162"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162" w:beforeLines="50"/>
              <w:jc w:val="center"/>
              <w:rPr>
                <w:rFonts w:ascii="宋体" w:hAnsi="宋体"/>
                <w:sz w:val="22"/>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rPr>
            </w:pPr>
          </w:p>
        </w:tc>
      </w:tr>
      <w:tr>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rPr>
            </w:pPr>
            <w:r>
              <w:rPr>
                <w:rFonts w:hint="eastAsia" w:ascii="宋体" w:hAnsi="宋体"/>
                <w:sz w:val="22"/>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25" w:beforeLines="100"/>
              <w:jc w:val="center"/>
              <w:rPr>
                <w:rFonts w:ascii="宋体" w:hAnsi="宋体"/>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rPr>
            </w:pPr>
            <w:r>
              <w:rPr>
                <w:rFonts w:hint="eastAsia" w:ascii="宋体" w:hAnsi="宋体"/>
                <w:sz w:val="22"/>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25" w:beforeLines="100"/>
              <w:jc w:val="center"/>
              <w:rPr>
                <w:rFonts w:ascii="宋体" w:hAnsi="宋体"/>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rPr>
            </w:pPr>
            <w:r>
              <w:rPr>
                <w:rFonts w:hint="eastAsia" w:ascii="宋体" w:hAnsi="宋体"/>
                <w:sz w:val="22"/>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pPr>
              <w:spacing w:before="325" w:beforeLines="100"/>
              <w:jc w:val="center"/>
              <w:rPr>
                <w:rFonts w:ascii="宋体" w:hAnsi="宋体"/>
                <w:sz w:val="22"/>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b/>
                <w:sz w:val="22"/>
              </w:rPr>
            </w:pPr>
            <w:r>
              <w:rPr>
                <w:rFonts w:hint="eastAsia" w:ascii="宋体" w:hAnsi="宋体"/>
                <w:sz w:val="22"/>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安装调试费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62" w:beforeLines="50"/>
              <w:jc w:val="left"/>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rPr>
            </w:pPr>
            <w:r>
              <w:rPr>
                <w:rFonts w:hint="eastAsia" w:ascii="宋体" w:hAnsi="宋体"/>
                <w:spacing w:val="-6"/>
                <w:sz w:val="22"/>
              </w:rPr>
              <w:t>保留小数点后两位。</w:t>
            </w:r>
          </w:p>
        </w:tc>
      </w:tr>
    </w:tbl>
    <w:p>
      <w:pPr>
        <w:kinsoku w:val="0"/>
        <w:spacing w:line="360" w:lineRule="auto"/>
        <w:jc w:val="left"/>
        <w:rPr>
          <w:rFonts w:asciiTheme="minorEastAsia" w:hAnsiTheme="minorEastAsia" w:cstheme="minorEastAsia"/>
          <w:sz w:val="24"/>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r>
        <w:rPr>
          <w:rFonts w:hint="eastAsia" w:asciiTheme="minorEastAsia" w:hAnsiTheme="minorEastAsia" w:cstheme="minorEastAsia"/>
          <w:sz w:val="28"/>
          <w:szCs w:val="28"/>
          <w:u w:val="single"/>
        </w:rPr>
        <w:t xml:space="preserve">                          </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pPr>
        <w:adjustRightInd w:val="0"/>
        <w:snapToGrid w:val="0"/>
        <w:spacing w:line="480" w:lineRule="auto"/>
      </w:pPr>
      <w:r>
        <w:rPr>
          <w:rFonts w:hint="eastAsia" w:asciiTheme="minorEastAsia" w:hAnsiTheme="minorEastAsia" w:cstheme="minorEastAsia"/>
          <w:sz w:val="28"/>
          <w:szCs w:val="28"/>
        </w:rPr>
        <w:t>日    期：</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w:t>
      </w:r>
      <w:bookmarkStart w:id="186" w:name="_Toc15967"/>
    </w:p>
    <w:p>
      <w:pPr>
        <w:sectPr>
          <w:headerReference r:id="rId14" w:type="default"/>
          <w:pgSz w:w="11906" w:h="16838"/>
          <w:pgMar w:top="1440" w:right="1304" w:bottom="1440" w:left="1304" w:header="851" w:footer="992" w:gutter="0"/>
          <w:cols w:space="0" w:num="1"/>
          <w:docGrid w:type="lines" w:linePitch="325" w:charSpace="0"/>
        </w:sectPr>
      </w:pPr>
    </w:p>
    <w:bookmarkEnd w:id="186"/>
    <w:p>
      <w:pPr>
        <w:pStyle w:val="4"/>
      </w:pPr>
      <w:bookmarkStart w:id="187" w:name="_Toc10032"/>
      <w:r>
        <w:rPr>
          <w:rFonts w:hint="eastAsia"/>
        </w:rPr>
        <w:t>第四章  投标保证金</w:t>
      </w:r>
      <w:bookmarkEnd w:id="187"/>
      <w:r>
        <w:rPr>
          <w:rFonts w:hint="eastAsia"/>
        </w:rPr>
        <w:t xml:space="preserve"> </w:t>
      </w:r>
    </w:p>
    <w:p>
      <w:pPr>
        <w:pStyle w:val="6"/>
        <w:rPr>
          <w:sz w:val="28"/>
          <w:szCs w:val="24"/>
        </w:rPr>
      </w:pPr>
      <w:r>
        <w:rPr>
          <w:rFonts w:hint="eastAsia"/>
          <w:sz w:val="28"/>
          <w:szCs w:val="24"/>
        </w:rPr>
        <w:t>投标人在此处提供保证金缴纳凭证扫描件加盖公章，或者财政部门指定的担保机构出具的保函；</w:t>
      </w:r>
    </w:p>
    <w:p>
      <w:pPr>
        <w:pStyle w:val="6"/>
        <w:rPr>
          <w:sz w:val="28"/>
          <w:szCs w:val="24"/>
        </w:rPr>
      </w:pPr>
    </w:p>
    <w:tbl>
      <w:tblPr>
        <w:tblStyle w:val="2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6"/>
              <w:rPr>
                <w:sz w:val="28"/>
                <w:szCs w:val="24"/>
              </w:rPr>
            </w:pPr>
          </w:p>
        </w:tc>
      </w:tr>
    </w:tbl>
    <w:p>
      <w:pPr>
        <w:pStyle w:val="4"/>
        <w:jc w:val="both"/>
        <w:sectPr>
          <w:pgSz w:w="11906" w:h="16838"/>
          <w:pgMar w:top="1440" w:right="1304" w:bottom="1440" w:left="1304" w:header="851" w:footer="992" w:gutter="0"/>
          <w:cols w:space="0" w:num="1"/>
          <w:docGrid w:type="lines" w:linePitch="325" w:charSpace="0"/>
        </w:sectPr>
      </w:pPr>
    </w:p>
    <w:p>
      <w:pPr>
        <w:pStyle w:val="4"/>
      </w:pPr>
      <w:bookmarkStart w:id="188" w:name="_Toc16187"/>
      <w:r>
        <w:rPr>
          <w:rFonts w:hint="eastAsia"/>
        </w:rPr>
        <w:t>第五章  投标人资质证明资料</w:t>
      </w:r>
      <w:bookmarkEnd w:id="188"/>
    </w:p>
    <w:p>
      <w:pPr>
        <w:pStyle w:val="6"/>
        <w:rPr>
          <w:rFonts w:eastAsia="宋体"/>
          <w:b/>
          <w:bCs/>
          <w:sz w:val="28"/>
          <w:szCs w:val="24"/>
        </w:rPr>
      </w:pPr>
      <w:r>
        <w:rPr>
          <w:rFonts w:hint="eastAsia" w:ascii="宋体" w:hAnsi="宋体" w:cs="宋体"/>
          <w:b/>
          <w:bCs/>
          <w:sz w:val="28"/>
          <w:szCs w:val="24"/>
        </w:rPr>
        <w:t>投标人需在此页附招标公告或招标文件中要求的资质证明文件，投标文件附资质复印件或扫描件加盖投标人公章。格式参考见下页。</w:t>
      </w:r>
    </w:p>
    <w:p/>
    <w:p>
      <w:pPr>
        <w:pStyle w:val="6"/>
        <w:rPr>
          <w:sz w:val="24"/>
          <w:szCs w:val="24"/>
        </w:rPr>
      </w:pPr>
    </w:p>
    <w:p>
      <w:pPr>
        <w:rPr>
          <w:b/>
          <w:bCs/>
          <w:sz w:val="32"/>
          <w:szCs w:val="28"/>
        </w:rPr>
      </w:pPr>
      <w:r>
        <w:rPr>
          <w:rFonts w:hint="eastAsia"/>
          <w:b/>
          <w:bCs/>
          <w:sz w:val="32"/>
          <w:szCs w:val="28"/>
        </w:rPr>
        <w:br w:type="page"/>
      </w:r>
    </w:p>
    <w:p>
      <w:pPr>
        <w:pStyle w:val="6"/>
        <w:ind w:firstLine="0"/>
        <w:rPr>
          <w:rFonts w:eastAsia="宋体"/>
          <w:b/>
          <w:bCs/>
          <w:sz w:val="32"/>
          <w:szCs w:val="28"/>
        </w:rPr>
      </w:pPr>
      <w:r>
        <w:rPr>
          <w:rFonts w:hint="eastAsia"/>
          <w:b/>
          <w:bCs/>
          <w:sz w:val="32"/>
          <w:szCs w:val="28"/>
        </w:rPr>
        <w:t>附：资质证明文件格式：</w:t>
      </w:r>
    </w:p>
    <w:p>
      <w:pPr>
        <w:rPr>
          <w:rFonts w:ascii="宋体"/>
        </w:rPr>
      </w:pPr>
      <w:r>
        <w:rPr>
          <w:rFonts w:hint="eastAsia" w:ascii="宋体" w:hAnsi="宋体" w:cs="宋体"/>
          <w:sz w:val="24"/>
          <w:szCs w:val="24"/>
        </w:rPr>
        <w:t>1、投标人符合《政府采购法》第二十二条规定条件的承诺函</w:t>
      </w:r>
    </w:p>
    <w:p>
      <w:pPr>
        <w:pStyle w:val="9"/>
        <w:spacing w:line="360" w:lineRule="auto"/>
        <w:ind w:left="0" w:leftChars="0"/>
        <w:rPr>
          <w:rFonts w:ascii="宋体"/>
          <w:sz w:val="24"/>
          <w:szCs w:val="24"/>
        </w:rPr>
      </w:pPr>
      <w:r>
        <w:rPr>
          <w:rFonts w:hint="eastAsia" w:ascii="宋体" w:hAnsi="宋体" w:cs="宋体"/>
          <w:sz w:val="24"/>
          <w:szCs w:val="24"/>
        </w:rPr>
        <w:t>致陕西万泽招标有限公司：</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本公司</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（公司名称）</w:t>
      </w:r>
      <w:r>
        <w:rPr>
          <w:rFonts w:hint="eastAsia" w:ascii="宋体" w:hAnsi="宋体" w:cs="宋体"/>
          <w:sz w:val="24"/>
          <w:szCs w:val="24"/>
        </w:rPr>
        <w:t>参加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的投标活动，现承诺：</w:t>
      </w:r>
    </w:p>
    <w:p>
      <w:pPr>
        <w:pStyle w:val="9"/>
        <w:spacing w:line="360" w:lineRule="auto"/>
        <w:ind w:left="0" w:leftChars="0" w:firstLine="540" w:firstLineChars="225"/>
        <w:rPr>
          <w:rFonts w:ascii="宋体"/>
          <w:sz w:val="24"/>
          <w:szCs w:val="24"/>
        </w:rPr>
      </w:pPr>
      <w:r>
        <w:rPr>
          <w:rFonts w:hint="eastAsia" w:ascii="宋体" w:hAnsi="宋体" w:cs="宋体"/>
          <w:sz w:val="24"/>
          <w:szCs w:val="24"/>
        </w:rPr>
        <w:t>我公司满足政府采购法第二十二条关于供应商的资格要求：</w:t>
      </w:r>
    </w:p>
    <w:p>
      <w:pPr>
        <w:pStyle w:val="9"/>
        <w:spacing w:line="360" w:lineRule="auto"/>
        <w:ind w:left="0" w:leftChars="0" w:firstLine="540" w:firstLineChars="225"/>
        <w:rPr>
          <w:rFonts w:ascii="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（二）具有良好的商业信誉和健全的财务会计制度；</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（三）具有履行合同所必需的设备和专业技术能力；</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（四）有依法缴纳税收的良好记录；</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（五）参加政府采购活动前三年内，在经营活动中没有重大违法记录；</w:t>
      </w:r>
      <w:r>
        <w:rPr>
          <w:rFonts w:ascii="宋体" w:hAnsi="宋体" w:cs="宋体"/>
          <w:sz w:val="24"/>
          <w:szCs w:val="24"/>
        </w:rPr>
        <w:t xml:space="preserve"> </w:t>
      </w:r>
    </w:p>
    <w:p>
      <w:pPr>
        <w:pStyle w:val="9"/>
        <w:spacing w:line="360" w:lineRule="auto"/>
        <w:ind w:left="0" w:leftChars="0" w:firstLine="540" w:firstLineChars="225"/>
        <w:rPr>
          <w:rFonts w:ascii="宋体"/>
          <w:sz w:val="24"/>
          <w:szCs w:val="24"/>
        </w:rPr>
      </w:pPr>
      <w:r>
        <w:rPr>
          <w:rFonts w:hint="eastAsia" w:ascii="宋体" w:hAnsi="宋体" w:cs="宋体"/>
          <w:sz w:val="24"/>
          <w:szCs w:val="24"/>
        </w:rPr>
        <w:t>（六）法律、行政法规规定的其他条件。</w:t>
      </w:r>
    </w:p>
    <w:p>
      <w:pPr>
        <w:pStyle w:val="9"/>
        <w:spacing w:line="360" w:lineRule="auto"/>
        <w:ind w:left="0" w:leftChars="0" w:firstLine="540" w:firstLineChars="225"/>
        <w:rPr>
          <w:rFonts w:ascii="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ascii="宋体"/>
          <w:sz w:val="24"/>
          <w:szCs w:val="24"/>
        </w:rPr>
      </w:pPr>
      <w:r>
        <w:rPr>
          <w:rFonts w:hint="eastAsia" w:ascii="宋体" w:hAnsi="宋体" w:cs="宋体"/>
          <w:sz w:val="24"/>
          <w:szCs w:val="24"/>
        </w:rPr>
        <w:t>如违反以上承诺，本公司愿承担一切法律责任。</w:t>
      </w:r>
    </w:p>
    <w:p>
      <w:pPr>
        <w:pStyle w:val="9"/>
        <w:spacing w:line="360" w:lineRule="auto"/>
        <w:ind w:left="0" w:leftChars="0"/>
        <w:rPr>
          <w:rFonts w:ascii="宋体"/>
          <w:sz w:val="24"/>
          <w:szCs w:val="24"/>
        </w:rPr>
      </w:pPr>
    </w:p>
    <w:p>
      <w:pPr>
        <w:spacing w:line="360" w:lineRule="auto"/>
        <w:rPr>
          <w:rFonts w:ascii="宋体"/>
          <w:sz w:val="24"/>
          <w:szCs w:val="24"/>
          <w:u w:val="single"/>
        </w:rPr>
      </w:pPr>
      <w:r>
        <w:rPr>
          <w:rFonts w:hint="eastAsia" w:ascii="宋体" w:hAnsi="宋体" w:cs="宋体"/>
          <w:sz w:val="24"/>
          <w:szCs w:val="24"/>
        </w:rPr>
        <w:t>投标人名称：</w:t>
      </w:r>
      <w:r>
        <w:rPr>
          <w:rFonts w:ascii="宋体" w:hAnsi="宋体" w:cs="宋体"/>
          <w:sz w:val="24"/>
          <w:szCs w:val="24"/>
          <w:u w:val="single"/>
        </w:rPr>
        <w:t xml:space="preserve">        </w:t>
      </w:r>
      <w:r>
        <w:rPr>
          <w:rFonts w:hint="eastAsia" w:ascii="宋体" w:hAnsi="宋体" w:cs="宋体"/>
          <w:sz w:val="24"/>
          <w:szCs w:val="24"/>
          <w:u w:val="single"/>
        </w:rPr>
        <w:t>（名称及盖章）</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法定代表人或委托代理人（签字或盖章）：</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日期：</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p>
    <w:p>
      <w:pPr>
        <w:pStyle w:val="6"/>
        <w:ind w:firstLine="0"/>
      </w:pPr>
    </w:p>
    <w:p>
      <w:bookmarkStart w:id="189" w:name="_Toc1408"/>
    </w:p>
    <w:p/>
    <w:p/>
    <w:p/>
    <w:p/>
    <w:p/>
    <w:p/>
    <w:p/>
    <w:p/>
    <w:p/>
    <w:p>
      <w:pPr>
        <w:sectPr>
          <w:pgSz w:w="11906" w:h="16838"/>
          <w:pgMar w:top="1440" w:right="1803" w:bottom="1440" w:left="1803" w:header="851" w:footer="992" w:gutter="0"/>
          <w:cols w:space="720" w:num="1"/>
          <w:docGrid w:type="lines" w:linePitch="319" w:charSpace="0"/>
        </w:sectPr>
      </w:pPr>
    </w:p>
    <w:p>
      <w:pPr>
        <w:ind w:firstLine="2240" w:firstLineChars="700"/>
        <w:rPr>
          <w:sz w:val="32"/>
          <w:szCs w:val="36"/>
        </w:rPr>
      </w:pPr>
      <w:r>
        <w:rPr>
          <w:rFonts w:hint="eastAsia"/>
          <w:sz w:val="32"/>
          <w:szCs w:val="36"/>
        </w:rPr>
        <w:t>2、供应商基本情况一览表</w:t>
      </w:r>
    </w:p>
    <w:p>
      <w:pPr>
        <w:rPr>
          <w:sz w:val="28"/>
          <w:szCs w:val="32"/>
        </w:rPr>
      </w:pPr>
      <w:r>
        <w:rPr>
          <w:rFonts w:hint="eastAsia"/>
          <w:sz w:val="24"/>
          <w:szCs w:val="28"/>
        </w:rPr>
        <w:t>2-1供应商基本情况一览表</w:t>
      </w:r>
    </w:p>
    <w:tbl>
      <w:tblPr>
        <w:tblStyle w:val="20"/>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bookmarkStart w:id="190" w:name="_Toc18556"/>
            <w:bookmarkStart w:id="191" w:name="_Toc15823"/>
            <w:bookmarkStart w:id="192" w:name="_Toc5452"/>
            <w:bookmarkStart w:id="193" w:name="_Toc29518"/>
            <w:r>
              <w:rPr>
                <w:rFonts w:hint="eastAsia"/>
              </w:rPr>
              <w:t>投标人名称</w:t>
            </w:r>
            <w:bookmarkEnd w:id="190"/>
            <w:bookmarkEnd w:id="191"/>
            <w:bookmarkEnd w:id="192"/>
            <w:bookmarkEnd w:id="193"/>
          </w:p>
        </w:tc>
        <w:tc>
          <w:tcPr>
            <w:tcW w:w="7105"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bookmarkStart w:id="194" w:name="_Toc26127"/>
            <w:bookmarkStart w:id="195" w:name="_Toc15986"/>
            <w:bookmarkStart w:id="196" w:name="_Toc32438"/>
            <w:bookmarkStart w:id="197" w:name="_Toc32432"/>
            <w:r>
              <w:rPr>
                <w:rFonts w:hint="eastAsia"/>
              </w:rPr>
              <w:t>注册地址</w:t>
            </w:r>
            <w:bookmarkEnd w:id="194"/>
            <w:bookmarkEnd w:id="195"/>
            <w:bookmarkEnd w:id="196"/>
            <w:bookmarkEnd w:id="197"/>
          </w:p>
        </w:tc>
        <w:tc>
          <w:tcPr>
            <w:tcW w:w="3655" w:type="dxa"/>
            <w:gridSpan w:val="3"/>
            <w:vAlign w:val="center"/>
          </w:tcPr>
          <w:p/>
        </w:tc>
        <w:tc>
          <w:tcPr>
            <w:tcW w:w="1401" w:type="dxa"/>
            <w:vAlign w:val="center"/>
          </w:tcPr>
          <w:p>
            <w:bookmarkStart w:id="198" w:name="_Toc5829"/>
            <w:bookmarkStart w:id="199" w:name="_Toc2965"/>
            <w:bookmarkStart w:id="200" w:name="_Toc20217"/>
            <w:bookmarkStart w:id="201" w:name="_Toc13370"/>
            <w:r>
              <w:rPr>
                <w:rFonts w:hint="eastAsia"/>
              </w:rPr>
              <w:t>邮政编码</w:t>
            </w:r>
            <w:bookmarkEnd w:id="198"/>
            <w:bookmarkEnd w:id="199"/>
            <w:bookmarkEnd w:id="200"/>
            <w:bookmarkEnd w:id="201"/>
          </w:p>
        </w:tc>
        <w:tc>
          <w:tcPr>
            <w:tcW w:w="2049" w:type="dxa"/>
            <w:gridSpan w:val="3"/>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bookmarkStart w:id="202" w:name="_Toc24152"/>
            <w:bookmarkStart w:id="203" w:name="_Toc5933"/>
            <w:bookmarkStart w:id="204" w:name="_Toc29861"/>
            <w:bookmarkStart w:id="205" w:name="_Toc14242"/>
            <w:r>
              <w:rPr>
                <w:rFonts w:hint="eastAsia"/>
              </w:rPr>
              <w:t>联系方式</w:t>
            </w:r>
            <w:bookmarkEnd w:id="202"/>
            <w:bookmarkEnd w:id="203"/>
            <w:bookmarkEnd w:id="204"/>
            <w:bookmarkEnd w:id="205"/>
          </w:p>
        </w:tc>
        <w:tc>
          <w:tcPr>
            <w:tcW w:w="1016" w:type="dxa"/>
            <w:vAlign w:val="center"/>
          </w:tcPr>
          <w:p>
            <w:bookmarkStart w:id="206" w:name="_Toc23469"/>
            <w:bookmarkStart w:id="207" w:name="_Toc32228"/>
            <w:bookmarkStart w:id="208" w:name="_Toc11708"/>
            <w:bookmarkStart w:id="209" w:name="_Toc22630"/>
            <w:r>
              <w:rPr>
                <w:rFonts w:hint="eastAsia"/>
              </w:rPr>
              <w:t>联系人</w:t>
            </w:r>
            <w:bookmarkEnd w:id="206"/>
            <w:bookmarkEnd w:id="207"/>
            <w:bookmarkEnd w:id="208"/>
            <w:bookmarkEnd w:id="209"/>
          </w:p>
        </w:tc>
        <w:tc>
          <w:tcPr>
            <w:tcW w:w="2639" w:type="dxa"/>
            <w:gridSpan w:val="2"/>
            <w:vAlign w:val="center"/>
          </w:tcPr>
          <w:p/>
        </w:tc>
        <w:tc>
          <w:tcPr>
            <w:tcW w:w="1401" w:type="dxa"/>
            <w:vAlign w:val="center"/>
          </w:tcPr>
          <w:p>
            <w:bookmarkStart w:id="210" w:name="_Toc31524"/>
            <w:bookmarkStart w:id="211" w:name="_Toc29495"/>
            <w:bookmarkStart w:id="212" w:name="_Toc28825"/>
            <w:bookmarkStart w:id="213" w:name="_Toc22121"/>
            <w:r>
              <w:rPr>
                <w:rFonts w:hint="eastAsia"/>
              </w:rPr>
              <w:t>电话</w:t>
            </w:r>
            <w:bookmarkEnd w:id="210"/>
            <w:bookmarkEnd w:id="211"/>
            <w:bookmarkEnd w:id="212"/>
            <w:bookmarkEnd w:id="213"/>
          </w:p>
        </w:tc>
        <w:tc>
          <w:tcPr>
            <w:tcW w:w="2049" w:type="dxa"/>
            <w:gridSpan w:val="3"/>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bookmarkStart w:id="214" w:name="_Toc27355"/>
            <w:bookmarkStart w:id="215" w:name="_Toc21326"/>
            <w:bookmarkStart w:id="216" w:name="_Toc12754"/>
            <w:bookmarkStart w:id="217" w:name="_Toc8331"/>
            <w:r>
              <w:rPr>
                <w:rFonts w:hint="eastAsia"/>
              </w:rPr>
              <w:t>组织结构</w:t>
            </w:r>
            <w:bookmarkEnd w:id="214"/>
            <w:bookmarkEnd w:id="215"/>
            <w:bookmarkEnd w:id="216"/>
            <w:bookmarkEnd w:id="217"/>
          </w:p>
        </w:tc>
        <w:tc>
          <w:tcPr>
            <w:tcW w:w="7105"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bookmarkStart w:id="218" w:name="_Toc22082"/>
            <w:bookmarkStart w:id="219" w:name="_Toc5018"/>
            <w:bookmarkStart w:id="220" w:name="_Toc29110"/>
            <w:bookmarkStart w:id="221" w:name="_Toc28736"/>
            <w:r>
              <w:rPr>
                <w:rFonts w:hint="eastAsia"/>
              </w:rPr>
              <w:t>法定代表人</w:t>
            </w:r>
            <w:bookmarkEnd w:id="218"/>
            <w:bookmarkEnd w:id="219"/>
            <w:bookmarkEnd w:id="220"/>
            <w:bookmarkEnd w:id="221"/>
          </w:p>
        </w:tc>
        <w:tc>
          <w:tcPr>
            <w:tcW w:w="1016" w:type="dxa"/>
            <w:vAlign w:val="center"/>
          </w:tcPr>
          <w:p>
            <w:bookmarkStart w:id="222" w:name="_Toc8313"/>
            <w:bookmarkStart w:id="223" w:name="_Toc24566"/>
            <w:bookmarkStart w:id="224" w:name="_Toc3509"/>
            <w:bookmarkStart w:id="225" w:name="_Toc429"/>
            <w:r>
              <w:rPr>
                <w:rFonts w:hint="eastAsia"/>
              </w:rPr>
              <w:t>姓名</w:t>
            </w:r>
            <w:bookmarkEnd w:id="222"/>
            <w:bookmarkEnd w:id="223"/>
            <w:bookmarkEnd w:id="224"/>
            <w:bookmarkEnd w:id="225"/>
          </w:p>
        </w:tc>
        <w:tc>
          <w:tcPr>
            <w:tcW w:w="1315" w:type="dxa"/>
            <w:vAlign w:val="center"/>
          </w:tcPr>
          <w:p/>
        </w:tc>
        <w:tc>
          <w:tcPr>
            <w:tcW w:w="1324" w:type="dxa"/>
            <w:vAlign w:val="center"/>
          </w:tcPr>
          <w:p>
            <w:bookmarkStart w:id="226" w:name="_Toc11392"/>
            <w:bookmarkStart w:id="227" w:name="_Toc5089"/>
            <w:bookmarkStart w:id="228" w:name="_Toc2791"/>
            <w:bookmarkStart w:id="229" w:name="_Toc552"/>
            <w:r>
              <w:rPr>
                <w:rFonts w:hint="eastAsia"/>
              </w:rPr>
              <w:t>技术职称</w:t>
            </w:r>
            <w:bookmarkEnd w:id="226"/>
            <w:bookmarkEnd w:id="227"/>
            <w:bookmarkEnd w:id="228"/>
            <w:bookmarkEnd w:id="229"/>
          </w:p>
        </w:tc>
        <w:tc>
          <w:tcPr>
            <w:tcW w:w="1401" w:type="dxa"/>
            <w:vAlign w:val="center"/>
          </w:tcPr>
          <w:p/>
        </w:tc>
        <w:tc>
          <w:tcPr>
            <w:tcW w:w="902" w:type="dxa"/>
            <w:gridSpan w:val="2"/>
            <w:vAlign w:val="center"/>
          </w:tcPr>
          <w:p>
            <w:bookmarkStart w:id="230" w:name="_Toc15179"/>
            <w:bookmarkStart w:id="231" w:name="_Toc18413"/>
            <w:bookmarkStart w:id="232" w:name="_Toc24036"/>
            <w:bookmarkStart w:id="233" w:name="_Toc21732"/>
            <w:r>
              <w:rPr>
                <w:rFonts w:hint="eastAsia"/>
              </w:rPr>
              <w:t>电话</w:t>
            </w:r>
            <w:bookmarkEnd w:id="230"/>
            <w:bookmarkEnd w:id="231"/>
            <w:bookmarkEnd w:id="232"/>
            <w:bookmarkEnd w:id="233"/>
          </w:p>
        </w:tc>
        <w:tc>
          <w:tcPr>
            <w:tcW w:w="1147" w:type="dxa"/>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bookmarkStart w:id="234" w:name="_Toc18654"/>
            <w:bookmarkStart w:id="235" w:name="_Toc832"/>
            <w:bookmarkStart w:id="236" w:name="_Toc6397"/>
            <w:bookmarkStart w:id="237" w:name="_Toc30758"/>
            <w:r>
              <w:rPr>
                <w:rFonts w:hint="eastAsia"/>
              </w:rPr>
              <w:t>技术负责人</w:t>
            </w:r>
            <w:bookmarkEnd w:id="234"/>
            <w:bookmarkEnd w:id="235"/>
            <w:bookmarkEnd w:id="236"/>
            <w:bookmarkEnd w:id="237"/>
          </w:p>
        </w:tc>
        <w:tc>
          <w:tcPr>
            <w:tcW w:w="1016" w:type="dxa"/>
            <w:vAlign w:val="center"/>
          </w:tcPr>
          <w:p>
            <w:bookmarkStart w:id="238" w:name="_Toc17841"/>
            <w:bookmarkStart w:id="239" w:name="_Toc6829"/>
            <w:bookmarkStart w:id="240" w:name="_Toc32237"/>
            <w:bookmarkStart w:id="241" w:name="_Toc5794"/>
            <w:r>
              <w:rPr>
                <w:rFonts w:hint="eastAsia"/>
              </w:rPr>
              <w:t>姓名</w:t>
            </w:r>
            <w:bookmarkEnd w:id="238"/>
            <w:bookmarkEnd w:id="239"/>
            <w:bookmarkEnd w:id="240"/>
            <w:bookmarkEnd w:id="241"/>
          </w:p>
        </w:tc>
        <w:tc>
          <w:tcPr>
            <w:tcW w:w="1315" w:type="dxa"/>
            <w:vAlign w:val="center"/>
          </w:tcPr>
          <w:p/>
        </w:tc>
        <w:tc>
          <w:tcPr>
            <w:tcW w:w="1324" w:type="dxa"/>
            <w:vAlign w:val="center"/>
          </w:tcPr>
          <w:p>
            <w:bookmarkStart w:id="242" w:name="_Toc25207"/>
            <w:bookmarkStart w:id="243" w:name="_Toc25059"/>
            <w:bookmarkStart w:id="244" w:name="_Toc27222"/>
            <w:bookmarkStart w:id="245" w:name="_Toc17957"/>
            <w:r>
              <w:rPr>
                <w:rFonts w:hint="eastAsia"/>
              </w:rPr>
              <w:t>技术职称</w:t>
            </w:r>
            <w:bookmarkEnd w:id="242"/>
            <w:bookmarkEnd w:id="243"/>
            <w:bookmarkEnd w:id="244"/>
            <w:bookmarkEnd w:id="245"/>
          </w:p>
        </w:tc>
        <w:tc>
          <w:tcPr>
            <w:tcW w:w="1401" w:type="dxa"/>
            <w:vAlign w:val="center"/>
          </w:tcPr>
          <w:p/>
        </w:tc>
        <w:tc>
          <w:tcPr>
            <w:tcW w:w="902" w:type="dxa"/>
            <w:gridSpan w:val="2"/>
            <w:vAlign w:val="center"/>
          </w:tcPr>
          <w:p>
            <w:bookmarkStart w:id="246" w:name="_Toc12165"/>
            <w:bookmarkStart w:id="247" w:name="_Toc14501"/>
            <w:bookmarkStart w:id="248" w:name="_Toc321"/>
            <w:bookmarkStart w:id="249" w:name="_Toc26943"/>
            <w:r>
              <w:rPr>
                <w:rFonts w:hint="eastAsia"/>
              </w:rPr>
              <w:t>电话</w:t>
            </w:r>
            <w:bookmarkEnd w:id="246"/>
            <w:bookmarkEnd w:id="247"/>
            <w:bookmarkEnd w:id="248"/>
            <w:bookmarkEnd w:id="249"/>
          </w:p>
        </w:tc>
        <w:tc>
          <w:tcPr>
            <w:tcW w:w="1147" w:type="dxa"/>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bookmarkStart w:id="250" w:name="_Toc13190"/>
            <w:bookmarkStart w:id="251" w:name="_Toc5056"/>
            <w:bookmarkStart w:id="252" w:name="_Toc1183"/>
            <w:bookmarkStart w:id="253" w:name="_Toc15849"/>
            <w:r>
              <w:rPr>
                <w:rFonts w:hint="eastAsia"/>
              </w:rPr>
              <w:t>成立时间</w:t>
            </w:r>
            <w:bookmarkEnd w:id="250"/>
            <w:bookmarkEnd w:id="251"/>
            <w:bookmarkEnd w:id="252"/>
            <w:bookmarkEnd w:id="253"/>
          </w:p>
        </w:tc>
        <w:tc>
          <w:tcPr>
            <w:tcW w:w="2331" w:type="dxa"/>
            <w:gridSpan w:val="2"/>
            <w:vAlign w:val="center"/>
          </w:tcPr>
          <w:p/>
        </w:tc>
        <w:tc>
          <w:tcPr>
            <w:tcW w:w="4774" w:type="dxa"/>
            <w:gridSpan w:val="5"/>
            <w:vAlign w:val="center"/>
          </w:tcPr>
          <w:p>
            <w:bookmarkStart w:id="254" w:name="_Toc23476"/>
            <w:bookmarkStart w:id="255" w:name="_Toc5918"/>
            <w:bookmarkStart w:id="256" w:name="_Toc7458"/>
            <w:bookmarkStart w:id="257" w:name="_Toc9920"/>
            <w:r>
              <w:rPr>
                <w:rFonts w:hint="eastAsia"/>
              </w:rPr>
              <w:t>员工总人数：</w:t>
            </w:r>
            <w:bookmarkEnd w:id="254"/>
            <w:bookmarkEnd w:id="255"/>
            <w:bookmarkEnd w:id="256"/>
            <w:bookmarkEnd w:id="257"/>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bookmarkStart w:id="258" w:name="_Toc13811"/>
            <w:bookmarkStart w:id="259" w:name="_Toc19832"/>
            <w:bookmarkStart w:id="260" w:name="_Toc24347"/>
            <w:bookmarkStart w:id="261" w:name="_Toc2495"/>
            <w:r>
              <w:rPr>
                <w:rFonts w:hint="eastAsia"/>
              </w:rPr>
              <w:t>营业执照号</w:t>
            </w:r>
            <w:bookmarkEnd w:id="258"/>
            <w:bookmarkEnd w:id="259"/>
            <w:bookmarkEnd w:id="260"/>
            <w:bookmarkEnd w:id="261"/>
          </w:p>
        </w:tc>
        <w:tc>
          <w:tcPr>
            <w:tcW w:w="2331" w:type="dxa"/>
            <w:gridSpan w:val="2"/>
            <w:vAlign w:val="center"/>
          </w:tcPr>
          <w:p/>
        </w:tc>
        <w:tc>
          <w:tcPr>
            <w:tcW w:w="1324" w:type="dxa"/>
            <w:vMerge w:val="restart"/>
            <w:vAlign w:val="center"/>
          </w:tcPr>
          <w:p>
            <w:r>
              <w:rPr>
                <w:rFonts w:hint="eastAsia"/>
              </w:rPr>
              <w:t>其中</w:t>
            </w:r>
          </w:p>
        </w:tc>
        <w:tc>
          <w:tcPr>
            <w:tcW w:w="1569" w:type="dxa"/>
            <w:gridSpan w:val="2"/>
            <w:vAlign w:val="center"/>
          </w:tcPr>
          <w:p>
            <w:bookmarkStart w:id="262" w:name="_Toc15246"/>
            <w:bookmarkStart w:id="263" w:name="_Toc16273"/>
            <w:bookmarkStart w:id="264" w:name="_Toc19894"/>
            <w:bookmarkStart w:id="265" w:name="_Toc13361"/>
            <w:r>
              <w:rPr>
                <w:rFonts w:hint="eastAsia"/>
              </w:rPr>
              <w:t>高级职称人员</w:t>
            </w:r>
            <w:bookmarkEnd w:id="262"/>
            <w:bookmarkEnd w:id="263"/>
            <w:bookmarkEnd w:id="264"/>
            <w:bookmarkEnd w:id="265"/>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bookmarkStart w:id="266" w:name="_Toc30242"/>
            <w:bookmarkStart w:id="267" w:name="_Toc12522"/>
            <w:bookmarkStart w:id="268" w:name="_Toc3476"/>
            <w:bookmarkStart w:id="269" w:name="_Toc20237"/>
            <w:r>
              <w:rPr>
                <w:rFonts w:hint="eastAsia"/>
              </w:rPr>
              <w:t>注册资金</w:t>
            </w:r>
            <w:bookmarkEnd w:id="266"/>
            <w:bookmarkEnd w:id="267"/>
            <w:bookmarkEnd w:id="268"/>
            <w:bookmarkEnd w:id="269"/>
          </w:p>
        </w:tc>
        <w:tc>
          <w:tcPr>
            <w:tcW w:w="2331" w:type="dxa"/>
            <w:gridSpan w:val="2"/>
            <w:vAlign w:val="center"/>
          </w:tcPr>
          <w:p/>
        </w:tc>
        <w:tc>
          <w:tcPr>
            <w:tcW w:w="1324" w:type="dxa"/>
            <w:vMerge w:val="continue"/>
            <w:vAlign w:val="center"/>
          </w:tcPr>
          <w:p/>
        </w:tc>
        <w:tc>
          <w:tcPr>
            <w:tcW w:w="1569" w:type="dxa"/>
            <w:gridSpan w:val="2"/>
            <w:vAlign w:val="center"/>
          </w:tcPr>
          <w:p>
            <w:bookmarkStart w:id="270" w:name="_Toc30244"/>
            <w:bookmarkStart w:id="271" w:name="_Toc16642"/>
            <w:bookmarkStart w:id="272" w:name="_Toc1834"/>
            <w:bookmarkStart w:id="273" w:name="_Toc7916"/>
            <w:r>
              <w:rPr>
                <w:rFonts w:hint="eastAsia"/>
              </w:rPr>
              <w:t>中级职称人员</w:t>
            </w:r>
            <w:bookmarkEnd w:id="270"/>
            <w:bookmarkEnd w:id="271"/>
            <w:bookmarkEnd w:id="272"/>
            <w:bookmarkEnd w:id="273"/>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bookmarkStart w:id="274" w:name="_Toc24406"/>
            <w:bookmarkStart w:id="275" w:name="_Toc17149"/>
            <w:bookmarkStart w:id="276" w:name="_Toc21663"/>
            <w:bookmarkStart w:id="277" w:name="_Toc18512"/>
            <w:r>
              <w:rPr>
                <w:rFonts w:hint="eastAsia"/>
              </w:rPr>
              <w:t>开户银行</w:t>
            </w:r>
            <w:bookmarkEnd w:id="274"/>
            <w:bookmarkEnd w:id="275"/>
            <w:bookmarkEnd w:id="276"/>
            <w:bookmarkEnd w:id="277"/>
          </w:p>
        </w:tc>
        <w:tc>
          <w:tcPr>
            <w:tcW w:w="2331" w:type="dxa"/>
            <w:gridSpan w:val="2"/>
            <w:vAlign w:val="center"/>
          </w:tcPr>
          <w:p/>
        </w:tc>
        <w:tc>
          <w:tcPr>
            <w:tcW w:w="1324" w:type="dxa"/>
            <w:vMerge w:val="continue"/>
            <w:vAlign w:val="center"/>
          </w:tcPr>
          <w:p/>
        </w:tc>
        <w:tc>
          <w:tcPr>
            <w:tcW w:w="1569" w:type="dxa"/>
            <w:gridSpan w:val="2"/>
            <w:vAlign w:val="center"/>
          </w:tcPr>
          <w:p>
            <w:bookmarkStart w:id="278" w:name="_Toc24761"/>
            <w:bookmarkStart w:id="279" w:name="_Toc15110"/>
            <w:bookmarkStart w:id="280" w:name="_Toc12330"/>
            <w:bookmarkStart w:id="281" w:name="_Toc23409"/>
            <w:r>
              <w:rPr>
                <w:rFonts w:hint="eastAsia"/>
              </w:rPr>
              <w:t>初级职称人员</w:t>
            </w:r>
            <w:bookmarkEnd w:id="278"/>
            <w:bookmarkEnd w:id="279"/>
            <w:bookmarkEnd w:id="280"/>
            <w:bookmarkEnd w:id="281"/>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bookmarkStart w:id="282" w:name="_Toc7855"/>
            <w:bookmarkStart w:id="283" w:name="_Toc19211"/>
            <w:bookmarkStart w:id="284" w:name="_Toc11996"/>
            <w:bookmarkStart w:id="285" w:name="_Toc7482"/>
            <w:r>
              <w:rPr>
                <w:rFonts w:hint="eastAsia"/>
              </w:rPr>
              <w:t>账号</w:t>
            </w:r>
            <w:bookmarkEnd w:id="282"/>
            <w:bookmarkEnd w:id="283"/>
            <w:bookmarkEnd w:id="284"/>
            <w:bookmarkEnd w:id="285"/>
          </w:p>
        </w:tc>
        <w:tc>
          <w:tcPr>
            <w:tcW w:w="2331" w:type="dxa"/>
            <w:gridSpan w:val="2"/>
            <w:vAlign w:val="center"/>
          </w:tcPr>
          <w:p/>
        </w:tc>
        <w:tc>
          <w:tcPr>
            <w:tcW w:w="1324" w:type="dxa"/>
            <w:vMerge w:val="continue"/>
            <w:vAlign w:val="center"/>
          </w:tcPr>
          <w:p/>
        </w:tc>
        <w:tc>
          <w:tcPr>
            <w:tcW w:w="1569" w:type="dxa"/>
            <w:gridSpan w:val="2"/>
            <w:vAlign w:val="center"/>
          </w:tcPr>
          <w:p>
            <w:bookmarkStart w:id="286" w:name="_Toc10662"/>
            <w:bookmarkStart w:id="287" w:name="_Toc16123"/>
            <w:bookmarkStart w:id="288" w:name="_Toc23890"/>
            <w:bookmarkStart w:id="289" w:name="_Toc7296"/>
            <w:r>
              <w:rPr>
                <w:rFonts w:hint="eastAsia"/>
              </w:rPr>
              <w:t>技 工</w:t>
            </w:r>
            <w:bookmarkEnd w:id="286"/>
            <w:bookmarkEnd w:id="287"/>
            <w:bookmarkEnd w:id="288"/>
            <w:bookmarkEnd w:id="289"/>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bookmarkStart w:id="290" w:name="_Toc2745"/>
            <w:bookmarkStart w:id="291" w:name="_Toc19840"/>
            <w:bookmarkStart w:id="292" w:name="_Toc516"/>
            <w:bookmarkStart w:id="293" w:name="_Toc30075"/>
            <w:r>
              <w:rPr>
                <w:rFonts w:hint="eastAsia"/>
              </w:rPr>
              <w:t>经营范围</w:t>
            </w:r>
            <w:bookmarkEnd w:id="290"/>
            <w:bookmarkEnd w:id="291"/>
            <w:bookmarkEnd w:id="292"/>
            <w:bookmarkEnd w:id="293"/>
          </w:p>
        </w:tc>
        <w:tc>
          <w:tcPr>
            <w:tcW w:w="7105"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bookmarkStart w:id="294" w:name="_Toc22690"/>
            <w:bookmarkStart w:id="295" w:name="_Toc12320"/>
            <w:bookmarkStart w:id="296" w:name="_Toc19290"/>
            <w:bookmarkStart w:id="297" w:name="_Toc26754"/>
            <w:r>
              <w:rPr>
                <w:rFonts w:hint="eastAsia"/>
              </w:rPr>
              <w:t>备注</w:t>
            </w:r>
            <w:bookmarkEnd w:id="294"/>
            <w:bookmarkEnd w:id="295"/>
            <w:bookmarkEnd w:id="296"/>
            <w:bookmarkEnd w:id="297"/>
          </w:p>
        </w:tc>
        <w:tc>
          <w:tcPr>
            <w:tcW w:w="7105" w:type="dxa"/>
            <w:gridSpan w:val="7"/>
          </w:tcPr>
          <w:p/>
        </w:tc>
      </w:tr>
    </w:tbl>
    <w:p/>
    <w:p>
      <w:pPr>
        <w:spacing w:line="360" w:lineRule="auto"/>
        <w:rPr>
          <w:rFonts w:ascii="宋体" w:hAnsi="宋体" w:cs="宋体"/>
          <w:sz w:val="24"/>
          <w:szCs w:val="24"/>
        </w:rPr>
      </w:pPr>
    </w:p>
    <w:p>
      <w:pPr>
        <w:spacing w:line="360" w:lineRule="auto"/>
        <w:rPr>
          <w:b/>
          <w:bCs/>
        </w:rPr>
        <w:sectPr>
          <w:pgSz w:w="11906" w:h="16838"/>
          <w:pgMar w:top="1440" w:right="1803" w:bottom="1440" w:left="1803" w:header="851" w:footer="992" w:gutter="0"/>
          <w:cols w:space="720" w:num="1"/>
          <w:docGrid w:type="lines" w:linePitch="319" w:charSpace="0"/>
        </w:sectPr>
      </w:pPr>
      <w:r>
        <w:rPr>
          <w:rFonts w:hint="eastAsia" w:ascii="宋体" w:hAnsi="宋体" w:cs="宋体"/>
          <w:b/>
          <w:bCs/>
          <w:sz w:val="24"/>
          <w:szCs w:val="24"/>
        </w:rPr>
        <w:t>2-2供应商营业执照等资质证明材料</w:t>
      </w:r>
      <w:r>
        <w:rPr>
          <w:rFonts w:hint="eastAsia"/>
          <w:b/>
          <w:bCs/>
        </w:rPr>
        <w:t>。</w:t>
      </w:r>
    </w:p>
    <w:p>
      <w:pPr>
        <w:rPr>
          <w:sz w:val="32"/>
          <w:szCs w:val="36"/>
        </w:rPr>
      </w:pPr>
      <w:r>
        <w:rPr>
          <w:rFonts w:hint="eastAsia"/>
          <w:sz w:val="32"/>
          <w:szCs w:val="36"/>
        </w:rPr>
        <w:t>3、法定代表人证明书及法定代表人授权书</w:t>
      </w:r>
    </w:p>
    <w:p>
      <w:pPr>
        <w:rPr>
          <w:rFonts w:eastAsia="宋体"/>
          <w:sz w:val="28"/>
          <w:szCs w:val="32"/>
        </w:rPr>
      </w:pPr>
      <w:r>
        <w:rPr>
          <w:rFonts w:hint="eastAsia"/>
          <w:sz w:val="28"/>
          <w:szCs w:val="32"/>
        </w:rPr>
        <w:t>3-1法定代表人证明书</w:t>
      </w:r>
    </w:p>
    <w:tbl>
      <w:tblPr>
        <w:tblStyle w:val="2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注册资金</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kern w:val="0"/>
                <w:szCs w:val="21"/>
              </w:rPr>
            </w:pPr>
            <w:r>
              <w:rPr>
                <w:rFonts w:hint="eastAsia" w:ascii="宋体" w:hAnsi="宋体" w:cs="宋体"/>
                <w:kern w:val="0"/>
                <w:szCs w:val="21"/>
              </w:rPr>
              <w:t xml:space="preserve"> </w:t>
            </w: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028"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028"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（投标人公章）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年  月 日</w:t>
            </w:r>
          </w:p>
        </w:tc>
      </w:tr>
    </w:tbl>
    <w:p>
      <w:pPr>
        <w:pStyle w:val="2"/>
        <w:rPr>
          <w:rFonts w:hint="default"/>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kern w:val="0"/>
          <w:sz w:val="24"/>
          <w:szCs w:val="24"/>
        </w:rPr>
      </w:pPr>
      <w:r>
        <w:rPr>
          <w:rFonts w:hint="eastAsia" w:ascii="宋体" w:hAnsi="宋体" w:cs="宋体"/>
          <w:b/>
          <w:kern w:val="0"/>
          <w:sz w:val="24"/>
          <w:szCs w:val="24"/>
        </w:rPr>
        <w:t>3-2法定代表人授权书</w:t>
      </w:r>
    </w:p>
    <w:p>
      <w:pPr>
        <w:pStyle w:val="10"/>
        <w:spacing w:line="500" w:lineRule="exact"/>
        <w:jc w:val="center"/>
        <w:rPr>
          <w:rFonts w:hAnsi="宋体" w:cs="宋体"/>
          <w:sz w:val="24"/>
          <w:szCs w:val="24"/>
        </w:rPr>
      </w:pPr>
      <w:r>
        <w:rPr>
          <w:rFonts w:hint="eastAsia" w:hAnsi="宋体" w:cs="宋体"/>
          <w:b/>
          <w:kern w:val="0"/>
          <w:sz w:val="24"/>
          <w:szCs w:val="24"/>
        </w:rPr>
        <w:t>法定代表人授权书</w:t>
      </w:r>
    </w:p>
    <w:p>
      <w:pPr>
        <w:pStyle w:val="10"/>
        <w:spacing w:line="500" w:lineRule="exact"/>
        <w:jc w:val="left"/>
        <w:rPr>
          <w:rFonts w:hAnsi="宋体" w:cs="宋体"/>
          <w:sz w:val="24"/>
          <w:szCs w:val="24"/>
        </w:rPr>
      </w:pPr>
      <w:r>
        <w:rPr>
          <w:rFonts w:hint="eastAsia" w:hAnsi="宋体" w:cs="宋体"/>
          <w:sz w:val="24"/>
          <w:szCs w:val="24"/>
        </w:rPr>
        <w:t>陕西万泽招标有限公司：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（项目名称）</w:t>
      </w:r>
      <w:r>
        <w:rPr>
          <w:rFonts w:hint="eastAsia" w:ascii="宋体" w:hAnsi="宋体" w:cs="宋体"/>
          <w:sz w:val="24"/>
          <w:u w:val="single"/>
        </w:rPr>
        <w:t xml:space="preserve"> </w:t>
      </w:r>
      <w:r>
        <w:rPr>
          <w:rFonts w:hint="eastAsia" w:ascii="宋体" w:hAnsi="宋体" w:cs="宋体"/>
          <w:sz w:val="24"/>
        </w:rPr>
        <w:t>采购项目编号</w:t>
      </w:r>
      <w:r>
        <w:rPr>
          <w:rFonts w:hint="eastAsia" w:ascii="宋体" w:hAnsi="宋体" w:cs="宋体"/>
          <w:sz w:val="24"/>
          <w:u w:val="single"/>
        </w:rPr>
        <w:t>为    的</w:t>
      </w:r>
      <w:r>
        <w:rPr>
          <w:rFonts w:hint="eastAsia" w:ascii="宋体" w:hAnsi="宋体" w:cs="宋体"/>
          <w:sz w:val="24"/>
        </w:rPr>
        <w:t>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本授权书有效期自投标文件递交截止之日</w:t>
      </w:r>
      <w:r>
        <w:rPr>
          <w:rFonts w:hint="eastAsia" w:ascii="宋体" w:hAnsi="宋体" w:cs="宋体"/>
          <w:sz w:val="24"/>
          <w:u w:val="single"/>
        </w:rPr>
        <w:t>起 90 日历天</w:t>
      </w:r>
      <w:r>
        <w:rPr>
          <w:rFonts w:hint="eastAsia" w:ascii="宋体" w:hAnsi="宋体" w:cs="宋体"/>
          <w:sz w:val="24"/>
        </w:rPr>
        <w:t>，特此声明。</w:t>
      </w:r>
    </w:p>
    <w:p>
      <w:pPr>
        <w:pStyle w:val="10"/>
        <w:spacing w:line="500" w:lineRule="exact"/>
        <w:ind w:firstLine="480" w:firstLineChars="200"/>
        <w:jc w:val="left"/>
        <w:rPr>
          <w:rFonts w:hAnsi="宋体" w:cs="宋体"/>
          <w:sz w:val="24"/>
          <w:szCs w:val="24"/>
        </w:rPr>
      </w:pPr>
      <w:r>
        <w:rPr>
          <w:rFonts w:hint="eastAsia" w:hAnsi="宋体" w:cs="宋体"/>
          <w:sz w:val="24"/>
          <w:szCs w:val="24"/>
        </w:rPr>
        <w:t>投标人（单位名称及公章）</w:t>
      </w:r>
      <w:r>
        <w:rPr>
          <w:rFonts w:hint="eastAsia" w:hAnsi="宋体" w:cs="宋体"/>
          <w:sz w:val="24"/>
          <w:szCs w:val="24"/>
          <w:u w:val="single"/>
        </w:rPr>
        <w:t xml:space="preserve">：        </w:t>
      </w:r>
      <w:r>
        <w:rPr>
          <w:rFonts w:hint="eastAsia" w:hAnsi="宋体" w:cs="宋体"/>
          <w:sz w:val="24"/>
          <w:szCs w:val="24"/>
        </w:rPr>
        <w:t xml:space="preserve">      </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被授权人（签字或盖章）</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被授权人身份证号码</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p>
    <w:tbl>
      <w:tblPr>
        <w:tblStyle w:val="20"/>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10"/>
              <w:spacing w:line="500" w:lineRule="exact"/>
              <w:jc w:val="left"/>
              <w:rPr>
                <w:rFonts w:hAnsi="宋体" w:eastAsia="宋体" w:cs="宋体"/>
                <w:sz w:val="24"/>
                <w:szCs w:val="24"/>
                <w:shd w:val="pct10" w:color="auto" w:fill="FFFFFF"/>
              </w:rPr>
            </w:pPr>
            <w:r>
              <w:rPr>
                <w:rFonts w:hint="eastAsia" w:hAnsi="宋体" w:cs="宋体"/>
                <w:sz w:val="24"/>
                <w:szCs w:val="24"/>
                <w:shd w:val="pct10" w:color="auto" w:fill="FFFFFF"/>
              </w:rPr>
              <w:t>法定代表人身份证复印件（正/反面）</w:t>
            </w:r>
          </w:p>
        </w:tc>
        <w:tc>
          <w:tcPr>
            <w:tcW w:w="3937" w:type="dxa"/>
            <w:shd w:val="clear" w:color="auto" w:fill="D9D9D9"/>
            <w:vAlign w:val="center"/>
          </w:tcPr>
          <w:p>
            <w:pPr>
              <w:pStyle w:val="10"/>
              <w:spacing w:line="500" w:lineRule="exact"/>
              <w:jc w:val="left"/>
              <w:rPr>
                <w:rFonts w:hAnsi="宋体" w:eastAsia="宋体" w:cs="宋体"/>
                <w:sz w:val="24"/>
                <w:szCs w:val="24"/>
                <w:shd w:val="pct10" w:color="auto" w:fill="FFFFFF"/>
              </w:rPr>
            </w:pPr>
            <w:r>
              <w:rPr>
                <w:rFonts w:hint="eastAsia" w:hAnsi="宋体" w:cs="宋体"/>
                <w:sz w:val="24"/>
                <w:szCs w:val="24"/>
                <w:shd w:val="pct10" w:color="auto" w:fill="FFFFFF"/>
              </w:rPr>
              <w:t>被授权人身份证复印件（正/反面）</w:t>
            </w:r>
          </w:p>
        </w:tc>
      </w:tr>
    </w:tbl>
    <w:p>
      <w:pPr>
        <w:pStyle w:val="10"/>
        <w:spacing w:line="500" w:lineRule="exact"/>
        <w:ind w:firstLine="480" w:firstLineChars="200"/>
        <w:jc w:val="left"/>
        <w:rPr>
          <w:rFonts w:hAnsi="宋体" w:cs="宋体"/>
          <w:sz w:val="24"/>
          <w:szCs w:val="24"/>
        </w:rPr>
      </w:pPr>
      <w:r>
        <w:rPr>
          <w:rFonts w:hint="eastAsia" w:hAnsi="宋体" w:cs="宋体"/>
          <w:sz w:val="24"/>
          <w:szCs w:val="24"/>
        </w:rPr>
        <w:t>说明：</w:t>
      </w:r>
    </w:p>
    <w:p>
      <w:pPr>
        <w:pStyle w:val="10"/>
        <w:spacing w:line="500" w:lineRule="exact"/>
        <w:ind w:firstLine="480" w:firstLineChars="200"/>
        <w:jc w:val="left"/>
        <w:rPr>
          <w:rFonts w:hAnsi="宋体" w:cs="宋体"/>
          <w:sz w:val="24"/>
          <w:szCs w:val="24"/>
        </w:rPr>
      </w:pPr>
      <w:r>
        <w:rPr>
          <w:rFonts w:hint="eastAsia" w:hAnsi="宋体" w:cs="宋体"/>
          <w:sz w:val="24"/>
          <w:szCs w:val="24"/>
        </w:rPr>
        <w:t>1．本授权书有效期自开标会议之日计算不得少于90日历日。</w:t>
      </w:r>
    </w:p>
    <w:p>
      <w:pPr>
        <w:pStyle w:val="10"/>
        <w:spacing w:line="500" w:lineRule="exact"/>
        <w:ind w:firstLine="480" w:firstLineChars="200"/>
        <w:jc w:val="left"/>
        <w:rPr>
          <w:rFonts w:hAnsi="宋体" w:cs="宋体"/>
          <w:sz w:val="24"/>
          <w:szCs w:val="24"/>
        </w:rPr>
      </w:pPr>
      <w:r>
        <w:rPr>
          <w:rFonts w:hint="eastAsia" w:hAnsi="宋体" w:cs="宋体"/>
          <w:sz w:val="24"/>
          <w:szCs w:val="24"/>
        </w:rPr>
        <w:t>2．授权书内容填写要明确，文字要工整清楚，涂改无效。</w:t>
      </w:r>
    </w:p>
    <w:p>
      <w:pPr>
        <w:sectPr>
          <w:pgSz w:w="11906" w:h="16838"/>
          <w:pgMar w:top="1440" w:right="1803" w:bottom="1440" w:left="1803" w:header="851" w:footer="992" w:gutter="0"/>
          <w:cols w:space="720" w:num="1"/>
          <w:docGrid w:type="lines" w:linePitch="319" w:charSpace="0"/>
        </w:sectPr>
      </w:pPr>
    </w:p>
    <w:p>
      <w:pPr>
        <w:jc w:val="center"/>
        <w:rPr>
          <w:sz w:val="24"/>
          <w:szCs w:val="28"/>
        </w:rPr>
      </w:pPr>
      <w:r>
        <w:rPr>
          <w:rFonts w:hint="eastAsia"/>
          <w:sz w:val="24"/>
          <w:szCs w:val="28"/>
        </w:rPr>
        <w:t>4、无重大违法记录声明</w:t>
      </w:r>
    </w:p>
    <w:p>
      <w:pPr>
        <w:widowControl/>
        <w:snapToGrid w:val="0"/>
        <w:spacing w:line="480" w:lineRule="auto"/>
        <w:ind w:firstLine="480" w:firstLineChars="200"/>
        <w:jc w:val="left"/>
        <w:rPr>
          <w:rFonts w:ascii="宋体" w:hAnsi="宋体" w:cs="宋体"/>
          <w:kern w:val="0"/>
          <w:sz w:val="24"/>
        </w:rPr>
      </w:pP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我单位参与</w:t>
      </w:r>
      <w:r>
        <w:rPr>
          <w:rFonts w:hint="eastAsia" w:ascii="宋体" w:hAnsi="宋体" w:cs="宋体"/>
          <w:kern w:val="0"/>
          <w:sz w:val="24"/>
          <w:u w:val="single"/>
        </w:rPr>
        <w:t xml:space="preserve">陕西万泽招标有限公司 </w:t>
      </w:r>
      <w:r>
        <w:rPr>
          <w:rFonts w:hint="eastAsia" w:ascii="宋体" w:hAnsi="宋体" w:cs="宋体"/>
          <w:kern w:val="0"/>
          <w:sz w:val="24"/>
        </w:rPr>
        <w:t>组织的</w:t>
      </w:r>
      <w:r>
        <w:rPr>
          <w:rFonts w:hint="eastAsia" w:ascii="宋体" w:hAnsi="宋体" w:cs="宋体"/>
          <w:kern w:val="0"/>
          <w:sz w:val="24"/>
          <w:u w:val="single"/>
        </w:rPr>
        <w:t xml:space="preserve">               （项目名称）                </w:t>
      </w:r>
      <w:r>
        <w:rPr>
          <w:rFonts w:hint="eastAsia" w:ascii="宋体" w:hAnsi="宋体" w:cs="宋体"/>
          <w:kern w:val="0"/>
          <w:sz w:val="24"/>
        </w:rPr>
        <w:t>公开招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ascii="宋体" w:hAnsi="宋体" w:cs="宋体"/>
          <w:kern w:val="0"/>
          <w:sz w:val="24"/>
        </w:rPr>
      </w:pPr>
    </w:p>
    <w:p>
      <w:pPr>
        <w:pStyle w:val="10"/>
        <w:spacing w:line="480" w:lineRule="auto"/>
        <w:jc w:val="left"/>
        <w:rPr>
          <w:rFonts w:hAnsi="宋体" w:cs="宋体"/>
          <w:kern w:val="0"/>
          <w:sz w:val="24"/>
        </w:rPr>
      </w:pPr>
    </w:p>
    <w:p>
      <w:pPr>
        <w:pStyle w:val="10"/>
        <w:spacing w:line="480" w:lineRule="auto"/>
        <w:jc w:val="left"/>
        <w:rPr>
          <w:rFonts w:hAnsi="宋体" w:cs="宋体"/>
          <w:kern w:val="0"/>
          <w:sz w:val="24"/>
        </w:rPr>
      </w:pPr>
      <w:r>
        <w:rPr>
          <w:rFonts w:hint="eastAsia" w:hAnsi="宋体" w:cs="宋体"/>
          <w:kern w:val="0"/>
          <w:sz w:val="24"/>
        </w:rPr>
        <w:t>投标人（单位名称及公章）：</w:t>
      </w:r>
      <w:r>
        <w:rPr>
          <w:rFonts w:hint="eastAsia" w:hAnsi="宋体" w:cs="宋体"/>
          <w:kern w:val="0"/>
          <w:sz w:val="24"/>
          <w:u w:val="single"/>
        </w:rPr>
        <w:t xml:space="preserve">             </w:t>
      </w:r>
    </w:p>
    <w:p>
      <w:pPr>
        <w:pStyle w:val="10"/>
        <w:spacing w:line="480" w:lineRule="auto"/>
        <w:jc w:val="left"/>
        <w:rPr>
          <w:rFonts w:hAnsi="宋体" w:cs="宋体"/>
          <w:kern w:val="0"/>
          <w:sz w:val="24"/>
        </w:rPr>
      </w:pPr>
      <w:r>
        <w:rPr>
          <w:rFonts w:hint="eastAsia" w:hAnsi="宋体" w:cs="宋体"/>
          <w:kern w:val="0"/>
          <w:sz w:val="24"/>
        </w:rPr>
        <w:t>法定代表人/被授权人（签字或盖章）：</w:t>
      </w:r>
      <w:r>
        <w:rPr>
          <w:rFonts w:hint="eastAsia" w:hAnsi="宋体" w:cs="宋体"/>
          <w:kern w:val="0"/>
          <w:sz w:val="24"/>
          <w:u w:val="single"/>
        </w:rPr>
        <w:t xml:space="preserve">          </w:t>
      </w:r>
    </w:p>
    <w:p>
      <w:pPr>
        <w:spacing w:line="480" w:lineRule="auto"/>
        <w:rPr>
          <w:rFonts w:hAnsi="宋体" w:cs="宋体"/>
          <w:kern w:val="0"/>
          <w:sz w:val="24"/>
          <w:u w:val="single"/>
        </w:rPr>
      </w:pPr>
      <w:r>
        <w:rPr>
          <w:rFonts w:hint="eastAsia" w:hAnsi="宋体" w:cs="宋体"/>
          <w:kern w:val="0"/>
          <w:sz w:val="24"/>
        </w:rPr>
        <w:t>日    期</w:t>
      </w:r>
      <w:r>
        <w:rPr>
          <w:rFonts w:hint="eastAsia" w:hAnsi="宋体" w:cs="宋体"/>
          <w:kern w:val="0"/>
          <w:sz w:val="24"/>
          <w:u w:val="single"/>
        </w:rPr>
        <w:t xml:space="preserve">：             </w:t>
      </w:r>
    </w:p>
    <w:p>
      <w:pPr>
        <w:spacing w:line="480" w:lineRule="auto"/>
        <w:rPr>
          <w:rFonts w:ascii="宋体" w:hAnsi="宋体" w:eastAsia="宋体" w:cs="宋体"/>
          <w:kern w:val="0"/>
          <w:sz w:val="24"/>
        </w:rPr>
      </w:pPr>
      <w:r>
        <w:rPr>
          <w:rFonts w:hint="eastAsia" w:hAnsi="宋体" w:cs="宋体"/>
          <w:kern w:val="0"/>
          <w:sz w:val="24"/>
        </w:rPr>
        <w:t xml:space="preserve"> </w:t>
      </w:r>
    </w:p>
    <w:p>
      <w:pPr>
        <w:pStyle w:val="6"/>
        <w:spacing w:line="360" w:lineRule="auto"/>
        <w:ind w:firstLine="0"/>
        <w:jc w:val="left"/>
        <w:rPr>
          <w:rFonts w:ascii="宋体" w:hAnsi="宋体" w:cs="宋体"/>
          <w:bCs/>
          <w:kern w:val="0"/>
          <w:sz w:val="24"/>
          <w:szCs w:val="24"/>
        </w:rPr>
      </w:pPr>
    </w:p>
    <w:p>
      <w:pPr>
        <w:pStyle w:val="6"/>
        <w:spacing w:line="360" w:lineRule="auto"/>
        <w:ind w:firstLine="0"/>
        <w:jc w:val="left"/>
        <w:rPr>
          <w:rFonts w:ascii="宋体" w:hAnsi="宋体" w:cs="宋体"/>
          <w:bCs/>
          <w:kern w:val="0"/>
          <w:sz w:val="24"/>
          <w:szCs w:val="24"/>
        </w:rPr>
      </w:pPr>
    </w:p>
    <w:p>
      <w:pPr>
        <w:pStyle w:val="6"/>
        <w:rPr>
          <w:sz w:val="24"/>
          <w:szCs w:val="24"/>
        </w:rPr>
      </w:pPr>
    </w:p>
    <w:p>
      <w:pPr>
        <w:rPr>
          <w:rFonts w:ascii="宋体" w:hAnsi="宋体" w:cs="宋体"/>
          <w:bCs/>
          <w:kern w:val="0"/>
          <w:sz w:val="24"/>
          <w:szCs w:val="24"/>
        </w:rPr>
      </w:pPr>
      <w:r>
        <w:rPr>
          <w:rFonts w:hint="eastAsia" w:ascii="宋体" w:hAnsi="宋体" w:cs="宋体"/>
          <w:bCs/>
          <w:kern w:val="0"/>
          <w:sz w:val="24"/>
          <w:szCs w:val="24"/>
        </w:rPr>
        <w:br w:type="page"/>
      </w:r>
    </w:p>
    <w:p>
      <w:pPr>
        <w:pStyle w:val="6"/>
        <w:spacing w:line="360" w:lineRule="auto"/>
        <w:rPr>
          <w:rFonts w:ascii="宋体" w:hAnsi="宋体" w:cs="宋体"/>
          <w:bCs/>
          <w:kern w:val="0"/>
          <w:sz w:val="24"/>
          <w:szCs w:val="24"/>
        </w:rPr>
      </w:pPr>
      <w:r>
        <w:rPr>
          <w:rFonts w:hint="eastAsia" w:ascii="宋体" w:hAnsi="宋体" w:cs="宋体"/>
          <w:bCs/>
          <w:kern w:val="0"/>
          <w:sz w:val="24"/>
          <w:szCs w:val="24"/>
        </w:rPr>
        <w:t>5、社会保障资金缴纳证明；</w:t>
      </w:r>
    </w:p>
    <w:p>
      <w:pPr>
        <w:pStyle w:val="6"/>
        <w:spacing w:line="360" w:lineRule="auto"/>
        <w:rPr>
          <w:rFonts w:ascii="宋体" w:hAnsi="宋体" w:cs="宋体"/>
          <w:bCs/>
          <w:kern w:val="0"/>
          <w:sz w:val="24"/>
          <w:szCs w:val="24"/>
        </w:rPr>
      </w:pPr>
      <w:r>
        <w:rPr>
          <w:rFonts w:hint="eastAsia" w:ascii="宋体" w:hAnsi="宋体" w:cs="宋体"/>
          <w:bCs/>
          <w:kern w:val="0"/>
          <w:sz w:val="24"/>
          <w:szCs w:val="24"/>
        </w:rPr>
        <w:t>6、税收缴纳证明；</w:t>
      </w:r>
    </w:p>
    <w:p>
      <w:pPr>
        <w:pStyle w:val="6"/>
        <w:spacing w:line="360" w:lineRule="auto"/>
        <w:jc w:val="left"/>
        <w:rPr>
          <w:rFonts w:ascii="宋体" w:hAnsi="宋体" w:cs="宋体"/>
          <w:bCs/>
          <w:kern w:val="0"/>
          <w:sz w:val="24"/>
          <w:szCs w:val="24"/>
        </w:rPr>
      </w:pPr>
      <w:r>
        <w:rPr>
          <w:rFonts w:hint="eastAsia" w:ascii="宋体" w:hAnsi="宋体" w:cs="宋体"/>
          <w:bCs/>
          <w:kern w:val="0"/>
          <w:sz w:val="24"/>
          <w:szCs w:val="24"/>
        </w:rPr>
        <w:t>7、财务状况证明；</w:t>
      </w:r>
    </w:p>
    <w:p>
      <w:pPr>
        <w:pStyle w:val="6"/>
        <w:spacing w:line="360" w:lineRule="auto"/>
        <w:jc w:val="left"/>
        <w:rPr>
          <w:rFonts w:ascii="宋体" w:hAnsi="宋体" w:cs="宋体"/>
          <w:bCs/>
          <w:kern w:val="0"/>
          <w:sz w:val="24"/>
          <w:szCs w:val="24"/>
        </w:rPr>
      </w:pPr>
      <w:r>
        <w:rPr>
          <w:rFonts w:hint="eastAsia" w:ascii="宋体" w:hAnsi="宋体" w:cs="宋体"/>
          <w:bCs/>
          <w:kern w:val="0"/>
          <w:sz w:val="24"/>
          <w:szCs w:val="24"/>
        </w:rPr>
        <w:t>8、投标人未联合体投标的承诺书（格式自拟）；</w:t>
      </w:r>
    </w:p>
    <w:p>
      <w:pPr>
        <w:pStyle w:val="6"/>
        <w:spacing w:line="360" w:lineRule="auto"/>
        <w:jc w:val="left"/>
        <w:rPr>
          <w:rFonts w:ascii="宋体" w:hAnsi="宋体" w:cs="宋体"/>
          <w:bCs/>
          <w:kern w:val="0"/>
          <w:sz w:val="24"/>
          <w:szCs w:val="24"/>
        </w:rPr>
      </w:pPr>
      <w:r>
        <w:rPr>
          <w:rFonts w:hint="eastAsia" w:ascii="宋体" w:hAnsi="宋体" w:cs="宋体"/>
          <w:bCs/>
          <w:kern w:val="0"/>
          <w:sz w:val="24"/>
          <w:szCs w:val="24"/>
        </w:rPr>
        <w:t>9、投标人认为应该提交的其他证明材料；</w:t>
      </w:r>
    </w:p>
    <w:p>
      <w:pPr>
        <w:pStyle w:val="6"/>
        <w:spacing w:line="360" w:lineRule="auto"/>
        <w:ind w:firstLine="0"/>
        <w:jc w:val="left"/>
        <w:rPr>
          <w:rFonts w:ascii="宋体" w:hAnsi="宋体" w:cs="宋体"/>
          <w:bCs/>
          <w:kern w:val="0"/>
          <w:sz w:val="24"/>
          <w:szCs w:val="24"/>
        </w:rPr>
      </w:pPr>
    </w:p>
    <w:p>
      <w:pPr>
        <w:pStyle w:val="6"/>
        <w:spacing w:line="360" w:lineRule="auto"/>
        <w:ind w:firstLine="0"/>
        <w:jc w:val="left"/>
        <w:rPr>
          <w:rFonts w:ascii="宋体" w:hAnsi="宋体" w:cs="宋体"/>
          <w:bCs/>
          <w:kern w:val="0"/>
          <w:sz w:val="24"/>
          <w:szCs w:val="24"/>
        </w:rPr>
        <w:sectPr>
          <w:pgSz w:w="11906" w:h="16838"/>
          <w:pgMar w:top="1440" w:right="1803" w:bottom="1440" w:left="1803" w:header="851" w:footer="992" w:gutter="0"/>
          <w:cols w:space="720" w:num="1"/>
          <w:docGrid w:type="lines" w:linePitch="319" w:charSpace="0"/>
        </w:sectPr>
      </w:pPr>
    </w:p>
    <w:bookmarkEnd w:id="189"/>
    <w:p>
      <w:pPr>
        <w:pStyle w:val="4"/>
      </w:pPr>
      <w:bookmarkStart w:id="298" w:name="_Toc9923"/>
      <w:r>
        <w:rPr>
          <w:rFonts w:hint="eastAsia"/>
        </w:rPr>
        <w:t>第六章  商务和技术响应偏离表</w:t>
      </w:r>
      <w:bookmarkEnd w:id="298"/>
    </w:p>
    <w:p>
      <w:pPr>
        <w:kinsoku w:val="0"/>
        <w:spacing w:line="480" w:lineRule="auto"/>
        <w:ind w:left="1232" w:hanging="1232" w:hangingChars="440"/>
        <w:jc w:val="left"/>
        <w:rPr>
          <w:rFonts w:asciiTheme="minorEastAsia" w:hAnsiTheme="minorEastAsia" w:cstheme="minorEastAsia"/>
          <w:sz w:val="28"/>
          <w:szCs w:val="28"/>
        </w:rPr>
      </w:pPr>
      <w:r>
        <w:rPr>
          <w:rFonts w:hint="eastAsia" w:asciiTheme="minorEastAsia" w:hAnsiTheme="minorEastAsia" w:cstheme="minorEastAsia"/>
          <w:sz w:val="28"/>
          <w:szCs w:val="28"/>
        </w:rPr>
        <w:t>表1、商务响应偏差表</w:t>
      </w:r>
    </w:p>
    <w:tbl>
      <w:tblPr>
        <w:tblStyle w:val="20"/>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0"/>
              <w:spacing w:line="480" w:lineRule="auto"/>
              <w:jc w:val="center"/>
              <w:rPr>
                <w:rFonts w:asciiTheme="minorEastAsia" w:hAnsiTheme="minorEastAsia" w:cstheme="minorEastAsia"/>
                <w:sz w:val="24"/>
                <w:szCs w:val="24"/>
              </w:rPr>
            </w:pPr>
            <w:r>
              <w:rPr>
                <w:rFonts w:hint="eastAsia" w:hAnsi="宋体" w:cs="宋体"/>
              </w:rPr>
              <w:t xml:space="preserve"> 序号</w:t>
            </w:r>
          </w:p>
        </w:tc>
        <w:tc>
          <w:tcPr>
            <w:tcW w:w="1614" w:type="dxa"/>
            <w:vAlign w:val="center"/>
          </w:tcPr>
          <w:p>
            <w:pPr>
              <w:pStyle w:val="10"/>
              <w:spacing w:line="480" w:lineRule="auto"/>
              <w:jc w:val="left"/>
              <w:rPr>
                <w:rFonts w:asciiTheme="minorEastAsia" w:hAnsiTheme="minorEastAsia" w:cstheme="minorEastAsia"/>
                <w:sz w:val="24"/>
                <w:szCs w:val="24"/>
              </w:rPr>
            </w:pPr>
            <w:r>
              <w:rPr>
                <w:rFonts w:hint="eastAsia" w:hAnsi="宋体" w:cs="宋体"/>
              </w:rPr>
              <w:t xml:space="preserve"> 商务条款</w:t>
            </w:r>
          </w:p>
        </w:tc>
        <w:tc>
          <w:tcPr>
            <w:tcW w:w="1680" w:type="dxa"/>
            <w:vAlign w:val="center"/>
          </w:tcPr>
          <w:p>
            <w:pPr>
              <w:pStyle w:val="10"/>
              <w:spacing w:line="480" w:lineRule="auto"/>
              <w:jc w:val="left"/>
              <w:rPr>
                <w:rFonts w:asciiTheme="minorEastAsia" w:hAnsiTheme="minorEastAsia" w:cstheme="minorEastAsia"/>
                <w:sz w:val="24"/>
                <w:szCs w:val="24"/>
              </w:rPr>
            </w:pPr>
            <w:r>
              <w:rPr>
                <w:rFonts w:hint="eastAsia" w:hAnsi="宋体" w:cs="宋体"/>
              </w:rPr>
              <w:t>商务要求内容</w:t>
            </w:r>
          </w:p>
        </w:tc>
        <w:tc>
          <w:tcPr>
            <w:tcW w:w="2448" w:type="dxa"/>
            <w:vAlign w:val="center"/>
          </w:tcPr>
          <w:p>
            <w:pPr>
              <w:pStyle w:val="10"/>
              <w:spacing w:line="480" w:lineRule="auto"/>
              <w:rPr>
                <w:rFonts w:asciiTheme="minorEastAsia" w:hAnsiTheme="minorEastAsia" w:cstheme="minorEastAsia"/>
                <w:sz w:val="24"/>
                <w:szCs w:val="24"/>
              </w:rPr>
            </w:pPr>
            <w:r>
              <w:rPr>
                <w:rFonts w:hint="eastAsia" w:hAnsi="宋体" w:cs="宋体"/>
              </w:rPr>
              <w:t>响应文件响应商务内容</w:t>
            </w:r>
          </w:p>
        </w:tc>
        <w:tc>
          <w:tcPr>
            <w:tcW w:w="2042" w:type="dxa"/>
            <w:vAlign w:val="center"/>
          </w:tcPr>
          <w:p>
            <w:pPr>
              <w:pStyle w:val="10"/>
              <w:spacing w:line="480" w:lineRule="auto"/>
              <w:jc w:val="center"/>
              <w:rPr>
                <w:rFonts w:asciiTheme="minorEastAsia" w:hAnsiTheme="minorEastAsia" w:cstheme="minorEastAsia"/>
                <w:sz w:val="24"/>
                <w:szCs w:val="24"/>
              </w:rPr>
            </w:pPr>
            <w:r>
              <w:rPr>
                <w:rFonts w:hint="eastAsia" w:hAnsi="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vAlign w:val="center"/>
          </w:tcPr>
          <w:p>
            <w:pPr>
              <w:pStyle w:val="10"/>
              <w:spacing w:line="480" w:lineRule="auto"/>
              <w:ind w:firstLine="480" w:firstLineChars="200"/>
              <w:jc w:val="left"/>
              <w:rPr>
                <w:rFonts w:asciiTheme="minorEastAsia" w:hAnsiTheme="minorEastAsia" w:cstheme="minorEastAsia"/>
                <w:sz w:val="24"/>
                <w:szCs w:val="24"/>
              </w:rPr>
            </w:pPr>
          </w:p>
        </w:tc>
        <w:tc>
          <w:tcPr>
            <w:tcW w:w="2448" w:type="dxa"/>
            <w:vAlign w:val="center"/>
          </w:tcPr>
          <w:p>
            <w:pPr>
              <w:pStyle w:val="10"/>
              <w:spacing w:line="480" w:lineRule="auto"/>
              <w:ind w:firstLine="480" w:firstLineChars="200"/>
              <w:jc w:val="left"/>
              <w:rPr>
                <w:rFonts w:asciiTheme="minorEastAsia" w:hAnsiTheme="minorEastAsia" w:cstheme="minorEastAsia"/>
                <w:sz w:val="24"/>
                <w:szCs w:val="24"/>
              </w:rPr>
            </w:pPr>
          </w:p>
        </w:tc>
        <w:tc>
          <w:tcPr>
            <w:tcW w:w="2042" w:type="dxa"/>
            <w:vAlign w:val="center"/>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c>
          <w:tcPr>
            <w:tcW w:w="1680" w:type="dxa"/>
          </w:tcPr>
          <w:p>
            <w:pPr>
              <w:pStyle w:val="10"/>
              <w:spacing w:line="480" w:lineRule="auto"/>
              <w:ind w:firstLine="480" w:firstLineChars="200"/>
              <w:jc w:val="left"/>
              <w:rPr>
                <w:rFonts w:asciiTheme="minorEastAsia" w:hAnsiTheme="minorEastAsia" w:cstheme="minorEastAsia"/>
                <w:sz w:val="24"/>
                <w:szCs w:val="24"/>
              </w:rPr>
            </w:pPr>
          </w:p>
        </w:tc>
        <w:tc>
          <w:tcPr>
            <w:tcW w:w="2448" w:type="dxa"/>
          </w:tcPr>
          <w:p>
            <w:pPr>
              <w:pStyle w:val="10"/>
              <w:spacing w:line="480" w:lineRule="auto"/>
              <w:ind w:firstLine="480" w:firstLineChars="200"/>
              <w:jc w:val="left"/>
              <w:rPr>
                <w:rFonts w:asciiTheme="minorEastAsia" w:hAnsiTheme="minorEastAsia" w:cstheme="minorEastAsia"/>
                <w:sz w:val="24"/>
                <w:szCs w:val="24"/>
              </w:rPr>
            </w:pPr>
          </w:p>
        </w:tc>
        <w:tc>
          <w:tcPr>
            <w:tcW w:w="2042" w:type="dxa"/>
          </w:tcPr>
          <w:p>
            <w:pPr>
              <w:pStyle w:val="10"/>
              <w:spacing w:line="480" w:lineRule="auto"/>
              <w:ind w:firstLine="480" w:firstLineChars="200"/>
              <w:jc w:val="left"/>
              <w:rPr>
                <w:rFonts w:asciiTheme="minorEastAsia" w:hAnsiTheme="minorEastAsia" w:cstheme="minorEastAsia"/>
                <w:sz w:val="24"/>
                <w:szCs w:val="24"/>
              </w:rPr>
            </w:pPr>
          </w:p>
        </w:tc>
      </w:tr>
    </w:tbl>
    <w:p>
      <w:pPr>
        <w:pStyle w:val="6"/>
        <w:ind w:firstLine="0"/>
        <w:rPr>
          <w:rFonts w:ascii="宋体" w:hAnsi="宋体"/>
          <w:b/>
          <w:bCs/>
          <w:sz w:val="28"/>
          <w:szCs w:val="28"/>
        </w:rPr>
      </w:pPr>
      <w:r>
        <w:rPr>
          <w:rFonts w:hint="eastAsia" w:ascii="宋体" w:hAnsi="宋体"/>
          <w:b/>
          <w:bCs/>
          <w:sz w:val="28"/>
          <w:szCs w:val="28"/>
        </w:rPr>
        <w:t>填写说明：供应商应逐条对招标文件合同条款中的付款、交货期、质保期、履约验收、双方权利义务等商务方面进行响应说明，并保证响应的真实性。</w:t>
      </w:r>
    </w:p>
    <w:p>
      <w:pPr>
        <w:pStyle w:val="6"/>
        <w:ind w:firstLine="0"/>
        <w:rPr>
          <w:rFonts w:ascii="宋体" w:hAnsi="宋体"/>
          <w:b/>
          <w:bCs/>
          <w:sz w:val="28"/>
          <w:szCs w:val="28"/>
        </w:rPr>
      </w:pPr>
      <w:r>
        <w:rPr>
          <w:rFonts w:hint="eastAsia" w:ascii="宋体" w:hAnsi="宋体"/>
          <w:b/>
          <w:bCs/>
          <w:sz w:val="28"/>
          <w:szCs w:val="28"/>
        </w:rPr>
        <w:t>偏差说明填写：正偏离（标明正偏离内容）、符合。</w:t>
      </w:r>
    </w:p>
    <w:p>
      <w:pPr>
        <w:pStyle w:val="6"/>
        <w:ind w:firstLine="0"/>
        <w:rPr>
          <w:rFonts w:ascii="宋体" w:hAnsi="宋体"/>
          <w:sz w:val="28"/>
          <w:szCs w:val="28"/>
        </w:rPr>
      </w:pPr>
      <w:r>
        <w:rPr>
          <w:rFonts w:hint="eastAsia" w:ascii="宋体" w:hAnsi="宋体"/>
          <w:b/>
          <w:bCs/>
          <w:sz w:val="28"/>
          <w:szCs w:val="28"/>
        </w:rPr>
        <w:t>商务条款不允许负偏离；</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投标人（单位名称及公章）：</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法定代表人/被授权人（签字或盖章）：</w:t>
      </w:r>
    </w:p>
    <w:p>
      <w:pPr>
        <w:adjustRightInd w:val="0"/>
        <w:snapToGrid w:val="0"/>
        <w:spacing w:line="480" w:lineRule="auto"/>
        <w:rPr>
          <w:rFonts w:ascii="宋体" w:hAnsi="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日    期：   年   月  日</w:t>
      </w:r>
    </w:p>
    <w:p>
      <w:pPr>
        <w:pStyle w:val="19"/>
        <w:ind w:firstLine="280"/>
        <w:rPr>
          <w:rFonts w:asciiTheme="minorEastAsia" w:hAnsiTheme="minorEastAsia" w:cstheme="minorEastAsia"/>
          <w:sz w:val="28"/>
          <w:szCs w:val="28"/>
        </w:rPr>
      </w:pPr>
      <w:r>
        <w:rPr>
          <w:rFonts w:hint="eastAsia" w:asciiTheme="minorEastAsia" w:hAnsiTheme="minorEastAsia" w:cstheme="minorEastAsia"/>
          <w:sz w:val="28"/>
          <w:szCs w:val="28"/>
        </w:rPr>
        <w:t>表2、技术响应偏差表</w:t>
      </w:r>
    </w:p>
    <w:p>
      <w:pPr>
        <w:pStyle w:val="19"/>
        <w:ind w:firstLine="280"/>
        <w:rPr>
          <w:rFonts w:asciiTheme="minorEastAsia" w:hAnsiTheme="minorEastAsia" w:cstheme="minorEastAsia"/>
          <w:sz w:val="28"/>
          <w:szCs w:val="28"/>
        </w:rPr>
      </w:pPr>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0"/>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864" w:type="dxa"/>
            <w:vAlign w:val="center"/>
          </w:tcPr>
          <w:p>
            <w:pPr>
              <w:pStyle w:val="10"/>
              <w:spacing w:line="48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招标文件技术要求</w:t>
            </w:r>
          </w:p>
        </w:tc>
        <w:tc>
          <w:tcPr>
            <w:tcW w:w="2443" w:type="dxa"/>
            <w:vAlign w:val="center"/>
          </w:tcPr>
          <w:p>
            <w:pPr>
              <w:pStyle w:val="10"/>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投标文件</w:t>
            </w:r>
          </w:p>
          <w:p>
            <w:pPr>
              <w:pStyle w:val="10"/>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响应内容</w:t>
            </w:r>
          </w:p>
        </w:tc>
        <w:tc>
          <w:tcPr>
            <w:tcW w:w="1621" w:type="dxa"/>
            <w:vAlign w:val="center"/>
          </w:tcPr>
          <w:p>
            <w:pPr>
              <w:pStyle w:val="10"/>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 偏差说明</w:t>
            </w:r>
          </w:p>
        </w:tc>
        <w:tc>
          <w:tcPr>
            <w:tcW w:w="1614" w:type="dxa"/>
            <w:vAlign w:val="center"/>
          </w:tcPr>
          <w:p>
            <w:pPr>
              <w:pStyle w:val="10"/>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vAlign w:val="center"/>
          </w:tcPr>
          <w:p>
            <w:pPr>
              <w:pStyle w:val="10"/>
              <w:spacing w:line="480" w:lineRule="auto"/>
              <w:ind w:firstLine="480" w:firstLineChars="200"/>
              <w:jc w:val="left"/>
              <w:rPr>
                <w:rFonts w:asciiTheme="minorEastAsia" w:hAnsiTheme="minorEastAsia" w:cstheme="minorEastAsia"/>
                <w:sz w:val="24"/>
                <w:szCs w:val="24"/>
              </w:rPr>
            </w:pPr>
          </w:p>
        </w:tc>
        <w:tc>
          <w:tcPr>
            <w:tcW w:w="2443" w:type="dxa"/>
            <w:vAlign w:val="center"/>
          </w:tcPr>
          <w:p>
            <w:pPr>
              <w:pStyle w:val="10"/>
              <w:spacing w:line="480" w:lineRule="auto"/>
              <w:ind w:firstLine="480" w:firstLineChars="200"/>
              <w:jc w:val="left"/>
              <w:rPr>
                <w:rFonts w:asciiTheme="minorEastAsia" w:hAnsiTheme="minorEastAsia" w:cstheme="minorEastAsia"/>
                <w:sz w:val="24"/>
                <w:szCs w:val="24"/>
              </w:rPr>
            </w:pPr>
          </w:p>
        </w:tc>
        <w:tc>
          <w:tcPr>
            <w:tcW w:w="1621" w:type="dxa"/>
            <w:vAlign w:val="center"/>
          </w:tcPr>
          <w:p>
            <w:pPr>
              <w:pStyle w:val="10"/>
              <w:spacing w:line="480" w:lineRule="auto"/>
              <w:ind w:firstLine="480" w:firstLineChars="200"/>
              <w:jc w:val="left"/>
              <w:rPr>
                <w:rFonts w:asciiTheme="minorEastAsia" w:hAnsiTheme="minorEastAsia" w:cstheme="minorEastAsia"/>
                <w:sz w:val="24"/>
                <w:szCs w:val="24"/>
              </w:rPr>
            </w:pPr>
          </w:p>
        </w:tc>
        <w:tc>
          <w:tcPr>
            <w:tcW w:w="1614" w:type="dxa"/>
            <w:vAlign w:val="center"/>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0"/>
              <w:spacing w:line="480" w:lineRule="auto"/>
              <w:ind w:firstLine="480" w:firstLineChars="200"/>
              <w:jc w:val="left"/>
              <w:rPr>
                <w:rFonts w:asciiTheme="minorEastAsia" w:hAnsiTheme="minorEastAsia" w:cstheme="minorEastAsia"/>
                <w:sz w:val="24"/>
                <w:szCs w:val="24"/>
              </w:rPr>
            </w:pPr>
          </w:p>
        </w:tc>
        <w:tc>
          <w:tcPr>
            <w:tcW w:w="2864" w:type="dxa"/>
          </w:tcPr>
          <w:p>
            <w:pPr>
              <w:pStyle w:val="10"/>
              <w:spacing w:line="480" w:lineRule="auto"/>
              <w:ind w:firstLine="480" w:firstLineChars="200"/>
              <w:jc w:val="left"/>
              <w:rPr>
                <w:rFonts w:asciiTheme="minorEastAsia" w:hAnsiTheme="minorEastAsia" w:cstheme="minorEastAsia"/>
                <w:sz w:val="24"/>
                <w:szCs w:val="24"/>
              </w:rPr>
            </w:pPr>
          </w:p>
        </w:tc>
        <w:tc>
          <w:tcPr>
            <w:tcW w:w="2443" w:type="dxa"/>
          </w:tcPr>
          <w:p>
            <w:pPr>
              <w:pStyle w:val="10"/>
              <w:spacing w:line="480" w:lineRule="auto"/>
              <w:ind w:firstLine="480" w:firstLineChars="200"/>
              <w:jc w:val="left"/>
              <w:rPr>
                <w:rFonts w:asciiTheme="minorEastAsia" w:hAnsiTheme="minorEastAsia" w:cstheme="minorEastAsia"/>
                <w:sz w:val="24"/>
                <w:szCs w:val="24"/>
              </w:rPr>
            </w:pPr>
          </w:p>
        </w:tc>
        <w:tc>
          <w:tcPr>
            <w:tcW w:w="1621" w:type="dxa"/>
          </w:tcPr>
          <w:p>
            <w:pPr>
              <w:pStyle w:val="10"/>
              <w:spacing w:line="480" w:lineRule="auto"/>
              <w:ind w:firstLine="480" w:firstLineChars="200"/>
              <w:jc w:val="left"/>
              <w:rPr>
                <w:rFonts w:asciiTheme="minorEastAsia" w:hAnsiTheme="minorEastAsia" w:cstheme="minorEastAsia"/>
                <w:sz w:val="24"/>
                <w:szCs w:val="24"/>
              </w:rPr>
            </w:pPr>
          </w:p>
        </w:tc>
        <w:tc>
          <w:tcPr>
            <w:tcW w:w="1614" w:type="dxa"/>
          </w:tcPr>
          <w:p>
            <w:pPr>
              <w:pStyle w:val="10"/>
              <w:spacing w:line="480" w:lineRule="auto"/>
              <w:ind w:firstLine="480" w:firstLineChars="200"/>
              <w:jc w:val="left"/>
              <w:rPr>
                <w:rFonts w:asciiTheme="minorEastAsia" w:hAnsiTheme="minorEastAsia" w:cstheme="minorEastAsia"/>
                <w:sz w:val="24"/>
                <w:szCs w:val="24"/>
              </w:rPr>
            </w:pPr>
          </w:p>
        </w:tc>
      </w:tr>
    </w:tbl>
    <w:p>
      <w:pPr>
        <w:pStyle w:val="10"/>
        <w:ind w:firstLine="562" w:firstLineChars="200"/>
        <w:jc w:val="left"/>
        <w:rPr>
          <w:rFonts w:asciiTheme="minorEastAsia" w:hAnsiTheme="minorEastAsia" w:cstheme="minorEastAsia"/>
          <w:sz w:val="28"/>
          <w:szCs w:val="28"/>
        </w:rPr>
      </w:pPr>
      <w:r>
        <w:rPr>
          <w:rFonts w:hint="eastAsia" w:asciiTheme="minorEastAsia" w:hAnsiTheme="minorEastAsia" w:cstheme="minorEastAsia"/>
          <w:b/>
          <w:sz w:val="28"/>
          <w:szCs w:val="28"/>
        </w:rPr>
        <w:t>填写说明：</w:t>
      </w:r>
      <w:r>
        <w:rPr>
          <w:rFonts w:hint="eastAsia" w:asciiTheme="minorEastAsia" w:hAnsiTheme="minorEastAsia" w:cstheme="minorEastAsia"/>
          <w:sz w:val="28"/>
          <w:szCs w:val="28"/>
        </w:rPr>
        <w:t>请按招标文件要求的实际技术要求，逐条对应投标文件的“采购要求”中的技术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cstheme="minorEastAsia"/>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r>
        <w:rPr>
          <w:rFonts w:hint="eastAsia" w:asciiTheme="minorEastAsia" w:hAnsiTheme="minorEastAsia" w:cstheme="minorEastAsia"/>
          <w:sz w:val="28"/>
          <w:szCs w:val="28"/>
          <w:u w:val="single"/>
        </w:rPr>
        <w:t xml:space="preserve">                          </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pPr>
        <w:adjustRightInd w:val="0"/>
        <w:snapToGrid w:val="0"/>
        <w:spacing w:line="480" w:lineRule="auto"/>
        <w:rPr>
          <w:rFonts w:asciiTheme="minorEastAsia" w:hAnsiTheme="minorEastAsia" w:cstheme="minorEastAsia"/>
          <w:sz w:val="28"/>
          <w:szCs w:val="28"/>
        </w:rPr>
        <w:sectPr>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sz w:val="28"/>
          <w:szCs w:val="28"/>
        </w:rPr>
        <w:t>日    期：</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w:t>
      </w:r>
    </w:p>
    <w:p>
      <w:pPr>
        <w:pStyle w:val="4"/>
        <w:spacing w:before="325" w:beforeLines="100" w:after="487" w:afterLines="150" w:line="500" w:lineRule="exact"/>
        <w:rPr>
          <w:rFonts w:asciiTheme="minorEastAsia" w:hAnsiTheme="minorEastAsia" w:eastAsiaTheme="minorEastAsia" w:cstheme="minorEastAsia"/>
          <w:sz w:val="36"/>
          <w:szCs w:val="36"/>
        </w:rPr>
      </w:pPr>
      <w:bookmarkStart w:id="299" w:name="_Toc18357"/>
      <w:bookmarkStart w:id="300" w:name="_Toc31775"/>
      <w:r>
        <w:rPr>
          <w:rFonts w:hint="eastAsia" w:asciiTheme="minorEastAsia" w:hAnsiTheme="minorEastAsia" w:eastAsiaTheme="minorEastAsia" w:cstheme="minorEastAsia"/>
          <w:sz w:val="36"/>
          <w:szCs w:val="36"/>
        </w:rPr>
        <w:t xml:space="preserve">第七章  </w:t>
      </w:r>
      <w:bookmarkEnd w:id="299"/>
      <w:r>
        <w:rPr>
          <w:rFonts w:hint="eastAsia" w:asciiTheme="minorEastAsia" w:hAnsiTheme="minorEastAsia" w:eastAsiaTheme="minorEastAsia" w:cstheme="minorEastAsia"/>
          <w:sz w:val="36"/>
          <w:szCs w:val="36"/>
        </w:rPr>
        <w:t>技术支持资料</w:t>
      </w:r>
      <w:bookmarkEnd w:id="300"/>
    </w:p>
    <w:p>
      <w:pPr>
        <w:spacing w:line="480" w:lineRule="auto"/>
        <w:rPr>
          <w:b/>
          <w:bCs/>
          <w:color w:val="FF0000"/>
          <w:sz w:val="36"/>
          <w:szCs w:val="36"/>
        </w:rPr>
      </w:pPr>
      <w:r>
        <w:rPr>
          <w:rFonts w:hint="eastAsia"/>
          <w:b/>
          <w:bCs/>
          <w:color w:val="FF0000"/>
          <w:sz w:val="36"/>
          <w:szCs w:val="36"/>
        </w:rPr>
        <w:t>投标人可根据评审办法自行编写服务措施，格式不限：</w:t>
      </w:r>
    </w:p>
    <w:p/>
    <w:p>
      <w:pPr>
        <w:pStyle w:val="4"/>
        <w:sectPr>
          <w:pgSz w:w="11906" w:h="16838"/>
          <w:pgMar w:top="1440" w:right="1304" w:bottom="1440" w:left="1304" w:header="851" w:footer="992" w:gutter="0"/>
          <w:cols w:space="0" w:num="1"/>
          <w:docGrid w:type="lines" w:linePitch="325" w:charSpace="0"/>
        </w:sectPr>
      </w:pPr>
    </w:p>
    <w:p>
      <w:pPr>
        <w:pStyle w:val="4"/>
      </w:pPr>
      <w:bookmarkStart w:id="301" w:name="_Toc18277"/>
      <w:r>
        <w:rPr>
          <w:rFonts w:hint="eastAsia"/>
        </w:rPr>
        <w:t>第八章  投标人业绩一览表</w:t>
      </w:r>
      <w:bookmarkEnd w:id="301"/>
    </w:p>
    <w:p>
      <w:pPr>
        <w:rPr>
          <w:rFonts w:asciiTheme="minorEastAsia" w:hAnsiTheme="minorEastAsia" w:cstheme="minorEastAsia"/>
        </w:rPr>
      </w:pPr>
    </w:p>
    <w:tbl>
      <w:tblPr>
        <w:tblStyle w:val="20"/>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年份</w:t>
            </w:r>
          </w:p>
        </w:tc>
        <w:tc>
          <w:tcPr>
            <w:tcW w:w="1508"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用户名称</w:t>
            </w:r>
          </w:p>
        </w:tc>
        <w:tc>
          <w:tcPr>
            <w:tcW w:w="1382"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1399"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完成时间</w:t>
            </w:r>
          </w:p>
        </w:tc>
        <w:tc>
          <w:tcPr>
            <w:tcW w:w="1485" w:type="dxa"/>
            <w:vAlign w:val="center"/>
          </w:tcPr>
          <w:p>
            <w:pPr>
              <w:spacing w:line="400" w:lineRule="exact"/>
              <w:ind w:firstLine="105" w:firstLineChars="50"/>
              <w:rPr>
                <w:rFonts w:asciiTheme="minorEastAsia" w:hAnsiTheme="minorEastAsia" w:cstheme="minorEastAsia"/>
                <w:bCs/>
                <w:szCs w:val="21"/>
              </w:rPr>
            </w:pPr>
            <w:r>
              <w:rPr>
                <w:rFonts w:hint="eastAsia" w:asciiTheme="minorEastAsia" w:hAnsiTheme="minorEastAsia" w:cstheme="minorEastAsia"/>
                <w:bCs/>
                <w:szCs w:val="21"/>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rPr>
            </w:pPr>
            <w:r>
              <w:rPr>
                <w:rFonts w:hint="eastAsia" w:asciiTheme="minorEastAsia" w:hAnsiTheme="minorEastAsia" w:cstheme="minorEastAsia"/>
                <w:bCs/>
                <w:szCs w:val="21"/>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rPr>
            </w:pPr>
          </w:p>
        </w:tc>
        <w:tc>
          <w:tcPr>
            <w:tcW w:w="1508" w:type="dxa"/>
            <w:vAlign w:val="center"/>
          </w:tcPr>
          <w:p>
            <w:pPr>
              <w:spacing w:line="400" w:lineRule="exact"/>
              <w:rPr>
                <w:rFonts w:asciiTheme="minorEastAsia" w:hAnsiTheme="minorEastAsia" w:cstheme="minorEastAsia"/>
                <w:bCs/>
                <w:szCs w:val="21"/>
              </w:rPr>
            </w:pPr>
          </w:p>
        </w:tc>
        <w:tc>
          <w:tcPr>
            <w:tcW w:w="1382" w:type="dxa"/>
            <w:vAlign w:val="center"/>
          </w:tcPr>
          <w:p>
            <w:pPr>
              <w:spacing w:line="400" w:lineRule="exact"/>
              <w:rPr>
                <w:rFonts w:asciiTheme="minorEastAsia" w:hAnsiTheme="minorEastAsia" w:cstheme="minorEastAsia"/>
                <w:bCs/>
                <w:szCs w:val="21"/>
              </w:rPr>
            </w:pPr>
          </w:p>
        </w:tc>
        <w:tc>
          <w:tcPr>
            <w:tcW w:w="1399" w:type="dxa"/>
            <w:vAlign w:val="center"/>
          </w:tcPr>
          <w:p>
            <w:pPr>
              <w:spacing w:line="400" w:lineRule="exact"/>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注：投标人（仅限于投标人自己实施的）以上业绩需提供采购合同复印件加盖公章。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360" w:lineRule="auto"/>
        <w:ind w:left="360"/>
        <w:jc w:val="center"/>
        <w:rPr>
          <w:rFonts w:asciiTheme="minorEastAsia" w:hAnsiTheme="minorEastAsia" w:cstheme="minorEastAsia"/>
          <w:sz w:val="24"/>
          <w:szCs w:val="24"/>
        </w:rPr>
      </w:pP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投标人名称：</w:t>
      </w:r>
      <w:r>
        <w:rPr>
          <w:rFonts w:hint="eastAsia" w:asciiTheme="minorEastAsia" w:hAnsiTheme="minorEastAsia" w:cstheme="minorEastAsia"/>
          <w:bCs/>
          <w:sz w:val="24"/>
          <w:szCs w:val="24"/>
          <w:u w:val="single"/>
        </w:rPr>
        <w:t xml:space="preserve">              （全称及公章）</w:t>
      </w: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r>
        <w:rPr>
          <w:rFonts w:hint="eastAsia" w:asciiTheme="minorEastAsia" w:hAnsiTheme="minorEastAsia" w:cstheme="minorEastAsia"/>
          <w:bCs/>
          <w:sz w:val="24"/>
          <w:szCs w:val="24"/>
          <w:u w:val="single"/>
        </w:rPr>
        <w:t xml:space="preserve">               </w:t>
      </w:r>
    </w:p>
    <w:p>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w:t>
      </w: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pStyle w:val="4"/>
      </w:pPr>
      <w:bookmarkStart w:id="302" w:name="_Toc29034"/>
      <w:bookmarkStart w:id="303" w:name="_Toc30197"/>
      <w:r>
        <w:rPr>
          <w:rFonts w:hint="eastAsia"/>
        </w:rPr>
        <w:t>第九章  投标人认为有必要说明的其他问题</w:t>
      </w:r>
      <w:bookmarkEnd w:id="302"/>
      <w:bookmarkEnd w:id="303"/>
    </w:p>
    <w:p>
      <w:pPr>
        <w:rPr>
          <w:rFonts w:asciiTheme="minorEastAsia" w:hAnsiTheme="minorEastAsia" w:cstheme="minorEastAsia"/>
          <w:sz w:val="24"/>
        </w:rPr>
      </w:pPr>
      <w:r>
        <w:rPr>
          <w:rFonts w:hint="eastAsia" w:asciiTheme="minorEastAsia" w:hAnsiTheme="minorEastAsia" w:cstheme="minorEastAsia"/>
          <w:sz w:val="24"/>
        </w:rPr>
        <w:t xml:space="preserve"> 投标人认为有必要提供的其他证明文件</w:t>
      </w:r>
    </w:p>
    <w:p>
      <w:pPr>
        <w:pStyle w:val="6"/>
      </w:pPr>
    </w:p>
    <w:p>
      <w:pPr>
        <w:rPr>
          <w:b/>
          <w:bCs/>
          <w:sz w:val="44"/>
          <w:szCs w:val="48"/>
        </w:rPr>
      </w:pPr>
      <w:r>
        <w:rPr>
          <w:rFonts w:hint="eastAsia"/>
          <w:sz w:val="24"/>
          <w:szCs w:val="24"/>
        </w:rPr>
        <w:t xml:space="preserve"> </w:t>
      </w:r>
      <w:r>
        <w:rPr>
          <w:rFonts w:hint="eastAsia"/>
          <w:b/>
          <w:bCs/>
          <w:sz w:val="44"/>
          <w:szCs w:val="48"/>
        </w:rPr>
        <w:t>投标人可在此处附附件二至附件五的证明材料，如没有提供，视为无。</w:t>
      </w:r>
    </w:p>
    <w:p>
      <w:pPr>
        <w:pStyle w:val="4"/>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24"/>
        </w:rPr>
        <w:br w:type="page"/>
      </w:r>
      <w:bookmarkStart w:id="304" w:name="_Toc32440"/>
      <w:bookmarkStart w:id="305" w:name="_Toc8653"/>
      <w:r>
        <w:rPr>
          <w:rFonts w:hint="eastAsia" w:asciiTheme="minorEastAsia" w:hAnsiTheme="minorEastAsia" w:eastAsiaTheme="minorEastAsia" w:cstheme="minorEastAsia"/>
          <w:sz w:val="36"/>
          <w:szCs w:val="36"/>
        </w:rPr>
        <w:t>第十章  投标人承诺书</w:t>
      </w:r>
      <w:bookmarkEnd w:id="304"/>
      <w:bookmarkEnd w:id="305"/>
    </w:p>
    <w:p>
      <w:pPr>
        <w:pStyle w:val="1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陕西省政府采购供货商拒绝政府采购领域商业贿赂承诺书Ⅰ</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为响应党中央、国务院关于治理政府采购领域商业贿赂行为的号召，我公司在此庄严承诺： </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1、在参与政府采购活动中遵纪守法、诚信经营、公平竞标。</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2、不向政府采购人、代理机构和政府采购评审专家进行任何形式的商业贿赂以谋取交易机会。</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3、不向政府代理机构和采购人提供虚假资质文件或采用虚假应标方式参与政府采购市场竞争并谋取成交、成交。</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4、不采取“围标、陪标”等商业欺诈手段获得政府采购订单。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5、不采取不正当手段诋毁、排挤其它供货商。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6、不在提供商品和服务时“偷梁换柱、以次充好”损害采购人的合法权益。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7、不与采购人、代理机构政府采购评审专家或其它供货商恶意串通，进行质疑和投诉，维护政府采购市场秩序。</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8、尊重和接受政府采购监督管理部门的监督和政府代理机构招标采购要求，承担因违约行为给采购人造成的损失。</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9、不发生其它有悖于政府采购公开、公平、公正和诚信原则的行为。</w:t>
      </w:r>
    </w:p>
    <w:p>
      <w:pPr>
        <w:adjustRightInd w:val="0"/>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r>
        <w:rPr>
          <w:rFonts w:hint="eastAsia" w:asciiTheme="minorEastAsia" w:hAnsiTheme="minorEastAsia" w:cstheme="minorEastAsia"/>
          <w:sz w:val="24"/>
          <w:szCs w:val="24"/>
          <w:u w:val="single"/>
        </w:rPr>
        <w:t xml:space="preserve">                  </w:t>
      </w:r>
    </w:p>
    <w:p>
      <w:pPr>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法定代表人/被授权人（签字或盖章）：</w:t>
      </w:r>
      <w:r>
        <w:rPr>
          <w:rFonts w:hint="eastAsia" w:asciiTheme="minorEastAsia" w:hAnsiTheme="minorEastAsia" w:cstheme="minorEastAsia"/>
          <w:sz w:val="24"/>
          <w:szCs w:val="24"/>
          <w:u w:val="single"/>
        </w:rPr>
        <w:t xml:space="preserve">               </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邮  编：</w:t>
      </w:r>
      <w:r>
        <w:rPr>
          <w:rFonts w:hint="eastAsia" w:asciiTheme="minorEastAsia" w:hAnsiTheme="minorEastAsia" w:cstheme="minorEastAsia"/>
          <w:sz w:val="24"/>
          <w:szCs w:val="24"/>
          <w:u w:val="single"/>
        </w:rPr>
        <w:t xml:space="preserve">                                         </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r>
        <w:rPr>
          <w:rFonts w:hint="eastAsia" w:asciiTheme="minorEastAsia" w:hAnsiTheme="minorEastAsia" w:cstheme="minorEastAsia"/>
          <w:sz w:val="24"/>
          <w:szCs w:val="24"/>
          <w:u w:val="single"/>
        </w:rPr>
        <w:t xml:space="preserve">                          </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电  话： </w:t>
      </w:r>
      <w:r>
        <w:rPr>
          <w:rFonts w:hint="eastAsia" w:asciiTheme="minorEastAsia" w:hAnsiTheme="minorEastAsia" w:cstheme="minorEastAsia"/>
          <w:sz w:val="24"/>
          <w:szCs w:val="24"/>
          <w:u w:val="single"/>
        </w:rPr>
        <w:t xml:space="preserve">                         </w:t>
      </w:r>
    </w:p>
    <w:p>
      <w:pPr>
        <w:snapToGrid w:val="0"/>
        <w:spacing w:line="500" w:lineRule="exact"/>
        <w:ind w:firstLine="480" w:firstLineChars="200"/>
        <w:jc w:val="left"/>
        <w:rPr>
          <w:rFonts w:asciiTheme="minorEastAsia" w:hAnsiTheme="minorEastAsia" w:cstheme="minorEastAsia"/>
          <w:sz w:val="28"/>
          <w:szCs w:val="28"/>
        </w:rPr>
      </w:pPr>
      <w:r>
        <w:rPr>
          <w:rFonts w:hint="eastAsia" w:asciiTheme="minorEastAsia" w:hAnsiTheme="minorEastAsia" w:cstheme="minorEastAsia"/>
          <w:sz w:val="24"/>
          <w:szCs w:val="24"/>
        </w:rPr>
        <w:t>时  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承诺书Ⅱ</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作为参加贵公司组织的本项目的投标人，本公司承诺：在参加本项目投标之前不存在被依法禁止经营行为、财产被接管或冻结的情况，如有隐瞒实情，愿承担一切责任及后果。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7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74"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tc>
      </w:tr>
    </w:tbl>
    <w:p>
      <w:pPr>
        <w:spacing w:line="360" w:lineRule="atLeast"/>
        <w:ind w:firstLine="843" w:firstLineChars="200"/>
        <w:jc w:val="left"/>
        <w:rPr>
          <w:rFonts w:asciiTheme="minorEastAsia" w:hAnsiTheme="minorEastAsia" w:cstheme="minorEastAsia"/>
          <w:b/>
          <w:sz w:val="42"/>
          <w:szCs w:val="42"/>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承诺书Ⅲ</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作为参加贵公司组织的本项目的投标人，本公司郑重申告并承诺：近三年受到有关行政主管部门的行政处理、不良行为记录为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8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87"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88"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87"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tc>
      </w:tr>
    </w:tbl>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承诺书Ⅳ</w:t>
      </w:r>
    </w:p>
    <w:tbl>
      <w:tblPr>
        <w:tblStyle w:val="2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作为参加贵公司组织的本项目的投标人，本公司郑重申告：近三年因产品供货问题（水货、替代品、次品、翻新品等）的不法行为记录为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1"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1"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tc>
      </w:tr>
    </w:tbl>
    <w:p>
      <w:pPr>
        <w:spacing w:line="360" w:lineRule="auto"/>
        <w:ind w:firstLine="480" w:firstLineChars="200"/>
        <w:jc w:val="left"/>
        <w:rPr>
          <w:rFonts w:asciiTheme="minorEastAsia" w:hAnsiTheme="minorEastAsia" w:cstheme="minorEastAsia"/>
          <w:sz w:val="24"/>
          <w:szCs w:val="28"/>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w:t>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 5 \* ROMAN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lang w:val="zh-CN"/>
        </w:rPr>
        <w:t>V</w:t>
      </w:r>
      <w:r>
        <w:rPr>
          <w:rFonts w:hint="eastAsia" w:asciiTheme="minorEastAsia" w:hAnsiTheme="minorEastAsia" w:cstheme="minorEastAsia"/>
          <w:b/>
          <w:sz w:val="28"/>
          <w:szCs w:val="28"/>
        </w:rPr>
        <w:fldChar w:fldCharType="end"/>
      </w:r>
    </w:p>
    <w:tbl>
      <w:tblPr>
        <w:tblStyle w:val="2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作为参加贵公司本项目的投标人，本公司承诺：参加本次投标提交的所有资质证明文件及业绩证明文件是真实的、有效的，如有隐瞒实情，愿承担一切责任及后果。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41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41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tc>
      </w:tr>
    </w:tbl>
    <w:p>
      <w:pPr>
        <w:adjustRightInd w:val="0"/>
        <w:snapToGrid w:val="0"/>
        <w:ind w:firstLine="720" w:firstLineChars="200"/>
        <w:jc w:val="left"/>
        <w:rPr>
          <w:rFonts w:asciiTheme="minorEastAsia" w:hAnsiTheme="minorEastAsia" w:cstheme="minorEastAsia"/>
          <w:bCs/>
          <w:sz w:val="36"/>
          <w:szCs w:val="36"/>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Theme="minorEastAsia" w:hAnsiTheme="minorEastAsia" w:eastAsiaTheme="minorEastAsia" w:cstheme="minorEastAsia"/>
        </w:rPr>
      </w:pPr>
      <w:bookmarkStart w:id="306" w:name="_Toc32156"/>
      <w:bookmarkStart w:id="307" w:name="_Toc11130"/>
      <w:r>
        <w:rPr>
          <w:rFonts w:hint="eastAsia" w:asciiTheme="minorEastAsia" w:hAnsiTheme="minorEastAsia" w:eastAsiaTheme="minorEastAsia" w:cstheme="minorEastAsia"/>
        </w:rPr>
        <w:t>附件一：封袋正面标识式样</w:t>
      </w:r>
      <w:bookmarkEnd w:id="306"/>
      <w:bookmarkEnd w:id="307"/>
    </w:p>
    <w:p>
      <w:pPr>
        <w:spacing w:line="460" w:lineRule="exact"/>
        <w:ind w:firstLine="562" w:firstLineChars="200"/>
        <w:jc w:val="center"/>
        <w:rPr>
          <w:rFonts w:asciiTheme="minorEastAsia" w:hAnsiTheme="minorEastAsia" w:cstheme="minorEastAsia"/>
          <w:b/>
          <w:sz w:val="24"/>
        </w:rPr>
      </w:pPr>
      <w:r>
        <w:rPr>
          <w:rFonts w:hint="eastAsia" w:asciiTheme="minorEastAsia" w:hAnsiTheme="minorEastAsia" w:cstheme="minorEastAsia"/>
          <w:b/>
          <w:sz w:val="28"/>
          <w:szCs w:val="28"/>
        </w:rPr>
        <w:t>投标文件正本封袋正面标识式样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3360" behindDoc="0" locked="0" layoutInCell="1" allowOverlap="1">
                <wp:simplePos x="0" y="0"/>
                <wp:positionH relativeFrom="column">
                  <wp:posOffset>-274320</wp:posOffset>
                </wp:positionH>
                <wp:positionV relativeFrom="paragraph">
                  <wp:posOffset>193675</wp:posOffset>
                </wp:positionV>
                <wp:extent cx="6255385" cy="3165475"/>
                <wp:effectExtent l="4445" t="4445" r="7620" b="11430"/>
                <wp:wrapNone/>
                <wp:docPr id="1" name="Text Box 3"/>
                <wp:cNvGraphicFramePr/>
                <a:graphic xmlns:a="http://schemas.openxmlformats.org/drawingml/2006/main">
                  <a:graphicData uri="http://schemas.microsoft.com/office/word/2010/wordprocessingShape">
                    <wps:wsp>
                      <wps:cNvSpPr txBox="1"/>
                      <wps:spPr>
                        <a:xfrm>
                          <a:off x="0" y="0"/>
                          <a:ext cx="6255385" cy="316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bCs/>
                                <w:sz w:val="32"/>
                                <w:szCs w:val="32"/>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bCs/>
                                <w:sz w:val="32"/>
                                <w:szCs w:val="32"/>
                              </w:rPr>
                              <w:t xml:space="preserve"> </w:t>
                            </w: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49.25pt;width:492.55pt;z-index:251663360;mso-width-relative:page;mso-height-relative:page;" fillcolor="#FFFFFF" filled="t" stroked="t" coordsize="21600,21600" o:gfxdata="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3sXy42gAAAAoBAAAPAAAAAAAAAAEAIAAAACIAAABkcnMv&#10;ZG93bnJldi54bWxQSwECFAAUAAAACACHTuJA6BTajAECAABEBAAADgAAAAAAAAABACAAAAApAQAA&#10;ZHJzL2Uyb0RvYy54bWxQSwUGAAAAAAYABgBZAQAAnAUAAAAA&#10;">
                <v:fill on="t" focussize="0,0"/>
                <v:stroke color="#000000" joinstyle="miter"/>
                <v:imagedata o:title=""/>
                <o:lock v:ext="edit" aspectratio="f"/>
                <v:textbo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bCs/>
                          <w:sz w:val="32"/>
                          <w:szCs w:val="32"/>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bCs/>
                          <w:sz w:val="32"/>
                          <w:szCs w:val="32"/>
                        </w:rPr>
                        <w:t xml:space="preserve"> </w:t>
                      </w: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投标文件副本封袋正面标识式样</w: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tabs>
          <w:tab w:val="left" w:pos="8280"/>
        </w:tabs>
        <w:spacing w:line="460" w:lineRule="exact"/>
        <w:ind w:firstLine="482" w:firstLineChars="200"/>
        <w:jc w:val="left"/>
        <w:rPr>
          <w:rFonts w:asciiTheme="minorEastAsia" w:hAnsiTheme="minorEastAsia" w:cstheme="minorEastAsia"/>
          <w:b/>
          <w:sz w:val="24"/>
        </w:rPr>
      </w:pPr>
    </w:p>
    <w:p>
      <w:pPr>
        <w:ind w:firstLine="420" w:firstLineChars="200"/>
        <w:jc w:val="left"/>
        <w:rPr>
          <w:rFonts w:asciiTheme="minorEastAsia" w:hAnsiTheme="minorEastAsia" w:cstheme="minorEastAsia"/>
        </w:rPr>
      </w:pPr>
    </w:p>
    <w:p>
      <w:pPr>
        <w:ind w:firstLine="482" w:firstLineChars="200"/>
        <w:jc w:val="left"/>
        <w:rPr>
          <w:rFonts w:asciiTheme="minorEastAsia" w:hAnsiTheme="minorEastAsia" w:cstheme="minorEastAsia"/>
        </w:rPr>
      </w:pPr>
      <w:r>
        <w:rPr>
          <w:rFonts w:asciiTheme="minorEastAsia" w:hAnsiTheme="minorEastAsia" w:cstheme="minorEastAsia"/>
          <w:b/>
          <w:sz w:val="24"/>
        </w:rPr>
        <mc:AlternateContent>
          <mc:Choice Requires="wps">
            <w:drawing>
              <wp:anchor distT="0" distB="0" distL="114300" distR="114300" simplePos="0" relativeHeight="251664384" behindDoc="0" locked="0" layoutInCell="1" allowOverlap="1">
                <wp:simplePos x="0" y="0"/>
                <wp:positionH relativeFrom="column">
                  <wp:posOffset>-300990</wp:posOffset>
                </wp:positionH>
                <wp:positionV relativeFrom="paragraph">
                  <wp:posOffset>38100</wp:posOffset>
                </wp:positionV>
                <wp:extent cx="6288405" cy="3540760"/>
                <wp:effectExtent l="5080" t="5080" r="12065" b="16510"/>
                <wp:wrapNone/>
                <wp:docPr id="2" name="Text Box 4"/>
                <wp:cNvGraphicFramePr/>
                <a:graphic xmlns:a="http://schemas.openxmlformats.org/drawingml/2006/main">
                  <a:graphicData uri="http://schemas.microsoft.com/office/word/2010/wordprocessingShape">
                    <wps:wsp>
                      <wps:cNvSpPr txBox="1"/>
                      <wps:spPr>
                        <a:xfrm>
                          <a:off x="0" y="0"/>
                          <a:ext cx="6288405" cy="35407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sz w:val="44"/>
                                <w:szCs w:val="44"/>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rPr>
                            </w:pP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wps:txbx>
                      <wps:bodyPr upright="1"/>
                    </wps:wsp>
                  </a:graphicData>
                </a:graphic>
              </wp:anchor>
            </w:drawing>
          </mc:Choice>
          <mc:Fallback>
            <w:pict>
              <v:shape id="Text Box 4" o:spid="_x0000_s1026" o:spt="202" type="#_x0000_t202" style="position:absolute;left:0pt;margin-left:-23.7pt;margin-top:3pt;height:278.8pt;width:495.15pt;z-index:251664384;mso-width-relative:page;mso-height-relative:page;" fillcolor="#FFFFFF" filled="t" stroked="t" coordsize="21600,21600" o:gfxdata="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guEzbZAAAACQEAAA8AAAAAAAAAAQAgAAAAIgAAAGRy&#10;cy9kb3ducmV2LnhtbFBLAQIUABQAAAAIAIdO4kA1WBkgBAIAAEQEAAAOAAAAAAAAAAEAIAAAACgB&#10;AABkcnMvZTJvRG9jLnhtbFBLBQYAAAAABgAGAFkBAACeBQAAAAA=&#10;">
                <v:fill on="t" focussize="0,0"/>
                <v:stroke color="#000000" joinstyle="miter"/>
                <v:imagedata o:title=""/>
                <o:lock v:ext="edit" aspectratio="f"/>
                <v:textbo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sz w:val="44"/>
                          <w:szCs w:val="44"/>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rPr>
                      </w:pP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开标一览表封袋正面标识式样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5408"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sz w:val="28"/>
                                <w:szCs w:val="28"/>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p>
                          <w:p>
                            <w:pPr>
                              <w:jc w:val="center"/>
                              <w:rPr>
                                <w:b/>
                                <w:sz w:val="44"/>
                                <w:szCs w:val="44"/>
                              </w:rPr>
                            </w:pPr>
                            <w:r>
                              <w:rPr>
                                <w:rFonts w:hint="eastAsia"/>
                                <w:b/>
                                <w:sz w:val="44"/>
                                <w:szCs w:val="44"/>
                              </w:rPr>
                              <w:t xml:space="preserve"> 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65408;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sz w:val="28"/>
                          <w:szCs w:val="28"/>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p>
                    <w:p>
                      <w:pPr>
                        <w:jc w:val="center"/>
                        <w:rPr>
                          <w:b/>
                          <w:sz w:val="44"/>
                          <w:szCs w:val="44"/>
                        </w:rPr>
                      </w:pPr>
                      <w:r>
                        <w:rPr>
                          <w:rFonts w:hint="eastAsia"/>
                          <w:b/>
                          <w:sz w:val="44"/>
                          <w:szCs w:val="44"/>
                        </w:rPr>
                        <w:t xml:space="preserve"> 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pPr>
        <w:tabs>
          <w:tab w:val="left" w:pos="8280"/>
        </w:tabs>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6432"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sz w:val="44"/>
                                <w:szCs w:val="44"/>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66432;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center"/>
                        <w:rPr>
                          <w:sz w:val="28"/>
                          <w:szCs w:val="28"/>
                        </w:rPr>
                      </w:pPr>
                      <w:r>
                        <w:rPr>
                          <w:rFonts w:hint="eastAsia"/>
                          <w:sz w:val="28"/>
                          <w:szCs w:val="28"/>
                        </w:rPr>
                        <w:t>致：陕西万泽招标有限公司               项目编号：</w:t>
                      </w:r>
                      <w:r>
                        <w:rPr>
                          <w:rFonts w:hint="eastAsia"/>
                          <w:sz w:val="28"/>
                          <w:szCs w:val="28"/>
                          <w:lang w:eastAsia="zh-CN"/>
                        </w:rPr>
                        <w:t>SXWZ2022ZB-YXY-126A</w:t>
                      </w:r>
                      <w:r>
                        <w:rPr>
                          <w:rFonts w:hint="eastAsia"/>
                          <w:sz w:val="28"/>
                          <w:szCs w:val="28"/>
                        </w:rPr>
                        <w:t xml:space="preserve"> </w:t>
                      </w:r>
                    </w:p>
                    <w:p>
                      <w:pPr>
                        <w:jc w:val="center"/>
                        <w:rPr>
                          <w:b/>
                          <w:sz w:val="44"/>
                          <w:szCs w:val="44"/>
                        </w:rPr>
                      </w:pPr>
                      <w:r>
                        <w:rPr>
                          <w:rFonts w:hint="eastAsia"/>
                          <w:sz w:val="28"/>
                          <w:szCs w:val="28"/>
                        </w:rPr>
                        <w:t>项目名称：</w:t>
                      </w:r>
                      <w:r>
                        <w:rPr>
                          <w:rFonts w:hint="eastAsia"/>
                          <w:sz w:val="28"/>
                          <w:szCs w:val="28"/>
                          <w:lang w:eastAsia="zh-CN"/>
                        </w:rPr>
                        <w:t>西安医学院基本教学实验设备补充更新项目（二次）</w:t>
                      </w:r>
                      <w:r>
                        <w:rPr>
                          <w:rFonts w:hint="eastAsia"/>
                          <w:sz w:val="28"/>
                          <w:szCs w:val="28"/>
                        </w:rPr>
                        <w:t xml:space="preserve">  </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r>
                        <w:rPr>
                          <w:rFonts w:hint="eastAsia"/>
                          <w:sz w:val="28"/>
                          <w:szCs w:val="28"/>
                          <w:u w:val="single"/>
                        </w:rPr>
                        <w:t xml:space="preserve">                    </w:t>
                      </w:r>
                    </w:p>
                    <w:p>
                      <w:pPr>
                        <w:rPr>
                          <w:sz w:val="28"/>
                          <w:szCs w:val="28"/>
                        </w:rPr>
                      </w:pPr>
                      <w:r>
                        <w:rPr>
                          <w:rFonts w:hint="eastAsia"/>
                          <w:sz w:val="28"/>
                          <w:szCs w:val="28"/>
                        </w:rPr>
                        <w:t>时间</w:t>
                      </w:r>
                      <w:r>
                        <w:rPr>
                          <w:rFonts w:hint="eastAsia"/>
                          <w:sz w:val="28"/>
                          <w:szCs w:val="28"/>
                          <w:u w:val="single"/>
                        </w:rPr>
                        <w:t>：      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pageBreakBefore/>
        <w:spacing w:line="420" w:lineRule="auto"/>
        <w:rPr>
          <w:rFonts w:asciiTheme="minorEastAsia" w:hAnsiTheme="minorEastAsia" w:cstheme="minorEastAsia"/>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308" w:name="_Toc2914"/>
      <w:bookmarkStart w:id="309" w:name="_Toc31324"/>
      <w:r>
        <w:rPr>
          <w:rFonts w:hint="eastAsia" w:ascii="宋体" w:hAnsi="宋体" w:cs="宋体"/>
        </w:rPr>
        <w:t>附件二、中小企业申明</w:t>
      </w:r>
      <w:bookmarkEnd w:id="308"/>
      <w:bookmarkEnd w:id="309"/>
    </w:p>
    <w:p>
      <w:pPr>
        <w:spacing w:line="588" w:lineRule="exact"/>
        <w:ind w:firstLine="504" w:firstLineChars="200"/>
        <w:rPr>
          <w:rFonts w:ascii="宋体" w:hAnsi="宋体"/>
          <w:spacing w:val="6"/>
          <w:sz w:val="24"/>
        </w:rPr>
      </w:pPr>
      <w:r>
        <w:rPr>
          <w:rFonts w:hint="eastAsia" w:ascii="宋体" w:hAnsi="宋体"/>
          <w:spacing w:val="6"/>
          <w:sz w:val="24"/>
        </w:rPr>
        <w:t>根据《政府采购促进中小企业发展管理办法》（财库[2020]46号）的规定，由供应商自行声明并对真实性负责。如有虚假，将依法承担相应责任。</w:t>
      </w:r>
    </w:p>
    <w:p>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pPr>
        <w:pStyle w:val="8"/>
        <w:spacing w:before="55" w:line="360" w:lineRule="auto"/>
        <w:ind w:right="415" w:firstLine="640"/>
        <w:rPr>
          <w:rFonts w:ascii="宋体" w:hAnsi="宋体"/>
          <w:color w:val="000000"/>
          <w:spacing w:val="6"/>
          <w:sz w:val="24"/>
        </w:rPr>
      </w:pPr>
      <w:r>
        <w:rPr>
          <w:rFonts w:hint="eastAsia" w:ascii="宋体" w:hAnsi="宋体"/>
          <w:color w:val="000000"/>
          <w:spacing w:val="6"/>
          <w:sz w:val="24"/>
        </w:rPr>
        <w:t>本公司郑重声明，根据《政府采购促进中小企业发展管理办法》（财库﹝2020﹞46 号）的规定，本公司参加</w:t>
      </w:r>
      <w:r>
        <w:rPr>
          <w:rFonts w:hint="eastAsia" w:ascii="宋体" w:hAnsi="宋体"/>
          <w:color w:val="000000"/>
          <w:spacing w:val="6"/>
          <w:sz w:val="24"/>
          <w:u w:val="single"/>
        </w:rPr>
        <w:t>（单位名称）</w:t>
      </w:r>
      <w:r>
        <w:rPr>
          <w:rFonts w:hint="eastAsia" w:ascii="宋体" w:hAnsi="宋体"/>
          <w:color w:val="000000"/>
          <w:spacing w:val="6"/>
          <w:sz w:val="24"/>
        </w:rPr>
        <w:t>的</w:t>
      </w:r>
      <w:r>
        <w:rPr>
          <w:rFonts w:hint="eastAsia" w:ascii="宋体" w:hAnsi="宋体"/>
          <w:color w:val="000000"/>
          <w:spacing w:val="6"/>
          <w:sz w:val="24"/>
          <w:u w:val="single"/>
        </w:rPr>
        <w:t xml:space="preserve">                       （项目名称）</w:t>
      </w:r>
      <w:r>
        <w:rPr>
          <w:rFonts w:hint="eastAsia" w:ascii="宋体" w:hAnsi="宋体"/>
          <w:color w:val="000000"/>
          <w:spacing w:val="6"/>
          <w:sz w:val="24"/>
        </w:rPr>
        <w:t>采购活动，提供的货物全部由符合政策要求的中小企业制造。相关企业的具体情况如下：</w:t>
      </w:r>
    </w:p>
    <w:p>
      <w:pPr>
        <w:pStyle w:val="26"/>
        <w:numPr>
          <w:ilvl w:val="0"/>
          <w:numId w:val="22"/>
        </w:numPr>
        <w:tabs>
          <w:tab w:val="left" w:pos="1183"/>
          <w:tab w:val="left" w:pos="1484"/>
          <w:tab w:val="left" w:pos="4662"/>
          <w:tab w:val="left" w:pos="6903"/>
        </w:tabs>
        <w:spacing w:line="360" w:lineRule="auto"/>
        <w:ind w:right="169" w:firstLine="504"/>
        <w:jc w:val="left"/>
        <w:rPr>
          <w:rFonts w:ascii="宋体" w:hAnsi="宋体"/>
          <w:color w:val="000000"/>
          <w:spacing w:val="6"/>
          <w:sz w:val="24"/>
        </w:rPr>
      </w:pP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6"/>
        <w:numPr>
          <w:ilvl w:val="0"/>
          <w:numId w:val="22"/>
        </w:numPr>
        <w:tabs>
          <w:tab w:val="left" w:pos="1165"/>
          <w:tab w:val="left" w:pos="1183"/>
          <w:tab w:val="left" w:pos="4362"/>
          <w:tab w:val="left" w:pos="6577"/>
        </w:tabs>
        <w:spacing w:line="360" w:lineRule="auto"/>
        <w:ind w:right="169" w:firstLine="504"/>
        <w:jc w:val="left"/>
        <w:rPr>
          <w:rFonts w:ascii="宋体" w:hAnsi="宋体"/>
          <w:color w:val="000000"/>
          <w:spacing w:val="6"/>
          <w:sz w:val="24"/>
        </w:rPr>
      </w:pPr>
      <w:r>
        <w:rPr>
          <w:rFonts w:hint="eastAsia" w:ascii="宋体" w:hAnsi="宋体"/>
          <w:color w:val="000000"/>
          <w:spacing w:val="6"/>
          <w:sz w:val="24"/>
        </w:rPr>
        <w:t xml:space="preserve"> </w:t>
      </w: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8"/>
        <w:spacing w:line="360" w:lineRule="auto"/>
        <w:ind w:left="860"/>
        <w:rPr>
          <w:rFonts w:ascii="宋体" w:hAnsi="宋体"/>
          <w:color w:val="000000"/>
          <w:spacing w:val="6"/>
          <w:sz w:val="24"/>
        </w:rPr>
      </w:pPr>
      <w:r>
        <w:rPr>
          <w:rFonts w:hint="eastAsia" w:ascii="宋体" w:hAnsi="宋体"/>
          <w:color w:val="000000"/>
          <w:spacing w:val="6"/>
          <w:sz w:val="24"/>
        </w:rPr>
        <w:t>……</w:t>
      </w:r>
    </w:p>
    <w:p>
      <w:pPr>
        <w:pStyle w:val="8"/>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pPr>
        <w:pStyle w:val="8"/>
        <w:spacing w:line="360" w:lineRule="auto"/>
        <w:ind w:right="372" w:firstLine="645"/>
        <w:rPr>
          <w:rFonts w:ascii="宋体" w:hAnsi="宋体"/>
          <w:color w:val="000000"/>
          <w:spacing w:val="6"/>
          <w:sz w:val="24"/>
        </w:rPr>
      </w:pPr>
      <w:r>
        <w:rPr>
          <w:rFonts w:hint="eastAsia" w:ascii="宋体" w:hAnsi="宋体"/>
          <w:color w:val="000000"/>
          <w:spacing w:val="6"/>
          <w:sz w:val="24"/>
        </w:rPr>
        <w:t>本企业对上述声明内容的真实性负责。如有虚假，将依法承担相应责任。</w:t>
      </w:r>
    </w:p>
    <w:p>
      <w:pPr>
        <w:spacing w:line="360" w:lineRule="auto"/>
        <w:jc w:val="left"/>
        <w:rPr>
          <w:rFonts w:ascii="宋体" w:hAnsi="宋体"/>
          <w:color w:val="000000"/>
          <w:spacing w:val="6"/>
          <w:sz w:val="24"/>
        </w:rPr>
      </w:pPr>
    </w:p>
    <w:p>
      <w:pPr>
        <w:spacing w:line="360" w:lineRule="auto"/>
        <w:jc w:val="left"/>
        <w:rPr>
          <w:rFonts w:ascii="宋体" w:hAnsi="宋体"/>
          <w:color w:val="000000"/>
          <w:spacing w:val="6"/>
          <w:sz w:val="24"/>
        </w:rPr>
      </w:pPr>
    </w:p>
    <w:p>
      <w:pPr>
        <w:spacing w:line="360" w:lineRule="auto"/>
        <w:jc w:val="left"/>
        <w:rPr>
          <w:rFonts w:ascii="宋体" w:hAnsi="宋体" w:eastAsia="宋体" w:cs="Times New Roman"/>
          <w:color w:val="000000"/>
          <w:spacing w:val="6"/>
          <w:sz w:val="24"/>
        </w:rPr>
      </w:pPr>
      <w:r>
        <w:rPr>
          <w:rFonts w:hint="eastAsia" w:ascii="宋体" w:hAnsi="宋体" w:eastAsia="宋体" w:cs="Times New Roman"/>
          <w:color w:val="000000"/>
          <w:spacing w:val="6"/>
          <w:sz w:val="24"/>
        </w:rPr>
        <w:t>企业名称（盖章）：</w:t>
      </w:r>
    </w:p>
    <w:p>
      <w:pPr>
        <w:spacing w:line="588" w:lineRule="exact"/>
        <w:rPr>
          <w:rFonts w:ascii="宋体" w:hAnsi="宋体"/>
          <w:spacing w:val="6"/>
          <w:sz w:val="24"/>
          <w:szCs w:val="24"/>
        </w:rPr>
        <w:sectPr>
          <w:footerReference r:id="rId15" w:type="default"/>
          <w:pgSz w:w="11906" w:h="16838"/>
          <w:pgMar w:top="1440" w:right="1803" w:bottom="1440" w:left="1803" w:header="851" w:footer="992" w:gutter="0"/>
          <w:cols w:space="720" w:num="1"/>
          <w:docGrid w:type="lines" w:linePitch="319" w:charSpace="0"/>
        </w:sectPr>
      </w:pPr>
      <w:r>
        <w:rPr>
          <w:rFonts w:hint="eastAsia" w:ascii="宋体" w:hAnsi="宋体" w:eastAsia="宋体" w:cs="Times New Roman"/>
          <w:color w:val="000000"/>
          <w:spacing w:val="6"/>
          <w:sz w:val="24"/>
        </w:rPr>
        <w:t>日期：</w:t>
      </w:r>
    </w:p>
    <w:p>
      <w:pPr>
        <w:pStyle w:val="4"/>
      </w:pPr>
      <w:bookmarkStart w:id="310" w:name="_Toc19600"/>
      <w:bookmarkStart w:id="311" w:name="_Toc23340"/>
      <w:bookmarkStart w:id="312" w:name="_Toc28796"/>
      <w:bookmarkStart w:id="313" w:name="_Toc5968"/>
      <w:bookmarkStart w:id="314" w:name="_Toc2305"/>
      <w:bookmarkStart w:id="315" w:name="_Toc10779"/>
      <w:bookmarkStart w:id="316" w:name="_Toc3042"/>
      <w:bookmarkStart w:id="317" w:name="_Toc32759"/>
      <w:bookmarkStart w:id="318" w:name="_Toc17921"/>
      <w:bookmarkStart w:id="319" w:name="_Toc8096"/>
      <w:bookmarkStart w:id="320" w:name="_Toc29465"/>
      <w:bookmarkStart w:id="321" w:name="_Toc21389"/>
      <w:bookmarkStart w:id="322" w:name="_Toc8550"/>
      <w:bookmarkStart w:id="323" w:name="_Toc14498"/>
      <w:r>
        <w:rPr>
          <w:rFonts w:hint="eastAsia"/>
        </w:rPr>
        <w:t>附件三、残疾人福利性单位声明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宋体" w:hAnsi="宋体"/>
          <w:b/>
          <w:spacing w:val="6"/>
          <w:sz w:val="24"/>
          <w:szCs w:val="24"/>
        </w:rPr>
      </w:pPr>
      <w:bookmarkStart w:id="324" w:name="OLE_LINK14"/>
      <w:r>
        <w:rPr>
          <w:rFonts w:hint="eastAsia" w:ascii="宋体" w:hAnsi="宋体"/>
          <w:b/>
          <w:spacing w:val="6"/>
          <w:sz w:val="24"/>
          <w:szCs w:val="24"/>
        </w:rPr>
        <w:t>残疾人福利性单位声明函</w:t>
      </w:r>
      <w:bookmarkEnd w:id="324"/>
    </w:p>
    <w:p>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60"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40"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金额（万元）</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60"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6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60"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6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宋体" w:hAnsi="宋体"/>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spacing w:val="6"/>
          <w:sz w:val="24"/>
          <w:szCs w:val="24"/>
        </w:rPr>
      </w:pPr>
      <w:r>
        <w:rPr>
          <w:rFonts w:hint="eastAsia" w:ascii="宋体" w:hAnsi="宋体"/>
          <w:spacing w:val="6"/>
          <w:sz w:val="24"/>
          <w:szCs w:val="24"/>
        </w:rPr>
        <w:t>单位名称（盖章）：</w:t>
      </w:r>
    </w:p>
    <w:p>
      <w:pPr>
        <w:tabs>
          <w:tab w:val="left" w:pos="4860"/>
        </w:tabs>
        <w:spacing w:line="588" w:lineRule="exact"/>
        <w:ind w:right="1560" w:firstLine="504" w:firstLineChars="200"/>
        <w:rPr>
          <w:rFonts w:ascii="宋体" w:hAnsi="宋体"/>
          <w:spacing w:val="6"/>
          <w:sz w:val="24"/>
          <w:szCs w:val="24"/>
        </w:rPr>
      </w:pPr>
      <w:r>
        <w:rPr>
          <w:rFonts w:hint="eastAsia" w:ascii="宋体" w:hAnsi="宋体"/>
          <w:spacing w:val="6"/>
          <w:sz w:val="24"/>
          <w:szCs w:val="24"/>
        </w:rPr>
        <w:t>日  期：</w:t>
      </w:r>
    </w:p>
    <w:p>
      <w:pPr>
        <w:pStyle w:val="4"/>
        <w:adjustRightInd w:val="0"/>
        <w:spacing w:line="416" w:lineRule="atLeast"/>
        <w:textAlignment w:val="baseline"/>
        <w:rPr>
          <w:rFonts w:ascii="宋体" w:hAnsi="宋体"/>
        </w:rPr>
      </w:pPr>
      <w:bookmarkStart w:id="325" w:name="_Toc28181"/>
      <w:bookmarkStart w:id="326" w:name="_Toc22143"/>
      <w:bookmarkStart w:id="327" w:name="_Toc2565"/>
      <w:bookmarkStart w:id="328" w:name="_Toc9670"/>
      <w:bookmarkStart w:id="329" w:name="_Toc10115"/>
      <w:bookmarkStart w:id="330" w:name="_Toc15467"/>
      <w:bookmarkStart w:id="331" w:name="_Toc6406"/>
      <w:bookmarkStart w:id="332" w:name="_Toc15247"/>
      <w:bookmarkStart w:id="333" w:name="_Toc441"/>
      <w:bookmarkStart w:id="334" w:name="_Toc15184"/>
      <w:bookmarkStart w:id="335" w:name="_Toc27669"/>
      <w:bookmarkStart w:id="336" w:name="_Toc21483"/>
      <w:bookmarkStart w:id="337" w:name="_Toc6674"/>
      <w:bookmarkStart w:id="338" w:name="_Toc26998"/>
      <w:bookmarkStart w:id="339" w:name="_Toc9973"/>
      <w:bookmarkStart w:id="340" w:name="_Toc27652"/>
      <w:bookmarkStart w:id="341" w:name="_Toc21493"/>
      <w:bookmarkStart w:id="342" w:name="_Toc14747"/>
      <w:r>
        <w:rPr>
          <w:rFonts w:hint="eastAsia" w:ascii="宋体" w:hAnsi="宋体"/>
        </w:rPr>
        <w:t>附件四、监狱企业证明文件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rPr>
          <w:rFonts w:ascii="宋体" w:hAnsi="宋体"/>
        </w:rPr>
      </w:pPr>
    </w:p>
    <w:p>
      <w:pPr>
        <w:snapToGrid w:val="0"/>
        <w:spacing w:line="360" w:lineRule="auto"/>
        <w:ind w:firstLine="504" w:firstLineChars="200"/>
        <w:rPr>
          <w:rFonts w:ascii="宋体" w:hAnsi="宋体"/>
          <w:sz w:val="24"/>
        </w:rPr>
      </w:pPr>
      <w:r>
        <w:rPr>
          <w:rFonts w:hint="eastAsia" w:ascii="宋体" w:hAnsi="宋体"/>
          <w:spacing w:val="6"/>
          <w:sz w:val="24"/>
        </w:rPr>
        <w:t xml:space="preserve"> 说明：根据</w:t>
      </w:r>
      <w:r>
        <w:rPr>
          <w:rFonts w:hint="eastAsia" w:ascii="宋体" w:hAnsi="宋体"/>
          <w:sz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rPr>
      </w:pPr>
      <w:bookmarkStart w:id="343" w:name="_Toc5020"/>
      <w:bookmarkStart w:id="344" w:name="_Toc13303"/>
      <w:bookmarkStart w:id="345" w:name="_Toc14693"/>
      <w:bookmarkStart w:id="346" w:name="_Toc31338"/>
      <w:bookmarkStart w:id="347" w:name="_Toc27838"/>
      <w:bookmarkStart w:id="348" w:name="_Toc27326"/>
      <w:bookmarkStart w:id="349" w:name="_Toc19378"/>
      <w:bookmarkStart w:id="350" w:name="_Toc24197"/>
      <w:bookmarkStart w:id="351" w:name="_Toc29358"/>
      <w:bookmarkStart w:id="352" w:name="_Toc21834"/>
      <w:bookmarkStart w:id="353" w:name="_Toc14629"/>
      <w:bookmarkStart w:id="354" w:name="_Toc4076"/>
      <w:bookmarkStart w:id="355" w:name="_Toc810"/>
      <w:bookmarkStart w:id="356" w:name="_Toc22336"/>
      <w:bookmarkStart w:id="357" w:name="_Toc12828"/>
      <w:bookmarkStart w:id="358" w:name="_Toc23254"/>
      <w:bookmarkStart w:id="359" w:name="_Toc24315"/>
      <w:bookmarkStart w:id="360" w:name="_Toc22428"/>
      <w:r>
        <w:rPr>
          <w:rFonts w:hint="eastAsia" w:ascii="宋体" w:hAnsi="宋体"/>
        </w:rPr>
        <w:t>附件五、“节能产品”，“环境标志产品”证明材料</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widowControl/>
        <w:spacing w:line="360" w:lineRule="auto"/>
        <w:ind w:firstLine="504" w:firstLineChars="200"/>
        <w:rPr>
          <w:rFonts w:ascii="宋体" w:hAnsi="宋体"/>
          <w:spacing w:val="6"/>
          <w:sz w:val="24"/>
        </w:rPr>
      </w:pPr>
      <w:r>
        <w:rPr>
          <w:rFonts w:hint="eastAsia" w:ascii="宋体" w:hAnsi="宋体"/>
          <w:spacing w:val="6"/>
          <w:sz w:val="24"/>
        </w:rPr>
        <w:t xml:space="preserve"> 说明：</w:t>
      </w:r>
    </w:p>
    <w:p>
      <w:pPr>
        <w:widowControl/>
        <w:spacing w:line="360" w:lineRule="auto"/>
        <w:ind w:firstLine="504" w:firstLineChars="200"/>
        <w:rPr>
          <w:rFonts w:ascii="宋体" w:hAnsi="宋体"/>
          <w:spacing w:val="6"/>
          <w:sz w:val="24"/>
        </w:rPr>
      </w:pPr>
      <w:r>
        <w:rPr>
          <w:rFonts w:hint="eastAsia" w:ascii="宋体" w:hAnsi="宋体"/>
          <w:spacing w:val="6"/>
          <w:sz w:val="24"/>
        </w:rPr>
        <w:t>1、供应商提供的产品属于下列情形，应按照招标文件第三部分供应商须知总则第七款规定提供产品列入“节能产品”，“环境标志产品”所在页的复印件（该夜包含制造商或企业名称或申请单位名称、规格型号、有效期截止日期等内容），并加盖供应商单位章。</w:t>
      </w:r>
    </w:p>
    <w:p>
      <w:pPr>
        <w:widowControl/>
        <w:numPr>
          <w:ilvl w:val="0"/>
          <w:numId w:val="23"/>
        </w:numPr>
        <w:spacing w:line="360" w:lineRule="auto"/>
        <w:ind w:firstLine="504" w:firstLineChars="200"/>
        <w:rPr>
          <w:rFonts w:ascii="宋体" w:hAnsi="宋体"/>
          <w:sz w:val="24"/>
          <w:szCs w:val="24"/>
        </w:rPr>
      </w:pPr>
      <w:r>
        <w:rPr>
          <w:rFonts w:hint="eastAsia" w:ascii="宋体" w:hAnsi="宋体"/>
          <w:spacing w:val="6"/>
          <w:sz w:val="24"/>
        </w:rPr>
        <w:t>符合政府采购强制采购政策的</w:t>
      </w:r>
      <w:r>
        <w:rPr>
          <w:rFonts w:hint="eastAsia" w:ascii="宋体" w:hAnsi="宋体"/>
          <w:sz w:val="24"/>
          <w:szCs w:val="24"/>
        </w:rPr>
        <w:t>财政部、环境保护部发布的《节能产品政府采购清单》中标记的“强制采购节能产品”。</w:t>
      </w:r>
    </w:p>
    <w:p>
      <w:pPr>
        <w:widowControl/>
        <w:numPr>
          <w:ilvl w:val="0"/>
          <w:numId w:val="23"/>
        </w:numPr>
        <w:spacing w:line="360" w:lineRule="auto"/>
        <w:ind w:firstLine="504" w:firstLineChars="200"/>
        <w:rPr>
          <w:rFonts w:ascii="宋体" w:hAnsi="宋体"/>
          <w:sz w:val="24"/>
          <w:szCs w:val="24"/>
        </w:rPr>
      </w:pPr>
      <w:r>
        <w:rPr>
          <w:rFonts w:hint="eastAsia" w:ascii="宋体" w:hAnsi="宋体"/>
          <w:spacing w:val="6"/>
          <w:sz w:val="24"/>
        </w:rPr>
        <w:t>符合政府采购强制采购政策的</w:t>
      </w:r>
      <w:r>
        <w:rPr>
          <w:rFonts w:hint="eastAsia" w:ascii="宋体" w:hAnsi="宋体"/>
          <w:sz w:val="24"/>
          <w:szCs w:val="24"/>
        </w:rPr>
        <w:t>财政部、环境保护部发布的《环境标志产品政府采购清单》中标记的的“环境标志产品”。</w:t>
      </w:r>
    </w:p>
    <w:p>
      <w:pPr>
        <w:widowControl/>
        <w:spacing w:line="360" w:lineRule="auto"/>
        <w:ind w:left="420" w:leftChars="200"/>
        <w:rPr>
          <w:rFonts w:ascii="宋体" w:hAnsi="宋体"/>
          <w:sz w:val="24"/>
          <w:szCs w:val="24"/>
        </w:rPr>
      </w:pPr>
      <w:r>
        <w:rPr>
          <w:rFonts w:hint="eastAsia" w:ascii="宋体" w:hAnsi="宋体"/>
          <w:sz w:val="24"/>
          <w:szCs w:val="24"/>
        </w:rPr>
        <w:t xml:space="preserve">2、未按照上述要求提供的，评审时不予以考虑。 </w:t>
      </w:r>
    </w:p>
    <w:p>
      <w:pPr>
        <w:snapToGrid w:val="0"/>
        <w:spacing w:line="360" w:lineRule="auto"/>
        <w:ind w:firstLine="480" w:firstLineChars="200"/>
        <w:rPr>
          <w:rFonts w:ascii="宋体" w:hAnsi="宋体"/>
          <w:sz w:val="24"/>
        </w:rPr>
      </w:pPr>
    </w:p>
    <w:p>
      <w:pPr>
        <w:spacing w:line="588" w:lineRule="exact"/>
        <w:ind w:firstLine="504" w:firstLineChars="200"/>
        <w:rPr>
          <w:rFonts w:ascii="宋体" w:hAnsi="宋体"/>
          <w:spacing w:val="6"/>
          <w:sz w:val="24"/>
        </w:rPr>
      </w:pPr>
    </w:p>
    <w:p>
      <w:pPr>
        <w:pStyle w:val="4"/>
        <w:adjustRightInd w:val="0"/>
        <w:spacing w:line="416" w:lineRule="atLeast"/>
        <w:textAlignment w:val="baseline"/>
        <w:rPr>
          <w:rFonts w:ascii="宋体" w:hAnsi="宋体"/>
        </w:rPr>
        <w:sectPr>
          <w:footerReference r:id="rId16" w:type="default"/>
          <w:pgSz w:w="11906" w:h="16838"/>
          <w:pgMar w:top="1440" w:right="1803" w:bottom="1440" w:left="1803" w:header="851" w:footer="992" w:gutter="0"/>
          <w:cols w:space="720" w:num="1"/>
          <w:docGrid w:type="lines" w:linePitch="319" w:charSpace="0"/>
        </w:sectPr>
      </w:pPr>
    </w:p>
    <w:p>
      <w:pPr>
        <w:pStyle w:val="4"/>
        <w:rPr>
          <w:rStyle w:val="24"/>
          <w:b/>
        </w:rPr>
      </w:pPr>
      <w:bookmarkStart w:id="361" w:name="_Toc28968"/>
      <w:bookmarkStart w:id="362" w:name="_Toc30719"/>
      <w:bookmarkStart w:id="363" w:name="_Toc6687"/>
      <w:bookmarkStart w:id="364" w:name="_Toc25020"/>
      <w:bookmarkStart w:id="365" w:name="_Toc3990"/>
      <w:bookmarkStart w:id="366" w:name="_Toc15916"/>
      <w:bookmarkStart w:id="367" w:name="_Toc11742"/>
      <w:bookmarkStart w:id="368" w:name="_Toc1091"/>
      <w:bookmarkStart w:id="369" w:name="_Toc19371"/>
      <w:bookmarkStart w:id="370" w:name="_Toc23948"/>
      <w:bookmarkStart w:id="371" w:name="_Toc14581"/>
      <w:bookmarkStart w:id="372" w:name="_Toc32"/>
      <w:bookmarkStart w:id="373" w:name="_Toc25778"/>
      <w:bookmarkStart w:id="374" w:name="_Toc26104"/>
      <w:bookmarkStart w:id="375" w:name="_Toc7368"/>
      <w:r>
        <w:rPr>
          <w:rStyle w:val="24"/>
          <w:rFonts w:hint="eastAsia"/>
          <w:b/>
        </w:rPr>
        <w:t>附件六、质疑函范本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widowControl/>
        <w:spacing w:line="360" w:lineRule="auto"/>
        <w:jc w:val="left"/>
        <w:rPr>
          <w:rFonts w:ascii="宋体" w:hAnsi="宋体"/>
          <w:spacing w:val="6"/>
          <w:sz w:val="24"/>
        </w:rPr>
      </w:pPr>
      <w:r>
        <w:rPr>
          <w:rFonts w:hint="eastAsia" w:ascii="宋体" w:hAnsi="宋体"/>
          <w:spacing w:val="6"/>
          <w:sz w:val="24"/>
        </w:rPr>
        <w:t>质疑供应商基本信息</w:t>
      </w:r>
    </w:p>
    <w:p>
      <w:pPr>
        <w:widowControl/>
        <w:spacing w:line="360" w:lineRule="auto"/>
        <w:jc w:val="left"/>
        <w:rPr>
          <w:rFonts w:ascii="宋体" w:hAnsi="宋体"/>
          <w:spacing w:val="6"/>
          <w:sz w:val="24"/>
        </w:rPr>
      </w:pPr>
      <w:r>
        <w:rPr>
          <w:rFonts w:hint="eastAsia" w:ascii="宋体" w:hAnsi="宋体"/>
          <w:spacing w:val="6"/>
          <w:sz w:val="24"/>
        </w:rPr>
        <w:t>质疑供应商：           </w:t>
      </w:r>
    </w:p>
    <w:p>
      <w:pPr>
        <w:widowControl/>
        <w:spacing w:line="360" w:lineRule="auto"/>
        <w:jc w:val="left"/>
      </w:pPr>
      <w:r>
        <w:rPr>
          <w:rFonts w:hint="eastAsia" w:ascii="宋体" w:hAnsi="宋体"/>
          <w:spacing w:val="6"/>
          <w:sz w:val="24"/>
        </w:rPr>
        <w:t xml:space="preserve">地   址：  </w:t>
      </w:r>
    </w:p>
    <w:p>
      <w:pPr>
        <w:widowControl/>
        <w:spacing w:line="360" w:lineRule="auto"/>
        <w:jc w:val="left"/>
        <w:rPr>
          <w:rFonts w:ascii="宋体" w:hAnsi="宋体"/>
          <w:spacing w:val="6"/>
          <w:sz w:val="24"/>
        </w:rPr>
      </w:pPr>
      <w:r>
        <w:rPr>
          <w:rFonts w:hint="eastAsia" w:ascii="宋体" w:hAnsi="宋体"/>
          <w:spacing w:val="6"/>
          <w:sz w:val="24"/>
        </w:rPr>
        <w:t>邮编：          </w:t>
      </w:r>
    </w:p>
    <w:p>
      <w:pPr>
        <w:widowControl/>
        <w:spacing w:line="360" w:lineRule="auto"/>
        <w:jc w:val="left"/>
        <w:rPr>
          <w:rFonts w:ascii="宋体" w:hAnsi="宋体"/>
          <w:spacing w:val="6"/>
          <w:sz w:val="24"/>
        </w:rPr>
      </w:pPr>
      <w:r>
        <w:rPr>
          <w:rFonts w:hint="eastAsia" w:ascii="宋体" w:hAnsi="宋体"/>
          <w:spacing w:val="6"/>
          <w:sz w:val="24"/>
        </w:rPr>
        <w:t>联系人：     </w:t>
      </w:r>
    </w:p>
    <w:p>
      <w:pPr>
        <w:widowControl/>
        <w:spacing w:line="360" w:lineRule="auto"/>
        <w:jc w:val="left"/>
        <w:rPr>
          <w:rFonts w:ascii="宋体" w:hAnsi="宋体"/>
          <w:spacing w:val="6"/>
          <w:sz w:val="24"/>
        </w:rPr>
      </w:pPr>
      <w:r>
        <w:rPr>
          <w:rFonts w:hint="eastAsia" w:ascii="宋体" w:hAnsi="宋体"/>
          <w:spacing w:val="6"/>
          <w:sz w:val="24"/>
        </w:rPr>
        <w:t>联系电话：           </w:t>
      </w:r>
    </w:p>
    <w:p>
      <w:pPr>
        <w:widowControl/>
        <w:spacing w:line="360" w:lineRule="auto"/>
        <w:jc w:val="left"/>
        <w:rPr>
          <w:rFonts w:ascii="宋体" w:hAnsi="宋体"/>
          <w:spacing w:val="6"/>
          <w:sz w:val="24"/>
        </w:rPr>
      </w:pPr>
      <w:r>
        <w:rPr>
          <w:rFonts w:hint="eastAsia" w:ascii="宋体" w:hAnsi="宋体"/>
          <w:spacing w:val="6"/>
          <w:sz w:val="24"/>
        </w:rPr>
        <w:t>授权代表：                   </w:t>
      </w:r>
    </w:p>
    <w:p>
      <w:pPr>
        <w:widowControl/>
        <w:spacing w:line="360" w:lineRule="auto"/>
        <w:jc w:val="left"/>
        <w:rPr>
          <w:rFonts w:ascii="宋体" w:hAnsi="宋体"/>
          <w:spacing w:val="6"/>
          <w:sz w:val="24"/>
        </w:rPr>
      </w:pPr>
      <w:r>
        <w:rPr>
          <w:rFonts w:hint="eastAsia" w:ascii="宋体" w:hAnsi="宋体"/>
          <w:spacing w:val="6"/>
          <w:sz w:val="24"/>
        </w:rPr>
        <w:t>联系电话：                   </w:t>
      </w:r>
    </w:p>
    <w:p>
      <w:pPr>
        <w:widowControl/>
        <w:spacing w:line="360" w:lineRule="auto"/>
        <w:jc w:val="left"/>
        <w:rPr>
          <w:rFonts w:ascii="宋体" w:hAnsi="宋体"/>
          <w:spacing w:val="6"/>
          <w:sz w:val="24"/>
        </w:rPr>
      </w:pPr>
      <w:r>
        <w:rPr>
          <w:rFonts w:hint="eastAsia" w:ascii="宋体" w:hAnsi="宋体"/>
          <w:spacing w:val="6"/>
          <w:sz w:val="24"/>
        </w:rPr>
        <w:t>地址：   </w:t>
      </w:r>
    </w:p>
    <w:p>
      <w:pPr>
        <w:widowControl/>
        <w:spacing w:line="360" w:lineRule="auto"/>
        <w:jc w:val="left"/>
        <w:rPr>
          <w:rFonts w:ascii="宋体" w:hAnsi="宋体"/>
          <w:spacing w:val="6"/>
          <w:sz w:val="24"/>
        </w:rPr>
      </w:pPr>
      <w:r>
        <w:rPr>
          <w:rFonts w:hint="eastAsia" w:ascii="宋体" w:hAnsi="宋体"/>
          <w:spacing w:val="6"/>
          <w:sz w:val="24"/>
        </w:rPr>
        <w:t>邮编：  </w:t>
      </w:r>
    </w:p>
    <w:p>
      <w:pPr>
        <w:widowControl/>
        <w:numPr>
          <w:ilvl w:val="0"/>
          <w:numId w:val="24"/>
        </w:numPr>
        <w:spacing w:line="360" w:lineRule="auto"/>
        <w:jc w:val="left"/>
        <w:rPr>
          <w:rFonts w:ascii="宋体" w:hAnsi="宋体"/>
          <w:spacing w:val="6"/>
          <w:sz w:val="24"/>
        </w:rPr>
      </w:pPr>
      <w:r>
        <w:rPr>
          <w:rFonts w:hint="eastAsia" w:ascii="宋体" w:hAnsi="宋体"/>
          <w:spacing w:val="6"/>
          <w:sz w:val="24"/>
        </w:rPr>
        <w:t>质疑项目基本情况</w:t>
      </w:r>
    </w:p>
    <w:p>
      <w:pPr>
        <w:widowControl/>
        <w:numPr>
          <w:ilvl w:val="0"/>
          <w:numId w:val="24"/>
        </w:numPr>
        <w:spacing w:line="360" w:lineRule="auto"/>
        <w:jc w:val="left"/>
        <w:rPr>
          <w:rFonts w:ascii="宋体" w:hAnsi="宋体"/>
          <w:spacing w:val="6"/>
          <w:sz w:val="24"/>
        </w:rPr>
      </w:pPr>
      <w:r>
        <w:rPr>
          <w:rFonts w:hint="eastAsia" w:ascii="宋体" w:hAnsi="宋体"/>
          <w:spacing w:val="6"/>
          <w:sz w:val="24"/>
        </w:rPr>
        <w:t>质疑项目的名称：               </w:t>
      </w:r>
    </w:p>
    <w:p>
      <w:pPr>
        <w:widowControl/>
        <w:numPr>
          <w:ilvl w:val="0"/>
          <w:numId w:val="24"/>
        </w:numPr>
        <w:spacing w:line="360" w:lineRule="auto"/>
        <w:jc w:val="left"/>
        <w:rPr>
          <w:rFonts w:ascii="宋体" w:hAnsi="宋体"/>
          <w:spacing w:val="6"/>
          <w:sz w:val="24"/>
        </w:rPr>
      </w:pPr>
      <w:r>
        <w:rPr>
          <w:rFonts w:hint="eastAsia" w:ascii="宋体" w:hAnsi="宋体"/>
          <w:spacing w:val="6"/>
          <w:sz w:val="24"/>
        </w:rPr>
        <w:t>质疑项目的编号：                  </w:t>
      </w:r>
    </w:p>
    <w:p>
      <w:pPr>
        <w:widowControl/>
        <w:spacing w:line="360" w:lineRule="auto"/>
        <w:jc w:val="left"/>
        <w:rPr>
          <w:rFonts w:ascii="宋体" w:hAnsi="宋体"/>
          <w:spacing w:val="6"/>
          <w:sz w:val="24"/>
        </w:rPr>
      </w:pPr>
      <w:r>
        <w:rPr>
          <w:rFonts w:hint="eastAsia" w:ascii="宋体" w:hAnsi="宋体"/>
          <w:spacing w:val="6"/>
          <w:sz w:val="24"/>
        </w:rPr>
        <w:t>采购人名称：                    </w:t>
      </w:r>
    </w:p>
    <w:p>
      <w:pPr>
        <w:widowControl/>
        <w:spacing w:line="360" w:lineRule="auto"/>
        <w:jc w:val="left"/>
        <w:rPr>
          <w:rFonts w:ascii="宋体" w:hAnsi="宋体"/>
          <w:spacing w:val="6"/>
          <w:sz w:val="24"/>
        </w:rPr>
      </w:pPr>
      <w:r>
        <w:rPr>
          <w:rFonts w:hint="eastAsia" w:ascii="宋体" w:hAnsi="宋体"/>
          <w:spacing w:val="6"/>
          <w:sz w:val="24"/>
        </w:rPr>
        <w:t>采购文件获取日期：                   </w:t>
      </w:r>
    </w:p>
    <w:p>
      <w:pPr>
        <w:widowControl/>
        <w:spacing w:line="360" w:lineRule="auto"/>
        <w:jc w:val="left"/>
        <w:rPr>
          <w:rFonts w:ascii="宋体" w:hAnsi="宋体"/>
          <w:spacing w:val="6"/>
          <w:sz w:val="24"/>
        </w:rPr>
      </w:pPr>
      <w:r>
        <w:rPr>
          <w:rFonts w:hint="eastAsia" w:ascii="宋体" w:hAnsi="宋体"/>
          <w:spacing w:val="6"/>
          <w:sz w:val="24"/>
        </w:rPr>
        <w:t>三、质疑事项具体内容</w:t>
      </w:r>
    </w:p>
    <w:p>
      <w:pPr>
        <w:widowControl/>
        <w:spacing w:line="360" w:lineRule="auto"/>
        <w:jc w:val="left"/>
        <w:rPr>
          <w:rFonts w:ascii="宋体" w:hAnsi="宋体"/>
          <w:spacing w:val="6"/>
          <w:sz w:val="24"/>
        </w:rPr>
      </w:pPr>
      <w:r>
        <w:rPr>
          <w:rFonts w:hint="eastAsia" w:ascii="宋体" w:hAnsi="宋体"/>
          <w:spacing w:val="6"/>
          <w:sz w:val="24"/>
        </w:rPr>
        <w:t>质疑事项1：              </w:t>
      </w:r>
    </w:p>
    <w:p>
      <w:pPr>
        <w:widowControl/>
        <w:spacing w:line="360" w:lineRule="auto"/>
        <w:jc w:val="left"/>
        <w:rPr>
          <w:rFonts w:ascii="宋体" w:hAnsi="宋体"/>
          <w:spacing w:val="6"/>
          <w:sz w:val="24"/>
        </w:rPr>
      </w:pPr>
      <w:r>
        <w:rPr>
          <w:rFonts w:hint="eastAsia" w:ascii="宋体" w:hAnsi="宋体"/>
          <w:spacing w:val="6"/>
          <w:sz w:val="24"/>
        </w:rPr>
        <w:t>事实依据：               </w:t>
      </w:r>
    </w:p>
    <w:p>
      <w:pPr>
        <w:widowControl/>
        <w:spacing w:line="360" w:lineRule="auto"/>
        <w:jc w:val="left"/>
        <w:rPr>
          <w:rFonts w:ascii="宋体" w:hAnsi="宋体"/>
          <w:spacing w:val="6"/>
          <w:sz w:val="24"/>
        </w:rPr>
      </w:pPr>
      <w:r>
        <w:rPr>
          <w:rFonts w:hint="eastAsia" w:ascii="宋体" w:hAnsi="宋体"/>
          <w:spacing w:val="6"/>
          <w:sz w:val="24"/>
        </w:rPr>
        <w:t>法律依据：          </w:t>
      </w:r>
    </w:p>
    <w:p>
      <w:pPr>
        <w:widowControl/>
        <w:spacing w:line="360" w:lineRule="auto"/>
        <w:jc w:val="left"/>
        <w:rPr>
          <w:rFonts w:ascii="宋体" w:hAnsi="宋体"/>
          <w:spacing w:val="6"/>
          <w:sz w:val="24"/>
        </w:rPr>
      </w:pPr>
      <w:r>
        <w:rPr>
          <w:rFonts w:hint="eastAsia" w:ascii="宋体" w:hAnsi="宋体"/>
          <w:spacing w:val="6"/>
          <w:sz w:val="24"/>
        </w:rPr>
        <w:t>质疑事项2</w:t>
      </w:r>
    </w:p>
    <w:p>
      <w:pPr>
        <w:widowControl/>
        <w:spacing w:line="360" w:lineRule="auto"/>
        <w:jc w:val="left"/>
        <w:rPr>
          <w:rFonts w:ascii="宋体" w:hAnsi="宋体"/>
          <w:spacing w:val="6"/>
          <w:sz w:val="24"/>
        </w:rPr>
      </w:pPr>
      <w:r>
        <w:rPr>
          <w:rFonts w:hint="eastAsia" w:ascii="宋体" w:hAnsi="宋体"/>
          <w:spacing w:val="6"/>
          <w:sz w:val="24"/>
        </w:rPr>
        <w:t>……</w:t>
      </w:r>
    </w:p>
    <w:p>
      <w:pPr>
        <w:widowControl/>
        <w:spacing w:line="360" w:lineRule="auto"/>
        <w:jc w:val="left"/>
        <w:rPr>
          <w:rFonts w:ascii="宋体" w:hAnsi="宋体"/>
          <w:spacing w:val="6"/>
          <w:sz w:val="24"/>
        </w:rPr>
      </w:pPr>
      <w:r>
        <w:rPr>
          <w:rFonts w:hint="eastAsia" w:ascii="宋体" w:hAnsi="宋体"/>
          <w:spacing w:val="6"/>
          <w:sz w:val="24"/>
        </w:rPr>
        <w:t>四、与质疑事项相关的质疑请求</w:t>
      </w:r>
    </w:p>
    <w:p>
      <w:pPr>
        <w:widowControl/>
        <w:spacing w:line="360" w:lineRule="auto"/>
        <w:jc w:val="left"/>
        <w:rPr>
          <w:rFonts w:ascii="宋体" w:hAnsi="宋体"/>
          <w:spacing w:val="6"/>
          <w:sz w:val="24"/>
        </w:rPr>
      </w:pPr>
      <w:r>
        <w:rPr>
          <w:rFonts w:hint="eastAsia" w:ascii="宋体" w:hAnsi="宋体"/>
          <w:spacing w:val="6"/>
          <w:sz w:val="24"/>
        </w:rPr>
        <w:t>请求：                </w:t>
      </w:r>
    </w:p>
    <w:p>
      <w:pPr>
        <w:widowControl/>
        <w:spacing w:line="360" w:lineRule="auto"/>
        <w:jc w:val="left"/>
        <w:rPr>
          <w:rFonts w:ascii="宋体" w:hAnsi="宋体"/>
          <w:spacing w:val="6"/>
          <w:sz w:val="24"/>
        </w:rPr>
      </w:pPr>
      <w:r>
        <w:rPr>
          <w:rFonts w:hint="eastAsia" w:ascii="宋体" w:hAnsi="宋体"/>
          <w:spacing w:val="6"/>
          <w:sz w:val="24"/>
        </w:rPr>
        <w:t>签字(签章)：                   </w:t>
      </w:r>
    </w:p>
    <w:p>
      <w:pPr>
        <w:widowControl/>
        <w:spacing w:line="360" w:lineRule="auto"/>
        <w:jc w:val="left"/>
        <w:rPr>
          <w:rFonts w:ascii="宋体" w:hAnsi="宋体"/>
          <w:spacing w:val="6"/>
          <w:sz w:val="24"/>
        </w:rPr>
      </w:pPr>
      <w:r>
        <w:rPr>
          <w:rFonts w:hint="eastAsia" w:ascii="宋体" w:hAnsi="宋体"/>
          <w:spacing w:val="6"/>
          <w:sz w:val="24"/>
        </w:rPr>
        <w:t>公章：日期：  </w:t>
      </w:r>
    </w:p>
    <w:p>
      <w:pPr>
        <w:bidi w:val="0"/>
        <w:rPr>
          <w:rFonts w:hint="default"/>
        </w:rPr>
      </w:pPr>
    </w:p>
    <w:p>
      <w:pPr>
        <w:pStyle w:val="2"/>
        <w:rPr>
          <w:rFonts w:hint="default"/>
        </w:rPr>
        <w:sectPr>
          <w:footerReference r:id="rId17" w:type="default"/>
          <w:pgSz w:w="11906" w:h="16838"/>
          <w:pgMar w:top="1440" w:right="1304" w:bottom="1440" w:left="1304" w:header="851" w:footer="992" w:gutter="0"/>
          <w:cols w:space="0" w:num="1"/>
          <w:docGrid w:type="lines" w:linePitch="325" w:charSpace="0"/>
        </w:sectPr>
      </w:pPr>
    </w:p>
    <w:p>
      <w:pPr>
        <w:widowControl/>
        <w:spacing w:line="360" w:lineRule="auto"/>
        <w:jc w:val="left"/>
        <w:rPr>
          <w:rFonts w:ascii="宋体" w:hAnsi="宋体"/>
          <w:spacing w:val="6"/>
          <w:sz w:val="24"/>
        </w:rPr>
      </w:pPr>
      <w:r>
        <w:rPr>
          <w:rFonts w:hint="eastAsia" w:ascii="宋体" w:hAnsi="宋体"/>
          <w:spacing w:val="6"/>
          <w:sz w:val="24"/>
        </w:rPr>
        <w:t>质疑函制作说明：</w:t>
      </w:r>
    </w:p>
    <w:p>
      <w:pPr>
        <w:widowControl/>
        <w:spacing w:line="360" w:lineRule="auto"/>
        <w:jc w:val="left"/>
        <w:rPr>
          <w:rFonts w:ascii="宋体" w:hAnsi="宋体"/>
          <w:spacing w:val="6"/>
          <w:sz w:val="24"/>
        </w:rPr>
      </w:pPr>
      <w:r>
        <w:rPr>
          <w:rFonts w:hint="eastAsia" w:ascii="宋体" w:hAnsi="宋体"/>
          <w:spacing w:val="6"/>
          <w:sz w:val="24"/>
        </w:rPr>
        <w:t>1.供应商提出质疑时，应提交质疑函和必要的证明材料。</w:t>
      </w:r>
    </w:p>
    <w:p>
      <w:pPr>
        <w:widowControl/>
        <w:spacing w:line="360" w:lineRule="auto"/>
        <w:jc w:val="left"/>
        <w:rPr>
          <w:rFonts w:ascii="宋体" w:hAnsi="宋体"/>
          <w:spacing w:val="6"/>
          <w:sz w:val="24"/>
        </w:rPr>
      </w:pPr>
      <w:r>
        <w:rPr>
          <w:rFonts w:hint="eastAsia" w:ascii="宋体" w:hAnsi="宋体"/>
          <w:spacing w:val="6"/>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jc w:val="left"/>
        <w:rPr>
          <w:rFonts w:ascii="宋体" w:hAnsi="宋体"/>
          <w:spacing w:val="6"/>
          <w:sz w:val="24"/>
        </w:rPr>
      </w:pPr>
      <w:r>
        <w:rPr>
          <w:rFonts w:hint="eastAsia" w:ascii="宋体" w:hAnsi="宋体"/>
          <w:spacing w:val="6"/>
          <w:sz w:val="24"/>
        </w:rPr>
        <w:t>3.质疑供应商若对项目的进行质疑，质疑函中应列明具体项目编号。</w:t>
      </w:r>
    </w:p>
    <w:p>
      <w:pPr>
        <w:widowControl/>
        <w:spacing w:line="360" w:lineRule="auto"/>
        <w:jc w:val="left"/>
        <w:rPr>
          <w:rFonts w:ascii="宋体" w:hAnsi="宋体"/>
          <w:spacing w:val="6"/>
          <w:sz w:val="24"/>
        </w:rPr>
      </w:pPr>
      <w:r>
        <w:rPr>
          <w:rFonts w:hint="eastAsia" w:ascii="宋体" w:hAnsi="宋体"/>
          <w:spacing w:val="6"/>
          <w:sz w:val="24"/>
        </w:rPr>
        <w:t>4.质疑函的质疑事项应具体、明确，并有必要的事实依据和法律依据。</w:t>
      </w:r>
    </w:p>
    <w:p>
      <w:pPr>
        <w:widowControl/>
        <w:spacing w:line="360" w:lineRule="auto"/>
        <w:jc w:val="left"/>
        <w:rPr>
          <w:rFonts w:ascii="宋体" w:hAnsi="宋体"/>
          <w:spacing w:val="6"/>
          <w:sz w:val="24"/>
        </w:rPr>
      </w:pPr>
      <w:r>
        <w:rPr>
          <w:rFonts w:hint="eastAsia" w:ascii="宋体" w:hAnsi="宋体"/>
          <w:spacing w:val="6"/>
          <w:sz w:val="24"/>
        </w:rPr>
        <w:t>5.质疑函的质疑请求应与质疑事项相关。</w:t>
      </w:r>
    </w:p>
    <w:p>
      <w:pPr>
        <w:widowControl/>
        <w:spacing w:line="360" w:lineRule="auto"/>
        <w:jc w:val="left"/>
        <w:rPr>
          <w:rFonts w:ascii="宋体" w:hAnsi="宋体"/>
          <w:color w:val="000000"/>
          <w:sz w:val="24"/>
        </w:rPr>
      </w:pPr>
      <w:r>
        <w:rPr>
          <w:rFonts w:hint="eastAsia" w:ascii="宋体" w:hAnsi="宋体"/>
          <w:spacing w:val="6"/>
          <w:sz w:val="24"/>
        </w:rPr>
        <w:t>6.质疑供应商为自然人的，质疑函应由本人签字；质疑供应商为法人或者其他组织的，质疑函应由法定代表人、主要负责人，或者其授权代表签字或者盖章，并加盖公章。</w:t>
      </w:r>
    </w:p>
    <w:p>
      <w:pPr>
        <w:spacing w:line="588" w:lineRule="exact"/>
        <w:ind w:firstLine="504" w:firstLineChars="200"/>
        <w:rPr>
          <w:rFonts w:ascii="宋体" w:hAnsi="宋体"/>
          <w:spacing w:val="6"/>
          <w:sz w:val="24"/>
        </w:rPr>
      </w:pPr>
    </w:p>
    <w:p>
      <w:pPr>
        <w:pStyle w:val="4"/>
        <w:adjustRightInd w:val="0"/>
        <w:spacing w:line="416" w:lineRule="atLeast"/>
        <w:textAlignment w:val="baseline"/>
        <w:rPr>
          <w:rFonts w:ascii="仿宋_GB2312" w:hAnsi="仿宋_GB2312" w:eastAsia="仿宋_GB2312" w:cs="仿宋_GB2312"/>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376" w:name="_Toc27558"/>
      <w:bookmarkStart w:id="377" w:name="_Toc229"/>
      <w:r>
        <w:rPr>
          <w:rFonts w:hint="eastAsia" w:ascii="宋体" w:hAnsi="宋体" w:cs="宋体"/>
        </w:rPr>
        <w:t>附件七：保证金退还账户信息确认表</w:t>
      </w:r>
      <w:bookmarkEnd w:id="376"/>
      <w:bookmarkEnd w:id="377"/>
    </w:p>
    <w:p/>
    <w:p>
      <w:pPr>
        <w:rPr>
          <w:sz w:val="28"/>
          <w:szCs w:val="28"/>
        </w:rPr>
      </w:pPr>
      <w:r>
        <w:rPr>
          <w:rFonts w:hint="eastAsia"/>
          <w:sz w:val="28"/>
          <w:szCs w:val="28"/>
        </w:rPr>
        <w:t>项目名称：</w:t>
      </w:r>
    </w:p>
    <w:p>
      <w:pPr>
        <w:rPr>
          <w:sz w:val="28"/>
          <w:szCs w:val="28"/>
        </w:rPr>
      </w:pPr>
      <w:r>
        <w:rPr>
          <w:rFonts w:hint="eastAsia"/>
          <w:sz w:val="28"/>
          <w:szCs w:val="28"/>
        </w:rPr>
        <w:t>项目编号：</w:t>
      </w:r>
    </w:p>
    <w:p/>
    <w:tbl>
      <w:tblPr>
        <w:tblStyle w:val="20"/>
        <w:tblW w:w="8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sz w:val="24"/>
              </w:rPr>
            </w:pPr>
            <w:r>
              <w:rPr>
                <w:rFonts w:hint="eastAsia" w:ascii="宋体" w:hAnsi="宋体"/>
                <w:sz w:val="24"/>
              </w:rPr>
              <w:t>应退投标保证金</w:t>
            </w:r>
          </w:p>
        </w:tc>
        <w:tc>
          <w:tcPr>
            <w:tcW w:w="6372" w:type="dxa"/>
            <w:gridSpan w:val="2"/>
          </w:tcPr>
          <w:p>
            <w:pPr>
              <w:rPr>
                <w:rFonts w:ascii="宋体" w:hAnsi="宋体"/>
                <w:sz w:val="24"/>
              </w:rPr>
            </w:pPr>
            <w:r>
              <w:rPr>
                <w:rFonts w:hint="eastAsia" w:ascii="宋体" w:hAnsi="宋体"/>
                <w:sz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jc w:val="center"/>
              <w:rPr>
                <w:rFonts w:ascii="宋体" w:hAnsi="宋体"/>
                <w:sz w:val="24"/>
              </w:rPr>
            </w:pPr>
          </w:p>
        </w:tc>
        <w:tc>
          <w:tcPr>
            <w:tcW w:w="6372" w:type="dxa"/>
            <w:gridSpan w:val="2"/>
          </w:tcPr>
          <w:p>
            <w:pPr>
              <w:rPr>
                <w:rFonts w:ascii="宋体" w:hAnsi="宋体"/>
                <w:sz w:val="24"/>
              </w:rPr>
            </w:pPr>
            <w:r>
              <w:rPr>
                <w:rFonts w:hint="eastAsia" w:ascii="宋体" w:hAnsi="宋体"/>
                <w:sz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hAnsi="宋体"/>
                <w:sz w:val="24"/>
              </w:rPr>
            </w:pPr>
            <w:r>
              <w:rPr>
                <w:rFonts w:hint="eastAsia" w:ascii="宋体" w:hAnsi="宋体"/>
                <w:sz w:val="24"/>
              </w:rPr>
              <w:t>收款单位（盖章）</w:t>
            </w:r>
          </w:p>
        </w:tc>
        <w:tc>
          <w:tcPr>
            <w:tcW w:w="2370" w:type="dxa"/>
            <w:vAlign w:val="center"/>
          </w:tcPr>
          <w:p>
            <w:pPr>
              <w:jc w:val="center"/>
              <w:rPr>
                <w:rFonts w:ascii="宋体" w:hAnsi="宋体"/>
                <w:sz w:val="24"/>
              </w:rPr>
            </w:pPr>
            <w:r>
              <w:rPr>
                <w:rFonts w:hint="eastAsia" w:ascii="宋体" w:hAnsi="宋体"/>
                <w:sz w:val="24"/>
              </w:rPr>
              <w:t>单  位 名 称</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开   户   行</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账        号</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联系人及电话</w:t>
            </w:r>
          </w:p>
        </w:tc>
        <w:tc>
          <w:tcPr>
            <w:tcW w:w="4002" w:type="dxa"/>
          </w:tcPr>
          <w:p>
            <w:pPr>
              <w:rPr>
                <w:rFonts w:ascii="宋体" w:hAnsi="宋体"/>
                <w:sz w:val="24"/>
              </w:rPr>
            </w:pPr>
          </w:p>
        </w:tc>
      </w:tr>
    </w:tbl>
    <w:p>
      <w:pPr>
        <w:keepNext/>
        <w:keepLines/>
        <w:adjustRightInd w:val="0"/>
        <w:spacing w:line="416" w:lineRule="atLeast"/>
        <w:textAlignment w:val="baseline"/>
        <w:rPr>
          <w:rFonts w:ascii="宋体" w:hAnsi="宋体"/>
          <w:b/>
          <w:sz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投标保证金汇款凭证复印件加盖公章一并交给工作人员，当天未提交保证金退还账户信息确认表与投标保证金汇款凭证复印件加盖公章的供应商，在开标结束后自行找财务办理保证金退还手续。</w:t>
      </w:r>
    </w:p>
    <w:p>
      <w:pPr>
        <w:jc w:val="left"/>
        <w:rPr>
          <w:rFonts w:ascii="宋体" w:hAnsi="宋体" w:cs="宋体"/>
          <w:b/>
          <w:bCs/>
          <w:spacing w:val="48"/>
          <w:sz w:val="144"/>
          <w:szCs w:val="144"/>
        </w:rPr>
      </w:pPr>
      <w:r>
        <w:rPr>
          <w:rFonts w:hint="eastAsia" w:ascii="宋体" w:hAnsi="宋体" w:cs="宋体"/>
          <w:b/>
          <w:bCs/>
          <w:sz w:val="32"/>
          <w:szCs w:val="32"/>
        </w:rPr>
        <w:t>此表无需做在投标文件中。</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sectPr>
          <w:pgSz w:w="11906" w:h="16838"/>
          <w:pgMar w:top="1440" w:right="1304" w:bottom="1440" w:left="1304" w:header="851" w:footer="992" w:gutter="0"/>
          <w:cols w:space="0" w:num="1"/>
          <w:docGrid w:type="lines" w:linePitch="325" w:charSpace="0"/>
        </w:sectPr>
      </w:pPr>
    </w:p>
    <w:p>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pPr>
        <w:jc w:val="left"/>
        <w:rPr>
          <w:rFonts w:ascii="华文隶书" w:hAnsi="华文隶书" w:eastAsia="华文隶书" w:cs="华文隶书"/>
          <w:sz w:val="72"/>
          <w:szCs w:val="72"/>
        </w:rPr>
      </w:pPr>
    </w:p>
    <w:p>
      <w:pPr>
        <w:jc w:val="left"/>
        <w:rPr>
          <w:rFonts w:ascii="华文隶书" w:hAnsi="华文隶书" w:eastAsia="华文隶书" w:cs="华文隶书"/>
          <w:sz w:val="72"/>
          <w:szCs w:val="72"/>
        </w:rPr>
      </w:pPr>
    </w:p>
    <w:p>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pPr>
        <w:jc w:val="left"/>
        <w:rPr>
          <w:rFonts w:ascii="华文隶书" w:hAnsi="华文隶书" w:eastAsia="华文隶书" w:cs="华文隶书"/>
          <w:b/>
          <w:spacing w:val="48"/>
          <w:sz w:val="72"/>
          <w:szCs w:val="72"/>
        </w:rPr>
      </w:pPr>
    </w:p>
    <w:p>
      <w:pPr>
        <w:jc w:val="left"/>
        <w:rPr>
          <w:rFonts w:ascii="华文隶书" w:hAnsi="华文隶书" w:eastAsia="华文隶书" w:cs="华文隶书"/>
          <w:b/>
          <w:spacing w:val="48"/>
          <w:sz w:val="72"/>
          <w:szCs w:val="72"/>
        </w:rPr>
      </w:pPr>
    </w:p>
    <w:p>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pPr>
        <w:pStyle w:val="8"/>
        <w:rPr>
          <w:rFonts w:ascii="华文隶书" w:hAnsi="华文隶书" w:eastAsia="华文隶书" w:cs="华文隶书"/>
          <w:b/>
          <w:spacing w:val="48"/>
          <w:sz w:val="72"/>
          <w:szCs w:val="72"/>
        </w:rPr>
      </w:pPr>
    </w:p>
    <w:p/>
    <w:p>
      <w:pPr>
        <w:ind w:firstLine="1063" w:firstLineChars="353"/>
        <w:rPr>
          <w:rFonts w:ascii="宋体" w:hAnsi="宋体" w:cs="宋体"/>
          <w:b/>
          <w:sz w:val="30"/>
          <w:szCs w:val="30"/>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：陕西万泽招标有限公司</w:t>
      </w:r>
    </w:p>
    <w:p>
      <w:pPr>
        <w:ind w:firstLine="1063" w:firstLineChars="353"/>
        <w:rPr>
          <w:rFonts w:ascii="宋体" w:hAnsi="宋体" w:cs="宋体"/>
          <w:b/>
          <w:sz w:val="30"/>
          <w:szCs w:val="30"/>
        </w:rPr>
      </w:pPr>
      <w:r>
        <w:rPr>
          <w:rFonts w:hint="eastAsia" w:ascii="宋体" w:hAnsi="宋体" w:cs="宋体"/>
          <w:b/>
          <w:sz w:val="30"/>
          <w:szCs w:val="30"/>
        </w:rPr>
        <w:t>地    址：西安市西</w:t>
      </w:r>
      <w:r>
        <w:rPr>
          <w:rFonts w:ascii="宋体" w:hAnsi="宋体" w:cs="宋体"/>
          <w:b/>
          <w:sz w:val="30"/>
          <w:szCs w:val="30"/>
        </w:rPr>
        <w:t>关</w:t>
      </w:r>
      <w:r>
        <w:rPr>
          <w:rFonts w:hint="eastAsia" w:ascii="宋体" w:hAnsi="宋体" w:cs="宋体"/>
          <w:b/>
          <w:sz w:val="30"/>
          <w:szCs w:val="30"/>
        </w:rPr>
        <w:t>正街英</w:t>
      </w:r>
      <w:r>
        <w:rPr>
          <w:rFonts w:ascii="宋体" w:hAnsi="宋体" w:cs="宋体"/>
          <w:b/>
          <w:sz w:val="30"/>
          <w:szCs w:val="30"/>
        </w:rPr>
        <w:t>达</w:t>
      </w:r>
      <w:r>
        <w:rPr>
          <w:rFonts w:hint="eastAsia" w:ascii="宋体" w:hAnsi="宋体" w:cs="宋体"/>
          <w:b/>
          <w:sz w:val="30"/>
          <w:szCs w:val="30"/>
        </w:rPr>
        <w:t>大</w:t>
      </w:r>
      <w:r>
        <w:rPr>
          <w:rFonts w:ascii="宋体" w:hAnsi="宋体" w:cs="宋体"/>
          <w:b/>
          <w:sz w:val="30"/>
          <w:szCs w:val="30"/>
        </w:rPr>
        <w:t>厦</w:t>
      </w:r>
      <w:r>
        <w:rPr>
          <w:rFonts w:hint="eastAsia" w:ascii="宋体" w:hAnsi="宋体" w:cs="宋体"/>
          <w:b/>
          <w:sz w:val="30"/>
          <w:szCs w:val="30"/>
        </w:rPr>
        <w:t>1507室</w:t>
      </w:r>
    </w:p>
    <w:p>
      <w:pPr>
        <w:ind w:firstLine="1063" w:firstLineChars="353"/>
        <w:rPr>
          <w:rFonts w:ascii="宋体" w:hAnsi="宋体" w:cs="宋体"/>
          <w:b/>
          <w:sz w:val="30"/>
          <w:szCs w:val="30"/>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710082</w:t>
      </w:r>
    </w:p>
    <w:p>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w:t>
      </w:r>
      <w:r>
        <w:rPr>
          <w:rFonts w:ascii="宋体" w:hAnsi="宋体" w:cs="宋体"/>
          <w:b/>
          <w:sz w:val="30"/>
          <w:szCs w:val="30"/>
        </w:rPr>
        <w:t>029-88319689</w:t>
      </w:r>
    </w:p>
    <w:p>
      <w:pPr>
        <w:ind w:firstLine="1060"/>
      </w:pPr>
      <w:r>
        <w:rPr>
          <w:rFonts w:ascii="宋体" w:hAnsi="宋体" w:cs="宋体"/>
          <w:b/>
          <w:sz w:val="30"/>
          <w:szCs w:val="30"/>
        </w:rPr>
        <w:t xml:space="preserve">传    </w:t>
      </w:r>
      <w:r>
        <w:rPr>
          <w:rFonts w:hint="eastAsia" w:ascii="宋体" w:hAnsi="宋体" w:cs="宋体"/>
          <w:b/>
          <w:sz w:val="30"/>
          <w:szCs w:val="30"/>
        </w:rPr>
        <w:t>真：</w:t>
      </w:r>
      <w:r>
        <w:rPr>
          <w:rFonts w:ascii="宋体" w:hAnsi="宋体" w:cs="宋体"/>
          <w:b/>
          <w:sz w:val="30"/>
          <w:szCs w:val="30"/>
        </w:rPr>
        <w:t>029-88629689</w:t>
      </w:r>
      <w:bookmarkEnd w:id="0"/>
      <w:bookmarkEnd w:id="12"/>
    </w:p>
    <w:sectPr>
      <w:headerReference r:id="rId18" w:type="default"/>
      <w:footerReference r:id="rId19"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426"/>
      </w:tabs>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60</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340"/>
        <w:tab w:val="clear" w:pos="4153"/>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eastAsia="华文仿宋"/>
                            </w:rPr>
                          </w:pPr>
                          <w:r>
                            <w:rPr>
                              <w:rFonts w:hint="eastAsia" w:eastAsia="华文仿宋"/>
                            </w:rPr>
                            <w:t xml:space="preserve">第 </w:t>
                          </w:r>
                          <w:r>
                            <w:rPr>
                              <w:rFonts w:hint="eastAsia" w:eastAsia="华文仿宋"/>
                            </w:rPr>
                            <w:fldChar w:fldCharType="begin"/>
                          </w:r>
                          <w:r>
                            <w:rPr>
                              <w:rFonts w:hint="eastAsia" w:eastAsia="华文仿宋"/>
                            </w:rPr>
                            <w:instrText xml:space="preserve"> PAGE  \* MERGEFORMAT </w:instrText>
                          </w:r>
                          <w:r>
                            <w:rPr>
                              <w:rFonts w:hint="eastAsia" w:eastAsia="华文仿宋"/>
                            </w:rPr>
                            <w:fldChar w:fldCharType="separate"/>
                          </w:r>
                          <w:r>
                            <w:rPr>
                              <w:rFonts w:eastAsia="华文仿宋"/>
                            </w:rPr>
                            <w:t>47</w:t>
                          </w:r>
                          <w:r>
                            <w:rPr>
                              <w:rFonts w:hint="eastAsia" w:eastAsia="华文仿宋"/>
                            </w:rPr>
                            <w:fldChar w:fldCharType="end"/>
                          </w:r>
                          <w:r>
                            <w:rPr>
                              <w:rFonts w:hint="eastAsia" w:eastAsia="华文仿宋"/>
                            </w:rPr>
                            <w:t xml:space="preserve"> 页 共 </w:t>
                          </w:r>
                          <w:r>
                            <w:rPr>
                              <w:rFonts w:hint="eastAsia" w:eastAsia="华文仿宋"/>
                            </w:rPr>
                            <w:fldChar w:fldCharType="begin"/>
                          </w:r>
                          <w:r>
                            <w:rPr>
                              <w:rFonts w:hint="eastAsia" w:eastAsia="华文仿宋"/>
                            </w:rPr>
                            <w:instrText xml:space="preserve"> NUMPAGES  \* MERGEFORMAT </w:instrText>
                          </w:r>
                          <w:r>
                            <w:rPr>
                              <w:rFonts w:hint="eastAsia" w:eastAsia="华文仿宋"/>
                            </w:rPr>
                            <w:fldChar w:fldCharType="separate"/>
                          </w:r>
                          <w:r>
                            <w:rPr>
                              <w:rFonts w:eastAsia="华文仿宋"/>
                            </w:rPr>
                            <w:t>89</w:t>
                          </w:r>
                          <w:r>
                            <w:rPr>
                              <w:rFonts w:hint="eastAsia" w:eastAsia="华文仿宋"/>
                            </w:rPr>
                            <w:fldChar w:fldCharType="end"/>
                          </w:r>
                          <w:r>
                            <w:rPr>
                              <w:rFonts w:hint="eastAsia" w:eastAsia="华文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3"/>
                      <w:rPr>
                        <w:rFonts w:eastAsia="华文仿宋"/>
                      </w:rPr>
                    </w:pPr>
                    <w:r>
                      <w:rPr>
                        <w:rFonts w:hint="eastAsia" w:eastAsia="华文仿宋"/>
                      </w:rPr>
                      <w:t xml:space="preserve">第 </w:t>
                    </w:r>
                    <w:r>
                      <w:rPr>
                        <w:rFonts w:hint="eastAsia" w:eastAsia="华文仿宋"/>
                      </w:rPr>
                      <w:fldChar w:fldCharType="begin"/>
                    </w:r>
                    <w:r>
                      <w:rPr>
                        <w:rFonts w:hint="eastAsia" w:eastAsia="华文仿宋"/>
                      </w:rPr>
                      <w:instrText xml:space="preserve"> PAGE  \* MERGEFORMAT </w:instrText>
                    </w:r>
                    <w:r>
                      <w:rPr>
                        <w:rFonts w:hint="eastAsia" w:eastAsia="华文仿宋"/>
                      </w:rPr>
                      <w:fldChar w:fldCharType="separate"/>
                    </w:r>
                    <w:r>
                      <w:rPr>
                        <w:rFonts w:eastAsia="华文仿宋"/>
                      </w:rPr>
                      <w:t>47</w:t>
                    </w:r>
                    <w:r>
                      <w:rPr>
                        <w:rFonts w:hint="eastAsia" w:eastAsia="华文仿宋"/>
                      </w:rPr>
                      <w:fldChar w:fldCharType="end"/>
                    </w:r>
                    <w:r>
                      <w:rPr>
                        <w:rFonts w:hint="eastAsia" w:eastAsia="华文仿宋"/>
                      </w:rPr>
                      <w:t xml:space="preserve"> 页 共 </w:t>
                    </w:r>
                    <w:r>
                      <w:rPr>
                        <w:rFonts w:hint="eastAsia" w:eastAsia="华文仿宋"/>
                      </w:rPr>
                      <w:fldChar w:fldCharType="begin"/>
                    </w:r>
                    <w:r>
                      <w:rPr>
                        <w:rFonts w:hint="eastAsia" w:eastAsia="华文仿宋"/>
                      </w:rPr>
                      <w:instrText xml:space="preserve"> NUMPAGES  \* MERGEFORMAT </w:instrText>
                    </w:r>
                    <w:r>
                      <w:rPr>
                        <w:rFonts w:hint="eastAsia" w:eastAsia="华文仿宋"/>
                      </w:rPr>
                      <w:fldChar w:fldCharType="separate"/>
                    </w:r>
                    <w:r>
                      <w:rPr>
                        <w:rFonts w:eastAsia="华文仿宋"/>
                      </w:rPr>
                      <w:t>89</w:t>
                    </w:r>
                    <w:r>
                      <w:rPr>
                        <w:rFonts w:hint="eastAsia" w:eastAsia="华文仿宋"/>
                      </w:rPr>
                      <w:fldChar w:fldCharType="end"/>
                    </w:r>
                    <w:r>
                      <w:rPr>
                        <w:rFonts w:hint="eastAsia" w:eastAsia="华文仿宋"/>
                      </w:rPr>
                      <w:t xml:space="preserve"> 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28</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89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WDz8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LO3XGLEz///HH+9ef8+ztB&#10;HwrUB6gx7y5gZho++AGTZz+gM/MeVLT5i4wIxlHe00VeOSQi8qPVcrWqMCQwNl8Qnz09DxHSR+kt&#10;yUZDI86vyMqPnyGNqXNKrub8rTamzNC4vxyImT0s9z72mK007IaJ0M63J+TT4+gb6nDTKTGfHCqb&#10;t2Q24mzsJiPXgPD+kLBw6SejjlBTMZxTYTTtVF6E5/eS9fQfb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UVg8/CAQAAjwMAAA4AAAAAAAAAAQAgAAAAHgEAAGRycy9lMm9Eb2MueG1sUEsF&#10;BgAAAAAGAAYAWQEAAFIFAAAAAA==&#10;">
              <v:fill on="f" focussize="0,0"/>
              <v:stroke on="f"/>
              <v:imagedata o:title=""/>
              <o:lock v:ext="edit" aspectratio="f"/>
              <v:textbox inset="0mm,0mm,0mm,0mm" style="mso-fit-shape-to-text:t;">
                <w:txbxContent>
                  <w:p>
                    <w:pPr>
                      <w:pStyle w:val="13"/>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28</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89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82</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0"/>
        <w:tab w:val="right" w:pos="8420"/>
        <w:tab w:val="clear" w:pos="4153"/>
      </w:tabs>
      <w:rPr>
        <w:rFonts w:ascii="宋体" w:hAnsi="宋体"/>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83</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0"/>
        <w:tab w:val="right" w:pos="8420"/>
        <w:tab w:val="clear" w:pos="4153"/>
      </w:tabs>
      <w:rPr>
        <w:rFonts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85</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jc w:val="left"/>
      <w:rPr>
        <w:rFonts w:ascii="宋体" w:hAnsi="宋体" w:eastAsia="宋体" w:cs="宋体"/>
        <w:sz w:val="18"/>
        <w:szCs w:val="18"/>
        <w:u w:val="single"/>
      </w:rPr>
    </w:pPr>
    <w:r>
      <w:rPr>
        <w:rFonts w:hint="eastAsia" w:eastAsia="宋体" w:asciiTheme="minorEastAsia" w:hAnsiTheme="minorEastAsia" w:cstheme="minorEastAsia"/>
        <w:kern w:val="0"/>
        <w:sz w:val="18"/>
        <w:szCs w:val="18"/>
        <w:u w:val="single"/>
        <w:lang w:eastAsia="zh-CN"/>
      </w:rPr>
      <w:t>西安医学院基本教学实验设备补充更新项目（二次）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SXWZ2022ZB-YXY-126A</w:t>
    </w:r>
    <w:r>
      <w:rPr>
        <w:rFonts w:hint="eastAsia" w:ascii="宋体" w:hAnsi="宋体" w:eastAsia="宋体" w:cs="宋体"/>
        <w:sz w:val="15"/>
        <w:szCs w:val="15"/>
        <w:u w:val="single"/>
      </w:rPr>
      <w:t xml:space="preserve">                                                        </w:t>
    </w:r>
    <w:r>
      <w:rPr>
        <w:rFonts w:hint="eastAsia" w:ascii="宋体" w:hAnsi="宋体" w:eastAsia="宋体" w:cs="宋体"/>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r>
      <w:rPr>
        <w:rFonts w:hint="eastAsia" w:eastAsia="宋体" w:asciiTheme="minorEastAsia" w:hAnsiTheme="minorEastAsia" w:cstheme="minorEastAsia"/>
        <w:kern w:val="0"/>
        <w:sz w:val="18"/>
        <w:szCs w:val="18"/>
        <w:u w:val="single"/>
        <w:lang w:eastAsia="zh-CN"/>
      </w:rPr>
      <w:t>西安医学院基本教学实验设备补充更新项目（二次）</w:t>
    </w:r>
    <w:r>
      <w:rPr>
        <w:rFonts w:hint="eastAsia" w:eastAsia="宋体" w:asciiTheme="minorEastAsia" w:hAnsiTheme="minorEastAsia" w:cstheme="minorEastAsia"/>
        <w:kern w:val="0"/>
        <w:sz w:val="18"/>
        <w:szCs w:val="18"/>
        <w:u w:val="single"/>
      </w:rPr>
      <w:t xml:space="preserve">   </w:t>
    </w:r>
    <w:r>
      <w:rPr>
        <w:rFonts w:hint="eastAsia" w:eastAsia="宋体" w:asciiTheme="minorEastAsia" w:hAnsiTheme="minorEastAsia" w:cstheme="minorEastAsia"/>
        <w:kern w:val="0"/>
        <w:sz w:val="18"/>
        <w:szCs w:val="18"/>
        <w:u w:val="single"/>
        <w:lang w:val="en-US" w:eastAsia="zh-CN"/>
      </w:rPr>
      <w:t xml:space="preserve">                       </w:t>
    </w:r>
    <w:r>
      <w:rPr>
        <w:rFonts w:hint="eastAsia" w:eastAsia="宋体" w:asciiTheme="minorEastAsia" w:hAnsiTheme="minorEastAsia" w:cstheme="minorEastAsia"/>
        <w:kern w:val="0"/>
        <w:sz w:val="18"/>
        <w:szCs w:val="18"/>
        <w:u w:val="single"/>
        <w:lang w:eastAsia="zh-CN"/>
      </w:rPr>
      <w:t>SXWZ2022ZB-YXY-126A</w:t>
    </w:r>
    <w:r>
      <w:rPr>
        <w:rFonts w:hint="eastAsia" w:ascii="宋体" w:hAnsi="宋体" w:eastAsia="宋体" w:cs="宋体"/>
        <w:sz w:val="15"/>
        <w:szCs w:val="15"/>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eastAsia="宋体"/>
      </w:rPr>
    </w:pPr>
    <w:r>
      <w:rPr>
        <w:rFonts w:hint="eastAsia" w:eastAsia="宋体" w:asciiTheme="minorEastAsia" w:hAnsiTheme="minorEastAsia" w:cstheme="minorEastAsia"/>
        <w:kern w:val="0"/>
        <w:sz w:val="18"/>
        <w:szCs w:val="18"/>
        <w:u w:val="single"/>
        <w:lang w:eastAsia="zh-CN"/>
      </w:rPr>
      <w:t>西安医学院基本教学实验设备补充更新项目（二次）</w:t>
    </w:r>
    <w:r>
      <w:rPr>
        <w:rFonts w:hint="eastAsia" w:ascii="宋体" w:hAnsi="宋体" w:eastAsia="宋体" w:cs="宋体"/>
        <w:sz w:val="15"/>
        <w:szCs w:val="15"/>
        <w:u w:val="single"/>
      </w:rPr>
      <w:t xml:space="preserve">                                   </w:t>
    </w:r>
    <w:r>
      <w:rPr>
        <w:rFonts w:hint="eastAsia" w:eastAsia="宋体" w:asciiTheme="minorEastAsia" w:hAnsiTheme="minorEastAsia" w:cstheme="minorEastAsia"/>
        <w:kern w:val="0"/>
        <w:sz w:val="18"/>
        <w:szCs w:val="18"/>
        <w:u w:val="single"/>
        <w:lang w:eastAsia="zh-CN"/>
      </w:rPr>
      <w:t>SXWZ2022ZB-YXY-126A</w:t>
    </w:r>
    <w:r>
      <w:rPr>
        <w:rFonts w:hint="eastAsia" w:ascii="宋体" w:hAnsi="宋体" w:eastAsia="宋体" w:cs="宋体"/>
        <w:sz w:val="15"/>
        <w:szCs w:val="15"/>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eastAsia="宋体" w:asciiTheme="minorEastAsia" w:hAnsiTheme="minorEastAsia" w:cstheme="minorEastAsia"/>
        <w:kern w:val="0"/>
        <w:sz w:val="18"/>
        <w:szCs w:val="18"/>
        <w:u w:val="single"/>
        <w:lang w:eastAsia="zh-CN"/>
      </w:rPr>
      <w:t>西安医学院基本教学实验设备补充更新项目（二次）</w:t>
    </w:r>
    <w:r>
      <w:rPr>
        <w:rFonts w:hint="eastAsia" w:ascii="宋体" w:hAnsi="宋体" w:eastAsia="宋体" w:cs="宋体"/>
        <w:sz w:val="15"/>
        <w:szCs w:val="15"/>
        <w:u w:val="single"/>
      </w:rPr>
      <w:t xml:space="preserve">                                               </w:t>
    </w:r>
    <w:r>
      <w:rPr>
        <w:rFonts w:hint="eastAsia" w:eastAsia="宋体" w:asciiTheme="minorEastAsia" w:hAnsiTheme="minorEastAsia" w:cstheme="minorEastAsia"/>
        <w:kern w:val="0"/>
        <w:sz w:val="18"/>
        <w:szCs w:val="18"/>
        <w:u w:val="single"/>
        <w:lang w:eastAsia="zh-CN"/>
      </w:rPr>
      <w:t>SXWZ2022ZB-YXY-126A</w:t>
    </w:r>
    <w:r>
      <w:rPr>
        <w:rFonts w:hint="eastAsia" w:ascii="宋体" w:hAnsi="宋体" w:eastAsia="宋体" w:cs="宋体"/>
        <w:sz w:val="15"/>
        <w:szCs w:val="15"/>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宋体" w:hAnsi="宋体" w:eastAsia="宋体" w:cs="宋体"/>
        <w:lang w:eastAsia="zh-CN"/>
      </w:rPr>
      <w:t>西安医学院基本教学实验设备补充更新项目（二次）</w:t>
    </w:r>
    <w:r>
      <w:rPr>
        <w:rFonts w:hint="eastAsia" w:ascii="宋体" w:hAnsi="宋体" w:eastAsia="宋体" w:cs="宋体"/>
      </w:rPr>
      <w:t xml:space="preserve">                           </w:t>
    </w:r>
    <w:r>
      <w:rPr>
        <w:rFonts w:hint="eastAsia" w:ascii="宋体" w:hAnsi="宋体" w:eastAsia="宋体" w:cs="宋体"/>
        <w:lang w:eastAsia="zh-CN"/>
      </w:rPr>
      <w:t>SXWZ2022ZB-YXY-126A</w:t>
    </w:r>
    <w:r>
      <w:rPr>
        <w:rFonts w:hint="eastAsia" w:ascii="宋体" w:hAnsi="宋体" w:eastAsia="宋体" w:cs="宋体"/>
      </w:rPr>
      <w:t xml:space="preserve"> </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宋体" w:hAnsi="宋体" w:eastAsia="宋体" w:cs="宋体"/>
        <w:lang w:eastAsia="zh-CN"/>
      </w:rPr>
      <w:t>西安医学院基本教学实验设备补充更新项目（二次）</w:t>
    </w:r>
    <w:r>
      <w:rPr>
        <w:rFonts w:hint="eastAsia" w:ascii="宋体" w:hAnsi="宋体" w:eastAsia="宋体" w:cs="宋体"/>
      </w:rPr>
      <w:t xml:space="preserve">                                   </w:t>
    </w:r>
    <w:r>
      <w:rPr>
        <w:rFonts w:hint="eastAsia" w:ascii="宋体" w:hAnsi="宋体" w:eastAsia="宋体" w:cs="宋体"/>
        <w:lang w:eastAsia="zh-CN"/>
      </w:rPr>
      <w:t>SXWZ2022ZB-YXY-126A</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68B29"/>
    <w:multiLevelType w:val="singleLevel"/>
    <w:tmpl w:val="F7868B29"/>
    <w:lvl w:ilvl="0" w:tentative="0">
      <w:start w:val="4"/>
      <w:numFmt w:val="decimal"/>
      <w:lvlText w:val="%1."/>
      <w:lvlJc w:val="left"/>
      <w:pPr>
        <w:tabs>
          <w:tab w:val="left" w:pos="312"/>
        </w:tabs>
      </w:pPr>
    </w:lvl>
  </w:abstractNum>
  <w:abstractNum w:abstractNumId="1">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5">
    <w:nsid w:val="2C0E830E"/>
    <w:multiLevelType w:val="singleLevel"/>
    <w:tmpl w:val="2C0E830E"/>
    <w:lvl w:ilvl="0" w:tentative="0">
      <w:start w:val="1"/>
      <w:numFmt w:val="decimal"/>
      <w:suff w:val="space"/>
      <w:lvlText w:val="%1."/>
      <w:lvlJc w:val="left"/>
    </w:lvl>
  </w:abstractNum>
  <w:abstractNum w:abstractNumId="6">
    <w:nsid w:val="54CD0282"/>
    <w:multiLevelType w:val="multilevel"/>
    <w:tmpl w:val="54CD0282"/>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530B97F"/>
    <w:multiLevelType w:val="singleLevel"/>
    <w:tmpl w:val="5530B97F"/>
    <w:lvl w:ilvl="0" w:tentative="0">
      <w:start w:val="1"/>
      <w:numFmt w:val="chineseCounting"/>
      <w:suff w:val="nothing"/>
      <w:lvlText w:val="%1、"/>
      <w:lvlJc w:val="left"/>
    </w:lvl>
  </w:abstractNum>
  <w:abstractNum w:abstractNumId="8">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9">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0">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BFC3B3"/>
    <w:multiLevelType w:val="singleLevel"/>
    <w:tmpl w:val="58BFC3B3"/>
    <w:lvl w:ilvl="0" w:tentative="0">
      <w:start w:val="1"/>
      <w:numFmt w:val="decimal"/>
      <w:suff w:val="nothing"/>
      <w:lvlText w:val="（%1）"/>
      <w:lvlJc w:val="left"/>
      <w:pPr>
        <w:ind w:left="0" w:firstLine="420"/>
      </w:pPr>
      <w:rPr>
        <w:rFonts w:hint="default"/>
      </w:rPr>
    </w:lvl>
  </w:abstractNum>
  <w:abstractNum w:abstractNumId="15">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8">
    <w:nsid w:val="58E5BCCB"/>
    <w:multiLevelType w:val="singleLevel"/>
    <w:tmpl w:val="58E5BCCB"/>
    <w:lvl w:ilvl="0" w:tentative="0">
      <w:start w:val="1"/>
      <w:numFmt w:val="decimal"/>
      <w:suff w:val="nothing"/>
      <w:lvlText w:val="（%1）"/>
      <w:lvlJc w:val="left"/>
      <w:pPr>
        <w:ind w:left="0" w:firstLine="420"/>
      </w:pPr>
      <w:rPr>
        <w:rFonts w:hint="default"/>
      </w:rPr>
    </w:lvl>
  </w:abstractNum>
  <w:abstractNum w:abstractNumId="19">
    <w:nsid w:val="58E5BD5C"/>
    <w:multiLevelType w:val="singleLevel"/>
    <w:tmpl w:val="58E5BD5C"/>
    <w:lvl w:ilvl="0" w:tentative="0">
      <w:start w:val="1"/>
      <w:numFmt w:val="decimal"/>
      <w:suff w:val="nothing"/>
      <w:lvlText w:val="（%1）"/>
      <w:lvlJc w:val="left"/>
      <w:pPr>
        <w:ind w:left="0" w:firstLine="420"/>
      </w:pPr>
      <w:rPr>
        <w:rFonts w:hint="default"/>
      </w:rPr>
    </w:lvl>
  </w:abstractNum>
  <w:abstractNum w:abstractNumId="20">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1">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2">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23">
    <w:nsid w:val="5A9C9D9A"/>
    <w:multiLevelType w:val="singleLevel"/>
    <w:tmpl w:val="5A9C9D9A"/>
    <w:lvl w:ilvl="0" w:tentative="0">
      <w:start w:val="2"/>
      <w:numFmt w:val="chineseCounting"/>
      <w:suff w:val="nothing"/>
      <w:lvlText w:val="%1、"/>
      <w:lvlJc w:val="left"/>
    </w:lvl>
  </w:abstractNum>
  <w:num w:numId="1">
    <w:abstractNumId w:val="7"/>
  </w:num>
  <w:num w:numId="2">
    <w:abstractNumId w:val="15"/>
  </w:num>
  <w:num w:numId="3">
    <w:abstractNumId w:val="9"/>
  </w:num>
  <w:num w:numId="4">
    <w:abstractNumId w:val="2"/>
  </w:num>
  <w:num w:numId="5">
    <w:abstractNumId w:val="8"/>
  </w:num>
  <w:num w:numId="6">
    <w:abstractNumId w:val="13"/>
  </w:num>
  <w:num w:numId="7">
    <w:abstractNumId w:val="16"/>
  </w:num>
  <w:num w:numId="8">
    <w:abstractNumId w:val="10"/>
  </w:num>
  <w:num w:numId="9">
    <w:abstractNumId w:val="14"/>
  </w:num>
  <w:num w:numId="10">
    <w:abstractNumId w:val="17"/>
  </w:num>
  <w:num w:numId="11">
    <w:abstractNumId w:val="19"/>
  </w:num>
  <w:num w:numId="12">
    <w:abstractNumId w:val="22"/>
  </w:num>
  <w:num w:numId="13">
    <w:abstractNumId w:val="18"/>
  </w:num>
  <w:num w:numId="14">
    <w:abstractNumId w:val="11"/>
  </w:num>
  <w:num w:numId="15">
    <w:abstractNumId w:val="12"/>
  </w:num>
  <w:num w:numId="16">
    <w:abstractNumId w:val="1"/>
  </w:num>
  <w:num w:numId="17">
    <w:abstractNumId w:val="20"/>
  </w:num>
  <w:num w:numId="18">
    <w:abstractNumId w:val="21"/>
  </w:num>
  <w:num w:numId="19">
    <w:abstractNumId w:val="6"/>
  </w:num>
  <w:num w:numId="20">
    <w:abstractNumId w:val="5"/>
  </w:num>
  <w:num w:numId="21">
    <w:abstractNumId w:val="0"/>
  </w:num>
  <w:num w:numId="22">
    <w:abstractNumId w:val="4"/>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GIyYjNiMDQ1ZTY4NDBhMjlkNzc1NjJkZmUyNzYifQ=="/>
  </w:docVars>
  <w:rsids>
    <w:rsidRoot w:val="00156A11"/>
    <w:rsid w:val="00001B10"/>
    <w:rsid w:val="000239B0"/>
    <w:rsid w:val="00055C69"/>
    <w:rsid w:val="000A4AAE"/>
    <w:rsid w:val="000B70DD"/>
    <w:rsid w:val="000D30C1"/>
    <w:rsid w:val="0011588A"/>
    <w:rsid w:val="00141C94"/>
    <w:rsid w:val="00156A11"/>
    <w:rsid w:val="00166A13"/>
    <w:rsid w:val="001C6EFB"/>
    <w:rsid w:val="001D4025"/>
    <w:rsid w:val="0022610F"/>
    <w:rsid w:val="00290EEF"/>
    <w:rsid w:val="002D2BE2"/>
    <w:rsid w:val="002D3A47"/>
    <w:rsid w:val="00310E87"/>
    <w:rsid w:val="00342F2B"/>
    <w:rsid w:val="00346094"/>
    <w:rsid w:val="003B3D50"/>
    <w:rsid w:val="003F7DDA"/>
    <w:rsid w:val="004511A7"/>
    <w:rsid w:val="004D0B38"/>
    <w:rsid w:val="005739BB"/>
    <w:rsid w:val="00577AB0"/>
    <w:rsid w:val="005E6E76"/>
    <w:rsid w:val="00606AB3"/>
    <w:rsid w:val="00675FDA"/>
    <w:rsid w:val="006A0A15"/>
    <w:rsid w:val="006A7BD0"/>
    <w:rsid w:val="00736C20"/>
    <w:rsid w:val="00754181"/>
    <w:rsid w:val="00762578"/>
    <w:rsid w:val="00793B7F"/>
    <w:rsid w:val="007B7536"/>
    <w:rsid w:val="00847B93"/>
    <w:rsid w:val="009378A4"/>
    <w:rsid w:val="00954343"/>
    <w:rsid w:val="00994C43"/>
    <w:rsid w:val="00A56EB7"/>
    <w:rsid w:val="00A70A08"/>
    <w:rsid w:val="00AD1E9B"/>
    <w:rsid w:val="00B051E0"/>
    <w:rsid w:val="00BD49AD"/>
    <w:rsid w:val="00C34E00"/>
    <w:rsid w:val="00C56287"/>
    <w:rsid w:val="00C757BB"/>
    <w:rsid w:val="00CF6E40"/>
    <w:rsid w:val="00CF769D"/>
    <w:rsid w:val="00D346EC"/>
    <w:rsid w:val="00D52675"/>
    <w:rsid w:val="00E54964"/>
    <w:rsid w:val="00EC6E2F"/>
    <w:rsid w:val="00EE1B76"/>
    <w:rsid w:val="00EF326B"/>
    <w:rsid w:val="00EF5FEB"/>
    <w:rsid w:val="00F42C63"/>
    <w:rsid w:val="00F56969"/>
    <w:rsid w:val="00F90285"/>
    <w:rsid w:val="00F91EA6"/>
    <w:rsid w:val="00FA64F3"/>
    <w:rsid w:val="00FB7EC3"/>
    <w:rsid w:val="00FD35D3"/>
    <w:rsid w:val="01F87CF4"/>
    <w:rsid w:val="04156E50"/>
    <w:rsid w:val="05BE0C1F"/>
    <w:rsid w:val="092F1944"/>
    <w:rsid w:val="0A2C1076"/>
    <w:rsid w:val="0C7B2116"/>
    <w:rsid w:val="0CE4470F"/>
    <w:rsid w:val="0D5C3A2A"/>
    <w:rsid w:val="0EC20452"/>
    <w:rsid w:val="10BB7585"/>
    <w:rsid w:val="138D4F38"/>
    <w:rsid w:val="15DA59BC"/>
    <w:rsid w:val="165C3A40"/>
    <w:rsid w:val="1764126D"/>
    <w:rsid w:val="187138C0"/>
    <w:rsid w:val="197D42E6"/>
    <w:rsid w:val="1A5853A4"/>
    <w:rsid w:val="1AB62E2B"/>
    <w:rsid w:val="1B1C086F"/>
    <w:rsid w:val="1B50095A"/>
    <w:rsid w:val="1B9B554D"/>
    <w:rsid w:val="1FA067C3"/>
    <w:rsid w:val="203D0B58"/>
    <w:rsid w:val="205F112F"/>
    <w:rsid w:val="22826844"/>
    <w:rsid w:val="22FF2BDE"/>
    <w:rsid w:val="25D372D5"/>
    <w:rsid w:val="261E7711"/>
    <w:rsid w:val="2752776B"/>
    <w:rsid w:val="27896562"/>
    <w:rsid w:val="290221E7"/>
    <w:rsid w:val="291A3F6C"/>
    <w:rsid w:val="2A1F04A9"/>
    <w:rsid w:val="2B85488A"/>
    <w:rsid w:val="2C4A4DFE"/>
    <w:rsid w:val="2EFC24F7"/>
    <w:rsid w:val="311D1F29"/>
    <w:rsid w:val="31FC1E94"/>
    <w:rsid w:val="326C5FFB"/>
    <w:rsid w:val="331078EF"/>
    <w:rsid w:val="34E50731"/>
    <w:rsid w:val="35B618CA"/>
    <w:rsid w:val="3A1248FD"/>
    <w:rsid w:val="3A1E7689"/>
    <w:rsid w:val="3BE17F9C"/>
    <w:rsid w:val="3CA9606C"/>
    <w:rsid w:val="3D125283"/>
    <w:rsid w:val="3DE67E61"/>
    <w:rsid w:val="3F914050"/>
    <w:rsid w:val="3FAF183F"/>
    <w:rsid w:val="41016309"/>
    <w:rsid w:val="41632EAE"/>
    <w:rsid w:val="41A6056E"/>
    <w:rsid w:val="426D25B8"/>
    <w:rsid w:val="43EB0316"/>
    <w:rsid w:val="474C670E"/>
    <w:rsid w:val="476B0980"/>
    <w:rsid w:val="47E0139D"/>
    <w:rsid w:val="483A427A"/>
    <w:rsid w:val="48883317"/>
    <w:rsid w:val="49D15412"/>
    <w:rsid w:val="49FB4937"/>
    <w:rsid w:val="4AAE6530"/>
    <w:rsid w:val="4BAB16F1"/>
    <w:rsid w:val="4C592AB2"/>
    <w:rsid w:val="4CDF0D3F"/>
    <w:rsid w:val="4DE41488"/>
    <w:rsid w:val="4F7A5C04"/>
    <w:rsid w:val="504E317B"/>
    <w:rsid w:val="535526CC"/>
    <w:rsid w:val="56C44FF8"/>
    <w:rsid w:val="56CB0922"/>
    <w:rsid w:val="56F004F3"/>
    <w:rsid w:val="571E59B2"/>
    <w:rsid w:val="59301B7F"/>
    <w:rsid w:val="5B344697"/>
    <w:rsid w:val="5B42517F"/>
    <w:rsid w:val="5C5C2855"/>
    <w:rsid w:val="5E2A7350"/>
    <w:rsid w:val="5F097B69"/>
    <w:rsid w:val="61591258"/>
    <w:rsid w:val="617A16D1"/>
    <w:rsid w:val="638A6AB8"/>
    <w:rsid w:val="645B25B1"/>
    <w:rsid w:val="64C8048B"/>
    <w:rsid w:val="65BE16E9"/>
    <w:rsid w:val="66A81C37"/>
    <w:rsid w:val="689E5468"/>
    <w:rsid w:val="68BA5E7C"/>
    <w:rsid w:val="6B5C7DE3"/>
    <w:rsid w:val="6E7233AC"/>
    <w:rsid w:val="6E792C72"/>
    <w:rsid w:val="700E175E"/>
    <w:rsid w:val="7146712D"/>
    <w:rsid w:val="717F2A66"/>
    <w:rsid w:val="71BB15CB"/>
    <w:rsid w:val="71D57FE6"/>
    <w:rsid w:val="71EC078C"/>
    <w:rsid w:val="724E1851"/>
    <w:rsid w:val="72877C0F"/>
    <w:rsid w:val="72C708B1"/>
    <w:rsid w:val="72E93F78"/>
    <w:rsid w:val="73404B44"/>
    <w:rsid w:val="74681C20"/>
    <w:rsid w:val="763667DE"/>
    <w:rsid w:val="769D43B8"/>
    <w:rsid w:val="769D53D9"/>
    <w:rsid w:val="7737201B"/>
    <w:rsid w:val="77491568"/>
    <w:rsid w:val="79562ECD"/>
    <w:rsid w:val="79C45D3E"/>
    <w:rsid w:val="7A2F4018"/>
    <w:rsid w:val="7A794BCB"/>
    <w:rsid w:val="7C232AB7"/>
    <w:rsid w:val="7C3F0C80"/>
    <w:rsid w:val="7CE502B1"/>
    <w:rsid w:val="7E797659"/>
    <w:rsid w:val="7E84446E"/>
    <w:rsid w:val="7EA12ED8"/>
    <w:rsid w:val="7ECD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jc w:val="left"/>
      <w:outlineLvl w:val="0"/>
    </w:pPr>
    <w:rPr>
      <w:rFonts w:ascii="Times New Roman" w:hAnsi="Times New Roman" w:eastAsia="宋体" w:cs="Times New Roman"/>
      <w:b/>
      <w:bCs/>
      <w:kern w:val="44"/>
      <w:sz w:val="24"/>
      <w:szCs w:val="44"/>
      <w:lang w:val="zh-CN"/>
    </w:rPr>
  </w:style>
  <w:style w:type="paragraph" w:styleId="4">
    <w:name w:val="heading 2"/>
    <w:basedOn w:val="1"/>
    <w:next w:val="1"/>
    <w:link w:val="24"/>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line="413" w:lineRule="auto"/>
      <w:outlineLvl w:val="2"/>
    </w:pPr>
    <w:rPr>
      <w:b/>
      <w:sz w:val="28"/>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jc w:val="left"/>
    </w:pPr>
  </w:style>
  <w:style w:type="paragraph" w:styleId="8">
    <w:name w:val="Body Text"/>
    <w:basedOn w:val="1"/>
    <w:next w:val="1"/>
    <w:qFormat/>
    <w:uiPriority w:val="0"/>
  </w:style>
  <w:style w:type="paragraph" w:styleId="9">
    <w:name w:val="Body Text Indent"/>
    <w:basedOn w:val="1"/>
    <w:link w:val="28"/>
    <w:qFormat/>
    <w:uiPriority w:val="0"/>
    <w:pPr>
      <w:ind w:left="420" w:leftChars="200"/>
    </w:pPr>
  </w:style>
  <w:style w:type="paragraph" w:styleId="10">
    <w:name w:val="Plain Text"/>
    <w:basedOn w:val="1"/>
    <w:qFormat/>
    <w:uiPriority w:val="0"/>
    <w:pPr>
      <w:spacing w:line="324" w:lineRule="auto"/>
    </w:pPr>
    <w:rPr>
      <w:rFonts w:ascii="宋体" w:hAnsi="Courier New" w:cs="Courier New"/>
      <w:szCs w:val="21"/>
    </w:rPr>
  </w:style>
  <w:style w:type="paragraph" w:styleId="11">
    <w:name w:val="Date"/>
    <w:basedOn w:val="1"/>
    <w:next w:val="1"/>
    <w:qFormat/>
    <w:uiPriority w:val="0"/>
    <w:rPr>
      <w:rFonts w:ascii="Copperplate Gothic Bold" w:hAnsi="Copperplate Gothic Bold"/>
      <w:sz w:val="32"/>
      <w:szCs w:val="20"/>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7"/>
    <w:next w:val="7"/>
    <w:link w:val="30"/>
    <w:qFormat/>
    <w:uiPriority w:val="0"/>
    <w:rPr>
      <w:b/>
      <w:bCs/>
    </w:rPr>
  </w:style>
  <w:style w:type="paragraph" w:styleId="19">
    <w:name w:val="Body Text First Indent"/>
    <w:basedOn w:val="8"/>
    <w:unhideWhenUsed/>
    <w:qFormat/>
    <w:uiPriority w:val="99"/>
    <w:pPr>
      <w:ind w:firstLine="420" w:firstLineChars="100"/>
    </w:pPr>
    <w:rPr>
      <w:rFonts w:ascii="Times New Roman" w:hAnsi="Times New Roman"/>
      <w:sz w:val="18"/>
      <w:szCs w:val="18"/>
    </w:r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basedOn w:val="22"/>
    <w:qFormat/>
    <w:uiPriority w:val="0"/>
    <w:rPr>
      <w:sz w:val="21"/>
      <w:szCs w:val="21"/>
    </w:rPr>
  </w:style>
  <w:style w:type="character" w:customStyle="1" w:styleId="24">
    <w:name w:val="标题 2 Char"/>
    <w:basedOn w:val="22"/>
    <w:link w:val="4"/>
    <w:semiHidden/>
    <w:qFormat/>
    <w:locked/>
    <w:uiPriority w:val="99"/>
    <w:rPr>
      <w:rFonts w:ascii="Arial" w:hAnsi="Arial" w:eastAsia="宋体"/>
      <w:b/>
      <w:sz w:val="28"/>
    </w:rPr>
  </w:style>
  <w:style w:type="character" w:customStyle="1" w:styleId="25">
    <w:name w:val="标题 1 Char"/>
    <w:basedOn w:val="22"/>
    <w:link w:val="3"/>
    <w:qFormat/>
    <w:uiPriority w:val="9"/>
    <w:rPr>
      <w:rFonts w:ascii="Times New Roman" w:hAnsi="Times New Roman" w:eastAsia="宋体" w:cs="Times New Roman"/>
      <w:b/>
      <w:bCs/>
      <w:kern w:val="44"/>
      <w:sz w:val="24"/>
      <w:szCs w:val="44"/>
    </w:rPr>
  </w:style>
  <w:style w:type="paragraph" w:styleId="26">
    <w:name w:val="List Paragraph"/>
    <w:basedOn w:val="1"/>
    <w:qFormat/>
    <w:uiPriority w:val="99"/>
    <w:pPr>
      <w:ind w:firstLine="420" w:firstLineChars="200"/>
    </w:pPr>
  </w:style>
  <w:style w:type="paragraph" w:customStyle="1" w:styleId="27">
    <w:name w:val="msolistparagraph"/>
    <w:basedOn w:val="1"/>
    <w:qFormat/>
    <w:uiPriority w:val="0"/>
    <w:pPr>
      <w:ind w:firstLine="420" w:firstLineChars="200"/>
    </w:pPr>
    <w:rPr>
      <w:rFonts w:ascii="Calibri" w:hAnsi="Calibri" w:eastAsia="宋体" w:cs="Times New Roman"/>
    </w:rPr>
  </w:style>
  <w:style w:type="character" w:customStyle="1" w:styleId="28">
    <w:name w:val="正文文本缩进 Char"/>
    <w:basedOn w:val="22"/>
    <w:link w:val="9"/>
    <w:qFormat/>
    <w:uiPriority w:val="0"/>
    <w:rPr>
      <w:kern w:val="2"/>
      <w:sz w:val="21"/>
      <w:szCs w:val="22"/>
    </w:rPr>
  </w:style>
  <w:style w:type="character" w:customStyle="1" w:styleId="29">
    <w:name w:val="批注文字 Char"/>
    <w:basedOn w:val="22"/>
    <w:link w:val="7"/>
    <w:qFormat/>
    <w:uiPriority w:val="0"/>
    <w:rPr>
      <w:kern w:val="2"/>
      <w:sz w:val="21"/>
      <w:szCs w:val="22"/>
    </w:rPr>
  </w:style>
  <w:style w:type="character" w:customStyle="1" w:styleId="30">
    <w:name w:val="批注主题 Char"/>
    <w:basedOn w:val="29"/>
    <w:link w:val="18"/>
    <w:qFormat/>
    <w:uiPriority w:val="0"/>
    <w:rPr>
      <w:b/>
      <w:bCs/>
      <w:kern w:val="2"/>
      <w:sz w:val="21"/>
      <w:szCs w:val="22"/>
    </w:rPr>
  </w:style>
  <w:style w:type="character" w:customStyle="1" w:styleId="31">
    <w:name w:val="批注框文本 Char"/>
    <w:basedOn w:val="22"/>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EDCBE-537B-44EF-ACCD-D3AE7E103EC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37916</Words>
  <Characters>41372</Characters>
  <Lines>346</Lines>
  <Paragraphs>97</Paragraphs>
  <TotalTime>2</TotalTime>
  <ScaleCrop>false</ScaleCrop>
  <LinksUpToDate>false</LinksUpToDate>
  <CharactersWithSpaces>44308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2022-07-08T13:22:00Z</dcterms:created>
  <dc:creator>32274</dc:creator>
  <cp:lastModifiedBy>十五</cp:lastModifiedBy>
  <cp:lastPrinted>2022-08-31T02:55:00Z</cp:lastPrinted>
  <dcterms:modified xsi:type="dcterms:W3CDTF">2022-09-30T07:07:48Z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8303D8A50DB3484397DA288E471527EB</vt:lpwstr>
  </property>
  <property fmtid="{D5CDD505-2E9C-101B-9397-08002B2CF9AE}" pid="4" name="commondata">
    <vt:lpwstr>eyJoZGlkIjoiZGYxZDUzZWY3YTE5NTY2NTlhZWVlYWE2MGIwMWU0YzQifQ==</vt:lpwstr>
  </property>
</Properties>
</file>