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eastAsia="宋体" w:cs="宋体"/>
          <w:b/>
          <w:sz w:val="28"/>
          <w:szCs w:val="28"/>
          <w:lang w:eastAsia="zh-CN"/>
        </w:rPr>
      </w:pPr>
      <w:bookmarkStart w:id="0" w:name="OLE_LINK9"/>
      <w:r>
        <w:rPr>
          <w:rFonts w:hint="eastAsia" w:ascii="宋体" w:cs="宋体"/>
          <w:b/>
          <w:sz w:val="28"/>
          <w:szCs w:val="28"/>
          <w:lang w:eastAsia="zh-CN"/>
        </w:rPr>
        <w:t>政府采购项目</w:t>
      </w:r>
    </w:p>
    <w:p>
      <w:pPr>
        <w:adjustRightInd w:val="0"/>
        <w:snapToGrid w:val="0"/>
        <w:spacing w:line="360" w:lineRule="auto"/>
        <w:jc w:val="left"/>
        <w:rPr>
          <w:rFonts w:hint="eastAsia" w:ascii="宋体" w:eastAsia="宋体" w:cs="宋体"/>
          <w:b/>
          <w:sz w:val="30"/>
          <w:lang w:eastAsia="zh-CN"/>
        </w:rPr>
      </w:pPr>
      <w:r>
        <w:rPr>
          <w:rFonts w:hint="eastAsia" w:ascii="宋体" w:hAnsi="宋体" w:cs="宋体"/>
          <w:b/>
          <w:sz w:val="28"/>
          <w:szCs w:val="28"/>
        </w:rPr>
        <w:t>项目编号：</w:t>
      </w:r>
      <w:r>
        <w:rPr>
          <w:rFonts w:hint="eastAsia" w:ascii="宋体" w:hAnsi="宋体" w:cs="宋体"/>
          <w:b/>
          <w:sz w:val="30"/>
          <w:lang w:eastAsia="zh-CN"/>
        </w:rPr>
        <w:t>ZMZB2022XJD-276</w:t>
      </w:r>
    </w:p>
    <w:p>
      <w:pPr>
        <w:adjustRightInd w:val="0"/>
        <w:snapToGrid w:val="0"/>
        <w:spacing w:line="360" w:lineRule="auto"/>
        <w:rPr>
          <w:rFonts w:ascii="宋体" w:cs="宋体"/>
          <w:b/>
          <w:sz w:val="44"/>
          <w:szCs w:val="44"/>
        </w:rPr>
      </w:pPr>
    </w:p>
    <w:p>
      <w:pPr>
        <w:adjustRightInd w:val="0"/>
        <w:snapToGrid w:val="0"/>
        <w:spacing w:line="360" w:lineRule="auto"/>
        <w:rPr>
          <w:rFonts w:ascii="宋体" w:cs="宋体"/>
          <w:b/>
          <w:sz w:val="10"/>
          <w:szCs w:val="10"/>
        </w:rPr>
      </w:pPr>
    </w:p>
    <w:p>
      <w:pPr>
        <w:pStyle w:val="2"/>
        <w:jc w:val="center"/>
        <w:rPr>
          <w:rFonts w:ascii="宋体" w:cs="宋体"/>
          <w:b/>
          <w:sz w:val="44"/>
          <w:szCs w:val="44"/>
        </w:rPr>
      </w:pPr>
      <w:r>
        <w:rPr>
          <w:rFonts w:hint="eastAsia" w:ascii="宋体" w:cs="宋体"/>
          <w:b/>
          <w:sz w:val="44"/>
          <w:szCs w:val="44"/>
        </w:rPr>
        <w:t>西安建筑科技大学</w:t>
      </w:r>
    </w:p>
    <w:p>
      <w:pPr>
        <w:pStyle w:val="41"/>
      </w:pPr>
    </w:p>
    <w:p>
      <w:pPr>
        <w:pStyle w:val="2"/>
        <w:jc w:val="center"/>
        <w:rPr>
          <w:rFonts w:hint="eastAsia" w:ascii="宋体" w:eastAsia="宋体" w:cs="宋体"/>
          <w:b/>
          <w:sz w:val="44"/>
          <w:szCs w:val="44"/>
          <w:lang w:eastAsia="zh-CN"/>
        </w:rPr>
      </w:pPr>
      <w:r>
        <w:rPr>
          <w:rFonts w:hint="eastAsia" w:ascii="宋体" w:cs="宋体"/>
          <w:b/>
          <w:sz w:val="40"/>
          <w:szCs w:val="40"/>
          <w:lang w:eastAsia="zh-CN"/>
        </w:rPr>
        <w:t>冶金制造虚拟仿真实训中心扩建采购项目</w:t>
      </w:r>
    </w:p>
    <w:p>
      <w:pPr>
        <w:adjustRightInd w:val="0"/>
        <w:snapToGrid w:val="0"/>
        <w:spacing w:line="360" w:lineRule="auto"/>
        <w:jc w:val="left"/>
        <w:rPr>
          <w:rFonts w:ascii="宋体" w:cs="宋体"/>
          <w:b/>
          <w:sz w:val="52"/>
          <w:szCs w:val="52"/>
        </w:rPr>
      </w:pPr>
      <w:r>
        <w:pict>
          <v:shape id="图片 1" o:spid="_x0000_s1026" o:spt="75" type="#_x0000_t75" style="position:absolute;left:0pt;margin-left:127.95pt;margin-top:59.65pt;height:85.6pt;width:165pt;mso-wrap-distance-bottom:0pt;mso-wrap-distance-left:9pt;mso-wrap-distance-right:9pt;mso-wrap-distance-top:0pt;z-index:251660288;mso-width-relative:page;mso-height-relative:page;" filled="f" o:preferrelative="t" stroked="f" coordsize="21600,21600">
            <v:path/>
            <v:fill on="f" focussize="0,0"/>
            <v:stroke on="f" joinstyle="miter"/>
            <v:imagedata r:id="rId28" o:title=""/>
            <o:lock v:ext="edit" aspectratio="t"/>
            <w10:wrap type="square"/>
          </v:shape>
        </w:pict>
      </w:r>
    </w:p>
    <w:p>
      <w:pPr>
        <w:adjustRightInd w:val="0"/>
        <w:snapToGrid w:val="0"/>
        <w:spacing w:line="360" w:lineRule="auto"/>
        <w:jc w:val="left"/>
        <w:rPr>
          <w:rFonts w:ascii="宋体" w:cs="宋体"/>
          <w:b/>
          <w:sz w:val="52"/>
          <w:szCs w:val="52"/>
        </w:rPr>
      </w:pPr>
    </w:p>
    <w:p>
      <w:pPr>
        <w:adjustRightInd w:val="0"/>
        <w:snapToGrid w:val="0"/>
        <w:spacing w:line="360" w:lineRule="auto"/>
        <w:jc w:val="left"/>
        <w:rPr>
          <w:rFonts w:ascii="宋体" w:cs="宋体"/>
          <w:b/>
          <w:sz w:val="52"/>
          <w:szCs w:val="52"/>
        </w:rPr>
      </w:pPr>
    </w:p>
    <w:p>
      <w:pPr>
        <w:pStyle w:val="10"/>
        <w:rPr>
          <w:rFonts w:ascii="宋体" w:cs="宋体"/>
          <w:b/>
          <w:sz w:val="52"/>
          <w:szCs w:val="52"/>
        </w:rPr>
      </w:pPr>
    </w:p>
    <w:p>
      <w:pPr>
        <w:pStyle w:val="28"/>
        <w:ind w:firstLine="400"/>
      </w:pPr>
    </w:p>
    <w:p/>
    <w:p>
      <w:pPr>
        <w:tabs>
          <w:tab w:val="left" w:pos="0"/>
        </w:tabs>
        <w:adjustRightInd w:val="0"/>
        <w:snapToGrid w:val="0"/>
        <w:spacing w:line="360" w:lineRule="auto"/>
        <w:jc w:val="center"/>
        <w:rPr>
          <w:rFonts w:ascii="宋体" w:cs="宋体"/>
          <w:b/>
          <w:sz w:val="30"/>
        </w:rPr>
      </w:pPr>
      <w:r>
        <w:rPr>
          <w:rFonts w:hint="eastAsia" w:ascii="宋体" w:hAnsi="宋体" w:cs="宋体"/>
          <w:b/>
          <w:sz w:val="84"/>
          <w:szCs w:val="84"/>
        </w:rPr>
        <w:t>单一来源采购文件</w:t>
      </w:r>
    </w:p>
    <w:p>
      <w:pPr>
        <w:adjustRightInd w:val="0"/>
        <w:snapToGrid w:val="0"/>
        <w:spacing w:line="360" w:lineRule="auto"/>
        <w:jc w:val="left"/>
        <w:rPr>
          <w:rFonts w:ascii="宋体" w:cs="宋体"/>
          <w:b/>
          <w:sz w:val="30"/>
        </w:rPr>
      </w:pPr>
    </w:p>
    <w:p>
      <w:pPr>
        <w:pStyle w:val="10"/>
        <w:rPr>
          <w:rFonts w:ascii="宋体" w:cs="宋体"/>
          <w:b/>
          <w:sz w:val="30"/>
        </w:rPr>
      </w:pPr>
    </w:p>
    <w:p>
      <w:pPr>
        <w:adjustRightInd w:val="0"/>
        <w:snapToGrid w:val="0"/>
        <w:spacing w:line="360" w:lineRule="auto"/>
        <w:jc w:val="center"/>
        <w:rPr>
          <w:rFonts w:ascii="宋体" w:cs="宋体"/>
          <w:b/>
          <w:sz w:val="32"/>
          <w:szCs w:val="32"/>
        </w:rPr>
      </w:pPr>
      <w:r>
        <w:rPr>
          <w:rFonts w:hint="eastAsia" w:ascii="宋体" w:hAnsi="宋体" w:cs="宋体"/>
          <w:b/>
          <w:sz w:val="32"/>
          <w:szCs w:val="32"/>
        </w:rPr>
        <w:t>陕西卓佲项目管理有限公司</w:t>
      </w:r>
    </w:p>
    <w:p>
      <w:pPr>
        <w:adjustRightInd w:val="0"/>
        <w:snapToGrid w:val="0"/>
        <w:spacing w:line="360" w:lineRule="auto"/>
        <w:jc w:val="center"/>
        <w:rPr>
          <w:rFonts w:ascii="宋体" w:cs="宋体"/>
          <w:b/>
          <w:color w:val="FF0000"/>
          <w:sz w:val="32"/>
          <w:szCs w:val="32"/>
        </w:rPr>
      </w:pPr>
      <w:r>
        <w:rPr>
          <w:rFonts w:hint="eastAsia" w:ascii="宋体" w:hAnsi="宋体" w:cs="宋体"/>
          <w:b/>
          <w:sz w:val="32"/>
          <w:szCs w:val="32"/>
        </w:rPr>
        <w:t>2022年</w:t>
      </w:r>
      <w:r>
        <w:rPr>
          <w:rFonts w:hint="eastAsia" w:ascii="宋体" w:hAnsi="宋体" w:cs="宋体"/>
          <w:b/>
          <w:sz w:val="32"/>
          <w:szCs w:val="32"/>
          <w:lang w:val="en-US" w:eastAsia="zh-CN"/>
        </w:rPr>
        <w:t>10</w:t>
      </w:r>
      <w:r>
        <w:rPr>
          <w:rFonts w:hint="eastAsia" w:ascii="宋体" w:hAnsi="宋体" w:cs="宋体"/>
          <w:b/>
          <w:sz w:val="32"/>
          <w:szCs w:val="32"/>
        </w:rPr>
        <w:t>月</w:t>
      </w:r>
    </w:p>
    <w:p>
      <w:pPr>
        <w:adjustRightInd w:val="0"/>
        <w:snapToGrid w:val="0"/>
        <w:spacing w:line="600" w:lineRule="auto"/>
        <w:rPr>
          <w:rFonts w:ascii="宋体" w:cs="宋体"/>
          <w:b/>
          <w:sz w:val="40"/>
          <w:szCs w:val="40"/>
        </w:rPr>
        <w:sectPr>
          <w:headerReference r:id="rId6" w:type="first"/>
          <w:headerReference r:id="rId5" w:type="default"/>
          <w:footerReference r:id="rId7" w:type="default"/>
          <w:pgSz w:w="11906" w:h="16838"/>
          <w:pgMar w:top="1440" w:right="1486" w:bottom="1440" w:left="1800" w:header="851" w:footer="992" w:gutter="0"/>
          <w:pgNumType w:start="1"/>
          <w:cols w:space="720" w:num="1"/>
          <w:docGrid w:type="lines" w:linePitch="312" w:charSpace="0"/>
        </w:sectPr>
      </w:pPr>
    </w:p>
    <w:p>
      <w:pPr>
        <w:pStyle w:val="21"/>
        <w:tabs>
          <w:tab w:val="right" w:leader="dot" w:pos="8306"/>
        </w:tabs>
        <w:spacing w:line="360" w:lineRule="auto"/>
        <w:jc w:val="center"/>
        <w:rPr>
          <w:rFonts w:ascii="宋体" w:hAnsi="宋体" w:cs="宋体"/>
          <w:b/>
          <w:bCs/>
          <w:sz w:val="36"/>
          <w:szCs w:val="36"/>
        </w:rPr>
      </w:pPr>
    </w:p>
    <w:p>
      <w:pPr>
        <w:pStyle w:val="21"/>
        <w:tabs>
          <w:tab w:val="right" w:leader="dot" w:pos="8306"/>
        </w:tabs>
        <w:spacing w:line="360" w:lineRule="auto"/>
        <w:jc w:val="center"/>
        <w:rPr>
          <w:rFonts w:ascii="宋体" w:cs="宋体"/>
          <w:b/>
          <w:bCs/>
          <w:sz w:val="36"/>
          <w:szCs w:val="36"/>
        </w:rPr>
      </w:pPr>
      <w:r>
        <w:rPr>
          <w:rFonts w:hint="eastAsia" w:ascii="宋体" w:hAnsi="宋体" w:cs="宋体"/>
          <w:b/>
          <w:bCs/>
          <w:sz w:val="36"/>
          <w:szCs w:val="36"/>
        </w:rPr>
        <w:t>目录</w:t>
      </w:r>
    </w:p>
    <w:p>
      <w:pPr>
        <w:pStyle w:val="21"/>
        <w:tabs>
          <w:tab w:val="right" w:leader="dot" w:pos="8306"/>
        </w:tabs>
      </w:pPr>
      <w:r>
        <w:rPr>
          <w:rFonts w:ascii="宋体" w:hAnsi="宋体" w:cs="宋体"/>
          <w:b w:val="0"/>
          <w:bCs w:val="0"/>
          <w:sz w:val="24"/>
          <w:szCs w:val="24"/>
        </w:rPr>
        <w:fldChar w:fldCharType="begin"/>
      </w:r>
      <w:r>
        <w:rPr>
          <w:rFonts w:ascii="宋体" w:hAnsi="宋体" w:cs="宋体"/>
          <w:b w:val="0"/>
          <w:bCs w:val="0"/>
          <w:sz w:val="24"/>
          <w:szCs w:val="24"/>
        </w:rPr>
        <w:instrText xml:space="preserve">TOC \o "1-2" \h \u </w:instrText>
      </w:r>
      <w:r>
        <w:rPr>
          <w:rFonts w:ascii="宋体" w:hAnsi="宋体" w:cs="宋体"/>
          <w:b w:val="0"/>
          <w:bCs w:val="0"/>
          <w:sz w:val="24"/>
          <w:szCs w:val="24"/>
        </w:rPr>
        <w:fldChar w:fldCharType="separate"/>
      </w:r>
      <w:r>
        <w:rPr>
          <w:rFonts w:ascii="宋体" w:hAnsi="宋体" w:cs="宋体"/>
          <w:bCs w:val="0"/>
          <w:szCs w:val="24"/>
        </w:rPr>
        <w:fldChar w:fldCharType="begin"/>
      </w:r>
      <w:r>
        <w:rPr>
          <w:rFonts w:ascii="宋体" w:hAnsi="宋体" w:cs="宋体"/>
          <w:bCs w:val="0"/>
          <w:szCs w:val="24"/>
        </w:rPr>
        <w:instrText xml:space="preserve"> HYPERLINK \l _Toc7833 </w:instrText>
      </w:r>
      <w:r>
        <w:rPr>
          <w:rFonts w:ascii="宋体" w:hAnsi="宋体" w:cs="宋体"/>
          <w:bCs w:val="0"/>
          <w:szCs w:val="24"/>
        </w:rP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单一来源邀请函</w:t>
      </w:r>
      <w:r>
        <w:t>   </w:t>
      </w:r>
      <w:r>
        <w:tab/>
      </w:r>
      <w:r>
        <w:fldChar w:fldCharType="begin"/>
      </w:r>
      <w:r>
        <w:instrText xml:space="preserve"> PAGEREF _Toc7833 \h </w:instrText>
      </w:r>
      <w:r>
        <w:fldChar w:fldCharType="separate"/>
      </w:r>
      <w:r>
        <w:t>1</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_Toc8207 </w:instrText>
      </w:r>
      <w:r>
        <w:rPr>
          <w:rFonts w:ascii="宋体" w:hAnsi="宋体" w:cs="宋体"/>
          <w:bCs w:val="0"/>
          <w:szCs w:val="24"/>
        </w:rPr>
        <w:fldChar w:fldCharType="separate"/>
      </w:r>
      <w:r>
        <w:rPr>
          <w:rFonts w:hint="eastAsia" w:ascii="宋体" w:hAnsi="宋体" w:cs="宋体"/>
          <w:szCs w:val="36"/>
        </w:rPr>
        <w:t>第二部分</w:t>
      </w:r>
      <w:r>
        <w:rPr>
          <w:rFonts w:hint="eastAsia" w:ascii="宋体" w:hAnsi="宋体" w:cs="宋体"/>
          <w:szCs w:val="36"/>
          <w:lang w:val="en-US" w:eastAsia="zh-CN"/>
        </w:rPr>
        <w:t xml:space="preserve"> </w:t>
      </w:r>
      <w:r>
        <w:rPr>
          <w:rFonts w:hint="eastAsia" w:ascii="宋体" w:hAnsi="宋体" w:cs="宋体"/>
          <w:szCs w:val="36"/>
        </w:rPr>
        <w:t>供应商须知前附表</w:t>
      </w:r>
      <w:r>
        <w:tab/>
      </w:r>
      <w:r>
        <w:fldChar w:fldCharType="begin"/>
      </w:r>
      <w:r>
        <w:instrText xml:space="preserve"> PAGEREF _Toc8207 \h </w:instrText>
      </w:r>
      <w:r>
        <w:fldChar w:fldCharType="separate"/>
      </w:r>
      <w:r>
        <w:t>5</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_Toc32443 </w:instrText>
      </w:r>
      <w:r>
        <w:rPr>
          <w:rFonts w:ascii="宋体" w:hAnsi="宋体" w:cs="宋体"/>
          <w:bCs w:val="0"/>
          <w:szCs w:val="24"/>
        </w:rPr>
        <w:fldChar w:fldCharType="separate"/>
      </w:r>
      <w:r>
        <w:rPr>
          <w:rFonts w:hint="eastAsia" w:ascii="宋体" w:hAnsi="宋体" w:cs="宋体"/>
          <w:szCs w:val="36"/>
        </w:rPr>
        <w:t>第三部分</w:t>
      </w:r>
      <w:r>
        <w:rPr>
          <w:rFonts w:hint="eastAsia" w:ascii="宋体" w:hAnsi="宋体" w:cs="宋体"/>
          <w:szCs w:val="36"/>
          <w:lang w:val="en-US" w:eastAsia="zh-CN"/>
        </w:rPr>
        <w:t xml:space="preserve">  </w:t>
      </w:r>
      <w:r>
        <w:rPr>
          <w:rFonts w:hint="eastAsia" w:ascii="宋体" w:hAnsi="宋体" w:cs="宋体"/>
          <w:szCs w:val="36"/>
        </w:rPr>
        <w:t>供应商须知</w:t>
      </w:r>
      <w:r>
        <w:tab/>
      </w:r>
      <w:r>
        <w:fldChar w:fldCharType="begin"/>
      </w:r>
      <w:r>
        <w:instrText xml:space="preserve"> PAGEREF _Toc32443 \h </w:instrText>
      </w:r>
      <w:r>
        <w:fldChar w:fldCharType="separate"/>
      </w:r>
      <w:r>
        <w:t>11</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_Toc5632 </w:instrText>
      </w:r>
      <w:r>
        <w:rPr>
          <w:rFonts w:ascii="宋体" w:hAnsi="宋体" w:cs="宋体"/>
          <w:bCs w:val="0"/>
          <w:szCs w:val="24"/>
        </w:rPr>
        <w:fldChar w:fldCharType="separate"/>
      </w:r>
      <w:r>
        <w:rPr>
          <w:rFonts w:hint="eastAsia" w:ascii="宋体" w:hAnsi="宋体" w:cs="宋体"/>
        </w:rPr>
        <w:t>一、总则</w:t>
      </w:r>
      <w:r>
        <w:tab/>
      </w:r>
      <w:r>
        <w:fldChar w:fldCharType="begin"/>
      </w:r>
      <w:r>
        <w:instrText xml:space="preserve"> PAGEREF _Toc5632 \h </w:instrText>
      </w:r>
      <w:r>
        <w:fldChar w:fldCharType="separate"/>
      </w:r>
      <w:r>
        <w:t>11</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_Toc24832 </w:instrText>
      </w:r>
      <w:r>
        <w:rPr>
          <w:rFonts w:ascii="宋体" w:hAnsi="宋体" w:cs="宋体"/>
          <w:bCs w:val="0"/>
          <w:szCs w:val="24"/>
        </w:rPr>
        <w:fldChar w:fldCharType="separate"/>
      </w:r>
      <w:r>
        <w:rPr>
          <w:rFonts w:hint="eastAsia" w:ascii="宋体" w:hAnsi="宋体" w:cs="宋体"/>
        </w:rPr>
        <w:t>二、采购文件</w:t>
      </w:r>
      <w:r>
        <w:tab/>
      </w:r>
      <w:r>
        <w:fldChar w:fldCharType="begin"/>
      </w:r>
      <w:r>
        <w:instrText xml:space="preserve"> PAGEREF _Toc24832 \h </w:instrText>
      </w:r>
      <w:r>
        <w:fldChar w:fldCharType="separate"/>
      </w:r>
      <w:r>
        <w:t>13</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_Toc3459 </w:instrText>
      </w:r>
      <w:r>
        <w:rPr>
          <w:rFonts w:ascii="宋体" w:hAnsi="宋体" w:cs="宋体"/>
          <w:bCs w:val="0"/>
          <w:szCs w:val="24"/>
        </w:rPr>
        <w:fldChar w:fldCharType="separate"/>
      </w:r>
      <w:r>
        <w:rPr>
          <w:rFonts w:hint="eastAsia" w:ascii="宋体" w:hAnsi="宋体" w:cs="宋体"/>
        </w:rPr>
        <w:t>三、响应文件</w:t>
      </w:r>
      <w:r>
        <w:tab/>
      </w:r>
      <w:r>
        <w:fldChar w:fldCharType="begin"/>
      </w:r>
      <w:r>
        <w:instrText xml:space="preserve"> PAGEREF _Toc3459 \h </w:instrText>
      </w:r>
      <w:r>
        <w:fldChar w:fldCharType="separate"/>
      </w:r>
      <w:r>
        <w:t>15</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_Toc8627 </w:instrText>
      </w:r>
      <w:r>
        <w:rPr>
          <w:rFonts w:ascii="宋体" w:hAnsi="宋体" w:cs="宋体"/>
          <w:bCs w:val="0"/>
          <w:szCs w:val="24"/>
        </w:rPr>
        <w:fldChar w:fldCharType="separate"/>
      </w:r>
      <w:r>
        <w:rPr>
          <w:rFonts w:hint="eastAsia" w:ascii="宋体" w:hAnsi="宋体" w:cs="宋体"/>
          <w:bCs/>
          <w:kern w:val="0"/>
          <w:szCs w:val="28"/>
        </w:rPr>
        <w:t>四、响应文件的递交</w:t>
      </w:r>
      <w:r>
        <w:tab/>
      </w:r>
      <w:r>
        <w:fldChar w:fldCharType="begin"/>
      </w:r>
      <w:r>
        <w:instrText xml:space="preserve"> PAGEREF _Toc8627 \h </w:instrText>
      </w:r>
      <w:r>
        <w:fldChar w:fldCharType="separate"/>
      </w:r>
      <w:r>
        <w:t>16</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_Toc13276 </w:instrText>
      </w:r>
      <w:r>
        <w:rPr>
          <w:rFonts w:ascii="宋体" w:hAnsi="宋体" w:cs="宋体"/>
          <w:bCs w:val="0"/>
          <w:szCs w:val="24"/>
        </w:rPr>
        <w:fldChar w:fldCharType="separate"/>
      </w:r>
      <w:r>
        <w:rPr>
          <w:rFonts w:hint="eastAsia" w:ascii="宋体" w:hAnsi="宋体" w:cs="宋体"/>
          <w:bCs/>
          <w:kern w:val="0"/>
          <w:szCs w:val="28"/>
        </w:rPr>
        <w:t>五、采购程序</w:t>
      </w:r>
      <w:r>
        <w:tab/>
      </w:r>
      <w:r>
        <w:fldChar w:fldCharType="begin"/>
      </w:r>
      <w:r>
        <w:instrText xml:space="preserve"> PAGEREF _Toc13276 \h </w:instrText>
      </w:r>
      <w:r>
        <w:fldChar w:fldCharType="separate"/>
      </w:r>
      <w:r>
        <w:t>16</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_Toc12122 </w:instrText>
      </w:r>
      <w:r>
        <w:rPr>
          <w:rFonts w:ascii="宋体" w:hAnsi="宋体" w:cs="宋体"/>
          <w:bCs w:val="0"/>
          <w:szCs w:val="24"/>
        </w:rPr>
        <w:fldChar w:fldCharType="separate"/>
      </w:r>
      <w:r>
        <w:rPr>
          <w:rFonts w:hint="eastAsia" w:ascii="宋体" w:hAnsi="宋体" w:cs="宋体"/>
          <w:bCs/>
          <w:kern w:val="0"/>
          <w:szCs w:val="28"/>
        </w:rPr>
        <w:t>六、签订合同</w:t>
      </w:r>
      <w:r>
        <w:tab/>
      </w:r>
      <w:r>
        <w:fldChar w:fldCharType="begin"/>
      </w:r>
      <w:r>
        <w:instrText xml:space="preserve"> PAGEREF _Toc12122 \h </w:instrText>
      </w:r>
      <w:r>
        <w:fldChar w:fldCharType="separate"/>
      </w:r>
      <w:r>
        <w:t>18</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_Toc13857 </w:instrText>
      </w:r>
      <w:r>
        <w:rPr>
          <w:rFonts w:ascii="宋体" w:hAnsi="宋体" w:cs="宋体"/>
          <w:bCs w:val="0"/>
          <w:szCs w:val="24"/>
        </w:rPr>
        <w:fldChar w:fldCharType="separate"/>
      </w:r>
      <w:r>
        <w:rPr>
          <w:rFonts w:ascii="宋体" w:cs="Times New Roman"/>
          <w:szCs w:val="36"/>
        </w:rPr>
        <w:t xml:space="preserve">第四部 </w:t>
      </w:r>
      <w:r>
        <w:rPr>
          <w:rFonts w:hint="eastAsia" w:ascii="宋体" w:hAnsi="宋体" w:cs="宋体"/>
          <w:szCs w:val="36"/>
        </w:rPr>
        <w:t>分评审办法</w:t>
      </w:r>
      <w:r>
        <w:tab/>
      </w:r>
      <w:r>
        <w:fldChar w:fldCharType="begin"/>
      </w:r>
      <w:r>
        <w:instrText xml:space="preserve"> PAGEREF _Toc13857 \h </w:instrText>
      </w:r>
      <w:r>
        <w:fldChar w:fldCharType="separate"/>
      </w:r>
      <w:r>
        <w:t>20</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_Toc18551 </w:instrText>
      </w:r>
      <w:r>
        <w:rPr>
          <w:rFonts w:ascii="宋体" w:hAnsi="宋体" w:cs="宋体"/>
          <w:bCs w:val="0"/>
          <w:szCs w:val="24"/>
        </w:rPr>
        <w:fldChar w:fldCharType="separate"/>
      </w:r>
      <w:r>
        <w:rPr>
          <w:rFonts w:hint="eastAsia" w:ascii="宋体" w:cs="Times New Roman"/>
          <w:szCs w:val="36"/>
        </w:rPr>
        <w:t xml:space="preserve">第五部分 </w:t>
      </w:r>
      <w:r>
        <w:rPr>
          <w:rFonts w:hint="eastAsia" w:ascii="宋体" w:hAnsi="宋体" w:cs="宋体"/>
          <w:szCs w:val="36"/>
        </w:rPr>
        <w:t>采购要求</w:t>
      </w:r>
      <w:r>
        <w:tab/>
      </w:r>
      <w:r>
        <w:fldChar w:fldCharType="begin"/>
      </w:r>
      <w:r>
        <w:instrText xml:space="preserve"> PAGEREF _Toc18551 \h </w:instrText>
      </w:r>
      <w:r>
        <w:fldChar w:fldCharType="separate"/>
      </w:r>
      <w:r>
        <w:t>21</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_Toc9767 </w:instrText>
      </w:r>
      <w:r>
        <w:rPr>
          <w:rFonts w:ascii="宋体" w:hAnsi="宋体" w:cs="宋体"/>
          <w:bCs w:val="0"/>
          <w:szCs w:val="24"/>
        </w:rPr>
        <w:fldChar w:fldCharType="separate"/>
      </w:r>
      <w:r>
        <w:rPr>
          <w:rFonts w:ascii="宋体" w:cs="Times New Roman"/>
          <w:szCs w:val="36"/>
        </w:rPr>
        <w:t xml:space="preserve">第六部 </w:t>
      </w:r>
      <w:r>
        <w:rPr>
          <w:rFonts w:hint="eastAsia" w:ascii="宋体" w:hAnsi="宋体" w:cs="宋体"/>
          <w:szCs w:val="36"/>
        </w:rPr>
        <w:t>分合同条款</w:t>
      </w:r>
      <w:r>
        <w:tab/>
      </w:r>
      <w:r>
        <w:fldChar w:fldCharType="begin"/>
      </w:r>
      <w:r>
        <w:instrText xml:space="preserve"> PAGEREF _Toc9767 \h </w:instrText>
      </w:r>
      <w:r>
        <w:fldChar w:fldCharType="separate"/>
      </w:r>
      <w:r>
        <w:t>31</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_Toc7969 </w:instrText>
      </w:r>
      <w:r>
        <w:rPr>
          <w:rFonts w:ascii="宋体" w:hAnsi="宋体" w:cs="宋体"/>
          <w:bCs w:val="0"/>
          <w:szCs w:val="24"/>
        </w:rPr>
        <w:fldChar w:fldCharType="separate"/>
      </w:r>
      <w:r>
        <w:rPr>
          <w:rFonts w:hint="eastAsia" w:ascii="宋体" w:hAnsi="宋体" w:cs="宋体"/>
          <w:szCs w:val="36"/>
        </w:rPr>
        <w:t>第七部分响应文件格式</w:t>
      </w:r>
      <w:r>
        <w:tab/>
      </w:r>
      <w:r>
        <w:fldChar w:fldCharType="begin"/>
      </w:r>
      <w:r>
        <w:instrText xml:space="preserve"> PAGEREF _Toc7969 \h </w:instrText>
      </w:r>
      <w:r>
        <w:fldChar w:fldCharType="separate"/>
      </w:r>
      <w:r>
        <w:t>40</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_Toc12872 </w:instrText>
      </w:r>
      <w:r>
        <w:rPr>
          <w:rFonts w:ascii="宋体" w:hAnsi="宋体" w:cs="宋体"/>
          <w:bCs w:val="0"/>
          <w:szCs w:val="24"/>
        </w:rPr>
        <w:fldChar w:fldCharType="separate"/>
      </w:r>
      <w:r>
        <w:rPr>
          <w:rFonts w:hint="eastAsia" w:ascii="宋体" w:cs="宋体"/>
          <w:bCs/>
          <w:szCs w:val="72"/>
        </w:rPr>
        <w:t>资格性响应文件</w:t>
      </w:r>
      <w:r>
        <w:tab/>
      </w:r>
      <w:r>
        <w:fldChar w:fldCharType="begin"/>
      </w:r>
      <w:r>
        <w:instrText xml:space="preserve"> PAGEREF _Toc12872 \h </w:instrText>
      </w:r>
      <w:r>
        <w:fldChar w:fldCharType="separate"/>
      </w:r>
      <w:r>
        <w:t>40</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_Toc894 </w:instrText>
      </w:r>
      <w:r>
        <w:rPr>
          <w:rFonts w:ascii="宋体" w:hAnsi="宋体" w:cs="宋体"/>
          <w:bCs w:val="0"/>
          <w:szCs w:val="24"/>
        </w:rPr>
        <w:fldChar w:fldCharType="separate"/>
      </w:r>
      <w:r>
        <w:rPr>
          <w:rFonts w:hint="eastAsia" w:ascii="宋体" w:cs="宋体"/>
          <w:bCs/>
          <w:szCs w:val="28"/>
        </w:rPr>
        <w:t>一、 基本资格条件：</w:t>
      </w:r>
      <w:r>
        <w:tab/>
      </w:r>
      <w:r>
        <w:fldChar w:fldCharType="begin"/>
      </w:r>
      <w:r>
        <w:instrText xml:space="preserve"> PAGEREF _Toc894 \h </w:instrText>
      </w:r>
      <w:r>
        <w:fldChar w:fldCharType="separate"/>
      </w:r>
      <w:r>
        <w:t>42</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_Toc28875 </w:instrText>
      </w:r>
      <w:r>
        <w:rPr>
          <w:rFonts w:ascii="宋体" w:hAnsi="宋体" w:cs="宋体"/>
          <w:bCs w:val="0"/>
          <w:szCs w:val="24"/>
        </w:rPr>
        <w:fldChar w:fldCharType="separate"/>
      </w:r>
      <w:r>
        <w:rPr>
          <w:rFonts w:hint="eastAsia" w:ascii="宋体" w:cs="宋体"/>
          <w:bCs/>
          <w:szCs w:val="28"/>
        </w:rPr>
        <w:t>二、特定资格条件：</w:t>
      </w:r>
      <w:r>
        <w:tab/>
      </w:r>
      <w:r>
        <w:fldChar w:fldCharType="begin"/>
      </w:r>
      <w:r>
        <w:instrText xml:space="preserve"> PAGEREF _Toc28875 \h </w:instrText>
      </w:r>
      <w:r>
        <w:fldChar w:fldCharType="separate"/>
      </w:r>
      <w:r>
        <w:t>43</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_Toc17226 </w:instrText>
      </w:r>
      <w:r>
        <w:rPr>
          <w:rFonts w:ascii="宋体" w:hAnsi="宋体" w:cs="宋体"/>
          <w:bCs w:val="0"/>
          <w:szCs w:val="24"/>
        </w:rPr>
        <w:fldChar w:fldCharType="separate"/>
      </w:r>
      <w:r>
        <w:rPr>
          <w:rFonts w:hint="eastAsia" w:ascii="宋体" w:cs="宋体"/>
          <w:bCs/>
          <w:szCs w:val="72"/>
        </w:rPr>
        <w:t>其他响应性文件</w:t>
      </w:r>
      <w:r>
        <w:tab/>
      </w:r>
      <w:r>
        <w:fldChar w:fldCharType="begin"/>
      </w:r>
      <w:r>
        <w:instrText xml:space="preserve"> PAGEREF _Toc17226 \h </w:instrText>
      </w:r>
      <w:r>
        <w:fldChar w:fldCharType="separate"/>
      </w:r>
      <w:r>
        <w:t>54</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_Toc1286 </w:instrText>
      </w:r>
      <w:r>
        <w:rPr>
          <w:rFonts w:ascii="宋体" w:hAnsi="宋体" w:cs="宋体"/>
          <w:bCs w:val="0"/>
          <w:szCs w:val="24"/>
        </w:rPr>
        <w:fldChar w:fldCharType="separate"/>
      </w:r>
      <w:r>
        <w:rPr>
          <w:rFonts w:hint="eastAsia" w:ascii="宋体" w:hAnsi="宋体" w:cs="宋体"/>
          <w:szCs w:val="36"/>
        </w:rPr>
        <w:t>第一部分响应函</w:t>
      </w:r>
      <w:r>
        <w:tab/>
      </w:r>
      <w:r>
        <w:fldChar w:fldCharType="begin"/>
      </w:r>
      <w:r>
        <w:instrText xml:space="preserve"> PAGEREF _Toc1286 \h </w:instrText>
      </w:r>
      <w:r>
        <w:fldChar w:fldCharType="separate"/>
      </w:r>
      <w:r>
        <w:t>56</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_Toc15061 </w:instrText>
      </w:r>
      <w:r>
        <w:rPr>
          <w:rFonts w:ascii="宋体" w:hAnsi="宋体" w:cs="宋体"/>
          <w:bCs w:val="0"/>
          <w:szCs w:val="24"/>
        </w:rPr>
        <w:fldChar w:fldCharType="separate"/>
      </w:r>
      <w:r>
        <w:rPr>
          <w:rFonts w:hint="eastAsia" w:ascii="宋体" w:hAnsi="宋体" w:cs="宋体"/>
          <w:szCs w:val="36"/>
        </w:rPr>
        <w:t>第二部分 响应一览表</w:t>
      </w:r>
      <w:r>
        <w:tab/>
      </w:r>
      <w:r>
        <w:fldChar w:fldCharType="begin"/>
      </w:r>
      <w:r>
        <w:instrText xml:space="preserve"> PAGEREF _Toc15061 \h </w:instrText>
      </w:r>
      <w:r>
        <w:fldChar w:fldCharType="separate"/>
      </w:r>
      <w:r>
        <w:t>57</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_Toc29779 </w:instrText>
      </w:r>
      <w:r>
        <w:rPr>
          <w:rFonts w:ascii="宋体" w:hAnsi="宋体" w:cs="宋体"/>
          <w:bCs w:val="0"/>
          <w:szCs w:val="24"/>
        </w:rPr>
        <w:fldChar w:fldCharType="separate"/>
      </w:r>
      <w:r>
        <w:rPr>
          <w:rFonts w:hint="eastAsia" w:hAnsi="宋体" w:cs="宋体"/>
          <w:szCs w:val="36"/>
        </w:rPr>
        <w:t>第三部分</w:t>
      </w:r>
      <w:r>
        <w:rPr>
          <w:rFonts w:hint="eastAsia" w:ascii="宋体" w:hAnsi="宋体" w:cs="宋体"/>
          <w:szCs w:val="36"/>
        </w:rPr>
        <w:t xml:space="preserve"> 商务及技术响应说明</w:t>
      </w:r>
      <w:r>
        <w:tab/>
      </w:r>
      <w:r>
        <w:fldChar w:fldCharType="begin"/>
      </w:r>
      <w:r>
        <w:instrText xml:space="preserve"> PAGEREF _Toc29779 \h </w:instrText>
      </w:r>
      <w:r>
        <w:fldChar w:fldCharType="separate"/>
      </w:r>
      <w:r>
        <w:t>59</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_Toc4939 </w:instrText>
      </w:r>
      <w:r>
        <w:rPr>
          <w:rFonts w:ascii="宋体" w:hAnsi="宋体" w:cs="宋体"/>
          <w:bCs w:val="0"/>
          <w:szCs w:val="24"/>
        </w:rPr>
        <w:fldChar w:fldCharType="separate"/>
      </w:r>
      <w:r>
        <w:rPr>
          <w:rFonts w:hint="eastAsia" w:ascii="宋体" w:hAnsi="宋体" w:cs="宋体"/>
          <w:szCs w:val="36"/>
        </w:rPr>
        <w:t>第四部分</w:t>
      </w:r>
      <w:r>
        <w:rPr>
          <w:rFonts w:hint="eastAsia" w:ascii="宋体" w:hAnsi="宋体" w:cs="宋体"/>
          <w:szCs w:val="36"/>
          <w:lang w:val="en-US" w:eastAsia="zh-CN"/>
        </w:rPr>
        <w:t xml:space="preserve"> </w:t>
      </w:r>
      <w:r>
        <w:rPr>
          <w:rFonts w:hint="eastAsia" w:ascii="宋体" w:hAnsi="宋体" w:cs="宋体"/>
          <w:szCs w:val="36"/>
        </w:rPr>
        <w:t>技术与服务方案</w:t>
      </w:r>
      <w:r>
        <w:tab/>
      </w:r>
      <w:r>
        <w:fldChar w:fldCharType="begin"/>
      </w:r>
      <w:r>
        <w:instrText xml:space="preserve"> PAGEREF _Toc4939 \h </w:instrText>
      </w:r>
      <w:r>
        <w:fldChar w:fldCharType="separate"/>
      </w:r>
      <w:r>
        <w:t>61</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_Toc32631 </w:instrText>
      </w:r>
      <w:r>
        <w:rPr>
          <w:rFonts w:ascii="宋体" w:hAnsi="宋体" w:cs="宋体"/>
          <w:bCs w:val="0"/>
          <w:szCs w:val="24"/>
        </w:rPr>
        <w:fldChar w:fldCharType="separate"/>
      </w:r>
      <w:r>
        <w:rPr>
          <w:rFonts w:hint="eastAsia" w:ascii="宋体" w:hAnsi="宋体" w:cs="宋体"/>
          <w:szCs w:val="36"/>
        </w:rPr>
        <w:t>第五部分  服务承诺</w:t>
      </w:r>
      <w:r>
        <w:tab/>
      </w:r>
      <w:r>
        <w:fldChar w:fldCharType="begin"/>
      </w:r>
      <w:r>
        <w:instrText xml:space="preserve"> PAGEREF _Toc32631 \h </w:instrText>
      </w:r>
      <w:r>
        <w:fldChar w:fldCharType="separate"/>
      </w:r>
      <w:r>
        <w:t>62</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_Toc7529 </w:instrText>
      </w:r>
      <w:r>
        <w:rPr>
          <w:rFonts w:ascii="宋体" w:hAnsi="宋体" w:cs="宋体"/>
          <w:bCs w:val="0"/>
          <w:szCs w:val="24"/>
        </w:rPr>
        <w:fldChar w:fldCharType="separate"/>
      </w:r>
      <w:r>
        <w:rPr>
          <w:rFonts w:hint="eastAsia" w:ascii="宋体" w:cs="宋体"/>
          <w:szCs w:val="36"/>
        </w:rPr>
        <w:t>第六部分</w:t>
      </w:r>
      <w:r>
        <w:rPr>
          <w:rFonts w:hint="eastAsia" w:ascii="宋体" w:cs="宋体"/>
          <w:szCs w:val="36"/>
          <w:lang w:val="en-US" w:eastAsia="zh-CN"/>
        </w:rPr>
        <w:t xml:space="preserve"> </w:t>
      </w:r>
      <w:r>
        <w:rPr>
          <w:rFonts w:hint="eastAsia" w:ascii="宋体" w:hAnsi="宋体" w:cs="宋体"/>
          <w:szCs w:val="36"/>
        </w:rPr>
        <w:t>业绩一览表</w:t>
      </w:r>
      <w:r>
        <w:tab/>
      </w:r>
      <w:r>
        <w:fldChar w:fldCharType="begin"/>
      </w:r>
      <w:r>
        <w:instrText xml:space="preserve"> PAGEREF _Toc7529 \h </w:instrText>
      </w:r>
      <w:r>
        <w:fldChar w:fldCharType="separate"/>
      </w:r>
      <w:r>
        <w:t>63</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_Toc8997 </w:instrText>
      </w:r>
      <w:r>
        <w:rPr>
          <w:rFonts w:ascii="宋体" w:hAnsi="宋体" w:cs="宋体"/>
          <w:bCs w:val="0"/>
          <w:szCs w:val="24"/>
        </w:rPr>
        <w:fldChar w:fldCharType="separate"/>
      </w:r>
      <w:r>
        <w:rPr>
          <w:rFonts w:hint="eastAsia" w:ascii="宋体" w:hAnsi="宋体" w:cs="宋体"/>
          <w:bCs/>
          <w:szCs w:val="36"/>
        </w:rPr>
        <w:t>第七部分  供应商认为有必要说明的其他问题</w:t>
      </w:r>
      <w:r>
        <w:tab/>
      </w:r>
      <w:r>
        <w:fldChar w:fldCharType="begin"/>
      </w:r>
      <w:r>
        <w:instrText xml:space="preserve"> PAGEREF _Toc8997 \h </w:instrText>
      </w:r>
      <w:r>
        <w:fldChar w:fldCharType="separate"/>
      </w:r>
      <w:r>
        <w:t>64</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_Toc7790 </w:instrText>
      </w:r>
      <w:r>
        <w:rPr>
          <w:rFonts w:ascii="宋体" w:hAnsi="宋体" w:cs="宋体"/>
          <w:bCs w:val="0"/>
          <w:szCs w:val="24"/>
        </w:rPr>
        <w:fldChar w:fldCharType="separate"/>
      </w:r>
      <w:r>
        <w:rPr>
          <w:rFonts w:hint="eastAsia" w:ascii="宋体" w:hAnsi="宋体" w:cs="宋体"/>
        </w:rPr>
        <w:t>附件一：封袋正面标识式样</w:t>
      </w:r>
      <w:r>
        <w:tab/>
      </w:r>
      <w:r>
        <w:fldChar w:fldCharType="begin"/>
      </w:r>
      <w:r>
        <w:instrText xml:space="preserve"> PAGEREF _Toc7790 \h </w:instrText>
      </w:r>
      <w:r>
        <w:fldChar w:fldCharType="separate"/>
      </w:r>
      <w:r>
        <w:t>65</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_Toc17804 </w:instrText>
      </w:r>
      <w:r>
        <w:rPr>
          <w:rFonts w:ascii="宋体" w:hAnsi="宋体" w:cs="宋体"/>
          <w:bCs w:val="0"/>
          <w:szCs w:val="24"/>
        </w:rPr>
        <w:fldChar w:fldCharType="separate"/>
      </w:r>
      <w:r>
        <w:rPr>
          <w:rFonts w:hint="eastAsia" w:ascii="宋体" w:hAnsi="宋体" w:cs="宋体"/>
        </w:rPr>
        <w:t>附件二：保证金退还账户信息确认表</w:t>
      </w:r>
      <w:r>
        <w:tab/>
      </w:r>
      <w:r>
        <w:fldChar w:fldCharType="begin"/>
      </w:r>
      <w:r>
        <w:instrText xml:space="preserve"> PAGEREF _Toc17804 \h </w:instrText>
      </w:r>
      <w:r>
        <w:fldChar w:fldCharType="separate"/>
      </w:r>
      <w:r>
        <w:t>67</w:t>
      </w:r>
      <w:r>
        <w:fldChar w:fldCharType="end"/>
      </w:r>
      <w:r>
        <w:rPr>
          <w:rFonts w:ascii="宋体" w:hAnsi="宋体" w:cs="宋体"/>
          <w:bCs w:val="0"/>
          <w:szCs w:val="24"/>
        </w:rPr>
        <w:fldChar w:fldCharType="end"/>
      </w:r>
    </w:p>
    <w:p>
      <w:r>
        <w:rPr>
          <w:rFonts w:ascii="宋体" w:hAnsi="宋体" w:cs="宋体"/>
          <w:bCs w:val="0"/>
          <w:szCs w:val="24"/>
        </w:rPr>
        <w:fldChar w:fldCharType="end"/>
      </w:r>
    </w:p>
    <w:p/>
    <w:p/>
    <w:p/>
    <w:p/>
    <w:p/>
    <w:p/>
    <w:p/>
    <w:p/>
    <w:p>
      <w:pPr>
        <w:tabs>
          <w:tab w:val="center" w:pos="4153"/>
        </w:tabs>
        <w:jc w:val="left"/>
        <w:sectPr>
          <w:headerReference r:id="rId8" w:type="default"/>
          <w:footerReference r:id="rId9" w:type="default"/>
          <w:pgSz w:w="11906" w:h="16838"/>
          <w:pgMar w:top="1440" w:right="1800" w:bottom="1440" w:left="1800" w:header="851" w:footer="992" w:gutter="0"/>
          <w:cols w:space="720" w:num="1"/>
          <w:docGrid w:type="lines" w:linePitch="312" w:charSpace="0"/>
        </w:sectPr>
      </w:pPr>
    </w:p>
    <w:p>
      <w:pPr>
        <w:pStyle w:val="3"/>
        <w:spacing w:before="312" w:beforeLines="100" w:after="468" w:afterLines="150" w:line="240" w:lineRule="auto"/>
      </w:pPr>
      <w:bookmarkStart w:id="1" w:name="_Toc26575"/>
      <w:bookmarkStart w:id="2" w:name="_Toc1256"/>
      <w:bookmarkStart w:id="3" w:name="_Toc7833"/>
      <w:r>
        <w:rPr>
          <w:rFonts w:hint="eastAsia" w:ascii="宋体" w:hAnsi="宋体" w:cs="宋体"/>
          <w:sz w:val="36"/>
          <w:szCs w:val="36"/>
        </w:rPr>
        <w:t>第一部分</w:t>
      </w:r>
      <w:r>
        <w:rPr>
          <w:rFonts w:ascii="宋体" w:hAnsi="宋体" w:cs="宋体"/>
          <w:sz w:val="36"/>
          <w:szCs w:val="36"/>
        </w:rPr>
        <w:t xml:space="preserve">  </w:t>
      </w:r>
      <w:bookmarkEnd w:id="1"/>
      <w:r>
        <w:rPr>
          <w:rFonts w:hint="eastAsia" w:ascii="宋体" w:hAnsi="宋体" w:cs="宋体"/>
          <w:sz w:val="36"/>
          <w:szCs w:val="36"/>
        </w:rPr>
        <w:t>单一来源邀请函</w:t>
      </w:r>
      <w:r>
        <w:t>   </w:t>
      </w:r>
      <w:bookmarkEnd w:id="2"/>
      <w:bookmarkEnd w:id="3"/>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sz w:val="24"/>
          <w:szCs w:val="24"/>
        </w:rPr>
        <w:t xml:space="preserve">    </w:t>
      </w:r>
      <w:r>
        <w:rPr>
          <w:rStyle w:val="32"/>
          <w:rFonts w:hint="eastAsia" w:ascii="宋体" w:hAnsi="宋体" w:eastAsia="宋体" w:cs="宋体"/>
          <w:b/>
          <w:bCs/>
          <w:i w:val="0"/>
          <w:iCs w:val="0"/>
          <w:caps w:val="0"/>
          <w:color w:val="auto"/>
          <w:spacing w:val="0"/>
          <w:sz w:val="24"/>
          <w:szCs w:val="24"/>
          <w:shd w:val="clear" w:fill="FFFFFF"/>
        </w:rPr>
        <w:t>项目概况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冶金制造虚拟仿真实训中心扩建采购项目</w:t>
      </w:r>
      <w:r>
        <w:rPr>
          <w:rFonts w:hint="eastAsia" w:ascii="宋体" w:hAnsi="宋体" w:eastAsia="宋体" w:cs="宋体"/>
          <w:i w:val="0"/>
          <w:iCs w:val="0"/>
          <w:caps w:val="0"/>
          <w:color w:val="auto"/>
          <w:spacing w:val="0"/>
          <w:sz w:val="24"/>
          <w:szCs w:val="24"/>
          <w:shd w:val="clear" w:fill="FFFFFF"/>
        </w:rPr>
        <w:t>的潜在供应商应在西安市雁塔区科技路10号华奥大厦A座20层2002室获取采购文件，并于2022年</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分（北京时间）前提交响应文件。</w:t>
      </w:r>
      <w:bookmarkStart w:id="151" w:name="_GoBack"/>
      <w:bookmarkEnd w:id="15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ZMZB2022XJD-276</w:t>
      </w:r>
      <w:r>
        <w:rPr>
          <w:rFonts w:hint="eastAsia" w:ascii="宋体" w:hAnsi="宋体" w:eastAsia="宋体" w:cs="宋体"/>
          <w:i w:val="0"/>
          <w:iCs w:val="0"/>
          <w:caps w:val="0"/>
          <w:color w:val="auto"/>
          <w:spacing w:val="0"/>
          <w:sz w:val="24"/>
          <w:szCs w:val="24"/>
          <w:shd w:val="clear" w:fill="FFFFFF"/>
        </w:rPr>
        <w:t xml:space="preserve">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冶金制造虚拟仿真实训中心扩建采购项目</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采购方式：单一来源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650000</w:t>
      </w:r>
      <w:r>
        <w:rPr>
          <w:rFonts w:hint="eastAsia" w:ascii="宋体" w:hAnsi="宋体" w:eastAsia="宋体" w:cs="宋体"/>
          <w:i w:val="0"/>
          <w:iCs w:val="0"/>
          <w:caps w:val="0"/>
          <w:color w:val="auto"/>
          <w:spacing w:val="0"/>
          <w:sz w:val="24"/>
          <w:szCs w:val="24"/>
          <w:shd w:val="clear" w:fill="FFFFFF"/>
        </w:rPr>
        <w:t>.00元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冶金制造虚拟仿真实训中心扩建</w:t>
      </w:r>
      <w:r>
        <w:rPr>
          <w:rFonts w:hint="eastAsia" w:ascii="宋体" w:hAnsi="宋体" w:eastAsia="宋体" w:cs="宋体"/>
          <w:i w:val="0"/>
          <w:iCs w:val="0"/>
          <w:caps w:val="0"/>
          <w:color w:val="auto"/>
          <w:spacing w:val="0"/>
          <w:sz w:val="24"/>
          <w:szCs w:val="24"/>
          <w:shd w:val="clear" w:fill="FFFFFF"/>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val="en-US" w:eastAsia="zh-CN"/>
        </w:rPr>
        <w:t>650000</w:t>
      </w:r>
      <w:r>
        <w:rPr>
          <w:rFonts w:hint="eastAsia" w:ascii="宋体" w:hAnsi="宋体" w:eastAsia="宋体" w:cs="宋体"/>
          <w:i w:val="0"/>
          <w:iCs w:val="0"/>
          <w:caps w:val="0"/>
          <w:color w:val="auto"/>
          <w:spacing w:val="0"/>
          <w:sz w:val="24"/>
          <w:szCs w:val="24"/>
          <w:shd w:val="clear" w:fill="FFFFFF"/>
        </w:rPr>
        <w:t>.00元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val="en-US" w:eastAsia="zh-CN"/>
        </w:rPr>
        <w:t>650000</w:t>
      </w:r>
      <w:r>
        <w:rPr>
          <w:rFonts w:hint="eastAsia" w:ascii="宋体" w:hAnsi="宋体" w:eastAsia="宋体" w:cs="宋体"/>
          <w:i w:val="0"/>
          <w:iCs w:val="0"/>
          <w:caps w:val="0"/>
          <w:color w:val="auto"/>
          <w:spacing w:val="0"/>
          <w:sz w:val="24"/>
          <w:szCs w:val="24"/>
          <w:shd w:val="clear" w:fill="FFFFFF"/>
        </w:rPr>
        <w:t>.00元</w:t>
      </w:r>
    </w:p>
    <w:tbl>
      <w:tblPr>
        <w:tblStyle w:val="29"/>
        <w:tblW w:w="9677" w:type="dxa"/>
        <w:tblInd w:w="0" w:type="dxa"/>
        <w:tblLayout w:type="fixed"/>
        <w:tblCellMar>
          <w:top w:w="0" w:type="dxa"/>
          <w:left w:w="0" w:type="dxa"/>
          <w:bottom w:w="0" w:type="dxa"/>
          <w:right w:w="0" w:type="dxa"/>
        </w:tblCellMar>
      </w:tblPr>
      <w:tblGrid>
        <w:gridCol w:w="600"/>
        <w:gridCol w:w="1528"/>
        <w:gridCol w:w="1245"/>
        <w:gridCol w:w="1170"/>
        <w:gridCol w:w="1680"/>
        <w:gridCol w:w="1725"/>
        <w:gridCol w:w="1729"/>
      </w:tblGrid>
      <w:tr>
        <w:tblPrEx>
          <w:tblCellMar>
            <w:top w:w="0" w:type="dxa"/>
            <w:left w:w="0" w:type="dxa"/>
            <w:bottom w:w="0" w:type="dxa"/>
            <w:right w:w="0" w:type="dxa"/>
          </w:tblCellMar>
        </w:tblPrEx>
        <w:trPr>
          <w:trHeight w:val="1809" w:hRule="atLeast"/>
          <w:tblHeader/>
        </w:trPr>
        <w:tc>
          <w:tcPr>
            <w:tcW w:w="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品目号</w:t>
            </w:r>
          </w:p>
        </w:tc>
        <w:tc>
          <w:tcPr>
            <w:tcW w:w="15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品目名称</w:t>
            </w:r>
          </w:p>
        </w:tc>
        <w:tc>
          <w:tcPr>
            <w:tcW w:w="12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采购标的</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数量</w:t>
            </w:r>
          </w:p>
          <w:p>
            <w:pPr>
              <w:spacing w:line="360" w:lineRule="auto"/>
              <w:jc w:val="center"/>
              <w:rPr>
                <w:rFonts w:ascii="宋体" w:hAnsi="宋体" w:cs="宋体"/>
                <w:sz w:val="24"/>
                <w:szCs w:val="24"/>
              </w:rPr>
            </w:pPr>
            <w:r>
              <w:rPr>
                <w:rFonts w:hint="eastAsia" w:ascii="宋体" w:hAnsi="宋体" w:cs="宋体"/>
                <w:sz w:val="24"/>
                <w:szCs w:val="24"/>
              </w:rPr>
              <w:t>（单位）</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技术规格、参数及要求</w:t>
            </w:r>
          </w:p>
        </w:tc>
        <w:tc>
          <w:tcPr>
            <w:tcW w:w="17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品目预算(元)</w:t>
            </w:r>
          </w:p>
        </w:tc>
        <w:tc>
          <w:tcPr>
            <w:tcW w:w="17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最高限价(元)</w:t>
            </w:r>
          </w:p>
        </w:tc>
      </w:tr>
      <w:tr>
        <w:tblPrEx>
          <w:tblCellMar>
            <w:top w:w="0" w:type="dxa"/>
            <w:left w:w="0" w:type="dxa"/>
            <w:bottom w:w="0" w:type="dxa"/>
            <w:right w:w="0" w:type="dxa"/>
          </w:tblCellMar>
        </w:tblPrEx>
        <w:trPr>
          <w:trHeight w:val="1758" w:hRule="atLeast"/>
        </w:trPr>
        <w:tc>
          <w:tcPr>
            <w:tcW w:w="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1-1</w:t>
            </w:r>
          </w:p>
        </w:tc>
        <w:tc>
          <w:tcPr>
            <w:tcW w:w="15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rPr>
                <w:rFonts w:ascii="宋体" w:hAnsi="宋体" w:cs="宋体"/>
                <w:sz w:val="24"/>
                <w:szCs w:val="24"/>
              </w:rPr>
            </w:pPr>
            <w:r>
              <w:rPr>
                <w:rFonts w:ascii="宋体" w:hAnsi="宋体" w:cs="宋体"/>
                <w:sz w:val="24"/>
                <w:szCs w:val="24"/>
              </w:rPr>
              <w:t>其他分析仪器</w:t>
            </w:r>
          </w:p>
        </w:tc>
        <w:tc>
          <w:tcPr>
            <w:tcW w:w="12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cs="宋体"/>
                <w:sz w:val="24"/>
                <w:szCs w:val="24"/>
              </w:rPr>
            </w:pPr>
            <w:r>
              <w:rPr>
                <w:rFonts w:hint="eastAsia" w:cs="宋体"/>
                <w:i w:val="0"/>
                <w:iCs w:val="0"/>
                <w:caps w:val="0"/>
                <w:color w:val="auto"/>
                <w:spacing w:val="0"/>
                <w:sz w:val="24"/>
                <w:szCs w:val="24"/>
                <w:shd w:val="clear" w:fill="FFFFFF"/>
                <w:lang w:eastAsia="zh-CN"/>
              </w:rPr>
              <w:t>冶金制造虚拟仿真实训中心扩建</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详见采购文件</w:t>
            </w:r>
          </w:p>
        </w:tc>
        <w:tc>
          <w:tcPr>
            <w:tcW w:w="17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rPr>
                <w:rFonts w:ascii="宋体" w:hAnsi="宋体" w:cs="宋体"/>
                <w:sz w:val="24"/>
                <w:szCs w:val="24"/>
              </w:rPr>
            </w:pPr>
            <w:r>
              <w:rPr>
                <w:rFonts w:hint="eastAsia" w:cs="宋体"/>
                <w:i w:val="0"/>
                <w:iCs w:val="0"/>
                <w:caps w:val="0"/>
                <w:color w:val="auto"/>
                <w:spacing w:val="0"/>
                <w:sz w:val="24"/>
                <w:szCs w:val="24"/>
                <w:shd w:val="clear" w:fill="FFFFFF"/>
                <w:lang w:val="en-US" w:eastAsia="zh-CN"/>
              </w:rPr>
              <w:t>650000</w:t>
            </w:r>
            <w:r>
              <w:rPr>
                <w:rFonts w:hint="eastAsia" w:ascii="宋体" w:hAnsi="宋体" w:eastAsia="宋体" w:cs="宋体"/>
                <w:i w:val="0"/>
                <w:iCs w:val="0"/>
                <w:caps w:val="0"/>
                <w:color w:val="auto"/>
                <w:spacing w:val="0"/>
                <w:sz w:val="24"/>
                <w:szCs w:val="24"/>
                <w:shd w:val="clear" w:fill="FFFFFF"/>
              </w:rPr>
              <w:t>.00</w:t>
            </w:r>
          </w:p>
        </w:tc>
        <w:tc>
          <w:tcPr>
            <w:tcW w:w="17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rPr>
                <w:rFonts w:ascii="宋体" w:hAnsi="宋体" w:cs="宋体"/>
                <w:sz w:val="24"/>
                <w:szCs w:val="24"/>
              </w:rPr>
            </w:pPr>
            <w:r>
              <w:rPr>
                <w:rFonts w:hint="eastAsia" w:cs="宋体"/>
                <w:i w:val="0"/>
                <w:iCs w:val="0"/>
                <w:caps w:val="0"/>
                <w:color w:val="auto"/>
                <w:spacing w:val="0"/>
                <w:sz w:val="24"/>
                <w:szCs w:val="24"/>
                <w:shd w:val="clear" w:fill="FFFFFF"/>
                <w:lang w:val="en-US" w:eastAsia="zh-CN"/>
              </w:rPr>
              <w:t>650000</w:t>
            </w:r>
            <w:r>
              <w:rPr>
                <w:rFonts w:hint="eastAsia" w:ascii="宋体" w:hAnsi="宋体" w:eastAsia="宋体" w:cs="宋体"/>
                <w:i w:val="0"/>
                <w:iCs w:val="0"/>
                <w:caps w:val="0"/>
                <w:color w:val="auto"/>
                <w:spacing w:val="0"/>
                <w:sz w:val="24"/>
                <w:szCs w:val="24"/>
                <w:shd w:val="clear" w:fill="FFFFFF"/>
              </w:rPr>
              <w:t>.00</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合同履行期限：自合同签订后至该项目服务期结束（具体服务起止日期可随合同签订时间相应顺延）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二、申请人的资格要求：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cs="宋体"/>
          <w:i w:val="0"/>
          <w:iCs w:val="0"/>
          <w:caps w:val="0"/>
          <w:color w:val="auto"/>
          <w:spacing w:val="0"/>
          <w:sz w:val="24"/>
          <w:szCs w:val="24"/>
          <w:shd w:val="clear" w:fill="FFFFFF"/>
          <w:lang w:eastAsia="zh-CN"/>
        </w:rPr>
        <w:t>冶金制造虚拟仿真实训中心扩建</w:t>
      </w:r>
      <w:r>
        <w:rPr>
          <w:rFonts w:hint="eastAsia" w:ascii="宋体" w:hAnsi="宋体" w:cs="宋体"/>
          <w:sz w:val="24"/>
          <w:szCs w:val="24"/>
        </w:rPr>
        <w:t>)落实政府采购政策需满足的资格要求如下:</w:t>
      </w:r>
    </w:p>
    <w:p>
      <w:pPr>
        <w:spacing w:line="360" w:lineRule="auto"/>
        <w:rPr>
          <w:rFonts w:hint="eastAsia" w:ascii="宋体" w:hAnsi="宋体" w:cs="宋体"/>
          <w:sz w:val="24"/>
          <w:szCs w:val="24"/>
        </w:rPr>
      </w:pPr>
      <w:r>
        <w:rPr>
          <w:rFonts w:hint="eastAsia" w:ascii="宋体" w:hAnsi="宋体" w:cs="宋体"/>
          <w:sz w:val="24"/>
          <w:szCs w:val="24"/>
        </w:rPr>
        <w:t>（1）《政府采购促进中小企业发展管理办法》（财库〔2020〕46号）； </w:t>
      </w:r>
    </w:p>
    <w:p>
      <w:pPr>
        <w:spacing w:line="360" w:lineRule="auto"/>
        <w:rPr>
          <w:rFonts w:hint="eastAsia" w:ascii="宋体" w:hAnsi="宋体" w:cs="宋体"/>
          <w:sz w:val="24"/>
          <w:szCs w:val="24"/>
        </w:rPr>
      </w:pPr>
      <w:r>
        <w:rPr>
          <w:rFonts w:hint="eastAsia" w:ascii="宋体" w:hAnsi="宋体" w:cs="宋体"/>
          <w:sz w:val="24"/>
          <w:szCs w:val="24"/>
        </w:rPr>
        <w:t>（2）《财政部 司法部关于政府采购支持监狱企业发展有关问题的通知》（财库〔2014〕68号）；</w:t>
      </w:r>
    </w:p>
    <w:p>
      <w:pPr>
        <w:spacing w:line="360" w:lineRule="auto"/>
        <w:rPr>
          <w:rFonts w:hint="eastAsia" w:ascii="宋体" w:hAnsi="宋体" w:cs="宋体"/>
          <w:sz w:val="24"/>
          <w:szCs w:val="24"/>
        </w:rPr>
      </w:pPr>
      <w:r>
        <w:rPr>
          <w:rFonts w:hint="eastAsia" w:ascii="宋体" w:hAnsi="宋体" w:cs="宋体"/>
          <w:sz w:val="24"/>
          <w:szCs w:val="24"/>
        </w:rPr>
        <w:t>（3）《国务院办公厅关于建立政府强制采购节能产品制度的通知》（国办发〔2007〕51号）；</w:t>
      </w:r>
    </w:p>
    <w:p>
      <w:pPr>
        <w:spacing w:line="360" w:lineRule="auto"/>
        <w:rPr>
          <w:rFonts w:hint="eastAsia" w:ascii="宋体" w:hAnsi="宋体" w:cs="宋体"/>
          <w:sz w:val="24"/>
          <w:szCs w:val="24"/>
        </w:rPr>
      </w:pPr>
      <w:r>
        <w:rPr>
          <w:rFonts w:hint="eastAsia" w:ascii="宋体" w:hAnsi="宋体" w:cs="宋体"/>
          <w:sz w:val="24"/>
          <w:szCs w:val="24"/>
        </w:rPr>
        <w:t>（4）《节能产品政府采购实施意见》（财库〔2004〕185号）；</w:t>
      </w:r>
    </w:p>
    <w:p>
      <w:pPr>
        <w:spacing w:line="360" w:lineRule="auto"/>
        <w:rPr>
          <w:rFonts w:hint="eastAsia" w:ascii="宋体" w:hAnsi="宋体" w:cs="宋体"/>
          <w:sz w:val="24"/>
          <w:szCs w:val="24"/>
        </w:rPr>
      </w:pPr>
      <w:r>
        <w:rPr>
          <w:rFonts w:hint="eastAsia" w:ascii="宋体" w:hAnsi="宋体" w:cs="宋体"/>
          <w:sz w:val="24"/>
          <w:szCs w:val="24"/>
        </w:rPr>
        <w:t>（5）《环境标志产品政府采购实施的意见》（财库〔2006〕90号）；</w:t>
      </w:r>
    </w:p>
    <w:p>
      <w:pPr>
        <w:spacing w:line="360" w:lineRule="auto"/>
        <w:rPr>
          <w:rFonts w:hint="eastAsia" w:ascii="宋体" w:hAnsi="宋体" w:cs="宋体"/>
          <w:sz w:val="24"/>
          <w:szCs w:val="24"/>
        </w:rPr>
      </w:pPr>
      <w:r>
        <w:rPr>
          <w:rFonts w:hint="eastAsia" w:ascii="宋体" w:hAnsi="宋体" w:cs="宋体"/>
          <w:sz w:val="24"/>
          <w:szCs w:val="24"/>
        </w:rPr>
        <w:t>（6）《三部门联合发布关于促进残疾人就业政府采购政策的通知》（财库〔2017〕141号）；</w:t>
      </w:r>
    </w:p>
    <w:p>
      <w:pPr>
        <w:spacing w:line="360" w:lineRule="auto"/>
        <w:rPr>
          <w:rFonts w:hint="eastAsia" w:ascii="宋体" w:hAnsi="宋体" w:cs="宋体"/>
          <w:sz w:val="24"/>
          <w:szCs w:val="24"/>
        </w:rPr>
      </w:pPr>
      <w:r>
        <w:rPr>
          <w:rFonts w:hint="eastAsia" w:ascii="宋体" w:hAnsi="宋体" w:cs="宋体"/>
          <w:sz w:val="24"/>
          <w:szCs w:val="24"/>
        </w:rPr>
        <w:t>（7）《财政部 发展改革委 生态环境部 市场监管总局关于调整优化节能产品、环境标志产品政府采购执行机制的通知》（财库〔2019〕9号）；</w:t>
      </w:r>
    </w:p>
    <w:p>
      <w:pPr>
        <w:spacing w:line="360" w:lineRule="auto"/>
        <w:rPr>
          <w:rFonts w:hint="eastAsia" w:ascii="宋体" w:hAnsi="宋体" w:cs="宋体"/>
          <w:sz w:val="24"/>
          <w:szCs w:val="24"/>
        </w:rPr>
      </w:pPr>
      <w:r>
        <w:rPr>
          <w:rFonts w:hint="eastAsia" w:ascii="宋体" w:hAnsi="宋体" w:cs="宋体"/>
          <w:sz w:val="24"/>
          <w:szCs w:val="24"/>
        </w:rPr>
        <w:t>（8）陕西省财政厅关于印发《陕西省中小企业政府采购信用融资办法》（陕财办采〔2018〕23号）；</w:t>
      </w:r>
    </w:p>
    <w:p>
      <w:pPr>
        <w:spacing w:line="360" w:lineRule="auto"/>
        <w:rPr>
          <w:rFonts w:hint="eastAsia" w:ascii="宋体" w:hAnsi="宋体" w:cs="宋体"/>
          <w:sz w:val="24"/>
          <w:szCs w:val="24"/>
        </w:rPr>
      </w:pPr>
      <w:r>
        <w:rPr>
          <w:rFonts w:hint="eastAsia" w:ascii="宋体" w:hAnsi="宋体" w:cs="宋体"/>
          <w:sz w:val="24"/>
          <w:szCs w:val="24"/>
        </w:rPr>
        <w:t>（9）《财政部 农业农村部 国家乡村振兴局关于运用政府采购政策支持乡村产业振兴的通知》（财库〔2021〕19号）。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240" w:lineRule="auto"/>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3.本项目的特定资格要求：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cs="宋体"/>
          <w:i w:val="0"/>
          <w:iCs w:val="0"/>
          <w:caps w:val="0"/>
          <w:color w:val="auto"/>
          <w:spacing w:val="0"/>
          <w:sz w:val="24"/>
          <w:szCs w:val="24"/>
          <w:shd w:val="clear" w:fill="FFFFFF"/>
          <w:lang w:eastAsia="zh-CN"/>
        </w:rPr>
        <w:t>冶金制造虚拟仿真实训中心扩建</w:t>
      </w:r>
      <w:r>
        <w:rPr>
          <w:rFonts w:hint="eastAsia" w:ascii="宋体" w:hAnsi="宋体" w:cs="宋体"/>
          <w:sz w:val="24"/>
          <w:szCs w:val="24"/>
        </w:rPr>
        <w:t>)特定资格要求如下: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财务状况证明：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（3）具有履行合同所必需的设备和专业技术能力的书面声明；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（4）税收缴纳证明：提供202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月以来至少一个月的纳税证明或完税证明，依法免税的单位应提供相关证明材料；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（5）社会保障资金缴纳证明：提供202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（6）参加政府采购活动前3年内在经营活动中没有重大违法记录的书面声明；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（7）非法定代表人参加投标的，须提供法定代表人委托授权书及被授权人身份证，法定代表人参加投标时,只须提供法定代表人身份证；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（8）本项目为专门面向中小企业采购，供应商应出具中小企业声明函；</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9</w:t>
      </w:r>
      <w:r>
        <w:rPr>
          <w:rFonts w:hint="eastAsia" w:cs="宋体"/>
          <w:color w:val="auto"/>
          <w:sz w:val="24"/>
          <w:szCs w:val="24"/>
          <w:lang w:eastAsia="zh-CN"/>
        </w:rPr>
        <w:t>）</w:t>
      </w:r>
      <w:r>
        <w:rPr>
          <w:rFonts w:hint="eastAsia" w:ascii="宋体" w:hAnsi="宋体" w:eastAsia="宋体" w:cs="宋体"/>
          <w:color w:val="auto"/>
          <w:sz w:val="24"/>
          <w:szCs w:val="24"/>
        </w:rPr>
        <w:t>本项目不接受联合体投标。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Style w:val="32"/>
          <w:rFonts w:hint="eastAsia" w:ascii="宋体" w:hAnsi="宋体" w:eastAsia="宋体" w:cs="宋体"/>
          <w:bCs/>
          <w:i w:val="0"/>
          <w:iCs w:val="0"/>
          <w:caps w:val="0"/>
          <w:color w:val="auto"/>
          <w:spacing w:val="0"/>
          <w:kern w:val="0"/>
          <w:szCs w:val="24"/>
          <w:shd w:val="clear" w:fill="FFFFFF"/>
          <w:lang w:val="en-US" w:eastAsia="zh-CN" w:bidi="ar-SA"/>
        </w:rPr>
      </w:pPr>
      <w:r>
        <w:rPr>
          <w:rStyle w:val="32"/>
          <w:rFonts w:hint="eastAsia" w:ascii="宋体" w:hAnsi="宋体" w:eastAsia="宋体" w:cs="宋体"/>
          <w:bCs/>
          <w:i w:val="0"/>
          <w:iCs w:val="0"/>
          <w:caps w:val="0"/>
          <w:color w:val="auto"/>
          <w:spacing w:val="0"/>
          <w:kern w:val="0"/>
          <w:szCs w:val="24"/>
          <w:shd w:val="clear" w:fill="FFFFFF"/>
          <w:lang w:val="en-US" w:eastAsia="zh-CN" w:bidi="ar-SA"/>
        </w:rPr>
        <w:t>三、获取采购文件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日至2022年</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日，每天上午09:00:00至12:00:00，下午13:30:00至17:00:00（北京时间,法定节假日除外）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地点：西安市雁塔区科技路10号华奥大厦A座20层2002室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售价：</w:t>
      </w:r>
      <w:r>
        <w:rPr>
          <w:rFonts w:hint="eastAsia" w:cs="宋体"/>
          <w:i w:val="0"/>
          <w:iCs w:val="0"/>
          <w:caps w:val="0"/>
          <w:color w:val="auto"/>
          <w:spacing w:val="0"/>
          <w:sz w:val="24"/>
          <w:szCs w:val="24"/>
          <w:shd w:val="clear" w:fill="FFFFFF"/>
          <w:lang w:val="en-US" w:eastAsia="zh-CN"/>
        </w:rPr>
        <w:t>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四、响应文件提交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截止时间：2022年</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时30分00秒（北京时间）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地点：西安市雁塔区科技路10号华奥大厦A座</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层</w:t>
      </w:r>
      <w:r>
        <w:rPr>
          <w:rFonts w:hint="eastAsia" w:cs="宋体"/>
          <w:i w:val="0"/>
          <w:iCs w:val="0"/>
          <w:caps w:val="0"/>
          <w:color w:val="auto"/>
          <w:spacing w:val="0"/>
          <w:sz w:val="24"/>
          <w:szCs w:val="24"/>
          <w:shd w:val="clear" w:fill="FFFFFF"/>
          <w:lang w:val="en-US" w:eastAsia="zh-CN"/>
        </w:rPr>
        <w:t>1001</w:t>
      </w:r>
      <w:r>
        <w:rPr>
          <w:rFonts w:hint="eastAsia" w:ascii="宋体" w:hAnsi="宋体" w:eastAsia="宋体" w:cs="宋体"/>
          <w:i w:val="0"/>
          <w:iCs w:val="0"/>
          <w:caps w:val="0"/>
          <w:color w:val="auto"/>
          <w:spacing w:val="0"/>
          <w:sz w:val="24"/>
          <w:szCs w:val="24"/>
          <w:shd w:val="clear" w:fill="FFFFFF"/>
        </w:rPr>
        <w:t>室开标室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五、开启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 xml:space="preserve">日 </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时30分00秒（北京时间）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地点：西安市雁塔区科技路10号华奥大厦A座</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层</w:t>
      </w:r>
      <w:r>
        <w:rPr>
          <w:rFonts w:hint="eastAsia" w:cs="宋体"/>
          <w:i w:val="0"/>
          <w:iCs w:val="0"/>
          <w:caps w:val="0"/>
          <w:color w:val="auto"/>
          <w:spacing w:val="0"/>
          <w:sz w:val="24"/>
          <w:szCs w:val="24"/>
          <w:shd w:val="clear" w:fill="FFFFFF"/>
          <w:lang w:val="en-US" w:eastAsia="zh-CN"/>
        </w:rPr>
        <w:t>1001</w:t>
      </w:r>
      <w:r>
        <w:rPr>
          <w:rFonts w:hint="eastAsia" w:ascii="宋体" w:hAnsi="宋体" w:eastAsia="宋体" w:cs="宋体"/>
          <w:i w:val="0"/>
          <w:iCs w:val="0"/>
          <w:caps w:val="0"/>
          <w:color w:val="auto"/>
          <w:spacing w:val="0"/>
          <w:sz w:val="24"/>
          <w:szCs w:val="24"/>
          <w:shd w:val="clear" w:fill="FFFFFF"/>
        </w:rPr>
        <w:t>室开标室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六、公告期限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七、其他补充事宜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（1）时间：上午09:00 --12:00，下午13:30--17:00（工 作 日），获取招标文件时请携带单位介绍信原件、身份证原件及复印件加盖公章，谢绝邮递。（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招标文件将通过邮箱发送，无须现场领取。（3）请供应商按照陕西省财政厅关于政府采购供应商注册登记有关事项的通知中的要求，通过陕西省政府采购网（http://www.ccgp-shaanxi.gov.cn/）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八、凡对本次采购提出询问，请按以下方式联系。</w:t>
      </w:r>
    </w:p>
    <w:p>
      <w:pPr>
        <w:spacing w:line="360" w:lineRule="auto"/>
        <w:ind w:firstLine="480" w:firstLineChars="200"/>
        <w:rPr>
          <w:rFonts w:ascii="宋体" w:hAnsi="宋体" w:cs="宋体"/>
          <w:sz w:val="24"/>
          <w:szCs w:val="24"/>
        </w:rPr>
      </w:pPr>
      <w:bookmarkStart w:id="4" w:name="_Toc564"/>
      <w:r>
        <w:rPr>
          <w:rFonts w:hint="eastAsia" w:ascii="宋体" w:hAnsi="宋体" w:cs="宋体"/>
          <w:sz w:val="24"/>
          <w:szCs w:val="24"/>
        </w:rPr>
        <w:t>1.釆购人信息</w:t>
      </w:r>
      <w:bookmarkEnd w:id="4"/>
    </w:p>
    <w:p>
      <w:pPr>
        <w:spacing w:line="360" w:lineRule="auto"/>
        <w:ind w:firstLine="480" w:firstLineChars="200"/>
        <w:rPr>
          <w:rFonts w:hint="eastAsia" w:ascii="宋体" w:hAnsi="宋体" w:cs="宋体"/>
          <w:sz w:val="24"/>
          <w:szCs w:val="24"/>
        </w:rPr>
      </w:pPr>
      <w:r>
        <w:rPr>
          <w:rFonts w:hint="eastAsia" w:ascii="宋体" w:hAnsi="宋体" w:cs="宋体"/>
          <w:sz w:val="24"/>
          <w:szCs w:val="24"/>
        </w:rPr>
        <w:t>名称：西安建筑科技大学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地址： 西安市雁塔路中段13号</w:t>
      </w:r>
    </w:p>
    <w:p>
      <w:pPr>
        <w:spacing w:line="360" w:lineRule="auto"/>
        <w:ind w:firstLine="480" w:firstLineChars="200"/>
        <w:rPr>
          <w:rFonts w:ascii="宋体" w:hAnsi="宋体" w:cs="宋体"/>
          <w:sz w:val="24"/>
          <w:szCs w:val="24"/>
        </w:rPr>
      </w:pPr>
      <w:r>
        <w:rPr>
          <w:rFonts w:hint="eastAsia" w:ascii="宋体" w:hAnsi="宋体" w:cs="宋体"/>
          <w:sz w:val="24"/>
          <w:szCs w:val="24"/>
        </w:rPr>
        <w:t>联系方式：解老师 029-82202221</w:t>
      </w:r>
    </w:p>
    <w:p>
      <w:pPr>
        <w:spacing w:line="360" w:lineRule="auto"/>
        <w:ind w:firstLine="480" w:firstLineChars="200"/>
        <w:rPr>
          <w:rFonts w:ascii="宋体" w:hAnsi="宋体" w:cs="宋体"/>
          <w:sz w:val="24"/>
          <w:szCs w:val="24"/>
        </w:rPr>
      </w:pPr>
      <w:bookmarkStart w:id="5" w:name="_Toc8174"/>
      <w:r>
        <w:rPr>
          <w:rFonts w:hint="eastAsia" w:ascii="宋体" w:hAnsi="宋体" w:cs="宋体"/>
          <w:sz w:val="24"/>
          <w:szCs w:val="24"/>
        </w:rPr>
        <w:t>2.釆购代理机构信息</w:t>
      </w:r>
      <w:bookmarkEnd w:id="5"/>
    </w:p>
    <w:p>
      <w:pPr>
        <w:spacing w:line="360" w:lineRule="auto"/>
        <w:ind w:firstLine="480" w:firstLineChars="200"/>
        <w:rPr>
          <w:rFonts w:ascii="宋体" w:hAnsi="宋体" w:cs="宋体"/>
          <w:sz w:val="24"/>
          <w:szCs w:val="24"/>
        </w:rPr>
      </w:pPr>
      <w:r>
        <w:rPr>
          <w:rFonts w:hint="eastAsia" w:ascii="宋体" w:hAnsi="宋体" w:cs="宋体"/>
          <w:sz w:val="24"/>
          <w:szCs w:val="24"/>
        </w:rPr>
        <w:t>名称：陕西卓佲项目管理有限公司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地址：西安市雁塔区科技路10号华奥大厦A座20层2002室</w:t>
      </w:r>
    </w:p>
    <w:p>
      <w:pPr>
        <w:spacing w:line="360" w:lineRule="auto"/>
        <w:ind w:firstLine="480" w:firstLineChars="200"/>
        <w:rPr>
          <w:rFonts w:ascii="宋体" w:hAnsi="宋体" w:cs="宋体"/>
          <w:sz w:val="24"/>
          <w:szCs w:val="24"/>
        </w:rPr>
      </w:pPr>
      <w:r>
        <w:rPr>
          <w:rFonts w:hint="eastAsia" w:ascii="宋体" w:hAnsi="宋体" w:cs="宋体"/>
          <w:sz w:val="24"/>
          <w:szCs w:val="24"/>
        </w:rPr>
        <w:t>联系方式：029-88440695</w:t>
      </w:r>
    </w:p>
    <w:p>
      <w:pPr>
        <w:spacing w:line="360" w:lineRule="auto"/>
        <w:ind w:firstLine="480" w:firstLineChars="200"/>
        <w:rPr>
          <w:rFonts w:ascii="宋体" w:hAnsi="宋体" w:cs="宋体"/>
          <w:sz w:val="24"/>
          <w:szCs w:val="24"/>
        </w:rPr>
      </w:pPr>
      <w:bookmarkStart w:id="6" w:name="_Toc27515"/>
      <w:r>
        <w:rPr>
          <w:rFonts w:hint="eastAsia" w:ascii="宋体" w:hAnsi="宋体" w:cs="宋体"/>
          <w:sz w:val="24"/>
          <w:szCs w:val="24"/>
        </w:rPr>
        <w:t>3.项目联系方式</w:t>
      </w:r>
      <w:bookmarkEnd w:id="6"/>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项目联系人：董菊莉 </w:t>
      </w:r>
      <w:r>
        <w:rPr>
          <w:rFonts w:hint="eastAsia" w:ascii="宋体" w:hAnsi="宋体" w:cs="宋体"/>
          <w:sz w:val="24"/>
          <w:szCs w:val="24"/>
          <w:lang w:val="en-US" w:eastAsia="zh-CN"/>
        </w:rPr>
        <w:t xml:space="preserve"> </w:t>
      </w:r>
      <w:r>
        <w:rPr>
          <w:rFonts w:hint="eastAsia" w:ascii="宋体" w:hAnsi="宋体" w:cs="宋体"/>
          <w:sz w:val="24"/>
          <w:szCs w:val="24"/>
        </w:rPr>
        <w:t xml:space="preserve">魏萌 </w:t>
      </w:r>
    </w:p>
    <w:p>
      <w:pPr>
        <w:spacing w:line="360" w:lineRule="auto"/>
        <w:ind w:firstLine="480" w:firstLineChars="200"/>
        <w:rPr>
          <w:rFonts w:ascii="宋体" w:hAnsi="宋体" w:cs="宋体"/>
          <w:sz w:val="24"/>
          <w:szCs w:val="24"/>
        </w:rPr>
      </w:pPr>
      <w:r>
        <w:rPr>
          <w:rFonts w:hint="eastAsia" w:ascii="宋体" w:hAnsi="宋体" w:cs="宋体"/>
          <w:sz w:val="24"/>
          <w:szCs w:val="24"/>
        </w:rPr>
        <w:t>电话：029-88440695</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陕西卓佲项目管理有限公司</w:t>
      </w:r>
    </w:p>
    <w:p>
      <w:pPr>
        <w:widowControl/>
        <w:tabs>
          <w:tab w:val="left" w:pos="1620"/>
        </w:tabs>
        <w:snapToGrid w:val="0"/>
        <w:spacing w:line="360" w:lineRule="auto"/>
        <w:ind w:firstLine="420" w:firstLineChars="175"/>
        <w:jc w:val="center"/>
        <w:rPr>
          <w:rFonts w:ascii="宋体" w:cs="宋体"/>
          <w:kern w:val="0"/>
          <w:sz w:val="28"/>
          <w:szCs w:val="28"/>
        </w:rPr>
      </w:pPr>
      <w:r>
        <w:rPr>
          <w:rFonts w:ascii="宋体" w:hAnsi="宋体" w:cs="宋体"/>
          <w:kern w:val="0"/>
          <w:sz w:val="24"/>
          <w:szCs w:val="24"/>
        </w:rPr>
        <w:t xml:space="preserve">                                                 20</w:t>
      </w:r>
      <w:r>
        <w:rPr>
          <w:rFonts w:ascii="宋体" w:hAnsi="宋体" w:cs="宋体"/>
          <w:kern w:val="0"/>
          <w:sz w:val="24"/>
          <w:szCs w:val="24"/>
          <w:u w:val="none"/>
        </w:rPr>
        <w:t>2</w:t>
      </w:r>
      <w:r>
        <w:rPr>
          <w:rFonts w:hint="eastAsia" w:ascii="宋体" w:hAnsi="宋体" w:cs="宋体"/>
          <w:kern w:val="0"/>
          <w:sz w:val="24"/>
          <w:szCs w:val="24"/>
          <w:u w:val="none"/>
          <w:lang w:val="en-US" w:eastAsia="zh-CN"/>
        </w:rPr>
        <w:t>2</w:t>
      </w:r>
      <w:r>
        <w:rPr>
          <w:rFonts w:hint="eastAsia" w:ascii="宋体" w:hAnsi="宋体" w:cs="宋体"/>
          <w:kern w:val="0"/>
          <w:sz w:val="24"/>
          <w:szCs w:val="24"/>
          <w:u w:val="none"/>
        </w:rPr>
        <w:t>年</w:t>
      </w:r>
      <w:r>
        <w:rPr>
          <w:rFonts w:hint="eastAsia" w:ascii="宋体" w:hAnsi="宋体" w:cs="宋体"/>
          <w:kern w:val="0"/>
          <w:sz w:val="24"/>
          <w:szCs w:val="24"/>
          <w:u w:val="none"/>
          <w:lang w:val="en-US" w:eastAsia="zh-CN"/>
        </w:rPr>
        <w:t>10</w:t>
      </w:r>
      <w:r>
        <w:rPr>
          <w:rFonts w:hint="eastAsia" w:ascii="宋体" w:hAnsi="宋体" w:cs="宋体"/>
          <w:kern w:val="0"/>
          <w:sz w:val="24"/>
          <w:szCs w:val="24"/>
          <w:u w:val="none"/>
        </w:rPr>
        <w:t>月</w:t>
      </w:r>
      <w:r>
        <w:rPr>
          <w:rFonts w:hint="eastAsia" w:ascii="宋体" w:hAnsi="宋体" w:cs="宋体"/>
          <w:kern w:val="0"/>
          <w:sz w:val="24"/>
          <w:szCs w:val="24"/>
          <w:u w:val="none"/>
          <w:lang w:val="en-US" w:eastAsia="zh-CN"/>
        </w:rPr>
        <w:t>09</w:t>
      </w:r>
      <w:r>
        <w:rPr>
          <w:rFonts w:hint="eastAsia" w:ascii="宋体" w:hAnsi="宋体" w:cs="宋体"/>
          <w:kern w:val="0"/>
          <w:sz w:val="24"/>
          <w:szCs w:val="24"/>
        </w:rPr>
        <w:t>日</w:t>
      </w:r>
    </w:p>
    <w:p/>
    <w:p>
      <w:pPr>
        <w:pStyle w:val="3"/>
        <w:keepLines w:val="0"/>
        <w:ind w:firstLine="562" w:firstLineChars="175"/>
        <w:rPr>
          <w:rFonts w:ascii="宋体" w:cs="宋体"/>
        </w:rPr>
        <w:sectPr>
          <w:headerReference r:id="rId10" w:type="default"/>
          <w:footerReference r:id="rId11" w:type="default"/>
          <w:pgSz w:w="11906" w:h="16838"/>
          <w:pgMar w:top="1440" w:right="1486" w:bottom="1440" w:left="1800" w:header="851" w:footer="992" w:gutter="0"/>
          <w:pgNumType w:fmt="decimal" w:start="1"/>
          <w:cols w:space="720" w:num="1"/>
          <w:docGrid w:type="lines" w:linePitch="312" w:charSpace="0"/>
        </w:sectPr>
      </w:pPr>
    </w:p>
    <w:p>
      <w:pPr>
        <w:pStyle w:val="3"/>
        <w:spacing w:before="312" w:beforeLines="100" w:after="156" w:afterLines="50" w:line="600" w:lineRule="exact"/>
      </w:pPr>
      <w:bookmarkStart w:id="7" w:name="_Toc438048787"/>
      <w:bookmarkStart w:id="8" w:name="_Toc8207"/>
      <w:bookmarkStart w:id="9" w:name="_Toc30089"/>
      <w:bookmarkStart w:id="10" w:name="_Toc12531"/>
      <w:r>
        <w:rPr>
          <w:rFonts w:hint="eastAsia" w:ascii="宋体" w:hAnsi="宋体" w:cs="宋体"/>
          <w:sz w:val="36"/>
          <w:szCs w:val="36"/>
        </w:rPr>
        <w:t>第二部分</w:t>
      </w:r>
      <w:r>
        <w:rPr>
          <w:rFonts w:hint="eastAsia" w:ascii="宋体" w:hAnsi="宋体" w:cs="宋体"/>
          <w:sz w:val="36"/>
          <w:szCs w:val="36"/>
          <w:lang w:val="en-US" w:eastAsia="zh-CN"/>
        </w:rPr>
        <w:t xml:space="preserve"> </w:t>
      </w:r>
      <w:r>
        <w:rPr>
          <w:rFonts w:hint="eastAsia" w:ascii="宋体" w:hAnsi="宋体" w:cs="宋体"/>
          <w:sz w:val="36"/>
          <w:szCs w:val="36"/>
        </w:rPr>
        <w:t>供应商须知前附表</w:t>
      </w:r>
      <w:bookmarkEnd w:id="7"/>
      <w:bookmarkEnd w:id="8"/>
      <w:bookmarkEnd w:id="9"/>
      <w:bookmarkEnd w:id="10"/>
    </w:p>
    <w:tbl>
      <w:tblPr>
        <w:tblStyle w:val="29"/>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spacing w:line="360" w:lineRule="auto"/>
              <w:rPr>
                <w:rFonts w:ascii="宋体" w:hAnsi="宋体" w:cs="宋体"/>
                <w:sz w:val="24"/>
                <w:szCs w:val="24"/>
              </w:rPr>
            </w:pPr>
            <w:r>
              <w:rPr>
                <w:rFonts w:hint="eastAsia" w:ascii="宋体" w:hAnsi="宋体" w:cs="宋体"/>
                <w:sz w:val="24"/>
                <w:szCs w:val="24"/>
              </w:rPr>
              <w:t>（一）基本资格条件：满足《中华人民共和国政府采购法》第二十二条规定。</w:t>
            </w:r>
          </w:p>
          <w:p>
            <w:pPr>
              <w:spacing w:line="360" w:lineRule="auto"/>
              <w:rPr>
                <w:rFonts w:hint="eastAsia" w:ascii="宋体" w:hAnsi="宋体" w:cs="宋体"/>
                <w:sz w:val="24"/>
                <w:szCs w:val="24"/>
              </w:rPr>
            </w:pPr>
            <w:r>
              <w:rPr>
                <w:rFonts w:hint="eastAsia" w:ascii="宋体" w:hAnsi="宋体" w:cs="宋体"/>
                <w:sz w:val="24"/>
                <w:szCs w:val="24"/>
              </w:rPr>
              <w:t>（二）特定资格要求：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2）财务状况证明：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（3）具有履行合同所必需的设备和专业技术能力的书面声明；</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（4）税收缴纳证明：提供202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 </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（5）社会保障资金缴纳证明：提供202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（6）参加政府采购活动前3年内在经营活动中没有重大违法记录的书面声明；</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rPr>
              <w:t>（7）非法定代表人参加投标的，须提供法定代表人委托授权书及被授权人身份证，法定代表人参加投标时,只须提供法定代表人身份证； </w:t>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（8）本项目为专门面向中小企业采购，供应商应出具中小企业声明函；</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）本项目不接受联合体投标。</w:t>
            </w:r>
          </w:p>
          <w:p>
            <w:pPr>
              <w:spacing w:line="360" w:lineRule="auto"/>
              <w:ind w:firstLine="482" w:firstLineChars="200"/>
              <w:rPr>
                <w:rFonts w:ascii="宋体" w:hAnsi="宋体" w:cs="宋体"/>
                <w:sz w:val="24"/>
                <w:szCs w:val="24"/>
              </w:rPr>
            </w:pPr>
            <w:r>
              <w:rPr>
                <w:rFonts w:hint="eastAsia" w:ascii="宋体" w:hAnsi="宋体" w:cs="宋体"/>
                <w:b/>
                <w:bCs/>
                <w:sz w:val="24"/>
                <w:szCs w:val="24"/>
              </w:rPr>
              <w:t>以上项为资格审查必备资质。评审时，根据供应商响应文件中提供的上述资格证明文件（复印件加盖公章，原件备查）进行资格审查，未通过资格审查的，其响应文件将按无效响应文件处理。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1"/>
              <w:snapToGrid w:val="0"/>
              <w:spacing w:line="360" w:lineRule="auto"/>
              <w:ind w:firstLine="480" w:firstLineChars="200"/>
              <w:rPr>
                <w:rFonts w:hAnsi="宋体" w:cs="宋体"/>
                <w:sz w:val="24"/>
                <w:szCs w:val="24"/>
              </w:rPr>
            </w:pPr>
            <w:r>
              <w:rPr>
                <w:rFonts w:hint="eastAsia" w:hAnsi="宋体" w:cs="宋体"/>
                <w:sz w:val="24"/>
                <w:szCs w:val="24"/>
              </w:rPr>
              <w:t>有下列情形之一的，应在符合性审查时按照无效响应处理。</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响应报价超过采购预算； </w:t>
            </w:r>
          </w:p>
          <w:p>
            <w:pPr>
              <w:numPr>
                <w:ilvl w:val="0"/>
                <w:numId w:val="2"/>
              </w:numPr>
              <w:spacing w:line="360" w:lineRule="auto"/>
              <w:ind w:firstLine="0"/>
              <w:rPr>
                <w:rFonts w:hint="eastAsia" w:ascii="宋体" w:hAnsi="宋体" w:eastAsia="宋体" w:cs="宋体"/>
                <w:sz w:val="24"/>
                <w:szCs w:val="24"/>
              </w:rPr>
            </w:pPr>
            <w:r>
              <w:rPr>
                <w:rFonts w:hint="eastAsia" w:ascii="宋体" w:hAnsi="宋体" w:cs="宋体"/>
                <w:sz w:val="24"/>
                <w:szCs w:val="24"/>
                <w:lang w:eastAsia="zh-CN"/>
              </w:rPr>
              <w:t>交货期</w:t>
            </w:r>
            <w:r>
              <w:rPr>
                <w:rFonts w:hint="eastAsia" w:ascii="宋体" w:hAnsi="宋体" w:eastAsia="宋体" w:cs="宋体"/>
                <w:sz w:val="24"/>
                <w:szCs w:val="24"/>
              </w:rPr>
              <w:t>不满足采购文件要求；</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lang w:eastAsia="zh-CN"/>
              </w:rPr>
              <w:t>质保期</w:t>
            </w:r>
            <w:r>
              <w:rPr>
                <w:rFonts w:hint="eastAsia" w:ascii="宋体" w:hAnsi="宋体" w:eastAsia="宋体" w:cs="宋体"/>
                <w:sz w:val="24"/>
                <w:szCs w:val="24"/>
              </w:rPr>
              <w:t>不满足采购文件要求；</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响应文件的数量、签署、盖章、装订不符合采购文件要求；</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响应文件无响应有效期或有效期达不到采购文件要求的；</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供应商未按照采购文件要求缴纳保证金或保证金缴纳少于采购文件要求的；</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供应商针对同一项目递交两份或多份内容不同的响应文件，未书面声明哪一份是有效的或出现选择性报价的；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响应文件出现漏项或</w:t>
            </w:r>
            <w:r>
              <w:rPr>
                <w:rFonts w:hint="eastAsia" w:ascii="宋体" w:hAnsi="宋体" w:cs="宋体"/>
                <w:sz w:val="24"/>
                <w:szCs w:val="24"/>
                <w:lang w:eastAsia="zh-CN"/>
              </w:rPr>
              <w:t>标的数量</w:t>
            </w:r>
            <w:r>
              <w:rPr>
                <w:rFonts w:hint="eastAsia" w:ascii="宋体" w:hAnsi="宋体" w:cs="宋体"/>
                <w:sz w:val="24"/>
                <w:szCs w:val="24"/>
              </w:rPr>
              <w:t>与要求不符的；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rPr>
                <w:rFonts w:ascii="宋体" w:hAnsi="宋体" w:cs="宋体"/>
                <w:b/>
                <w:bCs/>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）法律、法规和采</w:t>
            </w:r>
            <w:r>
              <w:rPr>
                <w:rFonts w:hint="eastAsia" w:ascii="Arial" w:hAnsi="Arial" w:cs="Arial"/>
                <w:sz w:val="24"/>
                <w:szCs w:val="24"/>
              </w:rPr>
              <w:t>购文件规定的其他无效情形。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商务条款</w:t>
            </w:r>
          </w:p>
        </w:tc>
        <w:tc>
          <w:tcPr>
            <w:tcW w:w="7219" w:type="dxa"/>
          </w:tcPr>
          <w:p>
            <w:pPr>
              <w:spacing w:line="360" w:lineRule="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交货期</w:t>
            </w:r>
            <w:r>
              <w:rPr>
                <w:rFonts w:hint="eastAsia" w:ascii="宋体" w:hAnsi="宋体" w:cs="宋体"/>
                <w:sz w:val="24"/>
                <w:szCs w:val="24"/>
              </w:rPr>
              <w:t>：</w:t>
            </w:r>
            <w:r>
              <w:rPr>
                <w:rFonts w:hint="eastAsia" w:ascii="宋体" w:hAnsi="宋体" w:cs="宋体"/>
                <w:sz w:val="24"/>
                <w:szCs w:val="24"/>
                <w:lang w:val="en-US" w:eastAsia="zh-CN"/>
              </w:rPr>
              <w:t>合同签订后30天</w:t>
            </w:r>
            <w:r>
              <w:rPr>
                <w:rFonts w:hint="eastAsia" w:ascii="宋体" w:hAnsi="宋体" w:cs="宋体"/>
                <w:sz w:val="24"/>
                <w:szCs w:val="24"/>
              </w:rPr>
              <w:t>；</w:t>
            </w:r>
          </w:p>
          <w:p>
            <w:pPr>
              <w:spacing w:line="360" w:lineRule="auto"/>
              <w:rPr>
                <w:rFonts w:hint="eastAsia" w:ascii="宋体" w:hAnsi="宋体" w:cs="宋体"/>
                <w:sz w:val="24"/>
                <w:szCs w:val="24"/>
              </w:rPr>
            </w:pPr>
            <w:r>
              <w:rPr>
                <w:rFonts w:hint="eastAsia" w:ascii="宋体" w:hAnsi="宋体" w:cs="宋体"/>
                <w:sz w:val="24"/>
                <w:szCs w:val="24"/>
              </w:rPr>
              <w:t>2、质保期：验收合格后</w:t>
            </w:r>
            <w:r>
              <w:rPr>
                <w:rFonts w:hint="eastAsia" w:ascii="宋体" w:hAnsi="宋体" w:cs="宋体"/>
                <w:sz w:val="24"/>
                <w:szCs w:val="24"/>
                <w:lang w:val="en-US" w:eastAsia="zh-CN"/>
              </w:rPr>
              <w:t>1年</w:t>
            </w:r>
            <w:r>
              <w:rPr>
                <w:rFonts w:hint="eastAsia" w:ascii="宋体" w:hAnsi="宋体" w:cs="宋体"/>
                <w:sz w:val="24"/>
                <w:szCs w:val="24"/>
              </w:rPr>
              <w:t>；</w:t>
            </w:r>
          </w:p>
          <w:p>
            <w:pPr>
              <w:spacing w:line="360" w:lineRule="auto"/>
              <w:rPr>
                <w:rFonts w:hint="eastAsia" w:ascii="宋体" w:hAnsi="宋体" w:cs="宋体"/>
                <w:sz w:val="24"/>
                <w:szCs w:val="24"/>
              </w:rPr>
            </w:pPr>
            <w:r>
              <w:rPr>
                <w:rFonts w:hint="eastAsia" w:ascii="宋体" w:hAnsi="宋体" w:cs="宋体"/>
                <w:sz w:val="24"/>
                <w:szCs w:val="24"/>
              </w:rPr>
              <w:t>3、售后服务响应时间：即时响应（包括电话响应）；电话响应无法解决</w:t>
            </w:r>
            <w:r>
              <w:rPr>
                <w:rFonts w:hint="eastAsia" w:ascii="宋体" w:hAnsi="宋体" w:cs="宋体"/>
                <w:sz w:val="24"/>
                <w:szCs w:val="24"/>
                <w:lang w:eastAsia="zh-CN"/>
              </w:rPr>
              <w:t>，</w:t>
            </w:r>
            <w:r>
              <w:rPr>
                <w:rFonts w:hint="eastAsia" w:ascii="宋体" w:hAnsi="宋体" w:cs="宋体"/>
                <w:sz w:val="24"/>
                <w:szCs w:val="24"/>
              </w:rPr>
              <w:t xml:space="preserve"> 24 小时内到达现场。修复时间 </w:t>
            </w:r>
            <w:r>
              <w:rPr>
                <w:rFonts w:hint="eastAsia" w:ascii="宋体" w:hAnsi="宋体" w:cs="宋体"/>
                <w:sz w:val="24"/>
                <w:szCs w:val="24"/>
                <w:lang w:eastAsia="zh-CN"/>
              </w:rPr>
              <w:t>：</w:t>
            </w:r>
            <w:r>
              <w:rPr>
                <w:rFonts w:hint="eastAsia" w:ascii="宋体" w:hAnsi="宋体" w:cs="宋体"/>
                <w:sz w:val="24"/>
                <w:szCs w:val="24"/>
              </w:rPr>
              <w:t>48 小时内解决；如在 48 小时内无法修复，则提供部件冗余服务或采取应急措施，提供相同产品或不低于故障产品规格档次的备用产品供采购人使用，以确保货物的正常使用。</w:t>
            </w:r>
          </w:p>
          <w:p>
            <w:pPr>
              <w:spacing w:line="360" w:lineRule="auto"/>
              <w:rPr>
                <w:rFonts w:hint="eastAsia" w:ascii="宋体" w:hAnsi="宋体" w:cs="宋体"/>
                <w:sz w:val="24"/>
                <w:szCs w:val="24"/>
                <w:highlight w:val="none"/>
              </w:rPr>
            </w:pPr>
            <w:r>
              <w:rPr>
                <w:rFonts w:hint="eastAsia" w:ascii="宋体" w:hAnsi="宋体" w:cs="宋体"/>
                <w:sz w:val="24"/>
                <w:szCs w:val="24"/>
                <w:lang w:val="en-US" w:eastAsia="zh-CN"/>
              </w:rPr>
              <w:t>4</w:t>
            </w:r>
            <w:r>
              <w:rPr>
                <w:rFonts w:hint="eastAsia" w:ascii="宋体" w:hAnsi="宋体" w:cs="宋体"/>
                <w:sz w:val="24"/>
                <w:szCs w:val="24"/>
              </w:rPr>
              <w:t>、交货地点：</w:t>
            </w:r>
            <w:r>
              <w:rPr>
                <w:rFonts w:hint="eastAsia" w:ascii="宋体" w:hAnsi="宋体" w:cs="宋体"/>
                <w:sz w:val="24"/>
                <w:szCs w:val="24"/>
                <w:highlight w:val="none"/>
              </w:rPr>
              <w:t>西安建筑科技大学工科大楼9011</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5、付款方式：</w:t>
            </w:r>
          </w:p>
          <w:p>
            <w:pPr>
              <w:spacing w:line="360" w:lineRule="auto"/>
              <w:rPr>
                <w:rFonts w:hint="eastAsia" w:ascii="宋体" w:hAnsi="宋体" w:cs="宋体"/>
                <w:sz w:val="24"/>
                <w:szCs w:val="24"/>
                <w:highlight w:val="none"/>
              </w:rPr>
            </w:pPr>
            <w:r>
              <w:rPr>
                <w:rFonts w:hint="eastAsia"/>
                <w:b/>
                <w:bCs/>
                <w:color w:val="000000"/>
                <w:szCs w:val="21"/>
                <w:highlight w:val="none"/>
                <w:lang w:eastAsia="zh-CN"/>
              </w:rPr>
              <w:sym w:font="Wingdings 2" w:char="00A3"/>
            </w:r>
            <w:r>
              <w:rPr>
                <w:rFonts w:hint="eastAsia" w:ascii="宋体" w:hAnsi="宋体" w:cs="宋体"/>
                <w:sz w:val="24"/>
                <w:szCs w:val="24"/>
                <w:highlight w:val="none"/>
              </w:rPr>
              <w:t>签订合同后，乙方向甲方提供银行、保险公司等金融机构出具的预付款保函或其他担保措施，甲方向乙方支付合同总价的40%作为预付款；项目验收合格后30日内，支付合同总价的60%。</w:t>
            </w:r>
          </w:p>
          <w:p>
            <w:pPr>
              <w:spacing w:line="360" w:lineRule="auto"/>
              <w:rPr>
                <w:rFonts w:hint="eastAsia" w:ascii="宋体" w:hAnsi="宋体" w:cs="宋体"/>
                <w:sz w:val="24"/>
                <w:szCs w:val="24"/>
                <w:highlight w:val="none"/>
              </w:rPr>
            </w:pPr>
            <w:r>
              <w:rPr>
                <w:rFonts w:hint="eastAsia"/>
                <w:b/>
                <w:bCs/>
                <w:color w:val="000000"/>
                <w:szCs w:val="21"/>
                <w:highlight w:val="none"/>
                <w:lang w:eastAsia="zh-CN"/>
              </w:rPr>
              <w:sym w:font="Wingdings 2" w:char="00A3"/>
            </w:r>
            <w:r>
              <w:rPr>
                <w:rFonts w:hint="eastAsia" w:ascii="宋体" w:hAnsi="宋体" w:cs="宋体"/>
                <w:sz w:val="24"/>
                <w:szCs w:val="24"/>
                <w:highlight w:val="none"/>
              </w:rPr>
              <w:t>签订合同后，乙方无法提供预付款保函或其他担保措施，待设备到达指定地点、安装调试完成并验收合格后30日内，支付合同总价的100%。</w:t>
            </w:r>
          </w:p>
          <w:p>
            <w:pPr>
              <w:spacing w:line="360" w:lineRule="auto"/>
              <w:rPr>
                <w:rFonts w:hint="eastAsia" w:ascii="宋体" w:hAnsi="宋体" w:cs="宋体"/>
                <w:sz w:val="24"/>
                <w:szCs w:val="24"/>
              </w:rPr>
            </w:pPr>
            <w:r>
              <w:rPr>
                <w:rFonts w:hint="eastAsia" w:ascii="宋体" w:hAnsi="宋体" w:cs="宋体"/>
                <w:sz w:val="24"/>
                <w:szCs w:val="24"/>
              </w:rPr>
              <w:t>6、履约保证金：供应商成交后凭成交通知书向采购人缴纳成交金额的5%作为履约保证金，待合同履约完毕后无息退还。</w:t>
            </w:r>
          </w:p>
          <w:p>
            <w:pPr>
              <w:pStyle w:val="11"/>
              <w:spacing w:line="360" w:lineRule="auto"/>
              <w:jc w:val="left"/>
              <w:rPr>
                <w:rFonts w:hAnsi="宋体" w:cs="宋体"/>
                <w:kern w:val="2"/>
                <w:sz w:val="24"/>
                <w:szCs w:val="24"/>
              </w:rPr>
            </w:pPr>
            <w:r>
              <w:rPr>
                <w:rFonts w:hint="eastAsia" w:ascii="宋体" w:hAnsi="Courier New"/>
                <w:b/>
                <w:bCs/>
                <w:kern w:val="2"/>
                <w:sz w:val="24"/>
                <w:szCs w:val="24"/>
                <w:lang w:val="en-US" w:eastAsia="zh-CN"/>
              </w:rPr>
              <w:t>注：商务条款为实质性响应条款，不允许负偏离。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hint="eastAsia" w:ascii="宋体" w:hAnsi="宋体" w:cs="宋体"/>
                <w:sz w:val="24"/>
                <w:szCs w:val="24"/>
              </w:rPr>
            </w:pPr>
            <w:r>
              <w:rPr>
                <w:rFonts w:hint="eastAsia" w:ascii="宋体" w:hAnsi="宋体" w:cs="宋体"/>
                <w:sz w:val="24"/>
                <w:szCs w:val="24"/>
              </w:rPr>
              <w:t>4</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投标保证金</w:t>
            </w:r>
          </w:p>
          <w:p>
            <w:pPr>
              <w:spacing w:line="360" w:lineRule="auto"/>
              <w:jc w:val="center"/>
              <w:rPr>
                <w:rFonts w:hint="eastAsia" w:ascii="宋体" w:hAnsi="宋体" w:cs="宋体"/>
                <w:sz w:val="24"/>
                <w:szCs w:val="24"/>
              </w:rPr>
            </w:pPr>
            <w:r>
              <w:rPr>
                <w:rFonts w:hint="eastAsia" w:ascii="宋体" w:hAnsi="宋体" w:cs="宋体"/>
                <w:sz w:val="24"/>
                <w:szCs w:val="24"/>
              </w:rPr>
              <w:t>缴纳</w:t>
            </w:r>
          </w:p>
        </w:tc>
        <w:tc>
          <w:tcPr>
            <w:tcW w:w="7219" w:type="dxa"/>
          </w:tcPr>
          <w:p>
            <w:pPr>
              <w:spacing w:line="500" w:lineRule="exact"/>
              <w:jc w:val="left"/>
              <w:rPr>
                <w:rFonts w:hint="eastAsia"/>
              </w:rPr>
            </w:pPr>
            <w:r>
              <w:rPr>
                <w:rFonts w:hint="eastAsia" w:ascii="宋体" w:hAnsi="宋体" w:cs="宋体"/>
                <w:sz w:val="24"/>
                <w:szCs w:val="24"/>
              </w:rPr>
              <w:t>1、投标保证金的缴纳</w:t>
            </w:r>
            <w:r>
              <w:rPr>
                <w:rFonts w:hint="eastAsia" w:ascii="宋体" w:hAnsi="宋体" w:cs="宋体"/>
                <w:b/>
                <w:bCs/>
                <w:sz w:val="24"/>
                <w:szCs w:val="24"/>
                <w:lang w:val="en-US" w:eastAsia="zh-CN"/>
              </w:rPr>
              <w:t>：</w:t>
            </w:r>
            <w:r>
              <w:rPr>
                <w:rFonts w:hint="eastAsia" w:ascii="宋体" w:hAnsi="宋体" w:cs="宋体"/>
                <w:b/>
                <w:bCs/>
                <w:sz w:val="24"/>
                <w:szCs w:val="24"/>
              </w:rPr>
              <w:t>人民币</w:t>
            </w:r>
            <w:r>
              <w:rPr>
                <w:rFonts w:hint="eastAsia" w:ascii="宋体" w:hAnsi="宋体" w:cs="宋体"/>
                <w:b/>
                <w:bCs/>
                <w:sz w:val="24"/>
                <w:szCs w:val="24"/>
                <w:lang w:val="en-US" w:eastAsia="zh-CN"/>
              </w:rPr>
              <w:t>壹万贰仟元整</w:t>
            </w:r>
            <w:r>
              <w:rPr>
                <w:rFonts w:hint="eastAsia" w:ascii="宋体" w:hAnsi="宋体" w:cs="宋体"/>
                <w:b/>
                <w:bCs/>
                <w:sz w:val="24"/>
                <w:szCs w:val="24"/>
              </w:rPr>
              <w:t>（¥</w:t>
            </w:r>
            <w:r>
              <w:rPr>
                <w:rFonts w:hint="eastAsia" w:ascii="宋体" w:hAnsi="宋体" w:cs="宋体"/>
                <w:b/>
                <w:bCs/>
                <w:sz w:val="24"/>
                <w:szCs w:val="24"/>
                <w:lang w:val="en-US" w:eastAsia="zh-CN"/>
              </w:rPr>
              <w:t>12000</w:t>
            </w:r>
            <w:r>
              <w:rPr>
                <w:rFonts w:hint="eastAsia" w:ascii="宋体" w:hAnsi="宋体" w:cs="宋体"/>
                <w:b/>
                <w:bCs/>
                <w:sz w:val="24"/>
                <w:szCs w:val="24"/>
              </w:rPr>
              <w:t>.00元）</w:t>
            </w:r>
          </w:p>
          <w:p>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spacing w:line="500" w:lineRule="exact"/>
              <w:jc w:val="left"/>
              <w:rPr>
                <w:rFonts w:hint="eastAsia" w:ascii="宋体" w:hAnsi="宋体" w:cs="宋体"/>
                <w:sz w:val="24"/>
                <w:szCs w:val="24"/>
              </w:rPr>
            </w:pPr>
            <w:r>
              <w:rPr>
                <w:rFonts w:hint="eastAsia" w:ascii="宋体" w:hAnsi="宋体" w:cs="宋体"/>
                <w:sz w:val="24"/>
                <w:szCs w:val="24"/>
              </w:rPr>
              <w:t>户名：陕西卓佲项目管理有限公司</w:t>
            </w:r>
          </w:p>
          <w:p>
            <w:pPr>
              <w:spacing w:line="500" w:lineRule="exact"/>
              <w:jc w:val="left"/>
              <w:rPr>
                <w:rFonts w:hint="eastAsia" w:ascii="宋体" w:hAnsi="宋体" w:cs="宋体"/>
                <w:sz w:val="24"/>
                <w:szCs w:val="24"/>
              </w:rPr>
            </w:pPr>
            <w:r>
              <w:rPr>
                <w:rFonts w:hint="eastAsia" w:ascii="宋体" w:hAnsi="宋体" w:cs="宋体"/>
                <w:sz w:val="24"/>
                <w:szCs w:val="24"/>
              </w:rPr>
              <w:t>开户行名称：中国光大银行西安太白路支行</w:t>
            </w:r>
          </w:p>
          <w:p>
            <w:pPr>
              <w:spacing w:line="500" w:lineRule="exact"/>
              <w:jc w:val="left"/>
              <w:rPr>
                <w:rFonts w:hint="eastAsia" w:ascii="宋体" w:hAnsi="宋体" w:cs="宋体"/>
                <w:sz w:val="24"/>
                <w:szCs w:val="24"/>
              </w:rPr>
            </w:pPr>
            <w:r>
              <w:rPr>
                <w:rFonts w:hint="eastAsia" w:ascii="宋体" w:hAnsi="宋体" w:cs="宋体"/>
                <w:sz w:val="24"/>
                <w:szCs w:val="24"/>
              </w:rPr>
              <w:t>账号：78590188000191476</w:t>
            </w:r>
          </w:p>
          <w:p>
            <w:pPr>
              <w:spacing w:line="500" w:lineRule="exact"/>
              <w:jc w:val="left"/>
              <w:rPr>
                <w:rFonts w:hint="eastAsia" w:ascii="宋体" w:hAnsi="宋体" w:cs="宋体"/>
                <w:sz w:val="24"/>
                <w:szCs w:val="24"/>
              </w:rPr>
            </w:pPr>
            <w:r>
              <w:rPr>
                <w:rFonts w:hint="eastAsia" w:ascii="宋体" w:hAnsi="宋体" w:cs="宋体"/>
                <w:sz w:val="24"/>
                <w:szCs w:val="24"/>
              </w:rPr>
              <w:t>咨询电话：029-88440695财务高老师</w:t>
            </w:r>
          </w:p>
          <w:p>
            <w:pPr>
              <w:spacing w:line="360" w:lineRule="auto"/>
              <w:jc w:val="left"/>
              <w:rPr>
                <w:rFonts w:hint="eastAsia" w:ascii="宋体" w:hAnsi="宋体" w:cs="宋体"/>
                <w:sz w:val="24"/>
                <w:szCs w:val="24"/>
              </w:rPr>
            </w:pPr>
            <w:r>
              <w:rPr>
                <w:rFonts w:hint="eastAsia" w:ascii="宋体" w:hAnsi="宋体" w:cs="宋体"/>
                <w:sz w:val="24"/>
                <w:szCs w:val="24"/>
              </w:rPr>
              <w:t>转账摘要：</w:t>
            </w:r>
            <w:r>
              <w:rPr>
                <w:rFonts w:hint="eastAsia" w:ascii="宋体" w:hAnsi="宋体" w:cs="宋体"/>
                <w:sz w:val="24"/>
                <w:szCs w:val="24"/>
                <w:lang w:val="en-US" w:eastAsia="zh-CN"/>
              </w:rPr>
              <w:t>建大-276</w:t>
            </w:r>
            <w:r>
              <w:rPr>
                <w:rFonts w:hint="eastAsia" w:ascii="宋体" w:hAnsi="宋体" w:cs="宋体"/>
                <w:sz w:val="24"/>
                <w:szCs w:val="24"/>
              </w:rPr>
              <w:t>保证金</w:t>
            </w:r>
          </w:p>
          <w:p>
            <w:pPr>
              <w:pStyle w:val="6"/>
              <w:numPr>
                <w:ilvl w:val="0"/>
                <w:numId w:val="3"/>
              </w:numPr>
              <w:rPr>
                <w:rFonts w:hint="eastAsia" w:ascii="宋体" w:hAnsi="宋体" w:cs="宋体"/>
                <w:sz w:val="24"/>
                <w:szCs w:val="24"/>
              </w:rPr>
            </w:pPr>
            <w:r>
              <w:rPr>
                <w:rFonts w:hint="eastAsia" w:ascii="宋体" w:hAnsi="宋体" w:cs="宋体"/>
                <w:sz w:val="24"/>
                <w:szCs w:val="24"/>
              </w:rPr>
              <w:t>投标保证金的退还</w:t>
            </w:r>
          </w:p>
          <w:p>
            <w:pPr>
              <w:tabs>
                <w:tab w:val="left" w:pos="0"/>
              </w:tabs>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2.1未成交的供应商在退取投标保证金时，须携带以下资料办理到代理机构的财务部门办理:</w:t>
            </w:r>
          </w:p>
          <w:p>
            <w:pPr>
              <w:numPr>
                <w:ilvl w:val="0"/>
                <w:numId w:val="4"/>
              </w:numPr>
              <w:adjustRightInd w:val="0"/>
              <w:snapToGrid w:val="0"/>
              <w:spacing w:line="360" w:lineRule="auto"/>
              <w:rPr>
                <w:rFonts w:hint="eastAsia" w:ascii="宋体" w:hAnsi="宋体" w:cs="宋体"/>
                <w:sz w:val="24"/>
                <w:szCs w:val="24"/>
              </w:rPr>
            </w:pPr>
            <w:r>
              <w:rPr>
                <w:rFonts w:hint="eastAsia" w:ascii="宋体" w:hAnsi="宋体" w:cs="宋体"/>
                <w:sz w:val="24"/>
                <w:szCs w:val="24"/>
              </w:rPr>
              <w:t>投标保证金汇款凭证复印件加盖公章；</w:t>
            </w:r>
          </w:p>
          <w:p>
            <w:pPr>
              <w:numPr>
                <w:ilvl w:val="0"/>
                <w:numId w:val="4"/>
              </w:numPr>
              <w:adjustRightInd w:val="0"/>
              <w:snapToGrid w:val="0"/>
              <w:spacing w:line="360" w:lineRule="auto"/>
              <w:rPr>
                <w:rFonts w:hint="eastAsia" w:ascii="宋体" w:hAnsi="宋体" w:cs="宋体"/>
                <w:sz w:val="24"/>
                <w:szCs w:val="24"/>
              </w:rPr>
            </w:pPr>
            <w:r>
              <w:rPr>
                <w:rFonts w:hint="eastAsia" w:ascii="宋体" w:hAnsi="宋体" w:cs="宋体"/>
                <w:sz w:val="24"/>
                <w:szCs w:val="24"/>
              </w:rPr>
              <w:t>保证金退还账户信息确认表（加盖公章）见附件二。</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供应商可在开标当天将保证金退还账户信息确认表与投标保证金汇款凭证复印件加盖公章一并交给工作人员，当天未提交投标保证金退还账户信息确认表与投标保证金汇款凭证复印件加盖公章的供应商，在开标后将以上资料盖章扫描件发送至邮箱shanxizhuoming_zb@163.com并致电告知。</w:t>
            </w:r>
          </w:p>
          <w:p>
            <w:pPr>
              <w:pStyle w:val="2"/>
              <w:spacing w:line="360" w:lineRule="auto"/>
              <w:rPr>
                <w:rFonts w:ascii="宋体" w:hAnsi="宋体" w:cs="宋体"/>
                <w:kern w:val="2"/>
              </w:rPr>
            </w:pPr>
            <w:r>
              <w:rPr>
                <w:rFonts w:hint="eastAsia" w:ascii="宋体" w:hAnsi="宋体" w:cs="宋体"/>
                <w:bCs/>
                <w:kern w:val="2"/>
                <w:sz w:val="24"/>
                <w:szCs w:val="24"/>
              </w:rPr>
              <w:t xml:space="preserve">    2.2成交供应商在退取投标保证金时，除携带上述资料外还需携带与采购人签订的采购合同。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分包</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本次采购采用</w:t>
            </w:r>
            <w:r>
              <w:rPr>
                <w:rFonts w:hint="eastAsia" w:ascii="宋体" w:hAnsi="宋体" w:cs="宋体"/>
                <w:sz w:val="24"/>
                <w:szCs w:val="24"/>
                <w:lang w:eastAsia="zh-CN"/>
              </w:rPr>
              <w:t>整体打包</w:t>
            </w:r>
            <w:r>
              <w:rPr>
                <w:rFonts w:hint="eastAsia" w:ascii="宋体" w:hAnsi="宋体" w:cs="宋体"/>
                <w:sz w:val="24"/>
                <w:szCs w:val="24"/>
              </w:rPr>
              <w:t>方式，供应商可根据自身的资质情况和经营范围对本项目进行投标，不得将其自行分解或只对本次项目中的品目进行不完全投标，任何不完全的投标将按无效投标处理。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响应文件有效期为从协商之日起有效期为90日历天。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6"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219" w:type="dxa"/>
            <w:vAlign w:val="center"/>
          </w:tcPr>
          <w:p>
            <w:pPr>
              <w:numPr>
                <w:ilvl w:val="0"/>
                <w:numId w:val="5"/>
              </w:numPr>
              <w:spacing w:line="360" w:lineRule="auto"/>
              <w:ind w:firstLine="0"/>
              <w:jc w:val="left"/>
              <w:rPr>
                <w:rFonts w:ascii="宋体" w:hAnsi="宋体" w:cs="宋体"/>
                <w:sz w:val="24"/>
                <w:szCs w:val="24"/>
              </w:rPr>
            </w:pPr>
            <w:r>
              <w:rPr>
                <w:rFonts w:hint="eastAsia" w:ascii="宋体" w:hAnsi="宋体" w:cs="宋体"/>
                <w:sz w:val="24"/>
                <w:szCs w:val="24"/>
              </w:rPr>
              <w:t>供应商应当根据采购文件的要求和范围，以人民币为货币，以元为报价单位，保留小数点后两位（不进行四舍五入）。</w:t>
            </w:r>
          </w:p>
          <w:p>
            <w:pPr>
              <w:numPr>
                <w:ilvl w:val="0"/>
                <w:numId w:val="5"/>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响应所要求的货物、服务且验收合格的所有费用，包括产品费、安装调试费、运杂费（含保险）、仓储保管费、技术培训费、检测费、施工费、运输费、人工费、税金及进口产品国家按现行税收政策征收的一切税费等。响应报价表中标明本次货物、服务的所有单项价格和总价，任何有选择的报价将不予接受，否则按无效响应处理。</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供应商应在响应文件中的响应报价一览表上，标明总报价、</w:t>
            </w:r>
            <w:r>
              <w:rPr>
                <w:rFonts w:hint="eastAsia" w:ascii="宋体" w:hAnsi="宋体" w:cs="宋体"/>
                <w:sz w:val="24"/>
                <w:szCs w:val="24"/>
                <w:lang w:eastAsia="zh-CN"/>
              </w:rPr>
              <w:t>交货期、质保期</w:t>
            </w:r>
            <w:r>
              <w:rPr>
                <w:rFonts w:hint="eastAsia" w:ascii="宋体" w:hAnsi="宋体" w:cs="宋体"/>
                <w:sz w:val="24"/>
                <w:szCs w:val="24"/>
              </w:rPr>
              <w:t>等，并由法定代表人或被授权人代表签署；任何有选择的报价不予接受。</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供应商对响应报价若有说明应在响应报价一览表显著处注明。</w:t>
            </w:r>
          </w:p>
          <w:p>
            <w:pPr>
              <w:spacing w:line="360" w:lineRule="auto"/>
              <w:jc w:val="left"/>
              <w:rPr>
                <w:rFonts w:ascii="宋体" w:hAnsi="宋体" w:cs="宋体"/>
                <w:sz w:val="24"/>
                <w:szCs w:val="24"/>
              </w:rPr>
            </w:pPr>
            <w:r>
              <w:rPr>
                <w:rFonts w:hint="eastAsia" w:ascii="宋体" w:hAnsi="宋体" w:cs="宋体"/>
                <w:sz w:val="24"/>
                <w:szCs w:val="24"/>
              </w:rPr>
              <w:t>响应报价一览表与分项报价表中的价格，在合同执行过程中，均不得以任何理由变更。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份、响应报价一览表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60" w:lineRule="auto"/>
              <w:jc w:val="left"/>
              <w:rPr>
                <w:rFonts w:ascii="宋体" w:hAnsi="宋体" w:cs="宋体"/>
                <w:sz w:val="24"/>
                <w:szCs w:val="24"/>
              </w:rPr>
            </w:pPr>
            <w:r>
              <w:rPr>
                <w:rFonts w:hint="eastAsia" w:ascii="宋体" w:hAnsi="宋体" w:cs="宋体"/>
                <w:sz w:val="24"/>
                <w:szCs w:val="24"/>
              </w:rPr>
              <w:t>2、正、副本</w:t>
            </w:r>
            <w:r>
              <w:rPr>
                <w:rFonts w:hint="eastAsia" w:ascii="宋体" w:hAnsi="宋体" w:cs="宋体"/>
                <w:sz w:val="24"/>
                <w:szCs w:val="24"/>
                <w:lang w:eastAsia="zh-CN"/>
              </w:rPr>
              <w:t>分别</w:t>
            </w:r>
            <w:r>
              <w:rPr>
                <w:rFonts w:hint="eastAsia" w:ascii="宋体" w:hAnsi="宋体" w:cs="宋体"/>
                <w:b/>
                <w:bCs/>
                <w:sz w:val="24"/>
                <w:szCs w:val="24"/>
              </w:rPr>
              <w:t>胶装装订成册</w:t>
            </w:r>
            <w:r>
              <w:rPr>
                <w:rFonts w:hint="eastAsia" w:ascii="宋体" w:hAnsi="宋体" w:cs="宋体"/>
                <w:sz w:val="24"/>
                <w:szCs w:val="24"/>
              </w:rPr>
              <w:t>，</w:t>
            </w:r>
            <w:r>
              <w:rPr>
                <w:rFonts w:hint="eastAsia" w:ascii="宋体" w:hAnsi="宋体" w:cs="宋体"/>
                <w:b/>
                <w:bCs/>
                <w:sz w:val="24"/>
                <w:szCs w:val="24"/>
              </w:rPr>
              <w:t>在书脊处标明项目名称、项目编号、供应商名称（机打或手写均可）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w:t>
            </w:r>
          </w:p>
          <w:p>
            <w:pPr>
              <w:pStyle w:val="2"/>
              <w:spacing w:line="360" w:lineRule="auto"/>
              <w:rPr>
                <w:rFonts w:ascii="宋体" w:hAnsi="宋体" w:cs="宋体"/>
                <w:kern w:val="2"/>
                <w:sz w:val="24"/>
                <w:szCs w:val="24"/>
              </w:rPr>
            </w:pPr>
            <w:r>
              <w:rPr>
                <w:rFonts w:hint="eastAsia" w:ascii="宋体" w:hAnsi="宋体" w:cs="宋体"/>
                <w:sz w:val="24"/>
                <w:szCs w:val="24"/>
              </w:rPr>
              <w:t>3</w:t>
            </w:r>
            <w:r>
              <w:rPr>
                <w:rFonts w:hint="eastAsia" w:ascii="宋体" w:hAnsi="宋体" w:cs="宋体"/>
                <w:kern w:val="2"/>
                <w:sz w:val="24"/>
                <w:szCs w:val="24"/>
              </w:rPr>
              <w:t>、响应文件分为“资格性响应文件”和“其他响应性文件”两部分，且该两部分应分册胶装装订成册。资格性响应文件包括单一来源采购文件第一部分及第二部分的资格要求证明材料，其他响应性文件包括供应商响应单一来源采购文件全部要求的证明材料（资格证明材料除外）。资格性响应文件用于采购人或采购代理机构资格审查，其他响应性文件用于单一来源采购人员。</w:t>
            </w:r>
          </w:p>
          <w:p>
            <w:pPr>
              <w:spacing w:line="360" w:lineRule="auto"/>
              <w:jc w:val="left"/>
              <w:rPr>
                <w:rFonts w:ascii="宋体" w:hAnsi="宋体" w:cs="宋体"/>
                <w:sz w:val="24"/>
                <w:szCs w:val="24"/>
              </w:rPr>
            </w:pPr>
            <w:r>
              <w:rPr>
                <w:rFonts w:hint="eastAsia" w:ascii="宋体" w:hAnsi="宋体" w:cs="宋体"/>
                <w:sz w:val="24"/>
                <w:szCs w:val="24"/>
              </w:rPr>
              <w:t>4、所有的副本可以为正本的复印件。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5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219" w:type="dxa"/>
            <w:vAlign w:val="center"/>
          </w:tcPr>
          <w:p>
            <w:pPr>
              <w:numPr>
                <w:ilvl w:val="0"/>
                <w:numId w:val="6"/>
              </w:numPr>
              <w:spacing w:line="360" w:lineRule="auto"/>
              <w:ind w:firstLine="0"/>
              <w:jc w:val="left"/>
              <w:rPr>
                <w:rFonts w:hint="eastAsia"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6"/>
              </w:numPr>
              <w:spacing w:line="360" w:lineRule="auto"/>
              <w:ind w:firstLine="0"/>
              <w:jc w:val="left"/>
              <w:rPr>
                <w:rFonts w:hint="eastAsia"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1"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219" w:type="dxa"/>
            <w:vAlign w:val="center"/>
          </w:tcPr>
          <w:p>
            <w:pPr>
              <w:pStyle w:val="113"/>
              <w:spacing w:line="360" w:lineRule="auto"/>
              <w:rPr>
                <w:kern w:val="2"/>
              </w:rPr>
            </w:pPr>
            <w:r>
              <w:rPr>
                <w:rFonts w:hint="eastAsia"/>
                <w:kern w:val="2"/>
              </w:rPr>
              <w:t>1、密封要求：</w:t>
            </w:r>
          </w:p>
          <w:p>
            <w:pPr>
              <w:pStyle w:val="113"/>
              <w:spacing w:line="360" w:lineRule="auto"/>
              <w:rPr>
                <w:kern w:val="2"/>
              </w:rPr>
            </w:pPr>
            <w:r>
              <w:rPr>
                <w:rFonts w:hint="eastAsia"/>
                <w:kern w:val="2"/>
                <w:lang w:eastAsia="zh-CN"/>
              </w:rPr>
              <w:t>响应</w:t>
            </w:r>
            <w:r>
              <w:rPr>
                <w:rFonts w:hint="eastAsia"/>
                <w:kern w:val="2"/>
              </w:rPr>
              <w:t>一览表单独密封递交，</w:t>
            </w:r>
          </w:p>
          <w:p>
            <w:pPr>
              <w:pStyle w:val="113"/>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numPr>
                <w:ilvl w:val="0"/>
                <w:numId w:val="0"/>
              </w:numPr>
              <w:spacing w:line="360" w:lineRule="auto"/>
              <w:ind w:leftChars="0"/>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在封袋正面标明“正本”“副本”“电子版”“开标一览表”字样。封袋应密封完整（密封以不泄露供应商商业机密、投标文件内容为标准，封面标识见招标文件附件一），如果未按上述规定进行密封，供应商的投标文件有权被拒绝。</w:t>
            </w:r>
          </w:p>
          <w:p>
            <w:pPr>
              <w:numPr>
                <w:ilvl w:val="0"/>
                <w:numId w:val="0"/>
              </w:numPr>
              <w:spacing w:line="360" w:lineRule="auto"/>
              <w:ind w:leftChars="0"/>
              <w:jc w:val="left"/>
              <w:rPr>
                <w:rFonts w:ascii="宋体" w:hAnsi="宋体" w:cs="宋体"/>
                <w:sz w:val="24"/>
                <w:szCs w:val="24"/>
              </w:rPr>
            </w:pPr>
            <w:r>
              <w:rPr>
                <w:rFonts w:hint="eastAsia" w:ascii="宋体" w:hAnsi="宋体" w:cs="宋体"/>
                <w:sz w:val="24"/>
                <w:szCs w:val="24"/>
              </w:rPr>
              <w:t>3、如果供应商未按上述要求密封及加写标记，误投或过早启封的投标文件，将自行承担其</w:t>
            </w:r>
            <w:r>
              <w:rPr>
                <w:rFonts w:hint="eastAsia" w:ascii="宋体" w:hAnsi="宋体" w:cs="宋体"/>
                <w:sz w:val="24"/>
                <w:szCs w:val="24"/>
                <w:lang w:eastAsia="zh-CN"/>
              </w:rPr>
              <w:t>响应</w:t>
            </w:r>
            <w:r>
              <w:rPr>
                <w:rFonts w:hint="eastAsia" w:ascii="宋体" w:hAnsi="宋体" w:cs="宋体"/>
                <w:sz w:val="24"/>
                <w:szCs w:val="24"/>
              </w:rPr>
              <w:t>文件被视为无效</w:t>
            </w:r>
            <w:r>
              <w:rPr>
                <w:rFonts w:hint="eastAsia" w:ascii="宋体" w:hAnsi="宋体" w:cs="宋体"/>
                <w:sz w:val="24"/>
                <w:szCs w:val="24"/>
                <w:lang w:eastAsia="zh-CN"/>
              </w:rPr>
              <w:t>响应</w:t>
            </w:r>
            <w:r>
              <w:rPr>
                <w:rFonts w:hint="eastAsia" w:ascii="宋体" w:hAnsi="宋体" w:cs="宋体"/>
                <w:sz w:val="24"/>
                <w:szCs w:val="24"/>
              </w:rPr>
              <w:t>文件的风险。</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本次招标只接受简体中文文字的</w:t>
            </w:r>
            <w:r>
              <w:rPr>
                <w:rFonts w:hint="eastAsia" w:ascii="宋体" w:hAnsi="宋体" w:cs="宋体"/>
                <w:sz w:val="24"/>
                <w:szCs w:val="24"/>
                <w:lang w:eastAsia="zh-CN"/>
              </w:rPr>
              <w:t>响应</w:t>
            </w:r>
            <w:r>
              <w:rPr>
                <w:rFonts w:hint="eastAsia" w:ascii="宋体" w:hAnsi="宋体" w:cs="宋体"/>
                <w:sz w:val="24"/>
                <w:szCs w:val="24"/>
              </w:rPr>
              <w:t>文件；如</w:t>
            </w:r>
            <w:r>
              <w:rPr>
                <w:rFonts w:hint="eastAsia" w:ascii="宋体" w:hAnsi="宋体" w:cs="宋体"/>
                <w:sz w:val="24"/>
                <w:szCs w:val="24"/>
                <w:lang w:eastAsia="zh-CN"/>
              </w:rPr>
              <w:t>响应</w:t>
            </w:r>
            <w:r>
              <w:rPr>
                <w:rFonts w:hint="eastAsia" w:ascii="宋体" w:hAnsi="宋体" w:cs="宋体"/>
                <w:sz w:val="24"/>
                <w:szCs w:val="24"/>
              </w:rPr>
              <w:t>文件中出现外文资料，必须配以中文译文。否则，由此引发的一切责任由供应商自负。</w:t>
            </w:r>
          </w:p>
          <w:p>
            <w:pPr>
              <w:spacing w:line="360" w:lineRule="auto"/>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拒绝接受以电话、传真、电子邮件形式的</w:t>
            </w:r>
            <w:r>
              <w:rPr>
                <w:rFonts w:hint="eastAsia" w:ascii="宋体" w:hAnsi="宋体" w:cs="宋体"/>
                <w:sz w:val="24"/>
                <w:szCs w:val="24"/>
                <w:lang w:eastAsia="zh-CN"/>
              </w:rPr>
              <w:t>响应</w:t>
            </w:r>
            <w:r>
              <w:rPr>
                <w:rFonts w:hint="eastAsia" w:ascii="宋体" w:hAnsi="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494" w:type="dxa"/>
            <w:vAlign w:val="center"/>
          </w:tcPr>
          <w:p>
            <w:pPr>
              <w:spacing w:line="360" w:lineRule="auto"/>
              <w:ind w:firstLine="240" w:firstLineChars="100"/>
              <w:rPr>
                <w:rFonts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在保证采购项目质量和双方商定合理价格的基础上进行采购。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sz w:val="24"/>
                <w:szCs w:val="24"/>
              </w:rPr>
              <w:t>1</w:t>
            </w:r>
            <w:r>
              <w:rPr>
                <w:rFonts w:hint="eastAsia" w:ascii="宋体" w:hAnsi="宋体" w:cs="宋体"/>
                <w:sz w:val="24"/>
                <w:szCs w:val="24"/>
                <w:lang w:val="en-US" w:eastAsia="zh-CN"/>
              </w:rPr>
              <w:t>4</w:t>
            </w:r>
          </w:p>
        </w:tc>
        <w:tc>
          <w:tcPr>
            <w:tcW w:w="1494" w:type="dxa"/>
            <w:vAlign w:val="center"/>
          </w:tcPr>
          <w:p>
            <w:pPr>
              <w:spacing w:line="360" w:lineRule="auto"/>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rPr>
              <w:t>项目属性</w:t>
            </w:r>
          </w:p>
        </w:tc>
        <w:tc>
          <w:tcPr>
            <w:tcW w:w="7219" w:type="dxa"/>
            <w:vAlign w:val="center"/>
          </w:tcPr>
          <w:p>
            <w:pPr>
              <w:pStyle w:val="21"/>
              <w:rPr>
                <w:rFonts w:hint="eastAsia" w:ascii="宋体" w:hAnsi="宋体" w:eastAsia="宋体" w:cs="宋体"/>
                <w:kern w:val="2"/>
                <w:sz w:val="24"/>
                <w:szCs w:val="24"/>
                <w:lang w:val="en-US" w:eastAsia="zh-CN" w:bidi="ar-SA"/>
              </w:rPr>
            </w:pPr>
            <w:r>
              <w:rPr>
                <w:rFonts w:hint="eastAsia" w:ascii="仿宋" w:hAnsi="仿宋" w:cs="Courier New"/>
                <w:color w:val="000000"/>
                <w:sz w:val="24"/>
                <w:szCs w:val="24"/>
                <w:lang w:eastAsia="zh-CN"/>
              </w:rPr>
              <w:t>货物</w:t>
            </w:r>
            <w:r>
              <w:rPr>
                <w:rFonts w:hint="eastAsia" w:ascii="仿宋" w:hAnsi="仿宋" w:cs="Courier New"/>
                <w:color w:val="000000"/>
                <w:sz w:val="24"/>
                <w:szCs w:val="24"/>
              </w:rPr>
              <w:t>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494" w:type="dxa"/>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所属行业</w:t>
            </w:r>
          </w:p>
        </w:tc>
        <w:tc>
          <w:tcPr>
            <w:tcW w:w="7219" w:type="dxa"/>
            <w:vAlign w:val="center"/>
          </w:tcPr>
          <w:p>
            <w:pPr>
              <w:pStyle w:val="21"/>
              <w:rPr>
                <w:rFonts w:hint="eastAsia" w:ascii="宋体" w:hAnsi="宋体" w:cs="宋体"/>
                <w:sz w:val="24"/>
                <w:szCs w:val="24"/>
                <w:lang w:val="en-US" w:eastAsia="zh-CN"/>
              </w:rPr>
            </w:pPr>
            <w:r>
              <w:rPr>
                <w:rFonts w:hint="eastAsia" w:ascii="仿宋" w:hAnsi="仿宋" w:cs="Courier New"/>
                <w:color w:val="000000"/>
                <w:sz w:val="24"/>
                <w:szCs w:val="24"/>
              </w:rPr>
              <w:t>所有标的所属行业为</w:t>
            </w:r>
            <w:r>
              <w:rPr>
                <w:rFonts w:hint="eastAsia" w:ascii="仿宋" w:hAnsi="仿宋" w:cs="Courier New"/>
                <w:color w:val="000000"/>
                <w:sz w:val="24"/>
                <w:szCs w:val="24"/>
                <w:lang w:eastAsia="zh-CN"/>
              </w:rPr>
              <w:t>工</w:t>
            </w:r>
            <w:r>
              <w:rPr>
                <w:rFonts w:hint="eastAsia" w:ascii="仿宋" w:hAnsi="仿宋" w:cs="Courier New"/>
                <w:color w:val="000000"/>
                <w:sz w:val="24"/>
                <w:szCs w:val="24"/>
              </w:rPr>
              <w:t>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1494" w:type="dxa"/>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是否专门面向中小企业</w:t>
            </w:r>
          </w:p>
        </w:tc>
        <w:tc>
          <w:tcPr>
            <w:tcW w:w="7219" w:type="dxa"/>
            <w:vAlign w:val="center"/>
          </w:tcPr>
          <w:p>
            <w:p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rPr>
              <w:t>参照国家计委颁布的《招标代理服务收费管理暂行办法》（计价格[2002]1980号）和发改办价格[2003]857号文件等法律法规规定的计价标准收取（含税），按照中标金额差额定率累进法计算，由中标/成交单位一次性支付给乙方。</w:t>
            </w:r>
          </w:p>
          <w:p>
            <w:pPr>
              <w:spacing w:line="360" w:lineRule="auto"/>
              <w:ind w:firstLine="480" w:firstLineChars="200"/>
              <w:rPr>
                <w:rFonts w:ascii="宋体" w:hAnsi="宋体" w:cs="宋体"/>
                <w:sz w:val="24"/>
                <w:szCs w:val="24"/>
              </w:rPr>
            </w:pPr>
            <w:r>
              <w:rPr>
                <w:rFonts w:hint="eastAsia" w:ascii="宋体" w:hAnsi="宋体" w:eastAsia="宋体" w:cs="宋体"/>
                <w:sz w:val="24"/>
                <w:szCs w:val="24"/>
                <w:highlight w:val="none"/>
              </w:rPr>
              <w:t>供应商将招标代理服务费计入</w:t>
            </w:r>
            <w:r>
              <w:rPr>
                <w:rFonts w:hint="eastAsia" w:ascii="宋体" w:hAnsi="宋体" w:eastAsia="宋体" w:cs="宋体"/>
                <w:sz w:val="24"/>
                <w:szCs w:val="24"/>
                <w:highlight w:val="none"/>
                <w:lang w:eastAsia="zh-CN"/>
              </w:rPr>
              <w:t>响应报价</w:t>
            </w:r>
            <w:r>
              <w:rPr>
                <w:rFonts w:hint="eastAsia" w:ascii="宋体" w:hAnsi="宋体" w:eastAsia="宋体" w:cs="宋体"/>
                <w:sz w:val="24"/>
                <w:szCs w:val="24"/>
                <w:highlight w:val="none"/>
              </w:rPr>
              <w:t>但不单独列明，中标单位在领取中标通知书前，须向采购代理机构一次性支付招标代理服务费；代理服务费以转账、电汇或现金等形式交纳。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219" w:type="dxa"/>
            <w:vAlign w:val="center"/>
          </w:tcPr>
          <w:p>
            <w:pPr>
              <w:spacing w:line="560" w:lineRule="exact"/>
              <w:jc w:val="left"/>
              <w:rPr>
                <w:rFonts w:ascii="宋体" w:hAnsi="宋体" w:cs="宋体"/>
                <w:sz w:val="24"/>
                <w:szCs w:val="24"/>
              </w:rPr>
            </w:pPr>
            <w:r>
              <w:rPr>
                <w:rFonts w:hint="eastAsia" w:ascii="宋体" w:hAnsi="宋体" w:cs="宋体"/>
                <w:sz w:val="24"/>
                <w:szCs w:val="24"/>
              </w:rPr>
              <w:t>凡是需要法定代表人签字或盖章之处，非法人单位的负责人均参照执行</w:t>
            </w:r>
          </w:p>
        </w:tc>
      </w:tr>
    </w:tbl>
    <w:p>
      <w:pPr>
        <w:tabs>
          <w:tab w:val="left" w:pos="6793"/>
        </w:tabs>
        <w:jc w:val="left"/>
      </w:pPr>
    </w:p>
    <w:p>
      <w:pPr>
        <w:pStyle w:val="3"/>
        <w:keepLines w:val="0"/>
        <w:jc w:val="both"/>
        <w:rPr>
          <w:rFonts w:ascii="宋体" w:cs="宋体"/>
        </w:rPr>
        <w:sectPr>
          <w:headerReference r:id="rId12" w:type="default"/>
          <w:footerReference r:id="rId13" w:type="default"/>
          <w:pgSz w:w="11906" w:h="16838"/>
          <w:pgMar w:top="1440" w:right="1706" w:bottom="1440" w:left="1800" w:header="851" w:footer="992" w:gutter="0"/>
          <w:pgNumType w:fmt="decimal"/>
          <w:cols w:space="720" w:num="1"/>
          <w:docGrid w:type="lines" w:linePitch="312" w:charSpace="0"/>
        </w:sectPr>
      </w:pPr>
    </w:p>
    <w:p>
      <w:pPr>
        <w:pStyle w:val="3"/>
        <w:keepLines w:val="0"/>
        <w:spacing w:before="312" w:beforeLines="100" w:after="312" w:afterLines="100" w:line="500" w:lineRule="exact"/>
        <w:rPr>
          <w:rFonts w:ascii="宋体" w:cs="宋体"/>
          <w:sz w:val="36"/>
          <w:szCs w:val="36"/>
        </w:rPr>
      </w:pPr>
      <w:bookmarkStart w:id="11" w:name="_Toc19272"/>
      <w:bookmarkStart w:id="12" w:name="_Toc32443"/>
      <w:bookmarkStart w:id="13" w:name="_Toc19871"/>
      <w:r>
        <w:rPr>
          <w:rFonts w:hint="eastAsia" w:ascii="宋体" w:hAnsi="宋体" w:cs="宋体"/>
          <w:sz w:val="36"/>
          <w:szCs w:val="36"/>
        </w:rPr>
        <w:t>第三部分</w:t>
      </w:r>
      <w:r>
        <w:rPr>
          <w:rFonts w:hint="eastAsia" w:ascii="宋体" w:hAnsi="宋体" w:cs="宋体"/>
          <w:sz w:val="36"/>
          <w:szCs w:val="36"/>
          <w:lang w:val="en-US" w:eastAsia="zh-CN"/>
        </w:rPr>
        <w:t xml:space="preserve">  </w:t>
      </w:r>
      <w:r>
        <w:rPr>
          <w:rFonts w:hint="eastAsia" w:ascii="宋体" w:hAnsi="宋体" w:cs="宋体"/>
          <w:sz w:val="36"/>
          <w:szCs w:val="36"/>
        </w:rPr>
        <w:t>供应商须知</w:t>
      </w:r>
      <w:bookmarkEnd w:id="11"/>
      <w:bookmarkEnd w:id="12"/>
      <w:bookmarkEnd w:id="13"/>
    </w:p>
    <w:p>
      <w:pPr>
        <w:pStyle w:val="4"/>
        <w:rPr>
          <w:rFonts w:ascii="宋体" w:cs="宋体"/>
        </w:rPr>
      </w:pPr>
      <w:bookmarkStart w:id="14" w:name="_Toc5632"/>
      <w:bookmarkStart w:id="15" w:name="_Toc15774"/>
      <w:bookmarkStart w:id="16" w:name="_Toc26739"/>
      <w:r>
        <w:rPr>
          <w:rFonts w:hint="eastAsia" w:ascii="宋体" w:hAnsi="宋体" w:cs="宋体"/>
        </w:rPr>
        <w:t>一、总则</w:t>
      </w:r>
      <w:bookmarkEnd w:id="14"/>
      <w:bookmarkEnd w:id="15"/>
      <w:bookmarkEnd w:id="16"/>
    </w:p>
    <w:p>
      <w:pPr>
        <w:pStyle w:val="5"/>
        <w:numPr>
          <w:ilvl w:val="0"/>
          <w:numId w:val="7"/>
        </w:numPr>
        <w:spacing w:line="500" w:lineRule="exact"/>
        <w:ind w:firstLine="643" w:firstLineChars="200"/>
        <w:rPr>
          <w:rFonts w:ascii="宋体" w:cs="宋体"/>
          <w:szCs w:val="28"/>
        </w:rPr>
      </w:pPr>
      <w:bookmarkStart w:id="17" w:name="_Toc380336725"/>
      <w:bookmarkStart w:id="18" w:name="_Toc6742"/>
      <w:bookmarkStart w:id="19" w:name="_Toc358364319"/>
      <w:bookmarkStart w:id="20" w:name="_Toc9257"/>
      <w:r>
        <w:rPr>
          <w:rFonts w:hint="eastAsia" w:ascii="宋体" w:hAnsi="宋体" w:cs="宋体"/>
          <w:szCs w:val="28"/>
        </w:rPr>
        <w:t>适用范围</w:t>
      </w:r>
      <w:bookmarkEnd w:id="17"/>
      <w:bookmarkEnd w:id="18"/>
      <w:bookmarkEnd w:id="19"/>
      <w:bookmarkEnd w:id="20"/>
    </w:p>
    <w:p>
      <w:pPr>
        <w:widowControl/>
        <w:spacing w:line="500" w:lineRule="exact"/>
        <w:ind w:left="420" w:leftChars="200" w:firstLine="480" w:firstLineChars="200"/>
        <w:rPr>
          <w:rFonts w:ascii="宋体" w:cs="宋体"/>
          <w:kern w:val="0"/>
          <w:sz w:val="24"/>
          <w:szCs w:val="24"/>
        </w:rPr>
      </w:pPr>
      <w:r>
        <w:rPr>
          <w:rFonts w:ascii="宋体" w:hAnsi="宋体" w:cs="宋体"/>
          <w:kern w:val="0"/>
          <w:sz w:val="24"/>
          <w:szCs w:val="24"/>
        </w:rPr>
        <w:t xml:space="preserve">1.1 </w:t>
      </w:r>
      <w:r>
        <w:rPr>
          <w:rFonts w:hint="eastAsia" w:ascii="宋体" w:hAnsi="宋体" w:cs="宋体"/>
          <w:kern w:val="0"/>
          <w:sz w:val="24"/>
          <w:szCs w:val="24"/>
        </w:rPr>
        <w:t>本采购文件适用于本次采购活动的全过程。</w:t>
      </w:r>
    </w:p>
    <w:p>
      <w:pPr>
        <w:widowControl/>
        <w:spacing w:line="500" w:lineRule="exact"/>
        <w:ind w:left="420" w:leftChars="200"/>
        <w:rPr>
          <w:rFonts w:ascii="宋体" w:cs="宋体"/>
          <w:kern w:val="0"/>
          <w:sz w:val="24"/>
          <w:szCs w:val="24"/>
        </w:rPr>
      </w:pPr>
      <w:r>
        <w:rPr>
          <w:rFonts w:ascii="宋体" w:hAnsi="宋体" w:cs="宋体"/>
          <w:kern w:val="0"/>
          <w:sz w:val="24"/>
          <w:szCs w:val="24"/>
        </w:rPr>
        <w:t xml:space="preserve">    1.2 </w:t>
      </w:r>
      <w:r>
        <w:rPr>
          <w:rFonts w:hint="eastAsia" w:ascii="宋体" w:hAnsi="宋体" w:cs="宋体"/>
          <w:kern w:val="0"/>
          <w:sz w:val="24"/>
          <w:szCs w:val="24"/>
        </w:rPr>
        <w:t>本次采购采购人、采购代理机构、供应商、单一来源采购人员的相关行为均受《中华人民共和国政府采购法》及实施条例、财政部规章及政府采购项目所在地有关法规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7"/>
        </w:numPr>
        <w:spacing w:line="500" w:lineRule="exact"/>
        <w:ind w:firstLine="643" w:firstLineChars="200"/>
        <w:rPr>
          <w:rFonts w:ascii="宋体" w:cs="宋体"/>
          <w:szCs w:val="28"/>
        </w:rPr>
      </w:pPr>
      <w:bookmarkStart w:id="21" w:name="_Toc17676"/>
      <w:bookmarkStart w:id="22" w:name="_Toc23781"/>
      <w:bookmarkStart w:id="23" w:name="_Toc380336727"/>
      <w:bookmarkStart w:id="24" w:name="_Toc358364321"/>
      <w:r>
        <w:rPr>
          <w:rFonts w:hint="eastAsia" w:ascii="宋体" w:hAnsi="宋体" w:cs="宋体"/>
          <w:szCs w:val="28"/>
        </w:rPr>
        <w:t>合格的</w:t>
      </w:r>
      <w:bookmarkEnd w:id="21"/>
      <w:bookmarkEnd w:id="22"/>
      <w:bookmarkEnd w:id="23"/>
      <w:bookmarkEnd w:id="24"/>
      <w:r>
        <w:rPr>
          <w:rFonts w:hint="eastAsia" w:ascii="宋体" w:hAnsi="宋体" w:cs="宋体"/>
          <w:szCs w:val="28"/>
        </w:rPr>
        <w:t>供应商</w:t>
      </w:r>
    </w:p>
    <w:p>
      <w:pPr>
        <w:tabs>
          <w:tab w:val="left" w:pos="0"/>
        </w:tabs>
        <w:spacing w:line="500" w:lineRule="exact"/>
        <w:ind w:left="5" w:firstLine="518" w:firstLineChars="216"/>
        <w:jc w:val="left"/>
        <w:rPr>
          <w:rFonts w:ascii="宋体" w:cs="宋体"/>
          <w:sz w:val="24"/>
          <w:szCs w:val="24"/>
        </w:rPr>
      </w:pPr>
      <w:r>
        <w:rPr>
          <w:rFonts w:hint="eastAsia" w:ascii="宋体" w:hAnsi="宋体" w:cs="宋体"/>
          <w:sz w:val="24"/>
          <w:szCs w:val="24"/>
        </w:rPr>
        <w:t xml:space="preserve">  2.1供应商应遵守有关的国家法律、法规和条例，具备《中华人民共和国政府采购法》和本文件中规定的条件：</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具有独立承担民事责任的能力；</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具有良好的商业信誉和健全的财务会计制度；</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具有履行合同所必需的设备和专业技术能力；</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具有依法缴纳税收和社会保障资金的良好记录；</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参加此项采购活动前三年内，在经营活动中没有重大违法记录；</w:t>
      </w:r>
    </w:p>
    <w:p>
      <w:pPr>
        <w:numPr>
          <w:ilvl w:val="0"/>
          <w:numId w:val="8"/>
        </w:numPr>
        <w:spacing w:line="500" w:lineRule="exact"/>
        <w:ind w:left="5" w:firstLine="518" w:firstLineChars="216"/>
        <w:jc w:val="left"/>
        <w:rPr>
          <w:rFonts w:asci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5" w:firstLine="518" w:firstLineChars="216"/>
        <w:rPr>
          <w:rFonts w:ascii="宋体" w:cs="宋体"/>
          <w:color w:val="000000"/>
          <w:kern w:val="0"/>
          <w:sz w:val="24"/>
          <w:szCs w:val="24"/>
        </w:rPr>
      </w:pPr>
      <w:r>
        <w:rPr>
          <w:rFonts w:hint="eastAsia" w:ascii="宋体" w:hAnsi="宋体" w:cs="宋体"/>
          <w:sz w:val="24"/>
          <w:szCs w:val="24"/>
        </w:rPr>
        <w:t xml:space="preserve">  2.2</w:t>
      </w:r>
      <w:bookmarkStart w:id="25" w:name="_Toc540"/>
      <w:bookmarkStart w:id="26" w:name="_Toc380336728"/>
      <w:bookmarkStart w:id="27" w:name="_Toc22444"/>
      <w:bookmarkStart w:id="28" w:name="_Toc358364322"/>
      <w:r>
        <w:rPr>
          <w:rFonts w:hint="eastAsia" w:ascii="宋体" w:hAnsi="宋体" w:cs="宋体"/>
          <w:sz w:val="24"/>
          <w:szCs w:val="24"/>
        </w:rPr>
        <w:t>供</w:t>
      </w:r>
      <w:r>
        <w:rPr>
          <w:rFonts w:hint="eastAsia" w:ascii="宋体" w:hAnsi="宋体" w:cs="宋体"/>
          <w:color w:val="000000"/>
          <w:kern w:val="0"/>
          <w:sz w:val="24"/>
          <w:szCs w:val="24"/>
        </w:rPr>
        <w:t>应商存在下列情形之一，其响应文件按无效文件处理。</w:t>
      </w:r>
    </w:p>
    <w:bookmarkEnd w:id="25"/>
    <w:bookmarkEnd w:id="26"/>
    <w:bookmarkEnd w:id="27"/>
    <w:bookmarkEnd w:id="28"/>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left="6" w:firstLine="480" w:firstLineChars="200"/>
        <w:rPr>
          <w:rFonts w:ascii="宋体" w:cs="宋体"/>
          <w:kern w:val="0"/>
          <w:sz w:val="24"/>
          <w:szCs w:val="24"/>
        </w:rPr>
      </w:pPr>
      <w:r>
        <w:rPr>
          <w:rFonts w:hint="eastAsia" w:ascii="宋体" w:cs="宋体"/>
          <w:kern w:val="0"/>
          <w:sz w:val="24"/>
          <w:szCs w:val="24"/>
        </w:rPr>
        <w:t>（2）供应商在响应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5"/>
        <w:numPr>
          <w:ilvl w:val="0"/>
          <w:numId w:val="7"/>
        </w:numPr>
        <w:spacing w:line="500" w:lineRule="exact"/>
        <w:ind w:firstLine="643" w:firstLineChars="200"/>
        <w:rPr>
          <w:rFonts w:ascii="宋体" w:cs="宋体"/>
          <w:szCs w:val="28"/>
        </w:rPr>
      </w:pPr>
      <w:r>
        <w:rPr>
          <w:rFonts w:hint="eastAsia" w:ascii="宋体" w:hAnsi="宋体" w:cs="宋体"/>
          <w:szCs w:val="28"/>
        </w:rPr>
        <w:t>费用</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供应商必须从代理机构购买采购文件，供应商自行转让或复制采购文件视为无效。采购文件一经售出，一律不退，仅作为本次单一来源采购使用。</w:t>
      </w:r>
    </w:p>
    <w:p>
      <w:pPr>
        <w:spacing w:line="360" w:lineRule="auto"/>
        <w:ind w:firstLine="480" w:firstLineChars="200"/>
        <w:jc w:val="left"/>
        <w:rPr>
          <w:rFonts w:ascii="宋体" w:hAnsi="宋体"/>
          <w:sz w:val="24"/>
        </w:rPr>
      </w:pPr>
      <w:r>
        <w:rPr>
          <w:rFonts w:hint="eastAsia" w:ascii="宋体" w:hAnsi="宋体"/>
          <w:sz w:val="24"/>
        </w:rPr>
        <w:t>无论采购过程和结果如何，供应商自行承担与响应有关的全部费用。</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sectPr>
          <w:pgSz w:w="11906" w:h="16838"/>
          <w:pgMar w:top="1440" w:right="1706" w:bottom="1440" w:left="1800" w:header="851" w:footer="992" w:gutter="0"/>
          <w:pgNumType w:fmt="decimal"/>
          <w:cols w:space="720" w:num="1"/>
          <w:docGrid w:type="lines" w:linePitch="312" w:charSpace="0"/>
        </w:sectPr>
      </w:pPr>
    </w:p>
    <w:p>
      <w:pPr>
        <w:pStyle w:val="4"/>
        <w:jc w:val="center"/>
        <w:rPr>
          <w:rFonts w:ascii="宋体" w:cs="宋体"/>
        </w:rPr>
      </w:pPr>
      <w:bookmarkStart w:id="29" w:name="_Toc24832"/>
      <w:bookmarkStart w:id="30" w:name="_Toc25165"/>
      <w:bookmarkStart w:id="31" w:name="_Toc7144"/>
      <w:r>
        <w:rPr>
          <w:rFonts w:hint="eastAsia" w:ascii="宋体" w:hAnsi="宋体" w:cs="宋体"/>
        </w:rPr>
        <w:t>二、采购文件</w:t>
      </w:r>
      <w:bookmarkEnd w:id="29"/>
      <w:bookmarkEnd w:id="30"/>
      <w:bookmarkEnd w:id="31"/>
    </w:p>
    <w:p>
      <w:pPr>
        <w:pStyle w:val="5"/>
        <w:keepNext w:val="0"/>
        <w:keepLines w:val="0"/>
        <w:numPr>
          <w:ilvl w:val="0"/>
          <w:numId w:val="9"/>
        </w:numPr>
        <w:spacing w:line="360" w:lineRule="auto"/>
        <w:ind w:firstLine="643" w:firstLineChars="200"/>
        <w:rPr>
          <w:rFonts w:ascii="宋体" w:cs="宋体"/>
          <w:szCs w:val="28"/>
        </w:rPr>
      </w:pPr>
      <w:bookmarkStart w:id="32" w:name="_Toc17817"/>
      <w:bookmarkStart w:id="33" w:name="_Toc5801"/>
      <w:r>
        <w:rPr>
          <w:rFonts w:hint="eastAsia" w:ascii="宋体" w:hAnsi="宋体" w:cs="宋体"/>
          <w:szCs w:val="28"/>
        </w:rPr>
        <w:t>采购文件</w:t>
      </w:r>
      <w:bookmarkEnd w:id="32"/>
      <w:r>
        <w:rPr>
          <w:rFonts w:hint="eastAsia" w:ascii="宋体" w:hAnsi="宋体" w:cs="宋体"/>
          <w:szCs w:val="28"/>
        </w:rPr>
        <w:t>的构成</w:t>
      </w:r>
      <w:bookmarkEnd w:id="33"/>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szCs w:val="24"/>
        </w:rPr>
        <w:t>采购文件是供应商准备响应文件和参加响应的依据，同时也是评审的重要依据，具有准法律文件性质。采购文件用以阐明采购项目所需的资质、技术、服务及报价等要求、采购程序、有关规定和注意事项以及合同主要条款等。本采购文件包括以下内容：</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单一来源邀请函；</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供应商须知前附表；</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评审办法；</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采购要求；</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合同条款；</w:t>
      </w:r>
    </w:p>
    <w:p>
      <w:pPr>
        <w:numPr>
          <w:ilvl w:val="0"/>
          <w:numId w:val="10"/>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响应文件格式。</w:t>
      </w:r>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rPr>
        <w:t>供应商应认真阅读和充分理解</w:t>
      </w:r>
      <w:r>
        <w:rPr>
          <w:rFonts w:hint="eastAsia" w:ascii="宋体" w:hAnsi="宋体" w:cs="宋体"/>
          <w:sz w:val="24"/>
          <w:szCs w:val="24"/>
        </w:rPr>
        <w:t>采购</w:t>
      </w:r>
      <w:r>
        <w:rPr>
          <w:rFonts w:hint="eastAsia" w:ascii="宋体" w:hAnsi="宋体" w:cs="宋体"/>
          <w:sz w:val="24"/>
        </w:rPr>
        <w:t>文件中所有的事项、格式条款和规范要求。供应商未对</w:t>
      </w:r>
      <w:r>
        <w:rPr>
          <w:rFonts w:hint="eastAsia" w:ascii="宋体" w:hAnsi="宋体" w:cs="宋体"/>
          <w:sz w:val="24"/>
          <w:szCs w:val="24"/>
        </w:rPr>
        <w:t>采购</w:t>
      </w:r>
      <w:r>
        <w:rPr>
          <w:rFonts w:hint="eastAsia" w:ascii="宋体" w:hAnsi="宋体" w:cs="宋体"/>
          <w:sz w:val="24"/>
        </w:rPr>
        <w:t>文件全面做出实质性响应是供应商的风险。没有按照</w:t>
      </w:r>
      <w:r>
        <w:rPr>
          <w:rFonts w:hint="eastAsia" w:ascii="宋体" w:hAnsi="宋体" w:cs="宋体"/>
          <w:sz w:val="24"/>
          <w:szCs w:val="24"/>
        </w:rPr>
        <w:t>采购</w:t>
      </w:r>
      <w:r>
        <w:rPr>
          <w:rFonts w:hint="eastAsia" w:ascii="宋体" w:hAnsi="宋体" w:cs="宋体"/>
          <w:sz w:val="24"/>
        </w:rPr>
        <w:t>文件要求作出实质性响应的响应文件将被拒绝。</w:t>
      </w:r>
    </w:p>
    <w:p>
      <w:pPr>
        <w:pStyle w:val="5"/>
        <w:keepNext w:val="0"/>
        <w:keepLines w:val="0"/>
        <w:numPr>
          <w:ilvl w:val="0"/>
          <w:numId w:val="9"/>
        </w:numPr>
        <w:spacing w:line="360" w:lineRule="auto"/>
        <w:ind w:firstLine="643" w:firstLineChars="200"/>
        <w:rPr>
          <w:rFonts w:ascii="宋体" w:cs="宋体"/>
          <w:szCs w:val="28"/>
        </w:rPr>
      </w:pPr>
      <w:bookmarkStart w:id="34" w:name="_Toc19797"/>
      <w:r>
        <w:rPr>
          <w:rFonts w:hint="eastAsia" w:ascii="宋体" w:hAnsi="宋体" w:cs="宋体"/>
          <w:szCs w:val="28"/>
        </w:rPr>
        <w:t>采购文件的澄清</w:t>
      </w:r>
      <w:bookmarkEnd w:id="34"/>
    </w:p>
    <w:p>
      <w:pPr>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2.1 </w:t>
      </w:r>
      <w:r>
        <w:rPr>
          <w:rFonts w:hint="eastAsia" w:ascii="宋体" w:hAnsi="宋体" w:cs="宋体"/>
          <w:sz w:val="24"/>
          <w:szCs w:val="24"/>
        </w:rPr>
        <w:t>供应商应认真阅读和充分理解采购文件中所有的事项，如有问题或疑议请及时函告。否则，视为同意采购文件的一切条款和要求并承担由此引起的一切法律责任。凡因供应商对采购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任何对采购文件进行询问或要求进行澄清的供应商，均应在收到采购文件后二日内按采购文件中的通讯地址以书面形式递交代理机构，采购人或代理机构对收到的任何询问或澄清要求将在三个工作日内作出书面答复。</w:t>
      </w:r>
    </w:p>
    <w:p>
      <w:pPr>
        <w:pStyle w:val="5"/>
        <w:keepNext w:val="0"/>
        <w:keepLines w:val="0"/>
        <w:numPr>
          <w:ilvl w:val="0"/>
          <w:numId w:val="9"/>
        </w:numPr>
        <w:spacing w:line="500" w:lineRule="exact"/>
        <w:ind w:firstLine="643" w:firstLineChars="200"/>
        <w:rPr>
          <w:rFonts w:ascii="宋体" w:cs="宋体"/>
          <w:szCs w:val="28"/>
        </w:rPr>
      </w:pPr>
      <w:bookmarkStart w:id="35" w:name="_Toc6390"/>
      <w:r>
        <w:rPr>
          <w:rFonts w:hint="eastAsia" w:ascii="宋体" w:hAnsi="宋体" w:cs="宋体"/>
          <w:szCs w:val="28"/>
        </w:rPr>
        <w:t>采购文件的修改</w:t>
      </w:r>
      <w:bookmarkEnd w:id="35"/>
    </w:p>
    <w:p>
      <w:pPr>
        <w:tabs>
          <w:tab w:val="left" w:pos="0"/>
        </w:tabs>
        <w:adjustRightInd w:val="0"/>
        <w:snapToGrid w:val="0"/>
        <w:spacing w:line="500" w:lineRule="exact"/>
        <w:ind w:firstLine="480" w:firstLineChars="200"/>
        <w:jc w:val="left"/>
        <w:rPr>
          <w:rFonts w:ascii="宋体" w:cs="宋体"/>
          <w:sz w:val="24"/>
          <w:szCs w:val="24"/>
        </w:rPr>
      </w:pPr>
      <w:r>
        <w:rPr>
          <w:rFonts w:ascii="宋体" w:hAnsi="宋体" w:cs="宋体"/>
          <w:sz w:val="24"/>
          <w:szCs w:val="24"/>
        </w:rPr>
        <w:t xml:space="preserve">3.1 </w:t>
      </w:r>
      <w:r>
        <w:rPr>
          <w:rFonts w:hint="eastAsia" w:ascii="宋体" w:hAnsi="宋体" w:cs="宋体"/>
          <w:sz w:val="24"/>
          <w:szCs w:val="24"/>
        </w:rPr>
        <w:t>在响应截止时间五日前，无论出于何种原因，代理机构可主动地或在解答供应商提出的澄清问题时，对采购文件进行修改。采购文件的澄清和修改将以书面形式通知供应商，并作为采购文件的补充，与其具有同等法律效力。</w:t>
      </w:r>
    </w:p>
    <w:p>
      <w:pPr>
        <w:tabs>
          <w:tab w:val="left" w:pos="0"/>
        </w:tabs>
        <w:adjustRightInd w:val="0"/>
        <w:snapToGrid w:val="0"/>
        <w:spacing w:line="500" w:lineRule="exact"/>
        <w:ind w:firstLine="480" w:firstLineChars="200"/>
        <w:jc w:val="left"/>
        <w:rPr>
          <w:rFonts w:ascii="宋体" w:cs="宋体"/>
          <w:b/>
          <w:bCs/>
          <w:color w:val="FF0000"/>
          <w:sz w:val="24"/>
          <w:szCs w:val="24"/>
        </w:rPr>
      </w:pPr>
      <w:r>
        <w:rPr>
          <w:rFonts w:ascii="宋体" w:hAnsi="宋体" w:cs="宋体"/>
          <w:sz w:val="24"/>
          <w:szCs w:val="24"/>
        </w:rPr>
        <w:t xml:space="preserve">3.2 </w:t>
      </w:r>
      <w:r>
        <w:rPr>
          <w:rFonts w:hint="eastAsia" w:ascii="宋体" w:hAnsi="宋体" w:cs="宋体"/>
          <w:sz w:val="24"/>
          <w:szCs w:val="24"/>
        </w:rPr>
        <w:t>为方便供应商对采购文件修改或澄清内容有充分的时间进行补充修改，代理机构可适当延长响应截止时间，将变更时间书面通知购买采购文件的供应商。</w:t>
      </w:r>
    </w:p>
    <w:p>
      <w:pPr>
        <w:pStyle w:val="5"/>
        <w:numPr>
          <w:ilvl w:val="0"/>
          <w:numId w:val="9"/>
        </w:numPr>
        <w:ind w:firstLine="643" w:firstLineChars="200"/>
        <w:rPr>
          <w:rFonts w:ascii="宋体" w:cs="宋体"/>
        </w:rPr>
      </w:pPr>
      <w:bookmarkStart w:id="36" w:name="_Toc5095"/>
      <w:r>
        <w:rPr>
          <w:rFonts w:hint="eastAsia" w:ascii="宋体" w:hAnsi="宋体" w:cs="宋体"/>
        </w:rPr>
        <w:t>单一来源采购文件的解释权归代理机构。</w:t>
      </w:r>
      <w:bookmarkEnd w:id="36"/>
    </w:p>
    <w:p>
      <w:pPr>
        <w:pStyle w:val="4"/>
        <w:jc w:val="center"/>
        <w:rPr>
          <w:rFonts w:ascii="宋体" w:hAnsi="宋体" w:cs="宋体"/>
        </w:rPr>
        <w:sectPr>
          <w:pgSz w:w="11906" w:h="16838"/>
          <w:pgMar w:top="1440" w:right="1706" w:bottom="1440" w:left="1800" w:header="851" w:footer="992" w:gutter="0"/>
          <w:pgNumType w:fmt="decimal"/>
          <w:cols w:space="720" w:num="1"/>
          <w:docGrid w:type="lines" w:linePitch="312" w:charSpace="0"/>
        </w:sectPr>
      </w:pPr>
      <w:bookmarkStart w:id="37" w:name="_Toc15601"/>
    </w:p>
    <w:p>
      <w:pPr>
        <w:pStyle w:val="4"/>
        <w:jc w:val="center"/>
        <w:rPr>
          <w:rFonts w:ascii="宋体" w:cs="宋体"/>
        </w:rPr>
      </w:pPr>
      <w:bookmarkStart w:id="38" w:name="_Toc560"/>
      <w:bookmarkStart w:id="39" w:name="_Toc3459"/>
      <w:r>
        <w:rPr>
          <w:rFonts w:hint="eastAsia" w:ascii="宋体" w:hAnsi="宋体" w:cs="宋体"/>
        </w:rPr>
        <w:t>三、</w:t>
      </w:r>
      <w:bookmarkEnd w:id="37"/>
      <w:r>
        <w:rPr>
          <w:rFonts w:hint="eastAsia" w:ascii="宋体" w:hAnsi="宋体" w:cs="宋体"/>
        </w:rPr>
        <w:t>响应文件</w:t>
      </w:r>
      <w:bookmarkEnd w:id="38"/>
      <w:bookmarkEnd w:id="39"/>
    </w:p>
    <w:p>
      <w:pPr>
        <w:pStyle w:val="5"/>
        <w:numPr>
          <w:ilvl w:val="0"/>
          <w:numId w:val="11"/>
        </w:numPr>
        <w:spacing w:line="500" w:lineRule="exact"/>
        <w:ind w:firstLine="643" w:firstLineChars="200"/>
        <w:rPr>
          <w:rFonts w:ascii="宋体" w:cs="宋体"/>
          <w:szCs w:val="28"/>
        </w:rPr>
      </w:pPr>
      <w:bookmarkStart w:id="40" w:name="_Toc17549"/>
      <w:r>
        <w:rPr>
          <w:rFonts w:hint="eastAsia" w:ascii="宋体" w:hAnsi="宋体" w:cs="宋体"/>
          <w:szCs w:val="28"/>
        </w:rPr>
        <w:t>响应文件的编制</w:t>
      </w:r>
      <w:bookmarkEnd w:id="40"/>
    </w:p>
    <w:p>
      <w:pPr>
        <w:tabs>
          <w:tab w:val="left" w:pos="0"/>
        </w:tabs>
        <w:spacing w:line="500" w:lineRule="exact"/>
        <w:ind w:firstLine="420" w:firstLineChars="175"/>
        <w:jc w:val="left"/>
        <w:rPr>
          <w:rFonts w:ascii="宋体" w:hAnsi="宋体" w:cs="宋体"/>
          <w:sz w:val="24"/>
          <w:szCs w:val="24"/>
        </w:rPr>
      </w:pPr>
      <w:bookmarkStart w:id="41" w:name="_Toc27646"/>
      <w:r>
        <w:rPr>
          <w:rFonts w:hint="eastAsia" w:ascii="宋体" w:hAnsi="宋体" w:cs="宋体"/>
          <w:sz w:val="24"/>
          <w:szCs w:val="24"/>
        </w:rPr>
        <w:t>供应商需依据采购文件内容和响应文件格式的要求编制响应文件，具体内容参见“第七部分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，按照采购文件所规定的内容顺序，统一编目、编页码装订，由于编排混乱导致响应文件被误读或查找不到，其责任应当由供应商承担。装订必须采用胶装形式，不得采用活页装订，必须编排页码。</w:t>
      </w:r>
    </w:p>
    <w:bookmarkEnd w:id="41"/>
    <w:p>
      <w:pPr>
        <w:pStyle w:val="5"/>
        <w:numPr>
          <w:ilvl w:val="0"/>
          <w:numId w:val="11"/>
        </w:numPr>
        <w:rPr>
          <w:rFonts w:ascii="宋体" w:hAnsi="宋体" w:cs="宋体"/>
        </w:rPr>
      </w:pPr>
      <w:bookmarkStart w:id="42" w:name="_Toc22752"/>
      <w:r>
        <w:rPr>
          <w:rFonts w:hint="eastAsia" w:ascii="宋体" w:hAnsi="宋体" w:cs="宋体"/>
        </w:rPr>
        <w:t>响应报价</w:t>
      </w:r>
    </w:p>
    <w:p>
      <w:pPr>
        <w:ind w:firstLine="480" w:firstLineChars="200"/>
      </w:pPr>
      <w:r>
        <w:rPr>
          <w:rFonts w:hint="eastAsia" w:ascii="宋体" w:hAnsi="宋体" w:cs="宋体"/>
          <w:kern w:val="0"/>
          <w:sz w:val="24"/>
        </w:rPr>
        <w:t>详见供应商须知前附表。</w:t>
      </w:r>
    </w:p>
    <w:p>
      <w:pPr>
        <w:pStyle w:val="5"/>
        <w:numPr>
          <w:ilvl w:val="0"/>
          <w:numId w:val="11"/>
        </w:numPr>
        <w:rPr>
          <w:rFonts w:ascii="宋体" w:cs="宋体"/>
        </w:rPr>
      </w:pPr>
      <w:r>
        <w:rPr>
          <w:rFonts w:hint="eastAsia" w:ascii="宋体" w:hAnsi="宋体" w:cs="宋体"/>
        </w:rPr>
        <w:t>货币</w:t>
      </w:r>
    </w:p>
    <w:p>
      <w:pPr>
        <w:ind w:firstLine="480" w:firstLineChars="200"/>
        <w:rPr>
          <w:rFonts w:ascii="宋体" w:cs="宋体"/>
        </w:rPr>
      </w:pPr>
      <w:bookmarkStart w:id="43" w:name="_Toc1311"/>
      <w:r>
        <w:rPr>
          <w:rFonts w:hint="eastAsia" w:ascii="宋体" w:hAnsi="宋体" w:cs="宋体"/>
          <w:kern w:val="0"/>
          <w:sz w:val="24"/>
        </w:rPr>
        <w:t>详见供应商须知前附表。</w:t>
      </w:r>
    </w:p>
    <w:bookmarkEnd w:id="43"/>
    <w:p>
      <w:pPr>
        <w:pStyle w:val="5"/>
        <w:numPr>
          <w:ilvl w:val="0"/>
          <w:numId w:val="11"/>
        </w:numPr>
        <w:rPr>
          <w:rFonts w:ascii="宋体" w:cs="宋体"/>
        </w:rPr>
      </w:pPr>
      <w:bookmarkStart w:id="44" w:name="_Toc19668"/>
      <w:r>
        <w:rPr>
          <w:rFonts w:hint="eastAsia" w:ascii="宋体" w:hAnsi="宋体" w:cs="宋体"/>
        </w:rPr>
        <w:t>响应有效期</w:t>
      </w:r>
      <w:bookmarkEnd w:id="44"/>
    </w:p>
    <w:p>
      <w:pPr>
        <w:adjustRightInd w:val="0"/>
        <w:snapToGrid w:val="0"/>
        <w:spacing w:line="360" w:lineRule="auto"/>
        <w:ind w:firstLine="482" w:firstLineChars="200"/>
        <w:rPr>
          <w:rFonts w:ascii="宋体" w:cs="宋体"/>
          <w:sz w:val="24"/>
          <w:szCs w:val="24"/>
        </w:rPr>
      </w:pPr>
      <w:r>
        <w:rPr>
          <w:rFonts w:hint="eastAsia" w:ascii="宋体" w:hAnsi="宋体" w:cs="宋体"/>
          <w:b/>
          <w:bCs/>
          <w:kern w:val="0"/>
          <w:sz w:val="24"/>
        </w:rPr>
        <w:t>详见供应商须知前附表</w:t>
      </w:r>
      <w:r>
        <w:rPr>
          <w:rFonts w:hint="eastAsia" w:ascii="宋体" w:hAnsi="宋体" w:cs="宋体"/>
          <w:sz w:val="24"/>
          <w:szCs w:val="24"/>
        </w:rPr>
        <w:t>，响应有效期短规定期限的响应文件，视为无效文件，其响应将被拒绝。成交单位的响应文件有效期延长至合同执行完毕。</w:t>
      </w:r>
    </w:p>
    <w:p>
      <w:pPr>
        <w:pStyle w:val="5"/>
        <w:numPr>
          <w:ilvl w:val="0"/>
          <w:numId w:val="11"/>
        </w:numPr>
        <w:rPr>
          <w:rFonts w:ascii="宋体" w:cs="宋体"/>
        </w:rPr>
      </w:pPr>
      <w:bookmarkStart w:id="45" w:name="_Toc24827"/>
      <w:r>
        <w:rPr>
          <w:rFonts w:hint="eastAsia" w:ascii="宋体" w:hAnsi="宋体" w:cs="宋体"/>
        </w:rPr>
        <w:t>响应文件的格式、装订、密封和签署</w:t>
      </w:r>
      <w:bookmarkEnd w:id="45"/>
    </w:p>
    <w:p>
      <w:pPr>
        <w:tabs>
          <w:tab w:val="left" w:pos="0"/>
        </w:tabs>
        <w:spacing w:line="360" w:lineRule="auto"/>
        <w:ind w:firstLine="480" w:firstLineChars="200"/>
        <w:rPr>
          <w:rFonts w:ascii="宋体" w:cs="宋体"/>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rPr>
        <w:t>1响应文件的装订</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rPr>
        <w:t>2响应文件的签署</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rPr>
        <w:t>3响应文件的密封</w:t>
      </w:r>
    </w:p>
    <w:p>
      <w:pPr>
        <w:ind w:firstLine="482" w:firstLineChars="200"/>
        <w:rPr>
          <w:rFonts w:ascii="宋体" w:hAnsi="宋体" w:cs="宋体"/>
          <w:sz w:val="24"/>
          <w:szCs w:val="24"/>
        </w:rPr>
      </w:pPr>
      <w:r>
        <w:rPr>
          <w:rFonts w:hint="eastAsia" w:ascii="宋体" w:hAnsi="宋体" w:cs="宋体"/>
          <w:b/>
          <w:bCs/>
          <w:kern w:val="0"/>
          <w:sz w:val="24"/>
        </w:rPr>
        <w:t>详见供应商须知前附表。</w:t>
      </w:r>
    </w:p>
    <w:bookmarkEnd w:id="42"/>
    <w:p>
      <w:pPr>
        <w:pStyle w:val="2"/>
      </w:pPr>
    </w:p>
    <w:p>
      <w:pPr>
        <w:widowControl/>
        <w:numPr>
          <w:ilvl w:val="0"/>
          <w:numId w:val="12"/>
        </w:numPr>
        <w:spacing w:line="500" w:lineRule="exact"/>
        <w:ind w:firstLine="482" w:firstLineChars="200"/>
        <w:jc w:val="center"/>
        <w:outlineLvl w:val="1"/>
        <w:rPr>
          <w:rFonts w:asci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46" w:name="_Toc3736"/>
    </w:p>
    <w:p>
      <w:pPr>
        <w:widowControl/>
        <w:spacing w:before="159" w:beforeLines="50" w:after="159" w:afterLines="50" w:line="500" w:lineRule="exact"/>
        <w:jc w:val="center"/>
        <w:outlineLvl w:val="1"/>
        <w:rPr>
          <w:rFonts w:ascii="宋体" w:cs="宋体"/>
          <w:b/>
          <w:bCs/>
          <w:kern w:val="0"/>
          <w:sz w:val="32"/>
          <w:szCs w:val="28"/>
        </w:rPr>
      </w:pPr>
      <w:bookmarkStart w:id="47" w:name="_Toc3565"/>
      <w:bookmarkStart w:id="48" w:name="_Toc8627"/>
      <w:bookmarkStart w:id="49" w:name="_Toc28968"/>
      <w:r>
        <w:rPr>
          <w:rFonts w:hint="eastAsia" w:ascii="宋体" w:hAnsi="宋体" w:cs="宋体"/>
          <w:b/>
          <w:bCs/>
          <w:kern w:val="0"/>
          <w:sz w:val="32"/>
          <w:szCs w:val="28"/>
        </w:rPr>
        <w:t>四、响应文件的递交</w:t>
      </w:r>
      <w:bookmarkEnd w:id="47"/>
      <w:bookmarkEnd w:id="48"/>
      <w:bookmarkEnd w:id="49"/>
    </w:p>
    <w:bookmarkEnd w:id="46"/>
    <w:p>
      <w:pPr>
        <w:pStyle w:val="5"/>
        <w:keepNext w:val="0"/>
        <w:keepLines w:val="0"/>
        <w:numPr>
          <w:ilvl w:val="0"/>
          <w:numId w:val="13"/>
        </w:numPr>
        <w:spacing w:line="500" w:lineRule="exact"/>
        <w:ind w:left="-13" w:leftChars="0" w:firstLine="643" w:firstLineChars="0"/>
        <w:rPr>
          <w:rFonts w:ascii="宋体" w:cs="宋体"/>
          <w:szCs w:val="28"/>
        </w:rPr>
      </w:pPr>
      <w:bookmarkStart w:id="50" w:name="_Toc3685"/>
      <w:r>
        <w:rPr>
          <w:rFonts w:hint="eastAsia" w:ascii="宋体" w:hAnsi="宋体" w:cs="宋体"/>
          <w:szCs w:val="28"/>
        </w:rPr>
        <w:t>响应文件递交</w:t>
      </w:r>
      <w:bookmarkEnd w:id="50"/>
    </w:p>
    <w:p>
      <w:pPr>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供应商应当在提交响应文件的截止时间前，将响应文件密封送达响应地点。采购代理机构收到响应文件后，签收保存，并向供应商出具签收回执。代理机构项目承办人在递交截止时间前，只负责响应文件的接收、清点、造册登记工作，并请供应商代表签字确认，对其有效性不负任何责任。任何单位和个人不得在响应前开启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2代理机构不接受邮寄的响应文件。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3无论供应商成交与否，其响应文件恕不退还。</w:t>
      </w:r>
    </w:p>
    <w:p>
      <w:pPr>
        <w:pStyle w:val="5"/>
        <w:keepNext w:val="0"/>
        <w:keepLines w:val="0"/>
        <w:numPr>
          <w:ilvl w:val="0"/>
          <w:numId w:val="13"/>
        </w:numPr>
        <w:spacing w:line="500" w:lineRule="exact"/>
        <w:ind w:left="-13" w:leftChars="0" w:firstLine="643" w:firstLineChars="0"/>
        <w:rPr>
          <w:rFonts w:ascii="宋体" w:cs="宋体"/>
          <w:szCs w:val="28"/>
        </w:rPr>
      </w:pPr>
      <w:bookmarkStart w:id="51" w:name="_Toc12741"/>
      <w:r>
        <w:rPr>
          <w:rFonts w:hint="eastAsia" w:ascii="宋体" w:hAnsi="宋体" w:cs="宋体"/>
          <w:szCs w:val="28"/>
        </w:rPr>
        <w:t>响应文件的修改和撤回</w:t>
      </w:r>
      <w:bookmarkEnd w:id="51"/>
    </w:p>
    <w:p>
      <w:pPr>
        <w:spacing w:line="500" w:lineRule="exact"/>
        <w:ind w:firstLine="480" w:firstLineChars="200"/>
        <w:jc w:val="left"/>
        <w:rPr>
          <w:rFonts w:ascii="宋体" w:cs="宋体"/>
          <w:sz w:val="24"/>
          <w:szCs w:val="24"/>
        </w:rPr>
      </w:pPr>
      <w:r>
        <w:rPr>
          <w:rFonts w:hint="eastAsia" w:ascii="宋体" w:hAnsi="宋体" w:cs="宋体"/>
          <w:sz w:val="24"/>
          <w:szCs w:val="24"/>
        </w:rPr>
        <w:t>在响应截止时间之后，供应商不得对其响应文件进行补充、修改或撤回。</w:t>
      </w:r>
    </w:p>
    <w:p>
      <w:pPr>
        <w:widowControl/>
        <w:spacing w:before="159" w:beforeLines="50" w:after="159" w:afterLines="50" w:line="500" w:lineRule="exact"/>
        <w:jc w:val="center"/>
        <w:outlineLvl w:val="1"/>
        <w:rPr>
          <w:rFonts w:ascii="宋体" w:cs="宋体"/>
          <w:b/>
          <w:bCs/>
          <w:kern w:val="0"/>
          <w:sz w:val="32"/>
          <w:szCs w:val="28"/>
        </w:rPr>
      </w:pPr>
      <w:bookmarkStart w:id="52" w:name="_Toc14415"/>
      <w:bookmarkStart w:id="53" w:name="_Toc27066"/>
      <w:bookmarkStart w:id="54" w:name="_Toc13276"/>
      <w:bookmarkStart w:id="55" w:name="_Toc23797"/>
      <w:r>
        <w:rPr>
          <w:rFonts w:hint="eastAsia" w:ascii="宋体" w:hAnsi="宋体" w:cs="宋体"/>
          <w:b/>
          <w:bCs/>
          <w:kern w:val="0"/>
          <w:sz w:val="32"/>
          <w:szCs w:val="28"/>
        </w:rPr>
        <w:t>五、</w:t>
      </w:r>
      <w:bookmarkEnd w:id="52"/>
      <w:bookmarkEnd w:id="53"/>
      <w:r>
        <w:rPr>
          <w:rFonts w:hint="eastAsia" w:ascii="宋体" w:hAnsi="宋体" w:cs="宋体"/>
          <w:b/>
          <w:bCs/>
          <w:kern w:val="0"/>
          <w:sz w:val="32"/>
          <w:szCs w:val="28"/>
        </w:rPr>
        <w:t>采购程序</w:t>
      </w:r>
      <w:bookmarkEnd w:id="54"/>
      <w:bookmarkEnd w:id="55"/>
    </w:p>
    <w:p>
      <w:pPr>
        <w:pStyle w:val="5"/>
        <w:keepNext w:val="0"/>
        <w:keepLines w:val="0"/>
        <w:numPr>
          <w:ilvl w:val="0"/>
          <w:numId w:val="14"/>
        </w:numPr>
        <w:spacing w:line="500" w:lineRule="exact"/>
        <w:ind w:firstLine="643" w:firstLineChars="200"/>
        <w:rPr>
          <w:rFonts w:ascii="宋体" w:cs="宋体"/>
          <w:szCs w:val="28"/>
        </w:rPr>
      </w:pPr>
      <w:r>
        <w:rPr>
          <w:rFonts w:hint="eastAsia" w:ascii="宋体" w:cs="宋体"/>
          <w:szCs w:val="28"/>
        </w:rPr>
        <w:t>响应会议</w:t>
      </w:r>
    </w:p>
    <w:p>
      <w:pPr>
        <w:widowControl/>
        <w:tabs>
          <w:tab w:val="left" w:pos="0"/>
        </w:tabs>
        <w:spacing w:line="500" w:lineRule="exact"/>
        <w:ind w:firstLine="480" w:firstLineChars="200"/>
        <w:jc w:val="left"/>
        <w:rPr>
          <w:rFonts w:ascii="宋体" w:cs="宋体"/>
          <w:color w:val="000000"/>
          <w:sz w:val="24"/>
          <w:szCs w:val="24"/>
          <w:highlight w:val="yellow"/>
        </w:rPr>
      </w:pPr>
      <w:r>
        <w:rPr>
          <w:rFonts w:ascii="宋体" w:hAnsi="宋体" w:cs="宋体"/>
          <w:sz w:val="24"/>
          <w:szCs w:val="24"/>
        </w:rPr>
        <w:t xml:space="preserve">1.1 </w:t>
      </w:r>
      <w:r>
        <w:rPr>
          <w:rFonts w:hint="eastAsia" w:ascii="宋体" w:hAnsi="宋体" w:cs="宋体"/>
          <w:sz w:val="24"/>
          <w:szCs w:val="24"/>
        </w:rPr>
        <w:t>采购代理机构按规定的时间和地点接收供应商递交的响应文件，主持采购会议</w:t>
      </w:r>
      <w:r>
        <w:rPr>
          <w:rFonts w:hint="eastAsia" w:ascii="宋体" w:hAnsi="宋体" w:cs="宋体"/>
          <w:color w:val="000000"/>
          <w:sz w:val="24"/>
          <w:szCs w:val="24"/>
        </w:rPr>
        <w:t>。</w:t>
      </w:r>
    </w:p>
    <w:p>
      <w:pPr>
        <w:widowControl/>
        <w:tabs>
          <w:tab w:val="left" w:pos="0"/>
        </w:tabs>
        <w:spacing w:line="500" w:lineRule="exact"/>
        <w:ind w:firstLine="480" w:firstLineChars="200"/>
        <w:jc w:val="left"/>
        <w:rPr>
          <w:rFonts w:ascii="宋体" w:hAnsi="宋体" w:cs="宋体"/>
          <w:sz w:val="24"/>
          <w:szCs w:val="24"/>
        </w:rPr>
      </w:pPr>
      <w:r>
        <w:rPr>
          <w:rFonts w:ascii="宋体" w:hAnsi="宋体" w:cs="宋体"/>
          <w:sz w:val="24"/>
          <w:szCs w:val="24"/>
        </w:rPr>
        <w:t>1.2</w:t>
      </w:r>
      <w:r>
        <w:rPr>
          <w:rFonts w:hint="eastAsia" w:ascii="宋体" w:hAnsi="宋体" w:cs="宋体"/>
          <w:sz w:val="24"/>
          <w:szCs w:val="24"/>
        </w:rPr>
        <w:t>由供应商授权代表检查响应文件的密封情况；经确认无误后，由采购代理机构工作人员拆封；</w:t>
      </w:r>
    </w:p>
    <w:p>
      <w:pPr>
        <w:widowControl/>
        <w:tabs>
          <w:tab w:val="left" w:pos="0"/>
        </w:tabs>
        <w:spacing w:line="500" w:lineRule="exact"/>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3响应文件中出现下列情况，修正原则为：</w:t>
      </w:r>
    </w:p>
    <w:p>
      <w:pPr>
        <w:numPr>
          <w:ilvl w:val="0"/>
          <w:numId w:val="15"/>
        </w:numPr>
        <w:spacing w:line="500" w:lineRule="exact"/>
        <w:jc w:val="left"/>
        <w:rPr>
          <w:rFonts w:ascii="宋体" w:cs="宋体"/>
          <w:sz w:val="24"/>
          <w:szCs w:val="24"/>
        </w:rPr>
      </w:pPr>
      <w:r>
        <w:rPr>
          <w:rFonts w:hint="eastAsia" w:ascii="宋体" w:hAnsi="宋体" w:cs="宋体"/>
          <w:sz w:val="24"/>
          <w:szCs w:val="24"/>
        </w:rPr>
        <w:t>响应文件中开标一览表内容与响应文件中相应内容不一致的，以单独密封的开标一览表为准；</w:t>
      </w:r>
    </w:p>
    <w:p>
      <w:pPr>
        <w:numPr>
          <w:ilvl w:val="0"/>
          <w:numId w:val="15"/>
        </w:numPr>
        <w:spacing w:line="500" w:lineRule="exact"/>
        <w:jc w:val="left"/>
        <w:rPr>
          <w:rFonts w:ascii="宋体" w:cs="宋体"/>
          <w:sz w:val="24"/>
          <w:szCs w:val="24"/>
        </w:rPr>
      </w:pPr>
      <w:r>
        <w:rPr>
          <w:rFonts w:hint="eastAsia" w:ascii="宋体" w:hAnsi="宋体" w:cs="宋体"/>
          <w:sz w:val="24"/>
          <w:szCs w:val="24"/>
        </w:rPr>
        <w:t>大写金额和小写金额不一致的，以大写金额为准；</w:t>
      </w:r>
    </w:p>
    <w:p>
      <w:pPr>
        <w:numPr>
          <w:ilvl w:val="0"/>
          <w:numId w:val="15"/>
        </w:numPr>
        <w:spacing w:line="500" w:lineRule="exact"/>
        <w:jc w:val="left"/>
        <w:rPr>
          <w:rFonts w:ascii="宋体" w:cs="宋体"/>
          <w:sz w:val="24"/>
          <w:szCs w:val="24"/>
        </w:rPr>
      </w:pPr>
      <w:r>
        <w:rPr>
          <w:rFonts w:hint="eastAsia" w:ascii="宋体" w:hAnsi="宋体" w:cs="宋体"/>
          <w:sz w:val="24"/>
          <w:szCs w:val="24"/>
        </w:rPr>
        <w:t>单价金额小数点或者百分比有明显错位的，以开标一览表的总价为准，并修改单价；</w:t>
      </w:r>
    </w:p>
    <w:p>
      <w:pPr>
        <w:numPr>
          <w:ilvl w:val="0"/>
          <w:numId w:val="15"/>
        </w:numPr>
        <w:spacing w:line="500" w:lineRule="exact"/>
        <w:jc w:val="left"/>
        <w:rPr>
          <w:rFonts w:ascii="宋体" w:cs="宋体"/>
          <w:sz w:val="24"/>
          <w:szCs w:val="24"/>
        </w:rPr>
      </w:pPr>
      <w:r>
        <w:rPr>
          <w:rFonts w:hint="eastAsia" w:ascii="宋体" w:hAnsi="宋体" w:cs="宋体"/>
          <w:sz w:val="24"/>
          <w:szCs w:val="24"/>
        </w:rPr>
        <w:t>总价金额与按单价汇总金额不一致的，以单价金额计算结果为准；</w:t>
      </w:r>
    </w:p>
    <w:p>
      <w:pPr>
        <w:numPr>
          <w:ilvl w:val="0"/>
          <w:numId w:val="15"/>
        </w:numPr>
        <w:spacing w:line="500" w:lineRule="exact"/>
        <w:jc w:val="left"/>
        <w:rPr>
          <w:rFonts w:ascii="宋体" w:cs="宋体"/>
          <w:sz w:val="24"/>
          <w:szCs w:val="24"/>
        </w:rPr>
      </w:pPr>
      <w:r>
        <w:rPr>
          <w:rFonts w:hint="eastAsia" w:ascii="宋体" w:hAnsi="宋体" w:cs="宋体"/>
          <w:sz w:val="24"/>
          <w:szCs w:val="24"/>
        </w:rPr>
        <w:t>响应文件正本与副本不一致的，以正本为准；</w:t>
      </w:r>
    </w:p>
    <w:p>
      <w:pPr>
        <w:numPr>
          <w:ilvl w:val="0"/>
          <w:numId w:val="15"/>
        </w:numPr>
        <w:spacing w:line="500" w:lineRule="exact"/>
        <w:jc w:val="left"/>
        <w:rPr>
          <w:rFonts w:ascii="宋体" w:cs="宋体"/>
          <w:sz w:val="24"/>
          <w:szCs w:val="24"/>
        </w:rPr>
      </w:pPr>
      <w:r>
        <w:rPr>
          <w:rFonts w:hint="eastAsia" w:ascii="宋体" w:hAnsi="宋体" w:cs="宋体"/>
          <w:sz w:val="24"/>
          <w:szCs w:val="24"/>
        </w:rPr>
        <w:t>响应文件单独密封递交的开标一览表与正本不一致的，以单独密封递交的开标一览表为准；</w:t>
      </w:r>
    </w:p>
    <w:p>
      <w:pPr>
        <w:spacing w:line="500" w:lineRule="exact"/>
        <w:ind w:firstLine="480" w:firstLineChars="200"/>
        <w:jc w:val="left"/>
        <w:rPr>
          <w:rFonts w:asci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keepNext w:val="0"/>
        <w:keepLines w:val="0"/>
        <w:numPr>
          <w:ilvl w:val="0"/>
          <w:numId w:val="14"/>
        </w:numPr>
        <w:spacing w:line="500" w:lineRule="exact"/>
        <w:ind w:firstLine="643" w:firstLineChars="200"/>
        <w:rPr>
          <w:rFonts w:ascii="宋体" w:cs="宋体"/>
          <w:szCs w:val="28"/>
        </w:rPr>
      </w:pPr>
      <w:r>
        <w:rPr>
          <w:rFonts w:hint="eastAsia" w:ascii="宋体" w:cs="宋体"/>
          <w:szCs w:val="28"/>
        </w:rPr>
        <w:t>单一来源采购人员</w:t>
      </w:r>
    </w:p>
    <w:p>
      <w:pPr>
        <w:widowControl/>
        <w:spacing w:line="460" w:lineRule="exact"/>
        <w:ind w:firstLine="420" w:firstLineChars="175"/>
        <w:jc w:val="left"/>
        <w:rPr>
          <w:rFonts w:ascii="宋体" w:cs="宋体"/>
          <w:sz w:val="24"/>
          <w:szCs w:val="24"/>
        </w:rPr>
      </w:pPr>
      <w:r>
        <w:rPr>
          <w:rFonts w:ascii="宋体" w:hAnsi="宋体" w:cs="宋体"/>
          <w:kern w:val="0"/>
          <w:sz w:val="24"/>
          <w:szCs w:val="24"/>
        </w:rPr>
        <w:t>2.1</w:t>
      </w:r>
      <w:r>
        <w:rPr>
          <w:rFonts w:hint="eastAsia" w:ascii="宋体" w:hAnsi="宋体" w:cs="宋体"/>
          <w:sz w:val="24"/>
          <w:szCs w:val="24"/>
        </w:rPr>
        <w:t>为确保协商工作公开、公平、公正，依法成立单一来源采购成员。单一来源采购人员应当为</w:t>
      </w:r>
      <w:r>
        <w:rPr>
          <w:rFonts w:ascii="宋体" w:hAnsi="宋体" w:cs="宋体"/>
          <w:sz w:val="24"/>
          <w:szCs w:val="24"/>
        </w:rPr>
        <w:t>3</w:t>
      </w:r>
      <w:r>
        <w:rPr>
          <w:rFonts w:hint="eastAsia" w:ascii="宋体" w:hAnsi="宋体" w:cs="宋体"/>
          <w:sz w:val="24"/>
          <w:szCs w:val="24"/>
        </w:rPr>
        <w:t>人（含）以上单数。单一来源采购成员应当遵守并履行下列责任和义务：</w:t>
      </w:r>
    </w:p>
    <w:p>
      <w:pPr>
        <w:spacing w:line="360" w:lineRule="auto"/>
        <w:ind w:firstLine="420" w:firstLineChars="175"/>
        <w:jc w:val="left"/>
        <w:rPr>
          <w:rFonts w:ascii="宋体" w:cs="宋体"/>
          <w:sz w:val="24"/>
          <w:szCs w:val="24"/>
        </w:rPr>
      </w:pPr>
      <w:r>
        <w:rPr>
          <w:rFonts w:ascii="宋体" w:hAnsi="宋体" w:cs="宋体"/>
          <w:sz w:val="24"/>
          <w:szCs w:val="24"/>
        </w:rPr>
        <w:t>2.1.1</w:t>
      </w:r>
      <w:r>
        <w:rPr>
          <w:rFonts w:hint="eastAsia" w:ascii="宋体" w:hAnsi="宋体" w:cs="宋体"/>
          <w:sz w:val="24"/>
          <w:szCs w:val="24"/>
        </w:rPr>
        <w:t>遵纪守法，客观、公正、认真负责地履行职责，审查响应文件是否符合采购文件的要求，并做出评价；</w:t>
      </w:r>
    </w:p>
    <w:p>
      <w:pPr>
        <w:spacing w:line="360" w:lineRule="auto"/>
        <w:ind w:left="420"/>
        <w:jc w:val="left"/>
        <w:rPr>
          <w:rFonts w:ascii="宋体" w:cs="宋体"/>
          <w:sz w:val="24"/>
          <w:szCs w:val="24"/>
        </w:rPr>
      </w:pPr>
      <w:r>
        <w:rPr>
          <w:rFonts w:ascii="宋体" w:hAnsi="宋体" w:cs="宋体"/>
          <w:sz w:val="24"/>
          <w:szCs w:val="24"/>
        </w:rPr>
        <w:t>2.1.2</w:t>
      </w:r>
      <w:r>
        <w:rPr>
          <w:rFonts w:hint="eastAsia" w:ascii="宋体" w:hAnsi="宋体" w:cs="宋体"/>
          <w:sz w:val="24"/>
          <w:szCs w:val="24"/>
        </w:rPr>
        <w:t>要求供应商对响应文件有关事项作出解释或澄清；</w:t>
      </w:r>
    </w:p>
    <w:p>
      <w:pPr>
        <w:spacing w:line="360" w:lineRule="auto"/>
        <w:ind w:firstLine="420" w:firstLineChars="175"/>
        <w:jc w:val="left"/>
        <w:rPr>
          <w:rFonts w:ascii="宋体" w:cs="宋体"/>
          <w:sz w:val="24"/>
          <w:szCs w:val="24"/>
        </w:rPr>
      </w:pPr>
      <w:r>
        <w:rPr>
          <w:rFonts w:ascii="宋体" w:hAnsi="宋体" w:cs="宋体"/>
          <w:sz w:val="24"/>
          <w:szCs w:val="24"/>
        </w:rPr>
        <w:t>2.1.3</w:t>
      </w:r>
      <w:r>
        <w:rPr>
          <w:rFonts w:hint="eastAsia" w:ascii="宋体" w:hAnsi="宋体" w:cs="宋体"/>
          <w:sz w:val="24"/>
          <w:szCs w:val="24"/>
        </w:rPr>
        <w:t>按照采购文件的要求进行协商；</w:t>
      </w:r>
    </w:p>
    <w:p>
      <w:pPr>
        <w:spacing w:line="360" w:lineRule="auto"/>
        <w:ind w:left="420"/>
        <w:jc w:val="left"/>
        <w:rPr>
          <w:rFonts w:ascii="宋体" w:cs="宋体"/>
          <w:sz w:val="24"/>
          <w:szCs w:val="24"/>
        </w:rPr>
      </w:pPr>
      <w:r>
        <w:rPr>
          <w:rFonts w:ascii="宋体" w:hAnsi="宋体" w:cs="宋体"/>
          <w:sz w:val="24"/>
          <w:szCs w:val="24"/>
        </w:rPr>
        <w:t>2.1.4</w:t>
      </w:r>
      <w:r>
        <w:rPr>
          <w:rFonts w:hint="eastAsia" w:ascii="宋体" w:hAnsi="宋体" w:cs="宋体"/>
          <w:sz w:val="24"/>
          <w:szCs w:val="24"/>
        </w:rPr>
        <w:t>对协商过程和结果以及供应商的商业秘密保密；</w:t>
      </w:r>
    </w:p>
    <w:p>
      <w:pPr>
        <w:spacing w:line="360" w:lineRule="auto"/>
        <w:ind w:left="420"/>
        <w:jc w:val="left"/>
        <w:rPr>
          <w:rFonts w:ascii="宋体" w:cs="宋体"/>
          <w:sz w:val="24"/>
          <w:szCs w:val="24"/>
        </w:rPr>
      </w:pPr>
      <w:r>
        <w:rPr>
          <w:rFonts w:ascii="宋体" w:hAnsi="宋体" w:cs="宋体"/>
          <w:sz w:val="24"/>
          <w:szCs w:val="24"/>
        </w:rPr>
        <w:t>2.1.5</w:t>
      </w:r>
      <w:r>
        <w:rPr>
          <w:rFonts w:hint="eastAsia" w:ascii="宋体" w:hAnsi="宋体" w:cs="宋体"/>
          <w:sz w:val="24"/>
          <w:szCs w:val="24"/>
        </w:rPr>
        <w:t>参与协商情况记录的起草；</w:t>
      </w:r>
    </w:p>
    <w:p>
      <w:pPr>
        <w:spacing w:line="360" w:lineRule="auto"/>
        <w:ind w:left="420"/>
        <w:jc w:val="left"/>
        <w:rPr>
          <w:rFonts w:ascii="宋体" w:cs="宋体"/>
          <w:sz w:val="24"/>
          <w:szCs w:val="24"/>
        </w:rPr>
      </w:pPr>
      <w:r>
        <w:rPr>
          <w:rFonts w:ascii="宋体" w:hAnsi="宋体" w:cs="宋体"/>
          <w:sz w:val="24"/>
          <w:szCs w:val="24"/>
        </w:rPr>
        <w:t>2.1.6</w:t>
      </w:r>
      <w:r>
        <w:rPr>
          <w:rFonts w:hint="eastAsia" w:ascii="宋体" w:hAnsi="宋体" w:cs="宋体"/>
          <w:sz w:val="24"/>
          <w:szCs w:val="24"/>
        </w:rPr>
        <w:t>配合采购人、代理机构答复供应商提出的质疑；</w:t>
      </w:r>
    </w:p>
    <w:p>
      <w:pPr>
        <w:tabs>
          <w:tab w:val="left" w:pos="6720"/>
        </w:tabs>
        <w:spacing w:line="360" w:lineRule="auto"/>
        <w:ind w:left="420"/>
        <w:jc w:val="left"/>
        <w:rPr>
          <w:rFonts w:ascii="宋体" w:cs="宋体"/>
          <w:kern w:val="0"/>
          <w:sz w:val="24"/>
          <w:szCs w:val="24"/>
        </w:rPr>
      </w:pPr>
      <w:r>
        <w:rPr>
          <w:rFonts w:ascii="宋体" w:hAnsi="宋体" w:cs="宋体"/>
          <w:sz w:val="24"/>
          <w:szCs w:val="24"/>
        </w:rPr>
        <w:t>2.1.7</w:t>
      </w:r>
      <w:r>
        <w:rPr>
          <w:rFonts w:hint="eastAsia" w:ascii="宋体" w:hAnsi="宋体" w:cs="宋体"/>
          <w:sz w:val="24"/>
          <w:szCs w:val="24"/>
        </w:rPr>
        <w:t>配合财政部门处理投诉工作；</w:t>
      </w:r>
    </w:p>
    <w:p>
      <w:pPr>
        <w:pStyle w:val="5"/>
        <w:numPr>
          <w:ilvl w:val="0"/>
          <w:numId w:val="14"/>
        </w:numPr>
        <w:spacing w:line="500" w:lineRule="exact"/>
        <w:ind w:firstLine="643" w:firstLineChars="200"/>
        <w:rPr>
          <w:rFonts w:ascii="宋体" w:cs="宋体"/>
          <w:szCs w:val="28"/>
        </w:rPr>
      </w:pPr>
      <w:bookmarkStart w:id="56" w:name="_Toc27940"/>
      <w:bookmarkStart w:id="57" w:name="_Toc386129876"/>
      <w:bookmarkStart w:id="58" w:name="_Toc385958808"/>
      <w:bookmarkStart w:id="59" w:name="_Toc28085"/>
      <w:r>
        <w:rPr>
          <w:rFonts w:hint="eastAsia" w:ascii="宋体" w:hAnsi="宋体" w:cs="宋体"/>
          <w:szCs w:val="28"/>
        </w:rPr>
        <w:t>响应文件初审</w:t>
      </w:r>
      <w:bookmarkEnd w:id="56"/>
      <w:bookmarkEnd w:id="57"/>
      <w:bookmarkEnd w:id="58"/>
      <w:bookmarkEnd w:id="59"/>
    </w:p>
    <w:p>
      <w:pPr>
        <w:overflowPunct w:val="0"/>
        <w:adjustRightInd w:val="0"/>
        <w:snapToGrid w:val="0"/>
        <w:spacing w:line="500" w:lineRule="exact"/>
        <w:ind w:left="420"/>
        <w:rPr>
          <w:rFonts w:ascii="宋体" w:cs="宋体"/>
          <w:kern w:val="0"/>
          <w:sz w:val="24"/>
          <w:szCs w:val="24"/>
        </w:rPr>
      </w:pPr>
      <w:r>
        <w:rPr>
          <w:rFonts w:ascii="宋体" w:hAnsi="宋体" w:cs="宋体"/>
          <w:kern w:val="0"/>
          <w:sz w:val="24"/>
          <w:szCs w:val="24"/>
        </w:rPr>
        <w:t xml:space="preserve"> 3.1 </w:t>
      </w:r>
      <w:r>
        <w:rPr>
          <w:rFonts w:hint="eastAsia" w:ascii="宋体" w:hAnsi="宋体" w:cs="宋体"/>
          <w:kern w:val="0"/>
          <w:sz w:val="24"/>
          <w:szCs w:val="24"/>
        </w:rPr>
        <w:t>供应商的资格性审查</w:t>
      </w:r>
    </w:p>
    <w:p>
      <w:pPr>
        <w:overflowPunct w:val="0"/>
        <w:adjustRightInd w:val="0"/>
        <w:snapToGrid w:val="0"/>
        <w:spacing w:line="500" w:lineRule="exact"/>
        <w:ind w:firstLine="480" w:firstLineChars="200"/>
        <w:rPr>
          <w:rFonts w:ascii="宋体" w:cs="宋体"/>
          <w:color w:val="000000"/>
          <w:kern w:val="0"/>
          <w:sz w:val="24"/>
          <w:szCs w:val="24"/>
        </w:rPr>
      </w:pPr>
      <w:r>
        <w:rPr>
          <w:rFonts w:hint="eastAsia" w:ascii="宋体" w:hAnsi="宋体" w:cs="宋体"/>
          <w:kern w:val="0"/>
          <w:sz w:val="24"/>
          <w:szCs w:val="24"/>
        </w:rPr>
        <w:t>依据法律法规和采购文件的规定</w:t>
      </w:r>
      <w:r>
        <w:rPr>
          <w:rFonts w:hint="eastAsia" w:ascii="宋体" w:hAnsi="宋体" w:cs="宋体"/>
          <w:color w:val="000000"/>
          <w:kern w:val="0"/>
          <w:sz w:val="24"/>
          <w:szCs w:val="24"/>
        </w:rPr>
        <w:t>，由单一来源采购人员对供应商的资格证明文件进行审查，以确保供应商是否具备相应资格。</w:t>
      </w:r>
    </w:p>
    <w:p>
      <w:pPr>
        <w:overflowPunct w:val="0"/>
        <w:adjustRightInd w:val="0"/>
        <w:snapToGrid w:val="0"/>
        <w:spacing w:line="500" w:lineRule="exact"/>
        <w:ind w:left="420"/>
        <w:rPr>
          <w:rFonts w:ascii="宋体" w:cs="宋体"/>
          <w:color w:val="000000"/>
          <w:kern w:val="0"/>
          <w:sz w:val="24"/>
          <w:szCs w:val="24"/>
        </w:rPr>
      </w:pPr>
      <w:r>
        <w:rPr>
          <w:rFonts w:ascii="宋体" w:hAnsi="宋体" w:cs="宋体"/>
          <w:color w:val="000000"/>
          <w:kern w:val="0"/>
          <w:sz w:val="24"/>
          <w:szCs w:val="24"/>
        </w:rPr>
        <w:t xml:space="preserve"> 3.2 </w:t>
      </w:r>
      <w:r>
        <w:rPr>
          <w:rFonts w:hint="eastAsia" w:ascii="宋体" w:hAnsi="宋体" w:cs="宋体"/>
          <w:color w:val="000000"/>
          <w:kern w:val="0"/>
          <w:sz w:val="24"/>
          <w:szCs w:val="24"/>
        </w:rPr>
        <w:t>响应文件符合性审查</w:t>
      </w:r>
    </w:p>
    <w:p>
      <w:pPr>
        <w:tabs>
          <w:tab w:val="left" w:pos="0"/>
        </w:tabs>
        <w:spacing w:line="500" w:lineRule="exact"/>
        <w:ind w:firstLine="420" w:firstLineChars="175"/>
        <w:jc w:val="left"/>
        <w:rPr>
          <w:rFonts w:ascii="宋体" w:hAnsi="宋体" w:cs="宋体"/>
          <w:kern w:val="0"/>
          <w:sz w:val="24"/>
          <w:szCs w:val="24"/>
        </w:rPr>
      </w:pPr>
      <w:r>
        <w:rPr>
          <w:rFonts w:hint="eastAsia" w:ascii="宋体" w:hAnsi="宋体" w:cs="宋体"/>
          <w:kern w:val="0"/>
          <w:sz w:val="24"/>
          <w:szCs w:val="24"/>
        </w:rPr>
        <w:t>单一来源采购人员应当对符合资格的供应商的响应文件进行符合性审查，以确定其是否满足采购文件的实质性要求。符合性审查内容详见供应商须知前附表。</w:t>
      </w:r>
    </w:p>
    <w:p>
      <w:pPr>
        <w:overflowPunct w:val="0"/>
        <w:adjustRightInd w:val="0"/>
        <w:snapToGrid w:val="0"/>
        <w:spacing w:line="500" w:lineRule="exact"/>
        <w:ind w:firstLine="480" w:firstLineChars="200"/>
        <w:rPr>
          <w:rFonts w:ascii="宋体" w:cs="宋体"/>
          <w:kern w:val="0"/>
          <w:sz w:val="24"/>
          <w:szCs w:val="24"/>
        </w:rPr>
      </w:pPr>
      <w:r>
        <w:rPr>
          <w:rFonts w:hint="eastAsia" w:ascii="宋体" w:hAnsi="宋体" w:cs="宋体"/>
          <w:sz w:val="24"/>
          <w:szCs w:val="24"/>
        </w:rPr>
        <w:t>3.3</w:t>
      </w:r>
      <w:r>
        <w:rPr>
          <w:rFonts w:hint="eastAsia" w:hAnsi="宋体"/>
          <w:sz w:val="24"/>
          <w:szCs w:val="24"/>
        </w:rPr>
        <w:t>对通过审查的，被认为其响应文件完整、合格，有效，可进入下阶段的协商。</w:t>
      </w:r>
    </w:p>
    <w:p>
      <w:pPr>
        <w:pStyle w:val="5"/>
        <w:numPr>
          <w:ilvl w:val="0"/>
          <w:numId w:val="14"/>
        </w:numPr>
        <w:spacing w:line="500" w:lineRule="exact"/>
        <w:ind w:firstLine="643" w:firstLineChars="200"/>
        <w:rPr>
          <w:rFonts w:ascii="宋体" w:cs="宋体"/>
          <w:szCs w:val="28"/>
        </w:rPr>
      </w:pPr>
      <w:bookmarkStart w:id="60" w:name="_Toc17705"/>
      <w:r>
        <w:rPr>
          <w:rFonts w:hint="eastAsia" w:ascii="宋体" w:hAnsi="宋体" w:cs="宋体"/>
          <w:szCs w:val="28"/>
        </w:rPr>
        <w:t>响应文件澄清</w:t>
      </w:r>
      <w:bookmarkEnd w:id="60"/>
    </w:p>
    <w:p>
      <w:pPr>
        <w:overflowPunct w:val="0"/>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4.1 </w:t>
      </w:r>
      <w:r>
        <w:rPr>
          <w:rFonts w:hint="eastAsia" w:ascii="宋体" w:hAnsi="宋体" w:cs="宋体"/>
          <w:sz w:val="24"/>
          <w:szCs w:val="24"/>
        </w:rPr>
        <w:t>在协商期间</w:t>
      </w:r>
      <w:r>
        <w:rPr>
          <w:rFonts w:ascii="宋体" w:cs="宋体"/>
          <w:sz w:val="24"/>
          <w:szCs w:val="24"/>
        </w:rPr>
        <w:t>,</w:t>
      </w:r>
      <w:r>
        <w:rPr>
          <w:rFonts w:hint="eastAsia" w:ascii="宋体" w:hAnsi="宋体" w:cs="宋体"/>
          <w:sz w:val="24"/>
          <w:szCs w:val="24"/>
        </w:rPr>
        <w:t>采购代理机构可根据单一来源采购人员对其响应文件有疑义不清楚的内容，要求供应商对其响应文件进行澄清。</w:t>
      </w:r>
    </w:p>
    <w:p>
      <w:pPr>
        <w:spacing w:line="500" w:lineRule="exact"/>
        <w:ind w:firstLine="480" w:firstLineChars="200"/>
        <w:rPr>
          <w:rFonts w:ascii="宋体" w:cs="宋体"/>
          <w:kern w:val="0"/>
          <w:sz w:val="24"/>
          <w:szCs w:val="24"/>
        </w:rPr>
      </w:pPr>
      <w:r>
        <w:rPr>
          <w:rFonts w:ascii="宋体" w:hAnsi="宋体" w:cs="宋体"/>
          <w:kern w:val="0"/>
          <w:sz w:val="24"/>
          <w:szCs w:val="24"/>
        </w:rPr>
        <w:t xml:space="preserve">4.2 </w:t>
      </w:r>
      <w:r>
        <w:rPr>
          <w:rFonts w:hint="eastAsia" w:ascii="宋体" w:hAnsi="宋体" w:cs="宋体"/>
          <w:kern w:val="0"/>
          <w:sz w:val="24"/>
          <w:szCs w:val="24"/>
        </w:rPr>
        <w:t>供应商必须按照单一来源采购人员通知的内容和时间做出书面答复，该答复经法定代表人或供应商代表的签字认可，将作为响应文件内容的一部分。供应商拒不按照要求对响应文件进行澄清、说明或者补正的，供应商将自行承担无效响应的风险。</w:t>
      </w:r>
    </w:p>
    <w:p>
      <w:pPr>
        <w:pStyle w:val="5"/>
        <w:numPr>
          <w:ilvl w:val="0"/>
          <w:numId w:val="14"/>
        </w:numPr>
        <w:spacing w:line="500" w:lineRule="exact"/>
        <w:ind w:firstLine="643" w:firstLineChars="200"/>
        <w:rPr>
          <w:rFonts w:ascii="宋体" w:cs="宋体"/>
          <w:szCs w:val="28"/>
        </w:rPr>
      </w:pPr>
      <w:r>
        <w:rPr>
          <w:rFonts w:hint="eastAsia" w:ascii="宋体" w:cs="宋体"/>
          <w:szCs w:val="28"/>
        </w:rPr>
        <w:t>协商</w:t>
      </w:r>
    </w:p>
    <w:p>
      <w:pPr>
        <w:spacing w:line="360" w:lineRule="auto"/>
        <w:ind w:firstLine="480" w:firstLineChars="200"/>
        <w:rPr>
          <w:rFonts w:ascii="宋体" w:hAnsi="宋体" w:cs="宋体"/>
          <w:sz w:val="24"/>
          <w:szCs w:val="24"/>
        </w:rPr>
      </w:pPr>
      <w:r>
        <w:rPr>
          <w:rFonts w:hint="eastAsia" w:ascii="宋体" w:hAnsi="宋体" w:cs="宋体"/>
          <w:sz w:val="24"/>
          <w:szCs w:val="24"/>
        </w:rPr>
        <w:t>单一来源采购人员应严格按照采购文件的要求和条件进行；具体协商原则和成交条件详见采购文件第四部分“评审办法”。</w:t>
      </w:r>
    </w:p>
    <w:p>
      <w:pPr>
        <w:pStyle w:val="5"/>
        <w:numPr>
          <w:ilvl w:val="0"/>
          <w:numId w:val="14"/>
        </w:numPr>
        <w:spacing w:line="500" w:lineRule="exact"/>
        <w:ind w:firstLine="643" w:firstLineChars="200"/>
        <w:rPr>
          <w:rFonts w:ascii="宋体" w:cs="宋体"/>
          <w:szCs w:val="28"/>
        </w:rPr>
      </w:pPr>
      <w:r>
        <w:rPr>
          <w:rFonts w:hint="eastAsia" w:ascii="宋体" w:cs="宋体"/>
          <w:szCs w:val="28"/>
        </w:rPr>
        <w:t>确认协商记录</w:t>
      </w:r>
    </w:p>
    <w:p>
      <w:pPr>
        <w:spacing w:line="500" w:lineRule="exact"/>
        <w:ind w:firstLine="480" w:firstLineChars="200"/>
        <w:jc w:val="left"/>
        <w:rPr>
          <w:rFonts w:ascii="宋体" w:cs="宋体"/>
          <w:sz w:val="24"/>
          <w:szCs w:val="24"/>
        </w:rPr>
      </w:pPr>
      <w:r>
        <w:rPr>
          <w:rFonts w:ascii="宋体" w:hAnsi="宋体" w:cs="宋体"/>
          <w:sz w:val="24"/>
          <w:szCs w:val="24"/>
        </w:rPr>
        <w:t>6.1</w:t>
      </w:r>
      <w:r>
        <w:rPr>
          <w:rFonts w:hint="eastAsia" w:ascii="宋体" w:hAnsi="宋体" w:cs="宋体"/>
          <w:sz w:val="24"/>
          <w:szCs w:val="24"/>
        </w:rPr>
        <w:t>代理机构在协商结束后</w:t>
      </w:r>
      <w:r>
        <w:rPr>
          <w:rFonts w:ascii="宋体" w:hAnsi="宋体" w:cs="宋体"/>
          <w:sz w:val="24"/>
          <w:szCs w:val="24"/>
        </w:rPr>
        <w:t>2</w:t>
      </w:r>
      <w:r>
        <w:rPr>
          <w:rFonts w:hint="eastAsia" w:ascii="宋体" w:hAnsi="宋体" w:cs="宋体"/>
          <w:sz w:val="24"/>
          <w:szCs w:val="24"/>
        </w:rPr>
        <w:t>个工作日内将协商情况报告送达采购单位，采购单位在收到协商情况报告后</w:t>
      </w:r>
      <w:r>
        <w:rPr>
          <w:rFonts w:ascii="宋体" w:hAnsi="宋体" w:cs="宋体"/>
          <w:sz w:val="24"/>
          <w:szCs w:val="24"/>
        </w:rPr>
        <w:t>5</w:t>
      </w:r>
      <w:r>
        <w:rPr>
          <w:rFonts w:hint="eastAsia" w:ascii="宋体" w:hAnsi="宋体" w:cs="宋体"/>
          <w:sz w:val="24"/>
          <w:szCs w:val="24"/>
        </w:rPr>
        <w:t>个工作日内，按照协商情况报告确认结果，同时书面复函代理机构；</w:t>
      </w:r>
    </w:p>
    <w:p>
      <w:pPr>
        <w:spacing w:line="500" w:lineRule="exact"/>
        <w:ind w:firstLine="480" w:firstLineChars="200"/>
        <w:jc w:val="left"/>
        <w:rPr>
          <w:rFonts w:ascii="宋体" w:cs="宋体"/>
          <w:sz w:val="24"/>
          <w:szCs w:val="24"/>
        </w:rPr>
      </w:pPr>
      <w:r>
        <w:rPr>
          <w:rFonts w:ascii="宋体" w:hAnsi="宋体" w:cs="宋体"/>
          <w:sz w:val="24"/>
          <w:szCs w:val="24"/>
        </w:rPr>
        <w:t>6.2</w:t>
      </w:r>
      <w:r>
        <w:rPr>
          <w:rFonts w:hint="eastAsia" w:ascii="宋体" w:hAnsi="宋体" w:cs="宋体"/>
          <w:sz w:val="24"/>
          <w:szCs w:val="24"/>
        </w:rPr>
        <w:t>代理机构收到采购单位“成交复函”后</w:t>
      </w:r>
      <w:r>
        <w:rPr>
          <w:rFonts w:ascii="宋体" w:hAnsi="宋体" w:cs="宋体"/>
          <w:sz w:val="24"/>
          <w:szCs w:val="24"/>
        </w:rPr>
        <w:t>2</w:t>
      </w:r>
      <w:r>
        <w:rPr>
          <w:rFonts w:hint="eastAsia" w:ascii="宋体" w:hAnsi="宋体" w:cs="宋体"/>
          <w:sz w:val="24"/>
          <w:szCs w:val="24"/>
        </w:rPr>
        <w:t>个工作日内，在财政部门指定的政府采购信息媒体上发布公告，并向供应商发出“成交通知书”。</w:t>
      </w:r>
    </w:p>
    <w:p>
      <w:pPr>
        <w:widowControl/>
        <w:spacing w:before="159" w:beforeLines="50" w:after="159" w:afterLines="50" w:line="500" w:lineRule="exact"/>
        <w:jc w:val="center"/>
        <w:outlineLvl w:val="1"/>
        <w:rPr>
          <w:rFonts w:ascii="宋体" w:cs="宋体"/>
          <w:b/>
          <w:bCs/>
          <w:kern w:val="0"/>
          <w:sz w:val="32"/>
          <w:szCs w:val="28"/>
        </w:rPr>
      </w:pPr>
      <w:bookmarkStart w:id="61" w:name="_Toc25308"/>
      <w:bookmarkStart w:id="62" w:name="_Toc19972"/>
      <w:bookmarkStart w:id="63" w:name="_Toc12122"/>
      <w:bookmarkStart w:id="64" w:name="_Toc7846"/>
      <w:r>
        <w:rPr>
          <w:rFonts w:hint="eastAsia" w:ascii="宋体" w:hAnsi="宋体" w:cs="宋体"/>
          <w:b/>
          <w:bCs/>
          <w:kern w:val="0"/>
          <w:sz w:val="32"/>
          <w:szCs w:val="28"/>
        </w:rPr>
        <w:t>六、签订合同</w:t>
      </w:r>
      <w:bookmarkEnd w:id="61"/>
      <w:bookmarkEnd w:id="62"/>
      <w:bookmarkEnd w:id="63"/>
      <w:bookmarkEnd w:id="64"/>
    </w:p>
    <w:p>
      <w:pPr>
        <w:spacing w:line="360" w:lineRule="auto"/>
        <w:ind w:firstLine="420" w:firstLineChars="175"/>
        <w:jc w:val="left"/>
        <w:rPr>
          <w:rFonts w:ascii="宋体" w:cs="宋体"/>
          <w:sz w:val="24"/>
        </w:rPr>
      </w:pPr>
      <w:bookmarkStart w:id="65" w:name="_Toc3298"/>
      <w:r>
        <w:rPr>
          <w:rFonts w:ascii="宋体" w:cs="宋体"/>
          <w:sz w:val="24"/>
        </w:rPr>
        <w:t xml:space="preserve">6.1 </w:t>
      </w:r>
      <w:r>
        <w:rPr>
          <w:rFonts w:hint="eastAsia" w:ascii="宋体" w:cs="宋体"/>
          <w:sz w:val="24"/>
        </w:rPr>
        <w:t>成交后，成交供应商与采购人洽谈合同条款，并签订供货合同，同时送代理机构归档，单一来源采购文件及成交供应商的响应文件均作为合同的组成部分。供应商中标后须向学校交纳合同履约保证金，合同履约保证金数量为中标金额的5%。</w:t>
      </w:r>
    </w:p>
    <w:p>
      <w:pPr>
        <w:spacing w:line="360" w:lineRule="auto"/>
        <w:ind w:firstLine="420" w:firstLineChars="175"/>
        <w:jc w:val="left"/>
        <w:rPr>
          <w:rFonts w:ascii="宋体" w:cs="宋体"/>
          <w:sz w:val="24"/>
        </w:rPr>
      </w:pPr>
      <w:r>
        <w:rPr>
          <w:rFonts w:hint="eastAsia" w:ascii="宋体" w:cs="宋体"/>
          <w:sz w:val="24"/>
        </w:rPr>
        <w:t>待合同执行完毕、验收合格后凭验收单和缴款收据，合同履约保证金予以无息退还。如遇下列情况之一者，合同履约保证金不予退还，作为对招标人的赔偿：</w:t>
      </w:r>
    </w:p>
    <w:p>
      <w:pPr>
        <w:spacing w:line="360" w:lineRule="auto"/>
        <w:ind w:firstLine="420" w:firstLineChars="175"/>
        <w:jc w:val="left"/>
        <w:rPr>
          <w:rFonts w:ascii="宋体" w:cs="宋体"/>
          <w:sz w:val="24"/>
        </w:rPr>
      </w:pPr>
      <w:r>
        <w:rPr>
          <w:rFonts w:hint="eastAsia" w:ascii="宋体" w:cs="宋体"/>
          <w:sz w:val="24"/>
        </w:rPr>
        <w:t>（1）合同签订后不能按合同时限要求供货或安装调试的；</w:t>
      </w:r>
    </w:p>
    <w:p>
      <w:pPr>
        <w:spacing w:line="360" w:lineRule="auto"/>
        <w:ind w:firstLine="420" w:firstLineChars="175"/>
        <w:jc w:val="left"/>
        <w:rPr>
          <w:rFonts w:ascii="宋体" w:cs="宋体"/>
          <w:sz w:val="24"/>
        </w:rPr>
      </w:pPr>
      <w:r>
        <w:rPr>
          <w:rFonts w:hint="eastAsia" w:ascii="宋体" w:cs="宋体"/>
          <w:sz w:val="24"/>
        </w:rPr>
        <w:t>（2）与合同不符或验收不合格的；</w:t>
      </w:r>
    </w:p>
    <w:p>
      <w:pPr>
        <w:spacing w:line="360" w:lineRule="auto"/>
        <w:ind w:firstLine="420" w:firstLineChars="175"/>
        <w:jc w:val="left"/>
        <w:rPr>
          <w:rFonts w:ascii="宋体" w:cs="宋体"/>
          <w:sz w:val="24"/>
        </w:rPr>
      </w:pPr>
      <w:r>
        <w:rPr>
          <w:rFonts w:hint="eastAsia" w:ascii="宋体" w:cs="宋体"/>
          <w:sz w:val="24"/>
        </w:rPr>
        <w:t>（3）不能按合同履约的。</w:t>
      </w:r>
    </w:p>
    <w:p>
      <w:pPr>
        <w:spacing w:line="360" w:lineRule="auto"/>
        <w:jc w:val="left"/>
        <w:rPr>
          <w:rFonts w:ascii="宋体" w:cs="宋体"/>
          <w:sz w:val="24"/>
        </w:rPr>
      </w:pPr>
      <w:r>
        <w:rPr>
          <w:rFonts w:ascii="宋体" w:cs="宋体"/>
          <w:sz w:val="24"/>
        </w:rPr>
        <w:t xml:space="preserve">   6.2</w:t>
      </w:r>
      <w:r>
        <w:rPr>
          <w:rFonts w:hint="eastAsia" w:ascii="宋体" w:cs="宋体"/>
          <w:sz w:val="24"/>
        </w:rPr>
        <w:t>根据需要，代理机构应协助采购人监督、协调和处理履约过程中出现的问题。</w:t>
      </w:r>
    </w:p>
    <w:p>
      <w:pPr>
        <w:spacing w:line="360" w:lineRule="auto"/>
        <w:ind w:firstLine="420" w:firstLineChars="175"/>
        <w:jc w:val="left"/>
        <w:rPr>
          <w:rFonts w:ascii="宋体" w:cs="宋体"/>
          <w:sz w:val="24"/>
        </w:rPr>
      </w:pPr>
      <w:r>
        <w:rPr>
          <w:rFonts w:ascii="宋体" w:cs="宋体"/>
          <w:sz w:val="24"/>
        </w:rPr>
        <w:t>6.3</w:t>
      </w:r>
      <w:r>
        <w:rPr>
          <w:rFonts w:hint="eastAsia" w:ascii="宋体" w:cs="宋体"/>
          <w:sz w:val="24"/>
        </w:rPr>
        <w:t>陕西省财政厅政府采购管理处在合同履行期间以及履行期后，可以随时检查项目的执行情况，对采购标准、采购内容进行调查核实，并对发现的问题进行处理。</w:t>
      </w:r>
    </w:p>
    <w:p>
      <w:pPr>
        <w:pStyle w:val="3"/>
        <w:pageBreakBefore/>
        <w:numPr>
          <w:ilvl w:val="0"/>
          <w:numId w:val="16"/>
        </w:numPr>
        <w:spacing w:before="319" w:beforeLines="100" w:after="319" w:afterLines="100" w:line="500" w:lineRule="exact"/>
        <w:rPr>
          <w:rFonts w:ascii="宋体" w:cs="宋体"/>
          <w:color w:val="000000"/>
          <w:sz w:val="36"/>
          <w:szCs w:val="36"/>
        </w:rPr>
      </w:pPr>
      <w:bookmarkStart w:id="66" w:name="_Toc13857"/>
      <w:bookmarkStart w:id="67" w:name="_Toc5497"/>
      <w:r>
        <w:rPr>
          <w:rFonts w:hint="eastAsia" w:ascii="宋体" w:hAnsi="宋体" w:cs="宋体"/>
          <w:color w:val="000000"/>
          <w:sz w:val="36"/>
          <w:szCs w:val="36"/>
        </w:rPr>
        <w:t>分</w:t>
      </w:r>
      <w:bookmarkEnd w:id="65"/>
      <w:r>
        <w:rPr>
          <w:rFonts w:hint="eastAsia" w:ascii="宋体" w:hAnsi="宋体" w:cs="宋体"/>
          <w:color w:val="000000"/>
          <w:sz w:val="36"/>
          <w:szCs w:val="36"/>
        </w:rPr>
        <w:t>评审办法</w:t>
      </w:r>
      <w:bookmarkEnd w:id="66"/>
      <w:bookmarkEnd w:id="67"/>
    </w:p>
    <w:p>
      <w:pPr>
        <w:spacing w:line="360" w:lineRule="auto"/>
        <w:ind w:firstLine="482" w:firstLineChars="200"/>
        <w:rPr>
          <w:b/>
          <w:bCs/>
          <w:sz w:val="24"/>
          <w:szCs w:val="24"/>
        </w:rPr>
      </w:pPr>
      <w:r>
        <w:rPr>
          <w:rFonts w:hint="eastAsia"/>
          <w:b/>
          <w:bCs/>
          <w:sz w:val="24"/>
          <w:szCs w:val="24"/>
        </w:rPr>
        <w:t>1、评定原则：</w:t>
      </w:r>
    </w:p>
    <w:p>
      <w:pPr>
        <w:spacing w:line="360" w:lineRule="auto"/>
        <w:ind w:firstLine="480"/>
        <w:rPr>
          <w:rFonts w:ascii="宋体" w:hAnsi="宋体"/>
          <w:sz w:val="24"/>
          <w:szCs w:val="24"/>
        </w:rPr>
      </w:pPr>
      <w:r>
        <w:rPr>
          <w:rFonts w:hint="eastAsia"/>
          <w:sz w:val="24"/>
          <w:szCs w:val="24"/>
        </w:rPr>
        <w:t>1.</w:t>
      </w:r>
      <w:r>
        <w:rPr>
          <w:rFonts w:ascii="宋体" w:hAnsi="宋体"/>
          <w:sz w:val="24"/>
          <w:szCs w:val="24"/>
        </w:rPr>
        <w:t>采取单一来源方式采购的，</w:t>
      </w:r>
      <w:r>
        <w:rPr>
          <w:rFonts w:hint="eastAsia" w:ascii="宋体" w:hAnsi="宋体"/>
          <w:sz w:val="24"/>
          <w:szCs w:val="24"/>
        </w:rPr>
        <w:t>采购人与供应商应当</w:t>
      </w:r>
      <w:r>
        <w:rPr>
          <w:rFonts w:ascii="宋体" w:hAnsi="宋体"/>
          <w:sz w:val="24"/>
          <w:szCs w:val="24"/>
        </w:rPr>
        <w:t>在保证采购项目质量和双方商定合理价格的基础上进行采购。</w:t>
      </w:r>
    </w:p>
    <w:p>
      <w:pPr>
        <w:spacing w:line="360" w:lineRule="auto"/>
        <w:ind w:firstLine="480"/>
        <w:rPr>
          <w:sz w:val="24"/>
          <w:szCs w:val="24"/>
        </w:rPr>
      </w:pPr>
      <w:r>
        <w:rPr>
          <w:rFonts w:hint="eastAsia"/>
          <w:b/>
          <w:bCs/>
          <w:sz w:val="24"/>
          <w:szCs w:val="24"/>
        </w:rPr>
        <w:t>2、谈判方式及程序：</w:t>
      </w:r>
    </w:p>
    <w:p>
      <w:pPr>
        <w:spacing w:line="360" w:lineRule="auto"/>
        <w:rPr>
          <w:sz w:val="24"/>
          <w:szCs w:val="24"/>
        </w:rPr>
      </w:pPr>
      <w:r>
        <w:rPr>
          <w:rFonts w:hint="eastAsia"/>
          <w:sz w:val="24"/>
          <w:szCs w:val="24"/>
        </w:rPr>
        <w:t xml:space="preserve">    2.1.初审和初评：由单一来源采购人员对参谈供应商提供的文件资料进行初审和初评。</w:t>
      </w:r>
    </w:p>
    <w:p>
      <w:pPr>
        <w:spacing w:line="360" w:lineRule="auto"/>
        <w:rPr>
          <w:sz w:val="24"/>
          <w:szCs w:val="24"/>
        </w:rPr>
      </w:pPr>
      <w:r>
        <w:rPr>
          <w:rFonts w:hint="eastAsia"/>
          <w:sz w:val="24"/>
          <w:szCs w:val="24"/>
        </w:rPr>
        <w:t xml:space="preserve">    2.2.第一轮谈判：对参谈供应商再次进行评审、质疑和澄清。在此阶段，单一来源采购人员依据参谈供应商递交的文件资料进行服务和商务谈判，根据评审情况要求参谈供应商进行重新承诺服务和第二次报价，以满足采购人最大需求。</w:t>
      </w:r>
    </w:p>
    <w:p>
      <w:pPr>
        <w:spacing w:line="360" w:lineRule="auto"/>
        <w:rPr>
          <w:sz w:val="24"/>
          <w:szCs w:val="24"/>
        </w:rPr>
      </w:pPr>
      <w:r>
        <w:rPr>
          <w:rFonts w:hint="eastAsia"/>
          <w:sz w:val="24"/>
          <w:szCs w:val="24"/>
        </w:rPr>
        <w:t xml:space="preserve">    2.3.第二轮谈判：对第一轮谈判结果不满意，单一来源采购人员可以再次要求参谈供应商进行第二轮谈判，谈判内容及要求跟第一轮谈判一样。</w:t>
      </w:r>
    </w:p>
    <w:p>
      <w:pPr>
        <w:spacing w:line="360" w:lineRule="auto"/>
        <w:rPr>
          <w:sz w:val="24"/>
          <w:szCs w:val="24"/>
        </w:rPr>
      </w:pPr>
      <w:r>
        <w:rPr>
          <w:rFonts w:hint="eastAsia"/>
          <w:sz w:val="24"/>
          <w:szCs w:val="24"/>
        </w:rPr>
        <w:t xml:space="preserve">    2. 4.谈判轮次最多不得超过三轮。</w:t>
      </w:r>
    </w:p>
    <w:p>
      <w:pPr>
        <w:spacing w:line="360" w:lineRule="auto"/>
        <w:rPr>
          <w:sz w:val="24"/>
          <w:szCs w:val="24"/>
        </w:rPr>
      </w:pPr>
      <w:r>
        <w:rPr>
          <w:rFonts w:hint="eastAsia"/>
          <w:sz w:val="24"/>
          <w:szCs w:val="24"/>
        </w:rPr>
        <w:t xml:space="preserve">    2.5.最终报价：谈判结束前，单一来源采购人员需对参谈供应商要求一次最后的报价。</w:t>
      </w:r>
    </w:p>
    <w:p>
      <w:pPr>
        <w:spacing w:line="360" w:lineRule="auto"/>
        <w:rPr>
          <w:sz w:val="24"/>
          <w:szCs w:val="24"/>
        </w:rPr>
      </w:pPr>
      <w:r>
        <w:rPr>
          <w:rFonts w:hint="eastAsia"/>
          <w:sz w:val="24"/>
          <w:szCs w:val="24"/>
        </w:rPr>
        <w:t xml:space="preserve">    2. 6.如果单一来源采购人员对最终结果还是不满意的，单一来源采购人员有权决定拒绝谈判。</w:t>
      </w:r>
    </w:p>
    <w:p>
      <w:pPr>
        <w:spacing w:line="360" w:lineRule="auto"/>
        <w:rPr>
          <w:sz w:val="24"/>
          <w:szCs w:val="24"/>
        </w:rPr>
      </w:pPr>
      <w:r>
        <w:rPr>
          <w:rFonts w:hint="eastAsia"/>
          <w:sz w:val="24"/>
          <w:szCs w:val="24"/>
        </w:rPr>
        <w:t xml:space="preserve">    2.7.谈判时，供应商应派代表参加谈判。参谈供应商人员必须在由采购代理机构指定的地点，并及时解释和澄清参谈文件内容及重新承诺书等。</w:t>
      </w:r>
    </w:p>
    <w:p>
      <w:pPr>
        <w:spacing w:line="360" w:lineRule="auto"/>
        <w:rPr>
          <w:sz w:val="24"/>
          <w:szCs w:val="24"/>
        </w:rPr>
      </w:pPr>
      <w:r>
        <w:rPr>
          <w:rFonts w:hint="eastAsia"/>
          <w:b/>
          <w:bCs/>
          <w:sz w:val="24"/>
          <w:szCs w:val="24"/>
        </w:rPr>
        <w:t>3、成交原则</w:t>
      </w:r>
      <w:r>
        <w:rPr>
          <w:rFonts w:hint="eastAsia"/>
          <w:sz w:val="24"/>
          <w:szCs w:val="24"/>
        </w:rPr>
        <w:t>：采取单一来源方式采购的，采购人与供应商应当在保证采购项目质量和双方商定合理价格的基础上进行采购。</w:t>
      </w:r>
    </w:p>
    <w:p>
      <w:pPr>
        <w:spacing w:line="360" w:lineRule="auto"/>
      </w:pPr>
    </w:p>
    <w:p>
      <w:pPr>
        <w:pStyle w:val="3"/>
        <w:pageBreakBefore/>
        <w:numPr>
          <w:ilvl w:val="0"/>
          <w:numId w:val="17"/>
        </w:numPr>
        <w:spacing w:before="319" w:beforeLines="100" w:after="319" w:afterLines="100" w:line="240" w:lineRule="auto"/>
        <w:rPr>
          <w:rFonts w:ascii="宋体" w:cs="宋体"/>
          <w:sz w:val="36"/>
          <w:szCs w:val="36"/>
        </w:rPr>
      </w:pPr>
      <w:bookmarkStart w:id="68" w:name="_Toc23489"/>
      <w:bookmarkStart w:id="69" w:name="_Toc18551"/>
      <w:r>
        <w:rPr>
          <w:rFonts w:hint="eastAsia" w:ascii="宋体" w:hAnsi="宋体" w:cs="宋体"/>
          <w:sz w:val="36"/>
          <w:szCs w:val="36"/>
        </w:rPr>
        <w:t>采购要求</w:t>
      </w:r>
      <w:bookmarkEnd w:id="68"/>
      <w:bookmarkEnd w:id="69"/>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一、</w:t>
      </w:r>
      <w:r>
        <w:rPr>
          <w:rFonts w:hint="eastAsia" w:ascii="宋体" w:hAnsi="宋体" w:eastAsia="宋体" w:cs="宋体"/>
          <w:b/>
          <w:sz w:val="28"/>
          <w:szCs w:val="28"/>
        </w:rPr>
        <w:t>采购清单</w:t>
      </w:r>
    </w:p>
    <w:tbl>
      <w:tblPr>
        <w:tblStyle w:val="29"/>
        <w:tblW w:w="515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5634"/>
        <w:gridCol w:w="828"/>
        <w:gridCol w:w="831"/>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209"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471"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技术参数</w:t>
            </w:r>
          </w:p>
        </w:tc>
        <w:tc>
          <w:tcPr>
            <w:tcW w:w="473"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配置要求</w:t>
            </w:r>
          </w:p>
        </w:tc>
        <w:tc>
          <w:tcPr>
            <w:tcW w:w="374"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sz w:val="21"/>
                <w:szCs w:val="21"/>
              </w:rPr>
              <w:t>1</w:t>
            </w:r>
          </w:p>
        </w:tc>
        <w:tc>
          <w:tcPr>
            <w:tcW w:w="3209"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kern w:val="0"/>
                <w:sz w:val="21"/>
                <w:szCs w:val="21"/>
              </w:rPr>
              <w:t>VR一体设备</w:t>
            </w:r>
          </w:p>
        </w:tc>
        <w:tc>
          <w:tcPr>
            <w:tcW w:w="944" w:type="pct"/>
            <w:gridSpan w:val="2"/>
            <w:vMerge w:val="restart"/>
            <w:tcBorders>
              <w:left w:val="single" w:color="auto" w:sz="4" w:space="0"/>
              <w:right w:val="single" w:color="auto" w:sz="4" w:space="0"/>
            </w:tcBorders>
            <w:noWrap w:val="0"/>
            <w:vAlign w:val="center"/>
          </w:tcPr>
          <w:p>
            <w:pPr>
              <w:pStyle w:val="11"/>
              <w:widowControl/>
              <w:spacing w:line="400" w:lineRule="exact"/>
              <w:jc w:val="center"/>
              <w:rPr>
                <w:rFonts w:hint="eastAsia" w:ascii="宋体" w:hAnsi="宋体" w:eastAsia="宋体" w:cs="宋体"/>
                <w:sz w:val="21"/>
                <w:szCs w:val="21"/>
              </w:rPr>
            </w:pPr>
            <w:r>
              <w:rPr>
                <w:rFonts w:hint="eastAsia" w:ascii="宋体" w:hAnsi="宋体" w:eastAsia="宋体" w:cs="宋体"/>
                <w:sz w:val="21"/>
                <w:szCs w:val="21"/>
              </w:rPr>
              <w:t>详见附件 技术参数及配置要求</w:t>
            </w:r>
          </w:p>
        </w:tc>
        <w:tc>
          <w:tcPr>
            <w:tcW w:w="374"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sz w:val="21"/>
                <w:szCs w:val="21"/>
              </w:rPr>
              <w:t>2</w:t>
            </w:r>
          </w:p>
        </w:tc>
        <w:tc>
          <w:tcPr>
            <w:tcW w:w="3209"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kern w:val="0"/>
                <w:sz w:val="21"/>
                <w:szCs w:val="21"/>
              </w:rPr>
              <w:t>高炉炼铁生产VR漫游系统</w:t>
            </w:r>
          </w:p>
        </w:tc>
        <w:tc>
          <w:tcPr>
            <w:tcW w:w="944" w:type="pct"/>
            <w:gridSpan w:val="2"/>
            <w:vMerge w:val="continue"/>
            <w:tcBorders>
              <w:left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p>
        </w:tc>
        <w:tc>
          <w:tcPr>
            <w:tcW w:w="374"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sz w:val="21"/>
                <w:szCs w:val="21"/>
              </w:rPr>
              <w:t>3</w:t>
            </w:r>
          </w:p>
        </w:tc>
        <w:tc>
          <w:tcPr>
            <w:tcW w:w="3209"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kern w:val="0"/>
                <w:sz w:val="21"/>
                <w:szCs w:val="21"/>
              </w:rPr>
              <w:t>电炉炼钢生产虚拟仿真实践教学系统</w:t>
            </w:r>
          </w:p>
        </w:tc>
        <w:tc>
          <w:tcPr>
            <w:tcW w:w="944" w:type="pct"/>
            <w:gridSpan w:val="2"/>
            <w:vMerge w:val="continue"/>
            <w:tcBorders>
              <w:left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p>
        </w:tc>
        <w:tc>
          <w:tcPr>
            <w:tcW w:w="374"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sz w:val="21"/>
                <w:szCs w:val="21"/>
              </w:rPr>
              <w:t>4</w:t>
            </w:r>
          </w:p>
        </w:tc>
        <w:tc>
          <w:tcPr>
            <w:tcW w:w="3209"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kern w:val="0"/>
                <w:sz w:val="21"/>
                <w:szCs w:val="21"/>
              </w:rPr>
              <w:t>中厚板生产虚拟仿真实践教学系统</w:t>
            </w:r>
          </w:p>
        </w:tc>
        <w:tc>
          <w:tcPr>
            <w:tcW w:w="944" w:type="pct"/>
            <w:gridSpan w:val="2"/>
            <w:vMerge w:val="continue"/>
            <w:tcBorders>
              <w:left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p>
        </w:tc>
        <w:tc>
          <w:tcPr>
            <w:tcW w:w="374"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sz w:val="21"/>
                <w:szCs w:val="21"/>
              </w:rPr>
              <w:t>5</w:t>
            </w:r>
          </w:p>
        </w:tc>
        <w:tc>
          <w:tcPr>
            <w:tcW w:w="3209"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kern w:val="0"/>
                <w:sz w:val="21"/>
                <w:szCs w:val="21"/>
              </w:rPr>
              <w:t>高炉炼铁生产虚拟仿真实践教学系统（功能拓展）</w:t>
            </w:r>
          </w:p>
        </w:tc>
        <w:tc>
          <w:tcPr>
            <w:tcW w:w="944" w:type="pct"/>
            <w:gridSpan w:val="2"/>
            <w:vMerge w:val="continue"/>
            <w:tcBorders>
              <w:left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p>
        </w:tc>
        <w:tc>
          <w:tcPr>
            <w:tcW w:w="374"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sz w:val="21"/>
                <w:szCs w:val="21"/>
              </w:rPr>
              <w:t>6</w:t>
            </w:r>
          </w:p>
        </w:tc>
        <w:tc>
          <w:tcPr>
            <w:tcW w:w="3209"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kern w:val="0"/>
                <w:sz w:val="21"/>
                <w:szCs w:val="21"/>
              </w:rPr>
              <w:t>板坯连铸生产虚拟仿真实践教学系统（功能拓展）</w:t>
            </w:r>
          </w:p>
        </w:tc>
        <w:tc>
          <w:tcPr>
            <w:tcW w:w="944" w:type="pct"/>
            <w:gridSpan w:val="2"/>
            <w:vMerge w:val="continue"/>
            <w:tcBorders>
              <w:left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p>
        </w:tc>
        <w:tc>
          <w:tcPr>
            <w:tcW w:w="374"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sz w:val="21"/>
                <w:szCs w:val="21"/>
              </w:rPr>
              <w:t>7</w:t>
            </w:r>
          </w:p>
        </w:tc>
        <w:tc>
          <w:tcPr>
            <w:tcW w:w="3209" w:type="pct"/>
            <w:tcBorders>
              <w:top w:val="single" w:color="auto" w:sz="4" w:space="0"/>
              <w:left w:val="single" w:color="auto" w:sz="4" w:space="0"/>
              <w:bottom w:val="single" w:color="auto" w:sz="4" w:space="0"/>
              <w:right w:val="single" w:color="auto" w:sz="4" w:space="0"/>
            </w:tcBorders>
            <w:noWrap w:val="0"/>
            <w:vAlign w:val="center"/>
          </w:tcPr>
          <w:p>
            <w:pPr>
              <w:pStyle w:val="114"/>
              <w:rPr>
                <w:rFonts w:hint="eastAsia" w:ascii="宋体" w:hAnsi="宋体" w:eastAsia="宋体" w:cs="宋体"/>
                <w:sz w:val="21"/>
                <w:szCs w:val="21"/>
              </w:rPr>
            </w:pPr>
            <w:r>
              <w:rPr>
                <w:rFonts w:hint="eastAsia" w:ascii="宋体" w:hAnsi="宋体" w:eastAsia="宋体" w:cs="宋体"/>
                <w:kern w:val="0"/>
                <w:sz w:val="21"/>
                <w:szCs w:val="21"/>
              </w:rPr>
              <w:t>RH精炼生产虚拟仿实践教学系统</w:t>
            </w:r>
          </w:p>
        </w:tc>
        <w:tc>
          <w:tcPr>
            <w:tcW w:w="944" w:type="pct"/>
            <w:gridSpan w:val="2"/>
            <w:vMerge w:val="continue"/>
            <w:tcBorders>
              <w:left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p>
        </w:tc>
        <w:tc>
          <w:tcPr>
            <w:tcW w:w="374" w:type="pct"/>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r>
    </w:tbl>
    <w:p>
      <w:pPr>
        <w:ind w:right="-178" w:rightChars="-85"/>
        <w:jc w:val="both"/>
        <w:rPr>
          <w:rFonts w:hint="eastAsia" w:ascii="宋体" w:hAnsi="宋体" w:eastAsia="宋体" w:cs="宋体"/>
          <w:b/>
          <w:sz w:val="28"/>
          <w:szCs w:val="28"/>
        </w:rPr>
      </w:pPr>
      <w:r>
        <w:rPr>
          <w:rFonts w:hint="eastAsia" w:ascii="宋体" w:hAnsi="宋体" w:eastAsia="宋体" w:cs="宋体"/>
          <w:b/>
          <w:sz w:val="28"/>
          <w:szCs w:val="28"/>
          <w:lang w:eastAsia="zh-CN"/>
        </w:rPr>
        <w:t>二、</w:t>
      </w:r>
      <w:r>
        <w:rPr>
          <w:rFonts w:hint="eastAsia" w:ascii="宋体" w:hAnsi="宋体" w:eastAsia="宋体" w:cs="宋体"/>
          <w:b/>
          <w:sz w:val="28"/>
          <w:szCs w:val="28"/>
        </w:rPr>
        <w:t>技术参数及配置要求</w:t>
      </w:r>
    </w:p>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763"/>
        <w:gridCol w:w="5817"/>
        <w:gridCol w:w="573"/>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1" w:type="pct"/>
            <w:shd w:val="clear" w:color="auto" w:fill="auto"/>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24" w:type="pct"/>
            <w:shd w:val="clear" w:color="auto" w:fill="auto"/>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类型</w:t>
            </w:r>
          </w:p>
        </w:tc>
        <w:tc>
          <w:tcPr>
            <w:tcW w:w="460" w:type="pct"/>
            <w:shd w:val="clear" w:color="auto" w:fill="auto"/>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设备</w:t>
            </w:r>
          </w:p>
        </w:tc>
        <w:tc>
          <w:tcPr>
            <w:tcW w:w="3427" w:type="pct"/>
            <w:shd w:val="clear" w:color="auto" w:fill="auto"/>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参数</w:t>
            </w:r>
          </w:p>
        </w:tc>
        <w:tc>
          <w:tcPr>
            <w:tcW w:w="348" w:type="pct"/>
            <w:shd w:val="clear" w:color="auto" w:fill="auto"/>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单位</w:t>
            </w:r>
          </w:p>
        </w:tc>
        <w:tc>
          <w:tcPr>
            <w:tcW w:w="310" w:type="pct"/>
            <w:shd w:val="clear" w:color="auto" w:fill="auto"/>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1"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24" w:type="pct"/>
            <w:vMerge w:val="restar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虚拟仿真实训室扩</w:t>
            </w:r>
          </w:p>
          <w:p>
            <w:pPr>
              <w:jc w:val="center"/>
              <w:rPr>
                <w:rFonts w:hint="eastAsia" w:ascii="宋体" w:hAnsi="宋体" w:eastAsia="宋体" w:cs="宋体"/>
                <w:b/>
                <w:bCs/>
                <w:kern w:val="0"/>
                <w:sz w:val="21"/>
                <w:szCs w:val="21"/>
              </w:rPr>
            </w:pPr>
            <w:r>
              <w:rPr>
                <w:rFonts w:hint="eastAsia" w:ascii="宋体" w:hAnsi="宋体" w:eastAsia="宋体" w:cs="宋体"/>
                <w:kern w:val="0"/>
                <w:sz w:val="21"/>
                <w:szCs w:val="21"/>
              </w:rPr>
              <w:t>建</w:t>
            </w:r>
          </w:p>
        </w:tc>
        <w:tc>
          <w:tcPr>
            <w:tcW w:w="46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VR一体设备</w:t>
            </w:r>
          </w:p>
        </w:tc>
        <w:tc>
          <w:tcPr>
            <w:tcW w:w="3427" w:type="pct"/>
            <w:shd w:val="clear" w:color="auto" w:fill="auto"/>
            <w:noWrap w:val="0"/>
            <w:vAlign w:val="center"/>
          </w:tcPr>
          <w:p>
            <w:pPr>
              <w:jc w:val="left"/>
              <w:rPr>
                <w:rFonts w:hint="eastAsia" w:ascii="宋体" w:hAnsi="宋体" w:eastAsia="宋体" w:cs="宋体"/>
                <w:kern w:val="0"/>
                <w:sz w:val="21"/>
                <w:szCs w:val="21"/>
              </w:rPr>
            </w:pPr>
            <w:r>
              <w:rPr>
                <w:rFonts w:hint="eastAsia" w:ascii="宋体" w:hAnsi="宋体" w:eastAsia="宋体" w:cs="宋体"/>
                <w:kern w:val="0"/>
                <w:sz w:val="21"/>
                <w:szCs w:val="21"/>
              </w:rPr>
              <w:t>（1）主机：</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处理器：I7-10700；</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内存：16GB；</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显存：独显4G及以上；</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显示输出：兼容HDMI 1.3、DP1.1；</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USB接口：USB 3.0x2、USB 2.0x2；</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操作系统环境：Windows 10；</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硬盘：512GB/SSD固态硬盘，外接引线式开关。</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显示器及支架：23.8寸。</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（2）VR头戴设备：</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屏幕：双AMOLED 屏幕，对角直径3.6 吋。</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分辨率：单眼分辨率为1400*1700像素(双眼组合分辨率：2880*1700 像素)。</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刷新率：90 Hz。</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场角：110 度。</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音频：立体声耳机。</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操作手柄：每套系统包含手柄2个。</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传感器：内置传感器；陀螺仪和G-SENSOR校正；霍尔传感器；触摸传感器。</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输入：系统按钮，两个应用程序按钮。</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扳机：缓冲按钮，摇杆，抓握按钮。</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电池：2节AA碱性电池。</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配套培训桌。</w:t>
            </w:r>
          </w:p>
        </w:tc>
        <w:tc>
          <w:tcPr>
            <w:tcW w:w="348"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31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1"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24" w:type="pct"/>
            <w:vMerge w:val="continue"/>
            <w:shd w:val="clear" w:color="auto" w:fill="auto"/>
            <w:noWrap w:val="0"/>
            <w:vAlign w:val="center"/>
          </w:tcPr>
          <w:p>
            <w:pPr>
              <w:jc w:val="center"/>
              <w:rPr>
                <w:rFonts w:hint="eastAsia" w:ascii="宋体" w:hAnsi="宋体" w:eastAsia="宋体" w:cs="宋体"/>
                <w:b/>
                <w:bCs/>
                <w:kern w:val="0"/>
                <w:sz w:val="21"/>
                <w:szCs w:val="21"/>
              </w:rPr>
            </w:pPr>
          </w:p>
        </w:tc>
        <w:tc>
          <w:tcPr>
            <w:tcW w:w="46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高炉炼铁生产VR漫游系统</w:t>
            </w:r>
          </w:p>
        </w:tc>
        <w:tc>
          <w:tcPr>
            <w:tcW w:w="3427" w:type="pct"/>
            <w:shd w:val="clear" w:color="auto" w:fill="auto"/>
            <w:noWrap w:val="0"/>
            <w:vAlign w:val="center"/>
          </w:tcPr>
          <w:p>
            <w:pPr>
              <w:jc w:val="left"/>
              <w:rPr>
                <w:rFonts w:hint="eastAsia" w:ascii="宋体" w:hAnsi="宋体" w:eastAsia="宋体" w:cs="宋体"/>
                <w:kern w:val="0"/>
                <w:sz w:val="21"/>
                <w:szCs w:val="21"/>
              </w:rPr>
            </w:pPr>
            <w:r>
              <w:rPr>
                <w:rFonts w:hint="eastAsia" w:ascii="宋体" w:hAnsi="宋体" w:eastAsia="宋体" w:cs="宋体"/>
                <w:kern w:val="0"/>
                <w:sz w:val="21"/>
                <w:szCs w:val="21"/>
              </w:rPr>
              <w:t>（一）系统功能:</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1．系统以3200m³生产线为背景，构建高炉炼铁全产线生产三维场景。</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2．用户通过高炉炼铁生产场景的漫游，进行设备和工艺过程认知学习，了解高炉炼铁生产过程和生产工艺。</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3．漫游系统中可以自由漫游，移动方式主要以传送方式为主。</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4．系统中真实呈现生产现场，形象表现炼铁工艺原理，实现炼铁生产过程的虚拟化、可视化。</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5．产线漫游功能：漫游区域包含高炉本体区域和热风炉系统区域场景。</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6．工艺与设备认知功能:漫游场景中，虚拟高炉炼铁产线为正常生产状态，完全还原真实产线生产运行情景，包括所有主要设备的运转动作、物料的跟踪与变形，以及水、火、烟雾等特效。</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7．语音介绍功能:系统提供语音介绍功能，内容涵盖产线主要设备设施功能介绍和重点工艺内容。学生在浏览高炉炼铁产线设备和生产过程的同时，可通过触发语音介绍图标，学习掌握当前设备的主要功能和控制工艺。</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8．设备结构展示功能：系统提供设备爆炸展示功能，可对高炉设备结构进行爆炸、旋转和缩放，展示设备结构组成。</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（二）技术参数:</w:t>
            </w:r>
          </w:p>
          <w:p>
            <w:pPr>
              <w:rPr>
                <w:rFonts w:hint="eastAsia" w:ascii="宋体" w:hAnsi="宋体" w:eastAsia="宋体" w:cs="宋体"/>
                <w:kern w:val="0"/>
                <w:sz w:val="21"/>
                <w:szCs w:val="21"/>
              </w:rPr>
            </w:pPr>
            <w:r>
              <w:rPr>
                <w:rFonts w:hint="eastAsia" w:ascii="宋体" w:hAnsi="宋体" w:eastAsia="宋体" w:cs="宋体"/>
                <w:kern w:val="0"/>
                <w:sz w:val="21"/>
                <w:szCs w:val="21"/>
              </w:rPr>
              <w:t>1.工艺3D动画（不少于5个，动画总时长不少于15分钟，ogv，mp4,AVI，mov,1080p）：</w:t>
            </w:r>
          </w:p>
          <w:p>
            <w:pPr>
              <w:rPr>
                <w:rFonts w:hint="eastAsia" w:ascii="宋体" w:hAnsi="宋体" w:eastAsia="宋体" w:cs="宋体"/>
                <w:kern w:val="0"/>
                <w:sz w:val="21"/>
                <w:szCs w:val="21"/>
              </w:rPr>
            </w:pPr>
            <w:r>
              <w:rPr>
                <w:rFonts w:hint="eastAsia" w:ascii="宋体" w:hAnsi="宋体" w:eastAsia="宋体" w:cs="宋体"/>
                <w:kern w:val="0"/>
                <w:sz w:val="21"/>
                <w:szCs w:val="21"/>
              </w:rPr>
              <w:t>包括但不限于：1.高炉本体系统工艺流程；2.热风炉系统工艺流程；3.高炉本体结构；4.风口装置结构；5.热风炉结构。</w:t>
            </w:r>
          </w:p>
          <w:p>
            <w:pPr>
              <w:jc w:val="left"/>
              <w:rPr>
                <w:rFonts w:hint="eastAsia" w:ascii="宋体" w:hAnsi="宋体" w:eastAsia="宋体" w:cs="宋体"/>
                <w:sz w:val="21"/>
                <w:szCs w:val="21"/>
              </w:rPr>
            </w:pPr>
          </w:p>
          <w:p>
            <w:pPr>
              <w:rPr>
                <w:rFonts w:hint="eastAsia" w:ascii="宋体" w:hAnsi="宋体" w:eastAsia="宋体" w:cs="宋体"/>
                <w:kern w:val="0"/>
                <w:sz w:val="21"/>
                <w:szCs w:val="21"/>
              </w:rPr>
            </w:pPr>
            <w:r>
              <w:rPr>
                <w:rFonts w:hint="eastAsia" w:ascii="宋体" w:hAnsi="宋体" w:eastAsia="宋体" w:cs="宋体"/>
                <w:kern w:val="0"/>
                <w:sz w:val="21"/>
                <w:szCs w:val="21"/>
              </w:rPr>
              <w:t>2.工艺语音介绍（不少于30个，总时间不少于 10 分钟）：</w:t>
            </w:r>
          </w:p>
          <w:p>
            <w:pPr>
              <w:rPr>
                <w:rFonts w:hint="eastAsia" w:ascii="宋体" w:hAnsi="宋体" w:eastAsia="宋体" w:cs="宋体"/>
                <w:kern w:val="0"/>
                <w:sz w:val="21"/>
                <w:szCs w:val="21"/>
              </w:rPr>
            </w:pPr>
            <w:r>
              <w:rPr>
                <w:rFonts w:hint="eastAsia" w:ascii="宋体" w:hAnsi="宋体" w:eastAsia="宋体" w:cs="宋体"/>
                <w:kern w:val="0"/>
                <w:sz w:val="21"/>
                <w:szCs w:val="21"/>
              </w:rPr>
              <w:t>包括但不限于：1.放散阀；2.受料斗；3.炉顶运料皮带；4.料罐；5.上密封阀；6.截料阀；7.下密封阀;8.料流调节阀;9.眼镜阀;10.布料溜槽;11.齿轮箱;12.中心喉管;13.探尺;14.热风围管;15.风口装置;16.风口大、小套;17.喷煤枪;18.高炉冷却系统;19.煤气预热装置;20.空气预热装置;21.空气切断阀;22.煤气切断阀;23.煤气调节阀;24.空气调节阀;25.煤气输送、燃烧系统;26.助燃空气输送、燃烧系统;27.热风系统;28.烟气系统;29.倒流休风系统;30.混风系统。</w:t>
            </w:r>
          </w:p>
          <w:p>
            <w:pPr>
              <w:jc w:val="left"/>
              <w:rPr>
                <w:rFonts w:hint="eastAsia" w:ascii="宋体" w:hAnsi="宋体" w:eastAsia="宋体" w:cs="宋体"/>
                <w:sz w:val="21"/>
                <w:szCs w:val="21"/>
              </w:rPr>
            </w:pPr>
          </w:p>
          <w:p>
            <w:pPr>
              <w:rPr>
                <w:rFonts w:hint="eastAsia" w:ascii="宋体" w:hAnsi="宋体" w:eastAsia="宋体" w:cs="宋体"/>
                <w:kern w:val="0"/>
                <w:sz w:val="21"/>
                <w:szCs w:val="21"/>
              </w:rPr>
            </w:pPr>
            <w:r>
              <w:rPr>
                <w:rFonts w:hint="eastAsia" w:ascii="宋体" w:hAnsi="宋体" w:eastAsia="宋体" w:cs="宋体"/>
                <w:kern w:val="0"/>
                <w:sz w:val="21"/>
                <w:szCs w:val="21"/>
              </w:rPr>
              <w:t>3.VR漫游范围（不少于40个）：</w:t>
            </w:r>
          </w:p>
          <w:p>
            <w:pPr>
              <w:rPr>
                <w:rFonts w:hint="eastAsia" w:ascii="宋体" w:hAnsi="宋体" w:eastAsia="宋体" w:cs="宋体"/>
                <w:kern w:val="0"/>
                <w:sz w:val="21"/>
                <w:szCs w:val="21"/>
              </w:rPr>
            </w:pPr>
            <w:r>
              <w:rPr>
                <w:rFonts w:hint="eastAsia" w:ascii="宋体" w:hAnsi="宋体" w:eastAsia="宋体" w:cs="宋体"/>
                <w:kern w:val="0"/>
                <w:sz w:val="21"/>
                <w:szCs w:val="21"/>
              </w:rPr>
              <w:t>包括但不限于：1.高炉本体;2.放散平台;3.放散阀;4.受料斗平台;5.炉顶运料皮带;6.料罐平台;7.料罐;8.上密封阀;9.截料阀;10.眼镜阀平台;11.下密封阀;12.料流调节阀;13.眼镜阀;14.溜槽平台;15.布料溜槽;16.齿轮箱;17.中心喉管;18.探尺平台;19.探尺;20.风口平台;21.热风围管;22.风口装置;23.风口大、小套;24.喷煤枪;25.高炉冷却系统;26.热风炉下区域;27.热风炉本体;28.烟气换热系统;29.煤气预热系统;30.助燃空气预热系统;31.热风炉四层;32.煤气输送、燃烧系统;33.助燃空气输送、燃烧系统;34.热风系统;35.热风炉二层;36.烟气系统;37.冷风系统;38.热风炉三层;39.倒流休风系统;40.混风系统。</w:t>
            </w:r>
          </w:p>
        </w:tc>
        <w:tc>
          <w:tcPr>
            <w:tcW w:w="348"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31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1"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24" w:type="pct"/>
            <w:vMerge w:val="continue"/>
            <w:shd w:val="clear" w:color="auto" w:fill="auto"/>
            <w:noWrap w:val="0"/>
            <w:vAlign w:val="center"/>
          </w:tcPr>
          <w:p>
            <w:pPr>
              <w:jc w:val="center"/>
              <w:rPr>
                <w:rFonts w:hint="eastAsia" w:ascii="宋体" w:hAnsi="宋体" w:eastAsia="宋体" w:cs="宋体"/>
                <w:b/>
                <w:bCs/>
                <w:kern w:val="0"/>
                <w:sz w:val="21"/>
                <w:szCs w:val="21"/>
              </w:rPr>
            </w:pPr>
          </w:p>
        </w:tc>
        <w:tc>
          <w:tcPr>
            <w:tcW w:w="46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电炉炼钢生产虚拟仿真实践教学系统</w:t>
            </w:r>
          </w:p>
        </w:tc>
        <w:tc>
          <w:tcPr>
            <w:tcW w:w="3427" w:type="pct"/>
            <w:shd w:val="clear" w:color="auto" w:fill="auto"/>
            <w:noWrap w:val="0"/>
            <w:vAlign w:val="center"/>
          </w:tcPr>
          <w:p>
            <w:pPr>
              <w:jc w:val="left"/>
              <w:rPr>
                <w:rFonts w:hint="eastAsia" w:ascii="宋体" w:hAnsi="宋体" w:eastAsia="宋体" w:cs="宋体"/>
                <w:kern w:val="0"/>
                <w:sz w:val="21"/>
                <w:szCs w:val="21"/>
              </w:rPr>
            </w:pPr>
            <w:r>
              <w:rPr>
                <w:rFonts w:hint="eastAsia" w:ascii="宋体" w:hAnsi="宋体" w:eastAsia="宋体" w:cs="宋体"/>
                <w:kern w:val="0"/>
                <w:sz w:val="21"/>
                <w:szCs w:val="21"/>
              </w:rPr>
              <w:t>（一）系统功能：</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电炉炼钢仿真操作系统应用于学生真实模拟生产现场的操作，设定操作目标，选择操作参数，通过人机对话，实现对操作结果的影响，学生设定的每个参数、每步操作过程都会对最终结果产生影响，并且能够产生不同选择和操作的经济效果。</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1.任务单画面模块：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主要完成电炉设备全局浏览、显示目标钢种、钢水重量、铁水、废钢等初始原料信息。</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2.配料布料系统模块：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完成不同种类废钢的配比及料篮的装入。</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3.装料系统模块：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主要功能是控制废钢和铁水加入到电炉中。</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4.参数设置画面模块：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完成留钢量、铁水的重量确定及加入。</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5.电极系统模块：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根据钢水温度要求，确定供电档位，即电弧炉供电制度工艺参数，确定正确的升温制度的模拟；主要功能是加热模式的选择、加热功率的设定与控制、U/V/W三相电极的升降控制。</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6.炉体设备模块：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完成电炉的倾动控制，及不同控制地点的权限控制；完成炉门的开闭、炉盖的升降、旋转控制。</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7.氧枪碳枪系统模块：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完成氧枪、碳粉枪的控制，实现升温脱碳、造泡沫渣的功能。</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8.料仓系统模块：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完成电炉冶炼时造渣料、合金料称量、下料操作仿真和控制。</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9.水冷系统模块：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完成对电炉炉盖、炉体、电气设备的水冷系统仿真。</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10.液压系统模块：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实现液压站高压泵、循环泵启停控制；油温控制等操作功能。为设备运行提供可靠优质液压动力源。</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11.除尘系统模块：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完成除尘作业。由炉尘收集管道、炉尘降温换热设备及布袋除尘组成的仿真。</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12.出钢系统模块：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完成渣车及钢包的行走控制，及出钢口、渣盆和钢包的控制。</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13.操作台画面模块：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完成1#、2#、3#电极系统夹紧、升降、炉盖系统升降、旋入旋出；渣门系统的开关、倾动系统的控制。</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14.操作记录模块：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监控电炉冶炼时各自设备运转状态，记录冶炼过程中操作事件、误操作，做到学生在整个过程中的操作可追踪性。</w:t>
            </w:r>
          </w:p>
          <w:p>
            <w:pPr>
              <w:pStyle w:val="6"/>
              <w:rPr>
                <w:rFonts w:hint="eastAsia" w:ascii="宋体" w:hAnsi="宋体" w:eastAsia="宋体" w:cs="宋体"/>
                <w:b w:val="0"/>
                <w:kern w:val="0"/>
                <w:sz w:val="21"/>
                <w:szCs w:val="21"/>
              </w:rPr>
            </w:pPr>
            <w:r>
              <w:rPr>
                <w:rFonts w:hint="eastAsia" w:ascii="宋体" w:hAnsi="宋体" w:eastAsia="宋体" w:cs="宋体"/>
                <w:b w:val="0"/>
                <w:kern w:val="0"/>
                <w:sz w:val="21"/>
                <w:szCs w:val="21"/>
              </w:rPr>
              <w:t>15. 学生可通过模型开发和参数优化，深入认识和探索艺流程与工艺结果的相关性，深挖创新研发潜力，达到能力拓展的目标。电炉炼钢数学模型需能独立运行，体现在电炉物料平衡计算、热平衡计算和实时的成分与温度计算，包括终点控制与合金化。其中物料平衡计算包括炉料配入量计算、耗氧量计算、炉渣计算、炉气计算、合金化计算和物料平衡表。热量平衡计算包括废钢、生铁、铁水、焦炭、石灰、矿石、萤石、火砖块、电极、炉顶砖、炉衬、空气、氧气、硅铁合金、锰铁合金和铬铁合金的比热、温度、消耗量和物理热显示与计算。废钢、铁水与生铁、焦炭用量可调整，炉料的C、Si、Mn、P、S等元素可调整。EAF终点控制与合金化能根据不同废钢种类、冶炼参数实时计算钢液成分（含C、Si、Mn、P、S）、钢液温度、废钢温度和熔化量，以及渣成分变化。</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（二）技术参数：</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1．基于100t、150t超高功率电弧炉为原型，建立虚拟仿真实训系统，配备氧枪喷吹和喷碳系统，高效冶炼，冶炼周期在40-60min以内。采用先进的偏心炉底出钢技术，为提高钢水的洁净度创造良好的条件。</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2.废钢比：45%和100%两种。</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3.电炉吨位：100t、150t两种。</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4.钢种：GCr15（高碳钢）、55SiCrA（中碳钢）、10#（低碳钢）三个钢种。</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5.料篮加料方式：单料篮、双料篮、三料篮装料。</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6.重废：重型废钢、钢包铸余、中包铸余、中型废钢、铸造铁块。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7.轻废：精料废钢、连铸切头切尾、破碎废钢、粉状废钢、铸造铁块。</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8.散料类型：石灰、轻烧白云石。</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9.炉壁氧枪：3支。</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10.炉壁碳粉枪：3支。</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11.电极系统：超高功率交流电极系统。</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注：为保证学校冶金虚拟仿真实践教学系统的统一集成管理，包括软件管理、用户权限管理、信息管理等通用化功能。本系统开发架构和技术路线与现有冶金虚拟仿真实践教学系统保持一致，数据与学校现有软件管理系统有良好的兼容性。投标文件需提供详细说明。</w:t>
            </w:r>
          </w:p>
        </w:tc>
        <w:tc>
          <w:tcPr>
            <w:tcW w:w="348"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31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1"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24" w:type="pct"/>
            <w:vMerge w:val="continue"/>
            <w:shd w:val="clear" w:color="auto" w:fill="auto"/>
            <w:noWrap w:val="0"/>
            <w:vAlign w:val="center"/>
          </w:tcPr>
          <w:p>
            <w:pPr>
              <w:jc w:val="center"/>
              <w:rPr>
                <w:rFonts w:hint="eastAsia" w:ascii="宋体" w:hAnsi="宋体" w:eastAsia="宋体" w:cs="宋体"/>
                <w:b/>
                <w:bCs/>
                <w:kern w:val="0"/>
                <w:sz w:val="21"/>
                <w:szCs w:val="21"/>
              </w:rPr>
            </w:pPr>
          </w:p>
        </w:tc>
        <w:tc>
          <w:tcPr>
            <w:tcW w:w="46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中厚板生产虚拟仿真实践教学系统</w:t>
            </w:r>
          </w:p>
        </w:tc>
        <w:tc>
          <w:tcPr>
            <w:tcW w:w="3427" w:type="pct"/>
            <w:shd w:val="clear" w:color="auto" w:fill="auto"/>
            <w:noWrap w:val="0"/>
            <w:vAlign w:val="center"/>
          </w:tcPr>
          <w:p>
            <w:pPr>
              <w:jc w:val="left"/>
              <w:rPr>
                <w:rFonts w:hint="eastAsia" w:ascii="宋体" w:hAnsi="宋体" w:eastAsia="宋体" w:cs="宋体"/>
                <w:kern w:val="0"/>
                <w:sz w:val="21"/>
                <w:szCs w:val="21"/>
              </w:rPr>
            </w:pPr>
            <w:r>
              <w:rPr>
                <w:rFonts w:hint="eastAsia" w:ascii="宋体" w:hAnsi="宋体" w:eastAsia="宋体" w:cs="宋体"/>
                <w:kern w:val="0"/>
                <w:sz w:val="21"/>
                <w:szCs w:val="21"/>
              </w:rPr>
              <w:t>（一）系统功能：</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1.系统以典型中厚板生产线为原型，集成专业化的工艺模型、操控模型，对真实生产线及操控系统进行模拟，实现中厚板生产的模拟操作实训。系统具备仿真操作和考核评价等功能。</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2.仿真操作功能用于进行中厚板生产过程模拟操作教学，包括工艺设定仿真、加热炉、高压水除鳞、粗轧、精轧、ACC加速冷却、矫直、冷床、切边、定尺等工序与设备模块的仿真操作。</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3.仿真操作功能包含中厚板轧制规程设计工艺模型软件，模型软件自带轧制计划管理功能，支持自定义计划单（自定义计划单号、轧制序号、板坯厚度、板坯宽度、板坯温度、板坯长度、钢种、成品厚度、成品宽度、成品温度、成品长度、中间坯厚度等），支持添加、修改和删除数据库中的计划单；可通过调整各轧制道次（Pass1- Pass15）的轧制规范数据，模拟计算轧制工艺参数设定值（含轧制厚度、温度、辊缝、轧制力、轧制速度、轧制长度、相对变形率、宽度等）；可从打滑条件判定、轧制力判定和轧制力矩判定等角度对轧制规程合理性进行评价（轻度不合理进行警告提示，严重不合理进行错误提示）。</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4．仿真操作功能包含生产常见典型异常工况模拟实训，如镰刀弯异常、参数异常等。</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5.仿真操作功能包含关键工序的三维虚拟场景，与操作过程同步联动，还原产线真实生产情景，具体包含加热炉（装钢、出钢）、除鳞、粗轧、精轧等工序3D场景。</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6.考核评价功能包含理论知识考核与仿真操作考核，支持多人同时考试。理论考核部分包括大量题库，随机选题，自动评判，确保考试结果客观、公正、严谨。仿真操作考核主要是考核生产操作能力、质量控制能力、异常处理能力等方面的综合考核。考核成绩等信息自动提交至教师机，统一管理。</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7.管理器功能将理论考核和实训考核的成绩和信息统一管理，教师能够查看各考生理论考核所抽取题目和各道题的答题情况，可以查看仿真实训操作扣分点。</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（二）技术参数：</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 加热炉型式：蓄热式双排料四段步进式。</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 产品尺寸：厚度 5-150mm。</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3. 钢坯出炉温度：950~1280℃。</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4. 精轧机型式：4300mm（可调到 5000mm）四辊可逆精轧机。</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5. 精轧支承辊尺寸：Φ(2000~2200)×4300mm。</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6. 精轧工作辊尺寸：Φ(1020~1120)×4600mm。</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7. 精轧最大轧制力：90000 kN 最大弯辊力：4000 kN/侧。</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8. 最大轧制速度：7.04m/s。</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注：为保证学校冶金虚拟仿真实践教学系统的统一集成管理，包括软件管理、用户权限管理、信息管理等通用化功能。本系统开发架构和技术路线与现有冶金虚拟仿真实践教学系统保持一致，数据与学校现有软件管理系统有良好的兼容性。投标文件需提供详细说明。</w:t>
            </w:r>
          </w:p>
        </w:tc>
        <w:tc>
          <w:tcPr>
            <w:tcW w:w="348"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31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1"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24" w:type="pct"/>
            <w:vMerge w:val="continue"/>
            <w:shd w:val="clear" w:color="auto" w:fill="auto"/>
            <w:noWrap w:val="0"/>
            <w:vAlign w:val="center"/>
          </w:tcPr>
          <w:p>
            <w:pPr>
              <w:jc w:val="center"/>
              <w:rPr>
                <w:rFonts w:hint="eastAsia" w:ascii="宋体" w:hAnsi="宋体" w:eastAsia="宋体" w:cs="宋体"/>
                <w:b/>
                <w:bCs/>
                <w:kern w:val="0"/>
                <w:sz w:val="21"/>
                <w:szCs w:val="21"/>
              </w:rPr>
            </w:pPr>
          </w:p>
        </w:tc>
        <w:tc>
          <w:tcPr>
            <w:tcW w:w="46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高炉炼铁生产虚拟仿真实践教学系统（功能拓展）</w:t>
            </w:r>
          </w:p>
        </w:tc>
        <w:tc>
          <w:tcPr>
            <w:tcW w:w="3427" w:type="pct"/>
            <w:shd w:val="clear" w:color="auto" w:fill="auto"/>
            <w:noWrap w:val="0"/>
            <w:vAlign w:val="center"/>
          </w:tcPr>
          <w:p>
            <w:pPr>
              <w:jc w:val="left"/>
              <w:rPr>
                <w:rFonts w:hint="eastAsia" w:ascii="宋体" w:hAnsi="宋体" w:eastAsia="宋体" w:cs="宋体"/>
                <w:kern w:val="0"/>
                <w:sz w:val="21"/>
                <w:szCs w:val="21"/>
              </w:rPr>
            </w:pPr>
            <w:r>
              <w:rPr>
                <w:rFonts w:hint="eastAsia" w:ascii="宋体" w:hAnsi="宋体" w:eastAsia="宋体" w:cs="宋体"/>
                <w:kern w:val="0"/>
                <w:sz w:val="21"/>
                <w:szCs w:val="21"/>
              </w:rPr>
              <w:t>（一）系统功能：</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为了满足教学需要，提升学生学习质量，系统需增加仿真操作和考核评价，2个教学功能模块。为保证学校冶金虚拟仿真实践教学系统的统一集成管理，包括系统管理、用户权限管理、信息管理等通用化功能。本系统开发架构和技术路线与现有冶金虚拟仿真实践教学系统保持一致，数据与学校现有软件管理系统有良好的兼容性。</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1.仿真操作：</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高炉炼铁操作模拟仿真系统应用于学生真实模拟生产现场的操作，设定操作目标，选择操作参数，通过人机对话，实现对操作结果的影响，学生设定的每个参数、每步操作过程都会对最终结果产生影响，并且能够产生不同选择和操作的经济效果。</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1.1.槽下配料操作生产仿真系统：主要包括：槽下上料系统仿真模拟和槽下配料计算及矩阵设定仿真模拟；</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1.2.炉顶布料操作生产仿真系统：主要包括：炉顶布料系统仿真模拟和炉顶布料矩阵设定仿真模拟；</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1.3.热风炉操作控制系统：主要包括：热风炉系统仿真模拟；</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1.4.高炉本体操作控制生产仿真系统：主要包括：高炉本体系统仿真模拟；</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1.5.高炉炉前操作控制生产仿真系统：主要包括：炉前系统仿真模拟和炉前测温取样模拟；</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1.6.高炉喷煤生产仿真系统：主要包括：制粉系统仿真模拟、喷吹系统仿真模拟、喷煤计算模拟；</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1.7.除尘生产仿真系统：主要包括：除尘系统仿真模拟；</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2.考核评价：</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考核评价系统包括理论知识考核与实践操作考核，支持多人同时考试。</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（二）技术参数：</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1．高炉有效容积：3200m³。</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2．炉顶形式：无钟炉顶 。</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3．拱顶温度≤1350℃ 。</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4．废气温度≤450℃ 。</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5．燃料比：550kg/tFe 。</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6．热风温度：1200～1250℃。</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7．冷风温度：200℃。</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8．富氧率：2～3% 。</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9．渣铁比：320kg/tFe 。</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10．入炉风量：5600 m/min 。</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11．探尺探料线深度为 0～6.0m 。</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12．炉顶压力：0～0.225MPa（最大 0.25MPa）。</w:t>
            </w:r>
          </w:p>
        </w:tc>
        <w:tc>
          <w:tcPr>
            <w:tcW w:w="348"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31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1"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24" w:type="pct"/>
            <w:vMerge w:val="continue"/>
            <w:shd w:val="clear" w:color="auto" w:fill="auto"/>
            <w:noWrap w:val="0"/>
            <w:vAlign w:val="center"/>
          </w:tcPr>
          <w:p>
            <w:pPr>
              <w:jc w:val="center"/>
              <w:rPr>
                <w:rFonts w:hint="eastAsia" w:ascii="宋体" w:hAnsi="宋体" w:eastAsia="宋体" w:cs="宋体"/>
                <w:kern w:val="0"/>
                <w:sz w:val="21"/>
                <w:szCs w:val="21"/>
              </w:rPr>
            </w:pPr>
          </w:p>
        </w:tc>
        <w:tc>
          <w:tcPr>
            <w:tcW w:w="46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板坯连铸生产虚拟仿真实践教学系统（功能拓展）</w:t>
            </w:r>
          </w:p>
        </w:tc>
        <w:tc>
          <w:tcPr>
            <w:tcW w:w="3427" w:type="pct"/>
            <w:shd w:val="clear" w:color="auto" w:fill="auto"/>
            <w:noWrap w:val="0"/>
            <w:vAlign w:val="center"/>
          </w:tcPr>
          <w:p>
            <w:pPr>
              <w:jc w:val="left"/>
              <w:rPr>
                <w:rFonts w:hint="eastAsia" w:ascii="宋体" w:hAnsi="宋体" w:eastAsia="宋体" w:cs="宋体"/>
                <w:kern w:val="0"/>
                <w:sz w:val="21"/>
                <w:szCs w:val="21"/>
              </w:rPr>
            </w:pPr>
            <w:r>
              <w:rPr>
                <w:rFonts w:hint="eastAsia" w:ascii="宋体" w:hAnsi="宋体" w:eastAsia="宋体" w:cs="宋体"/>
                <w:kern w:val="0"/>
                <w:sz w:val="21"/>
                <w:szCs w:val="21"/>
              </w:rPr>
              <w:t>（一）系统功能：</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为了满足教学需要，提升学生学习质量，系统需增加仿真操作和考核评价，2个教学功能模块。为保证学校冶金虚拟仿真实践教学系统的统一集成管理，包括软件管理、用户权限管理、信息管理等通用化功能。本系统开发架构和技术路线与现有冶金虚拟仿真实践教学系统保持一致，数据与学校现有软件管理系统有良好的兼容性。</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1.仿真操作功能：</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板坯连铸操作模拟仿真系统应用于学生真实模拟生产现场的操作，设定操作目标，选择操作参数，通过人机对话，实现对操作结果的影响，学生设定的每个参数、每步操作过程都会对最终结果产生影响，并且能够产生不同选择和操作的经济效果。</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1.1.钢包回转台系统仿真模拟：钢种选择、钢包回转台的钢包装载、升降、旋转、包盖的升降、旋转、大包滑板开度控制的模拟等。</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1.2.中间包车系统仿真模拟：中间包烘烤器的升降、烘烤、中间包车的升降及行走、中包塞棒开度控制的模拟等。</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1.3.结晶器系统仿真模拟：结晶器调宽参数的设定与调整、结晶器振动参数的选择与调整的模拟等。</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1.4.引锭系统仿真模拟：引锭小车的升降、送引锭过程及拉钢引锭收纳过程的模拟等。</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1.5.拉矫系统仿真模拟：根据铸流跟踪拉矫辊的选择、抬起、压下、拉钢速度调整对铸坯的矫直与拉坯的模拟等。</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1.6.辊缝控制仿真模拟：根据所选择的不同钢种、断面、拉速等工艺参数对辊缝参数的实施调整的模拟等。</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1.7.冷却系统仿真模拟：结晶器冷却、设备冷却控制，根据所选择的不同钢种、断面、拉速等工艺参数二次冷却动态配水调整的模拟等。</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1.8.连铸机动态轻下监控操作上位机系统：浇铸过程数据采集界面、浇铸动态热跟踪界面、跟踪坯壳厚度、温度变化历程界面、动态轻压下显示界面的模拟等。</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1.9.后部输出系统仿真模拟：由切割机车体及走行装置、同步机构、辊道控制、去毛刺控制、推钢机控制的模拟等。</w:t>
            </w:r>
          </w:p>
          <w:p>
            <w:pPr>
              <w:pStyle w:val="6"/>
              <w:rPr>
                <w:rFonts w:hint="eastAsia" w:ascii="宋体" w:hAnsi="宋体" w:eastAsia="宋体" w:cs="宋体"/>
                <w:b w:val="0"/>
                <w:kern w:val="0"/>
                <w:sz w:val="21"/>
                <w:szCs w:val="21"/>
              </w:rPr>
            </w:pPr>
            <w:r>
              <w:rPr>
                <w:rFonts w:hint="eastAsia" w:ascii="宋体" w:hAnsi="宋体" w:eastAsia="宋体" w:cs="宋体"/>
                <w:b w:val="0"/>
                <w:kern w:val="0"/>
                <w:sz w:val="21"/>
                <w:szCs w:val="21"/>
              </w:rPr>
              <w:t>1.10.学生可通过模型开发和参数优化，深入认识和探索艺流程与工艺结果的相关性，深挖创新研发潜力，达到能力拓展的目标。</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1.10.1.包括铸机参数、钢种数据库、建模参数调整、工艺参数调整和计算温度场展示等功能模块，通过调整相关参数得到合理的铸坯温度场与对应的设备和工艺参数；有不低于10种的钢种热力学参数，包括成分、固相线、液相线、导热系数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1.10.2.建模参数调整包括划分网格数量调整，液相等效导热系数扩大值调整，不同节点之间导热系数计算方式调整（采用调和平均，算术平均等不同方法）。</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1.10.3.工艺参数调整：包括拉速调整（调整范围0～3m/min），过热度调整（液相线以上15～40℃），结晶器宽面和窄面冷却水水量调整，结晶器宽面和窄面冷却水进出口温差调整，二次冷却水水温调整，比水量调整，软件能够计算不同的工艺参数对凝固过程的影响。</w:t>
            </w:r>
          </w:p>
          <w:p>
            <w:pPr>
              <w:rPr>
                <w:rFonts w:hint="eastAsia" w:ascii="宋体" w:hAnsi="宋体" w:eastAsia="宋体" w:cs="宋体"/>
                <w:sz w:val="21"/>
                <w:szCs w:val="21"/>
              </w:rPr>
            </w:pPr>
            <w:r>
              <w:rPr>
                <w:rFonts w:hint="eastAsia" w:ascii="宋体" w:hAnsi="宋体" w:eastAsia="宋体" w:cs="宋体"/>
                <w:kern w:val="0"/>
                <w:sz w:val="21"/>
                <w:szCs w:val="21"/>
              </w:rPr>
              <w:t>1.10.4.温度场展示包括从弯月面到出铸机任意一处横截面的温度场，板坯纵截面温度场，坯壳生长曲线和表面温度曲线等内容。</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2.考核评价：</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考核评价系统包括理论知识考核与实践操作考核，支持多人同时考试。</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（二）技术参数：</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1．流数：1机1流。</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2．浇注方式：多炉连浇。</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3．拉坯速度范围：0-1.4 m/ min。</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4．送引锭杆方式：下装式。</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5．回转台回转形式：整体横臂回转式。</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6．厚度范围：150~270 mm。</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7．宽度范围：900~2100 mm。</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8．结晶器振幅：0～12.0 mm。</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9．结晶器振频：0～400次/ min。</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10．连铸机浇铸半径：10 m。</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11．冶金长度：34.2 m。</w:t>
            </w:r>
          </w:p>
        </w:tc>
        <w:tc>
          <w:tcPr>
            <w:tcW w:w="348"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31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1"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24" w:type="pct"/>
            <w:shd w:val="clear" w:color="auto" w:fill="auto"/>
            <w:noWrap w:val="0"/>
            <w:vAlign w:val="center"/>
          </w:tcPr>
          <w:p>
            <w:pPr>
              <w:jc w:val="center"/>
              <w:rPr>
                <w:rFonts w:hint="eastAsia" w:ascii="宋体" w:hAnsi="宋体" w:eastAsia="宋体" w:cs="宋体"/>
                <w:kern w:val="0"/>
                <w:sz w:val="21"/>
                <w:szCs w:val="21"/>
              </w:rPr>
            </w:pPr>
          </w:p>
        </w:tc>
        <w:tc>
          <w:tcPr>
            <w:tcW w:w="46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RH精炼生产虚拟仿实践教学系统</w:t>
            </w:r>
          </w:p>
        </w:tc>
        <w:tc>
          <w:tcPr>
            <w:tcW w:w="3427" w:type="pct"/>
            <w:shd w:val="clear" w:color="auto" w:fill="auto"/>
            <w:noWrap w:val="0"/>
            <w:vAlign w:val="center"/>
          </w:tcPr>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（一）系统功能：</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系统需具有仿真操作、考核评价、实践创新，3个教学模块。</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1.仿真操作：</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RH精炼操作模拟仿真系统应用于学生真实模拟生产现场的操作，设定操作目标，选择操作参数，通过人机对话，实现对操作结果的影响，学生设定的每个参数、每步操作过程都会对最终结果产生影响，并且能够产生不同选择和操作的经济效果。</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实训点内容：</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1.1.物料平衡仿真模拟模块：RH物料平衡是选择进站钢水成分，设定目标成分和处理方法的仿真操作，物料平衡中可以设定提升气曲线，底吹氩曲线，功能氧枪使用模式等多个功能的模拟等。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1.2.吹氩搅拌仿真模拟模块：氩气造成钢水包中钢水的搅拌，使钢中夹杂上浮，还可以部分去除钢水中的气体和均匀成分的模拟等。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抽真空系统仿真模拟模块：RH炉采用四级抽真空方式，分为预抽真空，抽真空，真空保持，真空停止，真空复压，处理结束等多种模式，模拟多种钢种处理的真空度模式。能满足超低碳钢种，合金钢，轴承钢等处理工艺要求。真空系统通过对真空喷射泵的操作来实现达到抽真空的目的，模拟系统根据真空喷射泵的运行状况，分析真空蒸汽流量，通过真空模型测算真空度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1.3.抽真空辅机系统模块：RH炉抽真空辅机主要包括真空喷射泵冷却系统和热井泵系统，热井泵系统通过控制泵的运行实现热井水位的控制</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1.4.钢包喂线仿真模拟模块：喂丝是在钢水中以一定的速度喂入铝线或不同芯料的包芯线，达到脱氧、脱硫、非金属夹杂物变性处理和合金成分微调等冶金目的的模拟等。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1.5.炉提升气系统仿真模块：RH提升气，针对钢种规程和处理过程中的技术要求，提供氮气和氩气两种气体，动态设定调节提升气流量，达到钢水提升要求高度，满足钢水在真空槽内流动速度，保证钢水处理效率，提高钢水纯度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1.6.氧枪脱碳系统仿真模拟模块：RH炉氧枪脱碳系统是RH功能氧枪的特殊作用，主要是用来精炼低碳钢和超低碳钢的，RH脱碳氧枪脱碳功能分为氧枪升降功能和氧枪吹氧功能。在冶炼特殊钢种时，通过吹氧进行脱碳，同时具有升温作用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1.7.合金系统的仿真模拟模块：直接给料仓和合金给料仓组成的物料输送系统，直接给料仓可在真空状态下直接下料，调节钢水成分。合金料仓主要是完成20种合金料的选择进行多合金加入，实现调节钢水成分的模拟等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1.8.冷却水系统和气体冷却系统仿真模拟模块：RH炉冷却水系统主要是针对真空槽，冷凝器等设备进行冷却，气体冷却系统主要是针对关键阀门和监测镜头进行冷却的模拟等。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1.9.测温、取样系统仿真模拟模块：由自动测温取样设备的推出、下降、提升、信号的传出等组成的模拟等。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1.10.钢包车控制系统仿真模拟模块：由钢包车动力传送即钢包车的开进开出等控制系统组成的模拟。钢包顶升系统，钢包顶升系统是将钢包顶升至高位，满足钢水浸渍深度，可以动态调整浸渍深度的模拟等。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1.11.RH炉真空槽车控制系统仿真模拟模块：真空槽车和真空槽是抽真空的重要组成部分，真空槽车是用来将真空槽开入开出的装置。真空槽分为真空槽加热，真空槽锁定，真空槽密封等多个控制单元，真空槽烘烤预热模型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1.12.RH炉移动弯管，热弯管等控制仿真模拟模块：RH炉移动弯管和热弯管控制来满足抽真空的条件的模拟等。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1.13.RH炉维修喷补系统仿真模拟模块：RH炉维修喷补是在生产间隙中对RH真空槽浸渍管进行维修和喷补操作的模拟等。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1.14.RH炉液压系统仿真模拟模块： RH 炉液压系统是对RH液压系统的相关设备进行操作模拟等。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1.15.RH炉钢水中碳氧模型模块：RH炉针对钢水中的碳和氧等，通过抽真空的方式，实现钢水提高纯净度的目的。RH炉通过对浸渍深度，提升气流量，真空度等多个因数决定钢水在真空槽内的流动速度，实现对碳和氧的含量控制的模拟等。</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2.考核评价：</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考核评价系统包括理论知识考核与实践操作考核，支持多人同时考试。</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3.实践创新：</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学生可以通过模型开发和参数优化深入认识和探索工艺流程与工艺结果的相关性，深挖创新研发潜力，达到能力拓展的目标。该模块主要包括RH真空脱碳模型等内容。通过对钢包车控制、钢包顶升控制、氧枪控制、提升气体控制、真空泵控制，对真空室压力、提升气体流量进行实时设置、计算和跟踪监控，对钢液成分C、O含量、钢液温度进行实时计算和显示。</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（二）技术参数：</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1.炉型选择：150吨；</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2.真空系统：最大真空度67pa、钢水最大流速80t/min、≤4min（预抽模式）、≤4.5min（不预抽模式）、真空处理周期15~35min；</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3.氧枪系统：最大吹氧量2000Nm3/h；</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4.RH精炼钢水范围135~160 t；</w:t>
            </w:r>
          </w:p>
          <w:p>
            <w:pPr>
              <w:topLinePunct/>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5.精炼处理周期： 35~50min。</w:t>
            </w:r>
          </w:p>
        </w:tc>
        <w:tc>
          <w:tcPr>
            <w:tcW w:w="348"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310" w:type="pct"/>
            <w:shd w:val="clear" w:color="auto" w:fill="auto"/>
            <w:noWrap w:val="0"/>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6"/>
            <w:shd w:val="clear" w:color="auto" w:fill="auto"/>
            <w:noWrap w:val="0"/>
            <w:vAlign w:val="center"/>
          </w:tcPr>
          <w:p>
            <w:pPr>
              <w:jc w:val="left"/>
              <w:rPr>
                <w:rFonts w:hint="eastAsia" w:ascii="宋体" w:hAnsi="宋体" w:eastAsia="宋体" w:cs="宋体"/>
                <w:kern w:val="0"/>
                <w:sz w:val="21"/>
                <w:szCs w:val="21"/>
              </w:rPr>
            </w:pPr>
            <w:r>
              <w:rPr>
                <w:rFonts w:hint="eastAsia" w:ascii="宋体" w:hAnsi="宋体" w:eastAsia="宋体" w:cs="宋体"/>
                <w:kern w:val="0"/>
                <w:sz w:val="21"/>
                <w:szCs w:val="21"/>
              </w:rPr>
              <w:t>系统平台要求：</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1.具有良好的稳定性、兼容性和拓展性，能保证内容和功能持续升级，不影响其他软件或系统的安装与使用。</w:t>
            </w:r>
          </w:p>
          <w:p>
            <w:pPr>
              <w:jc w:val="left"/>
              <w:rPr>
                <w:rFonts w:hint="eastAsia" w:ascii="宋体" w:hAnsi="宋体" w:eastAsia="宋体" w:cs="宋体"/>
                <w:kern w:val="0"/>
                <w:sz w:val="21"/>
                <w:szCs w:val="21"/>
              </w:rPr>
            </w:pPr>
            <w:r>
              <w:rPr>
                <w:rFonts w:hint="eastAsia" w:ascii="宋体" w:hAnsi="宋体" w:eastAsia="宋体" w:cs="宋体"/>
                <w:kern w:val="0"/>
                <w:sz w:val="21"/>
                <w:szCs w:val="21"/>
              </w:rPr>
              <w:t>2. 为保证学校冶金虚拟仿真实践教学系统的统一集成管理，包括软件管理、用户权限管理、信息管理等通用化功能,此次项目中扩建的生产虚拟仿真实践教学系统和原有生产虚拟仿真实践教学系统功能的拓展，均需保证开发架构和技术路线与现有冶金虚拟仿真实践教学系统一致，数据需与学校现有管理系统有良好的兼容性，投标文件需提供详细说明。</w:t>
            </w:r>
          </w:p>
        </w:tc>
      </w:tr>
    </w:tbl>
    <w:p/>
    <w:p>
      <w:pPr>
        <w:pStyle w:val="3"/>
        <w:pageBreakBefore/>
        <w:numPr>
          <w:ilvl w:val="0"/>
          <w:numId w:val="18"/>
        </w:numPr>
        <w:spacing w:before="319" w:beforeLines="100" w:after="478" w:afterLines="150" w:line="500" w:lineRule="exact"/>
        <w:rPr>
          <w:rFonts w:ascii="宋体" w:cs="宋体"/>
          <w:sz w:val="36"/>
          <w:szCs w:val="36"/>
        </w:rPr>
      </w:pPr>
      <w:bookmarkStart w:id="70" w:name="_Toc6835"/>
      <w:bookmarkStart w:id="71" w:name="_Toc9767"/>
      <w:bookmarkStart w:id="72" w:name="_Toc11604"/>
      <w:bookmarkStart w:id="73" w:name="_Toc15647"/>
      <w:r>
        <w:rPr>
          <w:rFonts w:hint="eastAsia" w:ascii="宋体" w:hAnsi="宋体" w:cs="宋体"/>
          <w:sz w:val="36"/>
          <w:szCs w:val="36"/>
        </w:rPr>
        <w:t>分合同条款</w:t>
      </w:r>
      <w:bookmarkEnd w:id="70"/>
      <w:bookmarkEnd w:id="71"/>
      <w:bookmarkEnd w:id="72"/>
      <w:bookmarkEnd w:id="73"/>
    </w:p>
    <w:p>
      <w:pPr>
        <w:jc w:val="center"/>
        <w:rPr>
          <w:rFonts w:ascii="宋体"/>
          <w:sz w:val="32"/>
          <w:szCs w:val="32"/>
        </w:rPr>
      </w:pPr>
      <w:bookmarkStart w:id="74" w:name="_Toc5550"/>
      <w:bookmarkStart w:id="75" w:name="_Toc9808"/>
      <w:bookmarkStart w:id="76" w:name="_Toc2234"/>
      <w:r>
        <w:rPr>
          <w:rFonts w:hint="eastAsia" w:ascii="宋体"/>
          <w:sz w:val="32"/>
          <w:szCs w:val="32"/>
        </w:rPr>
        <w:t>合同范本</w:t>
      </w:r>
      <w:bookmarkEnd w:id="74"/>
      <w:bookmarkEnd w:id="75"/>
    </w:p>
    <w:p>
      <w:pPr>
        <w:ind w:firstLine="361" w:firstLineChars="150"/>
        <w:jc w:val="center"/>
      </w:pPr>
      <w:r>
        <w:rPr>
          <w:rFonts w:hint="eastAsia" w:ascii="宋体"/>
          <w:b/>
          <w:sz w:val="24"/>
          <w:lang w:val="zh-CN"/>
        </w:rPr>
        <w:t>（此合同只作为参考，最终签订的合同以采购人确定的合同内容为准。）</w:t>
      </w:r>
    </w:p>
    <w:p>
      <w:pPr>
        <w:adjustRightInd w:val="0"/>
        <w:snapToGrid w:val="0"/>
        <w:spacing w:line="360" w:lineRule="auto"/>
        <w:ind w:firstLine="480" w:firstLineChars="200"/>
        <w:rPr>
          <w:color w:val="000000"/>
          <w:szCs w:val="21"/>
        </w:rPr>
      </w:pPr>
      <w:bookmarkStart w:id="77" w:name="_Toc27448"/>
      <w:bookmarkStart w:id="78" w:name="_Toc24083"/>
      <w:bookmarkStart w:id="79" w:name="_Toc5210"/>
      <w:bookmarkStart w:id="80" w:name="_Toc23191"/>
      <w:r>
        <w:rPr>
          <w:rFonts w:hint="eastAsia" w:ascii="宋体"/>
          <w:b w:val="0"/>
          <w:sz w:val="24"/>
        </w:rPr>
        <w:t>政府采购合同</w:t>
      </w:r>
      <w:bookmarkEnd w:id="77"/>
      <w:bookmarkEnd w:id="78"/>
      <w:bookmarkEnd w:id="79"/>
      <w:bookmarkEnd w:id="80"/>
      <w:r>
        <w:rPr>
          <w:szCs w:val="21"/>
        </w:rPr>
        <w:t>西安建筑科技大学（甲方）</w:t>
      </w:r>
      <w:r>
        <w:rPr>
          <w:color w:val="000000"/>
          <w:szCs w:val="21"/>
        </w:rPr>
        <w:t>与</w:t>
      </w:r>
      <w:r>
        <w:rPr>
          <w:color w:val="000000"/>
          <w:szCs w:val="21"/>
          <w:u w:val="single"/>
        </w:rPr>
        <w:t xml:space="preserve">        </w:t>
      </w:r>
      <w:r>
        <w:rPr>
          <w:color w:val="000000"/>
          <w:szCs w:val="21"/>
        </w:rPr>
        <w:t>（乙方）就甲方购置的</w:t>
      </w:r>
      <w:r>
        <w:rPr>
          <w:bCs/>
          <w:color w:val="000000"/>
          <w:szCs w:val="21"/>
          <w:u w:val="single"/>
        </w:rPr>
        <w:t xml:space="preserve">                 </w:t>
      </w:r>
      <w:r>
        <w:rPr>
          <w:color w:val="000000"/>
          <w:szCs w:val="21"/>
        </w:rPr>
        <w:t>设备经双方协商达成如下合同条款：</w:t>
      </w:r>
    </w:p>
    <w:p>
      <w:pPr>
        <w:bidi w:val="0"/>
        <w:rPr>
          <w:b/>
          <w:color w:val="000000"/>
          <w:szCs w:val="21"/>
        </w:rPr>
      </w:pPr>
      <w:r>
        <w:rPr>
          <w:b/>
          <w:color w:val="000000"/>
          <w:szCs w:val="21"/>
        </w:rPr>
        <w:t>1</w:t>
      </w:r>
      <w:r>
        <w:rPr>
          <w:color w:val="000000"/>
          <w:szCs w:val="21"/>
        </w:rPr>
        <w:t>.</w:t>
      </w:r>
      <w:r>
        <w:rPr>
          <w:b/>
          <w:color w:val="000000"/>
          <w:szCs w:val="21"/>
        </w:rPr>
        <w:t xml:space="preserve"> 合同内容</w:t>
      </w:r>
    </w:p>
    <w:p>
      <w:pPr>
        <w:spacing w:line="360" w:lineRule="auto"/>
        <w:ind w:firstLine="560"/>
        <w:rPr>
          <w:color w:val="000000"/>
          <w:szCs w:val="21"/>
        </w:rPr>
      </w:pPr>
      <w:r>
        <w:rPr>
          <w:color w:val="000000"/>
          <w:szCs w:val="21"/>
        </w:rPr>
        <w:t>在甲方组织的关于</w:t>
      </w:r>
      <w:r>
        <w:rPr>
          <w:color w:val="000000"/>
          <w:szCs w:val="21"/>
          <w:u w:val="single"/>
        </w:rPr>
        <w:t xml:space="preserve"> </w:t>
      </w:r>
      <w:r>
        <w:rPr>
          <w:color w:val="000000"/>
          <w:u w:val="single"/>
        </w:rPr>
        <w:t xml:space="preserve">            </w:t>
      </w:r>
      <w:r>
        <w:rPr>
          <w:color w:val="000000"/>
        </w:rPr>
        <w:t>采购</w:t>
      </w:r>
      <w:r>
        <w:rPr>
          <w:color w:val="000000"/>
          <w:szCs w:val="21"/>
        </w:rPr>
        <w:t>招投标活动中，经评标确定乙方为供货单位。乙方按本合同中确定的设备名称、型号与规格、产地、数量及配套内容进行供货，详细配置见《仪器设备购置清单》；乙方按时将货物运送到甲方指定的地点，负责到货设备的安装与调试，达到正常使用；乙方负责为甲方培训操作、维护人员，质保期内负责指导仪器设备的操作使用和保养维修，做好售后服务工作。甲方在乙方完成合同明确规定的责任和义务后，按合同要求付给乙方相应的设备货款。</w:t>
      </w:r>
    </w:p>
    <w:p>
      <w:pPr>
        <w:spacing w:line="360" w:lineRule="auto"/>
        <w:ind w:firstLine="420" w:firstLineChars="200"/>
        <w:rPr>
          <w:color w:val="000000"/>
          <w:szCs w:val="21"/>
        </w:rPr>
      </w:pPr>
      <w:r>
        <w:rPr>
          <w:color w:val="000000"/>
          <w:szCs w:val="21"/>
        </w:rPr>
        <w:t>1.1 仪器设备购置清单（币种：人民币）</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
        <w:gridCol w:w="1805"/>
        <w:gridCol w:w="1980"/>
        <w:gridCol w:w="886"/>
        <w:gridCol w:w="985"/>
        <w:gridCol w:w="984"/>
        <w:gridCol w:w="978"/>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2" w:hRule="atLeast"/>
          <w:jc w:val="center"/>
        </w:trPr>
        <w:tc>
          <w:tcPr>
            <w:tcW w:w="488" w:type="dxa"/>
            <w:noWrap w:val="0"/>
            <w:tcMar>
              <w:top w:w="20" w:type="dxa"/>
              <w:left w:w="20" w:type="dxa"/>
              <w:bottom w:w="0" w:type="dxa"/>
              <w:right w:w="20" w:type="dxa"/>
            </w:tcMar>
            <w:vAlign w:val="center"/>
          </w:tcPr>
          <w:p>
            <w:pPr>
              <w:spacing w:line="360" w:lineRule="auto"/>
              <w:jc w:val="center"/>
              <w:rPr>
                <w:b/>
                <w:color w:val="000000"/>
                <w:szCs w:val="21"/>
              </w:rPr>
            </w:pPr>
            <w:r>
              <w:rPr>
                <w:b/>
                <w:color w:val="000000"/>
                <w:szCs w:val="21"/>
              </w:rPr>
              <w:t>序号</w:t>
            </w:r>
          </w:p>
        </w:tc>
        <w:tc>
          <w:tcPr>
            <w:tcW w:w="1805" w:type="dxa"/>
            <w:noWrap w:val="0"/>
            <w:tcMar>
              <w:top w:w="20" w:type="dxa"/>
              <w:left w:w="20" w:type="dxa"/>
              <w:bottom w:w="0" w:type="dxa"/>
              <w:right w:w="20" w:type="dxa"/>
            </w:tcMar>
            <w:vAlign w:val="center"/>
          </w:tcPr>
          <w:p>
            <w:pPr>
              <w:spacing w:line="360" w:lineRule="auto"/>
              <w:jc w:val="center"/>
              <w:rPr>
                <w:b/>
                <w:color w:val="000000"/>
                <w:szCs w:val="21"/>
              </w:rPr>
            </w:pPr>
            <w:r>
              <w:rPr>
                <w:b/>
                <w:color w:val="000000"/>
                <w:szCs w:val="21"/>
              </w:rPr>
              <w:t>设备名称</w:t>
            </w:r>
          </w:p>
        </w:tc>
        <w:tc>
          <w:tcPr>
            <w:tcW w:w="1980" w:type="dxa"/>
            <w:noWrap w:val="0"/>
            <w:tcMar>
              <w:top w:w="20" w:type="dxa"/>
              <w:left w:w="20" w:type="dxa"/>
              <w:bottom w:w="0" w:type="dxa"/>
              <w:right w:w="20" w:type="dxa"/>
            </w:tcMar>
            <w:vAlign w:val="center"/>
          </w:tcPr>
          <w:p>
            <w:pPr>
              <w:spacing w:line="360" w:lineRule="auto"/>
              <w:jc w:val="center"/>
              <w:rPr>
                <w:b/>
                <w:color w:val="000000"/>
                <w:szCs w:val="21"/>
              </w:rPr>
            </w:pPr>
            <w:r>
              <w:rPr>
                <w:b/>
                <w:color w:val="000000"/>
                <w:szCs w:val="21"/>
              </w:rPr>
              <w:t>品牌、规格、型号</w:t>
            </w:r>
          </w:p>
        </w:tc>
        <w:tc>
          <w:tcPr>
            <w:tcW w:w="886" w:type="dxa"/>
            <w:noWrap w:val="0"/>
            <w:tcMar>
              <w:top w:w="20" w:type="dxa"/>
              <w:left w:w="20" w:type="dxa"/>
              <w:bottom w:w="0" w:type="dxa"/>
              <w:right w:w="20" w:type="dxa"/>
            </w:tcMar>
            <w:vAlign w:val="center"/>
          </w:tcPr>
          <w:p>
            <w:pPr>
              <w:spacing w:line="360" w:lineRule="auto"/>
              <w:jc w:val="center"/>
              <w:rPr>
                <w:b/>
                <w:color w:val="000000"/>
                <w:szCs w:val="21"/>
              </w:rPr>
            </w:pPr>
            <w:r>
              <w:rPr>
                <w:b/>
                <w:color w:val="000000"/>
                <w:szCs w:val="21"/>
              </w:rPr>
              <w:t>数量</w:t>
            </w:r>
          </w:p>
          <w:p>
            <w:pPr>
              <w:spacing w:line="360" w:lineRule="auto"/>
              <w:jc w:val="center"/>
              <w:rPr>
                <w:b/>
                <w:color w:val="000000"/>
                <w:szCs w:val="21"/>
              </w:rPr>
            </w:pPr>
            <w:r>
              <w:rPr>
                <w:b/>
                <w:color w:val="000000"/>
                <w:szCs w:val="21"/>
              </w:rPr>
              <w:t>（台、套）</w:t>
            </w:r>
          </w:p>
        </w:tc>
        <w:tc>
          <w:tcPr>
            <w:tcW w:w="985" w:type="dxa"/>
            <w:noWrap w:val="0"/>
            <w:tcMar>
              <w:top w:w="20" w:type="dxa"/>
              <w:left w:w="20" w:type="dxa"/>
              <w:bottom w:w="0" w:type="dxa"/>
              <w:right w:w="20" w:type="dxa"/>
            </w:tcMar>
            <w:vAlign w:val="center"/>
          </w:tcPr>
          <w:p>
            <w:pPr>
              <w:spacing w:line="360" w:lineRule="auto"/>
              <w:jc w:val="center"/>
              <w:rPr>
                <w:b/>
                <w:color w:val="000000"/>
                <w:szCs w:val="21"/>
              </w:rPr>
            </w:pPr>
            <w:r>
              <w:rPr>
                <w:b/>
                <w:color w:val="000000"/>
                <w:szCs w:val="21"/>
              </w:rPr>
              <w:t>单价</w:t>
            </w:r>
          </w:p>
          <w:p>
            <w:pPr>
              <w:spacing w:line="360" w:lineRule="auto"/>
              <w:jc w:val="center"/>
              <w:rPr>
                <w:b/>
                <w:color w:val="000000"/>
                <w:szCs w:val="21"/>
              </w:rPr>
            </w:pPr>
            <w:r>
              <w:rPr>
                <w:b/>
                <w:color w:val="000000"/>
                <w:szCs w:val="21"/>
              </w:rPr>
              <w:t>(万元)</w:t>
            </w:r>
          </w:p>
        </w:tc>
        <w:tc>
          <w:tcPr>
            <w:tcW w:w="984" w:type="dxa"/>
            <w:noWrap w:val="0"/>
            <w:tcMar>
              <w:top w:w="20" w:type="dxa"/>
              <w:left w:w="20" w:type="dxa"/>
              <w:bottom w:w="0" w:type="dxa"/>
              <w:right w:w="20" w:type="dxa"/>
            </w:tcMar>
            <w:vAlign w:val="center"/>
          </w:tcPr>
          <w:p>
            <w:pPr>
              <w:spacing w:line="360" w:lineRule="auto"/>
              <w:jc w:val="center"/>
              <w:rPr>
                <w:b/>
                <w:color w:val="000000"/>
                <w:szCs w:val="21"/>
              </w:rPr>
            </w:pPr>
            <w:r>
              <w:rPr>
                <w:b/>
                <w:color w:val="000000"/>
                <w:szCs w:val="21"/>
              </w:rPr>
              <w:t>合计</w:t>
            </w:r>
          </w:p>
          <w:p>
            <w:pPr>
              <w:spacing w:line="360" w:lineRule="auto"/>
              <w:jc w:val="center"/>
              <w:rPr>
                <w:b/>
                <w:color w:val="000000"/>
                <w:szCs w:val="21"/>
              </w:rPr>
            </w:pPr>
            <w:r>
              <w:rPr>
                <w:b/>
                <w:color w:val="000000"/>
                <w:szCs w:val="21"/>
              </w:rPr>
              <w:t>（万元）</w:t>
            </w:r>
          </w:p>
        </w:tc>
        <w:tc>
          <w:tcPr>
            <w:tcW w:w="978" w:type="dxa"/>
            <w:noWrap w:val="0"/>
            <w:vAlign w:val="center"/>
          </w:tcPr>
          <w:p>
            <w:pPr>
              <w:spacing w:line="360" w:lineRule="auto"/>
              <w:jc w:val="center"/>
              <w:rPr>
                <w:b/>
                <w:color w:val="000000"/>
                <w:szCs w:val="21"/>
              </w:rPr>
            </w:pPr>
            <w:r>
              <w:rPr>
                <w:b/>
                <w:color w:val="000000"/>
                <w:szCs w:val="21"/>
              </w:rPr>
              <w:t>生产商</w:t>
            </w:r>
          </w:p>
        </w:tc>
        <w:tc>
          <w:tcPr>
            <w:tcW w:w="580" w:type="dxa"/>
            <w:noWrap w:val="0"/>
            <w:tcMar>
              <w:top w:w="20" w:type="dxa"/>
              <w:left w:w="20" w:type="dxa"/>
              <w:bottom w:w="0" w:type="dxa"/>
              <w:right w:w="20" w:type="dxa"/>
            </w:tcMar>
            <w:vAlign w:val="center"/>
          </w:tcPr>
          <w:p>
            <w:pPr>
              <w:spacing w:line="360" w:lineRule="auto"/>
              <w:jc w:val="center"/>
              <w:rPr>
                <w:b/>
                <w:color w:val="000000"/>
                <w:szCs w:val="21"/>
              </w:rPr>
            </w:pPr>
            <w:r>
              <w:rPr>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488" w:type="dxa"/>
            <w:noWrap w:val="0"/>
            <w:tcMar>
              <w:top w:w="20" w:type="dxa"/>
              <w:left w:w="20" w:type="dxa"/>
              <w:bottom w:w="0" w:type="dxa"/>
              <w:right w:w="20" w:type="dxa"/>
            </w:tcMar>
            <w:vAlign w:val="center"/>
          </w:tcPr>
          <w:p>
            <w:pPr>
              <w:spacing w:line="360" w:lineRule="auto"/>
              <w:jc w:val="center"/>
              <w:rPr>
                <w:color w:val="000000"/>
                <w:szCs w:val="21"/>
              </w:rPr>
            </w:pPr>
            <w:r>
              <w:rPr>
                <w:color w:val="000000"/>
                <w:szCs w:val="21"/>
              </w:rPr>
              <w:t>1</w:t>
            </w:r>
          </w:p>
        </w:tc>
        <w:tc>
          <w:tcPr>
            <w:tcW w:w="1805" w:type="dxa"/>
            <w:noWrap w:val="0"/>
            <w:tcMar>
              <w:top w:w="20" w:type="dxa"/>
              <w:left w:w="20" w:type="dxa"/>
              <w:bottom w:w="0" w:type="dxa"/>
              <w:right w:w="20" w:type="dxa"/>
            </w:tcMar>
            <w:vAlign w:val="center"/>
          </w:tcPr>
          <w:p>
            <w:pPr>
              <w:spacing w:line="360" w:lineRule="auto"/>
              <w:jc w:val="center"/>
              <w:rPr>
                <w:color w:val="000000"/>
                <w:szCs w:val="21"/>
              </w:rPr>
            </w:pPr>
          </w:p>
        </w:tc>
        <w:tc>
          <w:tcPr>
            <w:tcW w:w="1980" w:type="dxa"/>
            <w:noWrap w:val="0"/>
            <w:tcMar>
              <w:top w:w="20" w:type="dxa"/>
              <w:left w:w="20" w:type="dxa"/>
              <w:bottom w:w="0" w:type="dxa"/>
              <w:right w:w="20" w:type="dxa"/>
            </w:tcMar>
            <w:vAlign w:val="center"/>
          </w:tcPr>
          <w:p>
            <w:pPr>
              <w:spacing w:line="360" w:lineRule="auto"/>
              <w:jc w:val="center"/>
              <w:rPr>
                <w:color w:val="000000"/>
                <w:szCs w:val="21"/>
              </w:rPr>
            </w:pPr>
          </w:p>
        </w:tc>
        <w:tc>
          <w:tcPr>
            <w:tcW w:w="886" w:type="dxa"/>
            <w:noWrap w:val="0"/>
            <w:tcMar>
              <w:top w:w="20" w:type="dxa"/>
              <w:left w:w="20" w:type="dxa"/>
              <w:bottom w:w="0" w:type="dxa"/>
              <w:right w:w="20" w:type="dxa"/>
            </w:tcMar>
            <w:vAlign w:val="center"/>
          </w:tcPr>
          <w:p>
            <w:pPr>
              <w:spacing w:line="360" w:lineRule="auto"/>
              <w:jc w:val="center"/>
              <w:rPr>
                <w:color w:val="000000"/>
                <w:szCs w:val="21"/>
              </w:rPr>
            </w:pPr>
          </w:p>
        </w:tc>
        <w:tc>
          <w:tcPr>
            <w:tcW w:w="985" w:type="dxa"/>
            <w:noWrap w:val="0"/>
            <w:tcMar>
              <w:top w:w="20" w:type="dxa"/>
              <w:left w:w="20" w:type="dxa"/>
              <w:bottom w:w="0" w:type="dxa"/>
              <w:right w:w="20" w:type="dxa"/>
            </w:tcMar>
            <w:vAlign w:val="center"/>
          </w:tcPr>
          <w:p>
            <w:pPr>
              <w:spacing w:line="360" w:lineRule="auto"/>
              <w:jc w:val="center"/>
              <w:rPr>
                <w:color w:val="000000"/>
                <w:szCs w:val="21"/>
              </w:rPr>
            </w:pPr>
          </w:p>
        </w:tc>
        <w:tc>
          <w:tcPr>
            <w:tcW w:w="984" w:type="dxa"/>
            <w:noWrap w:val="0"/>
            <w:tcMar>
              <w:top w:w="20" w:type="dxa"/>
              <w:left w:w="20" w:type="dxa"/>
              <w:bottom w:w="0" w:type="dxa"/>
              <w:right w:w="20" w:type="dxa"/>
            </w:tcMar>
            <w:vAlign w:val="center"/>
          </w:tcPr>
          <w:p>
            <w:pPr>
              <w:spacing w:line="360" w:lineRule="auto"/>
              <w:jc w:val="center"/>
              <w:rPr>
                <w:color w:val="000000"/>
                <w:szCs w:val="21"/>
              </w:rPr>
            </w:pPr>
          </w:p>
        </w:tc>
        <w:tc>
          <w:tcPr>
            <w:tcW w:w="978" w:type="dxa"/>
            <w:noWrap w:val="0"/>
            <w:vAlign w:val="center"/>
          </w:tcPr>
          <w:p>
            <w:pPr>
              <w:spacing w:line="360" w:lineRule="auto"/>
              <w:jc w:val="center"/>
              <w:rPr>
                <w:color w:val="000000"/>
                <w:szCs w:val="21"/>
              </w:rPr>
            </w:pPr>
          </w:p>
        </w:tc>
        <w:tc>
          <w:tcPr>
            <w:tcW w:w="580" w:type="dxa"/>
            <w:noWrap w:val="0"/>
            <w:tcMar>
              <w:top w:w="20" w:type="dxa"/>
              <w:left w:w="20" w:type="dxa"/>
              <w:bottom w:w="0" w:type="dxa"/>
              <w:right w:w="20" w:type="dxa"/>
            </w:tcMar>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 w:hRule="atLeast"/>
          <w:jc w:val="center"/>
        </w:trPr>
        <w:tc>
          <w:tcPr>
            <w:tcW w:w="488" w:type="dxa"/>
            <w:noWrap w:val="0"/>
            <w:tcMar>
              <w:top w:w="20" w:type="dxa"/>
              <w:left w:w="20" w:type="dxa"/>
              <w:bottom w:w="0" w:type="dxa"/>
              <w:right w:w="20" w:type="dxa"/>
            </w:tcMar>
            <w:vAlign w:val="center"/>
          </w:tcPr>
          <w:p>
            <w:pPr>
              <w:spacing w:line="360" w:lineRule="auto"/>
              <w:jc w:val="center"/>
              <w:rPr>
                <w:color w:val="000000"/>
                <w:szCs w:val="21"/>
              </w:rPr>
            </w:pPr>
            <w:r>
              <w:rPr>
                <w:color w:val="000000"/>
                <w:szCs w:val="21"/>
              </w:rPr>
              <w:t>2</w:t>
            </w:r>
          </w:p>
        </w:tc>
        <w:tc>
          <w:tcPr>
            <w:tcW w:w="1805" w:type="dxa"/>
            <w:noWrap w:val="0"/>
            <w:tcMar>
              <w:top w:w="20" w:type="dxa"/>
              <w:left w:w="20" w:type="dxa"/>
              <w:bottom w:w="0" w:type="dxa"/>
              <w:right w:w="20" w:type="dxa"/>
            </w:tcMar>
            <w:vAlign w:val="center"/>
          </w:tcPr>
          <w:p>
            <w:pPr>
              <w:spacing w:line="360" w:lineRule="auto"/>
              <w:jc w:val="center"/>
              <w:rPr>
                <w:color w:val="000000"/>
                <w:szCs w:val="21"/>
              </w:rPr>
            </w:pPr>
          </w:p>
        </w:tc>
        <w:tc>
          <w:tcPr>
            <w:tcW w:w="1980" w:type="dxa"/>
            <w:noWrap w:val="0"/>
            <w:tcMar>
              <w:top w:w="20" w:type="dxa"/>
              <w:left w:w="20" w:type="dxa"/>
              <w:bottom w:w="0" w:type="dxa"/>
              <w:right w:w="20" w:type="dxa"/>
            </w:tcMar>
            <w:vAlign w:val="center"/>
          </w:tcPr>
          <w:p>
            <w:pPr>
              <w:spacing w:line="360" w:lineRule="auto"/>
              <w:jc w:val="center"/>
              <w:rPr>
                <w:color w:val="000000"/>
                <w:szCs w:val="21"/>
              </w:rPr>
            </w:pPr>
          </w:p>
        </w:tc>
        <w:tc>
          <w:tcPr>
            <w:tcW w:w="886" w:type="dxa"/>
            <w:noWrap w:val="0"/>
            <w:tcMar>
              <w:top w:w="20" w:type="dxa"/>
              <w:left w:w="20" w:type="dxa"/>
              <w:bottom w:w="0" w:type="dxa"/>
              <w:right w:w="20" w:type="dxa"/>
            </w:tcMar>
            <w:vAlign w:val="center"/>
          </w:tcPr>
          <w:p>
            <w:pPr>
              <w:spacing w:line="360" w:lineRule="auto"/>
              <w:jc w:val="center"/>
              <w:rPr>
                <w:color w:val="000000"/>
                <w:szCs w:val="21"/>
              </w:rPr>
            </w:pPr>
          </w:p>
        </w:tc>
        <w:tc>
          <w:tcPr>
            <w:tcW w:w="985" w:type="dxa"/>
            <w:noWrap w:val="0"/>
            <w:tcMar>
              <w:top w:w="20" w:type="dxa"/>
              <w:left w:w="20" w:type="dxa"/>
              <w:bottom w:w="0" w:type="dxa"/>
              <w:right w:w="20" w:type="dxa"/>
            </w:tcMar>
            <w:vAlign w:val="center"/>
          </w:tcPr>
          <w:p>
            <w:pPr>
              <w:spacing w:line="360" w:lineRule="auto"/>
              <w:jc w:val="center"/>
              <w:rPr>
                <w:color w:val="000000"/>
                <w:szCs w:val="21"/>
              </w:rPr>
            </w:pPr>
          </w:p>
        </w:tc>
        <w:tc>
          <w:tcPr>
            <w:tcW w:w="984" w:type="dxa"/>
            <w:noWrap w:val="0"/>
            <w:tcMar>
              <w:top w:w="20" w:type="dxa"/>
              <w:left w:w="20" w:type="dxa"/>
              <w:bottom w:w="0" w:type="dxa"/>
              <w:right w:w="20" w:type="dxa"/>
            </w:tcMar>
            <w:vAlign w:val="center"/>
          </w:tcPr>
          <w:p>
            <w:pPr>
              <w:spacing w:line="360" w:lineRule="auto"/>
              <w:jc w:val="center"/>
              <w:rPr>
                <w:color w:val="000000"/>
                <w:szCs w:val="21"/>
              </w:rPr>
            </w:pPr>
          </w:p>
        </w:tc>
        <w:tc>
          <w:tcPr>
            <w:tcW w:w="978" w:type="dxa"/>
            <w:noWrap w:val="0"/>
            <w:vAlign w:val="center"/>
          </w:tcPr>
          <w:p>
            <w:pPr>
              <w:spacing w:line="360" w:lineRule="auto"/>
              <w:jc w:val="center"/>
              <w:rPr>
                <w:color w:val="000000"/>
                <w:kern w:val="0"/>
                <w:szCs w:val="21"/>
              </w:rPr>
            </w:pPr>
          </w:p>
        </w:tc>
        <w:tc>
          <w:tcPr>
            <w:tcW w:w="580" w:type="dxa"/>
            <w:noWrap w:val="0"/>
            <w:tcMar>
              <w:top w:w="20" w:type="dxa"/>
              <w:left w:w="20" w:type="dxa"/>
              <w:bottom w:w="0" w:type="dxa"/>
              <w:right w:w="20" w:type="dxa"/>
            </w:tcMar>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jc w:val="center"/>
        </w:trPr>
        <w:tc>
          <w:tcPr>
            <w:tcW w:w="488" w:type="dxa"/>
            <w:noWrap w:val="0"/>
            <w:tcMar>
              <w:top w:w="20" w:type="dxa"/>
              <w:left w:w="20" w:type="dxa"/>
              <w:bottom w:w="0" w:type="dxa"/>
              <w:right w:w="20" w:type="dxa"/>
            </w:tcMar>
            <w:vAlign w:val="center"/>
          </w:tcPr>
          <w:p>
            <w:pPr>
              <w:spacing w:line="360" w:lineRule="auto"/>
              <w:jc w:val="center"/>
              <w:rPr>
                <w:color w:val="000000"/>
                <w:szCs w:val="21"/>
              </w:rPr>
            </w:pPr>
            <w:r>
              <w:rPr>
                <w:color w:val="000000"/>
                <w:szCs w:val="21"/>
              </w:rPr>
              <w:t>3</w:t>
            </w:r>
          </w:p>
        </w:tc>
        <w:tc>
          <w:tcPr>
            <w:tcW w:w="1805" w:type="dxa"/>
            <w:noWrap w:val="0"/>
            <w:tcMar>
              <w:top w:w="20" w:type="dxa"/>
              <w:left w:w="20" w:type="dxa"/>
              <w:bottom w:w="0" w:type="dxa"/>
              <w:right w:w="20" w:type="dxa"/>
            </w:tcMar>
            <w:vAlign w:val="center"/>
          </w:tcPr>
          <w:p>
            <w:pPr>
              <w:spacing w:line="360" w:lineRule="auto"/>
              <w:jc w:val="center"/>
              <w:rPr>
                <w:color w:val="000000"/>
                <w:szCs w:val="21"/>
              </w:rPr>
            </w:pPr>
          </w:p>
        </w:tc>
        <w:tc>
          <w:tcPr>
            <w:tcW w:w="1980" w:type="dxa"/>
            <w:noWrap w:val="0"/>
            <w:tcMar>
              <w:top w:w="20" w:type="dxa"/>
              <w:left w:w="20" w:type="dxa"/>
              <w:bottom w:w="0" w:type="dxa"/>
              <w:right w:w="20" w:type="dxa"/>
            </w:tcMar>
            <w:vAlign w:val="center"/>
          </w:tcPr>
          <w:p>
            <w:pPr>
              <w:spacing w:line="360" w:lineRule="auto"/>
              <w:jc w:val="center"/>
              <w:rPr>
                <w:color w:val="000000"/>
                <w:szCs w:val="21"/>
              </w:rPr>
            </w:pPr>
          </w:p>
        </w:tc>
        <w:tc>
          <w:tcPr>
            <w:tcW w:w="886" w:type="dxa"/>
            <w:noWrap w:val="0"/>
            <w:tcMar>
              <w:top w:w="20" w:type="dxa"/>
              <w:left w:w="20" w:type="dxa"/>
              <w:bottom w:w="0" w:type="dxa"/>
              <w:right w:w="20" w:type="dxa"/>
            </w:tcMar>
            <w:vAlign w:val="center"/>
          </w:tcPr>
          <w:p>
            <w:pPr>
              <w:spacing w:line="360" w:lineRule="auto"/>
              <w:jc w:val="center"/>
              <w:rPr>
                <w:color w:val="000000"/>
                <w:szCs w:val="21"/>
              </w:rPr>
            </w:pPr>
          </w:p>
        </w:tc>
        <w:tc>
          <w:tcPr>
            <w:tcW w:w="985" w:type="dxa"/>
            <w:noWrap w:val="0"/>
            <w:tcMar>
              <w:top w:w="20" w:type="dxa"/>
              <w:left w:w="20" w:type="dxa"/>
              <w:bottom w:w="0" w:type="dxa"/>
              <w:right w:w="20" w:type="dxa"/>
            </w:tcMar>
            <w:vAlign w:val="center"/>
          </w:tcPr>
          <w:p>
            <w:pPr>
              <w:spacing w:line="360" w:lineRule="auto"/>
              <w:jc w:val="center"/>
              <w:rPr>
                <w:color w:val="000000"/>
                <w:szCs w:val="21"/>
              </w:rPr>
            </w:pPr>
          </w:p>
        </w:tc>
        <w:tc>
          <w:tcPr>
            <w:tcW w:w="984" w:type="dxa"/>
            <w:noWrap w:val="0"/>
            <w:tcMar>
              <w:top w:w="20" w:type="dxa"/>
              <w:left w:w="20" w:type="dxa"/>
              <w:bottom w:w="0" w:type="dxa"/>
              <w:right w:w="20" w:type="dxa"/>
            </w:tcMar>
            <w:vAlign w:val="center"/>
          </w:tcPr>
          <w:p>
            <w:pPr>
              <w:spacing w:line="360" w:lineRule="auto"/>
              <w:jc w:val="center"/>
              <w:rPr>
                <w:color w:val="000000"/>
                <w:szCs w:val="21"/>
              </w:rPr>
            </w:pPr>
          </w:p>
        </w:tc>
        <w:tc>
          <w:tcPr>
            <w:tcW w:w="978" w:type="dxa"/>
            <w:noWrap w:val="0"/>
            <w:vAlign w:val="center"/>
          </w:tcPr>
          <w:p>
            <w:pPr>
              <w:spacing w:line="360" w:lineRule="auto"/>
              <w:jc w:val="center"/>
              <w:rPr>
                <w:color w:val="000000"/>
                <w:szCs w:val="21"/>
              </w:rPr>
            </w:pPr>
          </w:p>
        </w:tc>
        <w:tc>
          <w:tcPr>
            <w:tcW w:w="580" w:type="dxa"/>
            <w:noWrap w:val="0"/>
            <w:tcMar>
              <w:top w:w="20" w:type="dxa"/>
              <w:left w:w="20" w:type="dxa"/>
              <w:bottom w:w="0" w:type="dxa"/>
              <w:right w:w="20" w:type="dxa"/>
            </w:tcMar>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273" w:type="dxa"/>
            <w:gridSpan w:val="3"/>
            <w:vMerge w:val="restart"/>
            <w:noWrap w:val="0"/>
            <w:tcMar>
              <w:top w:w="20" w:type="dxa"/>
              <w:left w:w="20" w:type="dxa"/>
              <w:bottom w:w="0" w:type="dxa"/>
              <w:right w:w="20" w:type="dxa"/>
            </w:tcMar>
            <w:vAlign w:val="center"/>
          </w:tcPr>
          <w:p>
            <w:pPr>
              <w:spacing w:line="360" w:lineRule="auto"/>
              <w:jc w:val="center"/>
              <w:rPr>
                <w:color w:val="000000"/>
                <w:szCs w:val="21"/>
              </w:rPr>
            </w:pPr>
            <w:r>
              <w:rPr>
                <w:color w:val="000000"/>
                <w:szCs w:val="21"/>
              </w:rPr>
              <w:t>合计(元)</w:t>
            </w:r>
          </w:p>
        </w:tc>
        <w:tc>
          <w:tcPr>
            <w:tcW w:w="4413" w:type="dxa"/>
            <w:gridSpan w:val="5"/>
            <w:noWrap w:val="0"/>
            <w:tcMar>
              <w:top w:w="20" w:type="dxa"/>
              <w:left w:w="20" w:type="dxa"/>
              <w:bottom w:w="0" w:type="dxa"/>
              <w:right w:w="20" w:type="dxa"/>
            </w:tcMar>
            <w:vAlign w:val="center"/>
          </w:tcPr>
          <w:p>
            <w:pPr>
              <w:spacing w:line="360" w:lineRule="auto"/>
              <w:jc w:val="left"/>
              <w:rPr>
                <w:color w:val="000000"/>
                <w:szCs w:val="21"/>
              </w:rPr>
            </w:pPr>
            <w:r>
              <w:rPr>
                <w:color w:val="000000"/>
                <w:szCs w:val="21"/>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273" w:type="dxa"/>
            <w:gridSpan w:val="3"/>
            <w:vMerge w:val="continue"/>
            <w:noWrap w:val="0"/>
            <w:tcMar>
              <w:top w:w="20" w:type="dxa"/>
              <w:left w:w="20" w:type="dxa"/>
              <w:bottom w:w="0" w:type="dxa"/>
              <w:right w:w="20" w:type="dxa"/>
            </w:tcMar>
            <w:vAlign w:val="center"/>
          </w:tcPr>
          <w:p>
            <w:pPr>
              <w:spacing w:line="360" w:lineRule="auto"/>
              <w:jc w:val="center"/>
              <w:rPr>
                <w:color w:val="000000"/>
                <w:szCs w:val="21"/>
              </w:rPr>
            </w:pPr>
          </w:p>
        </w:tc>
        <w:tc>
          <w:tcPr>
            <w:tcW w:w="4413" w:type="dxa"/>
            <w:gridSpan w:val="5"/>
            <w:noWrap w:val="0"/>
            <w:tcMar>
              <w:top w:w="20" w:type="dxa"/>
              <w:left w:w="20" w:type="dxa"/>
              <w:bottom w:w="0" w:type="dxa"/>
              <w:right w:w="20" w:type="dxa"/>
            </w:tcMar>
            <w:vAlign w:val="center"/>
          </w:tcPr>
          <w:p>
            <w:pPr>
              <w:spacing w:line="360" w:lineRule="auto"/>
              <w:jc w:val="left"/>
              <w:rPr>
                <w:color w:val="000000"/>
                <w:szCs w:val="21"/>
              </w:rPr>
            </w:pPr>
            <w:r>
              <w:rPr>
                <w:color w:val="000000"/>
                <w:szCs w:val="21"/>
              </w:rPr>
              <w:t>小写：   元</w:t>
            </w:r>
          </w:p>
        </w:tc>
      </w:tr>
    </w:tbl>
    <w:p>
      <w:pPr>
        <w:snapToGrid w:val="0"/>
        <w:spacing w:line="360" w:lineRule="auto"/>
        <w:ind w:firstLine="420" w:firstLineChars="200"/>
        <w:rPr>
          <w:szCs w:val="21"/>
        </w:rPr>
      </w:pPr>
      <w:r>
        <w:rPr>
          <w:color w:val="000000"/>
          <w:szCs w:val="21"/>
        </w:rPr>
        <w:t>1.2 合同总额是指设备到达西安建筑科技大学指定地点、</w:t>
      </w:r>
      <w:r>
        <w:rPr>
          <w:szCs w:val="21"/>
        </w:rPr>
        <w:t>完成验收后的价格，其中已包含货物费（含备品备件费）、包装费、运杂费（含搬运、装卸、保险费等）、工程费、材料费、全部税费、安装调试费等相关费用。</w:t>
      </w:r>
    </w:p>
    <w:p>
      <w:pPr>
        <w:snapToGrid w:val="0"/>
        <w:spacing w:line="360" w:lineRule="auto"/>
        <w:ind w:firstLine="420" w:firstLineChars="200"/>
        <w:rPr>
          <w:szCs w:val="21"/>
        </w:rPr>
      </w:pPr>
      <w:r>
        <w:rPr>
          <w:szCs w:val="21"/>
        </w:rPr>
        <w:t>1.3 合同总额为一次性包死价格，不受市场价格的变化和影响，在合同不发生变更时作为付款结算的依据。</w:t>
      </w:r>
    </w:p>
    <w:p>
      <w:pPr>
        <w:snapToGrid w:val="0"/>
        <w:spacing w:line="360" w:lineRule="auto"/>
        <w:ind w:firstLine="420" w:firstLineChars="200"/>
        <w:rPr>
          <w:szCs w:val="21"/>
        </w:rPr>
      </w:pPr>
      <w:r>
        <w:rPr>
          <w:szCs w:val="21"/>
        </w:rPr>
        <w:t>1.4 设备的技术参数要求</w:t>
      </w:r>
    </w:p>
    <w:p>
      <w:pPr>
        <w:snapToGrid w:val="0"/>
        <w:spacing w:line="360" w:lineRule="auto"/>
        <w:ind w:firstLine="420" w:firstLineChars="200"/>
        <w:rPr>
          <w:szCs w:val="21"/>
        </w:rPr>
      </w:pPr>
      <w:r>
        <w:rPr>
          <w:szCs w:val="21"/>
        </w:rPr>
        <w:t>1.4.1本合同条款下提交货物的技术规格要求应等于或优于招投标文件技术规格要求（设备的技术参数和指标详见附件）。若技术规格要求中无相应规定，则应符合相应的国家有关部门最新颁布的相应正式标准。</w:t>
      </w:r>
    </w:p>
    <w:p>
      <w:pPr>
        <w:snapToGrid w:val="0"/>
        <w:spacing w:line="360" w:lineRule="auto"/>
        <w:ind w:firstLine="420" w:firstLineChars="200"/>
        <w:rPr>
          <w:szCs w:val="21"/>
        </w:rPr>
      </w:pPr>
      <w:r>
        <w:rPr>
          <w:szCs w:val="21"/>
        </w:rPr>
        <w:t>1.4.2乙方应向甲方提供有关标准的中文文本。</w:t>
      </w:r>
    </w:p>
    <w:p>
      <w:pPr>
        <w:snapToGrid w:val="0"/>
        <w:spacing w:line="360" w:lineRule="auto"/>
        <w:ind w:firstLine="420" w:firstLineChars="200"/>
        <w:rPr>
          <w:szCs w:val="21"/>
        </w:rPr>
      </w:pPr>
      <w:r>
        <w:rPr>
          <w:szCs w:val="21"/>
        </w:rPr>
        <w:t>1.4.3除非技术规范中另有规定，计量单位均采用中华人民共和国法定计量单位。</w:t>
      </w:r>
    </w:p>
    <w:p>
      <w:pPr>
        <w:snapToGrid w:val="0"/>
        <w:spacing w:line="360" w:lineRule="auto"/>
        <w:ind w:firstLine="422" w:firstLineChars="200"/>
        <w:rPr>
          <w:b/>
          <w:szCs w:val="21"/>
        </w:rPr>
      </w:pPr>
      <w:r>
        <w:rPr>
          <w:b/>
          <w:szCs w:val="21"/>
        </w:rPr>
        <w:t xml:space="preserve">2. 包装运输要求 </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仪器设备的运输方式由乙方自行选择，在生产、运输、装卸过程中的任何安全问题与甲方无关，乙方应做好仪器设备的安全防护工作，保证甲方收到的是无任何损伤的货物。仪器设备包装必须符合国家标准或行业标准，满足航空、铁路或公路运输以及货物装卸要求，乙方若因自身原因出现任何安全事故，责任均由乙方承担。同时，对于在此过程中由于乙方未尽义务，造成与甲方有关人或物的损伤，乙方应全部承担责任。</w:t>
      </w:r>
    </w:p>
    <w:p>
      <w:pPr>
        <w:spacing w:line="360" w:lineRule="auto"/>
        <w:ind w:firstLine="422" w:firstLineChars="200"/>
        <w:rPr>
          <w:b/>
          <w:szCs w:val="21"/>
        </w:rPr>
      </w:pPr>
      <w:r>
        <w:rPr>
          <w:b/>
          <w:szCs w:val="21"/>
        </w:rPr>
        <w:t>3.交货时间及交货地点</w:t>
      </w:r>
    </w:p>
    <w:p>
      <w:pPr>
        <w:spacing w:line="360" w:lineRule="auto"/>
        <w:ind w:firstLine="420" w:firstLineChars="200"/>
        <w:rPr>
          <w:szCs w:val="21"/>
        </w:rPr>
      </w:pPr>
      <w:r>
        <w:rPr>
          <w:szCs w:val="21"/>
        </w:rPr>
        <w:t>3.1本项目为交钥匙工程，乙方要提供整套合格产品，切实做好安全防护相关工作。产品交货、安装地点均为甲方指定地点。</w:t>
      </w:r>
    </w:p>
    <w:p>
      <w:pPr>
        <w:spacing w:line="360" w:lineRule="auto"/>
        <w:ind w:firstLine="420" w:firstLineChars="200"/>
        <w:rPr>
          <w:szCs w:val="21"/>
        </w:rPr>
      </w:pPr>
      <w:r>
        <w:rPr>
          <w:szCs w:val="21"/>
        </w:rPr>
        <w:t>3.2 合同签订</w:t>
      </w:r>
      <w:r>
        <w:rPr>
          <w:color w:val="000000"/>
          <w:szCs w:val="21"/>
        </w:rPr>
        <w:t>后</w:t>
      </w:r>
      <w:r>
        <w:rPr>
          <w:color w:val="000000"/>
          <w:szCs w:val="21"/>
          <w:u w:val="single"/>
        </w:rPr>
        <w:t xml:space="preserve">     </w:t>
      </w:r>
      <w:r>
        <w:rPr>
          <w:color w:val="000000"/>
          <w:szCs w:val="21"/>
        </w:rPr>
        <w:t>个工作</w:t>
      </w:r>
      <w:r>
        <w:rPr>
          <w:szCs w:val="21"/>
        </w:rPr>
        <w:t>日内，乙方负责将产品运输到指定地点，</w:t>
      </w:r>
      <w:r>
        <w:rPr>
          <w:rFonts w:hint="eastAsia"/>
          <w:szCs w:val="21"/>
        </w:rPr>
        <w:t>并</w:t>
      </w:r>
      <w:r>
        <w:rPr>
          <w:szCs w:val="21"/>
        </w:rPr>
        <w:t>按照验收标准和验收程序完成设备的安装</w:t>
      </w:r>
      <w:r>
        <w:rPr>
          <w:rFonts w:hint="eastAsia"/>
          <w:szCs w:val="21"/>
        </w:rPr>
        <w:t>、</w:t>
      </w:r>
      <w:r>
        <w:rPr>
          <w:szCs w:val="21"/>
        </w:rPr>
        <w:t>调试和验收工作。乙方保证运输过程产品包装完好、安装调试及验收时设备外观无划痕，设备质量完好。</w:t>
      </w:r>
    </w:p>
    <w:p>
      <w:pPr>
        <w:spacing w:line="360" w:lineRule="auto"/>
        <w:ind w:firstLine="422" w:firstLineChars="200"/>
        <w:rPr>
          <w:b/>
          <w:szCs w:val="21"/>
        </w:rPr>
      </w:pPr>
      <w:r>
        <w:rPr>
          <w:b/>
          <w:szCs w:val="21"/>
        </w:rPr>
        <w:t>4.产品质量保证</w:t>
      </w:r>
    </w:p>
    <w:p>
      <w:pPr>
        <w:spacing w:line="360" w:lineRule="auto"/>
        <w:ind w:firstLine="420" w:firstLineChars="200"/>
        <w:rPr>
          <w:szCs w:val="21"/>
        </w:rPr>
      </w:pPr>
      <w:r>
        <w:rPr>
          <w:szCs w:val="21"/>
        </w:rPr>
        <w:t>4.1乙方提供的设备及配套产品，必须是合同规定厂家制造的、合格、全新、未曾使用的产品，产品内部无损坏，外表无磨损，内部包装无破损。整套产品必须通过由国家技术监督部门授权的计量检定单位的检定，并附有检定使用合格证书。</w:t>
      </w:r>
    </w:p>
    <w:p>
      <w:pPr>
        <w:spacing w:line="360" w:lineRule="auto"/>
        <w:ind w:firstLine="420" w:firstLineChars="200"/>
        <w:rPr>
          <w:szCs w:val="21"/>
        </w:rPr>
      </w:pPr>
      <w:r>
        <w:rPr>
          <w:szCs w:val="21"/>
        </w:rPr>
        <w:t>4.2 乙方提供的设备及配套产品必须等同于或优于合同技术指标要求，并能按国家标准供应、检测、调试，确保产品技术指标满足使用要求。</w:t>
      </w:r>
    </w:p>
    <w:p>
      <w:pPr>
        <w:spacing w:line="360" w:lineRule="auto"/>
        <w:ind w:firstLine="420" w:firstLineChars="200"/>
        <w:rPr>
          <w:szCs w:val="21"/>
        </w:rPr>
      </w:pPr>
      <w:r>
        <w:rPr>
          <w:szCs w:val="21"/>
        </w:rPr>
        <w:t>4.3乙方须保证所提供的货物经正确安装、正常运转和保养，在其使用寿命期内须具有符合质量要求和产品说明书的性能。在产品质量保证期之内，乙方须对由于设计、工艺或材料的缺陷而发生的任何不足或故障负责，并免费予以改进或更换。</w:t>
      </w:r>
    </w:p>
    <w:p>
      <w:pPr>
        <w:spacing w:line="360" w:lineRule="auto"/>
        <w:ind w:firstLine="420" w:firstLineChars="200"/>
        <w:rPr>
          <w:szCs w:val="21"/>
        </w:rPr>
      </w:pPr>
      <w:r>
        <w:rPr>
          <w:szCs w:val="21"/>
        </w:rPr>
        <w:t>4.4根据甲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pPr>
        <w:spacing w:line="360" w:lineRule="auto"/>
        <w:ind w:firstLine="420" w:firstLineChars="200"/>
        <w:rPr>
          <w:szCs w:val="21"/>
        </w:rPr>
      </w:pPr>
      <w:r>
        <w:rPr>
          <w:szCs w:val="21"/>
        </w:rPr>
        <w:t>4.5乙方在收到通知后虽答复，但没有弥补缺陷，甲方可采取必要的补救措施，但由此引发的风险和费用将由乙方承担。甲方可从合同款或乙方提交的履约保证金中扣款，不足部分，甲方有权要求乙方赔偿。甲方根据合同规定对乙方行使的其他权力不受影响。</w:t>
      </w:r>
    </w:p>
    <w:p>
      <w:pPr>
        <w:spacing w:line="360" w:lineRule="auto"/>
        <w:ind w:firstLine="420" w:firstLineChars="200"/>
        <w:rPr>
          <w:szCs w:val="21"/>
        </w:rPr>
      </w:pPr>
      <w:r>
        <w:rPr>
          <w:szCs w:val="21"/>
        </w:rPr>
        <w:t>4.6产品质量保证期为甲方最终设备验收合格后</w:t>
      </w:r>
      <w:r>
        <w:rPr>
          <w:color w:val="FF0000"/>
          <w:szCs w:val="21"/>
          <w:u w:val="single"/>
        </w:rPr>
        <w:t xml:space="preserve">     </w:t>
      </w:r>
      <w:r>
        <w:rPr>
          <w:szCs w:val="21"/>
        </w:rPr>
        <w:t>年。质量保证期内乙方免费维修，包括设备的零配件及国内不能解决的故障需要返回生产厂维修时所发生的一切费用。须更换的零配件乙方保证原厂原装，如遇系统更新升级，乙方免费负责更新原装正版系统。质保期满后，乙方负责设备的终身维修。甲方如需更换设备的零配件，乙方保证更换的零配件为原厂原装，并只收取零配件的成本费，同时由乙方负责更换调试合格。</w:t>
      </w:r>
    </w:p>
    <w:p>
      <w:pPr>
        <w:spacing w:line="360" w:lineRule="auto"/>
        <w:ind w:firstLine="422" w:firstLineChars="200"/>
        <w:rPr>
          <w:b/>
          <w:szCs w:val="21"/>
        </w:rPr>
      </w:pPr>
      <w:r>
        <w:rPr>
          <w:b/>
          <w:szCs w:val="21"/>
        </w:rPr>
        <w:t>5.技术服务承诺</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5.1乙方应严格按照供货时间，及时给甲方供货。</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5.2乙方负责提供仪器设备相应的技术资料，包括产品合格证、产品保修单、安装使用及维护说明书以及运输装箱清单等,并对所有技术材料的真实性、准确性、先进性、完整性负责。</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5.3人员培训：乙方终身免费为甲方培训设备使用人员，培训内容包括：设备操作、维护、简单维修等。</w:t>
      </w:r>
    </w:p>
    <w:p>
      <w:pPr>
        <w:spacing w:line="360" w:lineRule="auto"/>
        <w:ind w:firstLine="420" w:firstLineChars="200"/>
        <w:rPr>
          <w:b/>
          <w:szCs w:val="21"/>
        </w:rPr>
      </w:pPr>
      <w:r>
        <w:rPr>
          <w:bCs/>
          <w:szCs w:val="21"/>
        </w:rPr>
        <w:t>5.4</w:t>
      </w:r>
      <w:r>
        <w:rPr>
          <w:szCs w:val="21"/>
        </w:rPr>
        <w:t>售后服务：质保期内乙方对甲方提出的服务响应不得超出</w:t>
      </w:r>
      <w:r>
        <w:rPr>
          <w:color w:val="FF0000"/>
          <w:szCs w:val="21"/>
          <w:u w:val="single"/>
        </w:rPr>
        <w:t xml:space="preserve">   </w:t>
      </w:r>
      <w:r>
        <w:rPr>
          <w:szCs w:val="21"/>
        </w:rPr>
        <w:t>小时。</w:t>
      </w:r>
    </w:p>
    <w:p>
      <w:pPr>
        <w:spacing w:line="360" w:lineRule="auto"/>
        <w:ind w:firstLine="420" w:firstLineChars="200"/>
        <w:rPr>
          <w:szCs w:val="21"/>
        </w:rPr>
      </w:pPr>
      <w:r>
        <w:rPr>
          <w:szCs w:val="21"/>
        </w:rPr>
        <w:t>5.5具体服务详见乙方投标文件中乙方的承诺书。</w:t>
      </w:r>
    </w:p>
    <w:p>
      <w:pPr>
        <w:snapToGrid w:val="0"/>
        <w:spacing w:line="360" w:lineRule="auto"/>
        <w:ind w:firstLine="422" w:firstLineChars="200"/>
        <w:rPr>
          <w:b/>
          <w:szCs w:val="21"/>
        </w:rPr>
      </w:pPr>
      <w:r>
        <w:rPr>
          <w:b/>
          <w:szCs w:val="21"/>
        </w:rPr>
        <w:t>6.验收方法及标准</w:t>
      </w:r>
    </w:p>
    <w:p>
      <w:pPr>
        <w:snapToGrid w:val="0"/>
        <w:spacing w:line="360" w:lineRule="auto"/>
        <w:ind w:firstLine="420" w:firstLineChars="200"/>
        <w:rPr>
          <w:szCs w:val="21"/>
        </w:rPr>
      </w:pPr>
      <w:r>
        <w:rPr>
          <w:szCs w:val="21"/>
        </w:rPr>
        <w:t>6.1开箱验收</w:t>
      </w:r>
    </w:p>
    <w:p>
      <w:pPr>
        <w:snapToGrid w:val="0"/>
        <w:spacing w:line="360" w:lineRule="auto"/>
        <w:ind w:firstLine="420" w:firstLineChars="200"/>
        <w:rPr>
          <w:szCs w:val="21"/>
        </w:rPr>
      </w:pPr>
      <w:r>
        <w:rPr>
          <w:szCs w:val="21"/>
        </w:rPr>
        <w:t>6.1.1产品运抵现场后，双方应及时开箱验收，并制作验收记录，以确认与本合同约定的数量、型号等是否一致。</w:t>
      </w:r>
    </w:p>
    <w:p>
      <w:pPr>
        <w:snapToGrid w:val="0"/>
        <w:spacing w:line="360" w:lineRule="auto"/>
        <w:ind w:firstLine="420" w:firstLineChars="200"/>
        <w:rPr>
          <w:szCs w:val="21"/>
        </w:rPr>
      </w:pPr>
      <w:r>
        <w:rPr>
          <w:szCs w:val="21"/>
        </w:rPr>
        <w:t>6.1.2 乙方应在交货前对产品的质量、规格、数量等进行详细而全面的检验，并出具证明产品符合合同规定的文件。该文件将作为申请付款单据的一部分，但有关质量、规格、数量的检验不应视为最终检验。</w:t>
      </w:r>
    </w:p>
    <w:p>
      <w:pPr>
        <w:snapToGrid w:val="0"/>
        <w:spacing w:line="360" w:lineRule="auto"/>
        <w:ind w:firstLine="420" w:firstLineChars="200"/>
        <w:rPr>
          <w:szCs w:val="21"/>
        </w:rPr>
      </w:pPr>
      <w:r>
        <w:rPr>
          <w:szCs w:val="21"/>
        </w:rPr>
        <w:t>6.1.3乙方所供设备必须按我国现使用的标准制造，所购标准件和原材料均是国家名牌企业（或用户指定厂家）的合格产品，不会受到其它方提出的专利权、商标权或工业设计权等起诉。其余技术条件完全按照甲方要求。</w:t>
      </w:r>
    </w:p>
    <w:p>
      <w:pPr>
        <w:snapToGrid w:val="0"/>
        <w:spacing w:line="360" w:lineRule="auto"/>
        <w:ind w:firstLine="420" w:firstLineChars="200"/>
        <w:rPr>
          <w:szCs w:val="21"/>
        </w:rPr>
      </w:pPr>
      <w:r>
        <w:rPr>
          <w:szCs w:val="21"/>
        </w:rPr>
        <w:t>6.1.4 开箱验收中如发现产品的数量、规格与合同约定不符，甲方有权拒收产品，乙方应及时按甲方要求免费对拒收产品采取更换或其他必要的补救措施，直至开箱验收合格，方视为乙方完成交货。</w:t>
      </w:r>
    </w:p>
    <w:p>
      <w:pPr>
        <w:snapToGrid w:val="0"/>
        <w:spacing w:line="360" w:lineRule="auto"/>
        <w:ind w:firstLine="420" w:firstLineChars="200"/>
        <w:rPr>
          <w:szCs w:val="21"/>
        </w:rPr>
      </w:pPr>
      <w:r>
        <w:rPr>
          <w:szCs w:val="21"/>
        </w:rPr>
        <w:t>6.2  检验验收</w:t>
      </w:r>
    </w:p>
    <w:p>
      <w:pPr>
        <w:snapToGrid w:val="0"/>
        <w:spacing w:line="360" w:lineRule="auto"/>
        <w:ind w:firstLine="420" w:firstLineChars="200"/>
        <w:rPr>
          <w:szCs w:val="21"/>
        </w:rPr>
      </w:pPr>
      <w:r>
        <w:rPr>
          <w:szCs w:val="21"/>
        </w:rPr>
        <w:t>6.2.1 交货完成后，乙方应及时组装、调试、试运行，按照合同条款规定的试运行完成后，双方及时组织对产品检验验收。合同双方均须派人参加合同要求双方参加的试验、检验。</w:t>
      </w:r>
    </w:p>
    <w:p>
      <w:pPr>
        <w:snapToGrid w:val="0"/>
        <w:spacing w:line="360" w:lineRule="auto"/>
        <w:ind w:firstLine="420" w:firstLineChars="200"/>
        <w:rPr>
          <w:szCs w:val="21"/>
        </w:rPr>
      </w:pPr>
      <w:r>
        <w:rPr>
          <w:szCs w:val="21"/>
        </w:rPr>
        <w:t>6.2.2 在具体实施合同规定的检验验收之前，乙方需提前提交相应的测试计划（包括测试程序、测试内容和检验标准、试验时间安排等）供甲方确认。</w:t>
      </w:r>
    </w:p>
    <w:p>
      <w:pPr>
        <w:snapToGrid w:val="0"/>
        <w:spacing w:line="360" w:lineRule="auto"/>
        <w:ind w:firstLine="420" w:firstLineChars="200"/>
        <w:rPr>
          <w:szCs w:val="21"/>
        </w:rPr>
      </w:pPr>
      <w:r>
        <w:rPr>
          <w:szCs w:val="21"/>
        </w:rPr>
        <w:t>6.2.3  除需甲方确认的试验验收外，乙方还应对所有检验验收测试的结果、步骤、原始数据等作妥善记录。如甲方要求，乙方应提供这些记录给甲方。</w:t>
      </w:r>
    </w:p>
    <w:p>
      <w:pPr>
        <w:snapToGrid w:val="0"/>
        <w:spacing w:line="360" w:lineRule="auto"/>
        <w:ind w:firstLine="420" w:firstLineChars="200"/>
        <w:rPr>
          <w:szCs w:val="21"/>
        </w:rPr>
      </w:pPr>
      <w:r>
        <w:rPr>
          <w:szCs w:val="21"/>
        </w:rPr>
        <w:t>6.2.4  检验测试出现全部或部分未达到本合同所约定的技术指标，甲方有权选择下列任一处理方式：</w:t>
      </w:r>
    </w:p>
    <w:p>
      <w:pPr>
        <w:snapToGrid w:val="0"/>
        <w:spacing w:line="360" w:lineRule="auto"/>
        <w:ind w:firstLine="420" w:firstLineChars="200"/>
        <w:rPr>
          <w:szCs w:val="21"/>
        </w:rPr>
      </w:pPr>
      <w:r>
        <w:rPr>
          <w:szCs w:val="21"/>
        </w:rPr>
        <w:t>a.重新测试直至合格为止；</w:t>
      </w:r>
    </w:p>
    <w:p>
      <w:pPr>
        <w:snapToGrid w:val="0"/>
        <w:spacing w:line="360" w:lineRule="auto"/>
        <w:ind w:firstLine="420" w:firstLineChars="200"/>
        <w:rPr>
          <w:szCs w:val="21"/>
        </w:rPr>
      </w:pPr>
      <w:r>
        <w:rPr>
          <w:szCs w:val="21"/>
        </w:rPr>
        <w:t>b.要求乙方对货物进行免费更换，然后重新测试直至合格为止；</w:t>
      </w:r>
    </w:p>
    <w:p>
      <w:pPr>
        <w:snapToGrid w:val="0"/>
        <w:spacing w:line="360" w:lineRule="auto"/>
        <w:ind w:firstLine="420" w:firstLineChars="200"/>
        <w:rPr>
          <w:szCs w:val="21"/>
        </w:rPr>
      </w:pPr>
      <w:r>
        <w:rPr>
          <w:szCs w:val="21"/>
        </w:rPr>
        <w:t>无论选择何种方式，甲方因此而发生的因乙方原因引起的所有费用均由乙方负担。</w:t>
      </w:r>
    </w:p>
    <w:p>
      <w:pPr>
        <w:snapToGrid w:val="0"/>
        <w:spacing w:line="360" w:lineRule="auto"/>
        <w:ind w:firstLine="420" w:firstLineChars="200"/>
        <w:rPr>
          <w:szCs w:val="21"/>
        </w:rPr>
      </w:pPr>
      <w:r>
        <w:rPr>
          <w:szCs w:val="21"/>
        </w:rPr>
        <w:t>6.3  使用过程检验</w:t>
      </w:r>
    </w:p>
    <w:p>
      <w:pPr>
        <w:snapToGrid w:val="0"/>
        <w:spacing w:line="360" w:lineRule="auto"/>
        <w:ind w:firstLine="420" w:firstLineChars="200"/>
        <w:rPr>
          <w:szCs w:val="21"/>
        </w:rPr>
      </w:pPr>
      <w:r>
        <w:rPr>
          <w:szCs w:val="21"/>
        </w:rPr>
        <w:t>6.3.1在合同规定的质量保证期内，发现设备的质量或规格与合同规定不符，或证明设备有缺陷，包括潜在的缺陷或使用不合适的原材料等，由甲方组织质检（相关检测费用由乙方承担），据质检报告及质量保证条款向乙方提出索赔，此索赔并不免除乙方应承担的合同义务。</w:t>
      </w:r>
    </w:p>
    <w:p>
      <w:pPr>
        <w:snapToGrid w:val="0"/>
        <w:spacing w:line="360" w:lineRule="auto"/>
        <w:ind w:firstLine="420" w:firstLineChars="200"/>
        <w:rPr>
          <w:rFonts w:hint="eastAsia"/>
          <w:szCs w:val="21"/>
        </w:rPr>
      </w:pPr>
      <w:r>
        <w:rPr>
          <w:szCs w:val="21"/>
        </w:rPr>
        <w:t>6.3.2如果合同双方对乙方提供的上述试验结果报告的解释有分歧，双方须于出现分歧后10天内给对方声明，以陈述己方的观点。声明须附有关证据。分歧应通过协商解决。</w:t>
      </w:r>
    </w:p>
    <w:p>
      <w:pPr>
        <w:snapToGrid w:val="0"/>
        <w:spacing w:line="360" w:lineRule="auto"/>
        <w:ind w:firstLine="420" w:firstLineChars="200"/>
        <w:rPr>
          <w:szCs w:val="21"/>
        </w:rPr>
      </w:pPr>
      <w:r>
        <w:rPr>
          <w:rFonts w:hint="eastAsia"/>
          <w:szCs w:val="21"/>
        </w:rPr>
        <w:t>6.4  所有验收合格，但不能免除乙方应该承担的质保责任。</w:t>
      </w:r>
    </w:p>
    <w:p>
      <w:pPr>
        <w:snapToGrid w:val="0"/>
        <w:spacing w:line="360" w:lineRule="auto"/>
        <w:ind w:firstLine="422" w:firstLineChars="200"/>
        <w:rPr>
          <w:b/>
          <w:szCs w:val="21"/>
        </w:rPr>
      </w:pPr>
      <w:r>
        <w:rPr>
          <w:b/>
          <w:szCs w:val="21"/>
        </w:rPr>
        <w:t>7.合同款项支付方式</w:t>
      </w:r>
    </w:p>
    <w:p>
      <w:pPr>
        <w:snapToGrid w:val="0"/>
        <w:spacing w:line="360" w:lineRule="auto"/>
        <w:ind w:firstLine="420" w:firstLineChars="200"/>
        <w:rPr>
          <w:szCs w:val="21"/>
        </w:rPr>
      </w:pPr>
      <w:r>
        <w:rPr>
          <w:szCs w:val="21"/>
        </w:rPr>
        <w:t>7.1履约保证金</w:t>
      </w:r>
    </w:p>
    <w:p>
      <w:pPr>
        <w:snapToGrid w:val="0"/>
        <w:spacing w:line="360" w:lineRule="auto"/>
        <w:ind w:firstLine="420" w:firstLineChars="200"/>
        <w:rPr>
          <w:szCs w:val="21"/>
        </w:rPr>
      </w:pPr>
      <w:r>
        <w:rPr>
          <w:szCs w:val="21"/>
        </w:rPr>
        <w:t>7.1.1乙方应在收到中标（成交）通知书后3个工作日内，向甲方提交合同总价5%的履约保证金；</w:t>
      </w:r>
    </w:p>
    <w:p>
      <w:pPr>
        <w:snapToGrid w:val="0"/>
        <w:spacing w:line="360" w:lineRule="auto"/>
        <w:ind w:firstLine="420" w:firstLineChars="200"/>
        <w:rPr>
          <w:szCs w:val="21"/>
        </w:rPr>
      </w:pPr>
      <w:r>
        <w:rPr>
          <w:szCs w:val="21"/>
        </w:rPr>
        <w:t>7.1.2履约保证金应使用人民币，按</w:t>
      </w:r>
      <w:r>
        <w:rPr>
          <w:szCs w:val="21"/>
          <w:u w:val="single"/>
        </w:rPr>
        <w:t xml:space="preserve">   汇款或现金   </w:t>
      </w:r>
      <w:r>
        <w:rPr>
          <w:szCs w:val="21"/>
        </w:rPr>
        <w:t xml:space="preserve"> 方式提交；</w:t>
      </w:r>
    </w:p>
    <w:p>
      <w:pPr>
        <w:snapToGrid w:val="0"/>
        <w:spacing w:line="360" w:lineRule="auto"/>
        <w:ind w:firstLine="420" w:firstLineChars="200"/>
        <w:rPr>
          <w:szCs w:val="21"/>
        </w:rPr>
      </w:pPr>
      <w:r>
        <w:rPr>
          <w:szCs w:val="21"/>
        </w:rPr>
        <w:t>7.1.3设备到货并由甲方验收合格后，</w:t>
      </w:r>
      <w:r>
        <w:rPr>
          <w:rFonts w:hint="eastAsia"/>
          <w:szCs w:val="21"/>
        </w:rPr>
        <w:t>乙方申请，</w:t>
      </w:r>
      <w:r>
        <w:rPr>
          <w:szCs w:val="21"/>
        </w:rPr>
        <w:t>甲方应把履约保证金（无息）退还乙方。</w:t>
      </w:r>
    </w:p>
    <w:p>
      <w:pPr>
        <w:snapToGrid w:val="0"/>
        <w:spacing w:line="360" w:lineRule="auto"/>
        <w:ind w:firstLine="422" w:firstLineChars="200"/>
        <w:rPr>
          <w:rFonts w:hint="eastAsia"/>
          <w:b/>
          <w:bCs/>
          <w:color w:val="000000"/>
          <w:szCs w:val="21"/>
          <w:lang w:eastAsia="zh-CN"/>
        </w:rPr>
      </w:pPr>
      <w:r>
        <w:rPr>
          <w:b/>
          <w:bCs/>
          <w:color w:val="000000"/>
          <w:szCs w:val="21"/>
        </w:rPr>
        <w:t>7.2合同款支付</w:t>
      </w:r>
      <w:r>
        <w:rPr>
          <w:rFonts w:hint="eastAsia"/>
          <w:b/>
          <w:bCs/>
          <w:color w:val="000000"/>
          <w:szCs w:val="21"/>
          <w:lang w:eastAsia="zh-CN"/>
        </w:rPr>
        <w:t>（请在确定支付方式前面的“</w:t>
      </w:r>
      <w:r>
        <w:rPr>
          <w:rFonts w:hint="eastAsia"/>
          <w:b/>
          <w:bCs/>
          <w:color w:val="000000"/>
          <w:szCs w:val="21"/>
          <w:lang w:eastAsia="zh-CN"/>
        </w:rPr>
        <w:sym w:font="Wingdings 2" w:char="00A3"/>
      </w:r>
      <w:r>
        <w:rPr>
          <w:rFonts w:hint="eastAsia"/>
          <w:b/>
          <w:bCs/>
          <w:color w:val="000000"/>
          <w:szCs w:val="21"/>
          <w:lang w:val="en-US" w:eastAsia="zh-CN"/>
        </w:rPr>
        <w:t xml:space="preserve"> </w:t>
      </w:r>
      <w:r>
        <w:rPr>
          <w:rFonts w:hint="eastAsia"/>
          <w:b/>
          <w:bCs/>
          <w:color w:val="000000"/>
          <w:szCs w:val="21"/>
          <w:lang w:eastAsia="zh-CN"/>
        </w:rPr>
        <w:t>”打“√”</w:t>
      </w:r>
      <w:r>
        <w:rPr>
          <w:rFonts w:hint="eastAsia"/>
          <w:b/>
          <w:bCs/>
          <w:color w:val="000000"/>
          <w:szCs w:val="21"/>
          <w:lang w:val="en-US" w:eastAsia="zh-CN"/>
        </w:rPr>
        <w:t xml:space="preserve"> </w:t>
      </w:r>
      <w:r>
        <w:rPr>
          <w:rFonts w:hint="eastAsia"/>
          <w:b/>
          <w:bCs/>
          <w:color w:val="000000"/>
          <w:szCs w:val="21"/>
          <w:lang w:eastAsia="zh-CN"/>
        </w:rPr>
        <w:t>）</w:t>
      </w:r>
    </w:p>
    <w:p>
      <w:pPr>
        <w:snapToGrid w:val="0"/>
        <w:spacing w:line="360" w:lineRule="auto"/>
        <w:ind w:firstLine="422" w:firstLineChars="200"/>
        <w:rPr>
          <w:rFonts w:hint="eastAsia" w:ascii="宋体" w:hAnsi="宋体"/>
          <w:b/>
          <w:bCs/>
          <w:color w:val="000000"/>
          <w:szCs w:val="21"/>
        </w:rPr>
      </w:pPr>
      <w:r>
        <w:rPr>
          <w:rFonts w:hint="eastAsia"/>
          <w:b/>
          <w:bCs/>
          <w:color w:val="000000"/>
          <w:szCs w:val="21"/>
          <w:lang w:eastAsia="zh-CN"/>
        </w:rPr>
        <w:sym w:font="Wingdings 2" w:char="00A3"/>
      </w:r>
      <w:r>
        <w:rPr>
          <w:rFonts w:hint="eastAsia"/>
          <w:b/>
          <w:bCs/>
          <w:color w:val="000000"/>
          <w:szCs w:val="21"/>
          <w:lang w:val="en-US" w:eastAsia="zh-CN"/>
        </w:rPr>
        <w:t xml:space="preserve"> </w:t>
      </w:r>
      <w:r>
        <w:rPr>
          <w:rFonts w:hint="eastAsia" w:ascii="宋体" w:hAnsi="宋体"/>
          <w:b/>
          <w:bCs/>
          <w:color w:val="000000"/>
          <w:szCs w:val="21"/>
        </w:rPr>
        <w:t>签订合同后，</w:t>
      </w:r>
      <w:r>
        <w:rPr>
          <w:rFonts w:hint="eastAsia" w:ascii="宋体" w:hAnsi="宋体"/>
          <w:b/>
          <w:bCs/>
          <w:color w:val="000000"/>
          <w:szCs w:val="21"/>
          <w:lang w:eastAsia="zh-CN"/>
        </w:rPr>
        <w:t>乙方向甲方提供</w:t>
      </w:r>
      <w:r>
        <w:rPr>
          <w:rFonts w:hint="eastAsia" w:ascii="宋体" w:hAnsi="宋体"/>
          <w:b/>
          <w:bCs/>
          <w:color w:val="000000"/>
          <w:szCs w:val="21"/>
        </w:rPr>
        <w:t>银行、保险公司等金融机构出具的预付款保函或其他担保措施，</w:t>
      </w:r>
      <w:r>
        <w:rPr>
          <w:rFonts w:hint="eastAsia" w:ascii="宋体" w:hAnsi="宋体"/>
          <w:b/>
          <w:bCs/>
          <w:color w:val="000000"/>
          <w:szCs w:val="21"/>
          <w:lang w:eastAsia="zh-CN"/>
        </w:rPr>
        <w:t>甲方向乙方</w:t>
      </w:r>
      <w:r>
        <w:rPr>
          <w:rFonts w:hint="eastAsia" w:ascii="宋体" w:hAnsi="宋体"/>
          <w:b/>
          <w:bCs/>
          <w:color w:val="000000"/>
          <w:szCs w:val="21"/>
        </w:rPr>
        <w:t>支付合同总价的40%作为预付款；项目验收合格后30日内，支付合同总价的</w:t>
      </w:r>
      <w:r>
        <w:rPr>
          <w:rFonts w:hint="eastAsia" w:ascii="宋体" w:hAnsi="宋体"/>
          <w:b/>
          <w:bCs/>
          <w:color w:val="000000"/>
          <w:szCs w:val="21"/>
          <w:lang w:val="en-US" w:eastAsia="zh-CN"/>
        </w:rPr>
        <w:t>60</w:t>
      </w:r>
      <w:r>
        <w:rPr>
          <w:rFonts w:hint="eastAsia" w:ascii="宋体" w:hAnsi="宋体"/>
          <w:b/>
          <w:bCs/>
          <w:color w:val="000000"/>
          <w:szCs w:val="21"/>
        </w:rPr>
        <w:t>%。</w:t>
      </w:r>
    </w:p>
    <w:p>
      <w:pPr>
        <w:snapToGrid w:val="0"/>
        <w:spacing w:line="360" w:lineRule="auto"/>
        <w:ind w:firstLine="422" w:firstLineChars="200"/>
        <w:rPr>
          <w:rFonts w:hint="eastAsia" w:ascii="宋体" w:hAnsi="宋体"/>
          <w:b/>
          <w:bCs/>
          <w:color w:val="000000"/>
          <w:szCs w:val="21"/>
        </w:rPr>
      </w:pPr>
      <w:r>
        <w:rPr>
          <w:rFonts w:hint="eastAsia"/>
          <w:b/>
          <w:bCs/>
          <w:color w:val="000000"/>
          <w:szCs w:val="21"/>
          <w:lang w:eastAsia="zh-CN"/>
        </w:rPr>
        <w:sym w:font="Wingdings 2" w:char="00A3"/>
      </w:r>
      <w:r>
        <w:rPr>
          <w:rFonts w:hint="eastAsia"/>
          <w:b/>
          <w:bCs/>
          <w:color w:val="000000"/>
          <w:szCs w:val="21"/>
          <w:lang w:val="en-US" w:eastAsia="zh-CN"/>
        </w:rPr>
        <w:t xml:space="preserve"> </w:t>
      </w:r>
      <w:r>
        <w:rPr>
          <w:rFonts w:hint="eastAsia" w:ascii="宋体" w:hAnsi="宋体"/>
          <w:b/>
          <w:bCs/>
          <w:color w:val="000000"/>
          <w:szCs w:val="21"/>
        </w:rPr>
        <w:t>签订合同后，</w:t>
      </w:r>
      <w:r>
        <w:rPr>
          <w:rFonts w:hint="eastAsia" w:ascii="宋体" w:hAnsi="宋体"/>
          <w:b/>
          <w:bCs/>
          <w:color w:val="000000"/>
          <w:szCs w:val="21"/>
          <w:lang w:eastAsia="zh-CN"/>
        </w:rPr>
        <w:t>乙方无法提供</w:t>
      </w:r>
      <w:r>
        <w:rPr>
          <w:rFonts w:hint="eastAsia" w:ascii="宋体" w:hAnsi="宋体"/>
          <w:b/>
          <w:bCs/>
          <w:color w:val="000000"/>
          <w:szCs w:val="21"/>
        </w:rPr>
        <w:t>预付款保函或其他担保措施，</w:t>
      </w:r>
      <w:r>
        <w:rPr>
          <w:rFonts w:hint="eastAsia" w:ascii="宋体" w:hAnsi="宋体"/>
          <w:b/>
          <w:bCs/>
          <w:color w:val="000000"/>
          <w:szCs w:val="21"/>
          <w:lang w:eastAsia="zh-CN"/>
        </w:rPr>
        <w:t>待</w:t>
      </w:r>
      <w:r>
        <w:rPr>
          <w:rFonts w:hint="eastAsia" w:ascii="宋体" w:hAnsi="宋体"/>
          <w:b/>
          <w:bCs/>
          <w:color w:val="000000"/>
          <w:szCs w:val="21"/>
        </w:rPr>
        <w:t>设备到达指定地点、安装调试完成并验收合格后30日内，支付合同总价的</w:t>
      </w:r>
      <w:r>
        <w:rPr>
          <w:rFonts w:hint="eastAsia" w:ascii="宋体" w:hAnsi="宋体"/>
          <w:b/>
          <w:bCs/>
          <w:color w:val="000000"/>
          <w:szCs w:val="21"/>
          <w:lang w:val="en-US" w:eastAsia="zh-CN"/>
        </w:rPr>
        <w:t>100</w:t>
      </w:r>
      <w:r>
        <w:rPr>
          <w:rFonts w:hint="eastAsia" w:ascii="宋体" w:hAnsi="宋体"/>
          <w:b/>
          <w:bCs/>
          <w:color w:val="000000"/>
          <w:szCs w:val="21"/>
        </w:rPr>
        <w:t>%。</w:t>
      </w:r>
    </w:p>
    <w:p>
      <w:pPr>
        <w:snapToGrid w:val="0"/>
        <w:spacing w:line="360" w:lineRule="auto"/>
        <w:ind w:firstLine="420" w:firstLineChars="200"/>
        <w:rPr>
          <w:szCs w:val="21"/>
        </w:rPr>
      </w:pPr>
      <w:r>
        <w:rPr>
          <w:szCs w:val="21"/>
        </w:rPr>
        <w:t xml:space="preserve">7.2.2甲方向乙方付款时，乙方须向甲方出具合同总价款的增值税专用发票。 </w:t>
      </w:r>
    </w:p>
    <w:p>
      <w:pPr>
        <w:snapToGrid w:val="0"/>
        <w:spacing w:line="360" w:lineRule="auto"/>
        <w:ind w:firstLine="422" w:firstLineChars="200"/>
        <w:rPr>
          <w:b/>
          <w:szCs w:val="21"/>
        </w:rPr>
      </w:pPr>
      <w:r>
        <w:rPr>
          <w:b/>
          <w:szCs w:val="21"/>
        </w:rPr>
        <w:t>8.安全生产和文明施工</w:t>
      </w:r>
    </w:p>
    <w:p>
      <w:pPr>
        <w:snapToGrid w:val="0"/>
        <w:spacing w:line="360" w:lineRule="auto"/>
        <w:ind w:firstLine="420" w:firstLineChars="200"/>
        <w:rPr>
          <w:szCs w:val="21"/>
        </w:rPr>
      </w:pPr>
      <w:r>
        <w:rPr>
          <w:szCs w:val="21"/>
        </w:rPr>
        <w:t>8.1 现场安全文明施工由乙方编制专项详细方案并严格执行。</w:t>
      </w:r>
    </w:p>
    <w:p>
      <w:pPr>
        <w:snapToGrid w:val="0"/>
        <w:spacing w:line="360" w:lineRule="auto"/>
        <w:ind w:firstLine="420" w:firstLineChars="200"/>
        <w:rPr>
          <w:szCs w:val="21"/>
        </w:rPr>
      </w:pPr>
      <w:r>
        <w:rPr>
          <w:szCs w:val="21"/>
        </w:rPr>
        <w:t>8.2 乙方必须认真执行省市有关施工安全生产条例和规定以及甲方管理要求，并做好安全管理工作，避免并杜绝安全事故的发生。如发生安全事故，一切责任与后果均由乙方承担，同时，给甲方造成损失，甲方将视情况对乙方处以相应的经济赔偿。</w:t>
      </w:r>
    </w:p>
    <w:p>
      <w:pPr>
        <w:snapToGrid w:val="0"/>
        <w:spacing w:line="360" w:lineRule="auto"/>
        <w:ind w:firstLine="420" w:firstLineChars="200"/>
        <w:rPr>
          <w:szCs w:val="21"/>
        </w:rPr>
      </w:pPr>
      <w:r>
        <w:rPr>
          <w:szCs w:val="21"/>
        </w:rPr>
        <w:t>8.3 在设备安装施工全过程中，乙方应服从甲方的各项管理，并对乙方施工人员进行安全管理。</w:t>
      </w:r>
    </w:p>
    <w:p>
      <w:pPr>
        <w:snapToGrid w:val="0"/>
        <w:spacing w:line="360" w:lineRule="auto"/>
        <w:ind w:firstLine="420" w:firstLineChars="200"/>
        <w:rPr>
          <w:szCs w:val="21"/>
        </w:rPr>
      </w:pPr>
      <w:r>
        <w:rPr>
          <w:szCs w:val="21"/>
        </w:rPr>
        <w:t>8.4 确保现场建筑物及相关设施设备完好无损，如施工过程中出现损坏，乙方负责修复赔偿。</w:t>
      </w:r>
    </w:p>
    <w:p>
      <w:pPr>
        <w:snapToGrid w:val="0"/>
        <w:spacing w:line="360" w:lineRule="auto"/>
        <w:ind w:firstLine="420" w:firstLineChars="200"/>
        <w:rPr>
          <w:szCs w:val="21"/>
        </w:rPr>
      </w:pPr>
      <w:r>
        <w:rPr>
          <w:szCs w:val="21"/>
        </w:rPr>
        <w:t>8.5 乙方应对安装施工人员相关岗位上岗资格进行审查，并对相关后果负责。</w:t>
      </w:r>
    </w:p>
    <w:p>
      <w:pPr>
        <w:snapToGrid w:val="0"/>
        <w:spacing w:line="360" w:lineRule="auto"/>
        <w:ind w:firstLine="422" w:firstLineChars="200"/>
        <w:rPr>
          <w:b/>
          <w:szCs w:val="21"/>
        </w:rPr>
      </w:pPr>
      <w:r>
        <w:rPr>
          <w:b/>
          <w:szCs w:val="21"/>
        </w:rPr>
        <w:t>9.索赔</w:t>
      </w:r>
    </w:p>
    <w:p>
      <w:pPr>
        <w:snapToGrid w:val="0"/>
        <w:spacing w:line="360" w:lineRule="auto"/>
        <w:ind w:firstLine="420" w:firstLineChars="200"/>
        <w:rPr>
          <w:szCs w:val="21"/>
        </w:rPr>
      </w:pPr>
      <w:r>
        <w:rPr>
          <w:szCs w:val="21"/>
        </w:rPr>
        <w:t>9.1产品的质量、规格、型号、数量、性能、产地及零配件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pPr>
        <w:snapToGrid w:val="0"/>
        <w:spacing w:line="360" w:lineRule="auto"/>
        <w:ind w:firstLine="420" w:firstLineChars="200"/>
        <w:rPr>
          <w:szCs w:val="21"/>
        </w:rPr>
      </w:pPr>
      <w:bookmarkStart w:id="81" w:name="_Ref467378076"/>
      <w:r>
        <w:rPr>
          <w:szCs w:val="21"/>
        </w:rPr>
        <w:t>9.2在验收合格前，乙方对甲方提出的索赔负有责任，乙方应按照甲方同意的下列一种或多种方式解决索赔事宜：</w:t>
      </w:r>
      <w:bookmarkEnd w:id="81"/>
    </w:p>
    <w:p>
      <w:pPr>
        <w:snapToGrid w:val="0"/>
        <w:spacing w:line="360" w:lineRule="auto"/>
        <w:ind w:firstLine="420" w:firstLineChars="200"/>
        <w:rPr>
          <w:szCs w:val="21"/>
        </w:rPr>
      </w:pPr>
      <w:r>
        <w:rPr>
          <w:szCs w:val="21"/>
        </w:rPr>
        <w:t>9.2.1在法定的退货期内，乙方应按合同规定将货款全额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snapToGrid w:val="0"/>
        <w:spacing w:line="360" w:lineRule="auto"/>
        <w:ind w:firstLine="420" w:firstLineChars="200"/>
        <w:rPr>
          <w:szCs w:val="21"/>
        </w:rPr>
      </w:pPr>
      <w:r>
        <w:rPr>
          <w:szCs w:val="21"/>
        </w:rPr>
        <w:t>9.2.2根据货物低劣程度、损坏程度以及甲方所遭受损失的数额，经甲乙双方商定降低货物的价格，或由有资质的中介机构评估，以降低后的价格或评估价格为准。</w:t>
      </w:r>
    </w:p>
    <w:p>
      <w:pPr>
        <w:snapToGrid w:val="0"/>
        <w:spacing w:line="360" w:lineRule="auto"/>
        <w:ind w:firstLine="420" w:firstLineChars="200"/>
        <w:rPr>
          <w:szCs w:val="21"/>
        </w:rPr>
      </w:pPr>
      <w:r>
        <w:rPr>
          <w:szCs w:val="21"/>
        </w:rPr>
        <w:t>9.2.3用符合规格、质量和性能要求的原厂原装新零件、部件或货物来更换有缺陷的部分或修补缺陷部分，乙方应承担一切费用和风险，并负担甲方所发生的一切直接费用。同时，乙方应相应延长、修补或更换件的质保期。</w:t>
      </w:r>
    </w:p>
    <w:p>
      <w:pPr>
        <w:snapToGrid w:val="0"/>
        <w:spacing w:line="360" w:lineRule="auto"/>
        <w:ind w:firstLine="420" w:firstLineChars="200"/>
        <w:rPr>
          <w:szCs w:val="21"/>
        </w:rPr>
      </w:pPr>
      <w:bookmarkStart w:id="82" w:name="_Ref127159050"/>
      <w:r>
        <w:rPr>
          <w:szCs w:val="21"/>
        </w:rPr>
        <w:t>9.3乙方收到甲方发出的索赔通知之日起5个工作日内未作答复的，甲方可从合同款或履约保证金中扣回索赔金额，如金额不足以补偿索赔金额，乙方应补足差额部分。</w:t>
      </w:r>
      <w:bookmarkEnd w:id="82"/>
    </w:p>
    <w:p>
      <w:pPr>
        <w:snapToGrid w:val="0"/>
        <w:spacing w:line="360" w:lineRule="auto"/>
        <w:ind w:firstLine="422" w:firstLineChars="200"/>
        <w:rPr>
          <w:b/>
          <w:szCs w:val="21"/>
        </w:rPr>
      </w:pPr>
      <w:r>
        <w:rPr>
          <w:b/>
          <w:szCs w:val="21"/>
        </w:rPr>
        <w:t>10.违约责任</w:t>
      </w:r>
    </w:p>
    <w:p>
      <w:pPr>
        <w:snapToGrid w:val="0"/>
        <w:spacing w:line="360" w:lineRule="auto"/>
        <w:ind w:firstLine="420" w:firstLineChars="200"/>
        <w:rPr>
          <w:szCs w:val="21"/>
        </w:rPr>
      </w:pPr>
      <w:r>
        <w:rPr>
          <w:szCs w:val="21"/>
        </w:rPr>
        <w:t>10.1 合同生效后，甲乙双方应按合同规定认真履约。合同履约责任只涉及合同甲乙双方，不考虑第三方因素。</w:t>
      </w:r>
    </w:p>
    <w:p>
      <w:pPr>
        <w:snapToGrid w:val="0"/>
        <w:spacing w:line="360" w:lineRule="auto"/>
        <w:ind w:firstLine="420" w:firstLineChars="200"/>
        <w:rPr>
          <w:szCs w:val="21"/>
        </w:rPr>
      </w:pPr>
      <w:r>
        <w:rPr>
          <w:szCs w:val="21"/>
        </w:rPr>
        <w:t>10.2 除不可抗力原因外，如遇下列情况之一者，乙方所缴纳的合同履约金、产品质量保证金甲方有权不予退还，作为对甲方的赔偿，且甲方有权解除本合同：（1）合同签订后不能按合同时限要求供货或安装调试；（2）所供设备不合格、与合同不符；（3）不能按合同履约；（4）因产品质量原因，不能通过验收。</w:t>
      </w:r>
    </w:p>
    <w:p>
      <w:pPr>
        <w:snapToGrid w:val="0"/>
        <w:spacing w:line="360" w:lineRule="auto"/>
        <w:ind w:firstLine="420" w:firstLineChars="200"/>
        <w:rPr>
          <w:szCs w:val="21"/>
        </w:rPr>
      </w:pPr>
      <w:r>
        <w:rPr>
          <w:szCs w:val="21"/>
        </w:rPr>
        <w:t>10.3如乙方产品质量不符合国家标准、行业内控标准或本合同技术附件要求的，甲方有权退货，乙方应退还全部货款，并承担甲方合同总价款10％的违约金及其他损失。</w:t>
      </w:r>
    </w:p>
    <w:p>
      <w:pPr>
        <w:snapToGrid w:val="0"/>
        <w:spacing w:line="360" w:lineRule="auto"/>
        <w:ind w:firstLine="420" w:firstLineChars="200"/>
        <w:rPr>
          <w:szCs w:val="21"/>
        </w:rPr>
      </w:pPr>
      <w:r>
        <w:rPr>
          <w:szCs w:val="21"/>
        </w:rPr>
        <w:t>10.4 在合同规定的供货期内乙方未全部交货，除应如数补齐外，还应承担合同总款的10％违约金。</w:t>
      </w:r>
    </w:p>
    <w:p>
      <w:pPr>
        <w:snapToGrid w:val="0"/>
        <w:spacing w:line="360" w:lineRule="auto"/>
        <w:ind w:firstLine="420" w:firstLineChars="200"/>
        <w:rPr>
          <w:szCs w:val="21"/>
        </w:rPr>
      </w:pPr>
      <w:r>
        <w:rPr>
          <w:szCs w:val="21"/>
        </w:rPr>
        <w:t>10.5 乙方对货物不按招标文件要求，擅自更换，除恢复原招标产品外，应承担更换部分价款10%的违约金；乙方如对产品材质、随机配品以次充好，除全部按要求恢复外，应承担此部分价款10%的违约金。</w:t>
      </w:r>
    </w:p>
    <w:p>
      <w:pPr>
        <w:snapToGrid w:val="0"/>
        <w:spacing w:line="360" w:lineRule="auto"/>
        <w:ind w:firstLine="420" w:firstLineChars="200"/>
        <w:rPr>
          <w:szCs w:val="21"/>
        </w:rPr>
      </w:pPr>
      <w:r>
        <w:rPr>
          <w:szCs w:val="21"/>
        </w:rPr>
        <w:t>10.6 除不可抗力因素外，乙方对所供产品出现的问题推诿、拖延，24小时未作出服务响应且乙方没有按照合同规定的时间交货和提供服务，甲方可要求乙方支付违约金。违约金每日按合同总价款的5‰计收。否则，甲方有权拒绝乙方以后参加学校竞标。</w:t>
      </w:r>
    </w:p>
    <w:p>
      <w:pPr>
        <w:snapToGrid w:val="0"/>
        <w:spacing w:line="360" w:lineRule="auto"/>
        <w:ind w:firstLine="420" w:firstLineChars="200"/>
        <w:rPr>
          <w:szCs w:val="21"/>
        </w:rPr>
      </w:pPr>
      <w:r>
        <w:rPr>
          <w:szCs w:val="21"/>
        </w:rPr>
        <w:t>10.7 合同履约过程中，甲方应积极配合乙方进行设备验收以及验收前的外围配套等工作。否则，因此导致设备不能按期验收时，不能追究乙方责任；正常情况下应在设备验收合格后15天内按规定向乙方付款，最长时间不能超过30天。否则，每超过一周应向乙方支付合同应付款5‰的滞纳金。</w:t>
      </w:r>
    </w:p>
    <w:p>
      <w:pPr>
        <w:snapToGrid w:val="0"/>
        <w:spacing w:line="360" w:lineRule="auto"/>
        <w:ind w:firstLine="422" w:firstLineChars="200"/>
        <w:rPr>
          <w:b/>
          <w:szCs w:val="21"/>
        </w:rPr>
      </w:pPr>
      <w:r>
        <w:rPr>
          <w:b/>
          <w:szCs w:val="21"/>
        </w:rPr>
        <w:t>11.合同争议的解决</w:t>
      </w:r>
    </w:p>
    <w:p>
      <w:pPr>
        <w:snapToGrid w:val="0"/>
        <w:spacing w:line="360" w:lineRule="auto"/>
        <w:ind w:firstLine="420" w:firstLineChars="200"/>
        <w:rPr>
          <w:szCs w:val="21"/>
        </w:rPr>
      </w:pPr>
      <w:r>
        <w:rPr>
          <w:szCs w:val="21"/>
        </w:rPr>
        <w:t>11.1甲乙双方由于本合同的履行而发生任何争议时，双方可先通过协商解决。</w:t>
      </w:r>
    </w:p>
    <w:p>
      <w:pPr>
        <w:snapToGrid w:val="0"/>
        <w:spacing w:line="360" w:lineRule="auto"/>
        <w:ind w:firstLine="420" w:firstLineChars="200"/>
        <w:rPr>
          <w:szCs w:val="21"/>
        </w:rPr>
      </w:pPr>
      <w:r>
        <w:rPr>
          <w:szCs w:val="21"/>
        </w:rPr>
        <w:t>11.2任何一方不愿通过协商或通过协商仍不能解决争议，则双方中任何一方均应向甲方所在地人民法院起诉。</w:t>
      </w:r>
    </w:p>
    <w:p>
      <w:pPr>
        <w:snapToGrid w:val="0"/>
        <w:spacing w:line="360" w:lineRule="auto"/>
        <w:ind w:firstLine="422" w:firstLineChars="200"/>
        <w:rPr>
          <w:b/>
          <w:szCs w:val="21"/>
        </w:rPr>
      </w:pPr>
      <w:r>
        <w:rPr>
          <w:b/>
          <w:szCs w:val="21"/>
        </w:rPr>
        <w:t>12.违约解除合同</w:t>
      </w:r>
    </w:p>
    <w:p>
      <w:pPr>
        <w:spacing w:line="360" w:lineRule="auto"/>
        <w:ind w:firstLine="420" w:firstLineChars="200"/>
        <w:rPr>
          <w:szCs w:val="21"/>
        </w:rPr>
      </w:pPr>
      <w:r>
        <w:rPr>
          <w:szCs w:val="21"/>
        </w:rPr>
        <w:t>12.1出现下列情形之一的，视为乙方违约。甲方可向乙方发出书面通知，部分或全部终止合同，同时保留向乙方索赔的权利。</w:t>
      </w:r>
    </w:p>
    <w:p>
      <w:pPr>
        <w:spacing w:line="360" w:lineRule="auto"/>
        <w:ind w:firstLine="420" w:firstLineChars="200"/>
        <w:rPr>
          <w:szCs w:val="21"/>
        </w:rPr>
      </w:pPr>
      <w:r>
        <w:rPr>
          <w:szCs w:val="21"/>
        </w:rPr>
        <w:t xml:space="preserve">12.1.1乙方未能在合同规定的限期或甲方同意延长的限期内，提供全部或部分货物的； </w:t>
      </w:r>
    </w:p>
    <w:p>
      <w:pPr>
        <w:spacing w:line="360" w:lineRule="auto"/>
        <w:ind w:firstLine="420" w:firstLineChars="200"/>
        <w:rPr>
          <w:szCs w:val="21"/>
        </w:rPr>
      </w:pPr>
      <w:r>
        <w:rPr>
          <w:szCs w:val="21"/>
        </w:rPr>
        <w:t>12.1.2乙方未能履行合同规定的其它主要义务的；</w:t>
      </w:r>
    </w:p>
    <w:p>
      <w:pPr>
        <w:spacing w:line="360" w:lineRule="auto"/>
        <w:ind w:firstLine="420" w:firstLineChars="200"/>
        <w:rPr>
          <w:szCs w:val="21"/>
        </w:rPr>
      </w:pPr>
      <w:r>
        <w:rPr>
          <w:szCs w:val="21"/>
        </w:rPr>
        <w:t>12.1.3乙方在本合同履行过程中有欺诈行为的。</w:t>
      </w:r>
    </w:p>
    <w:p>
      <w:pPr>
        <w:spacing w:line="360" w:lineRule="auto"/>
        <w:ind w:firstLine="420" w:firstLineChars="200"/>
        <w:rPr>
          <w:szCs w:val="21"/>
        </w:rPr>
      </w:pPr>
      <w:r>
        <w:rPr>
          <w:szCs w:val="21"/>
        </w:rPr>
        <w:t>12.2甲方全部或部分解除合同之后，应当遵循诚实信用原则购买与未交付的货物类似的货物或服务，乙方应承担甲方购买类似货物或服务而产生的额外支出。部分解除合同的，乙方应继续履行合同中未解除的部分。</w:t>
      </w:r>
    </w:p>
    <w:p>
      <w:pPr>
        <w:snapToGrid w:val="0"/>
        <w:spacing w:line="360" w:lineRule="auto"/>
        <w:ind w:firstLine="422" w:firstLineChars="200"/>
        <w:rPr>
          <w:b/>
          <w:szCs w:val="21"/>
        </w:rPr>
      </w:pPr>
      <w:r>
        <w:rPr>
          <w:b/>
          <w:szCs w:val="21"/>
        </w:rPr>
        <w:t>13.其它事项</w:t>
      </w:r>
    </w:p>
    <w:p>
      <w:pPr>
        <w:snapToGrid w:val="0"/>
        <w:spacing w:line="360" w:lineRule="auto"/>
        <w:ind w:firstLine="420" w:firstLineChars="200"/>
        <w:rPr>
          <w:szCs w:val="21"/>
        </w:rPr>
      </w:pPr>
      <w:r>
        <w:rPr>
          <w:szCs w:val="21"/>
        </w:rPr>
        <w:t>13.1 合同经双方签字盖章后生效。本合同一式五份，甲方执四份，乙方执一份，执行完毕后自行失效。</w:t>
      </w:r>
    </w:p>
    <w:p>
      <w:pPr>
        <w:spacing w:line="360" w:lineRule="auto"/>
        <w:ind w:firstLine="411" w:firstLineChars="196"/>
        <w:rPr>
          <w:szCs w:val="21"/>
        </w:rPr>
      </w:pPr>
      <w:r>
        <w:rPr>
          <w:szCs w:val="21"/>
        </w:rPr>
        <w:t>13.2 合同的附件、投标文件均作为本合同不可分割的内容，且具有同等法律效力。合同的附件由甲方使用单位负责审核并签章。</w:t>
      </w:r>
    </w:p>
    <w:p>
      <w:pPr>
        <w:snapToGrid w:val="0"/>
        <w:spacing w:line="360" w:lineRule="auto"/>
        <w:ind w:firstLine="420" w:firstLineChars="200"/>
        <w:rPr>
          <w:szCs w:val="21"/>
        </w:rPr>
      </w:pPr>
      <w:r>
        <w:rPr>
          <w:szCs w:val="21"/>
        </w:rPr>
        <w:t>13.3 在本合同执行过程中，甲、乙双方协商签订的补充合同与原合同具有同等法律效力。</w:t>
      </w:r>
    </w:p>
    <w:p>
      <w:pPr>
        <w:snapToGrid w:val="0"/>
        <w:spacing w:line="360" w:lineRule="auto"/>
        <w:ind w:firstLine="420" w:firstLineChars="200"/>
        <w:rPr>
          <w:szCs w:val="21"/>
        </w:rPr>
      </w:pPr>
      <w:r>
        <w:rPr>
          <w:szCs w:val="21"/>
        </w:rPr>
        <w:t>13.4 未尽事宜，双方协商解决。</w:t>
      </w:r>
    </w:p>
    <w:p>
      <w:pPr>
        <w:snapToGrid w:val="0"/>
        <w:spacing w:line="440" w:lineRule="exact"/>
        <w:ind w:firstLine="420" w:firstLineChars="200"/>
        <w:rPr>
          <w:szCs w:val="21"/>
        </w:rPr>
      </w:pPr>
    </w:p>
    <w:p>
      <w:pPr>
        <w:snapToGrid w:val="0"/>
        <w:spacing w:line="480" w:lineRule="exact"/>
        <w:rPr>
          <w:b/>
          <w:szCs w:val="21"/>
        </w:rPr>
      </w:pPr>
      <w:r>
        <w:rPr>
          <w:b/>
          <w:szCs w:val="21"/>
        </w:rPr>
        <w:t>合同签订地点：西安建筑科技大学</w:t>
      </w:r>
    </w:p>
    <w:p>
      <w:pPr>
        <w:snapToGrid w:val="0"/>
        <w:spacing w:line="480" w:lineRule="exact"/>
        <w:rPr>
          <w:b/>
          <w:szCs w:val="21"/>
        </w:rPr>
      </w:pPr>
      <w:r>
        <w:rPr>
          <w:b/>
          <w:szCs w:val="21"/>
        </w:rPr>
        <w:t>合同签订时间：      年    月    日</w:t>
      </w:r>
    </w:p>
    <w:p>
      <w:pPr>
        <w:snapToGrid w:val="0"/>
        <w:spacing w:line="480" w:lineRule="exact"/>
        <w:rPr>
          <w:b/>
          <w:szCs w:val="21"/>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7"/>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rPr>
                <w:b/>
                <w:color w:val="000000"/>
                <w:szCs w:val="21"/>
              </w:rPr>
            </w:pPr>
            <w:r>
              <w:rPr>
                <w:b/>
                <w:color w:val="000000"/>
                <w:szCs w:val="21"/>
              </w:rPr>
              <w:t>甲  方（盖章）：西安建筑科技大学</w:t>
            </w:r>
          </w:p>
        </w:tc>
        <w:tc>
          <w:tcPr>
            <w:tcW w:w="4503" w:type="dxa"/>
            <w:noWrap w:val="0"/>
            <w:vAlign w:val="center"/>
          </w:tcPr>
          <w:p>
            <w:pPr>
              <w:rPr>
                <w:color w:val="000000"/>
                <w:szCs w:val="21"/>
              </w:rPr>
            </w:pPr>
            <w:r>
              <w:rPr>
                <w:b/>
                <w:color w:val="000000"/>
                <w:szCs w:val="21"/>
              </w:rPr>
              <w:t>乙  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rPr>
                <w:color w:val="000000"/>
                <w:szCs w:val="21"/>
              </w:rPr>
            </w:pPr>
            <w:r>
              <w:rPr>
                <w:b/>
                <w:color w:val="000000"/>
                <w:szCs w:val="21"/>
              </w:rPr>
              <w:t>地  址：西安市雁塔路13号</w:t>
            </w:r>
          </w:p>
        </w:tc>
        <w:tc>
          <w:tcPr>
            <w:tcW w:w="4503" w:type="dxa"/>
            <w:noWrap w:val="0"/>
            <w:vAlign w:val="center"/>
          </w:tcPr>
          <w:p>
            <w:pPr>
              <w:rPr>
                <w:color w:val="000000"/>
                <w:szCs w:val="21"/>
              </w:rPr>
            </w:pPr>
            <w:r>
              <w:rPr>
                <w:b/>
                <w:color w:val="000000"/>
                <w:szCs w:val="21"/>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rPr>
                <w:color w:val="000000"/>
                <w:szCs w:val="21"/>
              </w:rPr>
            </w:pPr>
            <w:r>
              <w:rPr>
                <w:b/>
                <w:color w:val="000000"/>
                <w:szCs w:val="21"/>
              </w:rPr>
              <w:t>法定代表人（签字）：</w:t>
            </w:r>
          </w:p>
        </w:tc>
        <w:tc>
          <w:tcPr>
            <w:tcW w:w="4503" w:type="dxa"/>
            <w:noWrap w:val="0"/>
            <w:vAlign w:val="center"/>
          </w:tcPr>
          <w:p>
            <w:pPr>
              <w:rPr>
                <w:color w:val="000000"/>
                <w:szCs w:val="21"/>
              </w:rPr>
            </w:pPr>
            <w:r>
              <w:rPr>
                <w:b/>
                <w:color w:val="000000"/>
                <w:szCs w:val="21"/>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rPr>
                <w:color w:val="000000"/>
                <w:szCs w:val="21"/>
              </w:rPr>
            </w:pPr>
            <w:r>
              <w:rPr>
                <w:b/>
                <w:color w:val="000000"/>
                <w:szCs w:val="21"/>
              </w:rPr>
              <w:t>委托代理人（签字）：</w:t>
            </w:r>
          </w:p>
        </w:tc>
        <w:tc>
          <w:tcPr>
            <w:tcW w:w="4503" w:type="dxa"/>
            <w:noWrap w:val="0"/>
            <w:vAlign w:val="center"/>
          </w:tcPr>
          <w:p>
            <w:pPr>
              <w:rPr>
                <w:color w:val="000000"/>
                <w:szCs w:val="21"/>
              </w:rPr>
            </w:pPr>
            <w:r>
              <w:rPr>
                <w:b/>
                <w:color w:val="000000"/>
                <w:szCs w:val="21"/>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rPr>
                <w:color w:val="000000"/>
                <w:szCs w:val="21"/>
              </w:rPr>
            </w:pPr>
            <w:r>
              <w:rPr>
                <w:b/>
                <w:color w:val="000000"/>
                <w:szCs w:val="21"/>
              </w:rPr>
              <w:t>开户名：西安建筑科技大学</w:t>
            </w:r>
          </w:p>
        </w:tc>
        <w:tc>
          <w:tcPr>
            <w:tcW w:w="4503" w:type="dxa"/>
            <w:noWrap w:val="0"/>
            <w:vAlign w:val="center"/>
          </w:tcPr>
          <w:p>
            <w:pPr>
              <w:rPr>
                <w:color w:val="000000"/>
                <w:szCs w:val="21"/>
              </w:rPr>
            </w:pPr>
            <w:r>
              <w:rPr>
                <w:b/>
                <w:color w:val="000000"/>
                <w:szCs w:val="21"/>
              </w:rPr>
              <w:t>开户名：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rPr>
                <w:b/>
                <w:color w:val="000000"/>
                <w:szCs w:val="21"/>
              </w:rPr>
            </w:pPr>
            <w:r>
              <w:rPr>
                <w:b/>
                <w:color w:val="000000"/>
                <w:szCs w:val="21"/>
              </w:rPr>
              <w:t>开户行：工行雁塔路支行</w:t>
            </w:r>
          </w:p>
          <w:p>
            <w:pPr>
              <w:rPr>
                <w:color w:val="000000"/>
                <w:szCs w:val="21"/>
              </w:rPr>
            </w:pPr>
            <w:r>
              <w:rPr>
                <w:b/>
                <w:color w:val="000000"/>
                <w:szCs w:val="21"/>
              </w:rPr>
              <w:t>税  号: 1261000043523106XB</w:t>
            </w:r>
          </w:p>
        </w:tc>
        <w:tc>
          <w:tcPr>
            <w:tcW w:w="4503" w:type="dxa"/>
            <w:noWrap w:val="0"/>
            <w:vAlign w:val="center"/>
          </w:tcPr>
          <w:p>
            <w:pPr>
              <w:rPr>
                <w:color w:val="000000"/>
                <w:szCs w:val="21"/>
              </w:rPr>
            </w:pPr>
            <w:r>
              <w:rPr>
                <w:b/>
                <w:color w:val="000000"/>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rPr>
                <w:color w:val="000000"/>
                <w:szCs w:val="21"/>
              </w:rPr>
            </w:pPr>
            <w:r>
              <w:rPr>
                <w:b/>
                <w:color w:val="000000"/>
                <w:szCs w:val="21"/>
              </w:rPr>
              <w:t>帐  号：3700023009026400639</w:t>
            </w:r>
          </w:p>
        </w:tc>
        <w:tc>
          <w:tcPr>
            <w:tcW w:w="4503" w:type="dxa"/>
            <w:noWrap w:val="0"/>
            <w:vAlign w:val="center"/>
          </w:tcPr>
          <w:p>
            <w:pPr>
              <w:rPr>
                <w:color w:val="000000"/>
                <w:szCs w:val="21"/>
              </w:rPr>
            </w:pPr>
            <w:r>
              <w:rPr>
                <w:b/>
                <w:color w:val="000000"/>
                <w:szCs w:val="21"/>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rPr>
                <w:color w:val="000000"/>
                <w:szCs w:val="21"/>
              </w:rPr>
            </w:pPr>
            <w:r>
              <w:rPr>
                <w:b/>
                <w:color w:val="000000"/>
                <w:szCs w:val="21"/>
              </w:rPr>
              <w:t>联系人：</w:t>
            </w:r>
            <w:r>
              <w:rPr>
                <w:color w:val="000000"/>
                <w:szCs w:val="21"/>
              </w:rPr>
              <w:t xml:space="preserve"> </w:t>
            </w:r>
            <w:r>
              <w:rPr>
                <w:rFonts w:hint="eastAsia"/>
                <w:color w:val="000000"/>
                <w:szCs w:val="21"/>
              </w:rPr>
              <w:t>梁武</w:t>
            </w:r>
          </w:p>
        </w:tc>
        <w:tc>
          <w:tcPr>
            <w:tcW w:w="4503" w:type="dxa"/>
            <w:noWrap w:val="0"/>
            <w:vAlign w:val="center"/>
          </w:tcPr>
          <w:p>
            <w:pPr>
              <w:rPr>
                <w:color w:val="000000"/>
                <w:szCs w:val="21"/>
              </w:rPr>
            </w:pPr>
            <w:r>
              <w:rPr>
                <w:b/>
                <w:color w:val="000000"/>
                <w:szCs w:val="21"/>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rPr>
                <w:color w:val="000000"/>
                <w:szCs w:val="21"/>
              </w:rPr>
            </w:pPr>
            <w:r>
              <w:rPr>
                <w:b/>
                <w:color w:val="000000"/>
                <w:szCs w:val="21"/>
              </w:rPr>
              <w:t>联系电话：029-82202312</w:t>
            </w:r>
          </w:p>
        </w:tc>
        <w:tc>
          <w:tcPr>
            <w:tcW w:w="4503" w:type="dxa"/>
            <w:noWrap w:val="0"/>
            <w:vAlign w:val="center"/>
          </w:tcPr>
          <w:p>
            <w:pPr>
              <w:rPr>
                <w:color w:val="000000"/>
                <w:szCs w:val="21"/>
              </w:rPr>
            </w:pPr>
            <w:r>
              <w:rPr>
                <w:b/>
                <w:color w:val="000000"/>
                <w:szCs w:val="21"/>
              </w:rPr>
              <w:t>联系电话：</w:t>
            </w:r>
          </w:p>
        </w:tc>
      </w:tr>
    </w:tbl>
    <w:p>
      <w:pPr>
        <w:rPr>
          <w:rFonts w:hint="eastAsia"/>
          <w:b/>
          <w:color w:val="FF0000"/>
          <w:sz w:val="32"/>
          <w:szCs w:val="32"/>
        </w:rPr>
      </w:pPr>
    </w:p>
    <w:p>
      <w:pPr>
        <w:ind w:firstLine="315" w:firstLineChars="98"/>
        <w:rPr>
          <w:b/>
          <w:sz w:val="32"/>
          <w:szCs w:val="32"/>
        </w:rPr>
      </w:pPr>
      <w:r>
        <w:rPr>
          <w:b/>
          <w:sz w:val="32"/>
          <w:szCs w:val="32"/>
        </w:rPr>
        <w:br w:type="page"/>
      </w:r>
      <w:r>
        <w:rPr>
          <w:b/>
          <w:sz w:val="32"/>
          <w:szCs w:val="32"/>
        </w:rPr>
        <w:t>附件：技术协议</w:t>
      </w:r>
    </w:p>
    <w:p>
      <w:pPr>
        <w:spacing w:line="440" w:lineRule="exact"/>
        <w:rPr>
          <w:b/>
          <w:sz w:val="30"/>
          <w:szCs w:val="30"/>
        </w:rPr>
      </w:pPr>
      <w:bookmarkStart w:id="83" w:name="_Toc390360542"/>
      <w:bookmarkStart w:id="84" w:name="_Toc390373038"/>
      <w:r>
        <w:rPr>
          <w:b/>
          <w:sz w:val="32"/>
          <w:szCs w:val="32"/>
        </w:rPr>
        <w:t>1.</w:t>
      </w:r>
      <w:r>
        <w:rPr>
          <w:b/>
          <w:sz w:val="30"/>
          <w:szCs w:val="30"/>
        </w:rPr>
        <w:t>中标产品技术参数明细</w:t>
      </w:r>
    </w:p>
    <w:p>
      <w:pPr>
        <w:spacing w:line="440" w:lineRule="exact"/>
        <w:rPr>
          <w:b/>
          <w:sz w:val="32"/>
          <w:szCs w:val="32"/>
        </w:rPr>
      </w:pPr>
      <w:r>
        <w:rPr>
          <w:kern w:val="0"/>
          <w:szCs w:val="21"/>
        </w:rPr>
        <w:t>我公司承诺：合同中数列产品均满足标书及使用要求，无任何负偏离。并与所供产品完全一致。</w:t>
      </w:r>
    </w:p>
    <w:bookmarkEnd w:id="83"/>
    <w:bookmarkEnd w:id="84"/>
    <w:p>
      <w:pPr>
        <w:spacing w:line="440" w:lineRule="exact"/>
        <w:rPr>
          <w:rStyle w:val="32"/>
          <w:szCs w:val="21"/>
        </w:rPr>
      </w:pPr>
      <w:r>
        <w:rPr>
          <w:rStyle w:val="32"/>
          <w:szCs w:val="21"/>
        </w:rPr>
        <w:t>1.1设备特性</w:t>
      </w:r>
    </w:p>
    <w:p>
      <w:pPr>
        <w:spacing w:line="440" w:lineRule="exact"/>
        <w:rPr>
          <w:rStyle w:val="32"/>
          <w:szCs w:val="21"/>
        </w:rPr>
      </w:pPr>
      <w:r>
        <w:rPr>
          <w:rStyle w:val="32"/>
          <w:szCs w:val="21"/>
        </w:rPr>
        <w:t>1.2</w:t>
      </w:r>
      <w:r>
        <w:rPr>
          <w:b/>
          <w:szCs w:val="21"/>
        </w:rPr>
        <w:t>设备用途</w:t>
      </w:r>
    </w:p>
    <w:p>
      <w:pPr>
        <w:spacing w:line="440" w:lineRule="exact"/>
        <w:rPr>
          <w:b/>
          <w:szCs w:val="21"/>
        </w:rPr>
      </w:pPr>
      <w:r>
        <w:rPr>
          <w:b/>
          <w:szCs w:val="21"/>
        </w:rPr>
        <w:t>1.3设备主要参数指标</w:t>
      </w:r>
    </w:p>
    <w:p>
      <w:pPr>
        <w:spacing w:line="440" w:lineRule="exact"/>
        <w:rPr>
          <w:b/>
          <w:szCs w:val="21"/>
        </w:rPr>
      </w:pPr>
      <w:r>
        <w:rPr>
          <w:b/>
          <w:szCs w:val="21"/>
        </w:rPr>
        <w:t>1.4质量要求与安全要求</w:t>
      </w:r>
    </w:p>
    <w:p>
      <w:pPr>
        <w:spacing w:line="440" w:lineRule="exact"/>
        <w:rPr>
          <w:b/>
          <w:szCs w:val="21"/>
        </w:rPr>
      </w:pPr>
      <w:r>
        <w:rPr>
          <w:b/>
          <w:szCs w:val="21"/>
        </w:rPr>
        <w:t>1.5设备运行一般流程图</w:t>
      </w:r>
    </w:p>
    <w:p>
      <w:pPr>
        <w:spacing w:line="440" w:lineRule="exact"/>
        <w:rPr>
          <w:rStyle w:val="32"/>
          <w:bCs w:val="0"/>
          <w:szCs w:val="21"/>
        </w:rPr>
      </w:pPr>
    </w:p>
    <w:p>
      <w:pPr>
        <w:spacing w:line="440" w:lineRule="exact"/>
        <w:rPr>
          <w:b/>
          <w:sz w:val="30"/>
          <w:szCs w:val="30"/>
        </w:rPr>
      </w:pPr>
      <w:r>
        <w:rPr>
          <w:b/>
          <w:sz w:val="30"/>
          <w:szCs w:val="30"/>
        </w:rPr>
        <w:t>2.售后服务内容</w:t>
      </w:r>
      <w:bookmarkStart w:id="85" w:name="_Toc390373053"/>
      <w:bookmarkStart w:id="86" w:name="_Toc390360557"/>
      <w:bookmarkStart w:id="87" w:name="_Toc373263358"/>
    </w:p>
    <w:bookmarkEnd w:id="85"/>
    <w:bookmarkEnd w:id="86"/>
    <w:bookmarkEnd w:id="87"/>
    <w:p>
      <w:pPr>
        <w:spacing w:line="440" w:lineRule="exact"/>
        <w:rPr>
          <w:b/>
          <w:szCs w:val="21"/>
        </w:rPr>
      </w:pPr>
      <w:bookmarkStart w:id="88" w:name="_Toc390360558"/>
      <w:bookmarkStart w:id="89" w:name="_Toc390373054"/>
      <w:bookmarkStart w:id="90" w:name="_Toc373263359"/>
      <w:r>
        <w:rPr>
          <w:b/>
          <w:szCs w:val="21"/>
        </w:rPr>
        <w:t>2.1技术服务、售后服务体系、故障响应时间、应急维修措施</w:t>
      </w:r>
      <w:bookmarkEnd w:id="88"/>
      <w:bookmarkEnd w:id="89"/>
      <w:bookmarkEnd w:id="90"/>
    </w:p>
    <w:p>
      <w:pPr>
        <w:bidi w:val="0"/>
      </w:pPr>
      <w:r>
        <w:t>2.1.1技术服务措施</w:t>
      </w:r>
    </w:p>
    <w:p>
      <w:pPr>
        <w:bidi w:val="0"/>
      </w:pPr>
      <w:r>
        <w:t>2.1.2售后服务体系</w:t>
      </w:r>
    </w:p>
    <w:p>
      <w:pPr>
        <w:bidi w:val="0"/>
      </w:pPr>
      <w:r>
        <w:t>质保期内服务</w:t>
      </w:r>
    </w:p>
    <w:p>
      <w:pPr>
        <w:bidi w:val="0"/>
      </w:pPr>
      <w:r>
        <w:t>质保期外服务</w:t>
      </w:r>
    </w:p>
    <w:p>
      <w:pPr>
        <w:bidi w:val="0"/>
      </w:pPr>
      <w:r>
        <w:t>2.1.3故障响应时间</w:t>
      </w:r>
    </w:p>
    <w:p>
      <w:pPr>
        <w:bidi w:val="0"/>
      </w:pPr>
      <w:r>
        <w:t>2.1.4应急维修措施</w:t>
      </w:r>
      <w:bookmarkStart w:id="91" w:name="_Toc390360559"/>
      <w:bookmarkStart w:id="92" w:name="_Toc373263360"/>
      <w:bookmarkStart w:id="93" w:name="_Toc390373055"/>
    </w:p>
    <w:p>
      <w:pPr>
        <w:bidi w:val="0"/>
      </w:pPr>
      <w:r>
        <w:t>2.1.5易损件、备件的供应</w:t>
      </w:r>
    </w:p>
    <w:p>
      <w:pPr>
        <w:bidi w:val="0"/>
      </w:pPr>
      <w:r>
        <w:t>2.1.6质保期以外技术支持或技术服务</w:t>
      </w:r>
    </w:p>
    <w:p>
      <w:pPr>
        <w:bidi w:val="0"/>
      </w:pPr>
      <w:r>
        <w:t>2.1.7制定切实可行的操作规程和使用指南</w:t>
      </w:r>
    </w:p>
    <w:p>
      <w:pPr>
        <w:bidi w:val="0"/>
      </w:pPr>
    </w:p>
    <w:p>
      <w:pPr>
        <w:spacing w:line="440" w:lineRule="exact"/>
        <w:rPr>
          <w:b/>
          <w:sz w:val="30"/>
          <w:szCs w:val="30"/>
        </w:rPr>
      </w:pPr>
      <w:r>
        <w:rPr>
          <w:b/>
          <w:sz w:val="30"/>
          <w:szCs w:val="30"/>
        </w:rPr>
        <w:t>3.培训服务内容</w:t>
      </w:r>
    </w:p>
    <w:p>
      <w:pPr>
        <w:bidi w:val="0"/>
      </w:pPr>
      <w:r>
        <w:t>3.1培训方案</w:t>
      </w:r>
    </w:p>
    <w:p>
      <w:pPr>
        <w:spacing w:line="440" w:lineRule="exact"/>
        <w:ind w:firstLine="420" w:firstLineChars="200"/>
        <w:rPr>
          <w:szCs w:val="21"/>
        </w:rPr>
      </w:pPr>
      <w:r>
        <w:rPr>
          <w:szCs w:val="21"/>
        </w:rPr>
        <w:t>培训目标和要求</w:t>
      </w:r>
    </w:p>
    <w:p>
      <w:pPr>
        <w:spacing w:line="440" w:lineRule="exact"/>
        <w:jc w:val="left"/>
        <w:rPr>
          <w:b/>
          <w:szCs w:val="21"/>
        </w:rPr>
      </w:pPr>
      <w:r>
        <w:rPr>
          <w:b/>
          <w:szCs w:val="21"/>
        </w:rPr>
        <w:t>3.2培训对象</w:t>
      </w:r>
    </w:p>
    <w:p>
      <w:pPr>
        <w:spacing w:line="440" w:lineRule="exact"/>
        <w:rPr>
          <w:b/>
          <w:szCs w:val="21"/>
        </w:rPr>
      </w:pPr>
      <w:r>
        <w:rPr>
          <w:b/>
          <w:szCs w:val="21"/>
        </w:rPr>
        <w:t>3.3培训方式</w:t>
      </w:r>
    </w:p>
    <w:p>
      <w:pPr>
        <w:spacing w:line="440" w:lineRule="exact"/>
        <w:ind w:firstLine="420" w:firstLineChars="200"/>
        <w:rPr>
          <w:szCs w:val="21"/>
        </w:rPr>
      </w:pPr>
      <w:r>
        <w:rPr>
          <w:szCs w:val="21"/>
        </w:rPr>
        <w:t>3.3.1系统使用培训：</w:t>
      </w:r>
    </w:p>
    <w:p>
      <w:pPr>
        <w:spacing w:line="440" w:lineRule="exact"/>
        <w:ind w:firstLine="420" w:firstLineChars="200"/>
        <w:rPr>
          <w:bCs/>
          <w:szCs w:val="21"/>
        </w:rPr>
      </w:pPr>
      <w:r>
        <w:rPr>
          <w:bCs/>
          <w:szCs w:val="21"/>
        </w:rPr>
        <w:t>3.3.2培训课程及培训人数：</w:t>
      </w:r>
    </w:p>
    <w:p>
      <w:pPr>
        <w:spacing w:line="440" w:lineRule="exact"/>
        <w:ind w:firstLine="420" w:firstLineChars="200"/>
        <w:rPr>
          <w:szCs w:val="21"/>
        </w:rPr>
      </w:pPr>
      <w:r>
        <w:rPr>
          <w:szCs w:val="21"/>
        </w:rPr>
        <w:t>3.3.3培训教师安排</w:t>
      </w:r>
    </w:p>
    <w:p>
      <w:pPr>
        <w:spacing w:line="440" w:lineRule="exact"/>
        <w:ind w:firstLine="420" w:firstLineChars="200"/>
        <w:rPr>
          <w:szCs w:val="21"/>
        </w:rPr>
      </w:pPr>
      <w:r>
        <w:rPr>
          <w:szCs w:val="21"/>
        </w:rPr>
        <w:t>3.3.4培训时间安排</w:t>
      </w:r>
    </w:p>
    <w:p>
      <w:pPr>
        <w:bidi w:val="0"/>
        <w:ind w:firstLine="420" w:firstLineChars="200"/>
      </w:pPr>
      <w:r>
        <w:t>3.3.5培训及安全保证</w:t>
      </w:r>
    </w:p>
    <w:p>
      <w:pPr>
        <w:pStyle w:val="28"/>
        <w:spacing w:after="0" w:line="440" w:lineRule="exact"/>
        <w:ind w:left="0" w:leftChars="0"/>
        <w:rPr>
          <w:snapToGrid w:val="0"/>
          <w:szCs w:val="21"/>
        </w:rPr>
      </w:pPr>
      <w:r>
        <w:rPr>
          <w:rFonts w:hint="eastAsia" w:ascii="宋体" w:hAnsi="宋体" w:cs="宋体"/>
          <w:snapToGrid w:val="0"/>
          <w:szCs w:val="21"/>
        </w:rPr>
        <w:t>①</w:t>
      </w:r>
      <w:r>
        <w:rPr>
          <w:snapToGrid w:val="0"/>
          <w:szCs w:val="21"/>
        </w:rPr>
        <w:t xml:space="preserve"> 为使操作人员尽快消化设备的技术特点、掌握操作方法，乙方应制订完善的培训计划，安排经验丰富技术人员，在设备安装的后期进行操作人员的培训。培训形式主要为现场培训。通过培训，使受训人员能对设备全面了解，掌握日常控制过程，有能力处理一般故障和进行日常维护，提高设备的使用质量，并消除设备因使用或操作不当而引起的故障，减少突发故障的发生，从而保证设备长期稳定的运行。</w:t>
      </w:r>
    </w:p>
    <w:p>
      <w:pPr>
        <w:spacing w:line="440" w:lineRule="exact"/>
        <w:ind w:firstLine="420" w:firstLineChars="200"/>
        <w:rPr>
          <w:szCs w:val="21"/>
        </w:rPr>
      </w:pPr>
      <w:r>
        <w:rPr>
          <w:rFonts w:hint="eastAsia" w:ascii="宋体" w:hAnsi="宋体" w:cs="宋体"/>
          <w:szCs w:val="21"/>
        </w:rPr>
        <w:t>②</w:t>
      </w:r>
      <w:r>
        <w:rPr>
          <w:szCs w:val="21"/>
        </w:rPr>
        <w:t xml:space="preserve"> 设备本体对可能造成伤害的部位均应采用防护板或防护网隔离并有醒目警示。</w:t>
      </w:r>
    </w:p>
    <w:p>
      <w:pPr>
        <w:spacing w:line="440" w:lineRule="exact"/>
        <w:ind w:firstLine="420" w:firstLineChars="200"/>
        <w:rPr>
          <w:szCs w:val="21"/>
        </w:rPr>
      </w:pPr>
      <w:r>
        <w:rPr>
          <w:rFonts w:hint="eastAsia" w:ascii="宋体" w:hAnsi="宋体" w:cs="宋体"/>
          <w:szCs w:val="21"/>
        </w:rPr>
        <w:t>③</w:t>
      </w:r>
      <w:r>
        <w:rPr>
          <w:szCs w:val="21"/>
        </w:rPr>
        <w:t xml:space="preserve"> 所用电气元件均按照国标选配，确保稳定安全，符合三防要求。</w:t>
      </w:r>
    </w:p>
    <w:bookmarkEnd w:id="91"/>
    <w:bookmarkEnd w:id="92"/>
    <w:bookmarkEnd w:id="93"/>
    <w:p>
      <w:pPr>
        <w:bidi w:val="0"/>
      </w:pPr>
    </w:p>
    <w:p>
      <w:pPr>
        <w:bidi w:val="0"/>
      </w:pPr>
    </w:p>
    <w:p>
      <w:pPr>
        <w:spacing w:line="440" w:lineRule="exact"/>
        <w:rPr>
          <w:b/>
          <w:color w:val="FF0000"/>
          <w:szCs w:val="21"/>
        </w:rPr>
      </w:pPr>
    </w:p>
    <w:p>
      <w:pPr>
        <w:spacing w:line="440" w:lineRule="exact"/>
        <w:rPr>
          <w:b/>
          <w:szCs w:val="21"/>
        </w:rPr>
      </w:pPr>
      <w:bookmarkStart w:id="94" w:name="_Toc345966650"/>
      <w:bookmarkStart w:id="95" w:name="_Toc346025578"/>
      <w:bookmarkStart w:id="96" w:name="_Toc345966825"/>
    </w:p>
    <w:p>
      <w:pPr>
        <w:pStyle w:val="115"/>
        <w:numPr>
          <w:ilvl w:val="1"/>
          <w:numId w:val="19"/>
        </w:numPr>
        <w:spacing w:line="440" w:lineRule="exact"/>
        <w:ind w:left="0" w:firstLine="0" w:firstLineChars="0"/>
        <w:rPr>
          <w:b/>
          <w:vanish/>
          <w:szCs w:val="21"/>
        </w:rPr>
      </w:pPr>
    </w:p>
    <w:p>
      <w:pPr>
        <w:pStyle w:val="115"/>
        <w:numPr>
          <w:ilvl w:val="1"/>
          <w:numId w:val="19"/>
        </w:numPr>
        <w:spacing w:line="440" w:lineRule="exact"/>
        <w:ind w:left="0" w:firstLine="0" w:firstLineChars="0"/>
        <w:rPr>
          <w:b/>
          <w:vanish/>
          <w:szCs w:val="21"/>
        </w:rPr>
      </w:pPr>
    </w:p>
    <w:p>
      <w:pPr>
        <w:pStyle w:val="115"/>
        <w:numPr>
          <w:ilvl w:val="1"/>
          <w:numId w:val="19"/>
        </w:numPr>
        <w:spacing w:line="440" w:lineRule="exact"/>
        <w:ind w:left="0" w:firstLine="0" w:firstLineChars="0"/>
        <w:rPr>
          <w:b/>
          <w:vanish/>
          <w:szCs w:val="21"/>
        </w:rPr>
      </w:pPr>
    </w:p>
    <w:p>
      <w:pPr>
        <w:pStyle w:val="115"/>
        <w:numPr>
          <w:ilvl w:val="1"/>
          <w:numId w:val="19"/>
        </w:numPr>
        <w:spacing w:line="440" w:lineRule="exact"/>
        <w:ind w:left="0" w:firstLine="0" w:firstLineChars="0"/>
        <w:rPr>
          <w:b/>
          <w:vanish/>
          <w:szCs w:val="21"/>
        </w:rPr>
      </w:pPr>
    </w:p>
    <w:bookmarkEnd w:id="94"/>
    <w:bookmarkEnd w:id="95"/>
    <w:bookmarkEnd w:id="96"/>
    <w:p>
      <w:pPr>
        <w:spacing w:line="440" w:lineRule="exact"/>
        <w:rPr>
          <w:szCs w:val="21"/>
        </w:rPr>
      </w:pPr>
    </w:p>
    <w:p>
      <w:pPr>
        <w:spacing w:line="440" w:lineRule="exact"/>
        <w:ind w:firstLine="420" w:firstLineChars="200"/>
        <w:rPr>
          <w:szCs w:val="21"/>
        </w:rPr>
      </w:pPr>
    </w:p>
    <w:p>
      <w:pPr>
        <w:widowControl/>
        <w:spacing w:before="100" w:beforeAutospacing="1" w:after="100" w:afterAutospacing="1" w:line="320" w:lineRule="exact"/>
        <w:rPr>
          <w:b/>
          <w:sz w:val="24"/>
        </w:rPr>
      </w:pPr>
      <w:r>
        <w:rPr>
          <w:b/>
          <w:sz w:val="24"/>
        </w:rPr>
        <w:t>甲方使用单位：西安建筑科</w:t>
      </w:r>
      <w:r>
        <w:rPr>
          <w:b/>
          <w:color w:val="000000"/>
          <w:sz w:val="24"/>
        </w:rPr>
        <w:t>技大学XX学院</w:t>
      </w:r>
      <w:r>
        <w:rPr>
          <w:b/>
          <w:color w:val="000000"/>
          <w:sz w:val="24"/>
        </w:rPr>
        <w:tab/>
      </w:r>
      <w:r>
        <w:rPr>
          <w:b/>
          <w:sz w:val="24"/>
        </w:rPr>
        <w:t xml:space="preserve">          乙方： </w:t>
      </w:r>
    </w:p>
    <w:p>
      <w:pPr>
        <w:rPr>
          <w:b/>
          <w:sz w:val="24"/>
        </w:rPr>
      </w:pPr>
    </w:p>
    <w:p>
      <w:pPr>
        <w:rPr>
          <w:b/>
          <w:sz w:val="24"/>
        </w:rPr>
      </w:pPr>
      <w:r>
        <w:rPr>
          <w:b/>
          <w:sz w:val="24"/>
        </w:rPr>
        <w:t>负责人：                                        负责人：</w:t>
      </w:r>
    </w:p>
    <w:p>
      <w:pPr>
        <w:rPr>
          <w:rFonts w:ascii="宋体" w:hAnsi="宋体" w:cs="宋体"/>
          <w:sz w:val="24"/>
          <w:szCs w:val="24"/>
        </w:rPr>
      </w:pPr>
    </w:p>
    <w:p>
      <w:pPr>
        <w:spacing w:line="360" w:lineRule="auto"/>
        <w:ind w:firstLine="57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pStyle w:val="3"/>
        <w:keepNext w:val="0"/>
        <w:pageBreakBefore/>
        <w:spacing w:before="319" w:beforeLines="100" w:after="478" w:afterLines="150" w:line="500" w:lineRule="exact"/>
        <w:rPr>
          <w:rFonts w:ascii="宋体" w:cs="宋体"/>
        </w:rPr>
      </w:pPr>
      <w:bookmarkStart w:id="97" w:name="_Toc27029"/>
      <w:bookmarkStart w:id="98" w:name="_Toc7969"/>
      <w:r>
        <w:rPr>
          <w:rFonts w:hint="eastAsia" w:ascii="宋体" w:hAnsi="宋体" w:cs="宋体"/>
          <w:sz w:val="36"/>
          <w:szCs w:val="36"/>
        </w:rPr>
        <w:t>第七部分响应文件格式</w:t>
      </w:r>
      <w:bookmarkEnd w:id="76"/>
      <w:bookmarkEnd w:id="97"/>
      <w:bookmarkEnd w:id="98"/>
    </w:p>
    <w:p>
      <w:pPr>
        <w:adjustRightInd w:val="0"/>
        <w:snapToGrid w:val="0"/>
        <w:spacing w:line="500" w:lineRule="exact"/>
        <w:jc w:val="left"/>
        <w:rPr>
          <w:rFonts w:asci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lang w:eastAsia="zh-CN"/>
        </w:rPr>
        <w:t>ZMZB2022XJD-276</w:t>
      </w:r>
      <w:r>
        <w:rPr>
          <w:rFonts w:hint="eastAsia" w:ascii="宋体" w:hAnsi="宋体" w:cs="宋体"/>
          <w:b/>
          <w:w w:val="120"/>
          <w:sz w:val="28"/>
          <w:szCs w:val="28"/>
        </w:rPr>
        <w:t>（正本或副本）</w:t>
      </w:r>
    </w:p>
    <w:p>
      <w:pPr>
        <w:snapToGrid w:val="0"/>
        <w:spacing w:line="360" w:lineRule="auto"/>
        <w:ind w:right="-99" w:rightChars="-47"/>
        <w:rPr>
          <w:rFonts w:ascii="宋体" w:cs="宋体"/>
          <w:b/>
          <w:bCs/>
          <w:sz w:val="72"/>
          <w:szCs w:val="72"/>
        </w:rPr>
      </w:pPr>
    </w:p>
    <w:p>
      <w:pPr>
        <w:snapToGrid w:val="0"/>
        <w:spacing w:line="480" w:lineRule="auto"/>
        <w:ind w:right="-319" w:rightChars="-152"/>
        <w:jc w:val="center"/>
        <w:rPr>
          <w:rFonts w:ascii="宋体" w:cs="宋体"/>
          <w:b/>
          <w:bCs/>
          <w:sz w:val="44"/>
          <w:szCs w:val="44"/>
        </w:rPr>
      </w:pPr>
      <w:r>
        <w:rPr>
          <w:rFonts w:hint="eastAsia" w:ascii="宋体" w:cs="宋体"/>
          <w:b/>
          <w:bCs/>
          <w:sz w:val="44"/>
          <w:szCs w:val="44"/>
        </w:rPr>
        <w:t>西安建筑科技大学</w:t>
      </w:r>
    </w:p>
    <w:p>
      <w:pPr>
        <w:snapToGrid w:val="0"/>
        <w:spacing w:line="480" w:lineRule="auto"/>
        <w:ind w:right="-319" w:rightChars="-152"/>
        <w:jc w:val="center"/>
        <w:rPr>
          <w:rFonts w:hint="eastAsia" w:ascii="宋体" w:eastAsia="宋体" w:cs="宋体"/>
          <w:b/>
          <w:bCs/>
          <w:sz w:val="40"/>
          <w:szCs w:val="40"/>
          <w:lang w:eastAsia="zh-CN"/>
        </w:rPr>
      </w:pPr>
      <w:r>
        <w:rPr>
          <w:rFonts w:hint="eastAsia" w:ascii="宋体" w:cs="宋体"/>
          <w:b/>
          <w:bCs/>
          <w:sz w:val="40"/>
          <w:szCs w:val="40"/>
          <w:lang w:eastAsia="zh-CN"/>
        </w:rPr>
        <w:t>冶金制造虚拟仿真实训中心扩建采购项目</w:t>
      </w:r>
    </w:p>
    <w:p>
      <w:pPr>
        <w:pStyle w:val="112"/>
      </w:pPr>
    </w:p>
    <w:p>
      <w:pPr>
        <w:pStyle w:val="112"/>
      </w:pPr>
    </w:p>
    <w:p>
      <w:pPr>
        <w:snapToGrid w:val="0"/>
        <w:spacing w:line="480" w:lineRule="auto"/>
        <w:jc w:val="center"/>
        <w:outlineLvl w:val="1"/>
        <w:rPr>
          <w:rFonts w:ascii="宋体" w:cs="宋体"/>
          <w:b/>
          <w:bCs/>
          <w:sz w:val="72"/>
          <w:szCs w:val="72"/>
        </w:rPr>
      </w:pPr>
      <w:bookmarkStart w:id="99" w:name="_Toc4514"/>
      <w:bookmarkStart w:id="100" w:name="_Toc12872"/>
      <w:r>
        <w:rPr>
          <w:rFonts w:hint="eastAsia" w:ascii="宋体" w:cs="宋体"/>
          <w:b/>
          <w:bCs/>
          <w:sz w:val="72"/>
          <w:szCs w:val="72"/>
        </w:rPr>
        <w:t>资格性响应文件</w:t>
      </w:r>
      <w:bookmarkEnd w:id="99"/>
      <w:bookmarkEnd w:id="100"/>
    </w:p>
    <w:p>
      <w:pPr>
        <w:snapToGrid w:val="0"/>
        <w:spacing w:line="360" w:lineRule="auto"/>
        <w:ind w:firstLine="1600" w:firstLineChars="500"/>
        <w:jc w:val="left"/>
        <w:rPr>
          <w:rFonts w:ascii="宋体" w:cs="宋体"/>
          <w:sz w:val="32"/>
          <w:szCs w:val="32"/>
          <w:lang w:val="zh-CN"/>
        </w:rPr>
      </w:pPr>
    </w:p>
    <w:p>
      <w:pPr>
        <w:pStyle w:val="27"/>
        <w:ind w:firstLine="320"/>
        <w:rPr>
          <w:rFonts w:ascii="宋体" w:cs="宋体"/>
          <w:sz w:val="32"/>
          <w:szCs w:val="32"/>
          <w:lang w:val="zh-CN"/>
        </w:rPr>
      </w:pPr>
    </w:p>
    <w:p>
      <w:pPr>
        <w:pStyle w:val="27"/>
        <w:ind w:firstLine="320"/>
        <w:rPr>
          <w:rFonts w:ascii="宋体" w:cs="宋体"/>
          <w:sz w:val="32"/>
          <w:szCs w:val="32"/>
          <w:lang w:val="zh-CN"/>
        </w:rPr>
      </w:pPr>
    </w:p>
    <w:p>
      <w:pPr>
        <w:snapToGrid w:val="0"/>
        <w:spacing w:line="360" w:lineRule="auto"/>
        <w:jc w:val="left"/>
        <w:rPr>
          <w:rFonts w:ascii="宋体" w:hAnsi="宋体" w:cs="宋体"/>
          <w:sz w:val="32"/>
          <w:szCs w:val="32"/>
        </w:rPr>
      </w:pPr>
    </w:p>
    <w:p>
      <w:pPr>
        <w:snapToGrid w:val="0"/>
        <w:spacing w:line="480" w:lineRule="auto"/>
        <w:jc w:val="left"/>
        <w:rPr>
          <w:rFonts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cs="宋体"/>
          <w:b/>
          <w:sz w:val="50"/>
        </w:rPr>
      </w:pPr>
      <w:r>
        <w:rPr>
          <w:rFonts w:hint="eastAsia" w:ascii="宋体" w:cs="宋体"/>
          <w:b/>
          <w:sz w:val="36"/>
          <w:szCs w:val="36"/>
        </w:rPr>
        <w:t>目 录</w:t>
      </w:r>
    </w:p>
    <w:p>
      <w:pPr>
        <w:pStyle w:val="11"/>
        <w:snapToGrid w:val="0"/>
        <w:spacing w:line="480" w:lineRule="auto"/>
        <w:ind w:firstLine="562" w:firstLineChars="200"/>
        <w:jc w:val="left"/>
        <w:rPr>
          <w:rFonts w:cs="宋体"/>
          <w:b/>
          <w:bCs/>
          <w:sz w:val="28"/>
          <w:szCs w:val="28"/>
        </w:rPr>
      </w:pPr>
      <w:r>
        <w:rPr>
          <w:rFonts w:hint="eastAsia" w:cs="宋体"/>
          <w:b/>
          <w:bCs/>
          <w:sz w:val="28"/>
          <w:szCs w:val="28"/>
        </w:rPr>
        <w:t>一、基本资格条件</w:t>
      </w:r>
    </w:p>
    <w:p>
      <w:pPr>
        <w:snapToGrid w:val="0"/>
        <w:spacing w:line="480" w:lineRule="auto"/>
        <w:ind w:firstLine="562" w:firstLineChars="200"/>
        <w:jc w:val="left"/>
        <w:rPr>
          <w:rFonts w:ascii="宋体" w:cs="宋体"/>
          <w:b/>
          <w:bCs/>
          <w:sz w:val="28"/>
          <w:szCs w:val="28"/>
        </w:rPr>
      </w:pPr>
      <w:r>
        <w:rPr>
          <w:rFonts w:hint="eastAsia" w:ascii="宋体" w:cs="宋体"/>
          <w:b/>
          <w:bCs/>
          <w:sz w:val="28"/>
          <w:szCs w:val="28"/>
        </w:rPr>
        <w:t>二、特定资格条件</w:t>
      </w:r>
    </w:p>
    <w:p>
      <w:pPr>
        <w:rPr>
          <w:rFonts w:ascii="宋体" w:cs="宋体"/>
          <w:b/>
          <w:bCs/>
          <w:sz w:val="28"/>
          <w:szCs w:val="28"/>
        </w:rPr>
        <w:sectPr>
          <w:pgSz w:w="11906" w:h="16838"/>
          <w:pgMar w:top="1440" w:right="1803" w:bottom="1440" w:left="1803" w:header="851" w:footer="992" w:gutter="0"/>
          <w:pgNumType w:fmt="decimal"/>
          <w:cols w:space="720" w:num="1"/>
          <w:docGrid w:type="lines" w:linePitch="319" w:charSpace="0"/>
        </w:sectPr>
      </w:pPr>
    </w:p>
    <w:p>
      <w:pPr>
        <w:pStyle w:val="112"/>
      </w:pPr>
    </w:p>
    <w:p>
      <w:pPr>
        <w:numPr>
          <w:ilvl w:val="0"/>
          <w:numId w:val="20"/>
        </w:numPr>
        <w:outlineLvl w:val="1"/>
        <w:rPr>
          <w:rFonts w:ascii="宋体" w:cs="宋体"/>
          <w:b/>
          <w:bCs/>
          <w:sz w:val="28"/>
          <w:szCs w:val="28"/>
        </w:rPr>
      </w:pPr>
      <w:bookmarkStart w:id="101" w:name="_Toc30358"/>
      <w:bookmarkStart w:id="102" w:name="_Toc3663"/>
      <w:bookmarkStart w:id="103" w:name="_Toc894"/>
      <w:r>
        <w:rPr>
          <w:rFonts w:hint="eastAsia" w:ascii="宋体" w:cs="宋体"/>
          <w:b/>
          <w:bCs/>
          <w:sz w:val="28"/>
          <w:szCs w:val="28"/>
        </w:rPr>
        <w:t>基本资格条件：</w:t>
      </w:r>
      <w:bookmarkEnd w:id="101"/>
      <w:bookmarkEnd w:id="102"/>
      <w:bookmarkEnd w:id="103"/>
    </w:p>
    <w:p>
      <w:pPr>
        <w:pStyle w:val="112"/>
      </w:pPr>
    </w:p>
    <w:p>
      <w:pPr>
        <w:rPr>
          <w:rFonts w:ascii="宋体" w:cs="宋体"/>
          <w:sz w:val="24"/>
          <w:szCs w:val="24"/>
        </w:rPr>
      </w:pPr>
      <w:r>
        <w:rPr>
          <w:rFonts w:hint="eastAsia" w:ascii="宋体" w:cs="宋体"/>
          <w:sz w:val="24"/>
          <w:szCs w:val="24"/>
        </w:rPr>
        <w:t>供应商符合《政府采购法》第二十二条规定条件的承诺函</w:t>
      </w:r>
    </w:p>
    <w:p>
      <w:pPr>
        <w:pStyle w:val="10"/>
      </w:pPr>
    </w:p>
    <w:p>
      <w:pPr>
        <w:pStyle w:val="14"/>
        <w:spacing w:line="360" w:lineRule="auto"/>
        <w:ind w:left="0" w:leftChars="0"/>
        <w:rPr>
          <w:rFonts w:ascii="宋体"/>
          <w:sz w:val="24"/>
          <w:szCs w:val="24"/>
        </w:rPr>
      </w:pPr>
      <w:r>
        <w:rPr>
          <w:rFonts w:hint="eastAsia" w:ascii="宋体" w:cs="宋体"/>
          <w:sz w:val="24"/>
          <w:szCs w:val="24"/>
        </w:rPr>
        <w:t>致陕西卓佲项目管理有限公司：</w:t>
      </w:r>
    </w:p>
    <w:p>
      <w:pPr>
        <w:pStyle w:val="14"/>
        <w:spacing w:line="360" w:lineRule="auto"/>
        <w:ind w:left="0" w:leftChars="0" w:firstLine="540" w:firstLineChars="225"/>
        <w:rPr>
          <w:rFonts w:ascii="宋体"/>
          <w:sz w:val="24"/>
          <w:szCs w:val="24"/>
        </w:rPr>
      </w:pPr>
      <w:r>
        <w:rPr>
          <w:rFonts w:hint="eastAsia" w:ascii="宋体" w:cs="宋体"/>
          <w:sz w:val="24"/>
          <w:szCs w:val="24"/>
        </w:rPr>
        <w:t>本公司</w:t>
      </w:r>
      <w:r>
        <w:rPr>
          <w:rFonts w:hint="eastAsia" w:ascii="宋体" w:cs="宋体"/>
          <w:sz w:val="24"/>
          <w:szCs w:val="24"/>
          <w:u w:val="single"/>
        </w:rPr>
        <w:t>（公司名称）</w:t>
      </w:r>
      <w:r>
        <w:rPr>
          <w:rFonts w:hint="eastAsia" w:ascii="宋体" w:cs="宋体"/>
          <w:sz w:val="24"/>
          <w:szCs w:val="24"/>
        </w:rPr>
        <w:t>参加</w:t>
      </w:r>
      <w:r>
        <w:rPr>
          <w:rFonts w:hint="eastAsia" w:ascii="宋体" w:cs="宋体"/>
          <w:sz w:val="24"/>
          <w:szCs w:val="24"/>
          <w:u w:val="single"/>
        </w:rPr>
        <w:t>（项目名称）</w:t>
      </w:r>
      <w:r>
        <w:rPr>
          <w:rFonts w:hint="eastAsia" w:ascii="宋体" w:cs="宋体"/>
          <w:sz w:val="24"/>
          <w:szCs w:val="24"/>
        </w:rPr>
        <w:t>的投标活动，现承诺：</w:t>
      </w:r>
    </w:p>
    <w:p>
      <w:pPr>
        <w:pStyle w:val="14"/>
        <w:spacing w:line="360" w:lineRule="auto"/>
        <w:ind w:left="0" w:leftChars="0" w:firstLine="540" w:firstLineChars="225"/>
        <w:rPr>
          <w:rFonts w:ascii="宋体"/>
          <w:sz w:val="24"/>
          <w:szCs w:val="24"/>
        </w:rPr>
      </w:pPr>
      <w:r>
        <w:rPr>
          <w:rFonts w:hint="eastAsia" w:ascii="宋体" w:cs="宋体"/>
          <w:sz w:val="24"/>
          <w:szCs w:val="24"/>
        </w:rPr>
        <w:t>我公司满足政府采购法第二十二条关于供应商的资格要求：</w:t>
      </w:r>
    </w:p>
    <w:p>
      <w:pPr>
        <w:pStyle w:val="14"/>
        <w:spacing w:line="360" w:lineRule="auto"/>
        <w:ind w:left="0" w:leftChars="0" w:firstLine="540" w:firstLineChars="225"/>
        <w:rPr>
          <w:rFonts w:ascii="宋体"/>
          <w:sz w:val="24"/>
          <w:szCs w:val="24"/>
        </w:rPr>
      </w:pPr>
      <w:r>
        <w:rPr>
          <w:rFonts w:hint="eastAsia" w:ascii="宋体" w:cs="宋体"/>
          <w:sz w:val="24"/>
          <w:szCs w:val="24"/>
        </w:rPr>
        <w:t>（一）具有独立承担民事责任的能力；</w:t>
      </w:r>
    </w:p>
    <w:p>
      <w:pPr>
        <w:pStyle w:val="14"/>
        <w:spacing w:line="360" w:lineRule="auto"/>
        <w:ind w:left="0" w:leftChars="0" w:firstLine="540" w:firstLineChars="225"/>
        <w:rPr>
          <w:rFonts w:ascii="宋体"/>
          <w:sz w:val="24"/>
          <w:szCs w:val="24"/>
        </w:rPr>
      </w:pPr>
      <w:r>
        <w:rPr>
          <w:rFonts w:hint="eastAsia" w:ascii="宋体" w:cs="宋体"/>
          <w:sz w:val="24"/>
          <w:szCs w:val="24"/>
        </w:rPr>
        <w:t>（二）具有良好的商业信誉和健全的财务会计制度；</w:t>
      </w:r>
    </w:p>
    <w:p>
      <w:pPr>
        <w:pStyle w:val="14"/>
        <w:spacing w:line="360" w:lineRule="auto"/>
        <w:ind w:left="0" w:leftChars="0" w:firstLine="540" w:firstLineChars="225"/>
        <w:rPr>
          <w:rFonts w:ascii="宋体"/>
          <w:sz w:val="24"/>
          <w:szCs w:val="24"/>
        </w:rPr>
      </w:pPr>
      <w:r>
        <w:rPr>
          <w:rFonts w:hint="eastAsia" w:ascii="宋体" w:cs="宋体"/>
          <w:sz w:val="24"/>
          <w:szCs w:val="24"/>
        </w:rPr>
        <w:t>（三）具有履行合同所必需的设备和专业技术能力；</w:t>
      </w:r>
    </w:p>
    <w:p>
      <w:pPr>
        <w:pStyle w:val="14"/>
        <w:spacing w:line="360" w:lineRule="auto"/>
        <w:ind w:left="0" w:leftChars="0" w:firstLine="540" w:firstLineChars="225"/>
        <w:rPr>
          <w:rFonts w:ascii="宋体"/>
          <w:sz w:val="24"/>
          <w:szCs w:val="24"/>
        </w:rPr>
      </w:pPr>
      <w:r>
        <w:rPr>
          <w:rFonts w:hint="eastAsia" w:ascii="宋体" w:cs="宋体"/>
          <w:sz w:val="24"/>
          <w:szCs w:val="24"/>
        </w:rPr>
        <w:t>（四）有依法缴纳税收的良好记录；</w:t>
      </w:r>
    </w:p>
    <w:p>
      <w:pPr>
        <w:pStyle w:val="14"/>
        <w:spacing w:line="360" w:lineRule="auto"/>
        <w:ind w:left="0" w:leftChars="0" w:firstLine="540" w:firstLineChars="225"/>
        <w:rPr>
          <w:rFonts w:ascii="宋体"/>
          <w:sz w:val="24"/>
          <w:szCs w:val="24"/>
        </w:rPr>
      </w:pPr>
      <w:r>
        <w:rPr>
          <w:rFonts w:hint="eastAsia" w:ascii="宋体" w:cs="宋体"/>
          <w:sz w:val="24"/>
          <w:szCs w:val="24"/>
        </w:rPr>
        <w:t>（五）参加政府采购活动前三年内，在经营活动中没有重大违法记录；</w:t>
      </w:r>
    </w:p>
    <w:p>
      <w:pPr>
        <w:pStyle w:val="14"/>
        <w:spacing w:line="360" w:lineRule="auto"/>
        <w:ind w:left="0" w:leftChars="0" w:firstLine="540" w:firstLineChars="225"/>
        <w:rPr>
          <w:rFonts w:ascii="宋体"/>
          <w:sz w:val="24"/>
          <w:szCs w:val="24"/>
        </w:rPr>
      </w:pPr>
      <w:r>
        <w:rPr>
          <w:rFonts w:hint="eastAsia" w:ascii="宋体" w:cs="宋体"/>
          <w:sz w:val="24"/>
          <w:szCs w:val="24"/>
        </w:rPr>
        <w:t>（六）法律、行政法规规定的其他条件。</w:t>
      </w:r>
    </w:p>
    <w:p>
      <w:pPr>
        <w:spacing w:line="400" w:lineRule="exact"/>
        <w:ind w:firstLine="432"/>
        <w:rPr>
          <w:sz w:val="24"/>
        </w:rPr>
      </w:pPr>
      <w:r>
        <w:rPr>
          <w:rFonts w:hint="eastAsia"/>
          <w:sz w:val="24"/>
        </w:rPr>
        <w:t>本单位对上述承诺的内容事项真实性负责。如经查实上述承诺的内容事项存在虚假，我单位愿意接受以提供虚假材料谋取中标追究法律责任。</w:t>
      </w:r>
    </w:p>
    <w:p>
      <w:pPr>
        <w:pStyle w:val="14"/>
        <w:spacing w:line="360" w:lineRule="auto"/>
        <w:ind w:left="0" w:leftChars="0" w:firstLine="540" w:firstLineChars="225"/>
        <w:rPr>
          <w:rFonts w:ascii="宋体"/>
          <w:sz w:val="24"/>
          <w:szCs w:val="24"/>
          <w:highlight w:val="yellow"/>
        </w:rPr>
      </w:pPr>
    </w:p>
    <w:p>
      <w:pPr>
        <w:pStyle w:val="14"/>
        <w:spacing w:line="360" w:lineRule="auto"/>
        <w:ind w:left="0" w:leftChars="0"/>
        <w:rPr>
          <w:rFonts w:ascii="宋体"/>
          <w:sz w:val="24"/>
          <w:szCs w:val="24"/>
        </w:rPr>
      </w:pPr>
    </w:p>
    <w:p>
      <w:pPr>
        <w:pStyle w:val="11"/>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1"/>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rPr>
          <w:rFonts w:ascii="宋体"/>
          <w:sz w:val="24"/>
          <w:szCs w:val="24"/>
        </w:rPr>
      </w:pPr>
    </w:p>
    <w:p>
      <w:pPr>
        <w:pStyle w:val="10"/>
        <w:ind w:firstLine="0"/>
      </w:pPr>
    </w:p>
    <w:p/>
    <w:p/>
    <w:p/>
    <w:p/>
    <w:p/>
    <w:p>
      <w:pPr>
        <w:outlineLvl w:val="9"/>
      </w:pPr>
    </w:p>
    <w:p/>
    <w:p/>
    <w:p/>
    <w:p>
      <w:pPr>
        <w:outlineLvl w:val="1"/>
        <w:rPr>
          <w:rFonts w:ascii="宋体" w:cs="宋体"/>
          <w:b/>
          <w:bCs/>
          <w:sz w:val="28"/>
          <w:szCs w:val="28"/>
        </w:rPr>
      </w:pPr>
      <w:bookmarkStart w:id="104" w:name="_Toc9156"/>
      <w:bookmarkStart w:id="105" w:name="_Toc28875"/>
      <w:bookmarkStart w:id="106" w:name="_Toc9910"/>
      <w:r>
        <w:rPr>
          <w:rFonts w:hint="eastAsia" w:ascii="宋体" w:cs="宋体"/>
          <w:b/>
          <w:bCs/>
          <w:sz w:val="28"/>
          <w:szCs w:val="28"/>
        </w:rPr>
        <w:t>二、特定资格条件：</w:t>
      </w:r>
      <w:bookmarkEnd w:id="104"/>
      <w:bookmarkEnd w:id="105"/>
      <w:bookmarkEnd w:id="106"/>
    </w:p>
    <w:p>
      <w:pPr>
        <w:spacing w:line="360" w:lineRule="auto"/>
        <w:ind w:firstLine="420" w:firstLineChars="175"/>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20" w:firstLineChars="175"/>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ind w:firstLine="420" w:firstLineChars="175"/>
        <w:rPr>
          <w:rFonts w:ascii="宋体" w:hAnsi="宋体" w:cs="宋体"/>
          <w:sz w:val="24"/>
          <w:szCs w:val="24"/>
        </w:rPr>
      </w:pPr>
      <w:r>
        <w:rPr>
          <w:rFonts w:hint="eastAsia" w:ascii="宋体" w:hAnsi="宋体" w:cs="宋体"/>
          <w:sz w:val="24"/>
          <w:szCs w:val="24"/>
        </w:rPr>
        <w:t>2、财务状况证明：供应商提供2021年度的财务审计报告（成立时间至提交响应文件截止时间不足一年的可提供成立后任意时段的资产负债表），或其开标前三个月内银行出具的资信证明，或财政部门认可的政府采购专业担保机构出具的响应担保函；</w:t>
      </w:r>
    </w:p>
    <w:p>
      <w:pPr>
        <w:spacing w:line="360" w:lineRule="auto"/>
        <w:ind w:firstLine="420" w:firstLineChars="175"/>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我单位参与陕西卓佲项目管理有限公司组织的______________(项目名称)采购，我单位郑重声明：我方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1"/>
        <w:spacing w:line="500" w:lineRule="exact"/>
        <w:jc w:val="left"/>
        <w:rPr>
          <w:rFonts w:hAnsi="宋体" w:cs="宋体"/>
          <w:sz w:val="24"/>
          <w:szCs w:val="24"/>
        </w:rPr>
      </w:pPr>
    </w:p>
    <w:p>
      <w:pPr>
        <w:pStyle w:val="11"/>
        <w:spacing w:line="480" w:lineRule="auto"/>
        <w:jc w:val="left"/>
        <w:rPr>
          <w:rFonts w:hAnsi="宋体" w:cs="宋体"/>
          <w:sz w:val="24"/>
        </w:rPr>
      </w:pPr>
      <w:r>
        <w:rPr>
          <w:rFonts w:hint="eastAsia" w:hAnsi="宋体" w:cs="宋体"/>
          <w:sz w:val="24"/>
          <w:szCs w:val="24"/>
        </w:rPr>
        <w:br w:type="textWrapping"/>
      </w:r>
      <w:r>
        <w:rPr>
          <w:rFonts w:hint="eastAsia" w:hAnsi="宋体" w:cs="宋体"/>
          <w:sz w:val="24"/>
        </w:rPr>
        <w:t>供应商（单位名称及公章）：</w:t>
      </w:r>
      <w:r>
        <w:rPr>
          <w:rFonts w:hint="eastAsia" w:hAnsi="宋体" w:cs="宋体"/>
          <w:sz w:val="28"/>
          <w:szCs w:val="28"/>
        </w:rPr>
        <w:t>______________________</w:t>
      </w:r>
    </w:p>
    <w:p>
      <w:pPr>
        <w:pStyle w:val="11"/>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ectPr>
          <w:pgSz w:w="11906" w:h="16838"/>
          <w:pgMar w:top="1440" w:right="1803" w:bottom="1440" w:left="1803" w:header="851" w:footer="992" w:gutter="0"/>
          <w:pgNumType w:fmt="decimal"/>
          <w:cols w:space="720" w:num="1"/>
          <w:docGrid w:type="lines" w:linePitch="319" w:charSpace="0"/>
        </w:sectPr>
      </w:pPr>
    </w:p>
    <w:p>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税收缴纳证明：提供202</w:t>
      </w:r>
      <w:r>
        <w:rPr>
          <w:rFonts w:hint="eastAsia" w:ascii="宋体" w:hAnsi="宋体" w:cs="宋体"/>
          <w:sz w:val="24"/>
          <w:szCs w:val="24"/>
          <w:lang w:val="en-US" w:eastAsia="zh-CN"/>
        </w:rPr>
        <w:t>2</w:t>
      </w:r>
      <w:r>
        <w:rPr>
          <w:rFonts w:hint="eastAsia" w:ascii="宋体" w:hAnsi="宋体" w:cs="宋体"/>
          <w:sz w:val="24"/>
          <w:szCs w:val="24"/>
        </w:rPr>
        <w:t>年1月以来至少一个月的纳税证明或完税证明，依法免税的单位应提供相关证明材料；</w:t>
      </w:r>
    </w:p>
    <w:p>
      <w:pPr>
        <w:numPr>
          <w:ilvl w:val="0"/>
          <w:numId w:val="0"/>
        </w:numPr>
        <w:spacing w:line="360" w:lineRule="auto"/>
        <w:rPr>
          <w:rFonts w:hint="eastAsia" w:ascii="宋体" w:hAnsi="宋体" w:cs="宋体"/>
          <w:sz w:val="24"/>
          <w:szCs w:val="24"/>
          <w:lang w:val="en-US" w:eastAsia="zh-CN"/>
        </w:rPr>
        <w:sectPr>
          <w:pgSz w:w="11906" w:h="16838"/>
          <w:pgMar w:top="1440" w:right="1803" w:bottom="1440" w:left="1803" w:header="851" w:footer="992" w:gutter="0"/>
          <w:pgNumType w:fmt="decimal"/>
          <w:cols w:space="720" w:num="1"/>
          <w:docGrid w:type="lines" w:linePitch="319" w:charSpace="0"/>
        </w:sectPr>
      </w:pPr>
    </w:p>
    <w:p>
      <w:pPr>
        <w:numPr>
          <w:ilvl w:val="0"/>
          <w:numId w:val="0"/>
        </w:numPr>
        <w:spacing w:line="360" w:lineRule="auto"/>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、社会保障资金缴纳证明：提供202</w:t>
      </w:r>
      <w:r>
        <w:rPr>
          <w:rFonts w:hint="eastAsia" w:ascii="宋体" w:hAnsi="宋体" w:cs="宋体"/>
          <w:sz w:val="24"/>
          <w:szCs w:val="24"/>
          <w:lang w:val="en-US" w:eastAsia="zh-CN"/>
        </w:rPr>
        <w:t>2</w:t>
      </w:r>
      <w:r>
        <w:rPr>
          <w:rFonts w:hint="eastAsia" w:ascii="宋体" w:hAnsi="宋体" w:cs="宋体"/>
          <w:sz w:val="24"/>
          <w:szCs w:val="24"/>
        </w:rPr>
        <w:t>年1月以来至少一个月的社会保障资金缴存单据或社保机构开具的社会保险参保缴费情况证明。依法不需要缴纳社会保障资金的供应商应提供相关文件证明；</w:t>
      </w:r>
    </w:p>
    <w:p>
      <w:pPr>
        <w:spacing w:line="360" w:lineRule="auto"/>
        <w:ind w:firstLine="420" w:firstLineChars="175"/>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lang w:val="en-US" w:eastAsia="zh-CN"/>
        </w:rPr>
        <w:t>6</w:t>
      </w:r>
      <w:r>
        <w:rPr>
          <w:rFonts w:hint="eastAsia" w:ascii="宋体" w:hAnsi="宋体" w:cs="宋体"/>
          <w:sz w:val="32"/>
          <w:szCs w:val="24"/>
        </w:rPr>
        <w:t>、</w:t>
      </w:r>
      <w:r>
        <w:rPr>
          <w:rFonts w:hint="eastAsia" w:ascii="宋体" w:hAnsi="宋体" w:cs="宋体"/>
          <w:sz w:val="32"/>
          <w:szCs w:val="24"/>
        </w:rPr>
        <w:tab/>
      </w:r>
      <w:r>
        <w:rPr>
          <w:rFonts w:hint="eastAsia" w:ascii="宋体" w:hAnsi="宋体" w:cs="宋体"/>
          <w:sz w:val="32"/>
          <w:szCs w:val="24"/>
        </w:rPr>
        <w:t>无重大违法记录声明</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单一来源谈判，我单位郑重声明：我方参加本项目单一来源谈判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1"/>
        <w:spacing w:line="500" w:lineRule="exact"/>
        <w:jc w:val="left"/>
        <w:rPr>
          <w:rFonts w:hAnsi="宋体" w:cs="宋体"/>
          <w:sz w:val="24"/>
          <w:szCs w:val="24"/>
        </w:rPr>
      </w:pPr>
    </w:p>
    <w:p>
      <w:pPr>
        <w:pStyle w:val="11"/>
        <w:spacing w:line="480" w:lineRule="auto"/>
        <w:jc w:val="left"/>
        <w:rPr>
          <w:rFonts w:hAnsi="宋体" w:cs="宋体"/>
          <w:sz w:val="24"/>
        </w:rPr>
      </w:pPr>
      <w:r>
        <w:rPr>
          <w:rFonts w:hint="eastAsia" w:hAnsi="宋体" w:cs="宋体"/>
          <w:sz w:val="24"/>
          <w:szCs w:val="24"/>
        </w:rPr>
        <w:br w:type="textWrapping"/>
      </w:r>
      <w:r>
        <w:rPr>
          <w:rFonts w:hint="eastAsia" w:hAnsi="宋体" w:cs="宋体"/>
          <w:sz w:val="24"/>
        </w:rPr>
        <w:t>供应商（单位名称及公章）：</w:t>
      </w:r>
      <w:r>
        <w:rPr>
          <w:rFonts w:hint="eastAsia" w:hAnsi="宋体" w:cs="宋体"/>
          <w:sz w:val="28"/>
          <w:szCs w:val="28"/>
        </w:rPr>
        <w:t>______________________</w:t>
      </w:r>
    </w:p>
    <w:p>
      <w:pPr>
        <w:pStyle w:val="11"/>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tabs>
          <w:tab w:val="left" w:pos="430"/>
        </w:tabs>
        <w:jc w:val="left"/>
        <w:sectPr>
          <w:headerReference r:id="rId14" w:type="default"/>
          <w:pgSz w:w="11906" w:h="16838"/>
          <w:pgMar w:top="1440" w:right="1803" w:bottom="1440" w:left="1803" w:header="851" w:footer="992" w:gutter="0"/>
          <w:pgNumType w:fmt="decimal"/>
          <w:cols w:space="720" w:num="1"/>
          <w:docGrid w:type="lines" w:linePitch="319" w:charSpace="0"/>
        </w:sectPr>
      </w:pPr>
    </w:p>
    <w:p>
      <w:pPr>
        <w:jc w:val="center"/>
        <w:rPr>
          <w:sz w:val="28"/>
          <w:szCs w:val="32"/>
        </w:rPr>
      </w:pPr>
      <w:r>
        <w:rPr>
          <w:rFonts w:hint="eastAsia"/>
          <w:sz w:val="28"/>
          <w:szCs w:val="32"/>
          <w:lang w:val="en-US" w:eastAsia="zh-CN"/>
        </w:rPr>
        <w:t>7</w:t>
      </w:r>
      <w:r>
        <w:rPr>
          <w:rFonts w:hint="eastAsia"/>
          <w:sz w:val="28"/>
          <w:szCs w:val="32"/>
        </w:rPr>
        <w:t>-1法定代表人证明书</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noWrap/>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noWrap/>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noWrap/>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noWrap/>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noWrap/>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noWrap/>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noWrap/>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noWrap/>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noWrap/>
            <w:vAlign w:val="center"/>
          </w:tcPr>
          <w:p>
            <w:pPr>
              <w:tabs>
                <w:tab w:val="left" w:pos="210"/>
              </w:tabs>
              <w:spacing w:line="360" w:lineRule="auto"/>
              <w:ind w:firstLine="420" w:firstLineChars="200"/>
              <w:jc w:val="left"/>
              <w:rPr>
                <w:rFonts w:ascii="宋体" w:hAnsi="宋体" w:cs="宋体"/>
                <w:kern w:val="0"/>
                <w:szCs w:val="21"/>
              </w:rPr>
            </w:pPr>
          </w:p>
        </w:tc>
        <w:tc>
          <w:tcPr>
            <w:tcW w:w="2156" w:type="dxa"/>
            <w:noWrap/>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noWrap/>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noWrap/>
            <w:vAlign w:val="center"/>
          </w:tcPr>
          <w:p>
            <w:pPr>
              <w:tabs>
                <w:tab w:val="left" w:pos="210"/>
              </w:tabs>
              <w:spacing w:line="360" w:lineRule="auto"/>
              <w:jc w:val="left"/>
              <w:rPr>
                <w:rFonts w:ascii="宋体" w:hAnsi="宋体" w:cs="宋体"/>
                <w:kern w:val="0"/>
                <w:szCs w:val="21"/>
              </w:rPr>
            </w:pPr>
          </w:p>
        </w:tc>
        <w:tc>
          <w:tcPr>
            <w:tcW w:w="2156" w:type="dxa"/>
            <w:noWrap/>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noWrap/>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noWrap/>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noWrap/>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noWrap/>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noWrap/>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noWrap/>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noWrap/>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noWrap/>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noWrap/>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6"/>
        <w:sectPr>
          <w:headerReference r:id="rId15" w:type="default"/>
          <w:pgSz w:w="11906" w:h="16838"/>
          <w:pgMar w:top="1440" w:right="1803" w:bottom="1440" w:left="1803" w:header="851" w:footer="992" w:gutter="0"/>
          <w:pgNumType w:fmt="decimal"/>
          <w:cols w:space="720" w:num="1"/>
          <w:docGrid w:type="lines" w:linePitch="319" w:charSpace="0"/>
        </w:sectPr>
      </w:pPr>
    </w:p>
    <w:p>
      <w:pPr>
        <w:pStyle w:val="11"/>
        <w:spacing w:line="500" w:lineRule="exact"/>
        <w:jc w:val="center"/>
        <w:rPr>
          <w:rFonts w:hAnsi="宋体" w:cs="宋体"/>
          <w:sz w:val="24"/>
          <w:szCs w:val="24"/>
        </w:rPr>
      </w:pPr>
      <w:r>
        <w:rPr>
          <w:rFonts w:hint="eastAsia" w:hAnsi="宋体" w:cs="宋体"/>
          <w:b/>
          <w:sz w:val="24"/>
          <w:szCs w:val="24"/>
          <w:lang w:val="en-US" w:eastAsia="zh-CN"/>
        </w:rPr>
        <w:t>7</w:t>
      </w:r>
      <w:r>
        <w:rPr>
          <w:rFonts w:hint="eastAsia" w:hAnsi="宋体" w:cs="宋体"/>
          <w:b/>
          <w:sz w:val="24"/>
          <w:szCs w:val="24"/>
        </w:rPr>
        <w:t>-2法定代表人授权书</w:t>
      </w:r>
    </w:p>
    <w:p>
      <w:pPr>
        <w:pStyle w:val="11"/>
        <w:spacing w:line="500" w:lineRule="exact"/>
        <w:jc w:val="left"/>
        <w:rPr>
          <w:rFonts w:hAnsi="宋体" w:cs="宋体"/>
          <w:sz w:val="24"/>
          <w:szCs w:val="24"/>
        </w:rPr>
      </w:pPr>
    </w:p>
    <w:p>
      <w:pPr>
        <w:pStyle w:val="11"/>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的采购活动。以我方名义全权处理该项目有关谈判、签订合同以及执行合同等一切事宜。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w:t>
      </w:r>
      <w:r>
        <w:rPr>
          <w:rFonts w:hint="eastAsia" w:ascii="宋体" w:hAnsi="宋体" w:cs="宋体"/>
          <w:b/>
          <w:bCs/>
          <w:sz w:val="24"/>
          <w:u w:val="single"/>
        </w:rPr>
        <w:t xml:space="preserve">     </w:t>
      </w:r>
      <w:r>
        <w:rPr>
          <w:rFonts w:hint="eastAsia" w:ascii="宋体" w:hAnsi="宋体" w:cs="宋体"/>
          <w:b/>
          <w:bCs/>
          <w:sz w:val="24"/>
        </w:rPr>
        <w:t>年</w:t>
      </w:r>
      <w:r>
        <w:rPr>
          <w:rFonts w:hint="eastAsia" w:ascii="宋体" w:hAnsi="宋体" w:cs="宋体"/>
          <w:b/>
          <w:bCs/>
          <w:sz w:val="24"/>
          <w:u w:val="single"/>
        </w:rPr>
        <w:t xml:space="preserve">     </w:t>
      </w:r>
      <w:r>
        <w:rPr>
          <w:rFonts w:hint="eastAsia" w:ascii="宋体" w:hAnsi="宋体" w:cs="宋体"/>
          <w:b/>
          <w:bCs/>
          <w:sz w:val="24"/>
        </w:rPr>
        <w:t>月</w:t>
      </w:r>
      <w:r>
        <w:rPr>
          <w:rFonts w:hint="eastAsia" w:ascii="宋体" w:hAnsi="宋体" w:cs="宋体"/>
          <w:b/>
          <w:bCs/>
          <w:sz w:val="24"/>
          <w:u w:val="single"/>
        </w:rPr>
        <w:t xml:space="preserve">    </w:t>
      </w:r>
      <w:r>
        <w:rPr>
          <w:rFonts w:hint="eastAsia" w:ascii="宋体" w:hAnsi="宋体" w:cs="宋体"/>
          <w:b/>
          <w:bCs/>
          <w:sz w:val="24"/>
        </w:rPr>
        <w:t>日签字生效，有效期与</w:t>
      </w:r>
      <w:r>
        <w:rPr>
          <w:rFonts w:hint="eastAsia" w:ascii="宋体" w:hAnsi="宋体" w:cs="宋体"/>
          <w:b/>
          <w:bCs/>
          <w:sz w:val="24"/>
          <w:lang w:eastAsia="zh-CN"/>
        </w:rPr>
        <w:t>文件响应</w:t>
      </w:r>
      <w:r>
        <w:rPr>
          <w:rFonts w:hint="eastAsia" w:ascii="宋体" w:hAnsi="宋体" w:cs="宋体"/>
          <w:b/>
          <w:bCs/>
          <w:sz w:val="24"/>
        </w:rPr>
        <w:t>有效期一致，特此声明。</w:t>
      </w:r>
    </w:p>
    <w:p>
      <w:pPr>
        <w:pStyle w:val="11"/>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rPr>
        <w:t>________</w:t>
      </w:r>
    </w:p>
    <w:p>
      <w:pPr>
        <w:pStyle w:val="11"/>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rPr>
        <w:t>________</w:t>
      </w:r>
    </w:p>
    <w:p>
      <w:pPr>
        <w:pStyle w:val="11"/>
        <w:spacing w:line="500" w:lineRule="exact"/>
        <w:ind w:firstLine="480" w:firstLineChars="200"/>
        <w:jc w:val="left"/>
        <w:rPr>
          <w:rFonts w:hint="default" w:hAnsi="宋体" w:eastAsia="宋体" w:cs="宋体"/>
          <w:sz w:val="24"/>
          <w:szCs w:val="24"/>
          <w:u w:val="single"/>
          <w:lang w:val="en-US" w:eastAsia="zh-CN"/>
        </w:rPr>
      </w:pPr>
      <w:r>
        <w:rPr>
          <w:rFonts w:hint="eastAsia" w:hAnsi="宋体" w:cs="宋体"/>
          <w:sz w:val="24"/>
          <w:szCs w:val="24"/>
        </w:rPr>
        <w:t>被授权人：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 </w:t>
      </w:r>
      <w:r>
        <w:rPr>
          <w:rFonts w:hint="eastAsia" w:hAnsi="宋体" w:cs="宋体"/>
          <w:sz w:val="24"/>
          <w:szCs w:val="24"/>
        </w:rPr>
        <w:t>性别：</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 </w:t>
      </w:r>
      <w:r>
        <w:rPr>
          <w:rFonts w:hint="eastAsia" w:hAnsi="宋体" w:cs="宋体"/>
          <w:sz w:val="24"/>
          <w:szCs w:val="24"/>
        </w:rPr>
        <w:t>职务：</w:t>
      </w:r>
      <w:r>
        <w:rPr>
          <w:rFonts w:hint="eastAsia" w:hAnsi="宋体" w:cs="宋体"/>
          <w:sz w:val="24"/>
        </w:rPr>
        <w:t>________</w:t>
      </w:r>
      <w:r>
        <w:rPr>
          <w:rFonts w:hint="eastAsia" w:hAnsi="宋体" w:cs="宋体"/>
          <w:sz w:val="24"/>
          <w:szCs w:val="24"/>
          <w:u w:val="single"/>
          <w:lang w:val="en-US" w:eastAsia="zh-CN"/>
        </w:rPr>
        <w:t xml:space="preserve">          </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联系地址：___________________________</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联系电话：___________________________</w:t>
      </w:r>
    </w:p>
    <w:p>
      <w:pPr>
        <w:pStyle w:val="11"/>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法定代表人及被授权人身份证复印件/扫描件</w:t>
      </w:r>
    </w:p>
    <w:tbl>
      <w:tblPr>
        <w:tblStyle w:val="29"/>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noWrap/>
            <w:vAlign w:val="center"/>
          </w:tcPr>
          <w:p>
            <w:pPr>
              <w:pStyle w:val="11"/>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法定代表人身份证复印件/扫描件</w:t>
            </w:r>
          </w:p>
          <w:p>
            <w:pPr>
              <w:pStyle w:val="11"/>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11"/>
              <w:spacing w:line="500" w:lineRule="exact"/>
              <w:jc w:val="left"/>
              <w:rPr>
                <w:rFonts w:hAnsi="宋体" w:cs="宋体"/>
                <w:sz w:val="24"/>
                <w:szCs w:val="24"/>
                <w:shd w:val="pct10" w:color="auto" w:fill="FFFFFF"/>
              </w:rPr>
            </w:pPr>
          </w:p>
        </w:tc>
        <w:tc>
          <w:tcPr>
            <w:tcW w:w="4546" w:type="dxa"/>
            <w:shd w:val="clear" w:color="auto" w:fill="D9D9D9"/>
            <w:noWrap/>
            <w:vAlign w:val="center"/>
          </w:tcPr>
          <w:p>
            <w:pPr>
              <w:pStyle w:val="11"/>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被授权人身份证复印件/扫描件</w:t>
            </w:r>
          </w:p>
          <w:p>
            <w:pPr>
              <w:pStyle w:val="11"/>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11"/>
              <w:spacing w:line="500" w:lineRule="exact"/>
              <w:ind w:firstLine="480" w:firstLineChars="200"/>
              <w:jc w:val="left"/>
              <w:rPr>
                <w:rFonts w:hAnsi="宋体" w:cs="宋体"/>
                <w:sz w:val="24"/>
                <w:szCs w:val="24"/>
                <w:shd w:val="pct10" w:color="auto" w:fill="FFFFFF"/>
              </w:rPr>
            </w:pPr>
          </w:p>
        </w:tc>
      </w:tr>
    </w:tbl>
    <w:p>
      <w:pPr>
        <w:spacing w:line="360" w:lineRule="auto"/>
        <w:ind w:firstLine="420" w:firstLineChars="175"/>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numPr>
          <w:ilvl w:val="0"/>
          <w:numId w:val="0"/>
        </w:numPr>
        <w:spacing w:line="588" w:lineRule="exact"/>
        <w:ind w:leftChars="200"/>
        <w:rPr>
          <w:rFonts w:hint="eastAsia" w:ascii="宋体" w:hAnsi="宋体" w:cs="宋体"/>
          <w:sz w:val="24"/>
          <w:szCs w:val="28"/>
        </w:rPr>
      </w:pPr>
      <w:r>
        <w:rPr>
          <w:rFonts w:hint="eastAsia" w:ascii="宋体" w:hAnsi="宋体" w:cs="宋体"/>
          <w:sz w:val="24"/>
          <w:szCs w:val="28"/>
          <w:lang w:val="en-US" w:eastAsia="zh-CN"/>
        </w:rPr>
        <w:t>8、</w:t>
      </w:r>
      <w:r>
        <w:rPr>
          <w:rFonts w:hint="eastAsia" w:ascii="宋体" w:hAnsi="宋体" w:cs="宋体"/>
          <w:sz w:val="24"/>
          <w:szCs w:val="28"/>
        </w:rPr>
        <w:t>中小企业声明函</w:t>
      </w:r>
    </w:p>
    <w:p>
      <w:pPr>
        <w:numPr>
          <w:ilvl w:val="0"/>
          <w:numId w:val="0"/>
        </w:numPr>
        <w:spacing w:line="588" w:lineRule="exact"/>
        <w:ind w:leftChars="200"/>
        <w:rPr>
          <w:rFonts w:hint="eastAsia" w:ascii="宋体" w:hAnsi="宋体" w:cs="宋体"/>
          <w:spacing w:val="6"/>
          <w:sz w:val="24"/>
        </w:rPr>
      </w:pPr>
      <w:r>
        <w:rPr>
          <w:rFonts w:hint="eastAsia" w:ascii="宋体" w:hAnsi="宋体" w:cs="宋体"/>
          <w:spacing w:val="6"/>
          <w:sz w:val="24"/>
        </w:rPr>
        <w:t>根据《政府采购促进中小企业发展管理办法》（财库[2020]46号）的规定，由供应商自行声明并对真实性负责。如有虚假，将依法承担相应责任。</w:t>
      </w:r>
    </w:p>
    <w:p>
      <w:pPr>
        <w:spacing w:line="588" w:lineRule="exact"/>
        <w:jc w:val="center"/>
        <w:rPr>
          <w:rFonts w:hint="eastAsia" w:ascii="宋体" w:hAnsi="宋体" w:cs="宋体"/>
          <w:b/>
          <w:spacing w:val="6"/>
          <w:sz w:val="24"/>
          <w:szCs w:val="24"/>
        </w:rPr>
      </w:pPr>
      <w:r>
        <w:rPr>
          <w:rFonts w:hint="eastAsia" w:ascii="宋体" w:hAnsi="宋体" w:cs="宋体"/>
          <w:b/>
          <w:spacing w:val="6"/>
          <w:sz w:val="24"/>
          <w:szCs w:val="24"/>
        </w:rPr>
        <w:t>中小企业声明函（货物）</w:t>
      </w:r>
    </w:p>
    <w:p>
      <w:pPr>
        <w:spacing w:line="588" w:lineRule="exact"/>
        <w:ind w:firstLine="504" w:firstLineChars="200"/>
        <w:rPr>
          <w:rFonts w:hint="eastAsia" w:ascii="宋体" w:hAnsi="宋体" w:cs="宋体"/>
          <w:spacing w:val="6"/>
          <w:sz w:val="24"/>
        </w:rPr>
      </w:pPr>
      <w:bookmarkStart w:id="107" w:name="_Toc32438"/>
      <w:bookmarkStart w:id="108" w:name="_Toc21117"/>
      <w:bookmarkStart w:id="109" w:name="_Toc10807"/>
      <w:bookmarkStart w:id="110" w:name="_Toc6022"/>
      <w:bookmarkStart w:id="111" w:name="_Toc11896"/>
      <w:bookmarkStart w:id="112" w:name="_Toc5814"/>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采购活动，提供的货物全部由符合政策要求的中小企业制造。相关企业（含联合体中的中小企业、签订分包意向协议的中小企业）的具体情况如下：</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；制造商为（企业名称），从业人员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pPr>
        <w:spacing w:line="588" w:lineRule="exact"/>
        <w:ind w:firstLine="504" w:firstLineChars="200"/>
        <w:jc w:val="right"/>
        <w:rPr>
          <w:rFonts w:hint="eastAsia" w:ascii="宋体" w:hAnsi="宋体" w:cs="宋体"/>
          <w:spacing w:val="6"/>
          <w:sz w:val="24"/>
        </w:rPr>
      </w:pPr>
      <w:r>
        <w:rPr>
          <w:rFonts w:hint="eastAsia" w:ascii="宋体" w:hAnsi="宋体" w:cs="宋体"/>
          <w:spacing w:val="6"/>
          <w:sz w:val="24"/>
        </w:rPr>
        <w:t>企业名称（盖章）：</w:t>
      </w:r>
    </w:p>
    <w:p>
      <w:pPr>
        <w:spacing w:line="588" w:lineRule="exact"/>
        <w:ind w:firstLine="504" w:firstLineChars="200"/>
        <w:jc w:val="right"/>
        <w:rPr>
          <w:rFonts w:hint="eastAsia" w:ascii="宋体" w:hAnsi="宋体" w:cs="宋体"/>
          <w:spacing w:val="6"/>
          <w:sz w:val="24"/>
        </w:rPr>
      </w:pPr>
      <w:r>
        <w:rPr>
          <w:rFonts w:hint="eastAsia" w:ascii="宋体" w:hAnsi="宋体" w:cs="宋体"/>
          <w:spacing w:val="6"/>
          <w:sz w:val="24"/>
        </w:rPr>
        <w:t>日期：</w:t>
      </w:r>
    </w:p>
    <w:p>
      <w:pPr>
        <w:pStyle w:val="2"/>
        <w:rPr>
          <w:rFonts w:hint="eastAsia" w:ascii="宋体" w:hAnsi="宋体" w:cs="宋体"/>
          <w:spacing w:val="6"/>
        </w:rPr>
      </w:pPr>
    </w:p>
    <w:p>
      <w:pPr>
        <w:rPr>
          <w:rFonts w:ascii="宋体" w:hAnsi="宋体"/>
          <w:sz w:val="18"/>
        </w:rPr>
      </w:pPr>
      <w:r>
        <w:rPr>
          <w:rFonts w:ascii="仿宋" w:hAnsi="仿宋" w:eastAsia="仿宋"/>
          <w:sz w:val="32"/>
        </w:rPr>
        <w:pict>
          <v:shape id="图片 2" o:spid="_x0000_s1033" o:spt="75" type="#_x0000_t75" style="position:absolute;left:0pt;margin-left:0pt;margin-top:17.7pt;height:1pt;width:144pt;z-index:-251655168;mso-width-relative:page;mso-height-relative:page;" filled="f" o:preferrelative="t" stroked="f" coordsize="21600,21600" o:allowincell="f">
            <v:path/>
            <v:fill on="f" focussize="0,0"/>
            <v:stroke on="f"/>
            <v:imagedata r:id="rId29" o:title=""/>
            <o:lock v:ext="edit" aspectratio="t"/>
          </v:shape>
        </w:pict>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rPr>
          <w:rFonts w:hint="eastAsia"/>
        </w:rPr>
        <w:sectPr>
          <w:footerReference r:id="rId16" w:type="default"/>
          <w:pgSz w:w="11906" w:h="16838"/>
          <w:pgMar w:top="1440" w:right="1803" w:bottom="1440" w:left="1803" w:header="851" w:footer="992" w:gutter="0"/>
          <w:cols w:space="720" w:num="1"/>
          <w:docGrid w:type="lines" w:linePitch="319" w:charSpace="0"/>
        </w:sectPr>
      </w:pPr>
    </w:p>
    <w:bookmarkEnd w:id="107"/>
    <w:bookmarkEnd w:id="108"/>
    <w:bookmarkEnd w:id="109"/>
    <w:bookmarkEnd w:id="110"/>
    <w:bookmarkEnd w:id="111"/>
    <w:bookmarkEnd w:id="112"/>
    <w:p>
      <w:pPr>
        <w:spacing w:line="360" w:lineRule="auto"/>
        <w:ind w:left="420"/>
        <w:rPr>
          <w:rFonts w:asci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、本项目不接受联合体：</w:t>
      </w:r>
    </w:p>
    <w:p>
      <w:pPr>
        <w:spacing w:line="360" w:lineRule="auto"/>
        <w:ind w:left="420"/>
        <w:jc w:val="center"/>
        <w:rPr>
          <w:rFonts w:ascii="宋体" w:cs="宋体"/>
          <w:sz w:val="24"/>
          <w:szCs w:val="24"/>
        </w:rPr>
      </w:pPr>
      <w:r>
        <w:rPr>
          <w:rFonts w:hint="eastAsia" w:ascii="宋体" w:hAnsi="宋体" w:cs="宋体"/>
          <w:sz w:val="24"/>
          <w:szCs w:val="24"/>
        </w:rPr>
        <w:t>非联合体声明</w:t>
      </w:r>
    </w:p>
    <w:p>
      <w:pPr>
        <w:widowControl/>
        <w:spacing w:line="360" w:lineRule="auto"/>
        <w:ind w:firstLine="480"/>
        <w:rPr>
          <w:rFonts w:ascii="宋体" w:cs="宋体"/>
          <w:kern w:val="0"/>
          <w:sz w:val="24"/>
          <w:szCs w:val="24"/>
        </w:rPr>
      </w:pPr>
      <w:r>
        <w:rPr>
          <w:rFonts w:hint="eastAsia" w:ascii="宋体" w:hAnsi="宋体" w:cs="宋体"/>
          <w:bCs/>
          <w:color w:val="000000"/>
          <w:sz w:val="24"/>
          <w:szCs w:val="24"/>
        </w:rPr>
        <w:t>我司参加本次</w:t>
      </w:r>
      <w:r>
        <w:rPr>
          <w:rFonts w:hint="eastAsia" w:ascii="宋体" w:hAnsi="宋体" w:cs="宋体"/>
          <w:bCs/>
          <w:color w:val="000000"/>
          <w:sz w:val="24"/>
          <w:szCs w:val="24"/>
          <w:u w:val="single"/>
        </w:rPr>
        <w:t>项目名称：</w:t>
      </w:r>
      <w:r>
        <w:rPr>
          <w:rFonts w:hint="eastAsia" w:ascii="宋体" w:hAnsi="宋体" w:cs="宋体"/>
          <w:bCs/>
          <w:color w:val="000000"/>
          <w:sz w:val="24"/>
          <w:szCs w:val="24"/>
          <w:u w:val="single"/>
          <w:lang w:val="en-US" w:eastAsia="zh-CN"/>
        </w:rPr>
        <w:t xml:space="preserve">                </w:t>
      </w:r>
      <w:r>
        <w:rPr>
          <w:rFonts w:hint="eastAsia" w:ascii="宋体" w:hAnsi="宋体" w:cs="宋体"/>
          <w:kern w:val="0"/>
          <w:sz w:val="24"/>
          <w:szCs w:val="24"/>
          <w:u w:val="single"/>
        </w:rPr>
        <w:t>编号：</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政府采购的响应，非联合体，如有虚假，承担相应责任。</w:t>
      </w:r>
    </w:p>
    <w:p>
      <w:pPr>
        <w:widowControl/>
        <w:spacing w:line="360" w:lineRule="auto"/>
        <w:ind w:firstLine="480"/>
        <w:rPr>
          <w:rFonts w:ascii="宋体" w:cs="宋体"/>
          <w:kern w:val="0"/>
          <w:sz w:val="24"/>
          <w:szCs w:val="24"/>
        </w:rPr>
      </w:pPr>
      <w:r>
        <w:rPr>
          <w:rFonts w:hint="eastAsia" w:ascii="宋体" w:hAnsi="宋体" w:cs="宋体"/>
          <w:kern w:val="0"/>
          <w:sz w:val="24"/>
          <w:szCs w:val="24"/>
        </w:rPr>
        <w:t>特此声明！</w:t>
      </w:r>
    </w:p>
    <w:p>
      <w:pPr>
        <w:pStyle w:val="11"/>
        <w:spacing w:line="480" w:lineRule="auto"/>
        <w:jc w:val="left"/>
        <w:rPr>
          <w:rFonts w:hAnsi="宋体" w:cs="宋体"/>
          <w:sz w:val="24"/>
        </w:rPr>
      </w:pPr>
    </w:p>
    <w:p>
      <w:pPr>
        <w:pStyle w:val="11"/>
        <w:spacing w:line="480" w:lineRule="auto"/>
        <w:jc w:val="left"/>
        <w:rPr>
          <w:rFonts w:hAnsi="宋体" w:cs="宋体"/>
          <w:sz w:val="24"/>
        </w:rPr>
      </w:pPr>
    </w:p>
    <w:p>
      <w:pPr>
        <w:pStyle w:val="11"/>
        <w:spacing w:line="480" w:lineRule="auto"/>
        <w:jc w:val="left"/>
        <w:rPr>
          <w:rFonts w:hAnsi="宋体" w:cs="宋体"/>
          <w:sz w:val="24"/>
        </w:rPr>
      </w:pPr>
    </w:p>
    <w:p>
      <w:pPr>
        <w:pStyle w:val="11"/>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1"/>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ind w:firstLine="480" w:firstLineChars="200"/>
        <w:rPr>
          <w:rFonts w:ascii="宋体" w:hAnsi="宋体" w:cs="宋体"/>
          <w:sz w:val="24"/>
          <w:szCs w:val="24"/>
        </w:rPr>
        <w:sectPr>
          <w:headerReference r:id="rId17" w:type="default"/>
          <w:pgSz w:w="11906" w:h="16838"/>
          <w:pgMar w:top="1440" w:right="1803" w:bottom="1440" w:left="1803" w:header="851" w:footer="992" w:gutter="0"/>
          <w:pgNumType w:fmt="decimal"/>
          <w:cols w:space="720" w:num="1"/>
          <w:docGrid w:type="lines" w:linePitch="319" w:charSpace="0"/>
        </w:sectPr>
      </w:pPr>
    </w:p>
    <w:p>
      <w:pPr>
        <w:rPr>
          <w:sz w:val="24"/>
          <w:szCs w:val="28"/>
        </w:rPr>
        <w:sectPr>
          <w:headerReference r:id="rId18" w:type="default"/>
          <w:footerReference r:id="rId19" w:type="default"/>
          <w:pgSz w:w="11906" w:h="16838"/>
          <w:pgMar w:top="1440" w:right="863" w:bottom="1440" w:left="1803" w:header="851" w:footer="992" w:gutter="0"/>
          <w:pgNumType w:fmt="decimal"/>
          <w:cols w:space="720" w:num="1"/>
          <w:docGrid w:type="lines" w:linePitch="319" w:charSpace="0"/>
        </w:sectPr>
      </w:pPr>
      <w:r>
        <w:rPr>
          <w:rFonts w:hint="eastAsia"/>
          <w:sz w:val="24"/>
          <w:szCs w:val="28"/>
          <w:lang w:val="en-US" w:eastAsia="zh-CN"/>
        </w:rPr>
        <w:t>10</w:t>
      </w:r>
      <w:r>
        <w:rPr>
          <w:rFonts w:hint="eastAsia"/>
          <w:sz w:val="24"/>
          <w:szCs w:val="28"/>
        </w:rPr>
        <w:t>、供应商认为应递交的其他证明材料。</w:t>
      </w:r>
    </w:p>
    <w:p>
      <w:pPr>
        <w:adjustRightInd w:val="0"/>
        <w:snapToGrid w:val="0"/>
        <w:spacing w:line="500" w:lineRule="exact"/>
        <w:jc w:val="left"/>
        <w:rPr>
          <w:rFonts w:ascii="宋体" w:hAnsi="宋体" w:cs="宋体"/>
          <w:b/>
          <w:w w:val="120"/>
          <w:sz w:val="28"/>
          <w:szCs w:val="28"/>
        </w:rPr>
      </w:pPr>
    </w:p>
    <w:p>
      <w:pPr>
        <w:adjustRightInd w:val="0"/>
        <w:snapToGrid w:val="0"/>
        <w:spacing w:line="500" w:lineRule="exact"/>
        <w:jc w:val="left"/>
        <w:rPr>
          <w:rFonts w:asci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lang w:eastAsia="zh-CN"/>
        </w:rPr>
        <w:t>ZMZB2022XJD-276</w:t>
      </w:r>
      <w:r>
        <w:rPr>
          <w:rFonts w:hint="eastAsia" w:ascii="宋体" w:hAnsi="宋体" w:cs="宋体"/>
          <w:b/>
          <w:w w:val="120"/>
          <w:sz w:val="28"/>
          <w:szCs w:val="28"/>
        </w:rPr>
        <w:t>（正本或副本）</w:t>
      </w:r>
    </w:p>
    <w:p>
      <w:pPr>
        <w:snapToGrid w:val="0"/>
        <w:spacing w:line="360" w:lineRule="auto"/>
        <w:ind w:right="-99" w:rightChars="-47"/>
        <w:rPr>
          <w:rFonts w:ascii="宋体" w:cs="宋体"/>
          <w:b/>
          <w:bCs/>
          <w:sz w:val="72"/>
          <w:szCs w:val="72"/>
        </w:rPr>
      </w:pPr>
    </w:p>
    <w:p>
      <w:pPr>
        <w:pStyle w:val="112"/>
        <w:jc w:val="center"/>
        <w:rPr>
          <w:rFonts w:ascii="宋体" w:cs="宋体"/>
          <w:b/>
          <w:bCs/>
          <w:sz w:val="40"/>
          <w:szCs w:val="40"/>
        </w:rPr>
      </w:pPr>
      <w:r>
        <w:rPr>
          <w:rFonts w:hint="eastAsia" w:ascii="宋体" w:cs="宋体"/>
          <w:b/>
          <w:bCs/>
          <w:sz w:val="40"/>
          <w:szCs w:val="40"/>
        </w:rPr>
        <w:t>西安建筑科技大学</w:t>
      </w:r>
    </w:p>
    <w:p>
      <w:pPr>
        <w:pStyle w:val="112"/>
        <w:jc w:val="center"/>
        <w:rPr>
          <w:rFonts w:ascii="宋体" w:cs="宋体"/>
          <w:b/>
          <w:bCs/>
          <w:sz w:val="40"/>
          <w:szCs w:val="40"/>
        </w:rPr>
      </w:pPr>
    </w:p>
    <w:p>
      <w:pPr>
        <w:pStyle w:val="112"/>
        <w:jc w:val="center"/>
        <w:rPr>
          <w:rFonts w:hint="eastAsia" w:eastAsia="宋体"/>
          <w:sz w:val="20"/>
          <w:szCs w:val="21"/>
          <w:lang w:eastAsia="zh-CN"/>
        </w:rPr>
      </w:pPr>
      <w:r>
        <w:rPr>
          <w:rFonts w:hint="eastAsia" w:ascii="宋体" w:cs="宋体"/>
          <w:b/>
          <w:bCs/>
          <w:sz w:val="40"/>
          <w:szCs w:val="40"/>
          <w:lang w:eastAsia="zh-CN"/>
        </w:rPr>
        <w:t>冶金制造虚拟仿真实训中心扩建采购项目</w:t>
      </w:r>
    </w:p>
    <w:p>
      <w:pPr>
        <w:pStyle w:val="112"/>
      </w:pPr>
    </w:p>
    <w:p>
      <w:pPr>
        <w:snapToGrid w:val="0"/>
        <w:spacing w:line="480" w:lineRule="auto"/>
        <w:jc w:val="center"/>
        <w:rPr>
          <w:rFonts w:ascii="宋体" w:cs="宋体"/>
          <w:b/>
          <w:bCs/>
          <w:sz w:val="72"/>
          <w:szCs w:val="72"/>
        </w:rPr>
      </w:pPr>
    </w:p>
    <w:p>
      <w:pPr>
        <w:snapToGrid w:val="0"/>
        <w:spacing w:line="480" w:lineRule="auto"/>
        <w:jc w:val="center"/>
        <w:outlineLvl w:val="1"/>
        <w:rPr>
          <w:rFonts w:ascii="宋体" w:cs="宋体"/>
          <w:b/>
          <w:bCs/>
          <w:sz w:val="72"/>
          <w:szCs w:val="72"/>
        </w:rPr>
      </w:pPr>
      <w:bookmarkStart w:id="113" w:name="_Toc11117"/>
      <w:bookmarkStart w:id="114" w:name="_Toc17226"/>
      <w:r>
        <w:rPr>
          <w:rFonts w:hint="eastAsia" w:ascii="宋体" w:cs="宋体"/>
          <w:b/>
          <w:bCs/>
          <w:sz w:val="72"/>
          <w:szCs w:val="72"/>
        </w:rPr>
        <w:t>其他响应性文件</w:t>
      </w:r>
      <w:bookmarkEnd w:id="113"/>
      <w:bookmarkEnd w:id="114"/>
    </w:p>
    <w:p>
      <w:pPr>
        <w:snapToGrid w:val="0"/>
        <w:spacing w:line="360" w:lineRule="auto"/>
        <w:ind w:firstLine="1600" w:firstLineChars="500"/>
        <w:jc w:val="left"/>
        <w:rPr>
          <w:rFonts w:ascii="宋体" w:cs="宋体"/>
          <w:sz w:val="32"/>
          <w:szCs w:val="32"/>
          <w:lang w:val="zh-CN"/>
        </w:rPr>
      </w:pPr>
    </w:p>
    <w:p>
      <w:pPr>
        <w:rPr>
          <w:lang w:val="zh-CN"/>
        </w:rPr>
      </w:pPr>
    </w:p>
    <w:p>
      <w:pPr>
        <w:snapToGrid w:val="0"/>
        <w:spacing w:line="360" w:lineRule="auto"/>
        <w:jc w:val="left"/>
        <w:rPr>
          <w:rFonts w:ascii="宋体" w:hAnsi="宋体" w:cs="宋体"/>
          <w:sz w:val="32"/>
          <w:szCs w:val="32"/>
        </w:rPr>
      </w:pPr>
    </w:p>
    <w:p>
      <w:pPr>
        <w:snapToGrid w:val="0"/>
        <w:spacing w:line="480" w:lineRule="auto"/>
        <w:jc w:val="left"/>
        <w:rPr>
          <w:rFonts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cs="宋体"/>
          <w:b/>
          <w:sz w:val="50"/>
        </w:rPr>
      </w:pPr>
      <w:r>
        <w:rPr>
          <w:rFonts w:hint="eastAsia" w:ascii="宋体" w:hAnsi="宋体" w:cs="宋体"/>
          <w:b/>
          <w:sz w:val="36"/>
          <w:szCs w:val="36"/>
        </w:rPr>
        <w:t>目录</w:t>
      </w:r>
    </w:p>
    <w:p>
      <w:pPr>
        <w:snapToGrid w:val="0"/>
        <w:spacing w:line="480" w:lineRule="auto"/>
        <w:ind w:firstLine="562" w:firstLineChars="200"/>
        <w:jc w:val="left"/>
        <w:rPr>
          <w:rFonts w:ascii="宋体" w:hAnsi="宋体" w:cs="宋体"/>
          <w:b/>
          <w:bCs/>
          <w:sz w:val="28"/>
          <w:szCs w:val="28"/>
        </w:rPr>
      </w:pPr>
      <w:bookmarkStart w:id="115" w:name="_Toc2536"/>
      <w:r>
        <w:rPr>
          <w:rFonts w:hint="eastAsia" w:ascii="宋体" w:hAnsi="宋体" w:cs="宋体"/>
          <w:b/>
          <w:bCs/>
          <w:sz w:val="28"/>
          <w:szCs w:val="28"/>
        </w:rPr>
        <w:t>第一部分  响应函</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第二部分  响应一览表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第三部分  </w:t>
      </w:r>
      <w:r>
        <w:rPr>
          <w:rFonts w:hint="eastAsia" w:hAnsi="宋体" w:cs="宋体"/>
          <w:b/>
          <w:kern w:val="0"/>
          <w:sz w:val="28"/>
          <w:szCs w:val="28"/>
        </w:rPr>
        <w:t>商务及技术响应说明</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第四部分</w:t>
      </w:r>
      <w:r>
        <w:rPr>
          <w:rFonts w:hint="eastAsia" w:ascii="宋体" w:hAnsi="宋体" w:cs="宋体"/>
          <w:b/>
          <w:bCs/>
          <w:sz w:val="28"/>
          <w:szCs w:val="28"/>
          <w:lang w:val="en-US" w:eastAsia="zh-CN"/>
        </w:rPr>
        <w:t xml:space="preserve">  </w:t>
      </w:r>
      <w:r>
        <w:rPr>
          <w:rFonts w:hint="eastAsia" w:hAnsi="宋体" w:cs="宋体"/>
          <w:b/>
          <w:sz w:val="28"/>
          <w:szCs w:val="28"/>
        </w:rPr>
        <w:t>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第五部分  服务承诺</w:t>
      </w:r>
    </w:p>
    <w:p>
      <w:pPr>
        <w:snapToGrid w:val="0"/>
        <w:spacing w:line="480" w:lineRule="auto"/>
        <w:ind w:firstLine="562" w:firstLineChars="200"/>
        <w:jc w:val="left"/>
        <w:rPr>
          <w:rFonts w:ascii="宋体"/>
          <w:b/>
          <w:bCs/>
          <w:sz w:val="28"/>
          <w:szCs w:val="28"/>
        </w:rPr>
      </w:pPr>
      <w:r>
        <w:rPr>
          <w:rFonts w:hint="eastAsia" w:ascii="宋体" w:hAnsi="宋体" w:cs="宋体"/>
          <w:b/>
          <w:bCs/>
          <w:sz w:val="28"/>
          <w:szCs w:val="28"/>
        </w:rPr>
        <w:t>第六部分</w:t>
      </w:r>
      <w:r>
        <w:rPr>
          <w:rFonts w:hint="eastAsia" w:ascii="宋体" w:hAnsi="宋体" w:cs="宋体"/>
          <w:b/>
          <w:bCs/>
          <w:sz w:val="28"/>
          <w:szCs w:val="28"/>
          <w:lang w:val="en-US" w:eastAsia="zh-CN"/>
        </w:rPr>
        <w:t xml:space="preserve">  </w:t>
      </w:r>
      <w:r>
        <w:rPr>
          <w:rFonts w:hint="eastAsia" w:ascii="宋体" w:hAnsi="宋体" w:cs="宋体"/>
          <w:b/>
          <w:bCs/>
          <w:sz w:val="28"/>
          <w:szCs w:val="28"/>
        </w:rPr>
        <w:t>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w:t>
      </w:r>
      <w:r>
        <w:rPr>
          <w:rFonts w:hint="eastAsia" w:ascii="宋体" w:hAnsi="宋体" w:cs="宋体"/>
          <w:b/>
          <w:bCs/>
          <w:sz w:val="28"/>
          <w:szCs w:val="28"/>
          <w:lang w:val="en-US" w:eastAsia="zh-CN"/>
        </w:rPr>
        <w:t xml:space="preserve">  </w:t>
      </w:r>
      <w:r>
        <w:rPr>
          <w:rFonts w:hint="eastAsia" w:ascii="宋体" w:hAnsi="宋体" w:cs="宋体"/>
          <w:b/>
          <w:bCs/>
          <w:sz w:val="28"/>
          <w:szCs w:val="28"/>
        </w:rPr>
        <w:t>供应商认为有必要说明的其他问题</w:t>
      </w:r>
    </w:p>
    <w:p>
      <w:pPr>
        <w:snapToGrid w:val="0"/>
        <w:spacing w:line="480" w:lineRule="auto"/>
        <w:ind w:firstLine="562" w:firstLineChars="200"/>
        <w:jc w:val="left"/>
        <w:rPr>
          <w:rFonts w:ascii="宋体" w:cs="宋体"/>
          <w:b/>
          <w:bCs/>
          <w:sz w:val="28"/>
          <w:szCs w:val="28"/>
        </w:rPr>
      </w:pPr>
    </w:p>
    <w:p>
      <w:pPr>
        <w:pStyle w:val="4"/>
        <w:pageBreakBefore/>
        <w:spacing w:before="319" w:beforeLines="100" w:after="478" w:afterLines="150" w:line="500" w:lineRule="exact"/>
        <w:jc w:val="center"/>
        <w:rPr>
          <w:rFonts w:ascii="宋体" w:cs="宋体"/>
          <w:sz w:val="36"/>
          <w:szCs w:val="36"/>
        </w:rPr>
      </w:pPr>
      <w:bookmarkStart w:id="116" w:name="_Toc2040"/>
      <w:bookmarkStart w:id="117" w:name="_Toc1286"/>
      <w:r>
        <w:rPr>
          <w:rFonts w:hint="eastAsia" w:ascii="宋体" w:hAnsi="宋体" w:cs="宋体"/>
          <w:sz w:val="36"/>
          <w:szCs w:val="36"/>
        </w:rPr>
        <w:t>第一部分响应函</w:t>
      </w:r>
      <w:bookmarkEnd w:id="115"/>
      <w:bookmarkEnd w:id="116"/>
      <w:bookmarkEnd w:id="117"/>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我单位收到项目名称：</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编号为：</w:t>
      </w:r>
      <w:r>
        <w:rPr>
          <w:rFonts w:hint="eastAsia" w:ascii="宋体" w:hAnsi="宋体" w:cs="宋体"/>
          <w:sz w:val="24"/>
          <w:szCs w:val="24"/>
          <w:u w:val="single"/>
          <w:lang w:val="en-US" w:eastAsia="zh-CN"/>
        </w:rPr>
        <w:t xml:space="preserve">          </w:t>
      </w:r>
      <w:r>
        <w:rPr>
          <w:rFonts w:hint="eastAsia" w:ascii="宋体" w:hAnsi="宋体" w:cs="宋体"/>
          <w:sz w:val="24"/>
          <w:szCs w:val="24"/>
        </w:rPr>
        <w:t>的采购文件，经详细研究，我公司决定参加本次采购活动。为此，我方郑重承诺以下诸点，并负法律责任。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1、愿意按照采购文件中的全部要求，提供合格的产品及完善的技术服务，履行合同的责任和义务。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2、我方提交的响应文件正本______份、副本_______份，电子文档_____份、报价一览表_____份。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3、我们已详细阅读了采购文件，完全理解并同意放弃提出含糊不清和误解问题的权力。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4、如果我方在规定的响应有效期内撤回响应文件及承诺，我们的</w:t>
      </w:r>
      <w:r>
        <w:rPr>
          <w:rFonts w:hint="eastAsia" w:ascii="宋体" w:hAnsi="宋体" w:cs="宋体"/>
          <w:sz w:val="24"/>
          <w:szCs w:val="24"/>
          <w:lang w:eastAsia="zh-CN"/>
        </w:rPr>
        <w:t>将承担一切后果</w:t>
      </w:r>
      <w:r>
        <w:rPr>
          <w:rFonts w:hint="eastAsia" w:ascii="宋体" w:hAnsi="宋体" w:cs="宋体"/>
          <w:sz w:val="24"/>
          <w:szCs w:val="24"/>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w:t>
      </w:r>
      <w:r>
        <w:rPr>
          <w:rFonts w:hint="eastAsia" w:ascii="宋体" w:hAnsi="宋体" w:cs="宋体"/>
          <w:b/>
          <w:bCs/>
          <w:sz w:val="24"/>
          <w:szCs w:val="24"/>
          <w:u w:val="single"/>
        </w:rPr>
        <w:t xml:space="preserve">    90    </w:t>
      </w:r>
      <w:r>
        <w:rPr>
          <w:rFonts w:hint="eastAsia" w:ascii="宋体" w:hAnsi="宋体" w:cs="宋体"/>
          <w:b/>
          <w:bCs/>
          <w:sz w:val="24"/>
          <w:szCs w:val="24"/>
        </w:rPr>
        <w:t>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7、所有关于本次响应的函电，请按下列地址联系：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widowControl/>
        <w:spacing w:line="460" w:lineRule="exact"/>
        <w:ind w:firstLine="480" w:firstLineChars="200"/>
        <w:jc w:val="left"/>
        <w:rPr>
          <w:rFonts w:ascii="宋体" w:cs="宋体"/>
          <w:sz w:val="24"/>
          <w:szCs w:val="24"/>
          <w:u w:val="single"/>
        </w:rPr>
      </w:pPr>
    </w:p>
    <w:p>
      <w:pPr>
        <w:pStyle w:val="11"/>
        <w:spacing w:line="480" w:lineRule="auto"/>
        <w:ind w:firstLine="643" w:firstLineChars="200"/>
        <w:jc w:val="center"/>
        <w:rPr>
          <w:rFonts w:cs="宋体"/>
          <w:b/>
          <w:sz w:val="32"/>
        </w:rPr>
      </w:pPr>
    </w:p>
    <w:p>
      <w:pPr>
        <w:pStyle w:val="4"/>
        <w:numPr>
          <w:ilvl w:val="0"/>
          <w:numId w:val="21"/>
        </w:numPr>
        <w:spacing w:before="319" w:beforeLines="100" w:after="478" w:afterLines="150" w:line="500" w:lineRule="exact"/>
        <w:jc w:val="center"/>
        <w:rPr>
          <w:rFonts w:ascii="宋体" w:hAnsi="宋体" w:cs="宋体"/>
          <w:sz w:val="28"/>
          <w:szCs w:val="28"/>
        </w:rPr>
      </w:pPr>
      <w:bookmarkStart w:id="118" w:name="_Toc15061"/>
      <w:bookmarkStart w:id="119" w:name="_Toc28494"/>
      <w:bookmarkStart w:id="120" w:name="_Toc29940"/>
      <w:r>
        <w:rPr>
          <w:rFonts w:hint="eastAsia" w:ascii="宋体" w:hAnsi="宋体" w:cs="宋体"/>
          <w:sz w:val="36"/>
          <w:szCs w:val="36"/>
        </w:rPr>
        <w:t>响应一览表</w:t>
      </w:r>
      <w:bookmarkEnd w:id="118"/>
      <w:bookmarkEnd w:id="119"/>
      <w:bookmarkEnd w:id="120"/>
    </w:p>
    <w:p>
      <w:pPr>
        <w:widowControl/>
        <w:wordWrap w:val="0"/>
        <w:spacing w:line="360" w:lineRule="auto"/>
        <w:jc w:val="left"/>
        <w:rPr>
          <w:rFonts w:hint="eastAsia" w:ascii="宋体" w:eastAsia="宋体" w:cs="宋体"/>
          <w:sz w:val="24"/>
          <w:lang w:eastAsia="zh-CN"/>
        </w:rPr>
      </w:pPr>
      <w:r>
        <w:rPr>
          <w:rFonts w:hint="eastAsia" w:ascii="宋体" w:cs="宋体"/>
          <w:sz w:val="24"/>
        </w:rPr>
        <w:t>项目名称：西安建筑科技大学</w:t>
      </w:r>
      <w:r>
        <w:rPr>
          <w:rFonts w:hint="eastAsia" w:ascii="宋体" w:cs="宋体"/>
          <w:sz w:val="24"/>
          <w:lang w:eastAsia="zh-CN"/>
        </w:rPr>
        <w:t>冶金制造虚拟仿真实训中心扩建采购项目</w:t>
      </w:r>
    </w:p>
    <w:p>
      <w:pPr>
        <w:widowControl/>
        <w:wordWrap w:val="0"/>
        <w:spacing w:line="360" w:lineRule="auto"/>
        <w:jc w:val="left"/>
        <w:rPr>
          <w:rFonts w:hint="eastAsia" w:ascii="宋体" w:eastAsia="宋体" w:cs="宋体"/>
          <w:sz w:val="24"/>
          <w:lang w:eastAsia="zh-CN"/>
        </w:rPr>
      </w:pPr>
      <w:r>
        <w:rPr>
          <w:rFonts w:hint="eastAsia" w:ascii="宋体" w:cs="宋体"/>
          <w:sz w:val="24"/>
        </w:rPr>
        <w:t xml:space="preserve">项目编号： </w:t>
      </w:r>
      <w:r>
        <w:rPr>
          <w:rFonts w:hint="eastAsia" w:ascii="宋体" w:cs="宋体"/>
          <w:sz w:val="24"/>
          <w:lang w:eastAsia="zh-CN"/>
        </w:rPr>
        <w:t>ZMZB2022XJD-276</w:t>
      </w:r>
    </w:p>
    <w:p>
      <w:pPr>
        <w:widowControl/>
        <w:wordWrap w:val="0"/>
        <w:spacing w:line="360" w:lineRule="auto"/>
        <w:jc w:val="left"/>
        <w:rPr>
          <w:rFonts w:ascii="宋体" w:cs="宋体"/>
          <w:sz w:val="24"/>
        </w:rPr>
      </w:pPr>
      <w:r>
        <w:rPr>
          <w:rFonts w:hint="eastAsia" w:ascii="宋体" w:cs="宋体"/>
          <w:sz w:val="24"/>
        </w:rPr>
        <w:t xml:space="preserve">供应商名称： </w:t>
      </w:r>
    </w:p>
    <w:tbl>
      <w:tblPr>
        <w:tblStyle w:val="29"/>
        <w:tblpPr w:leftFromText="180" w:rightFromText="180" w:vertAnchor="text" w:horzAnchor="page" w:tblpXSpec="center" w:tblpY="38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355"/>
        <w:gridCol w:w="159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2970" w:type="dxa"/>
            <w:tcBorders>
              <w:tl2br w:val="single" w:color="auto" w:sz="4" w:space="0"/>
            </w:tcBorders>
          </w:tcPr>
          <w:p>
            <w:pPr>
              <w:kinsoku w:val="0"/>
              <w:spacing w:line="480" w:lineRule="auto"/>
              <w:jc w:val="left"/>
              <w:rPr>
                <w:rFonts w:ascii="宋体" w:cs="宋体"/>
                <w:szCs w:val="21"/>
              </w:rPr>
            </w:pPr>
            <w:r>
              <w:rPr>
                <w:rFonts w:hint="eastAsia" w:ascii="宋体" w:hAnsi="宋体" w:cs="宋体"/>
                <w:szCs w:val="21"/>
              </w:rPr>
              <w:t xml:space="preserve">             协商内容</w:t>
            </w:r>
          </w:p>
          <w:p>
            <w:pPr>
              <w:kinsoku w:val="0"/>
              <w:jc w:val="left"/>
              <w:rPr>
                <w:rFonts w:ascii="宋体" w:cs="宋体"/>
                <w:szCs w:val="21"/>
              </w:rPr>
            </w:pPr>
          </w:p>
          <w:p>
            <w:pPr>
              <w:kinsoku w:val="0"/>
              <w:spacing w:line="480" w:lineRule="auto"/>
              <w:jc w:val="left"/>
              <w:rPr>
                <w:rFonts w:ascii="宋体" w:cs="宋体"/>
                <w:szCs w:val="21"/>
              </w:rPr>
            </w:pPr>
            <w:r>
              <w:rPr>
                <w:rFonts w:hint="eastAsia" w:ascii="宋体" w:hAnsi="宋体" w:cs="宋体"/>
                <w:szCs w:val="21"/>
              </w:rPr>
              <w:t>响应内容</w:t>
            </w:r>
          </w:p>
        </w:tc>
        <w:tc>
          <w:tcPr>
            <w:tcW w:w="2355" w:type="dxa"/>
            <w:vAlign w:val="center"/>
          </w:tcPr>
          <w:p>
            <w:pPr>
              <w:kinsoku w:val="0"/>
              <w:spacing w:line="480" w:lineRule="auto"/>
              <w:jc w:val="center"/>
              <w:rPr>
                <w:rFonts w:ascii="宋体" w:cs="宋体"/>
                <w:szCs w:val="21"/>
              </w:rPr>
            </w:pPr>
            <w:r>
              <w:rPr>
                <w:rFonts w:hint="eastAsia" w:ascii="宋体" w:hAnsi="宋体" w:cs="宋体"/>
                <w:szCs w:val="21"/>
              </w:rPr>
              <w:t>总报价（元）</w:t>
            </w:r>
          </w:p>
        </w:tc>
        <w:tc>
          <w:tcPr>
            <w:tcW w:w="1590" w:type="dxa"/>
            <w:vAlign w:val="center"/>
          </w:tcPr>
          <w:p>
            <w:pPr>
              <w:kinsoku w:val="0"/>
              <w:ind w:right="-199" w:rightChars="-95"/>
              <w:rPr>
                <w:rFonts w:ascii="宋体" w:hAnsi="宋体" w:cs="宋体"/>
                <w:szCs w:val="20"/>
              </w:rPr>
            </w:pPr>
            <w:r>
              <w:rPr>
                <w:rFonts w:hint="eastAsia" w:ascii="宋体" w:hAnsi="宋体" w:cs="宋体"/>
                <w:szCs w:val="20"/>
              </w:rPr>
              <w:t xml:space="preserve">   交货期</w:t>
            </w:r>
          </w:p>
        </w:tc>
        <w:tc>
          <w:tcPr>
            <w:tcW w:w="2124" w:type="dxa"/>
            <w:vAlign w:val="center"/>
          </w:tcPr>
          <w:p>
            <w:pPr>
              <w:kinsoku w:val="0"/>
              <w:ind w:right="-199" w:rightChars="-95"/>
              <w:rPr>
                <w:rFonts w:ascii="宋体" w:cs="宋体"/>
                <w:szCs w:val="21"/>
              </w:rPr>
            </w:pPr>
            <w:r>
              <w:rPr>
                <w:rFonts w:hint="eastAsia" w:ascii="宋体" w:hAnsi="宋体" w:cs="宋体"/>
                <w:szCs w:val="20"/>
              </w:rPr>
              <w:t xml:space="preserve">    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2970" w:type="dxa"/>
            <w:vAlign w:val="center"/>
          </w:tcPr>
          <w:p>
            <w:pPr>
              <w:kinsoku w:val="0"/>
              <w:spacing w:line="480" w:lineRule="auto"/>
              <w:jc w:val="left"/>
              <w:rPr>
                <w:rFonts w:hint="eastAsia" w:ascii="宋体" w:eastAsia="宋体" w:cs="宋体"/>
                <w:szCs w:val="21"/>
                <w:lang w:eastAsia="zh-CN"/>
              </w:rPr>
            </w:pPr>
            <w:r>
              <w:rPr>
                <w:rFonts w:hint="eastAsia" w:ascii="宋体" w:hAnsi="宋体" w:cs="宋体"/>
                <w:szCs w:val="21"/>
              </w:rPr>
              <w:t>西安建筑科技大学</w:t>
            </w:r>
            <w:r>
              <w:rPr>
                <w:rFonts w:hint="eastAsia" w:ascii="宋体" w:hAnsi="宋体" w:cs="宋体"/>
                <w:szCs w:val="21"/>
                <w:lang w:eastAsia="zh-CN"/>
              </w:rPr>
              <w:t>冶金制造虚拟仿真实训中心扩建采购项目</w:t>
            </w:r>
          </w:p>
        </w:tc>
        <w:tc>
          <w:tcPr>
            <w:tcW w:w="2355" w:type="dxa"/>
            <w:vAlign w:val="center"/>
          </w:tcPr>
          <w:p>
            <w:pPr>
              <w:kinsoku w:val="0"/>
              <w:spacing w:line="480" w:lineRule="auto"/>
              <w:jc w:val="left"/>
              <w:rPr>
                <w:rFonts w:ascii="宋体" w:cs="宋体"/>
                <w:szCs w:val="21"/>
              </w:rPr>
            </w:pPr>
          </w:p>
        </w:tc>
        <w:tc>
          <w:tcPr>
            <w:tcW w:w="1590" w:type="dxa"/>
            <w:vAlign w:val="center"/>
          </w:tcPr>
          <w:p>
            <w:pPr>
              <w:kinsoku w:val="0"/>
              <w:spacing w:line="480" w:lineRule="auto"/>
              <w:ind w:firstLine="420" w:firstLineChars="200"/>
              <w:jc w:val="left"/>
              <w:rPr>
                <w:rFonts w:ascii="宋体" w:hAnsi="宋体" w:cs="宋体"/>
                <w:szCs w:val="20"/>
              </w:rPr>
            </w:pPr>
          </w:p>
        </w:tc>
        <w:tc>
          <w:tcPr>
            <w:tcW w:w="2124" w:type="dxa"/>
            <w:vAlign w:val="center"/>
          </w:tcPr>
          <w:p>
            <w:pPr>
              <w:kinsoku w:val="0"/>
              <w:spacing w:line="480" w:lineRule="auto"/>
              <w:jc w:val="left"/>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039" w:type="dxa"/>
            <w:gridSpan w:val="4"/>
            <w:vAlign w:val="center"/>
          </w:tcPr>
          <w:p>
            <w:pPr>
              <w:kinsoku w:val="0"/>
              <w:jc w:val="left"/>
              <w:rPr>
                <w:rFonts w:ascii="宋体" w:hAnsi="宋体" w:cs="宋体"/>
                <w:szCs w:val="21"/>
              </w:rPr>
            </w:pPr>
            <w:r>
              <w:rPr>
                <w:rFonts w:hint="eastAsia" w:ascii="宋体" w:hAnsi="宋体" w:cs="宋体"/>
                <w:szCs w:val="21"/>
              </w:rPr>
              <w:t>总报价：（大写）</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；（小写）</w:t>
            </w:r>
            <w:r>
              <w:rPr>
                <w:rFonts w:hint="eastAsia" w:ascii="宋体" w:hAnsi="宋体" w:cs="宋体"/>
                <w:szCs w:val="21"/>
                <w:u w:val="single"/>
              </w:rPr>
              <w:t>￥</w:t>
            </w:r>
            <w:r>
              <w:rPr>
                <w:rFonts w:hint="eastAsia" w:ascii="宋体" w:hAnsi="宋体" w:cs="宋体"/>
                <w:szCs w:val="21"/>
                <w:u w:val="single"/>
                <w:lang w:val="en-US" w:eastAsia="zh-CN"/>
              </w:rPr>
              <w:t xml:space="preserve">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039" w:type="dxa"/>
            <w:gridSpan w:val="4"/>
            <w:vAlign w:val="center"/>
          </w:tcPr>
          <w:p>
            <w:pPr>
              <w:kinsoku w:val="0"/>
              <w:jc w:val="left"/>
              <w:rPr>
                <w:rFonts w:ascii="宋体" w:hAnsi="宋体" w:cs="宋体"/>
                <w:szCs w:val="21"/>
              </w:rPr>
            </w:pPr>
            <w:r>
              <w:rPr>
                <w:rFonts w:hint="eastAsia" w:ascii="宋体" w:hAnsi="宋体" w:cs="宋体"/>
                <w:szCs w:val="21"/>
              </w:rPr>
              <w:t>备注：表内报价内容以元为单位，精确到小数点后两位。</w:t>
            </w:r>
          </w:p>
        </w:tc>
      </w:tr>
    </w:tbl>
    <w:p>
      <w:pPr>
        <w:widowControl/>
        <w:tabs>
          <w:tab w:val="left" w:pos="4000"/>
        </w:tabs>
        <w:snapToGrid w:val="0"/>
        <w:spacing w:line="300" w:lineRule="auto"/>
        <w:jc w:val="left"/>
        <w:rPr>
          <w:rFonts w:ascii="宋体" w:cs="宋体"/>
          <w:b/>
          <w:bCs/>
          <w:spacing w:val="20"/>
          <w:kern w:val="0"/>
          <w:sz w:val="28"/>
          <w:szCs w:val="28"/>
        </w:rPr>
      </w:pPr>
    </w:p>
    <w:p>
      <w:pPr>
        <w:widowControl/>
        <w:tabs>
          <w:tab w:val="left" w:pos="4000"/>
        </w:tabs>
        <w:snapToGrid w:val="0"/>
        <w:spacing w:line="300" w:lineRule="auto"/>
        <w:jc w:val="left"/>
        <w:rPr>
          <w:rFonts w:ascii="宋体" w:cs="宋体"/>
          <w:b/>
          <w:bCs/>
          <w:spacing w:val="20"/>
          <w:kern w:val="0"/>
          <w:sz w:val="28"/>
          <w:szCs w:val="28"/>
        </w:rPr>
      </w:pPr>
    </w:p>
    <w:p>
      <w:pPr>
        <w:snapToGrid w:val="0"/>
        <w:spacing w:line="360" w:lineRule="auto"/>
        <w:jc w:val="left"/>
        <w:rPr>
          <w:rFonts w:ascii="宋体" w:hAnsi="宋体" w:cs="宋体"/>
          <w:sz w:val="24"/>
          <w:szCs w:val="24"/>
        </w:rPr>
      </w:pPr>
      <w:r>
        <w:rPr>
          <w:rFonts w:hint="eastAsia" w:ascii="宋体" w:hAnsi="宋体" w:cs="宋体"/>
          <w:sz w:val="24"/>
          <w:szCs w:val="24"/>
        </w:rPr>
        <w:t>供应商（单位名称及公章）：____________________</w:t>
      </w:r>
    </w:p>
    <w:p>
      <w:pPr>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w:t>
      </w:r>
    </w:p>
    <w:p>
      <w:pPr>
        <w:snapToGrid w:val="0"/>
        <w:spacing w:line="360" w:lineRule="auto"/>
        <w:jc w:val="left"/>
        <w:rPr>
          <w:rFonts w:ascii="宋体" w:cs="宋体"/>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w:t>
      </w:r>
    </w:p>
    <w:p>
      <w:pPr>
        <w:rPr>
          <w:rFonts w:ascii="宋体" w:hAnsi="宋体" w:cs="宋体"/>
          <w:sz w:val="28"/>
          <w:szCs w:val="28"/>
        </w:rPr>
      </w:pPr>
    </w:p>
    <w:p>
      <w:pPr>
        <w:rPr>
          <w:rFonts w:ascii="宋体" w:hAnsi="宋体" w:cs="宋体"/>
          <w:sz w:val="28"/>
          <w:szCs w:val="28"/>
        </w:rPr>
      </w:pPr>
    </w:p>
    <w:p>
      <w:pPr>
        <w:pStyle w:val="11"/>
        <w:spacing w:line="480" w:lineRule="auto"/>
        <w:ind w:firstLine="560" w:firstLineChars="200"/>
        <w:jc w:val="center"/>
        <w:rPr>
          <w:rFonts w:hAnsi="宋体" w:cs="宋体"/>
          <w:kern w:val="2"/>
          <w:sz w:val="28"/>
          <w:szCs w:val="28"/>
        </w:rPr>
        <w:sectPr>
          <w:headerReference r:id="rId20" w:type="default"/>
          <w:footerReference r:id="rId21" w:type="default"/>
          <w:pgSz w:w="11906" w:h="16838"/>
          <w:pgMar w:top="1440" w:right="1803" w:bottom="1440" w:left="1803" w:header="851" w:footer="992" w:gutter="0"/>
          <w:pgNumType w:fmt="decimal"/>
          <w:cols w:space="720" w:num="1"/>
          <w:docGrid w:type="lines" w:linePitch="319" w:charSpace="0"/>
        </w:sectPr>
      </w:pPr>
    </w:p>
    <w:p>
      <w:pPr>
        <w:pStyle w:val="10"/>
        <w:ind w:firstLine="0"/>
        <w:jc w:val="center"/>
        <w:rPr>
          <w:rFonts w:ascii="宋体" w:hAnsi="宋体" w:cs="宋体"/>
          <w:b/>
          <w:bCs/>
          <w:sz w:val="36"/>
          <w:szCs w:val="36"/>
        </w:rPr>
      </w:pPr>
      <w:r>
        <w:rPr>
          <w:rFonts w:hint="eastAsia" w:ascii="宋体" w:hAnsi="宋体" w:cs="宋体"/>
          <w:b/>
          <w:bCs/>
          <w:sz w:val="36"/>
          <w:szCs w:val="36"/>
        </w:rPr>
        <w:t>分项报价表</w:t>
      </w:r>
    </w:p>
    <w:p>
      <w:pPr>
        <w:widowControl/>
        <w:wordWrap w:val="0"/>
        <w:spacing w:line="360" w:lineRule="auto"/>
        <w:jc w:val="left"/>
        <w:rPr>
          <w:rFonts w:hint="eastAsia" w:ascii="宋体" w:eastAsia="宋体" w:cs="宋体"/>
          <w:sz w:val="24"/>
          <w:lang w:eastAsia="zh-CN"/>
        </w:rPr>
      </w:pPr>
      <w:r>
        <w:rPr>
          <w:rFonts w:hint="eastAsia" w:ascii="宋体" w:cs="宋体"/>
          <w:sz w:val="24"/>
        </w:rPr>
        <w:t>项目名称：西安建筑科技大学</w:t>
      </w:r>
      <w:r>
        <w:rPr>
          <w:rFonts w:hint="eastAsia" w:ascii="宋体" w:cs="宋体"/>
          <w:sz w:val="24"/>
          <w:lang w:eastAsia="zh-CN"/>
        </w:rPr>
        <w:t>冶金制造虚拟仿真实训中心扩建采购项目</w:t>
      </w:r>
      <w:r>
        <w:rPr>
          <w:rFonts w:hint="eastAsia" w:ascii="宋体" w:cs="宋体"/>
          <w:sz w:val="24"/>
        </w:rPr>
        <w:t xml:space="preserve">项目编号： </w:t>
      </w:r>
      <w:r>
        <w:rPr>
          <w:rFonts w:hint="eastAsia" w:ascii="宋体" w:cs="宋体"/>
          <w:sz w:val="24"/>
          <w:lang w:eastAsia="zh-CN"/>
        </w:rPr>
        <w:t>ZMZB2022XJD-276</w:t>
      </w:r>
    </w:p>
    <w:p>
      <w:pPr>
        <w:widowControl/>
        <w:wordWrap w:val="0"/>
        <w:spacing w:line="360" w:lineRule="auto"/>
        <w:jc w:val="left"/>
        <w:rPr>
          <w:rFonts w:ascii="宋体" w:hAnsi="宋体" w:cs="宋体"/>
          <w:b/>
          <w:bCs/>
          <w:sz w:val="36"/>
          <w:szCs w:val="36"/>
        </w:rPr>
      </w:pPr>
      <w:r>
        <w:rPr>
          <w:rFonts w:hint="eastAsia" w:ascii="宋体" w:cs="宋体"/>
          <w:sz w:val="24"/>
        </w:rPr>
        <w:t>供应商名称：</w:t>
      </w:r>
    </w:p>
    <w:tbl>
      <w:tblPr>
        <w:tblStyle w:val="29"/>
        <w:tblpPr w:leftFromText="180" w:rightFromText="180" w:vertAnchor="text" w:horzAnchor="page" w:tblpX="1534" w:tblpY="373"/>
        <w:tblOverlap w:val="never"/>
        <w:tblW w:w="9214" w:type="dxa"/>
        <w:tblInd w:w="0" w:type="dxa"/>
        <w:tblLayout w:type="fixed"/>
        <w:tblCellMar>
          <w:top w:w="0" w:type="dxa"/>
          <w:left w:w="28" w:type="dxa"/>
          <w:bottom w:w="0" w:type="dxa"/>
          <w:right w:w="28" w:type="dxa"/>
        </w:tblCellMar>
      </w:tblPr>
      <w:tblGrid>
        <w:gridCol w:w="1167"/>
        <w:gridCol w:w="539"/>
        <w:gridCol w:w="803"/>
        <w:gridCol w:w="598"/>
        <w:gridCol w:w="979"/>
        <w:gridCol w:w="1596"/>
        <w:gridCol w:w="984"/>
        <w:gridCol w:w="1376"/>
        <w:gridCol w:w="1172"/>
      </w:tblGrid>
      <w:tr>
        <w:tblPrEx>
          <w:tblCellMar>
            <w:top w:w="0" w:type="dxa"/>
            <w:left w:w="28" w:type="dxa"/>
            <w:bottom w:w="0" w:type="dxa"/>
            <w:right w:w="28" w:type="dxa"/>
          </w:tblCellMar>
        </w:tblPrEx>
        <w:trPr>
          <w:trHeight w:val="675" w:hRule="atLeast"/>
        </w:trPr>
        <w:tc>
          <w:tcPr>
            <w:tcW w:w="1167" w:type="dxa"/>
            <w:vMerge w:val="restart"/>
            <w:tcBorders>
              <w:top w:val="single" w:color="auto" w:sz="6" w:space="0"/>
              <w:left w:val="single" w:color="auto" w:sz="6" w:space="0"/>
              <w:right w:val="single" w:color="auto" w:sz="4" w:space="0"/>
            </w:tcBorders>
            <w:noWrap/>
            <w:vAlign w:val="center"/>
          </w:tcPr>
          <w:p>
            <w:pPr>
              <w:jc w:val="left"/>
              <w:rPr>
                <w:rFonts w:ascii="宋体" w:hAnsi="宋体" w:cs="宋体"/>
                <w:sz w:val="24"/>
                <w:szCs w:val="24"/>
              </w:rPr>
            </w:pPr>
            <w:r>
              <w:rPr>
                <w:rFonts w:hint="eastAsia" w:ascii="宋体" w:hAnsi="宋体" w:cs="宋体"/>
                <w:sz w:val="24"/>
                <w:szCs w:val="24"/>
              </w:rPr>
              <w:t>产品费用</w:t>
            </w:r>
          </w:p>
        </w:tc>
        <w:tc>
          <w:tcPr>
            <w:tcW w:w="539" w:type="dxa"/>
            <w:tcBorders>
              <w:top w:val="single" w:color="auto" w:sz="6" w:space="0"/>
              <w:left w:val="single" w:color="auto" w:sz="4" w:space="0"/>
              <w:bottom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序号</w:t>
            </w:r>
          </w:p>
        </w:tc>
        <w:tc>
          <w:tcPr>
            <w:tcW w:w="803"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名称</w:t>
            </w:r>
          </w:p>
        </w:tc>
        <w:tc>
          <w:tcPr>
            <w:tcW w:w="598" w:type="dxa"/>
            <w:tcBorders>
              <w:top w:val="single" w:color="auto" w:sz="6" w:space="0"/>
              <w:left w:val="single" w:color="auto" w:sz="6" w:space="0"/>
              <w:bottom w:val="single" w:color="auto" w:sz="6" w:space="0"/>
              <w:right w:val="single" w:color="auto" w:sz="4" w:space="0"/>
            </w:tcBorders>
            <w:noWrap/>
            <w:vAlign w:val="center"/>
          </w:tcPr>
          <w:p>
            <w:pPr>
              <w:spacing w:after="120"/>
              <w:jc w:val="center"/>
              <w:rPr>
                <w:rFonts w:ascii="宋体" w:hAnsi="宋体" w:cs="宋体"/>
                <w:sz w:val="24"/>
                <w:szCs w:val="24"/>
              </w:rPr>
            </w:pPr>
            <w:r>
              <w:rPr>
                <w:rFonts w:hint="eastAsia" w:ascii="宋体" w:hAnsi="宋体" w:cs="宋体"/>
                <w:sz w:val="24"/>
                <w:szCs w:val="24"/>
              </w:rPr>
              <w:t>品牌</w:t>
            </w:r>
          </w:p>
        </w:tc>
        <w:tc>
          <w:tcPr>
            <w:tcW w:w="979" w:type="dxa"/>
            <w:tcBorders>
              <w:top w:val="single" w:color="auto" w:sz="6" w:space="0"/>
              <w:left w:val="single" w:color="auto" w:sz="4" w:space="0"/>
              <w:bottom w:val="single" w:color="auto" w:sz="6" w:space="0"/>
              <w:right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型号和规格</w:t>
            </w:r>
          </w:p>
        </w:tc>
        <w:tc>
          <w:tcPr>
            <w:tcW w:w="1596" w:type="dxa"/>
            <w:tcBorders>
              <w:top w:val="single" w:color="auto" w:sz="6" w:space="0"/>
              <w:left w:val="single" w:color="auto" w:sz="6" w:space="0"/>
              <w:bottom w:val="single" w:color="auto" w:sz="6" w:space="0"/>
              <w:right w:val="single" w:color="auto" w:sz="6" w:space="0"/>
            </w:tcBorders>
            <w:noWrap/>
            <w:vAlign w:val="center"/>
          </w:tcPr>
          <w:p>
            <w:pPr>
              <w:spacing w:before="159" w:beforeLines="50" w:after="120"/>
              <w:jc w:val="center"/>
              <w:rPr>
                <w:rFonts w:ascii="宋体" w:hAnsi="宋体" w:cs="宋体"/>
                <w:sz w:val="24"/>
                <w:szCs w:val="24"/>
              </w:rPr>
            </w:pPr>
            <w:r>
              <w:rPr>
                <w:rFonts w:hint="eastAsia" w:ascii="宋体" w:hAnsi="宋体" w:cs="宋体"/>
                <w:sz w:val="24"/>
                <w:szCs w:val="24"/>
              </w:rPr>
              <w:t>原产地及制造厂名</w:t>
            </w:r>
          </w:p>
        </w:tc>
        <w:tc>
          <w:tcPr>
            <w:tcW w:w="984"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数量</w:t>
            </w:r>
          </w:p>
        </w:tc>
        <w:tc>
          <w:tcPr>
            <w:tcW w:w="1376"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单价</w:t>
            </w:r>
          </w:p>
          <w:p>
            <w:pPr>
              <w:spacing w:after="120"/>
              <w:jc w:val="center"/>
              <w:rPr>
                <w:rFonts w:ascii="宋体" w:hAnsi="宋体" w:cs="宋体"/>
                <w:sz w:val="24"/>
                <w:szCs w:val="24"/>
              </w:rPr>
            </w:pPr>
            <w:r>
              <w:rPr>
                <w:rFonts w:hint="eastAsia" w:ascii="宋体" w:hAnsi="宋体" w:cs="宋体"/>
                <w:sz w:val="24"/>
                <w:szCs w:val="24"/>
              </w:rPr>
              <w:t>（元）</w:t>
            </w:r>
          </w:p>
        </w:tc>
        <w:tc>
          <w:tcPr>
            <w:tcW w:w="1172" w:type="dxa"/>
            <w:tcBorders>
              <w:top w:val="single" w:color="auto" w:sz="6" w:space="0"/>
              <w:left w:val="single" w:color="auto" w:sz="6" w:space="0"/>
              <w:bottom w:val="single" w:color="auto" w:sz="6" w:space="0"/>
              <w:right w:val="single" w:color="auto" w:sz="6" w:space="0"/>
            </w:tcBorders>
            <w:noWrap/>
            <w:vAlign w:val="center"/>
          </w:tcPr>
          <w:p>
            <w:pPr>
              <w:spacing w:after="120"/>
              <w:jc w:val="center"/>
              <w:rPr>
                <w:rFonts w:ascii="宋体" w:hAnsi="宋体" w:cs="宋体"/>
                <w:sz w:val="24"/>
                <w:szCs w:val="24"/>
              </w:rPr>
            </w:pPr>
            <w:r>
              <w:rPr>
                <w:rFonts w:hint="eastAsia" w:ascii="宋体" w:hAnsi="宋体" w:cs="宋体"/>
                <w:sz w:val="24"/>
                <w:szCs w:val="24"/>
              </w:rPr>
              <w:t>总价</w:t>
            </w:r>
          </w:p>
          <w:p>
            <w:pPr>
              <w:spacing w:after="120"/>
              <w:jc w:val="center"/>
              <w:rPr>
                <w:rFonts w:ascii="宋体" w:hAnsi="宋体" w:cs="宋体"/>
                <w:sz w:val="24"/>
                <w:szCs w:val="24"/>
              </w:rPr>
            </w:pPr>
            <w:r>
              <w:rPr>
                <w:rFonts w:hint="eastAsia" w:ascii="宋体" w:hAnsi="宋体" w:cs="宋体"/>
                <w:sz w:val="24"/>
                <w:szCs w:val="24"/>
              </w:rPr>
              <w:t>（元）</w:t>
            </w: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noWrap/>
            <w:vAlign w:val="center"/>
          </w:tcPr>
          <w:p>
            <w:pPr>
              <w:spacing w:before="319" w:beforeLines="100"/>
              <w:jc w:val="center"/>
              <w:rPr>
                <w:rFonts w:ascii="宋体" w:hAnsi="宋体" w:cs="宋体"/>
                <w:sz w:val="24"/>
                <w:szCs w:val="24"/>
              </w:rPr>
            </w:pPr>
          </w:p>
        </w:tc>
        <w:tc>
          <w:tcPr>
            <w:tcW w:w="539" w:type="dxa"/>
            <w:tcBorders>
              <w:top w:val="single" w:color="auto" w:sz="6" w:space="0"/>
              <w:left w:val="single" w:color="auto" w:sz="4" w:space="0"/>
              <w:bottom w:val="single" w:color="auto" w:sz="4" w:space="0"/>
            </w:tcBorders>
            <w:noWrap/>
            <w:vAlign w:val="center"/>
          </w:tcPr>
          <w:p>
            <w:pPr>
              <w:spacing w:before="319" w:beforeLines="100"/>
              <w:jc w:val="center"/>
              <w:rPr>
                <w:rFonts w:ascii="宋体" w:hAnsi="宋体" w:cs="宋体"/>
                <w:sz w:val="24"/>
                <w:szCs w:val="24"/>
              </w:rPr>
            </w:pPr>
            <w:r>
              <w:rPr>
                <w:rFonts w:hint="eastAsia" w:ascii="宋体" w:hAnsi="宋体" w:cs="宋体"/>
                <w:sz w:val="24"/>
                <w:szCs w:val="24"/>
              </w:rPr>
              <w:t>1</w:t>
            </w:r>
          </w:p>
        </w:tc>
        <w:tc>
          <w:tcPr>
            <w:tcW w:w="803" w:type="dxa"/>
            <w:tcBorders>
              <w:top w:val="single" w:color="auto" w:sz="6" w:space="0"/>
              <w:left w:val="single" w:color="auto" w:sz="6" w:space="0"/>
              <w:bottom w:val="single" w:color="auto" w:sz="4" w:space="0"/>
              <w:right w:val="single" w:color="auto" w:sz="6" w:space="0"/>
            </w:tcBorders>
            <w:noWrap/>
            <w:vAlign w:val="center"/>
          </w:tcPr>
          <w:p>
            <w:pPr>
              <w:spacing w:before="159" w:beforeLines="50"/>
              <w:jc w:val="center"/>
              <w:rPr>
                <w:rFonts w:ascii="宋体" w:hAnsi="宋体" w:cs="宋体"/>
                <w:sz w:val="24"/>
                <w:szCs w:val="24"/>
              </w:rPr>
            </w:pPr>
          </w:p>
        </w:tc>
        <w:tc>
          <w:tcPr>
            <w:tcW w:w="598" w:type="dxa"/>
            <w:tcBorders>
              <w:top w:val="single" w:color="auto" w:sz="6" w:space="0"/>
              <w:left w:val="single" w:color="auto" w:sz="6" w:space="0"/>
              <w:bottom w:val="single" w:color="auto" w:sz="4" w:space="0"/>
              <w:right w:val="single" w:color="auto" w:sz="4" w:space="0"/>
            </w:tcBorders>
            <w:noWrap/>
            <w:vAlign w:val="center"/>
          </w:tcPr>
          <w:p>
            <w:pPr>
              <w:spacing w:before="159" w:beforeLines="50"/>
              <w:jc w:val="center"/>
              <w:rPr>
                <w:rFonts w:ascii="宋体" w:hAnsi="宋体" w:cs="宋体"/>
                <w:sz w:val="24"/>
                <w:szCs w:val="24"/>
              </w:rPr>
            </w:pPr>
          </w:p>
        </w:tc>
        <w:tc>
          <w:tcPr>
            <w:tcW w:w="979" w:type="dxa"/>
            <w:tcBorders>
              <w:top w:val="single" w:color="auto" w:sz="6" w:space="0"/>
              <w:left w:val="single" w:color="auto" w:sz="4" w:space="0"/>
              <w:bottom w:val="single" w:color="auto" w:sz="4" w:space="0"/>
              <w:right w:val="single" w:color="auto" w:sz="6" w:space="0"/>
            </w:tcBorders>
            <w:noWrap/>
            <w:vAlign w:val="center"/>
          </w:tcPr>
          <w:p>
            <w:pPr>
              <w:spacing w:before="159" w:beforeLines="50"/>
              <w:jc w:val="center"/>
              <w:rPr>
                <w:rFonts w:ascii="宋体" w:hAnsi="宋体" w:cs="宋体"/>
                <w:sz w:val="24"/>
                <w:szCs w:val="24"/>
              </w:rPr>
            </w:pPr>
          </w:p>
        </w:tc>
        <w:tc>
          <w:tcPr>
            <w:tcW w:w="1596" w:type="dxa"/>
            <w:tcBorders>
              <w:top w:val="single" w:color="auto" w:sz="6" w:space="0"/>
              <w:left w:val="single" w:color="auto" w:sz="6" w:space="0"/>
              <w:bottom w:val="single" w:color="auto" w:sz="4" w:space="0"/>
              <w:right w:val="single" w:color="auto" w:sz="6" w:space="0"/>
            </w:tcBorders>
            <w:noWrap/>
            <w:vAlign w:val="center"/>
          </w:tcPr>
          <w:p>
            <w:pPr>
              <w:spacing w:before="159" w:beforeLines="50"/>
              <w:jc w:val="center"/>
              <w:rPr>
                <w:rFonts w:ascii="宋体" w:hAnsi="宋体" w:cs="宋体"/>
                <w:sz w:val="24"/>
                <w:szCs w:val="24"/>
              </w:rPr>
            </w:pPr>
          </w:p>
        </w:tc>
        <w:tc>
          <w:tcPr>
            <w:tcW w:w="984" w:type="dxa"/>
            <w:tcBorders>
              <w:top w:val="single" w:color="auto" w:sz="6" w:space="0"/>
              <w:left w:val="single" w:color="auto" w:sz="6" w:space="0"/>
              <w:bottom w:val="single" w:color="auto" w:sz="4" w:space="0"/>
              <w:right w:val="single" w:color="auto" w:sz="6" w:space="0"/>
            </w:tcBorders>
            <w:noWrap/>
            <w:vAlign w:val="center"/>
          </w:tcPr>
          <w:p>
            <w:pPr>
              <w:spacing w:before="159" w:beforeLines="50"/>
              <w:jc w:val="center"/>
              <w:rPr>
                <w:rFonts w:ascii="宋体" w:hAnsi="宋体" w:cs="宋体"/>
                <w:sz w:val="24"/>
                <w:szCs w:val="24"/>
              </w:rPr>
            </w:pPr>
          </w:p>
        </w:tc>
        <w:tc>
          <w:tcPr>
            <w:tcW w:w="1376" w:type="dxa"/>
            <w:tcBorders>
              <w:top w:val="single" w:color="auto" w:sz="6" w:space="0"/>
              <w:left w:val="single" w:color="auto" w:sz="6" w:space="0"/>
              <w:bottom w:val="single" w:color="auto" w:sz="4" w:space="0"/>
              <w:right w:val="single" w:color="auto" w:sz="6" w:space="0"/>
            </w:tcBorders>
            <w:noWrap/>
            <w:vAlign w:val="center"/>
          </w:tcPr>
          <w:p>
            <w:pPr>
              <w:spacing w:before="159" w:beforeLines="50"/>
              <w:jc w:val="center"/>
              <w:rPr>
                <w:rFonts w:ascii="宋体" w:hAnsi="宋体" w:cs="宋体"/>
                <w:sz w:val="24"/>
                <w:szCs w:val="24"/>
              </w:rPr>
            </w:pPr>
          </w:p>
        </w:tc>
        <w:tc>
          <w:tcPr>
            <w:tcW w:w="1172" w:type="dxa"/>
            <w:tcBorders>
              <w:top w:val="single" w:color="auto" w:sz="6" w:space="0"/>
              <w:left w:val="single" w:color="auto" w:sz="6" w:space="0"/>
              <w:bottom w:val="single" w:color="auto" w:sz="4"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noWrap/>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noWrap/>
            <w:vAlign w:val="center"/>
          </w:tcPr>
          <w:p>
            <w:pPr>
              <w:spacing w:before="319" w:beforeLines="100"/>
              <w:jc w:val="center"/>
              <w:rPr>
                <w:rFonts w:ascii="宋体" w:hAnsi="宋体" w:cs="宋体"/>
                <w:sz w:val="24"/>
                <w:szCs w:val="24"/>
              </w:rPr>
            </w:pPr>
            <w:r>
              <w:rPr>
                <w:rFonts w:hint="eastAsia" w:ascii="宋体" w:hAnsi="宋体" w:cs="宋体"/>
                <w:sz w:val="24"/>
                <w:szCs w:val="24"/>
              </w:rPr>
              <w:t>2</w:t>
            </w:r>
          </w:p>
        </w:tc>
        <w:tc>
          <w:tcPr>
            <w:tcW w:w="803" w:type="dxa"/>
            <w:tcBorders>
              <w:top w:val="single" w:color="auto" w:sz="4" w:space="0"/>
              <w:left w:val="single" w:color="auto" w:sz="6" w:space="0"/>
              <w:bottom w:val="single" w:color="auto" w:sz="6" w:space="0"/>
              <w:right w:val="single" w:color="auto" w:sz="6" w:space="0"/>
            </w:tcBorders>
            <w:noWrap/>
            <w:vAlign w:val="center"/>
          </w:tcPr>
          <w:p>
            <w:pPr>
              <w:spacing w:before="319" w:beforeLines="10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noWrap/>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noWrap/>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noWrap/>
            <w:vAlign w:val="center"/>
          </w:tcPr>
          <w:p>
            <w:pPr>
              <w:spacing w:before="319" w:beforeLines="100"/>
              <w:jc w:val="center"/>
              <w:rPr>
                <w:rFonts w:ascii="宋体" w:hAnsi="宋体" w:cs="宋体"/>
                <w:sz w:val="24"/>
                <w:szCs w:val="24"/>
              </w:rPr>
            </w:pPr>
            <w:r>
              <w:rPr>
                <w:rFonts w:hint="eastAsia" w:ascii="宋体" w:hAnsi="宋体" w:cs="宋体"/>
                <w:sz w:val="24"/>
                <w:szCs w:val="24"/>
              </w:rPr>
              <w:t>3</w:t>
            </w:r>
          </w:p>
        </w:tc>
        <w:tc>
          <w:tcPr>
            <w:tcW w:w="803" w:type="dxa"/>
            <w:tcBorders>
              <w:top w:val="single" w:color="auto" w:sz="4" w:space="0"/>
              <w:left w:val="single" w:color="auto" w:sz="6" w:space="0"/>
              <w:bottom w:val="single" w:color="auto" w:sz="6" w:space="0"/>
              <w:right w:val="single" w:color="auto" w:sz="6" w:space="0"/>
            </w:tcBorders>
            <w:noWrap/>
            <w:vAlign w:val="center"/>
          </w:tcPr>
          <w:p>
            <w:pPr>
              <w:spacing w:before="319" w:beforeLines="10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noWrap/>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noWrap/>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noWrap/>
            <w:vAlign w:val="center"/>
          </w:tcPr>
          <w:p>
            <w:pPr>
              <w:spacing w:before="319" w:beforeLines="100"/>
              <w:jc w:val="center"/>
              <w:rPr>
                <w:rFonts w:ascii="宋体" w:hAnsi="宋体" w:cs="宋体"/>
                <w:sz w:val="24"/>
                <w:szCs w:val="24"/>
              </w:rPr>
            </w:pPr>
            <w:r>
              <w:rPr>
                <w:rFonts w:hint="eastAsia" w:ascii="宋体" w:hAnsi="宋体" w:cs="宋体"/>
                <w:sz w:val="24"/>
                <w:szCs w:val="24"/>
              </w:rPr>
              <w:t>……</w:t>
            </w:r>
          </w:p>
        </w:tc>
        <w:tc>
          <w:tcPr>
            <w:tcW w:w="803"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noWrap/>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bottom w:val="single" w:color="auto" w:sz="6" w:space="0"/>
              <w:right w:val="single" w:color="auto" w:sz="4" w:space="0"/>
            </w:tcBorders>
            <w:noWrap/>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noWrap/>
            <w:vAlign w:val="center"/>
          </w:tcPr>
          <w:p>
            <w:pPr>
              <w:spacing w:before="319" w:beforeLines="100"/>
              <w:jc w:val="center"/>
              <w:rPr>
                <w:rFonts w:ascii="宋体" w:hAnsi="宋体" w:cs="宋体"/>
                <w:b/>
                <w:bCs/>
                <w:sz w:val="24"/>
                <w:szCs w:val="24"/>
              </w:rPr>
            </w:pPr>
            <w:r>
              <w:rPr>
                <w:rFonts w:hint="eastAsia" w:ascii="宋体" w:hAnsi="宋体" w:cs="宋体"/>
                <w:sz w:val="24"/>
                <w:szCs w:val="24"/>
              </w:rPr>
              <w:t>……</w:t>
            </w:r>
          </w:p>
        </w:tc>
        <w:tc>
          <w:tcPr>
            <w:tcW w:w="803"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noWrap/>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noWrap/>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706" w:type="dxa"/>
            <w:gridSpan w:val="2"/>
            <w:tcBorders>
              <w:top w:val="single" w:color="auto" w:sz="4" w:space="0"/>
              <w:left w:val="single" w:color="auto" w:sz="6" w:space="0"/>
              <w:bottom w:val="single" w:color="auto" w:sz="6" w:space="0"/>
            </w:tcBorders>
            <w:noWrap/>
            <w:vAlign w:val="center"/>
          </w:tcPr>
          <w:p>
            <w:pPr>
              <w:jc w:val="center"/>
              <w:rPr>
                <w:rFonts w:ascii="宋体" w:hAnsi="宋体" w:cs="宋体"/>
                <w:sz w:val="24"/>
                <w:szCs w:val="24"/>
              </w:rPr>
            </w:pPr>
            <w:r>
              <w:rPr>
                <w:rFonts w:hint="eastAsia" w:ascii="宋体" w:hAnsi="宋体" w:cs="宋体"/>
                <w:sz w:val="24"/>
                <w:szCs w:val="24"/>
              </w:rPr>
              <w:t>备注</w:t>
            </w:r>
          </w:p>
        </w:tc>
        <w:tc>
          <w:tcPr>
            <w:tcW w:w="7508" w:type="dxa"/>
            <w:gridSpan w:val="7"/>
            <w:tcBorders>
              <w:top w:val="single" w:color="auto" w:sz="4" w:space="0"/>
              <w:left w:val="single" w:color="auto" w:sz="6" w:space="0"/>
              <w:bottom w:val="single" w:color="auto" w:sz="6" w:space="0"/>
              <w:right w:val="single" w:color="auto" w:sz="6" w:space="0"/>
            </w:tcBorders>
            <w:noWrap/>
            <w:vAlign w:val="center"/>
          </w:tcPr>
          <w:p>
            <w:pPr>
              <w:spacing w:before="159" w:beforeLines="50"/>
              <w:rPr>
                <w:rFonts w:ascii="宋体" w:hAnsi="宋体" w:cs="宋体"/>
                <w:sz w:val="24"/>
                <w:szCs w:val="24"/>
              </w:rPr>
            </w:pPr>
            <w:r>
              <w:rPr>
                <w:rFonts w:hint="eastAsia" w:ascii="宋体" w:hAnsi="宋体" w:cs="宋体"/>
                <w:sz w:val="24"/>
                <w:szCs w:val="24"/>
              </w:rPr>
              <w:t>表内报价内容以元为单位，精确到小数点后两位。</w:t>
            </w:r>
          </w:p>
        </w:tc>
      </w:tr>
    </w:tbl>
    <w:p>
      <w:pPr>
        <w:adjustRightInd w:val="0"/>
        <w:snapToGrid w:val="0"/>
        <w:spacing w:line="360" w:lineRule="auto"/>
        <w:jc w:val="left"/>
        <w:rPr>
          <w:rFonts w:ascii="宋体" w:hAnsi="宋体" w:cs="宋体"/>
          <w:sz w:val="24"/>
          <w:szCs w:val="24"/>
        </w:rPr>
      </w:pPr>
    </w:p>
    <w:p>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Cs w:val="21"/>
        </w:rPr>
        <w:t>________________________________</w:t>
      </w:r>
    </w:p>
    <w:p>
      <w:pPr>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Cs w:val="21"/>
        </w:rPr>
        <w:t>____________________________</w:t>
      </w:r>
    </w:p>
    <w:p>
      <w:pPr>
        <w:snapToGrid w:val="0"/>
        <w:spacing w:line="360" w:lineRule="auto"/>
        <w:jc w:val="left"/>
        <w:rPr>
          <w:rFonts w:ascii="宋体" w:hAnsi="宋体" w:cs="宋体"/>
          <w:sz w:val="24"/>
          <w:szCs w:val="24"/>
        </w:rPr>
      </w:pPr>
      <w:r>
        <w:rPr>
          <w:rFonts w:hint="eastAsia" w:ascii="宋体" w:hAnsi="宋体" w:cs="宋体"/>
          <w:sz w:val="24"/>
          <w:szCs w:val="24"/>
        </w:rPr>
        <w:t>时间：_______年</w:t>
      </w:r>
      <w:r>
        <w:rPr>
          <w:rFonts w:hint="eastAsia" w:ascii="宋体" w:hAnsi="宋体" w:cs="宋体"/>
          <w:szCs w:val="21"/>
        </w:rPr>
        <w:t>____</w:t>
      </w:r>
      <w:r>
        <w:rPr>
          <w:rFonts w:hint="eastAsia" w:ascii="宋体" w:hAnsi="宋体" w:cs="宋体"/>
          <w:sz w:val="24"/>
          <w:szCs w:val="24"/>
        </w:rPr>
        <w:t>月</w:t>
      </w:r>
      <w:r>
        <w:rPr>
          <w:rFonts w:hint="eastAsia" w:ascii="宋体" w:hAnsi="宋体" w:cs="宋体"/>
          <w:szCs w:val="21"/>
        </w:rPr>
        <w:t>____</w:t>
      </w:r>
      <w:r>
        <w:rPr>
          <w:rFonts w:hint="eastAsia" w:ascii="宋体" w:hAnsi="宋体" w:cs="宋体"/>
          <w:sz w:val="24"/>
          <w:szCs w:val="24"/>
        </w:rPr>
        <w:t>日</w:t>
      </w:r>
    </w:p>
    <w:p>
      <w:pPr>
        <w:tabs>
          <w:tab w:val="left" w:pos="2410"/>
        </w:tabs>
        <w:jc w:val="left"/>
        <w:sectPr>
          <w:pgSz w:w="11906" w:h="16838"/>
          <w:pgMar w:top="1440" w:right="1803" w:bottom="1440" w:left="1803" w:header="851" w:footer="992" w:gutter="0"/>
          <w:pgNumType w:fmt="decimal"/>
          <w:cols w:space="720" w:num="1"/>
          <w:docGrid w:type="lines" w:linePitch="319" w:charSpace="0"/>
        </w:sectPr>
      </w:pPr>
    </w:p>
    <w:p>
      <w:pPr>
        <w:pStyle w:val="4"/>
        <w:jc w:val="center"/>
        <w:rPr>
          <w:rFonts w:ascii="宋体" w:hAnsi="宋体" w:cs="宋体"/>
          <w:sz w:val="36"/>
          <w:szCs w:val="36"/>
        </w:rPr>
      </w:pPr>
      <w:bookmarkStart w:id="121" w:name="_Toc19766"/>
      <w:bookmarkStart w:id="122" w:name="_Toc29779"/>
      <w:bookmarkStart w:id="123" w:name="_Toc7705"/>
      <w:r>
        <w:rPr>
          <w:rFonts w:hint="eastAsia" w:hAnsi="宋体" w:cs="宋体"/>
          <w:sz w:val="36"/>
          <w:szCs w:val="36"/>
        </w:rPr>
        <w:t>第三部分</w:t>
      </w:r>
      <w:bookmarkEnd w:id="121"/>
      <w:r>
        <w:rPr>
          <w:rFonts w:hint="eastAsia" w:ascii="宋体" w:hAnsi="宋体" w:cs="宋体"/>
          <w:sz w:val="36"/>
          <w:szCs w:val="36"/>
        </w:rPr>
        <w:t xml:space="preserve"> 商务及技术响应说明</w:t>
      </w:r>
      <w:bookmarkEnd w:id="122"/>
      <w:bookmarkEnd w:id="123"/>
    </w:p>
    <w:p>
      <w:pPr>
        <w:jc w:val="center"/>
        <w:rPr>
          <w:rFonts w:ascii="宋体" w:hAnsi="宋体" w:cs="宋体"/>
        </w:rPr>
      </w:pPr>
      <w:r>
        <w:rPr>
          <w:rFonts w:hint="eastAsia" w:ascii="宋体" w:hAnsi="宋体" w:cs="宋体"/>
          <w:b/>
          <w:bCs/>
          <w:sz w:val="28"/>
          <w:szCs w:val="32"/>
        </w:rPr>
        <w:t>商务偏离表</w:t>
      </w:r>
    </w:p>
    <w:tbl>
      <w:tblPr>
        <w:tblStyle w:val="29"/>
        <w:tblW w:w="9576"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663"/>
        <w:gridCol w:w="1750"/>
        <w:gridCol w:w="2640"/>
        <w:gridCol w:w="151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vAlign w:val="center"/>
          </w:tcPr>
          <w:p>
            <w:pPr>
              <w:pStyle w:val="11"/>
              <w:spacing w:line="480" w:lineRule="auto"/>
              <w:jc w:val="center"/>
              <w:rPr>
                <w:rFonts w:hAnsi="宋体" w:cs="宋体"/>
                <w:sz w:val="24"/>
                <w:szCs w:val="24"/>
              </w:rPr>
            </w:pPr>
            <w:r>
              <w:rPr>
                <w:rFonts w:hint="eastAsia" w:hAnsi="宋体" w:cs="宋体"/>
                <w:sz w:val="24"/>
                <w:szCs w:val="24"/>
              </w:rPr>
              <w:t>序号</w:t>
            </w:r>
          </w:p>
        </w:tc>
        <w:tc>
          <w:tcPr>
            <w:tcW w:w="1663" w:type="dxa"/>
            <w:vAlign w:val="center"/>
          </w:tcPr>
          <w:p>
            <w:pPr>
              <w:pStyle w:val="11"/>
              <w:spacing w:line="480" w:lineRule="auto"/>
              <w:jc w:val="left"/>
              <w:rPr>
                <w:rFonts w:hAnsi="宋体" w:cs="宋体"/>
                <w:sz w:val="24"/>
                <w:szCs w:val="24"/>
              </w:rPr>
            </w:pPr>
            <w:r>
              <w:rPr>
                <w:rFonts w:hint="eastAsia" w:hAnsi="宋体" w:cs="宋体"/>
                <w:sz w:val="24"/>
                <w:szCs w:val="24"/>
              </w:rPr>
              <w:t xml:space="preserve"> 商务条款</w:t>
            </w:r>
          </w:p>
        </w:tc>
        <w:tc>
          <w:tcPr>
            <w:tcW w:w="1750" w:type="dxa"/>
            <w:vAlign w:val="center"/>
          </w:tcPr>
          <w:p>
            <w:pPr>
              <w:pStyle w:val="11"/>
              <w:spacing w:line="480" w:lineRule="auto"/>
              <w:jc w:val="left"/>
              <w:rPr>
                <w:rFonts w:hAnsi="宋体" w:cs="宋体"/>
                <w:sz w:val="24"/>
                <w:szCs w:val="24"/>
              </w:rPr>
            </w:pPr>
            <w:r>
              <w:rPr>
                <w:rFonts w:hint="eastAsia" w:hAnsi="宋体" w:cs="宋体"/>
                <w:sz w:val="24"/>
                <w:szCs w:val="24"/>
              </w:rPr>
              <w:t>商务要求内容</w:t>
            </w:r>
          </w:p>
        </w:tc>
        <w:tc>
          <w:tcPr>
            <w:tcW w:w="2640" w:type="dxa"/>
            <w:vAlign w:val="center"/>
          </w:tcPr>
          <w:p>
            <w:pPr>
              <w:pStyle w:val="11"/>
              <w:spacing w:line="480" w:lineRule="auto"/>
              <w:rPr>
                <w:rFonts w:hAnsi="宋体" w:cs="宋体"/>
                <w:sz w:val="24"/>
                <w:szCs w:val="24"/>
              </w:rPr>
            </w:pPr>
            <w:r>
              <w:rPr>
                <w:rFonts w:hint="eastAsia" w:hAnsi="宋体" w:cs="宋体"/>
                <w:sz w:val="24"/>
                <w:szCs w:val="24"/>
              </w:rPr>
              <w:t>响应文件响应商务内容</w:t>
            </w:r>
          </w:p>
        </w:tc>
        <w:tc>
          <w:tcPr>
            <w:tcW w:w="1510" w:type="dxa"/>
            <w:vAlign w:val="center"/>
          </w:tcPr>
          <w:p>
            <w:pPr>
              <w:pStyle w:val="11"/>
              <w:spacing w:line="480" w:lineRule="auto"/>
              <w:jc w:val="center"/>
              <w:rPr>
                <w:rFonts w:hAnsi="宋体" w:cs="宋体"/>
                <w:sz w:val="24"/>
                <w:szCs w:val="24"/>
              </w:rPr>
            </w:pPr>
            <w:r>
              <w:rPr>
                <w:rFonts w:hint="eastAsia" w:hAnsi="宋体" w:cs="宋体"/>
                <w:sz w:val="24"/>
                <w:szCs w:val="24"/>
              </w:rPr>
              <w:t>偏离情况</w:t>
            </w:r>
          </w:p>
        </w:tc>
        <w:tc>
          <w:tcPr>
            <w:tcW w:w="993" w:type="dxa"/>
            <w:vAlign w:val="center"/>
          </w:tcPr>
          <w:p>
            <w:pPr>
              <w:pStyle w:val="11"/>
              <w:spacing w:line="48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vAlign w:val="center"/>
          </w:tcPr>
          <w:p>
            <w:pPr>
              <w:pStyle w:val="11"/>
              <w:spacing w:line="480" w:lineRule="auto"/>
              <w:ind w:firstLine="480" w:firstLineChars="200"/>
              <w:jc w:val="left"/>
              <w:rPr>
                <w:rFonts w:hAnsi="宋体" w:cs="宋体"/>
                <w:sz w:val="24"/>
                <w:szCs w:val="24"/>
              </w:rPr>
            </w:pPr>
          </w:p>
        </w:tc>
        <w:tc>
          <w:tcPr>
            <w:tcW w:w="2640" w:type="dxa"/>
            <w:vAlign w:val="center"/>
          </w:tcPr>
          <w:p>
            <w:pPr>
              <w:pStyle w:val="11"/>
              <w:spacing w:line="480" w:lineRule="auto"/>
              <w:ind w:firstLine="480" w:firstLineChars="200"/>
              <w:jc w:val="left"/>
              <w:rPr>
                <w:rFonts w:hAnsi="宋体" w:cs="宋体"/>
                <w:sz w:val="24"/>
                <w:szCs w:val="24"/>
              </w:rPr>
            </w:pPr>
          </w:p>
        </w:tc>
        <w:tc>
          <w:tcPr>
            <w:tcW w:w="1510" w:type="dxa"/>
            <w:vAlign w:val="center"/>
          </w:tcPr>
          <w:p>
            <w:pPr>
              <w:pStyle w:val="11"/>
              <w:spacing w:line="480" w:lineRule="auto"/>
              <w:ind w:firstLine="480" w:firstLineChars="200"/>
              <w:jc w:val="left"/>
              <w:rPr>
                <w:rFonts w:hAnsi="宋体" w:cs="宋体"/>
                <w:sz w:val="24"/>
                <w:szCs w:val="24"/>
              </w:rPr>
            </w:pPr>
          </w:p>
        </w:tc>
        <w:tc>
          <w:tcPr>
            <w:tcW w:w="993" w:type="dxa"/>
            <w:vAlign w:val="center"/>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20" w:type="dxa"/>
          </w:tcPr>
          <w:p>
            <w:pPr>
              <w:pStyle w:val="11"/>
              <w:spacing w:line="480" w:lineRule="auto"/>
              <w:jc w:val="left"/>
              <w:rPr>
                <w:rFonts w:hAnsi="宋体" w:cs="宋体"/>
                <w:sz w:val="24"/>
                <w:szCs w:val="24"/>
              </w:rPr>
            </w:pPr>
          </w:p>
        </w:tc>
        <w:tc>
          <w:tcPr>
            <w:tcW w:w="1663" w:type="dxa"/>
          </w:tcPr>
          <w:p>
            <w:pPr>
              <w:pStyle w:val="11"/>
              <w:spacing w:line="480" w:lineRule="auto"/>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bl>
    <w:p>
      <w:pPr>
        <w:pStyle w:val="10"/>
        <w:numPr>
          <w:ilvl w:val="0"/>
          <w:numId w:val="22"/>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10"/>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10"/>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10"/>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10"/>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 xml:space="preserve"> 日</w:t>
      </w:r>
    </w:p>
    <w:p>
      <w:pPr>
        <w:rPr>
          <w:rFonts w:ascii="宋体" w:hAnsi="宋体" w:cs="宋体"/>
          <w:sz w:val="24"/>
          <w:szCs w:val="24"/>
        </w:rPr>
      </w:pPr>
    </w:p>
    <w:p/>
    <w:p>
      <w:pPr>
        <w:rPr>
          <w:rFonts w:ascii="宋体" w:hAnsi="宋体" w:cs="宋体"/>
          <w:sz w:val="24"/>
          <w:szCs w:val="24"/>
        </w:rPr>
      </w:pPr>
    </w:p>
    <w:p>
      <w:pPr>
        <w:rPr>
          <w:rFonts w:ascii="宋体" w:hAnsi="宋体" w:cs="宋体"/>
          <w:sz w:val="24"/>
          <w:szCs w:val="24"/>
        </w:rPr>
      </w:pPr>
    </w:p>
    <w:p>
      <w:pPr>
        <w:jc w:val="center"/>
        <w:rPr>
          <w:rFonts w:ascii="宋体" w:hAnsi="宋体" w:cs="宋体"/>
          <w:sz w:val="24"/>
          <w:szCs w:val="24"/>
        </w:rPr>
      </w:pPr>
      <w:r>
        <w:rPr>
          <w:rFonts w:hint="eastAsia" w:ascii="宋体" w:hAnsi="宋体" w:cs="宋体"/>
          <w:b/>
          <w:bCs/>
          <w:sz w:val="28"/>
          <w:szCs w:val="32"/>
        </w:rPr>
        <w:t>技术偏离表</w:t>
      </w:r>
    </w:p>
    <w:tbl>
      <w:tblPr>
        <w:tblStyle w:val="29"/>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1"/>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1"/>
              <w:spacing w:line="360" w:lineRule="auto"/>
              <w:jc w:val="center"/>
              <w:rPr>
                <w:rFonts w:hAnsi="宋体" w:cs="宋体"/>
                <w:sz w:val="24"/>
                <w:szCs w:val="24"/>
              </w:rPr>
            </w:pPr>
            <w:r>
              <w:rPr>
                <w:rFonts w:hint="eastAsia"/>
                <w:sz w:val="24"/>
              </w:rPr>
              <w:t>产品名称</w:t>
            </w:r>
          </w:p>
        </w:tc>
        <w:tc>
          <w:tcPr>
            <w:tcW w:w="1600" w:type="dxa"/>
            <w:vAlign w:val="center"/>
          </w:tcPr>
          <w:p>
            <w:pPr>
              <w:spacing w:line="500" w:lineRule="exact"/>
              <w:jc w:val="center"/>
              <w:rPr>
                <w:sz w:val="24"/>
              </w:rPr>
            </w:pPr>
            <w:r>
              <w:rPr>
                <w:rFonts w:hint="eastAsia"/>
                <w:sz w:val="24"/>
              </w:rPr>
              <w:t>采购要求</w:t>
            </w:r>
          </w:p>
          <w:p>
            <w:pPr>
              <w:spacing w:line="500" w:lineRule="exact"/>
              <w:jc w:val="center"/>
              <w:rPr>
                <w:rFonts w:hAnsi="宋体" w:cs="宋体"/>
                <w:sz w:val="24"/>
                <w:szCs w:val="24"/>
              </w:rPr>
            </w:pPr>
            <w:r>
              <w:rPr>
                <w:rFonts w:hint="eastAsia"/>
                <w:sz w:val="24"/>
              </w:rPr>
              <w:t>技术指标</w:t>
            </w:r>
          </w:p>
        </w:tc>
        <w:tc>
          <w:tcPr>
            <w:tcW w:w="1938" w:type="dxa"/>
            <w:vAlign w:val="center"/>
          </w:tcPr>
          <w:p>
            <w:pPr>
              <w:spacing w:line="500" w:lineRule="exact"/>
              <w:jc w:val="center"/>
              <w:rPr>
                <w:sz w:val="24"/>
              </w:rPr>
            </w:pPr>
            <w:r>
              <w:rPr>
                <w:rFonts w:hint="eastAsia"/>
                <w:sz w:val="24"/>
              </w:rPr>
              <w:t>响应内容</w:t>
            </w:r>
          </w:p>
          <w:p>
            <w:pPr>
              <w:spacing w:line="500" w:lineRule="exact"/>
              <w:jc w:val="center"/>
              <w:rPr>
                <w:rFonts w:hAnsi="宋体" w:cs="宋体"/>
                <w:sz w:val="24"/>
                <w:szCs w:val="24"/>
              </w:rPr>
            </w:pPr>
            <w:r>
              <w:rPr>
                <w:rFonts w:hint="eastAsia"/>
                <w:sz w:val="24"/>
              </w:rPr>
              <w:t>技术指标</w:t>
            </w:r>
          </w:p>
        </w:tc>
        <w:tc>
          <w:tcPr>
            <w:tcW w:w="1410" w:type="dxa"/>
            <w:vAlign w:val="center"/>
          </w:tcPr>
          <w:p>
            <w:pPr>
              <w:spacing w:line="500" w:lineRule="exact"/>
              <w:jc w:val="center"/>
              <w:rPr>
                <w:rFonts w:hAnsi="宋体" w:cs="宋体"/>
                <w:sz w:val="24"/>
                <w:szCs w:val="24"/>
              </w:rPr>
            </w:pPr>
            <w:r>
              <w:rPr>
                <w:rFonts w:hint="eastAsia"/>
                <w:sz w:val="24"/>
              </w:rPr>
              <w:t>偏离情况</w:t>
            </w:r>
          </w:p>
        </w:tc>
        <w:tc>
          <w:tcPr>
            <w:tcW w:w="1356" w:type="dxa"/>
            <w:vAlign w:val="center"/>
          </w:tcPr>
          <w:p>
            <w:pPr>
              <w:pStyle w:val="11"/>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1"/>
              <w:spacing w:line="480" w:lineRule="auto"/>
              <w:ind w:firstLine="480" w:firstLineChars="200"/>
              <w:jc w:val="left"/>
              <w:rPr>
                <w:rFonts w:hAnsi="宋体" w:cs="宋体"/>
                <w:sz w:val="24"/>
                <w:szCs w:val="24"/>
              </w:rPr>
            </w:pPr>
          </w:p>
        </w:tc>
        <w:tc>
          <w:tcPr>
            <w:tcW w:w="1521" w:type="dxa"/>
          </w:tcPr>
          <w:p>
            <w:pPr>
              <w:pStyle w:val="11"/>
              <w:spacing w:line="480" w:lineRule="auto"/>
              <w:ind w:firstLine="480" w:firstLineChars="200"/>
              <w:jc w:val="left"/>
              <w:rPr>
                <w:rFonts w:hAnsi="宋体" w:cs="宋体"/>
                <w:sz w:val="24"/>
                <w:szCs w:val="24"/>
              </w:rPr>
            </w:pPr>
          </w:p>
        </w:tc>
        <w:tc>
          <w:tcPr>
            <w:tcW w:w="1600" w:type="dxa"/>
            <w:vAlign w:val="center"/>
          </w:tcPr>
          <w:p>
            <w:pPr>
              <w:pStyle w:val="11"/>
              <w:spacing w:line="480" w:lineRule="auto"/>
              <w:ind w:firstLine="480" w:firstLineChars="200"/>
              <w:jc w:val="left"/>
              <w:rPr>
                <w:rFonts w:hAnsi="宋体" w:cs="宋体"/>
                <w:sz w:val="24"/>
                <w:szCs w:val="24"/>
              </w:rPr>
            </w:pPr>
          </w:p>
        </w:tc>
        <w:tc>
          <w:tcPr>
            <w:tcW w:w="1938" w:type="dxa"/>
            <w:vAlign w:val="center"/>
          </w:tcPr>
          <w:p>
            <w:pPr>
              <w:pStyle w:val="11"/>
              <w:spacing w:line="480" w:lineRule="auto"/>
              <w:ind w:firstLine="480" w:firstLineChars="200"/>
              <w:jc w:val="left"/>
              <w:rPr>
                <w:rFonts w:hAnsi="宋体" w:cs="宋体"/>
                <w:sz w:val="24"/>
                <w:szCs w:val="24"/>
              </w:rPr>
            </w:pPr>
          </w:p>
        </w:tc>
        <w:tc>
          <w:tcPr>
            <w:tcW w:w="1410" w:type="dxa"/>
            <w:vAlign w:val="center"/>
          </w:tcPr>
          <w:p>
            <w:pPr>
              <w:pStyle w:val="11"/>
              <w:spacing w:line="480" w:lineRule="auto"/>
              <w:ind w:firstLine="480" w:firstLineChars="200"/>
              <w:jc w:val="left"/>
              <w:rPr>
                <w:rFonts w:hAnsi="宋体" w:cs="宋体"/>
                <w:sz w:val="24"/>
                <w:szCs w:val="24"/>
              </w:rPr>
            </w:pPr>
          </w:p>
        </w:tc>
        <w:tc>
          <w:tcPr>
            <w:tcW w:w="1356" w:type="dxa"/>
            <w:vAlign w:val="center"/>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1"/>
              <w:spacing w:line="480" w:lineRule="auto"/>
              <w:ind w:firstLine="480" w:firstLineChars="200"/>
              <w:jc w:val="left"/>
              <w:rPr>
                <w:rFonts w:hAnsi="宋体" w:cs="宋体"/>
                <w:sz w:val="24"/>
                <w:szCs w:val="24"/>
              </w:rPr>
            </w:pPr>
          </w:p>
        </w:tc>
        <w:tc>
          <w:tcPr>
            <w:tcW w:w="1521" w:type="dxa"/>
          </w:tcPr>
          <w:p>
            <w:pPr>
              <w:pStyle w:val="11"/>
              <w:spacing w:line="480" w:lineRule="auto"/>
              <w:ind w:firstLine="480" w:firstLineChars="200"/>
              <w:jc w:val="left"/>
              <w:rPr>
                <w:rFonts w:hAnsi="宋体" w:cs="宋体"/>
                <w:sz w:val="24"/>
                <w:szCs w:val="24"/>
              </w:rPr>
            </w:pPr>
          </w:p>
        </w:tc>
        <w:tc>
          <w:tcPr>
            <w:tcW w:w="1600" w:type="dxa"/>
          </w:tcPr>
          <w:p>
            <w:pPr>
              <w:pStyle w:val="11"/>
              <w:spacing w:line="480" w:lineRule="auto"/>
              <w:ind w:firstLine="480" w:firstLineChars="200"/>
              <w:jc w:val="left"/>
              <w:rPr>
                <w:rFonts w:hAnsi="宋体" w:cs="宋体"/>
                <w:sz w:val="24"/>
                <w:szCs w:val="24"/>
              </w:rPr>
            </w:pPr>
          </w:p>
        </w:tc>
        <w:tc>
          <w:tcPr>
            <w:tcW w:w="1938" w:type="dxa"/>
          </w:tcPr>
          <w:p>
            <w:pPr>
              <w:pStyle w:val="11"/>
              <w:spacing w:line="480" w:lineRule="auto"/>
              <w:ind w:firstLine="480" w:firstLineChars="200"/>
              <w:jc w:val="left"/>
              <w:rPr>
                <w:rFonts w:hAnsi="宋体" w:cs="宋体"/>
                <w:sz w:val="24"/>
                <w:szCs w:val="24"/>
              </w:rPr>
            </w:pPr>
          </w:p>
        </w:tc>
        <w:tc>
          <w:tcPr>
            <w:tcW w:w="1410" w:type="dxa"/>
          </w:tcPr>
          <w:p>
            <w:pPr>
              <w:pStyle w:val="11"/>
              <w:spacing w:line="480" w:lineRule="auto"/>
              <w:ind w:firstLine="480" w:firstLineChars="200"/>
              <w:jc w:val="left"/>
              <w:rPr>
                <w:rFonts w:hAnsi="宋体" w:cs="宋体"/>
                <w:sz w:val="24"/>
                <w:szCs w:val="24"/>
              </w:rPr>
            </w:pPr>
          </w:p>
        </w:tc>
        <w:tc>
          <w:tcPr>
            <w:tcW w:w="1356"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1"/>
              <w:spacing w:line="480" w:lineRule="auto"/>
              <w:ind w:firstLine="480" w:firstLineChars="200"/>
              <w:jc w:val="left"/>
              <w:rPr>
                <w:rFonts w:hAnsi="宋体" w:cs="宋体"/>
                <w:sz w:val="24"/>
                <w:szCs w:val="24"/>
              </w:rPr>
            </w:pPr>
          </w:p>
        </w:tc>
        <w:tc>
          <w:tcPr>
            <w:tcW w:w="1521" w:type="dxa"/>
          </w:tcPr>
          <w:p>
            <w:pPr>
              <w:pStyle w:val="11"/>
              <w:spacing w:line="480" w:lineRule="auto"/>
              <w:ind w:firstLine="480" w:firstLineChars="200"/>
              <w:jc w:val="left"/>
              <w:rPr>
                <w:rFonts w:hAnsi="宋体" w:cs="宋体"/>
                <w:sz w:val="24"/>
                <w:szCs w:val="24"/>
              </w:rPr>
            </w:pPr>
          </w:p>
        </w:tc>
        <w:tc>
          <w:tcPr>
            <w:tcW w:w="1600" w:type="dxa"/>
          </w:tcPr>
          <w:p>
            <w:pPr>
              <w:pStyle w:val="11"/>
              <w:spacing w:line="480" w:lineRule="auto"/>
              <w:ind w:firstLine="480" w:firstLineChars="200"/>
              <w:jc w:val="left"/>
              <w:rPr>
                <w:rFonts w:hAnsi="宋体" w:cs="宋体"/>
                <w:sz w:val="24"/>
                <w:szCs w:val="24"/>
              </w:rPr>
            </w:pPr>
          </w:p>
        </w:tc>
        <w:tc>
          <w:tcPr>
            <w:tcW w:w="1938" w:type="dxa"/>
          </w:tcPr>
          <w:p>
            <w:pPr>
              <w:pStyle w:val="11"/>
              <w:spacing w:line="480" w:lineRule="auto"/>
              <w:ind w:firstLine="480" w:firstLineChars="200"/>
              <w:jc w:val="left"/>
              <w:rPr>
                <w:rFonts w:hAnsi="宋体" w:cs="宋体"/>
                <w:sz w:val="24"/>
                <w:szCs w:val="24"/>
              </w:rPr>
            </w:pPr>
          </w:p>
        </w:tc>
        <w:tc>
          <w:tcPr>
            <w:tcW w:w="1410" w:type="dxa"/>
          </w:tcPr>
          <w:p>
            <w:pPr>
              <w:pStyle w:val="11"/>
              <w:spacing w:line="480" w:lineRule="auto"/>
              <w:ind w:firstLine="480" w:firstLineChars="200"/>
              <w:jc w:val="left"/>
              <w:rPr>
                <w:rFonts w:hAnsi="宋体" w:cs="宋体"/>
                <w:sz w:val="24"/>
                <w:szCs w:val="24"/>
              </w:rPr>
            </w:pPr>
          </w:p>
        </w:tc>
        <w:tc>
          <w:tcPr>
            <w:tcW w:w="1356"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1"/>
              <w:spacing w:line="480" w:lineRule="auto"/>
              <w:ind w:firstLine="480" w:firstLineChars="200"/>
              <w:jc w:val="left"/>
              <w:rPr>
                <w:rFonts w:hAnsi="宋体" w:cs="宋体"/>
                <w:sz w:val="24"/>
                <w:szCs w:val="24"/>
              </w:rPr>
            </w:pPr>
          </w:p>
        </w:tc>
        <w:tc>
          <w:tcPr>
            <w:tcW w:w="1521" w:type="dxa"/>
          </w:tcPr>
          <w:p>
            <w:pPr>
              <w:pStyle w:val="11"/>
              <w:spacing w:line="480" w:lineRule="auto"/>
              <w:ind w:firstLine="480" w:firstLineChars="200"/>
              <w:jc w:val="left"/>
              <w:rPr>
                <w:rFonts w:hAnsi="宋体" w:cs="宋体"/>
                <w:sz w:val="24"/>
                <w:szCs w:val="24"/>
              </w:rPr>
            </w:pPr>
          </w:p>
        </w:tc>
        <w:tc>
          <w:tcPr>
            <w:tcW w:w="1600" w:type="dxa"/>
          </w:tcPr>
          <w:p>
            <w:pPr>
              <w:pStyle w:val="11"/>
              <w:spacing w:line="480" w:lineRule="auto"/>
              <w:ind w:firstLine="480" w:firstLineChars="200"/>
              <w:jc w:val="left"/>
              <w:rPr>
                <w:rFonts w:hAnsi="宋体" w:cs="宋体"/>
                <w:sz w:val="24"/>
                <w:szCs w:val="24"/>
              </w:rPr>
            </w:pPr>
          </w:p>
        </w:tc>
        <w:tc>
          <w:tcPr>
            <w:tcW w:w="1938" w:type="dxa"/>
          </w:tcPr>
          <w:p>
            <w:pPr>
              <w:pStyle w:val="11"/>
              <w:spacing w:line="480" w:lineRule="auto"/>
              <w:ind w:firstLine="480" w:firstLineChars="200"/>
              <w:jc w:val="left"/>
              <w:rPr>
                <w:rFonts w:hAnsi="宋体" w:cs="宋体"/>
                <w:sz w:val="24"/>
                <w:szCs w:val="24"/>
              </w:rPr>
            </w:pPr>
          </w:p>
        </w:tc>
        <w:tc>
          <w:tcPr>
            <w:tcW w:w="1410" w:type="dxa"/>
          </w:tcPr>
          <w:p>
            <w:pPr>
              <w:pStyle w:val="11"/>
              <w:spacing w:line="480" w:lineRule="auto"/>
              <w:ind w:firstLine="480" w:firstLineChars="200"/>
              <w:jc w:val="left"/>
              <w:rPr>
                <w:rFonts w:hAnsi="宋体" w:cs="宋体"/>
                <w:sz w:val="24"/>
                <w:szCs w:val="24"/>
              </w:rPr>
            </w:pPr>
          </w:p>
        </w:tc>
        <w:tc>
          <w:tcPr>
            <w:tcW w:w="1356"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1"/>
              <w:spacing w:line="480" w:lineRule="auto"/>
              <w:ind w:firstLine="480" w:firstLineChars="200"/>
              <w:jc w:val="left"/>
              <w:rPr>
                <w:rFonts w:hAnsi="宋体" w:cs="宋体"/>
                <w:sz w:val="24"/>
                <w:szCs w:val="24"/>
              </w:rPr>
            </w:pPr>
          </w:p>
        </w:tc>
        <w:tc>
          <w:tcPr>
            <w:tcW w:w="1521" w:type="dxa"/>
          </w:tcPr>
          <w:p>
            <w:pPr>
              <w:pStyle w:val="11"/>
              <w:spacing w:line="480" w:lineRule="auto"/>
              <w:ind w:firstLine="480" w:firstLineChars="200"/>
              <w:jc w:val="left"/>
              <w:rPr>
                <w:rFonts w:hAnsi="宋体" w:cs="宋体"/>
                <w:sz w:val="24"/>
                <w:szCs w:val="24"/>
              </w:rPr>
            </w:pPr>
          </w:p>
        </w:tc>
        <w:tc>
          <w:tcPr>
            <w:tcW w:w="1600" w:type="dxa"/>
          </w:tcPr>
          <w:p>
            <w:pPr>
              <w:pStyle w:val="11"/>
              <w:spacing w:line="480" w:lineRule="auto"/>
              <w:ind w:firstLine="480" w:firstLineChars="200"/>
              <w:jc w:val="left"/>
              <w:rPr>
                <w:rFonts w:hAnsi="宋体" w:cs="宋体"/>
                <w:sz w:val="24"/>
                <w:szCs w:val="24"/>
              </w:rPr>
            </w:pPr>
          </w:p>
        </w:tc>
        <w:tc>
          <w:tcPr>
            <w:tcW w:w="1938" w:type="dxa"/>
          </w:tcPr>
          <w:p>
            <w:pPr>
              <w:pStyle w:val="11"/>
              <w:spacing w:line="480" w:lineRule="auto"/>
              <w:ind w:firstLine="480" w:firstLineChars="200"/>
              <w:jc w:val="left"/>
              <w:rPr>
                <w:rFonts w:hAnsi="宋体" w:cs="宋体"/>
                <w:sz w:val="24"/>
                <w:szCs w:val="24"/>
              </w:rPr>
            </w:pPr>
          </w:p>
        </w:tc>
        <w:tc>
          <w:tcPr>
            <w:tcW w:w="1410" w:type="dxa"/>
          </w:tcPr>
          <w:p>
            <w:pPr>
              <w:pStyle w:val="11"/>
              <w:spacing w:line="480" w:lineRule="auto"/>
              <w:ind w:firstLine="480" w:firstLineChars="200"/>
              <w:jc w:val="left"/>
              <w:rPr>
                <w:rFonts w:hAnsi="宋体" w:cs="宋体"/>
                <w:sz w:val="24"/>
                <w:szCs w:val="24"/>
              </w:rPr>
            </w:pPr>
          </w:p>
        </w:tc>
        <w:tc>
          <w:tcPr>
            <w:tcW w:w="1356"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1"/>
              <w:spacing w:line="480" w:lineRule="auto"/>
              <w:ind w:firstLine="480" w:firstLineChars="200"/>
              <w:jc w:val="left"/>
              <w:rPr>
                <w:rFonts w:hAnsi="宋体" w:cs="宋体"/>
                <w:sz w:val="24"/>
                <w:szCs w:val="24"/>
              </w:rPr>
            </w:pPr>
          </w:p>
        </w:tc>
        <w:tc>
          <w:tcPr>
            <w:tcW w:w="1521" w:type="dxa"/>
          </w:tcPr>
          <w:p>
            <w:pPr>
              <w:pStyle w:val="11"/>
              <w:spacing w:line="480" w:lineRule="auto"/>
              <w:ind w:firstLine="480" w:firstLineChars="200"/>
              <w:jc w:val="left"/>
              <w:rPr>
                <w:rFonts w:hAnsi="宋体" w:cs="宋体"/>
                <w:sz w:val="24"/>
                <w:szCs w:val="24"/>
              </w:rPr>
            </w:pPr>
          </w:p>
        </w:tc>
        <w:tc>
          <w:tcPr>
            <w:tcW w:w="1600" w:type="dxa"/>
          </w:tcPr>
          <w:p>
            <w:pPr>
              <w:pStyle w:val="11"/>
              <w:spacing w:line="480" w:lineRule="auto"/>
              <w:ind w:firstLine="480" w:firstLineChars="200"/>
              <w:jc w:val="left"/>
              <w:rPr>
                <w:rFonts w:hAnsi="宋体" w:cs="宋体"/>
                <w:sz w:val="24"/>
                <w:szCs w:val="24"/>
              </w:rPr>
            </w:pPr>
          </w:p>
        </w:tc>
        <w:tc>
          <w:tcPr>
            <w:tcW w:w="1938" w:type="dxa"/>
          </w:tcPr>
          <w:p>
            <w:pPr>
              <w:pStyle w:val="11"/>
              <w:spacing w:line="480" w:lineRule="auto"/>
              <w:ind w:firstLine="480" w:firstLineChars="200"/>
              <w:jc w:val="left"/>
              <w:rPr>
                <w:rFonts w:hAnsi="宋体" w:cs="宋体"/>
                <w:sz w:val="24"/>
                <w:szCs w:val="24"/>
              </w:rPr>
            </w:pPr>
          </w:p>
        </w:tc>
        <w:tc>
          <w:tcPr>
            <w:tcW w:w="1410" w:type="dxa"/>
          </w:tcPr>
          <w:p>
            <w:pPr>
              <w:pStyle w:val="11"/>
              <w:spacing w:line="480" w:lineRule="auto"/>
              <w:ind w:firstLine="480" w:firstLineChars="200"/>
              <w:jc w:val="left"/>
              <w:rPr>
                <w:rFonts w:hAnsi="宋体" w:cs="宋体"/>
                <w:sz w:val="24"/>
                <w:szCs w:val="24"/>
              </w:rPr>
            </w:pPr>
          </w:p>
        </w:tc>
        <w:tc>
          <w:tcPr>
            <w:tcW w:w="1356"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1"/>
              <w:spacing w:line="480" w:lineRule="auto"/>
              <w:ind w:firstLine="480" w:firstLineChars="200"/>
              <w:jc w:val="left"/>
              <w:rPr>
                <w:rFonts w:hAnsi="宋体" w:cs="宋体"/>
                <w:sz w:val="24"/>
                <w:szCs w:val="24"/>
              </w:rPr>
            </w:pPr>
          </w:p>
        </w:tc>
        <w:tc>
          <w:tcPr>
            <w:tcW w:w="1521" w:type="dxa"/>
          </w:tcPr>
          <w:p>
            <w:pPr>
              <w:pStyle w:val="11"/>
              <w:spacing w:line="480" w:lineRule="auto"/>
              <w:ind w:firstLine="480" w:firstLineChars="200"/>
              <w:jc w:val="left"/>
              <w:rPr>
                <w:rFonts w:hAnsi="宋体" w:cs="宋体"/>
                <w:sz w:val="24"/>
                <w:szCs w:val="24"/>
              </w:rPr>
            </w:pPr>
          </w:p>
        </w:tc>
        <w:tc>
          <w:tcPr>
            <w:tcW w:w="1600" w:type="dxa"/>
          </w:tcPr>
          <w:p>
            <w:pPr>
              <w:pStyle w:val="11"/>
              <w:spacing w:line="480" w:lineRule="auto"/>
              <w:ind w:firstLine="480" w:firstLineChars="200"/>
              <w:jc w:val="left"/>
              <w:rPr>
                <w:rFonts w:hAnsi="宋体" w:cs="宋体"/>
                <w:sz w:val="24"/>
                <w:szCs w:val="24"/>
              </w:rPr>
            </w:pPr>
          </w:p>
        </w:tc>
        <w:tc>
          <w:tcPr>
            <w:tcW w:w="1938" w:type="dxa"/>
          </w:tcPr>
          <w:p>
            <w:pPr>
              <w:pStyle w:val="11"/>
              <w:spacing w:line="480" w:lineRule="auto"/>
              <w:ind w:firstLine="480" w:firstLineChars="200"/>
              <w:jc w:val="left"/>
              <w:rPr>
                <w:rFonts w:hAnsi="宋体" w:cs="宋体"/>
                <w:sz w:val="24"/>
                <w:szCs w:val="24"/>
              </w:rPr>
            </w:pPr>
          </w:p>
        </w:tc>
        <w:tc>
          <w:tcPr>
            <w:tcW w:w="1410" w:type="dxa"/>
          </w:tcPr>
          <w:p>
            <w:pPr>
              <w:pStyle w:val="11"/>
              <w:spacing w:line="480" w:lineRule="auto"/>
              <w:ind w:firstLine="480" w:firstLineChars="200"/>
              <w:jc w:val="left"/>
              <w:rPr>
                <w:rFonts w:hAnsi="宋体" w:cs="宋体"/>
                <w:sz w:val="24"/>
                <w:szCs w:val="24"/>
              </w:rPr>
            </w:pPr>
          </w:p>
        </w:tc>
        <w:tc>
          <w:tcPr>
            <w:tcW w:w="1356"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1"/>
              <w:spacing w:line="480" w:lineRule="auto"/>
              <w:jc w:val="left"/>
              <w:rPr>
                <w:rFonts w:hAnsi="宋体" w:cs="宋体"/>
                <w:sz w:val="24"/>
                <w:szCs w:val="24"/>
              </w:rPr>
            </w:pPr>
          </w:p>
        </w:tc>
        <w:tc>
          <w:tcPr>
            <w:tcW w:w="1521" w:type="dxa"/>
          </w:tcPr>
          <w:p>
            <w:pPr>
              <w:pStyle w:val="11"/>
              <w:spacing w:line="480" w:lineRule="auto"/>
              <w:jc w:val="left"/>
              <w:rPr>
                <w:rFonts w:hAnsi="宋体" w:cs="宋体"/>
                <w:sz w:val="24"/>
                <w:szCs w:val="24"/>
              </w:rPr>
            </w:pPr>
          </w:p>
        </w:tc>
        <w:tc>
          <w:tcPr>
            <w:tcW w:w="1600" w:type="dxa"/>
          </w:tcPr>
          <w:p>
            <w:pPr>
              <w:pStyle w:val="11"/>
              <w:spacing w:line="480" w:lineRule="auto"/>
              <w:ind w:firstLine="480" w:firstLineChars="200"/>
              <w:jc w:val="left"/>
              <w:rPr>
                <w:rFonts w:hAnsi="宋体" w:cs="宋体"/>
                <w:sz w:val="24"/>
                <w:szCs w:val="24"/>
              </w:rPr>
            </w:pPr>
          </w:p>
        </w:tc>
        <w:tc>
          <w:tcPr>
            <w:tcW w:w="1938" w:type="dxa"/>
          </w:tcPr>
          <w:p>
            <w:pPr>
              <w:pStyle w:val="11"/>
              <w:spacing w:line="480" w:lineRule="auto"/>
              <w:ind w:firstLine="480" w:firstLineChars="200"/>
              <w:jc w:val="left"/>
              <w:rPr>
                <w:rFonts w:hAnsi="宋体" w:cs="宋体"/>
                <w:sz w:val="24"/>
                <w:szCs w:val="24"/>
              </w:rPr>
            </w:pPr>
          </w:p>
        </w:tc>
        <w:tc>
          <w:tcPr>
            <w:tcW w:w="1410" w:type="dxa"/>
          </w:tcPr>
          <w:p>
            <w:pPr>
              <w:pStyle w:val="11"/>
              <w:spacing w:line="480" w:lineRule="auto"/>
              <w:ind w:firstLine="480" w:firstLineChars="200"/>
              <w:jc w:val="left"/>
              <w:rPr>
                <w:rFonts w:hAnsi="宋体" w:cs="宋体"/>
                <w:sz w:val="24"/>
                <w:szCs w:val="24"/>
              </w:rPr>
            </w:pPr>
          </w:p>
        </w:tc>
        <w:tc>
          <w:tcPr>
            <w:tcW w:w="1356" w:type="dxa"/>
          </w:tcPr>
          <w:p>
            <w:pPr>
              <w:pStyle w:val="11"/>
              <w:spacing w:line="480" w:lineRule="auto"/>
              <w:ind w:firstLine="480" w:firstLineChars="200"/>
              <w:jc w:val="left"/>
              <w:rPr>
                <w:rFonts w:hAnsi="宋体" w:cs="宋体"/>
                <w:sz w:val="24"/>
                <w:szCs w:val="24"/>
              </w:rPr>
            </w:pPr>
          </w:p>
        </w:tc>
      </w:tr>
    </w:tbl>
    <w:p>
      <w:pPr>
        <w:pStyle w:val="10"/>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10"/>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10"/>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10"/>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pStyle w:val="4"/>
        <w:tabs>
          <w:tab w:val="left" w:pos="2096"/>
          <w:tab w:val="center" w:pos="5024"/>
        </w:tabs>
        <w:spacing w:before="319" w:beforeLines="100" w:after="478" w:afterLines="150" w:line="500" w:lineRule="exact"/>
        <w:jc w:val="center"/>
        <w:rPr>
          <w:rFonts w:ascii="宋体" w:hAnsi="宋体" w:cs="宋体"/>
          <w:sz w:val="36"/>
          <w:szCs w:val="36"/>
        </w:rPr>
      </w:pPr>
      <w:bookmarkStart w:id="124" w:name="_Toc26254"/>
      <w:bookmarkStart w:id="125" w:name="_Toc9172"/>
      <w:bookmarkStart w:id="126" w:name="_Toc19138"/>
      <w:bookmarkStart w:id="127" w:name="_Toc10896"/>
      <w:bookmarkStart w:id="128" w:name="_Toc4939"/>
      <w:bookmarkStart w:id="129" w:name="_Toc2049"/>
      <w:bookmarkStart w:id="130" w:name="_Toc16790"/>
      <w:bookmarkStart w:id="131" w:name="_Toc19652"/>
      <w:bookmarkStart w:id="132" w:name="_Toc1803"/>
      <w:r>
        <w:rPr>
          <w:rFonts w:hint="eastAsia" w:ascii="宋体" w:hAnsi="宋体" w:cs="宋体"/>
          <w:sz w:val="36"/>
          <w:szCs w:val="36"/>
        </w:rPr>
        <w:t>第四部分</w:t>
      </w:r>
      <w:bookmarkEnd w:id="124"/>
      <w:bookmarkEnd w:id="125"/>
      <w:bookmarkEnd w:id="126"/>
      <w:r>
        <w:rPr>
          <w:rFonts w:hint="eastAsia" w:ascii="宋体" w:hAnsi="宋体" w:cs="宋体"/>
          <w:sz w:val="36"/>
          <w:szCs w:val="36"/>
          <w:lang w:val="en-US" w:eastAsia="zh-CN"/>
        </w:rPr>
        <w:t xml:space="preserve"> </w:t>
      </w:r>
      <w:r>
        <w:rPr>
          <w:rFonts w:hint="eastAsia" w:ascii="宋体" w:hAnsi="宋体" w:cs="宋体"/>
          <w:sz w:val="36"/>
          <w:szCs w:val="36"/>
        </w:rPr>
        <w:t>技术与服务方案</w:t>
      </w:r>
      <w:bookmarkEnd w:id="127"/>
      <w:bookmarkEnd w:id="128"/>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cs="宋体"/>
          <w:sz w:val="24"/>
          <w:szCs w:val="24"/>
        </w:rPr>
      </w:pPr>
    </w:p>
    <w:p>
      <w:pPr>
        <w:rPr>
          <w:rFonts w:ascii="宋体" w:cs="宋体"/>
          <w:sz w:val="24"/>
          <w:szCs w:val="24"/>
        </w:rPr>
        <w:sectPr>
          <w:headerReference r:id="rId22" w:type="default"/>
          <w:pgSz w:w="11906" w:h="16838"/>
          <w:pgMar w:top="1440" w:right="863" w:bottom="1440" w:left="1803" w:header="851" w:footer="992" w:gutter="0"/>
          <w:pgNumType w:fmt="decimal"/>
          <w:cols w:space="720" w:num="1"/>
          <w:docGrid w:type="lines" w:linePitch="319" w:charSpace="0"/>
        </w:sectPr>
      </w:pPr>
    </w:p>
    <w:bookmarkEnd w:id="129"/>
    <w:bookmarkEnd w:id="130"/>
    <w:bookmarkEnd w:id="131"/>
    <w:bookmarkEnd w:id="132"/>
    <w:p>
      <w:pPr>
        <w:pStyle w:val="4"/>
        <w:spacing w:before="319" w:beforeLines="100" w:after="478" w:afterLines="150" w:line="500" w:lineRule="exact"/>
        <w:jc w:val="center"/>
        <w:rPr>
          <w:rFonts w:ascii="宋体" w:hAnsi="宋体" w:cs="宋体"/>
          <w:sz w:val="36"/>
          <w:szCs w:val="36"/>
        </w:rPr>
      </w:pPr>
      <w:bookmarkStart w:id="133" w:name="_Toc498694581"/>
      <w:bookmarkStart w:id="134" w:name="_Toc8571"/>
      <w:bookmarkStart w:id="135" w:name="_Toc27213"/>
      <w:bookmarkStart w:id="136" w:name="_Toc32631"/>
      <w:bookmarkStart w:id="137" w:name="_Toc32033"/>
      <w:bookmarkStart w:id="138" w:name="_Toc9445"/>
      <w:r>
        <w:rPr>
          <w:rFonts w:hint="eastAsia" w:ascii="宋体" w:hAnsi="宋体" w:cs="宋体"/>
          <w:sz w:val="36"/>
          <w:szCs w:val="36"/>
        </w:rPr>
        <w:t xml:space="preserve">第五部分  </w:t>
      </w:r>
      <w:bookmarkEnd w:id="133"/>
      <w:bookmarkEnd w:id="134"/>
      <w:bookmarkEnd w:id="135"/>
      <w:r>
        <w:rPr>
          <w:rFonts w:hint="eastAsia" w:ascii="宋体" w:hAnsi="宋体" w:cs="宋体"/>
          <w:sz w:val="36"/>
          <w:szCs w:val="36"/>
        </w:rPr>
        <w:t>服务承诺</w:t>
      </w:r>
      <w:bookmarkEnd w:id="136"/>
      <w:bookmarkEnd w:id="137"/>
      <w:bookmarkEnd w:id="138"/>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adjustRightInd w:val="0"/>
        <w:spacing w:before="319" w:beforeLines="100" w:after="478" w:afterLines="150" w:line="500" w:lineRule="exact"/>
        <w:jc w:val="center"/>
        <w:textAlignment w:val="baseline"/>
        <w:rPr>
          <w:rFonts w:ascii="宋体" w:hAnsi="宋体" w:cs="宋体"/>
          <w:sz w:val="36"/>
          <w:szCs w:val="36"/>
        </w:rPr>
      </w:pPr>
      <w:bookmarkStart w:id="139" w:name="_Toc16262"/>
      <w:bookmarkStart w:id="140" w:name="_Toc7529"/>
      <w:bookmarkStart w:id="141" w:name="_Toc28776"/>
      <w:r>
        <w:rPr>
          <w:rFonts w:hint="eastAsia" w:ascii="宋体" w:cs="宋体"/>
          <w:sz w:val="36"/>
          <w:szCs w:val="36"/>
        </w:rPr>
        <w:t>第六部分</w:t>
      </w:r>
      <w:r>
        <w:rPr>
          <w:rFonts w:hint="eastAsia" w:ascii="宋体" w:cs="宋体"/>
          <w:sz w:val="36"/>
          <w:szCs w:val="36"/>
          <w:lang w:val="en-US" w:eastAsia="zh-CN"/>
        </w:rPr>
        <w:t xml:space="preserve"> </w:t>
      </w:r>
      <w:r>
        <w:rPr>
          <w:rFonts w:hint="eastAsia" w:ascii="宋体" w:hAnsi="宋体" w:cs="宋体"/>
          <w:sz w:val="36"/>
          <w:szCs w:val="36"/>
        </w:rPr>
        <w:t>业绩一览表</w:t>
      </w:r>
      <w:bookmarkEnd w:id="139"/>
      <w:bookmarkEnd w:id="140"/>
      <w:bookmarkEnd w:id="141"/>
    </w:p>
    <w:tbl>
      <w:tblPr>
        <w:tblStyle w:val="29"/>
        <w:tblpPr w:leftFromText="180" w:rightFromText="180" w:vertAnchor="text" w:horzAnchor="page" w:tblpX="2066" w:tblpY="299"/>
        <w:tblOverlap w:val="never"/>
        <w:tblW w:w="829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20"/>
        <w:gridCol w:w="1641"/>
        <w:gridCol w:w="1505"/>
        <w:gridCol w:w="1522"/>
        <w:gridCol w:w="1616"/>
        <w:gridCol w:w="11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45" w:hRule="atLeast"/>
        </w:trPr>
        <w:tc>
          <w:tcPr>
            <w:tcW w:w="820"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41"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505"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522" w:type="dxa"/>
            <w:tcBorders>
              <w:top w:val="single" w:color="auto" w:sz="4" w:space="0"/>
            </w:tcBorders>
            <w:vAlign w:val="center"/>
          </w:tcPr>
          <w:p>
            <w:pPr>
              <w:spacing w:line="400" w:lineRule="exact"/>
              <w:jc w:val="center"/>
              <w:rPr>
                <w:rFonts w:hint="eastAsia" w:ascii="宋体" w:hAnsi="宋体" w:eastAsia="宋体" w:cs="宋体"/>
                <w:lang w:eastAsia="zh-CN"/>
              </w:rPr>
            </w:pPr>
            <w:r>
              <w:rPr>
                <w:rFonts w:hint="eastAsia" w:ascii="宋体" w:hAnsi="宋体" w:cs="宋体"/>
                <w:lang w:eastAsia="zh-CN"/>
              </w:rPr>
              <w:t>合同签订时间</w:t>
            </w:r>
          </w:p>
        </w:tc>
        <w:tc>
          <w:tcPr>
            <w:tcW w:w="1616" w:type="dxa"/>
            <w:tcBorders>
              <w:top w:val="single" w:color="auto" w:sz="4" w:space="0"/>
            </w:tcBorders>
            <w:vAlign w:val="center"/>
          </w:tcPr>
          <w:p>
            <w:pPr>
              <w:spacing w:line="400" w:lineRule="exact"/>
              <w:ind w:firstLine="105" w:firstLineChars="50"/>
              <w:rPr>
                <w:rFonts w:ascii="宋体" w:hAnsi="宋体" w:cs="宋体"/>
              </w:rPr>
            </w:pPr>
            <w:r>
              <w:rPr>
                <w:rFonts w:hint="eastAsia" w:ascii="宋体" w:hAnsi="宋体" w:cs="宋体"/>
              </w:rPr>
              <w:t>合同金额</w:t>
            </w:r>
          </w:p>
        </w:tc>
        <w:tc>
          <w:tcPr>
            <w:tcW w:w="1192"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7" w:hRule="atLeast"/>
        </w:trPr>
        <w:tc>
          <w:tcPr>
            <w:tcW w:w="820" w:type="dxa"/>
            <w:vAlign w:val="center"/>
          </w:tcPr>
          <w:p>
            <w:pPr>
              <w:spacing w:line="400" w:lineRule="exact"/>
              <w:jc w:val="center"/>
              <w:rPr>
                <w:rFonts w:ascii="宋体" w:hAnsi="宋体" w:cs="宋体"/>
              </w:rPr>
            </w:pPr>
          </w:p>
        </w:tc>
        <w:tc>
          <w:tcPr>
            <w:tcW w:w="1641" w:type="dxa"/>
            <w:vAlign w:val="center"/>
          </w:tcPr>
          <w:p>
            <w:pPr>
              <w:spacing w:line="400" w:lineRule="exact"/>
              <w:jc w:val="center"/>
              <w:rPr>
                <w:rFonts w:ascii="宋体" w:hAnsi="宋体" w:cs="宋体"/>
              </w:rPr>
            </w:pPr>
          </w:p>
        </w:tc>
        <w:tc>
          <w:tcPr>
            <w:tcW w:w="1505" w:type="dxa"/>
            <w:vAlign w:val="center"/>
          </w:tcPr>
          <w:p>
            <w:pPr>
              <w:spacing w:line="400" w:lineRule="exact"/>
              <w:jc w:val="center"/>
              <w:rPr>
                <w:rFonts w:ascii="宋体" w:hAnsi="宋体" w:cs="宋体"/>
              </w:rPr>
            </w:pPr>
          </w:p>
        </w:tc>
        <w:tc>
          <w:tcPr>
            <w:tcW w:w="1522" w:type="dxa"/>
            <w:vAlign w:val="center"/>
          </w:tcPr>
          <w:p>
            <w:pPr>
              <w:spacing w:line="400" w:lineRule="exact"/>
              <w:jc w:val="center"/>
              <w:rPr>
                <w:rFonts w:ascii="宋体" w:hAnsi="宋体" w:cs="宋体"/>
              </w:rPr>
            </w:pPr>
          </w:p>
        </w:tc>
        <w:tc>
          <w:tcPr>
            <w:tcW w:w="1616" w:type="dxa"/>
            <w:vAlign w:val="center"/>
          </w:tcPr>
          <w:p>
            <w:pPr>
              <w:spacing w:line="400" w:lineRule="exact"/>
              <w:jc w:val="center"/>
              <w:rPr>
                <w:rFonts w:ascii="宋体" w:hAnsi="宋体" w:cs="宋体"/>
              </w:rPr>
            </w:pPr>
          </w:p>
        </w:tc>
        <w:tc>
          <w:tcPr>
            <w:tcW w:w="119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7" w:hRule="atLeast"/>
        </w:trPr>
        <w:tc>
          <w:tcPr>
            <w:tcW w:w="820" w:type="dxa"/>
            <w:vAlign w:val="center"/>
          </w:tcPr>
          <w:p>
            <w:pPr>
              <w:spacing w:line="400" w:lineRule="exact"/>
              <w:jc w:val="center"/>
              <w:rPr>
                <w:rFonts w:ascii="宋体" w:hAnsi="宋体" w:cs="宋体"/>
              </w:rPr>
            </w:pPr>
          </w:p>
        </w:tc>
        <w:tc>
          <w:tcPr>
            <w:tcW w:w="1641" w:type="dxa"/>
            <w:vAlign w:val="center"/>
          </w:tcPr>
          <w:p>
            <w:pPr>
              <w:spacing w:line="400" w:lineRule="exact"/>
              <w:jc w:val="center"/>
              <w:rPr>
                <w:rFonts w:ascii="宋体" w:hAnsi="宋体" w:cs="宋体"/>
              </w:rPr>
            </w:pPr>
          </w:p>
        </w:tc>
        <w:tc>
          <w:tcPr>
            <w:tcW w:w="1505" w:type="dxa"/>
            <w:vAlign w:val="center"/>
          </w:tcPr>
          <w:p>
            <w:pPr>
              <w:spacing w:line="400" w:lineRule="exact"/>
              <w:jc w:val="center"/>
              <w:rPr>
                <w:rFonts w:ascii="宋体" w:hAnsi="宋体" w:cs="宋体"/>
              </w:rPr>
            </w:pPr>
          </w:p>
        </w:tc>
        <w:tc>
          <w:tcPr>
            <w:tcW w:w="1522" w:type="dxa"/>
            <w:vAlign w:val="center"/>
          </w:tcPr>
          <w:p>
            <w:pPr>
              <w:spacing w:line="400" w:lineRule="exact"/>
              <w:jc w:val="center"/>
              <w:rPr>
                <w:rFonts w:ascii="宋体" w:hAnsi="宋体" w:cs="宋体"/>
              </w:rPr>
            </w:pPr>
          </w:p>
        </w:tc>
        <w:tc>
          <w:tcPr>
            <w:tcW w:w="1616" w:type="dxa"/>
            <w:vAlign w:val="center"/>
          </w:tcPr>
          <w:p>
            <w:pPr>
              <w:spacing w:line="400" w:lineRule="exact"/>
              <w:jc w:val="center"/>
              <w:rPr>
                <w:rFonts w:ascii="宋体" w:hAnsi="宋体" w:cs="宋体"/>
              </w:rPr>
            </w:pPr>
          </w:p>
        </w:tc>
        <w:tc>
          <w:tcPr>
            <w:tcW w:w="119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7" w:hRule="atLeast"/>
        </w:trPr>
        <w:tc>
          <w:tcPr>
            <w:tcW w:w="820" w:type="dxa"/>
            <w:vAlign w:val="center"/>
          </w:tcPr>
          <w:p>
            <w:pPr>
              <w:spacing w:line="400" w:lineRule="exact"/>
              <w:jc w:val="center"/>
              <w:rPr>
                <w:rFonts w:ascii="宋体" w:hAnsi="宋体" w:cs="宋体"/>
              </w:rPr>
            </w:pPr>
          </w:p>
        </w:tc>
        <w:tc>
          <w:tcPr>
            <w:tcW w:w="1641" w:type="dxa"/>
            <w:vAlign w:val="center"/>
          </w:tcPr>
          <w:p>
            <w:pPr>
              <w:spacing w:line="400" w:lineRule="exact"/>
              <w:jc w:val="center"/>
              <w:rPr>
                <w:rFonts w:ascii="宋体" w:hAnsi="宋体" w:cs="宋体"/>
              </w:rPr>
            </w:pPr>
          </w:p>
        </w:tc>
        <w:tc>
          <w:tcPr>
            <w:tcW w:w="1505" w:type="dxa"/>
            <w:vAlign w:val="center"/>
          </w:tcPr>
          <w:p>
            <w:pPr>
              <w:spacing w:line="400" w:lineRule="exact"/>
              <w:jc w:val="center"/>
              <w:rPr>
                <w:rFonts w:ascii="宋体" w:hAnsi="宋体" w:cs="宋体"/>
              </w:rPr>
            </w:pPr>
          </w:p>
        </w:tc>
        <w:tc>
          <w:tcPr>
            <w:tcW w:w="1522" w:type="dxa"/>
            <w:vAlign w:val="center"/>
          </w:tcPr>
          <w:p>
            <w:pPr>
              <w:spacing w:line="400" w:lineRule="exact"/>
              <w:jc w:val="center"/>
              <w:rPr>
                <w:rFonts w:ascii="宋体" w:hAnsi="宋体" w:cs="宋体"/>
              </w:rPr>
            </w:pPr>
          </w:p>
        </w:tc>
        <w:tc>
          <w:tcPr>
            <w:tcW w:w="1616" w:type="dxa"/>
            <w:vAlign w:val="center"/>
          </w:tcPr>
          <w:p>
            <w:pPr>
              <w:spacing w:line="400" w:lineRule="exact"/>
              <w:jc w:val="center"/>
              <w:rPr>
                <w:rFonts w:ascii="宋体" w:hAnsi="宋体" w:cs="宋体"/>
              </w:rPr>
            </w:pPr>
          </w:p>
        </w:tc>
        <w:tc>
          <w:tcPr>
            <w:tcW w:w="119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7" w:hRule="atLeast"/>
        </w:trPr>
        <w:tc>
          <w:tcPr>
            <w:tcW w:w="820" w:type="dxa"/>
            <w:vAlign w:val="center"/>
          </w:tcPr>
          <w:p>
            <w:pPr>
              <w:spacing w:line="400" w:lineRule="exact"/>
              <w:jc w:val="center"/>
              <w:rPr>
                <w:rFonts w:ascii="宋体" w:hAnsi="宋体" w:cs="宋体"/>
              </w:rPr>
            </w:pPr>
          </w:p>
        </w:tc>
        <w:tc>
          <w:tcPr>
            <w:tcW w:w="1641" w:type="dxa"/>
            <w:tcBorders>
              <w:right w:val="single" w:color="auto" w:sz="4" w:space="0"/>
            </w:tcBorders>
            <w:vAlign w:val="center"/>
          </w:tcPr>
          <w:p>
            <w:pPr>
              <w:spacing w:line="400" w:lineRule="exact"/>
              <w:jc w:val="center"/>
              <w:rPr>
                <w:rFonts w:ascii="宋体" w:hAnsi="宋体" w:cs="宋体"/>
              </w:rPr>
            </w:pPr>
          </w:p>
        </w:tc>
        <w:tc>
          <w:tcPr>
            <w:tcW w:w="1505" w:type="dxa"/>
            <w:tcBorders>
              <w:left w:val="single" w:color="auto" w:sz="4" w:space="0"/>
            </w:tcBorders>
            <w:vAlign w:val="center"/>
          </w:tcPr>
          <w:p>
            <w:pPr>
              <w:spacing w:line="400" w:lineRule="exact"/>
              <w:jc w:val="center"/>
              <w:rPr>
                <w:rFonts w:ascii="宋体" w:hAnsi="宋体" w:cs="宋体"/>
              </w:rPr>
            </w:pPr>
          </w:p>
        </w:tc>
        <w:tc>
          <w:tcPr>
            <w:tcW w:w="1522" w:type="dxa"/>
            <w:vAlign w:val="center"/>
          </w:tcPr>
          <w:p>
            <w:pPr>
              <w:spacing w:line="400" w:lineRule="exact"/>
              <w:jc w:val="center"/>
              <w:rPr>
                <w:rFonts w:ascii="宋体" w:hAnsi="宋体" w:cs="宋体"/>
              </w:rPr>
            </w:pPr>
          </w:p>
        </w:tc>
        <w:tc>
          <w:tcPr>
            <w:tcW w:w="1616" w:type="dxa"/>
            <w:vAlign w:val="center"/>
          </w:tcPr>
          <w:p>
            <w:pPr>
              <w:spacing w:line="400" w:lineRule="exact"/>
              <w:jc w:val="center"/>
              <w:rPr>
                <w:rFonts w:ascii="宋体" w:hAnsi="宋体" w:cs="宋体"/>
              </w:rPr>
            </w:pPr>
          </w:p>
        </w:tc>
        <w:tc>
          <w:tcPr>
            <w:tcW w:w="119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7" w:hRule="atLeast"/>
        </w:trPr>
        <w:tc>
          <w:tcPr>
            <w:tcW w:w="820" w:type="dxa"/>
            <w:tcBorders>
              <w:right w:val="single" w:color="auto" w:sz="4" w:space="0"/>
            </w:tcBorders>
            <w:vAlign w:val="center"/>
          </w:tcPr>
          <w:p>
            <w:pPr>
              <w:spacing w:line="400" w:lineRule="exact"/>
              <w:rPr>
                <w:rFonts w:ascii="宋体" w:hAnsi="宋体" w:cs="宋体"/>
              </w:rPr>
            </w:pPr>
          </w:p>
        </w:tc>
        <w:tc>
          <w:tcPr>
            <w:tcW w:w="1641" w:type="dxa"/>
            <w:tcBorders>
              <w:left w:val="single" w:color="auto" w:sz="4" w:space="0"/>
              <w:right w:val="single" w:color="auto" w:sz="4" w:space="0"/>
            </w:tcBorders>
            <w:vAlign w:val="center"/>
          </w:tcPr>
          <w:p>
            <w:pPr>
              <w:spacing w:line="400" w:lineRule="exact"/>
              <w:rPr>
                <w:rFonts w:ascii="宋体" w:hAnsi="宋体" w:cs="宋体"/>
              </w:rPr>
            </w:pPr>
          </w:p>
        </w:tc>
        <w:tc>
          <w:tcPr>
            <w:tcW w:w="1505" w:type="dxa"/>
            <w:tcBorders>
              <w:left w:val="single" w:color="auto" w:sz="4" w:space="0"/>
              <w:right w:val="single" w:color="auto" w:sz="4" w:space="0"/>
            </w:tcBorders>
            <w:vAlign w:val="center"/>
          </w:tcPr>
          <w:p>
            <w:pPr>
              <w:spacing w:line="400" w:lineRule="exact"/>
              <w:rPr>
                <w:rFonts w:ascii="宋体" w:hAnsi="宋体" w:cs="宋体"/>
              </w:rPr>
            </w:pPr>
          </w:p>
        </w:tc>
        <w:tc>
          <w:tcPr>
            <w:tcW w:w="1522" w:type="dxa"/>
            <w:tcBorders>
              <w:left w:val="single" w:color="auto" w:sz="4" w:space="0"/>
              <w:right w:val="single" w:color="auto" w:sz="4" w:space="0"/>
            </w:tcBorders>
            <w:vAlign w:val="center"/>
          </w:tcPr>
          <w:p>
            <w:pPr>
              <w:spacing w:line="400" w:lineRule="exact"/>
              <w:rPr>
                <w:rFonts w:ascii="宋体" w:hAnsi="宋体" w:cs="宋体"/>
              </w:rPr>
            </w:pPr>
          </w:p>
        </w:tc>
        <w:tc>
          <w:tcPr>
            <w:tcW w:w="1616" w:type="dxa"/>
            <w:tcBorders>
              <w:left w:val="single" w:color="auto" w:sz="4" w:space="0"/>
              <w:right w:val="single" w:color="auto" w:sz="4" w:space="0"/>
            </w:tcBorders>
            <w:vAlign w:val="center"/>
          </w:tcPr>
          <w:p>
            <w:pPr>
              <w:spacing w:line="400" w:lineRule="exact"/>
              <w:rPr>
                <w:rFonts w:ascii="宋体" w:hAnsi="宋体" w:cs="宋体"/>
              </w:rPr>
            </w:pPr>
          </w:p>
        </w:tc>
        <w:tc>
          <w:tcPr>
            <w:tcW w:w="119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7" w:hRule="atLeast"/>
        </w:trPr>
        <w:tc>
          <w:tcPr>
            <w:tcW w:w="820" w:type="dxa"/>
            <w:vAlign w:val="center"/>
          </w:tcPr>
          <w:p>
            <w:pPr>
              <w:spacing w:line="400" w:lineRule="exact"/>
              <w:rPr>
                <w:rFonts w:ascii="宋体" w:hAnsi="宋体" w:cs="宋体"/>
              </w:rPr>
            </w:pPr>
          </w:p>
        </w:tc>
        <w:tc>
          <w:tcPr>
            <w:tcW w:w="1641" w:type="dxa"/>
            <w:vAlign w:val="center"/>
          </w:tcPr>
          <w:p>
            <w:pPr>
              <w:spacing w:line="400" w:lineRule="exact"/>
              <w:rPr>
                <w:rFonts w:ascii="宋体" w:hAnsi="宋体" w:cs="宋体"/>
              </w:rPr>
            </w:pPr>
          </w:p>
        </w:tc>
        <w:tc>
          <w:tcPr>
            <w:tcW w:w="1505" w:type="dxa"/>
            <w:vAlign w:val="center"/>
          </w:tcPr>
          <w:p>
            <w:pPr>
              <w:spacing w:line="400" w:lineRule="exact"/>
              <w:rPr>
                <w:rFonts w:ascii="宋体" w:hAnsi="宋体" w:cs="宋体"/>
              </w:rPr>
            </w:pPr>
          </w:p>
        </w:tc>
        <w:tc>
          <w:tcPr>
            <w:tcW w:w="1522" w:type="dxa"/>
            <w:vAlign w:val="center"/>
          </w:tcPr>
          <w:p>
            <w:pPr>
              <w:spacing w:line="400" w:lineRule="exact"/>
              <w:rPr>
                <w:rFonts w:ascii="宋体" w:hAnsi="宋体" w:cs="宋体"/>
              </w:rPr>
            </w:pPr>
          </w:p>
        </w:tc>
        <w:tc>
          <w:tcPr>
            <w:tcW w:w="1616" w:type="dxa"/>
            <w:tcBorders>
              <w:right w:val="single" w:color="auto" w:sz="4" w:space="0"/>
            </w:tcBorders>
            <w:vAlign w:val="center"/>
          </w:tcPr>
          <w:p>
            <w:pPr>
              <w:spacing w:line="400" w:lineRule="exact"/>
              <w:rPr>
                <w:rFonts w:ascii="宋体" w:hAnsi="宋体" w:cs="宋体"/>
              </w:rPr>
            </w:pPr>
          </w:p>
        </w:tc>
        <w:tc>
          <w:tcPr>
            <w:tcW w:w="119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29" w:hRule="atLeast"/>
        </w:trPr>
        <w:tc>
          <w:tcPr>
            <w:tcW w:w="820" w:type="dxa"/>
            <w:tcBorders>
              <w:bottom w:val="single" w:color="auto" w:sz="4" w:space="0"/>
            </w:tcBorders>
            <w:vAlign w:val="center"/>
          </w:tcPr>
          <w:p>
            <w:pPr>
              <w:spacing w:line="400" w:lineRule="exact"/>
              <w:jc w:val="center"/>
              <w:rPr>
                <w:rFonts w:ascii="宋体" w:hAnsi="宋体" w:cs="宋体"/>
              </w:rPr>
            </w:pPr>
          </w:p>
        </w:tc>
        <w:tc>
          <w:tcPr>
            <w:tcW w:w="1641" w:type="dxa"/>
            <w:tcBorders>
              <w:bottom w:val="single" w:color="auto" w:sz="4" w:space="0"/>
            </w:tcBorders>
            <w:vAlign w:val="center"/>
          </w:tcPr>
          <w:p>
            <w:pPr>
              <w:spacing w:line="400" w:lineRule="exact"/>
              <w:jc w:val="center"/>
              <w:rPr>
                <w:rFonts w:ascii="宋体" w:hAnsi="宋体" w:cs="宋体"/>
              </w:rPr>
            </w:pPr>
          </w:p>
        </w:tc>
        <w:tc>
          <w:tcPr>
            <w:tcW w:w="1505" w:type="dxa"/>
            <w:tcBorders>
              <w:bottom w:val="single" w:color="auto" w:sz="4" w:space="0"/>
            </w:tcBorders>
            <w:vAlign w:val="center"/>
          </w:tcPr>
          <w:p>
            <w:pPr>
              <w:spacing w:line="400" w:lineRule="exact"/>
              <w:jc w:val="center"/>
              <w:rPr>
                <w:rFonts w:ascii="宋体" w:hAnsi="宋体" w:cs="宋体"/>
              </w:rPr>
            </w:pPr>
          </w:p>
        </w:tc>
        <w:tc>
          <w:tcPr>
            <w:tcW w:w="1522" w:type="dxa"/>
            <w:tcBorders>
              <w:bottom w:val="single" w:color="auto" w:sz="4" w:space="0"/>
            </w:tcBorders>
            <w:vAlign w:val="center"/>
          </w:tcPr>
          <w:p>
            <w:pPr>
              <w:spacing w:line="400" w:lineRule="exact"/>
              <w:jc w:val="center"/>
              <w:rPr>
                <w:rFonts w:ascii="宋体" w:hAnsi="宋体" w:cs="宋体"/>
              </w:rPr>
            </w:pPr>
          </w:p>
        </w:tc>
        <w:tc>
          <w:tcPr>
            <w:tcW w:w="1616"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92"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jc w:val="center"/>
        <w:outlineLvl w:val="1"/>
        <w:rPr>
          <w:rFonts w:ascii="宋体" w:cs="宋体"/>
          <w:b/>
          <w:bCs/>
          <w:color w:val="FF0000"/>
          <w:sz w:val="36"/>
          <w:szCs w:val="36"/>
        </w:rPr>
      </w:pPr>
      <w:bookmarkStart w:id="142" w:name="_Toc10026"/>
      <w:bookmarkStart w:id="143" w:name="_Toc20814"/>
      <w:bookmarkStart w:id="144" w:name="_Toc8997"/>
      <w:r>
        <w:rPr>
          <w:rFonts w:hint="eastAsia" w:ascii="宋体" w:hAnsi="宋体" w:cs="宋体"/>
          <w:b/>
          <w:bCs/>
          <w:sz w:val="36"/>
          <w:szCs w:val="36"/>
        </w:rPr>
        <w:t>第七部分  供应商认为有必要说明的其他问题</w:t>
      </w:r>
      <w:bookmarkEnd w:id="142"/>
      <w:bookmarkEnd w:id="143"/>
      <w:bookmarkEnd w:id="144"/>
    </w:p>
    <w:p>
      <w:pPr>
        <w:rPr>
          <w:rFonts w:hint="eastAsia" w:eastAsia="宋体"/>
          <w:lang w:eastAsia="zh-CN"/>
        </w:rPr>
      </w:pPr>
      <w:r>
        <w:rPr>
          <w:rFonts w:hint="eastAsia"/>
          <w:lang w:eastAsia="zh-CN"/>
        </w:rPr>
        <w:t>例如：投标保证金凭证。</w:t>
      </w:r>
    </w:p>
    <w:p/>
    <w:p/>
    <w:p>
      <w:pPr>
        <w:adjustRightInd w:val="0"/>
        <w:snapToGrid w:val="0"/>
        <w:jc w:val="left"/>
        <w:rPr>
          <w:rFonts w:ascii="宋体" w:cs="宋体"/>
          <w:bCs/>
          <w:sz w:val="36"/>
          <w:szCs w:val="36"/>
        </w:rPr>
      </w:pPr>
    </w:p>
    <w:p>
      <w:pPr>
        <w:widowControl/>
        <w:spacing w:line="460" w:lineRule="exact"/>
        <w:ind w:firstLine="480" w:firstLineChars="200"/>
        <w:jc w:val="left"/>
        <w:rPr>
          <w:rFonts w:ascii="宋体" w:cs="宋体"/>
          <w:sz w:val="24"/>
          <w:szCs w:val="28"/>
        </w:rPr>
        <w:sectPr>
          <w:headerReference r:id="rId23" w:type="default"/>
          <w:pgSz w:w="11906" w:h="16838"/>
          <w:pgMar w:top="1440" w:right="1803" w:bottom="1440" w:left="1803" w:header="851" w:footer="992" w:gutter="0"/>
          <w:pgNumType w:fmt="decimal"/>
          <w:cols w:space="720" w:num="1"/>
          <w:docGrid w:type="lines" w:linePitch="319" w:charSpace="0"/>
        </w:sectPr>
      </w:pPr>
    </w:p>
    <w:p>
      <w:pPr>
        <w:pStyle w:val="4"/>
        <w:adjustRightInd w:val="0"/>
        <w:spacing w:line="500" w:lineRule="exact"/>
        <w:textAlignment w:val="baseline"/>
        <w:rPr>
          <w:rFonts w:ascii="宋体" w:cs="宋体"/>
        </w:rPr>
      </w:pPr>
      <w:bookmarkStart w:id="145" w:name="_Toc7790"/>
      <w:bookmarkStart w:id="146" w:name="_Toc19322"/>
      <w:r>
        <w:rPr>
          <w:rFonts w:hint="eastAsia" w:ascii="宋体" w:hAnsi="宋体" w:cs="宋体"/>
        </w:rPr>
        <w:t>附件一：封袋正面标识式样</w:t>
      </w:r>
      <w:bookmarkEnd w:id="145"/>
      <w:bookmarkEnd w:id="146"/>
    </w:p>
    <w:p>
      <w:pPr>
        <w:spacing w:line="460" w:lineRule="exact"/>
        <w:ind w:firstLine="562" w:firstLineChars="200"/>
        <w:jc w:val="left"/>
        <w:rPr>
          <w:rFonts w:ascii="宋体" w:cs="宋体"/>
          <w:b/>
          <w:sz w:val="24"/>
        </w:rPr>
      </w:pPr>
      <w:r>
        <w:rPr>
          <w:rFonts w:hint="eastAsia" w:ascii="宋体" w:hAnsi="宋体" w:cs="宋体"/>
          <w:b/>
          <w:sz w:val="28"/>
          <w:szCs w:val="28"/>
        </w:rPr>
        <w:t>响应文件正本封袋正面标识式样</w:t>
      </w:r>
    </w:p>
    <w:p>
      <w:pPr>
        <w:spacing w:line="460" w:lineRule="exact"/>
        <w:ind w:firstLine="482" w:firstLineChars="200"/>
        <w:jc w:val="left"/>
        <w:rPr>
          <w:rFonts w:ascii="宋体" w:cs="宋体"/>
          <w:b/>
          <w:sz w:val="24"/>
        </w:rPr>
      </w:pPr>
    </w:p>
    <w:p>
      <w:pPr>
        <w:spacing w:line="460" w:lineRule="exact"/>
        <w:ind w:firstLine="420" w:firstLineChars="200"/>
        <w:jc w:val="left"/>
        <w:rPr>
          <w:rFonts w:ascii="宋体" w:cs="宋体"/>
          <w:b/>
          <w:sz w:val="24"/>
        </w:rPr>
      </w:pPr>
      <w:r>
        <w:pict>
          <v:shape id="Text Box 3" o:spid="_x0000_s1029" o:spt="202" type="#_x0000_t202" style="position:absolute;left:0pt;margin-left:-19.9pt;margin-top:0.9pt;height:264.9pt;width:477.6pt;z-index:251660288;mso-width-relative:page;mso-height-relative:page;" coordsize="21600,21600">
            <v:path/>
            <v:fill focussize="0,0"/>
            <v:stroke joinstyle="miter"/>
            <v:imagedata o:title=""/>
            <o:lock v:ext="edit"/>
            <v:textbox>
              <w:txbxContent>
                <w:p>
                  <w:pPr>
                    <w:jc w:val="center"/>
                    <w:rPr>
                      <w:rFonts w:hint="eastAsia" w:eastAsia="宋体"/>
                      <w:sz w:val="28"/>
                      <w:szCs w:val="28"/>
                      <w:lang w:eastAsia="zh-CN"/>
                    </w:rPr>
                  </w:pPr>
                  <w:r>
                    <w:rPr>
                      <w:rFonts w:hint="eastAsia"/>
                      <w:sz w:val="28"/>
                      <w:szCs w:val="28"/>
                    </w:rPr>
                    <w:t>致：陕西卓佲项目管理有限公司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ZMZB2022XJD-276</w:t>
                  </w:r>
                </w:p>
                <w:p>
                  <w:pPr>
                    <w:rPr>
                      <w:rFonts w:hint="eastAsia" w:eastAsia="宋体"/>
                      <w:b/>
                      <w:sz w:val="44"/>
                      <w:szCs w:val="44"/>
                      <w:lang w:eastAsia="zh-CN"/>
                    </w:rPr>
                  </w:pPr>
                  <w:r>
                    <w:rPr>
                      <w:rFonts w:hint="eastAsia"/>
                      <w:sz w:val="28"/>
                      <w:szCs w:val="28"/>
                    </w:rPr>
                    <w:t>项目名称：西安建筑科技大学</w:t>
                  </w:r>
                  <w:r>
                    <w:rPr>
                      <w:rFonts w:hint="eastAsia"/>
                      <w:sz w:val="28"/>
                      <w:szCs w:val="28"/>
                      <w:lang w:eastAsia="zh-CN"/>
                    </w:rPr>
                    <w:t>冶金制造虚拟仿真实训中心扩建采购项目</w:t>
                  </w:r>
                </w:p>
                <w:p>
                  <w:pPr>
                    <w:jc w:val="center"/>
                    <w:rPr>
                      <w:b/>
                      <w:sz w:val="44"/>
                      <w:szCs w:val="44"/>
                    </w:rPr>
                  </w:pPr>
                  <w:r>
                    <w:rPr>
                      <w:rFonts w:hint="eastAsia"/>
                      <w:b/>
                      <w:sz w:val="44"/>
                      <w:szCs w:val="44"/>
                    </w:rPr>
                    <w:t>响应文件（正本）</w:t>
                  </w:r>
                </w:p>
                <w:p>
                  <w:pPr>
                    <w:pStyle w:val="6"/>
                  </w:pP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响应文件副本封袋正面标识式样</w: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tabs>
          <w:tab w:val="left" w:pos="8280"/>
        </w:tabs>
        <w:spacing w:line="460" w:lineRule="exact"/>
        <w:ind w:firstLine="420" w:firstLineChars="200"/>
        <w:jc w:val="left"/>
        <w:rPr>
          <w:rFonts w:ascii="宋体" w:cs="宋体"/>
          <w:b/>
          <w:sz w:val="24"/>
        </w:rPr>
      </w:pPr>
      <w:r>
        <w:pict>
          <v:shape id="Text Box 4" o:spid="_x0000_s1030" o:spt="202" type="#_x0000_t202" style="position:absolute;left:0pt;margin-left:-23.7pt;margin-top:20.8pt;height:293.35pt;width:480.2pt;z-index:251660288;mso-width-relative:page;mso-height-relative:page;" coordsize="21600,21600">
            <v:path/>
            <v:fill focussize="0,0"/>
            <v:stroke joinstyle="miter"/>
            <v:imagedata o:title=""/>
            <o:lock v:ext="edit"/>
            <v:textbox>
              <w:txbxContent>
                <w:p>
                  <w:pPr>
                    <w:jc w:val="left"/>
                    <w:rPr>
                      <w:rFonts w:hint="eastAsia" w:eastAsia="宋体"/>
                      <w:sz w:val="28"/>
                      <w:szCs w:val="28"/>
                      <w:lang w:eastAsia="zh-CN"/>
                    </w:rPr>
                  </w:pPr>
                  <w:r>
                    <w:rPr>
                      <w:rFonts w:hint="eastAsia"/>
                      <w:sz w:val="28"/>
                      <w:szCs w:val="28"/>
                    </w:rPr>
                    <w:t>致：陕西卓佲项目管理有限公司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ZMZB2022XJD-276</w:t>
                  </w:r>
                </w:p>
                <w:p>
                  <w:pPr>
                    <w:jc w:val="left"/>
                    <w:rPr>
                      <w:rFonts w:hint="eastAsia" w:eastAsia="宋体"/>
                      <w:sz w:val="28"/>
                      <w:szCs w:val="28"/>
                      <w:lang w:eastAsia="zh-CN"/>
                    </w:rPr>
                  </w:pPr>
                  <w:r>
                    <w:rPr>
                      <w:rFonts w:hint="eastAsia"/>
                      <w:sz w:val="28"/>
                      <w:szCs w:val="28"/>
                    </w:rPr>
                    <w:t>项目名称：西安建筑科技大学</w:t>
                  </w:r>
                  <w:r>
                    <w:rPr>
                      <w:rFonts w:hint="eastAsia"/>
                      <w:sz w:val="28"/>
                      <w:szCs w:val="28"/>
                      <w:lang w:eastAsia="zh-CN"/>
                    </w:rPr>
                    <w:t>冶金制造虚拟仿真实训中心扩建采购项目</w:t>
                  </w:r>
                </w:p>
                <w:p>
                  <w:pPr>
                    <w:jc w:val="center"/>
                    <w:rPr>
                      <w:b/>
                      <w:sz w:val="44"/>
                      <w:szCs w:val="44"/>
                    </w:rPr>
                  </w:pPr>
                  <w:r>
                    <w:rPr>
                      <w:rFonts w:hint="eastAsia"/>
                      <w:b/>
                      <w:sz w:val="44"/>
                      <w:szCs w:val="44"/>
                    </w:rPr>
                    <w:t>响应文件（副本）</w:t>
                  </w:r>
                </w:p>
                <w:p>
                  <w:pPr>
                    <w:jc w:val="center"/>
                    <w:rPr>
                      <w:b/>
                      <w:sz w:val="44"/>
                      <w:szCs w:val="44"/>
                    </w:rPr>
                  </w:pPr>
                </w:p>
                <w:p>
                  <w:pPr>
                    <w:jc w:val="center"/>
                    <w:rPr>
                      <w:sz w:val="28"/>
                      <w:szCs w:val="28"/>
                    </w:rPr>
                  </w:pPr>
                  <w:r>
                    <w:rPr>
                      <w:rFonts w:hint="eastAsia"/>
                      <w:sz w:val="28"/>
                      <w:szCs w:val="28"/>
                    </w:rPr>
                    <w:t>（非采购会议不得启封）</w:t>
                  </w:r>
                </w:p>
                <w:p>
                  <w:pPr>
                    <w:pStyle w:val="6"/>
                    <w:jc w:val="both"/>
                  </w:pP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widowControl/>
        <w:spacing w:line="460" w:lineRule="exact"/>
        <w:ind w:firstLine="480" w:firstLineChars="200"/>
        <w:jc w:val="left"/>
        <w:rPr>
          <w:rFonts w:ascii="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jc w:val="left"/>
        <w:rPr>
          <w:rFonts w:ascii="宋体" w:cs="宋体"/>
          <w:b/>
          <w:sz w:val="28"/>
          <w:szCs w:val="28"/>
        </w:rPr>
      </w:pPr>
      <w:r>
        <w:rPr>
          <w:rFonts w:hint="eastAsia" w:ascii="宋体" w:hAnsi="宋体" w:cs="宋体"/>
          <w:b/>
          <w:sz w:val="28"/>
          <w:szCs w:val="28"/>
        </w:rPr>
        <w:t>附件一：</w:t>
      </w:r>
    </w:p>
    <w:p>
      <w:pPr>
        <w:spacing w:line="460" w:lineRule="exact"/>
        <w:ind w:firstLine="562" w:firstLineChars="200"/>
        <w:jc w:val="left"/>
        <w:rPr>
          <w:rFonts w:ascii="宋体" w:cs="宋体"/>
          <w:b/>
          <w:sz w:val="28"/>
          <w:szCs w:val="28"/>
        </w:rPr>
      </w:pPr>
      <w:r>
        <w:rPr>
          <w:rFonts w:hint="eastAsia" w:ascii="宋体" w:hAnsi="宋体" w:cs="宋体"/>
          <w:b/>
          <w:sz w:val="28"/>
          <w:szCs w:val="28"/>
        </w:rPr>
        <w:t>响应一览表封袋正面标识式样</w:t>
      </w:r>
    </w:p>
    <w:p>
      <w:pPr>
        <w:spacing w:line="460" w:lineRule="exact"/>
        <w:ind w:firstLine="420" w:firstLineChars="200"/>
        <w:jc w:val="left"/>
        <w:rPr>
          <w:rFonts w:ascii="宋体" w:cs="宋体"/>
          <w:b/>
          <w:sz w:val="24"/>
        </w:rPr>
      </w:pPr>
      <w:r>
        <w:pict>
          <v:shape id="_x0000_s1031" o:spid="_x0000_s1031" o:spt="202" type="#_x0000_t202" style="position:absolute;left:0pt;margin-left:-29.95pt;margin-top:17.95pt;height:269.4pt;width:487.65pt;z-index:251660288;mso-width-relative:page;mso-height-relative:page;" coordsize="21600,21600">
            <v:path/>
            <v:fill focussize="0,0"/>
            <v:stroke joinstyle="miter"/>
            <v:imagedata o:title=""/>
            <o:lock v:ext="edit"/>
            <v:textbox>
              <w:txbxContent>
                <w:p>
                  <w:pPr>
                    <w:jc w:val="center"/>
                    <w:rPr>
                      <w:rFonts w:hint="eastAsia" w:eastAsia="宋体"/>
                      <w:sz w:val="28"/>
                      <w:szCs w:val="28"/>
                      <w:lang w:eastAsia="zh-CN"/>
                    </w:rPr>
                  </w:pPr>
                  <w:r>
                    <w:rPr>
                      <w:rFonts w:hint="eastAsia"/>
                      <w:sz w:val="28"/>
                      <w:szCs w:val="28"/>
                    </w:rPr>
                    <w:t>致：陕西卓佲项目管理有限公司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ZMZB2022XJD-276</w:t>
                  </w:r>
                </w:p>
                <w:p>
                  <w:pPr>
                    <w:jc w:val="left"/>
                    <w:rPr>
                      <w:rFonts w:hint="eastAsia" w:eastAsia="宋体"/>
                      <w:sz w:val="28"/>
                      <w:szCs w:val="28"/>
                      <w:lang w:eastAsia="zh-CN"/>
                    </w:rPr>
                  </w:pPr>
                  <w:r>
                    <w:rPr>
                      <w:rFonts w:hint="eastAsia"/>
                      <w:sz w:val="28"/>
                      <w:szCs w:val="28"/>
                    </w:rPr>
                    <w:t>项目名称：西安建筑科技大学</w:t>
                  </w:r>
                  <w:r>
                    <w:rPr>
                      <w:rFonts w:hint="eastAsia"/>
                      <w:sz w:val="28"/>
                      <w:szCs w:val="28"/>
                      <w:lang w:eastAsia="zh-CN"/>
                    </w:rPr>
                    <w:t>冶金制造虚拟仿真实训中心扩建采购项目</w:t>
                  </w:r>
                </w:p>
                <w:p>
                  <w:pPr>
                    <w:jc w:val="center"/>
                    <w:rPr>
                      <w:b/>
                      <w:sz w:val="44"/>
                      <w:szCs w:val="44"/>
                    </w:rPr>
                  </w:pPr>
                  <w:r>
                    <w:rPr>
                      <w:rFonts w:hint="eastAsia"/>
                      <w:b/>
                      <w:sz w:val="44"/>
                      <w:szCs w:val="44"/>
                    </w:rPr>
                    <w:t>响应一览表</w:t>
                  </w:r>
                </w:p>
                <w:p>
                  <w:pPr>
                    <w:rPr>
                      <w:b/>
                      <w:sz w:val="44"/>
                      <w:szCs w:val="44"/>
                    </w:rPr>
                  </w:pP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jc w:val="left"/>
        <w:rPr>
          <w:rFonts w:ascii="宋体" w:cs="宋体"/>
          <w:b/>
          <w:sz w:val="24"/>
        </w:rPr>
      </w:pPr>
    </w:p>
    <w:p>
      <w:pPr>
        <w:spacing w:line="460" w:lineRule="exact"/>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电子文档封袋正面标识式样</w:t>
      </w:r>
    </w:p>
    <w:p>
      <w:pPr>
        <w:tabs>
          <w:tab w:val="left" w:pos="8280"/>
        </w:tabs>
        <w:spacing w:line="460" w:lineRule="exact"/>
        <w:ind w:firstLine="420" w:firstLineChars="200"/>
        <w:jc w:val="left"/>
        <w:rPr>
          <w:rFonts w:ascii="宋体" w:cs="宋体"/>
          <w:b/>
          <w:sz w:val="24"/>
        </w:rPr>
      </w:pPr>
      <w:r>
        <w:pict>
          <v:shape id="_x0000_s1032" o:spid="_x0000_s1032" o:spt="202" type="#_x0000_t202" style="position:absolute;left:0pt;margin-left:-28.35pt;margin-top:11.85pt;height:271.15pt;width:483.5pt;z-index:251660288;mso-width-relative:page;mso-height-relative:page;" coordsize="21600,21600">
            <v:path/>
            <v:fill focussize="0,0"/>
            <v:stroke joinstyle="miter"/>
            <v:imagedata o:title=""/>
            <o:lock v:ext="edit"/>
            <v:textbox>
              <w:txbxContent>
                <w:p>
                  <w:pPr>
                    <w:jc w:val="center"/>
                    <w:rPr>
                      <w:rFonts w:hint="eastAsia" w:eastAsia="宋体"/>
                      <w:sz w:val="28"/>
                      <w:szCs w:val="28"/>
                      <w:lang w:eastAsia="zh-CN"/>
                    </w:rPr>
                  </w:pPr>
                  <w:r>
                    <w:rPr>
                      <w:rFonts w:hint="eastAsia"/>
                      <w:sz w:val="28"/>
                      <w:szCs w:val="28"/>
                    </w:rPr>
                    <w:t>致：陕西卓佲项目管理有限公司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ZMZB2022XJD-276</w:t>
                  </w:r>
                </w:p>
                <w:p>
                  <w:pPr>
                    <w:jc w:val="left"/>
                    <w:rPr>
                      <w:rFonts w:hint="eastAsia" w:eastAsia="宋体"/>
                      <w:b/>
                      <w:sz w:val="44"/>
                      <w:szCs w:val="44"/>
                      <w:lang w:eastAsia="zh-CN"/>
                    </w:rPr>
                  </w:pPr>
                  <w:r>
                    <w:rPr>
                      <w:rFonts w:hint="eastAsia"/>
                      <w:sz w:val="28"/>
                      <w:szCs w:val="28"/>
                    </w:rPr>
                    <w:t>项目名称：西安建筑科技大学</w:t>
                  </w:r>
                  <w:r>
                    <w:rPr>
                      <w:rFonts w:hint="eastAsia"/>
                      <w:sz w:val="28"/>
                      <w:szCs w:val="28"/>
                      <w:lang w:eastAsia="zh-CN"/>
                    </w:rPr>
                    <w:t>冶金制造虚拟仿真实训中心扩建采购项目</w:t>
                  </w:r>
                </w:p>
                <w:p>
                  <w:pPr>
                    <w:jc w:val="center"/>
                    <w:rPr>
                      <w:b/>
                      <w:sz w:val="44"/>
                      <w:szCs w:val="44"/>
                    </w:rPr>
                  </w:pPr>
                  <w:r>
                    <w:rPr>
                      <w:rFonts w:hint="eastAsia"/>
                      <w:b/>
                      <w:sz w:val="44"/>
                      <w:szCs w:val="44"/>
                    </w:rPr>
                    <w:t>电子文档</w:t>
                  </w:r>
                </w:p>
                <w:p>
                  <w:pPr>
                    <w:jc w:val="center"/>
                    <w:rPr>
                      <w:b/>
                      <w:sz w:val="44"/>
                      <w:szCs w:val="44"/>
                    </w:rPr>
                  </w:pP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pageBreakBefore/>
        <w:spacing w:line="420" w:lineRule="auto"/>
        <w:rPr>
          <w:rFonts w:ascii="宋体" w:cs="宋体"/>
          <w:b/>
          <w:bCs/>
          <w:sz w:val="36"/>
          <w:szCs w:val="36"/>
        </w:rPr>
        <w:sectPr>
          <w:pgSz w:w="11906" w:h="16838"/>
          <w:pgMar w:top="1440" w:right="1803" w:bottom="1440" w:left="1803" w:header="851" w:footer="992" w:gutter="0"/>
          <w:pgNumType w:fmt="decimal"/>
          <w:cols w:space="720" w:num="1"/>
          <w:docGrid w:type="lines" w:linePitch="319" w:charSpace="0"/>
        </w:sectPr>
      </w:pPr>
    </w:p>
    <w:bookmarkEnd w:id="0"/>
    <w:p>
      <w:pPr>
        <w:pStyle w:val="4"/>
        <w:adjustRightInd w:val="0"/>
        <w:spacing w:line="416" w:lineRule="atLeast"/>
        <w:textAlignment w:val="baseline"/>
        <w:rPr>
          <w:rFonts w:ascii="宋体" w:cs="宋体"/>
        </w:rPr>
      </w:pPr>
      <w:bookmarkStart w:id="147" w:name="_Toc17804"/>
      <w:bookmarkStart w:id="148" w:name="_Toc16538"/>
      <w:r>
        <w:rPr>
          <w:rFonts w:hint="eastAsia" w:ascii="宋体" w:hAnsi="宋体" w:cs="宋体"/>
        </w:rPr>
        <w:t>附件二：保证金退还账户信息确认表</w:t>
      </w:r>
      <w:bookmarkEnd w:id="147"/>
      <w:bookmarkEnd w:id="148"/>
      <w:bookmarkStart w:id="149" w:name="_Toc378248335"/>
    </w:p>
    <w:p/>
    <w:p>
      <w:pPr>
        <w:rPr>
          <w:sz w:val="28"/>
          <w:szCs w:val="28"/>
        </w:rPr>
      </w:pPr>
      <w:r>
        <w:rPr>
          <w:rFonts w:hint="eastAsia"/>
          <w:sz w:val="28"/>
          <w:szCs w:val="28"/>
        </w:rPr>
        <w:t>项目名称：</w:t>
      </w:r>
    </w:p>
    <w:p>
      <w:pPr>
        <w:rPr>
          <w:rFonts w:hint="eastAsia" w:ascii="Calibri" w:hAnsi="Calibri" w:eastAsia="宋体" w:cs="Times New Roman"/>
          <w:b w:val="0"/>
          <w:bCs w:val="0"/>
          <w:kern w:val="2"/>
          <w:sz w:val="28"/>
          <w:szCs w:val="28"/>
          <w:lang w:val="en-US" w:eastAsia="zh-CN" w:bidi="ar-SA"/>
        </w:rPr>
      </w:pPr>
      <w:r>
        <w:rPr>
          <w:rFonts w:hint="eastAsia"/>
          <w:sz w:val="28"/>
          <w:szCs w:val="28"/>
        </w:rPr>
        <w:t>项目编号：</w:t>
      </w:r>
      <w:bookmarkEnd w:id="149"/>
    </w:p>
    <w:p/>
    <w:tbl>
      <w:tblPr>
        <w:tblStyle w:val="29"/>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3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sz w:val="24"/>
              </w:rPr>
            </w:pPr>
            <w:r>
              <w:rPr>
                <w:rFonts w:hint="eastAsia" w:ascii="宋体" w:hAnsi="宋体"/>
                <w:sz w:val="24"/>
              </w:rPr>
              <w:t>应退投标保证金</w:t>
            </w:r>
          </w:p>
        </w:tc>
        <w:tc>
          <w:tcPr>
            <w:tcW w:w="6204" w:type="dxa"/>
            <w:gridSpan w:val="2"/>
            <w:vAlign w:val="center"/>
          </w:tcPr>
          <w:p>
            <w:pPr>
              <w:rPr>
                <w:rFonts w:ascii="宋体"/>
                <w:sz w:val="24"/>
              </w:rPr>
            </w:pPr>
            <w:r>
              <w:rPr>
                <w:rFonts w:hint="eastAsia" w:ascii="宋体" w:hAnsi="宋体"/>
                <w:sz w:val="24"/>
              </w:rPr>
              <w:t>小</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vAlign w:val="center"/>
          </w:tcPr>
          <w:p>
            <w:pPr>
              <w:jc w:val="center"/>
              <w:rPr>
                <w:rFonts w:ascii="宋体"/>
                <w:sz w:val="24"/>
              </w:rPr>
            </w:pPr>
          </w:p>
        </w:tc>
        <w:tc>
          <w:tcPr>
            <w:tcW w:w="6204" w:type="dxa"/>
            <w:gridSpan w:val="2"/>
            <w:vAlign w:val="center"/>
          </w:tcPr>
          <w:p>
            <w:pPr>
              <w:rPr>
                <w:rFonts w:ascii="宋体"/>
                <w:sz w:val="24"/>
              </w:rPr>
            </w:pPr>
            <w:r>
              <w:rPr>
                <w:rFonts w:hint="eastAsia" w:ascii="宋体" w:hAnsi="宋体"/>
                <w:sz w:val="24"/>
              </w:rPr>
              <w:t>大</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sz w:val="24"/>
              </w:rPr>
            </w:pPr>
            <w:r>
              <w:rPr>
                <w:rFonts w:hint="eastAsia" w:ascii="宋体" w:hAnsi="宋体"/>
                <w:sz w:val="24"/>
              </w:rPr>
              <w:t>收款单位（盖章）</w:t>
            </w:r>
          </w:p>
        </w:tc>
        <w:tc>
          <w:tcPr>
            <w:tcW w:w="2370" w:type="dxa"/>
            <w:vAlign w:val="center"/>
          </w:tcPr>
          <w:p>
            <w:pPr>
              <w:jc w:val="center"/>
              <w:rPr>
                <w:rFonts w:ascii="宋体"/>
                <w:sz w:val="24"/>
              </w:rPr>
            </w:pPr>
            <w:r>
              <w:rPr>
                <w:rFonts w:hint="eastAsia" w:ascii="宋体" w:hAnsi="宋体"/>
                <w:sz w:val="24"/>
              </w:rPr>
              <w:t>单</w:t>
            </w:r>
            <w:r>
              <w:rPr>
                <w:rFonts w:ascii="宋体" w:hAnsi="宋体"/>
                <w:sz w:val="24"/>
              </w:rPr>
              <w:t xml:space="preserve">  </w:t>
            </w:r>
            <w:r>
              <w:rPr>
                <w:rFonts w:hint="eastAsia" w:ascii="宋体" w:hAnsi="宋体"/>
                <w:sz w:val="24"/>
              </w:rPr>
              <w:t>位</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联系人及电话</w:t>
            </w:r>
          </w:p>
        </w:tc>
        <w:tc>
          <w:tcPr>
            <w:tcW w:w="3834" w:type="dxa"/>
            <w:vAlign w:val="center"/>
          </w:tcPr>
          <w:p>
            <w:pPr>
              <w:rPr>
                <w:rFonts w:ascii="宋体"/>
                <w:sz w:val="24"/>
              </w:rPr>
            </w:pPr>
          </w:p>
        </w:tc>
      </w:tr>
    </w:tbl>
    <w:p>
      <w:pPr>
        <w:keepNext/>
        <w:keepLines/>
        <w:adjustRightInd w:val="0"/>
        <w:spacing w:line="416" w:lineRule="atLeast"/>
        <w:textAlignment w:val="baseline"/>
        <w:rPr>
          <w:rFonts w:ascii="宋体"/>
          <w:b/>
          <w:sz w:val="24"/>
        </w:rPr>
      </w:pPr>
    </w:p>
    <w:p>
      <w:pPr>
        <w:keepNext/>
        <w:keepLines/>
        <w:adjustRightInd w:val="0"/>
        <w:spacing w:line="416" w:lineRule="atLeast"/>
        <w:textAlignment w:val="baseline"/>
        <w:rPr>
          <w:rFonts w:ascii="宋体"/>
          <w:b/>
          <w:sz w:val="24"/>
        </w:rPr>
      </w:pPr>
      <w:r>
        <w:rPr>
          <w:rFonts w:hint="eastAsia" w:ascii="宋体" w:hAnsi="宋体"/>
          <w:b/>
          <w:sz w:val="24"/>
        </w:rPr>
        <w:t>注：本表在退保证金时填写，单位公章需清晰完整。</w:t>
      </w:r>
    </w:p>
    <w:p>
      <w:pPr>
        <w:ind w:firstLine="819" w:firstLineChars="100"/>
        <w:jc w:val="left"/>
        <w:rPr>
          <w:rFonts w:ascii="宋体" w:hAnsi="宋体" w:cs="宋体"/>
          <w:b/>
          <w:spacing w:val="48"/>
          <w:sz w:val="72"/>
          <w:szCs w:val="72"/>
        </w:rPr>
        <w:sectPr>
          <w:headerReference r:id="rId24" w:type="default"/>
          <w:footerReference r:id="rId25" w:type="default"/>
          <w:pgSz w:w="11906" w:h="16838"/>
          <w:pgMar w:top="1440" w:right="1800" w:bottom="1440" w:left="1800" w:header="851" w:footer="992" w:gutter="0"/>
          <w:pgNumType w:fmt="decimal"/>
          <w:cols w:space="425" w:num="1"/>
          <w:docGrid w:type="lines" w:linePitch="312" w:charSpace="0"/>
        </w:sectPr>
      </w:pPr>
    </w:p>
    <w:p>
      <w:pPr>
        <w:pStyle w:val="40"/>
      </w:pPr>
    </w:p>
    <w:p>
      <w:pPr>
        <w:ind w:firstLine="819" w:firstLineChars="100"/>
        <w:jc w:val="left"/>
        <w:rPr>
          <w:rFonts w:ascii="宋体" w:cs="宋体"/>
          <w:b/>
          <w:spacing w:val="48"/>
          <w:sz w:val="72"/>
          <w:szCs w:val="72"/>
        </w:rPr>
      </w:pPr>
      <w:r>
        <w:rPr>
          <w:rFonts w:hint="eastAsia" w:ascii="宋体" w:hAnsi="宋体" w:cs="宋体"/>
          <w:b/>
          <w:spacing w:val="48"/>
          <w:sz w:val="72"/>
          <w:szCs w:val="72"/>
        </w:rPr>
        <w:t>公平</w:t>
      </w:r>
      <w:r>
        <w:rPr>
          <w:rFonts w:hint="eastAsia" w:ascii="宋体" w:hAnsi="宋体" w:cs="宋体"/>
          <w:b/>
          <w:spacing w:val="48"/>
          <w:sz w:val="72"/>
          <w:szCs w:val="72"/>
          <w:lang w:val="en-US" w:eastAsia="zh-CN"/>
        </w:rPr>
        <w:t xml:space="preserve">         </w:t>
      </w:r>
      <w:r>
        <w:rPr>
          <w:rFonts w:hint="eastAsia" w:ascii="宋体" w:hAnsi="宋体" w:cs="宋体"/>
          <w:b/>
          <w:spacing w:val="48"/>
          <w:sz w:val="72"/>
          <w:szCs w:val="72"/>
        </w:rPr>
        <w:t>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cs="宋体"/>
          <w:b/>
          <w:spacing w:val="48"/>
          <w:sz w:val="72"/>
          <w:szCs w:val="72"/>
        </w:rPr>
      </w:pPr>
      <w:r>
        <w:rPr>
          <w:rFonts w:hint="eastAsia" w:ascii="宋体" w:hAnsi="宋体" w:cs="宋体"/>
          <w:b/>
          <w:spacing w:val="48"/>
          <w:sz w:val="72"/>
          <w:szCs w:val="72"/>
        </w:rPr>
        <w:t>专业</w:t>
      </w:r>
      <w:r>
        <w:rPr>
          <w:rFonts w:hint="eastAsia" w:ascii="宋体" w:hAnsi="宋体" w:cs="宋体"/>
          <w:b/>
          <w:spacing w:val="48"/>
          <w:sz w:val="72"/>
          <w:szCs w:val="72"/>
          <w:lang w:val="en-US" w:eastAsia="zh-CN"/>
        </w:rPr>
        <w:t xml:space="preserve">         </w:t>
      </w:r>
      <w:r>
        <w:rPr>
          <w:rFonts w:hint="eastAsia" w:ascii="宋体" w:hAnsi="宋体" w:cs="宋体"/>
          <w:b/>
          <w:spacing w:val="48"/>
          <w:sz w:val="72"/>
          <w:szCs w:val="72"/>
        </w:rPr>
        <w:t>高效</w:t>
      </w: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w:t>
      </w:r>
      <w:r>
        <w:rPr>
          <w:rFonts w:ascii="宋体" w:hAnsi="宋体" w:cs="宋体"/>
          <w:b/>
          <w:sz w:val="30"/>
          <w:szCs w:val="30"/>
        </w:rPr>
        <w:t>A</w:t>
      </w:r>
      <w:r>
        <w:rPr>
          <w:rFonts w:hint="eastAsia" w:ascii="宋体" w:hAnsi="宋体" w:cs="宋体"/>
          <w:b/>
          <w:sz w:val="30"/>
          <w:szCs w:val="30"/>
        </w:rPr>
        <w:t>座</w:t>
      </w:r>
      <w:r>
        <w:rPr>
          <w:rFonts w:ascii="宋体" w:hAnsi="宋体" w:cs="宋体"/>
          <w:b/>
          <w:sz w:val="30"/>
          <w:szCs w:val="30"/>
        </w:rPr>
        <w:t>2002</w:t>
      </w:r>
      <w:r>
        <w:rPr>
          <w:rFonts w:hint="eastAsia" w:ascii="宋体" w:hAnsi="宋体" w:cs="宋体"/>
          <w:b/>
          <w:sz w:val="30"/>
          <w:szCs w:val="30"/>
        </w:rPr>
        <w:t>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710065</w:t>
      </w:r>
    </w:p>
    <w:p>
      <w:pPr>
        <w:rPr>
          <w:rFonts w:ascii="宋体" w:cs="宋体"/>
          <w:b/>
          <w:sz w:val="30"/>
          <w:szCs w:val="30"/>
        </w:rPr>
      </w:pPr>
      <w:r>
        <w:rPr>
          <w:rFonts w:hint="eastAsia" w:ascii="宋体" w:hAnsi="宋体" w:cs="宋体"/>
          <w:b/>
          <w:sz w:val="30"/>
          <w:szCs w:val="30"/>
        </w:rPr>
        <w:t>电话：</w:t>
      </w:r>
      <w:r>
        <w:rPr>
          <w:rFonts w:ascii="宋体" w:hAnsi="宋体" w:cs="宋体"/>
          <w:b/>
          <w:sz w:val="30"/>
          <w:szCs w:val="30"/>
        </w:rPr>
        <w:t>029-88440695</w:t>
      </w:r>
    </w:p>
    <w:p>
      <w:pPr>
        <w:rPr>
          <w:rFonts w:ascii="宋体" w:cs="宋体"/>
        </w:rPr>
      </w:pPr>
      <w:r>
        <w:rPr>
          <w:rFonts w:hint="eastAsia" w:ascii="宋体" w:hAnsi="宋体" w:cs="宋体"/>
          <w:b/>
          <w:sz w:val="30"/>
          <w:szCs w:val="30"/>
        </w:rPr>
        <w:t>传真：</w:t>
      </w:r>
      <w:r>
        <w:rPr>
          <w:rFonts w:ascii="宋体" w:hAnsi="宋体" w:cs="宋体"/>
          <w:b/>
          <w:sz w:val="30"/>
          <w:szCs w:val="30"/>
        </w:rPr>
        <w:t>029-88440695</w:t>
      </w:r>
    </w:p>
    <w:p>
      <w:pPr>
        <w:rPr>
          <w:rFonts w:ascii="宋体" w:cs="宋体"/>
        </w:rPr>
      </w:pPr>
    </w:p>
    <w:sectPr>
      <w:footerReference r:id="rId2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Helvetica Neue">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2072" o:spid="_x0000_s207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2073" o:spid="_x0000_s2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pict>
        <v:shape id="文本框 12" o:spid="_x0000_s207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w:r>
    <w:r>
      <w:rPr>
        <w:rFonts w:ascii="宋体"/>
      </w:rPr>
      <w:tab/>
    </w:r>
    <w:r>
      <w:rPr>
        <w:rFonts w:ascii="宋体"/>
      </w:rPr>
      <w:tab/>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w:pict>
        <v:shape id="_x0000_s2074" o:spid="_x0000_s207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w:pict>
        <v:shape id="_x0000_s2075" o:spid="_x0000_s207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w:pict>
        <v:shape id="_x0000_s2076" o:spid="_x0000_s207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西安外国语大学长安校区中心机房改造项目</w:t>
    </w:r>
    <w:bookmarkStart w:id="150" w:name="OLE_LINK16"/>
    <w:r>
      <w:rPr>
        <w:rFonts w:ascii="宋体" w:hAnsi="宋体" w:cs="宋体"/>
        <w:sz w:val="15"/>
        <w:szCs w:val="15"/>
        <w:u w:val="single"/>
      </w:rPr>
      <w:t>SXWZ2017ZB-XAWGY-02</w:t>
    </w:r>
    <w:bookmarkEnd w:id="15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2">
    <w:nsid w:val="11BF566B"/>
    <w:multiLevelType w:val="singleLevel"/>
    <w:tmpl w:val="11BF566B"/>
    <w:lvl w:ilvl="0" w:tentative="0">
      <w:start w:val="2"/>
      <w:numFmt w:val="chineseCounting"/>
      <w:suff w:val="space"/>
      <w:lvlText w:val="第%1部分"/>
      <w:lvlJc w:val="left"/>
      <w:rPr>
        <w:rFonts w:hint="eastAsia"/>
        <w:sz w:val="36"/>
        <w:szCs w:val="36"/>
      </w:rPr>
    </w:lvl>
  </w:abstractNum>
  <w:abstractNum w:abstractNumId="3">
    <w:nsid w:val="19B057FC"/>
    <w:multiLevelType w:val="singleLevel"/>
    <w:tmpl w:val="19B057FC"/>
    <w:lvl w:ilvl="0" w:tentative="0">
      <w:start w:val="1"/>
      <w:numFmt w:val="decimal"/>
      <w:suff w:val="nothing"/>
      <w:lvlText w:val="%1、"/>
      <w:lvlJc w:val="left"/>
      <w:pPr>
        <w:ind w:left="140" w:firstLine="0"/>
      </w:pPr>
    </w:lvl>
  </w:abstractNum>
  <w:abstractNum w:abstractNumId="4">
    <w:nsid w:val="207B445B"/>
    <w:multiLevelType w:val="multilevel"/>
    <w:tmpl w:val="207B445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7">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8">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9">
    <w:nsid w:val="58BE64F2"/>
    <w:multiLevelType w:val="singleLevel"/>
    <w:tmpl w:val="58BE64F2"/>
    <w:lvl w:ilvl="0" w:tentative="0">
      <w:start w:val="1"/>
      <w:numFmt w:val="decimal"/>
      <w:suff w:val="nothing"/>
      <w:lvlText w:val="%1、"/>
      <w:lvlJc w:val="left"/>
      <w:pPr>
        <w:ind w:left="-13" w:firstLine="420"/>
      </w:pPr>
      <w:rPr>
        <w:rFonts w:hint="default" w:cs="Times New Roman"/>
      </w:rPr>
    </w:lvl>
  </w:abstractNum>
  <w:abstractNum w:abstractNumId="10">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1">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2">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3">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4">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5">
    <w:nsid w:val="5902B6A7"/>
    <w:multiLevelType w:val="singleLevel"/>
    <w:tmpl w:val="5902B6A7"/>
    <w:lvl w:ilvl="0" w:tentative="0">
      <w:start w:val="1"/>
      <w:numFmt w:val="decimal"/>
      <w:pStyle w:val="9"/>
      <w:lvlText w:val="%1."/>
      <w:lvlJc w:val="left"/>
      <w:pPr>
        <w:tabs>
          <w:tab w:val="left" w:pos="360"/>
        </w:tabs>
        <w:ind w:left="360" w:hanging="360"/>
      </w:pPr>
      <w:rPr>
        <w:rFonts w:cs="Times New Roman"/>
      </w:rPr>
    </w:lvl>
  </w:abstractNum>
  <w:abstractNum w:abstractNumId="16">
    <w:nsid w:val="59388E1B"/>
    <w:multiLevelType w:val="singleLevel"/>
    <w:tmpl w:val="59388E1B"/>
    <w:lvl w:ilvl="0" w:tentative="0">
      <w:start w:val="1"/>
      <w:numFmt w:val="chineseCounting"/>
      <w:suff w:val="nothing"/>
      <w:lvlText w:val="%1、"/>
      <w:lvlJc w:val="left"/>
      <w:pPr>
        <w:tabs>
          <w:tab w:val="left" w:pos="0"/>
        </w:tabs>
        <w:ind w:left="0" w:firstLine="0"/>
      </w:pPr>
      <w:rPr>
        <w:rFonts w:hint="eastAsia"/>
      </w:rPr>
    </w:lvl>
  </w:abstractNum>
  <w:abstractNum w:abstractNumId="17">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18">
    <w:nsid w:val="5A0A7AC5"/>
    <w:multiLevelType w:val="singleLevel"/>
    <w:tmpl w:val="5A0A7AC5"/>
    <w:lvl w:ilvl="0" w:tentative="0">
      <w:start w:val="4"/>
      <w:numFmt w:val="chineseCounting"/>
      <w:suff w:val="nothing"/>
      <w:lvlText w:val="第%1部"/>
      <w:lvlJc w:val="left"/>
      <w:rPr>
        <w:rFonts w:cs="Times New Roman"/>
      </w:rPr>
    </w:lvl>
  </w:abstractNum>
  <w:abstractNum w:abstractNumId="19">
    <w:nsid w:val="5A20CF76"/>
    <w:multiLevelType w:val="singleLevel"/>
    <w:tmpl w:val="5A20CF76"/>
    <w:lvl w:ilvl="0" w:tentative="0">
      <w:start w:val="6"/>
      <w:numFmt w:val="chineseCounting"/>
      <w:suff w:val="nothing"/>
      <w:lvlText w:val="第%1部"/>
      <w:lvlJc w:val="left"/>
      <w:rPr>
        <w:rFonts w:cs="Times New Roman"/>
      </w:rPr>
    </w:lvl>
  </w:abstractNum>
  <w:abstractNum w:abstractNumId="20">
    <w:nsid w:val="744D776A"/>
    <w:multiLevelType w:val="singleLevel"/>
    <w:tmpl w:val="744D776A"/>
    <w:lvl w:ilvl="0" w:tentative="0">
      <w:start w:val="2"/>
      <w:numFmt w:val="decimal"/>
      <w:suff w:val="nothing"/>
      <w:lvlText w:val="%1、"/>
      <w:lvlJc w:val="left"/>
    </w:lvl>
  </w:abstractNum>
  <w:abstractNum w:abstractNumId="21">
    <w:nsid w:val="7454A098"/>
    <w:multiLevelType w:val="singleLevel"/>
    <w:tmpl w:val="7454A098"/>
    <w:lvl w:ilvl="0" w:tentative="0">
      <w:start w:val="5"/>
      <w:numFmt w:val="chineseCounting"/>
      <w:suff w:val="space"/>
      <w:lvlText w:val="第%1部分"/>
      <w:lvlJc w:val="left"/>
      <w:rPr>
        <w:rFonts w:hint="eastAsia" w:cs="Times New Roman"/>
      </w:rPr>
    </w:lvl>
  </w:abstractNum>
  <w:num w:numId="1">
    <w:abstractNumId w:val="15"/>
  </w:num>
  <w:num w:numId="2">
    <w:abstractNumId w:val="14"/>
  </w:num>
  <w:num w:numId="3">
    <w:abstractNumId w:val="20"/>
  </w:num>
  <w:num w:numId="4">
    <w:abstractNumId w:val="17"/>
  </w:num>
  <w:num w:numId="5">
    <w:abstractNumId w:val="1"/>
  </w:num>
  <w:num w:numId="6">
    <w:abstractNumId w:val="0"/>
  </w:num>
  <w:num w:numId="7">
    <w:abstractNumId w:val="7"/>
  </w:num>
  <w:num w:numId="8">
    <w:abstractNumId w:val="5"/>
  </w:num>
  <w:num w:numId="9">
    <w:abstractNumId w:val="11"/>
  </w:num>
  <w:num w:numId="10">
    <w:abstractNumId w:val="12"/>
  </w:num>
  <w:num w:numId="11">
    <w:abstractNumId w:val="8"/>
  </w:num>
  <w:num w:numId="12">
    <w:abstractNumId w:val="6"/>
  </w:num>
  <w:num w:numId="13">
    <w:abstractNumId w:val="9"/>
  </w:num>
  <w:num w:numId="14">
    <w:abstractNumId w:val="10"/>
  </w:num>
  <w:num w:numId="15">
    <w:abstractNumId w:val="13"/>
  </w:num>
  <w:num w:numId="16">
    <w:abstractNumId w:val="18"/>
  </w:num>
  <w:num w:numId="17">
    <w:abstractNumId w:val="21"/>
  </w:num>
  <w:num w:numId="18">
    <w:abstractNumId w:val="19"/>
  </w:num>
  <w:num w:numId="19">
    <w:abstractNumId w:val="4"/>
  </w:num>
  <w:num w:numId="20">
    <w:abstractNumId w:val="16"/>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0"/>
  <w:drawingGridHorizontalSpacing w:val="105"/>
  <w:drawingGridVerticalSpacing w:val="319"/>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ExYTA0NjEzNzRiZjFlNmM3ZmM1ZDMxNzJjMjc3Y2MifQ=="/>
  </w:docVars>
  <w:rsids>
    <w:rsidRoot w:val="2627224F"/>
    <w:rsid w:val="00067C11"/>
    <w:rsid w:val="000943C7"/>
    <w:rsid w:val="000A043D"/>
    <w:rsid w:val="000A2C45"/>
    <w:rsid w:val="000B3DD4"/>
    <w:rsid w:val="000B4187"/>
    <w:rsid w:val="000C0895"/>
    <w:rsid w:val="000C673D"/>
    <w:rsid w:val="000D590C"/>
    <w:rsid w:val="000D7288"/>
    <w:rsid w:val="000E1394"/>
    <w:rsid w:val="000E2BA9"/>
    <w:rsid w:val="000E545B"/>
    <w:rsid w:val="0011607E"/>
    <w:rsid w:val="00161ACB"/>
    <w:rsid w:val="00167A28"/>
    <w:rsid w:val="00175AA2"/>
    <w:rsid w:val="00195011"/>
    <w:rsid w:val="001A439C"/>
    <w:rsid w:val="001D76B9"/>
    <w:rsid w:val="001E7E49"/>
    <w:rsid w:val="001F5070"/>
    <w:rsid w:val="00205EEF"/>
    <w:rsid w:val="00233551"/>
    <w:rsid w:val="0025657F"/>
    <w:rsid w:val="002647A7"/>
    <w:rsid w:val="00295F6C"/>
    <w:rsid w:val="002C54CF"/>
    <w:rsid w:val="002D7A6D"/>
    <w:rsid w:val="002E07BF"/>
    <w:rsid w:val="002E67EA"/>
    <w:rsid w:val="002F6FCA"/>
    <w:rsid w:val="003040CA"/>
    <w:rsid w:val="00315495"/>
    <w:rsid w:val="00325C63"/>
    <w:rsid w:val="00332D32"/>
    <w:rsid w:val="00337601"/>
    <w:rsid w:val="00360C09"/>
    <w:rsid w:val="003A3201"/>
    <w:rsid w:val="003A62FB"/>
    <w:rsid w:val="003C2DEE"/>
    <w:rsid w:val="003C67F2"/>
    <w:rsid w:val="003C68C1"/>
    <w:rsid w:val="003D37C1"/>
    <w:rsid w:val="003D5D13"/>
    <w:rsid w:val="003E1DDF"/>
    <w:rsid w:val="003E65D8"/>
    <w:rsid w:val="003E7B81"/>
    <w:rsid w:val="003F04B9"/>
    <w:rsid w:val="003F3874"/>
    <w:rsid w:val="003F3D18"/>
    <w:rsid w:val="003F5518"/>
    <w:rsid w:val="003F64A7"/>
    <w:rsid w:val="004057C8"/>
    <w:rsid w:val="004456E2"/>
    <w:rsid w:val="00481E05"/>
    <w:rsid w:val="00482B14"/>
    <w:rsid w:val="004862AD"/>
    <w:rsid w:val="004A2F59"/>
    <w:rsid w:val="004A79A8"/>
    <w:rsid w:val="004C18B4"/>
    <w:rsid w:val="004C2AF8"/>
    <w:rsid w:val="004D70C5"/>
    <w:rsid w:val="004D7327"/>
    <w:rsid w:val="004E4CF5"/>
    <w:rsid w:val="004F3D5C"/>
    <w:rsid w:val="0050491F"/>
    <w:rsid w:val="00520C66"/>
    <w:rsid w:val="005217F8"/>
    <w:rsid w:val="00522064"/>
    <w:rsid w:val="00525E3A"/>
    <w:rsid w:val="00530399"/>
    <w:rsid w:val="00536870"/>
    <w:rsid w:val="00536E83"/>
    <w:rsid w:val="005419F3"/>
    <w:rsid w:val="00562EC4"/>
    <w:rsid w:val="00571D17"/>
    <w:rsid w:val="00575B42"/>
    <w:rsid w:val="00576A5F"/>
    <w:rsid w:val="005931AD"/>
    <w:rsid w:val="00593B91"/>
    <w:rsid w:val="005A280C"/>
    <w:rsid w:val="005B3960"/>
    <w:rsid w:val="005D7A12"/>
    <w:rsid w:val="00604E52"/>
    <w:rsid w:val="00613B65"/>
    <w:rsid w:val="00632F20"/>
    <w:rsid w:val="00650037"/>
    <w:rsid w:val="006657C9"/>
    <w:rsid w:val="00682228"/>
    <w:rsid w:val="00696FBA"/>
    <w:rsid w:val="006A208B"/>
    <w:rsid w:val="006E169C"/>
    <w:rsid w:val="006E46DF"/>
    <w:rsid w:val="006F1FD6"/>
    <w:rsid w:val="00736BCC"/>
    <w:rsid w:val="0074281E"/>
    <w:rsid w:val="007447C1"/>
    <w:rsid w:val="00770871"/>
    <w:rsid w:val="0077254B"/>
    <w:rsid w:val="00784DDB"/>
    <w:rsid w:val="00787327"/>
    <w:rsid w:val="00792491"/>
    <w:rsid w:val="007941F2"/>
    <w:rsid w:val="007A4E4B"/>
    <w:rsid w:val="007D15F9"/>
    <w:rsid w:val="007E485E"/>
    <w:rsid w:val="007F0358"/>
    <w:rsid w:val="00811783"/>
    <w:rsid w:val="008259FA"/>
    <w:rsid w:val="008573C1"/>
    <w:rsid w:val="008732D2"/>
    <w:rsid w:val="00874A96"/>
    <w:rsid w:val="008866C0"/>
    <w:rsid w:val="00895737"/>
    <w:rsid w:val="008962A7"/>
    <w:rsid w:val="008A367A"/>
    <w:rsid w:val="008E016F"/>
    <w:rsid w:val="008E7C81"/>
    <w:rsid w:val="008F6EFE"/>
    <w:rsid w:val="00903A2C"/>
    <w:rsid w:val="0090653D"/>
    <w:rsid w:val="00906D0F"/>
    <w:rsid w:val="009450C0"/>
    <w:rsid w:val="00954CF1"/>
    <w:rsid w:val="009C5890"/>
    <w:rsid w:val="009D4B52"/>
    <w:rsid w:val="009E3BD2"/>
    <w:rsid w:val="009E7878"/>
    <w:rsid w:val="009F29DA"/>
    <w:rsid w:val="00A00F37"/>
    <w:rsid w:val="00A02D64"/>
    <w:rsid w:val="00A248F4"/>
    <w:rsid w:val="00A24F9A"/>
    <w:rsid w:val="00A40632"/>
    <w:rsid w:val="00A50E8F"/>
    <w:rsid w:val="00A51FDF"/>
    <w:rsid w:val="00A55ABC"/>
    <w:rsid w:val="00A6190D"/>
    <w:rsid w:val="00A62024"/>
    <w:rsid w:val="00A63494"/>
    <w:rsid w:val="00A73B47"/>
    <w:rsid w:val="00A8343C"/>
    <w:rsid w:val="00A921BA"/>
    <w:rsid w:val="00AB0730"/>
    <w:rsid w:val="00AB54D5"/>
    <w:rsid w:val="00AC7625"/>
    <w:rsid w:val="00AD6709"/>
    <w:rsid w:val="00AF40F8"/>
    <w:rsid w:val="00B2147D"/>
    <w:rsid w:val="00B32079"/>
    <w:rsid w:val="00B356BE"/>
    <w:rsid w:val="00B4047B"/>
    <w:rsid w:val="00B41325"/>
    <w:rsid w:val="00B530E4"/>
    <w:rsid w:val="00B577D8"/>
    <w:rsid w:val="00B73E01"/>
    <w:rsid w:val="00B74DE0"/>
    <w:rsid w:val="00B76303"/>
    <w:rsid w:val="00B76DB3"/>
    <w:rsid w:val="00BA44C1"/>
    <w:rsid w:val="00BC1AB3"/>
    <w:rsid w:val="00BC54D5"/>
    <w:rsid w:val="00BD2757"/>
    <w:rsid w:val="00BD2877"/>
    <w:rsid w:val="00BD3EC5"/>
    <w:rsid w:val="00C003AB"/>
    <w:rsid w:val="00C12CCF"/>
    <w:rsid w:val="00C22831"/>
    <w:rsid w:val="00C41E46"/>
    <w:rsid w:val="00C45FEF"/>
    <w:rsid w:val="00C51045"/>
    <w:rsid w:val="00C56615"/>
    <w:rsid w:val="00C62F20"/>
    <w:rsid w:val="00C7157F"/>
    <w:rsid w:val="00C754F3"/>
    <w:rsid w:val="00C965C9"/>
    <w:rsid w:val="00CB13A4"/>
    <w:rsid w:val="00CB1893"/>
    <w:rsid w:val="00CB3716"/>
    <w:rsid w:val="00CD2391"/>
    <w:rsid w:val="00CE65B1"/>
    <w:rsid w:val="00D01247"/>
    <w:rsid w:val="00D43627"/>
    <w:rsid w:val="00D574E4"/>
    <w:rsid w:val="00D576EF"/>
    <w:rsid w:val="00D75D78"/>
    <w:rsid w:val="00DA05D9"/>
    <w:rsid w:val="00DA4229"/>
    <w:rsid w:val="00DB7219"/>
    <w:rsid w:val="00DC1518"/>
    <w:rsid w:val="00DC1986"/>
    <w:rsid w:val="00DC7FB0"/>
    <w:rsid w:val="00DD30B3"/>
    <w:rsid w:val="00E04145"/>
    <w:rsid w:val="00E13657"/>
    <w:rsid w:val="00E20E24"/>
    <w:rsid w:val="00E2372B"/>
    <w:rsid w:val="00E24AFE"/>
    <w:rsid w:val="00E45089"/>
    <w:rsid w:val="00E65904"/>
    <w:rsid w:val="00E85273"/>
    <w:rsid w:val="00E95F6A"/>
    <w:rsid w:val="00E9724B"/>
    <w:rsid w:val="00EA1ECE"/>
    <w:rsid w:val="00EA395A"/>
    <w:rsid w:val="00EC5558"/>
    <w:rsid w:val="00EC6E7A"/>
    <w:rsid w:val="00ED2AB6"/>
    <w:rsid w:val="00F15049"/>
    <w:rsid w:val="00F157FC"/>
    <w:rsid w:val="00F20B01"/>
    <w:rsid w:val="00F234ED"/>
    <w:rsid w:val="00F445F5"/>
    <w:rsid w:val="00F55543"/>
    <w:rsid w:val="00F57524"/>
    <w:rsid w:val="00F60BD8"/>
    <w:rsid w:val="00F66023"/>
    <w:rsid w:val="00F75245"/>
    <w:rsid w:val="00F83555"/>
    <w:rsid w:val="00F94DCB"/>
    <w:rsid w:val="00FC4ED1"/>
    <w:rsid w:val="00FE167F"/>
    <w:rsid w:val="00FE3310"/>
    <w:rsid w:val="010000C7"/>
    <w:rsid w:val="01171A91"/>
    <w:rsid w:val="01272072"/>
    <w:rsid w:val="013A223F"/>
    <w:rsid w:val="01500663"/>
    <w:rsid w:val="01552F4F"/>
    <w:rsid w:val="018471C5"/>
    <w:rsid w:val="01920D21"/>
    <w:rsid w:val="01C34D19"/>
    <w:rsid w:val="01C4700A"/>
    <w:rsid w:val="01D31509"/>
    <w:rsid w:val="01F90F7C"/>
    <w:rsid w:val="02064B47"/>
    <w:rsid w:val="020A5EF3"/>
    <w:rsid w:val="02132B87"/>
    <w:rsid w:val="021A4A01"/>
    <w:rsid w:val="02293966"/>
    <w:rsid w:val="02701597"/>
    <w:rsid w:val="02733B30"/>
    <w:rsid w:val="0277484A"/>
    <w:rsid w:val="02854F8C"/>
    <w:rsid w:val="02DB4DF7"/>
    <w:rsid w:val="02F8646C"/>
    <w:rsid w:val="030A0C9E"/>
    <w:rsid w:val="030C784E"/>
    <w:rsid w:val="03205381"/>
    <w:rsid w:val="03315787"/>
    <w:rsid w:val="036F1D46"/>
    <w:rsid w:val="03AD5C47"/>
    <w:rsid w:val="03B61C9F"/>
    <w:rsid w:val="03C25B44"/>
    <w:rsid w:val="03C84A6E"/>
    <w:rsid w:val="03CA6AE8"/>
    <w:rsid w:val="03F25F11"/>
    <w:rsid w:val="03FA6DFF"/>
    <w:rsid w:val="041378F5"/>
    <w:rsid w:val="041C2E32"/>
    <w:rsid w:val="04316655"/>
    <w:rsid w:val="04327F61"/>
    <w:rsid w:val="046469BF"/>
    <w:rsid w:val="049B0F6D"/>
    <w:rsid w:val="04E000E3"/>
    <w:rsid w:val="04E5250D"/>
    <w:rsid w:val="04F540AB"/>
    <w:rsid w:val="05132859"/>
    <w:rsid w:val="052B6233"/>
    <w:rsid w:val="053D1998"/>
    <w:rsid w:val="05402991"/>
    <w:rsid w:val="054E1CE0"/>
    <w:rsid w:val="05633974"/>
    <w:rsid w:val="057A7F6E"/>
    <w:rsid w:val="0582199D"/>
    <w:rsid w:val="05842543"/>
    <w:rsid w:val="058F6095"/>
    <w:rsid w:val="05BD25A6"/>
    <w:rsid w:val="05CF6EC6"/>
    <w:rsid w:val="05DD2B0F"/>
    <w:rsid w:val="05FC494C"/>
    <w:rsid w:val="0600061F"/>
    <w:rsid w:val="060454DB"/>
    <w:rsid w:val="062466F3"/>
    <w:rsid w:val="06686B0C"/>
    <w:rsid w:val="066D1D57"/>
    <w:rsid w:val="069960ED"/>
    <w:rsid w:val="06A523B7"/>
    <w:rsid w:val="06B81AE0"/>
    <w:rsid w:val="06BA1BC5"/>
    <w:rsid w:val="06BE30D0"/>
    <w:rsid w:val="06CC6E03"/>
    <w:rsid w:val="06EF35C6"/>
    <w:rsid w:val="070010C5"/>
    <w:rsid w:val="070309DD"/>
    <w:rsid w:val="072461D6"/>
    <w:rsid w:val="0750265D"/>
    <w:rsid w:val="076B37F7"/>
    <w:rsid w:val="07944E69"/>
    <w:rsid w:val="079C7ECA"/>
    <w:rsid w:val="07B36083"/>
    <w:rsid w:val="07C96C38"/>
    <w:rsid w:val="08010166"/>
    <w:rsid w:val="08186ED9"/>
    <w:rsid w:val="08480F22"/>
    <w:rsid w:val="085B6064"/>
    <w:rsid w:val="086116ED"/>
    <w:rsid w:val="08667849"/>
    <w:rsid w:val="086808A0"/>
    <w:rsid w:val="088A735E"/>
    <w:rsid w:val="08A75DFA"/>
    <w:rsid w:val="08BA1E84"/>
    <w:rsid w:val="08CC2D1D"/>
    <w:rsid w:val="08DD3836"/>
    <w:rsid w:val="08F85756"/>
    <w:rsid w:val="090A42F6"/>
    <w:rsid w:val="091F7003"/>
    <w:rsid w:val="09433010"/>
    <w:rsid w:val="094D7EEA"/>
    <w:rsid w:val="098B0A11"/>
    <w:rsid w:val="09EA213D"/>
    <w:rsid w:val="0A08744C"/>
    <w:rsid w:val="0A095ECA"/>
    <w:rsid w:val="0A0976BB"/>
    <w:rsid w:val="0A2B4F41"/>
    <w:rsid w:val="0A3E3F88"/>
    <w:rsid w:val="0A672A35"/>
    <w:rsid w:val="0A6A3D7A"/>
    <w:rsid w:val="0AAF6A88"/>
    <w:rsid w:val="0ADB202D"/>
    <w:rsid w:val="0B167DBC"/>
    <w:rsid w:val="0B190442"/>
    <w:rsid w:val="0B1E47BC"/>
    <w:rsid w:val="0B2B66AD"/>
    <w:rsid w:val="0B2C0444"/>
    <w:rsid w:val="0B462D50"/>
    <w:rsid w:val="0B5D1A85"/>
    <w:rsid w:val="0B64032A"/>
    <w:rsid w:val="0B6C3597"/>
    <w:rsid w:val="0B923335"/>
    <w:rsid w:val="0B923C35"/>
    <w:rsid w:val="0B986F9F"/>
    <w:rsid w:val="0BAE2F91"/>
    <w:rsid w:val="0BD2199B"/>
    <w:rsid w:val="0BE92434"/>
    <w:rsid w:val="0C22749B"/>
    <w:rsid w:val="0C4B1E57"/>
    <w:rsid w:val="0C62138A"/>
    <w:rsid w:val="0C662702"/>
    <w:rsid w:val="0C7A75F8"/>
    <w:rsid w:val="0C7F3BFC"/>
    <w:rsid w:val="0C9A6E94"/>
    <w:rsid w:val="0C9A7A9B"/>
    <w:rsid w:val="0CB6728F"/>
    <w:rsid w:val="0CBB6DE6"/>
    <w:rsid w:val="0CBD2DA5"/>
    <w:rsid w:val="0CF14B0E"/>
    <w:rsid w:val="0CFD25BD"/>
    <w:rsid w:val="0D3A39B1"/>
    <w:rsid w:val="0D4A02A6"/>
    <w:rsid w:val="0D6046C4"/>
    <w:rsid w:val="0D933F5C"/>
    <w:rsid w:val="0DAB1B73"/>
    <w:rsid w:val="0DB81EB3"/>
    <w:rsid w:val="0DE66A16"/>
    <w:rsid w:val="0DFD2A28"/>
    <w:rsid w:val="0E0C42FA"/>
    <w:rsid w:val="0E2A0BC1"/>
    <w:rsid w:val="0E4D16C6"/>
    <w:rsid w:val="0E8B4F0A"/>
    <w:rsid w:val="0E9D07DC"/>
    <w:rsid w:val="0EA9643B"/>
    <w:rsid w:val="0EBE3F82"/>
    <w:rsid w:val="0EBE7EA1"/>
    <w:rsid w:val="0EF653FC"/>
    <w:rsid w:val="0EFB3DED"/>
    <w:rsid w:val="0F05205F"/>
    <w:rsid w:val="0F237E63"/>
    <w:rsid w:val="0F2D19E5"/>
    <w:rsid w:val="0F3E123E"/>
    <w:rsid w:val="0F4A771B"/>
    <w:rsid w:val="0F862A78"/>
    <w:rsid w:val="0F9C165C"/>
    <w:rsid w:val="0FC00610"/>
    <w:rsid w:val="0FD56007"/>
    <w:rsid w:val="10055616"/>
    <w:rsid w:val="100A749C"/>
    <w:rsid w:val="10361987"/>
    <w:rsid w:val="104B4EC7"/>
    <w:rsid w:val="10597FA0"/>
    <w:rsid w:val="106A6CB4"/>
    <w:rsid w:val="107B291F"/>
    <w:rsid w:val="10853848"/>
    <w:rsid w:val="108E6DDE"/>
    <w:rsid w:val="10D20FA3"/>
    <w:rsid w:val="10D83E38"/>
    <w:rsid w:val="10E00621"/>
    <w:rsid w:val="110E1B5E"/>
    <w:rsid w:val="112E7DFF"/>
    <w:rsid w:val="112F26C0"/>
    <w:rsid w:val="114215F5"/>
    <w:rsid w:val="1144077B"/>
    <w:rsid w:val="114542EA"/>
    <w:rsid w:val="1149117E"/>
    <w:rsid w:val="1149499B"/>
    <w:rsid w:val="115E258B"/>
    <w:rsid w:val="118C5030"/>
    <w:rsid w:val="11B361D3"/>
    <w:rsid w:val="11C94C43"/>
    <w:rsid w:val="11E75253"/>
    <w:rsid w:val="120B2859"/>
    <w:rsid w:val="121A3BD7"/>
    <w:rsid w:val="121B7591"/>
    <w:rsid w:val="12415950"/>
    <w:rsid w:val="124B62EC"/>
    <w:rsid w:val="125D587B"/>
    <w:rsid w:val="12650308"/>
    <w:rsid w:val="126E66D8"/>
    <w:rsid w:val="12766F68"/>
    <w:rsid w:val="12784E55"/>
    <w:rsid w:val="127A0A34"/>
    <w:rsid w:val="12886C29"/>
    <w:rsid w:val="12890478"/>
    <w:rsid w:val="128A78E8"/>
    <w:rsid w:val="128C33F4"/>
    <w:rsid w:val="12A60E26"/>
    <w:rsid w:val="12D80C3D"/>
    <w:rsid w:val="12E60E51"/>
    <w:rsid w:val="12FB01C6"/>
    <w:rsid w:val="131307AB"/>
    <w:rsid w:val="1314350A"/>
    <w:rsid w:val="131B2F33"/>
    <w:rsid w:val="13487675"/>
    <w:rsid w:val="134C0A8C"/>
    <w:rsid w:val="138D11BC"/>
    <w:rsid w:val="139D2FCC"/>
    <w:rsid w:val="13AB6434"/>
    <w:rsid w:val="13D84C83"/>
    <w:rsid w:val="14253493"/>
    <w:rsid w:val="142F30DE"/>
    <w:rsid w:val="143A40ED"/>
    <w:rsid w:val="1441058C"/>
    <w:rsid w:val="1446457D"/>
    <w:rsid w:val="14505634"/>
    <w:rsid w:val="14B00589"/>
    <w:rsid w:val="14B13614"/>
    <w:rsid w:val="14B629C7"/>
    <w:rsid w:val="14C35174"/>
    <w:rsid w:val="14CE6335"/>
    <w:rsid w:val="15285578"/>
    <w:rsid w:val="152F6ADB"/>
    <w:rsid w:val="15486511"/>
    <w:rsid w:val="15550B09"/>
    <w:rsid w:val="155550C1"/>
    <w:rsid w:val="155C7162"/>
    <w:rsid w:val="156664AB"/>
    <w:rsid w:val="156E26BA"/>
    <w:rsid w:val="15C56451"/>
    <w:rsid w:val="15C8772A"/>
    <w:rsid w:val="15CD6F92"/>
    <w:rsid w:val="15D9735E"/>
    <w:rsid w:val="15F47714"/>
    <w:rsid w:val="16162C58"/>
    <w:rsid w:val="163457C8"/>
    <w:rsid w:val="164046D4"/>
    <w:rsid w:val="1647321B"/>
    <w:rsid w:val="1654287F"/>
    <w:rsid w:val="16557A45"/>
    <w:rsid w:val="16576DE7"/>
    <w:rsid w:val="166B3507"/>
    <w:rsid w:val="168B5A4E"/>
    <w:rsid w:val="16AE086B"/>
    <w:rsid w:val="16BB29C9"/>
    <w:rsid w:val="16BF6BE7"/>
    <w:rsid w:val="16DA0B9D"/>
    <w:rsid w:val="16FB714E"/>
    <w:rsid w:val="17071B4A"/>
    <w:rsid w:val="170F7C04"/>
    <w:rsid w:val="172072CE"/>
    <w:rsid w:val="17563FF8"/>
    <w:rsid w:val="1768053A"/>
    <w:rsid w:val="17821F33"/>
    <w:rsid w:val="1782436C"/>
    <w:rsid w:val="17896B45"/>
    <w:rsid w:val="17907B2D"/>
    <w:rsid w:val="17B50141"/>
    <w:rsid w:val="17B553DF"/>
    <w:rsid w:val="17CA5536"/>
    <w:rsid w:val="17F854E7"/>
    <w:rsid w:val="18636AB6"/>
    <w:rsid w:val="18656CB7"/>
    <w:rsid w:val="18783248"/>
    <w:rsid w:val="187B0115"/>
    <w:rsid w:val="188B1530"/>
    <w:rsid w:val="18921717"/>
    <w:rsid w:val="189749BB"/>
    <w:rsid w:val="18C160CE"/>
    <w:rsid w:val="18E02502"/>
    <w:rsid w:val="18E609DE"/>
    <w:rsid w:val="18FA490E"/>
    <w:rsid w:val="19107563"/>
    <w:rsid w:val="19225F28"/>
    <w:rsid w:val="192F739D"/>
    <w:rsid w:val="193F5F21"/>
    <w:rsid w:val="19535114"/>
    <w:rsid w:val="195948F7"/>
    <w:rsid w:val="19805D37"/>
    <w:rsid w:val="199D289B"/>
    <w:rsid w:val="19A60E10"/>
    <w:rsid w:val="19C82216"/>
    <w:rsid w:val="19CC0FD2"/>
    <w:rsid w:val="19DD309C"/>
    <w:rsid w:val="19E85AD7"/>
    <w:rsid w:val="19ED0A5E"/>
    <w:rsid w:val="19F313F9"/>
    <w:rsid w:val="19F77FA4"/>
    <w:rsid w:val="19F86A5F"/>
    <w:rsid w:val="1A143CB2"/>
    <w:rsid w:val="1A167085"/>
    <w:rsid w:val="1A324F2D"/>
    <w:rsid w:val="1A42582D"/>
    <w:rsid w:val="1A462475"/>
    <w:rsid w:val="1A4B2F42"/>
    <w:rsid w:val="1A997EE2"/>
    <w:rsid w:val="1AF0507E"/>
    <w:rsid w:val="1B115D3C"/>
    <w:rsid w:val="1B1172F8"/>
    <w:rsid w:val="1B1E0896"/>
    <w:rsid w:val="1B501040"/>
    <w:rsid w:val="1B6A11E1"/>
    <w:rsid w:val="1B6A6896"/>
    <w:rsid w:val="1B76020A"/>
    <w:rsid w:val="1B7E7971"/>
    <w:rsid w:val="1B807337"/>
    <w:rsid w:val="1B901A2D"/>
    <w:rsid w:val="1B99695D"/>
    <w:rsid w:val="1BA47C58"/>
    <w:rsid w:val="1BB3263F"/>
    <w:rsid w:val="1BB37A87"/>
    <w:rsid w:val="1BB80F43"/>
    <w:rsid w:val="1BC170B5"/>
    <w:rsid w:val="1BC85289"/>
    <w:rsid w:val="1BE45D74"/>
    <w:rsid w:val="1BE64759"/>
    <w:rsid w:val="1BEA1B07"/>
    <w:rsid w:val="1BF0529D"/>
    <w:rsid w:val="1C0104E4"/>
    <w:rsid w:val="1C550846"/>
    <w:rsid w:val="1C557320"/>
    <w:rsid w:val="1C6C08F4"/>
    <w:rsid w:val="1C9B7F2C"/>
    <w:rsid w:val="1CD7431E"/>
    <w:rsid w:val="1CE9590B"/>
    <w:rsid w:val="1CEF4C58"/>
    <w:rsid w:val="1D144517"/>
    <w:rsid w:val="1D385997"/>
    <w:rsid w:val="1D6965C6"/>
    <w:rsid w:val="1D6B0D1C"/>
    <w:rsid w:val="1DB74394"/>
    <w:rsid w:val="1DE173F1"/>
    <w:rsid w:val="1DEB4DB4"/>
    <w:rsid w:val="1DF44C32"/>
    <w:rsid w:val="1DF97E9A"/>
    <w:rsid w:val="1E000AFE"/>
    <w:rsid w:val="1E4C6E90"/>
    <w:rsid w:val="1E6D42C6"/>
    <w:rsid w:val="1E957826"/>
    <w:rsid w:val="1EAF03E7"/>
    <w:rsid w:val="1EFB0510"/>
    <w:rsid w:val="1F0B61F0"/>
    <w:rsid w:val="1F175BAF"/>
    <w:rsid w:val="1F4A43EB"/>
    <w:rsid w:val="1F563715"/>
    <w:rsid w:val="1F7441F7"/>
    <w:rsid w:val="1F7678AB"/>
    <w:rsid w:val="1FC1428A"/>
    <w:rsid w:val="1FC4124F"/>
    <w:rsid w:val="1FEC37F2"/>
    <w:rsid w:val="1FF62459"/>
    <w:rsid w:val="20021A5F"/>
    <w:rsid w:val="209D0A3F"/>
    <w:rsid w:val="20A623B7"/>
    <w:rsid w:val="20A669F1"/>
    <w:rsid w:val="20DB699E"/>
    <w:rsid w:val="20F7685E"/>
    <w:rsid w:val="21170B84"/>
    <w:rsid w:val="213360E8"/>
    <w:rsid w:val="214D7F75"/>
    <w:rsid w:val="215A14EE"/>
    <w:rsid w:val="21692402"/>
    <w:rsid w:val="2196624D"/>
    <w:rsid w:val="21AC6C50"/>
    <w:rsid w:val="21B53414"/>
    <w:rsid w:val="21D350BE"/>
    <w:rsid w:val="21D60A7B"/>
    <w:rsid w:val="21FE0428"/>
    <w:rsid w:val="221D31A8"/>
    <w:rsid w:val="22292C54"/>
    <w:rsid w:val="22360BE8"/>
    <w:rsid w:val="223C5937"/>
    <w:rsid w:val="224421A6"/>
    <w:rsid w:val="22530AD3"/>
    <w:rsid w:val="226A4CBC"/>
    <w:rsid w:val="228C2DED"/>
    <w:rsid w:val="2302703B"/>
    <w:rsid w:val="231B37F5"/>
    <w:rsid w:val="23437DEB"/>
    <w:rsid w:val="23536B7C"/>
    <w:rsid w:val="238D208B"/>
    <w:rsid w:val="239C5114"/>
    <w:rsid w:val="23B034FE"/>
    <w:rsid w:val="23C635E2"/>
    <w:rsid w:val="23E303FA"/>
    <w:rsid w:val="23E3603F"/>
    <w:rsid w:val="23EC1646"/>
    <w:rsid w:val="23F85777"/>
    <w:rsid w:val="24292561"/>
    <w:rsid w:val="243C68DF"/>
    <w:rsid w:val="24575A93"/>
    <w:rsid w:val="24756793"/>
    <w:rsid w:val="24876E88"/>
    <w:rsid w:val="24A41B3A"/>
    <w:rsid w:val="24BE2F37"/>
    <w:rsid w:val="24BF59CA"/>
    <w:rsid w:val="24D66860"/>
    <w:rsid w:val="250331AC"/>
    <w:rsid w:val="25113ECB"/>
    <w:rsid w:val="252E1698"/>
    <w:rsid w:val="25326A1A"/>
    <w:rsid w:val="25414CCE"/>
    <w:rsid w:val="254730AC"/>
    <w:rsid w:val="2549701E"/>
    <w:rsid w:val="255F7AD2"/>
    <w:rsid w:val="256D4FBD"/>
    <w:rsid w:val="25890078"/>
    <w:rsid w:val="259D3142"/>
    <w:rsid w:val="25A9744D"/>
    <w:rsid w:val="25CC7C2C"/>
    <w:rsid w:val="25E8350B"/>
    <w:rsid w:val="25EF68E7"/>
    <w:rsid w:val="2627224F"/>
    <w:rsid w:val="263159B5"/>
    <w:rsid w:val="263C69EF"/>
    <w:rsid w:val="26507C71"/>
    <w:rsid w:val="265422D1"/>
    <w:rsid w:val="265D5752"/>
    <w:rsid w:val="265F6B76"/>
    <w:rsid w:val="26890D8F"/>
    <w:rsid w:val="26AC2B16"/>
    <w:rsid w:val="26E639F7"/>
    <w:rsid w:val="270C7E7B"/>
    <w:rsid w:val="271565C6"/>
    <w:rsid w:val="27180E6A"/>
    <w:rsid w:val="271D7B22"/>
    <w:rsid w:val="271E393C"/>
    <w:rsid w:val="2727416B"/>
    <w:rsid w:val="273A709B"/>
    <w:rsid w:val="27581696"/>
    <w:rsid w:val="2788719D"/>
    <w:rsid w:val="278F4995"/>
    <w:rsid w:val="279C320C"/>
    <w:rsid w:val="27A577CF"/>
    <w:rsid w:val="27BA3E75"/>
    <w:rsid w:val="27C72AEF"/>
    <w:rsid w:val="281A748F"/>
    <w:rsid w:val="282B1EC6"/>
    <w:rsid w:val="282F1840"/>
    <w:rsid w:val="283E6198"/>
    <w:rsid w:val="286B6FAB"/>
    <w:rsid w:val="28A56A47"/>
    <w:rsid w:val="28A85DF1"/>
    <w:rsid w:val="28B34564"/>
    <w:rsid w:val="28ED3586"/>
    <w:rsid w:val="29216C5F"/>
    <w:rsid w:val="294409BC"/>
    <w:rsid w:val="29690D96"/>
    <w:rsid w:val="29840C22"/>
    <w:rsid w:val="298B2A87"/>
    <w:rsid w:val="29911DBB"/>
    <w:rsid w:val="29AC67B2"/>
    <w:rsid w:val="29B46D85"/>
    <w:rsid w:val="2A4A0382"/>
    <w:rsid w:val="2A604683"/>
    <w:rsid w:val="2A641987"/>
    <w:rsid w:val="2A6627DA"/>
    <w:rsid w:val="2AA02867"/>
    <w:rsid w:val="2AB357E7"/>
    <w:rsid w:val="2ACD0A6A"/>
    <w:rsid w:val="2AF76423"/>
    <w:rsid w:val="2B395A62"/>
    <w:rsid w:val="2B3A4AA5"/>
    <w:rsid w:val="2B467033"/>
    <w:rsid w:val="2B521C82"/>
    <w:rsid w:val="2B63494F"/>
    <w:rsid w:val="2B9E6A50"/>
    <w:rsid w:val="2BAC55B5"/>
    <w:rsid w:val="2BAD6E83"/>
    <w:rsid w:val="2BB16D86"/>
    <w:rsid w:val="2BB23B01"/>
    <w:rsid w:val="2BC22732"/>
    <w:rsid w:val="2BDD7F5F"/>
    <w:rsid w:val="2BE43FF8"/>
    <w:rsid w:val="2BF7105C"/>
    <w:rsid w:val="2C783CDC"/>
    <w:rsid w:val="2C831E0A"/>
    <w:rsid w:val="2CAC46BC"/>
    <w:rsid w:val="2CB42BE2"/>
    <w:rsid w:val="2CC9536F"/>
    <w:rsid w:val="2CCD23D1"/>
    <w:rsid w:val="2CE00083"/>
    <w:rsid w:val="2CE32F1B"/>
    <w:rsid w:val="2CF617E0"/>
    <w:rsid w:val="2CFC651F"/>
    <w:rsid w:val="2D167580"/>
    <w:rsid w:val="2D382A50"/>
    <w:rsid w:val="2D521469"/>
    <w:rsid w:val="2D5B1A46"/>
    <w:rsid w:val="2D6A3083"/>
    <w:rsid w:val="2D6C1A1A"/>
    <w:rsid w:val="2D926FDB"/>
    <w:rsid w:val="2DBB723B"/>
    <w:rsid w:val="2DBE42E8"/>
    <w:rsid w:val="2DC37DF1"/>
    <w:rsid w:val="2DDD4AFC"/>
    <w:rsid w:val="2DEF7827"/>
    <w:rsid w:val="2E0D173F"/>
    <w:rsid w:val="2E183B3B"/>
    <w:rsid w:val="2E756ED5"/>
    <w:rsid w:val="2E825B76"/>
    <w:rsid w:val="2E8D2E9E"/>
    <w:rsid w:val="2EA5217A"/>
    <w:rsid w:val="2EAF195F"/>
    <w:rsid w:val="2EC116C4"/>
    <w:rsid w:val="2EDD0D84"/>
    <w:rsid w:val="2EE57D02"/>
    <w:rsid w:val="2EED45EC"/>
    <w:rsid w:val="2F087EA0"/>
    <w:rsid w:val="2F0B25ED"/>
    <w:rsid w:val="2F2303C4"/>
    <w:rsid w:val="2F2F1D11"/>
    <w:rsid w:val="2F4A1FBC"/>
    <w:rsid w:val="2F90771D"/>
    <w:rsid w:val="2F97555A"/>
    <w:rsid w:val="2F984ABB"/>
    <w:rsid w:val="2FAB667E"/>
    <w:rsid w:val="2FD664A1"/>
    <w:rsid w:val="2FE32412"/>
    <w:rsid w:val="2FE734F8"/>
    <w:rsid w:val="300D568E"/>
    <w:rsid w:val="30104CBD"/>
    <w:rsid w:val="301E2A15"/>
    <w:rsid w:val="30323073"/>
    <w:rsid w:val="30346EAA"/>
    <w:rsid w:val="30541F26"/>
    <w:rsid w:val="30561692"/>
    <w:rsid w:val="30642C10"/>
    <w:rsid w:val="30AA13BF"/>
    <w:rsid w:val="30B65918"/>
    <w:rsid w:val="30EF0A8C"/>
    <w:rsid w:val="310C4A4C"/>
    <w:rsid w:val="31195802"/>
    <w:rsid w:val="31361745"/>
    <w:rsid w:val="31502380"/>
    <w:rsid w:val="316E648F"/>
    <w:rsid w:val="31926D16"/>
    <w:rsid w:val="31934866"/>
    <w:rsid w:val="31A1306B"/>
    <w:rsid w:val="31DE7FBD"/>
    <w:rsid w:val="320C19BC"/>
    <w:rsid w:val="324E226E"/>
    <w:rsid w:val="32B15F25"/>
    <w:rsid w:val="32B871AC"/>
    <w:rsid w:val="32D4454C"/>
    <w:rsid w:val="32F341BB"/>
    <w:rsid w:val="32FF588D"/>
    <w:rsid w:val="3341058C"/>
    <w:rsid w:val="33434A04"/>
    <w:rsid w:val="335C0F0C"/>
    <w:rsid w:val="336545F3"/>
    <w:rsid w:val="336A6D2A"/>
    <w:rsid w:val="33783A5F"/>
    <w:rsid w:val="33843069"/>
    <w:rsid w:val="3391004C"/>
    <w:rsid w:val="339E4194"/>
    <w:rsid w:val="33DC601A"/>
    <w:rsid w:val="34082B42"/>
    <w:rsid w:val="34122C54"/>
    <w:rsid w:val="34187567"/>
    <w:rsid w:val="3437534A"/>
    <w:rsid w:val="343B185A"/>
    <w:rsid w:val="34433D9B"/>
    <w:rsid w:val="344A3B15"/>
    <w:rsid w:val="344A5CAF"/>
    <w:rsid w:val="34627E84"/>
    <w:rsid w:val="346678FC"/>
    <w:rsid w:val="3474527A"/>
    <w:rsid w:val="34761B3D"/>
    <w:rsid w:val="3498592F"/>
    <w:rsid w:val="34CE5A84"/>
    <w:rsid w:val="34E40917"/>
    <w:rsid w:val="34ED2EF3"/>
    <w:rsid w:val="34FB6280"/>
    <w:rsid w:val="3565162C"/>
    <w:rsid w:val="356D3F5E"/>
    <w:rsid w:val="35870680"/>
    <w:rsid w:val="35884C5D"/>
    <w:rsid w:val="359E1D7B"/>
    <w:rsid w:val="35BE55CE"/>
    <w:rsid w:val="360E3D96"/>
    <w:rsid w:val="36111515"/>
    <w:rsid w:val="36362A7C"/>
    <w:rsid w:val="36504388"/>
    <w:rsid w:val="36860188"/>
    <w:rsid w:val="36873437"/>
    <w:rsid w:val="369F5F8F"/>
    <w:rsid w:val="36D72354"/>
    <w:rsid w:val="36D954F0"/>
    <w:rsid w:val="370666E5"/>
    <w:rsid w:val="372F4C19"/>
    <w:rsid w:val="376B6B46"/>
    <w:rsid w:val="3782361C"/>
    <w:rsid w:val="37BB36C6"/>
    <w:rsid w:val="37C14F07"/>
    <w:rsid w:val="37F53C21"/>
    <w:rsid w:val="38243ABD"/>
    <w:rsid w:val="383A131B"/>
    <w:rsid w:val="385F1A9D"/>
    <w:rsid w:val="387E408E"/>
    <w:rsid w:val="389712F2"/>
    <w:rsid w:val="38A17658"/>
    <w:rsid w:val="38BA0B05"/>
    <w:rsid w:val="38BC5397"/>
    <w:rsid w:val="38BC5D6B"/>
    <w:rsid w:val="38C377DA"/>
    <w:rsid w:val="3903758B"/>
    <w:rsid w:val="3935437F"/>
    <w:rsid w:val="397841F4"/>
    <w:rsid w:val="398630C2"/>
    <w:rsid w:val="39A03524"/>
    <w:rsid w:val="39A15199"/>
    <w:rsid w:val="39CF0B7D"/>
    <w:rsid w:val="39E60D3D"/>
    <w:rsid w:val="39E901AB"/>
    <w:rsid w:val="39E91C6F"/>
    <w:rsid w:val="3A365E76"/>
    <w:rsid w:val="3A4A3FFD"/>
    <w:rsid w:val="3A621F66"/>
    <w:rsid w:val="3A657C2B"/>
    <w:rsid w:val="3A8D3267"/>
    <w:rsid w:val="3AA97504"/>
    <w:rsid w:val="3AD30754"/>
    <w:rsid w:val="3AD67AF1"/>
    <w:rsid w:val="3AF36F06"/>
    <w:rsid w:val="3B045404"/>
    <w:rsid w:val="3B1D2901"/>
    <w:rsid w:val="3B207D55"/>
    <w:rsid w:val="3B4F12B2"/>
    <w:rsid w:val="3B565AE5"/>
    <w:rsid w:val="3B606BFF"/>
    <w:rsid w:val="3B6952BA"/>
    <w:rsid w:val="3B730A2C"/>
    <w:rsid w:val="3B8D15A9"/>
    <w:rsid w:val="3BAC3AEF"/>
    <w:rsid w:val="3BAD5592"/>
    <w:rsid w:val="3BC760D0"/>
    <w:rsid w:val="3BFD75A8"/>
    <w:rsid w:val="3C0A04BB"/>
    <w:rsid w:val="3C560DD2"/>
    <w:rsid w:val="3C5F3058"/>
    <w:rsid w:val="3C7057AE"/>
    <w:rsid w:val="3C913DE4"/>
    <w:rsid w:val="3CA8627B"/>
    <w:rsid w:val="3CA97F92"/>
    <w:rsid w:val="3CD46105"/>
    <w:rsid w:val="3CF23AC0"/>
    <w:rsid w:val="3D0126CA"/>
    <w:rsid w:val="3D093678"/>
    <w:rsid w:val="3D18434A"/>
    <w:rsid w:val="3D311DC7"/>
    <w:rsid w:val="3D3712B0"/>
    <w:rsid w:val="3D48086F"/>
    <w:rsid w:val="3D4B442E"/>
    <w:rsid w:val="3D7D48B2"/>
    <w:rsid w:val="3DAA4390"/>
    <w:rsid w:val="3DB724DE"/>
    <w:rsid w:val="3DC63AB0"/>
    <w:rsid w:val="3DC70F93"/>
    <w:rsid w:val="3DDF67F8"/>
    <w:rsid w:val="3E1C78E7"/>
    <w:rsid w:val="3E2E431B"/>
    <w:rsid w:val="3E340709"/>
    <w:rsid w:val="3E4522CA"/>
    <w:rsid w:val="3E4E23C4"/>
    <w:rsid w:val="3E74486F"/>
    <w:rsid w:val="3E752336"/>
    <w:rsid w:val="3E7F2494"/>
    <w:rsid w:val="3E8E6CA9"/>
    <w:rsid w:val="3EA96912"/>
    <w:rsid w:val="3EC12894"/>
    <w:rsid w:val="3EC7628C"/>
    <w:rsid w:val="3EDC2981"/>
    <w:rsid w:val="3EF0432B"/>
    <w:rsid w:val="3F02112C"/>
    <w:rsid w:val="3F0C2C0C"/>
    <w:rsid w:val="3F1B1231"/>
    <w:rsid w:val="3F41445E"/>
    <w:rsid w:val="3F43477F"/>
    <w:rsid w:val="3F4F1C39"/>
    <w:rsid w:val="3F5A50A4"/>
    <w:rsid w:val="3F6A25FF"/>
    <w:rsid w:val="3F6B14B3"/>
    <w:rsid w:val="3F6F4131"/>
    <w:rsid w:val="3F7538F7"/>
    <w:rsid w:val="3FA46EF8"/>
    <w:rsid w:val="3FB05A8C"/>
    <w:rsid w:val="3FD52BD0"/>
    <w:rsid w:val="3FDA0AC6"/>
    <w:rsid w:val="401D79CF"/>
    <w:rsid w:val="40206E6E"/>
    <w:rsid w:val="40214852"/>
    <w:rsid w:val="404366F0"/>
    <w:rsid w:val="40596BBF"/>
    <w:rsid w:val="40890E81"/>
    <w:rsid w:val="40977A9B"/>
    <w:rsid w:val="40A86F45"/>
    <w:rsid w:val="40D82D33"/>
    <w:rsid w:val="40F76F36"/>
    <w:rsid w:val="41181D29"/>
    <w:rsid w:val="41303C39"/>
    <w:rsid w:val="414B2E3E"/>
    <w:rsid w:val="414F74CB"/>
    <w:rsid w:val="41513DF7"/>
    <w:rsid w:val="415B6654"/>
    <w:rsid w:val="41610CC9"/>
    <w:rsid w:val="417C2EE6"/>
    <w:rsid w:val="41A0365E"/>
    <w:rsid w:val="41C92B51"/>
    <w:rsid w:val="41D301C3"/>
    <w:rsid w:val="41D623AF"/>
    <w:rsid w:val="41E618AB"/>
    <w:rsid w:val="41E97BA0"/>
    <w:rsid w:val="422F49B3"/>
    <w:rsid w:val="424038EA"/>
    <w:rsid w:val="42494A28"/>
    <w:rsid w:val="425B50E1"/>
    <w:rsid w:val="42802614"/>
    <w:rsid w:val="42B01704"/>
    <w:rsid w:val="42CC4106"/>
    <w:rsid w:val="42E068CB"/>
    <w:rsid w:val="433858A5"/>
    <w:rsid w:val="433E126A"/>
    <w:rsid w:val="43406343"/>
    <w:rsid w:val="43423125"/>
    <w:rsid w:val="43506DE5"/>
    <w:rsid w:val="43920E07"/>
    <w:rsid w:val="43951B04"/>
    <w:rsid w:val="43AA1A2A"/>
    <w:rsid w:val="43C31C84"/>
    <w:rsid w:val="43CB30F4"/>
    <w:rsid w:val="44185BB6"/>
    <w:rsid w:val="441952D0"/>
    <w:rsid w:val="44200C7E"/>
    <w:rsid w:val="4422721F"/>
    <w:rsid w:val="4441382D"/>
    <w:rsid w:val="44441E1C"/>
    <w:rsid w:val="44473B3D"/>
    <w:rsid w:val="4465559E"/>
    <w:rsid w:val="44740DDB"/>
    <w:rsid w:val="447B5189"/>
    <w:rsid w:val="44984355"/>
    <w:rsid w:val="44A8226D"/>
    <w:rsid w:val="44CC2C4F"/>
    <w:rsid w:val="4524498B"/>
    <w:rsid w:val="45254F87"/>
    <w:rsid w:val="452F7EEA"/>
    <w:rsid w:val="4576238A"/>
    <w:rsid w:val="45AA7E73"/>
    <w:rsid w:val="45BF355C"/>
    <w:rsid w:val="45C23580"/>
    <w:rsid w:val="45DC6777"/>
    <w:rsid w:val="45DE1EC3"/>
    <w:rsid w:val="45EA7483"/>
    <w:rsid w:val="45EF2CD6"/>
    <w:rsid w:val="45F2794A"/>
    <w:rsid w:val="45FB5A7C"/>
    <w:rsid w:val="45FD3E50"/>
    <w:rsid w:val="45FE2A7D"/>
    <w:rsid w:val="4601483F"/>
    <w:rsid w:val="46301D5D"/>
    <w:rsid w:val="464E3334"/>
    <w:rsid w:val="466E33E3"/>
    <w:rsid w:val="46760020"/>
    <w:rsid w:val="467B553A"/>
    <w:rsid w:val="467E34C4"/>
    <w:rsid w:val="46A7659A"/>
    <w:rsid w:val="46C853F2"/>
    <w:rsid w:val="46DD1D2C"/>
    <w:rsid w:val="46E9783E"/>
    <w:rsid w:val="46F722E3"/>
    <w:rsid w:val="4705563D"/>
    <w:rsid w:val="470A40B5"/>
    <w:rsid w:val="47124567"/>
    <w:rsid w:val="47170400"/>
    <w:rsid w:val="472B3FFD"/>
    <w:rsid w:val="47316B3D"/>
    <w:rsid w:val="4734684B"/>
    <w:rsid w:val="476A5FE9"/>
    <w:rsid w:val="4780564D"/>
    <w:rsid w:val="47952C69"/>
    <w:rsid w:val="47B0127B"/>
    <w:rsid w:val="47B9350B"/>
    <w:rsid w:val="47BA1BC8"/>
    <w:rsid w:val="47CC1367"/>
    <w:rsid w:val="47CD234C"/>
    <w:rsid w:val="48017210"/>
    <w:rsid w:val="48236679"/>
    <w:rsid w:val="482B1F03"/>
    <w:rsid w:val="484935F2"/>
    <w:rsid w:val="488E52A0"/>
    <w:rsid w:val="489A09D2"/>
    <w:rsid w:val="48A52420"/>
    <w:rsid w:val="48D22C29"/>
    <w:rsid w:val="48DB7360"/>
    <w:rsid w:val="48FF5525"/>
    <w:rsid w:val="49001E86"/>
    <w:rsid w:val="49085277"/>
    <w:rsid w:val="493D2F8A"/>
    <w:rsid w:val="494A4F5F"/>
    <w:rsid w:val="4952637D"/>
    <w:rsid w:val="495C4C37"/>
    <w:rsid w:val="496504D4"/>
    <w:rsid w:val="49734683"/>
    <w:rsid w:val="497957B5"/>
    <w:rsid w:val="497B4E0F"/>
    <w:rsid w:val="49AF138D"/>
    <w:rsid w:val="49B94DB5"/>
    <w:rsid w:val="49F64E88"/>
    <w:rsid w:val="4A234FEC"/>
    <w:rsid w:val="4AB30EDE"/>
    <w:rsid w:val="4ABB7979"/>
    <w:rsid w:val="4AD2212C"/>
    <w:rsid w:val="4AE374EF"/>
    <w:rsid w:val="4B2847D1"/>
    <w:rsid w:val="4B2F3BE7"/>
    <w:rsid w:val="4B341F77"/>
    <w:rsid w:val="4B3C528F"/>
    <w:rsid w:val="4B7D207A"/>
    <w:rsid w:val="4B817882"/>
    <w:rsid w:val="4B875EB6"/>
    <w:rsid w:val="4BAD1EF1"/>
    <w:rsid w:val="4BAF7C51"/>
    <w:rsid w:val="4BB2318A"/>
    <w:rsid w:val="4BBA6469"/>
    <w:rsid w:val="4BCD5586"/>
    <w:rsid w:val="4BD73847"/>
    <w:rsid w:val="4BD84E86"/>
    <w:rsid w:val="4BEF4740"/>
    <w:rsid w:val="4C157042"/>
    <w:rsid w:val="4C182F26"/>
    <w:rsid w:val="4C1E3EFD"/>
    <w:rsid w:val="4C214F0E"/>
    <w:rsid w:val="4C3C3FBA"/>
    <w:rsid w:val="4C43598E"/>
    <w:rsid w:val="4C55132F"/>
    <w:rsid w:val="4C553EC6"/>
    <w:rsid w:val="4C6514B0"/>
    <w:rsid w:val="4C6C0D90"/>
    <w:rsid w:val="4C7003C0"/>
    <w:rsid w:val="4C737880"/>
    <w:rsid w:val="4C7D1FFD"/>
    <w:rsid w:val="4C7D2B41"/>
    <w:rsid w:val="4C946E1B"/>
    <w:rsid w:val="4CB209AF"/>
    <w:rsid w:val="4CC637BD"/>
    <w:rsid w:val="4CE1500D"/>
    <w:rsid w:val="4CF5763E"/>
    <w:rsid w:val="4D192959"/>
    <w:rsid w:val="4D216840"/>
    <w:rsid w:val="4D3F7CBF"/>
    <w:rsid w:val="4D58649D"/>
    <w:rsid w:val="4D62389D"/>
    <w:rsid w:val="4D6B6018"/>
    <w:rsid w:val="4D875A80"/>
    <w:rsid w:val="4DAA6920"/>
    <w:rsid w:val="4DC46301"/>
    <w:rsid w:val="4DDB0254"/>
    <w:rsid w:val="4DDF4EB1"/>
    <w:rsid w:val="4DE60A4C"/>
    <w:rsid w:val="4DF60896"/>
    <w:rsid w:val="4DFE3CC8"/>
    <w:rsid w:val="4E022606"/>
    <w:rsid w:val="4E4E418E"/>
    <w:rsid w:val="4E774C88"/>
    <w:rsid w:val="4E87316E"/>
    <w:rsid w:val="4EB9175E"/>
    <w:rsid w:val="4EF20653"/>
    <w:rsid w:val="4F0A7123"/>
    <w:rsid w:val="4F1C1A77"/>
    <w:rsid w:val="4F2A3762"/>
    <w:rsid w:val="4F2E0DB1"/>
    <w:rsid w:val="4F356EFF"/>
    <w:rsid w:val="4F60510A"/>
    <w:rsid w:val="4F70183F"/>
    <w:rsid w:val="4F7A5394"/>
    <w:rsid w:val="4F990B00"/>
    <w:rsid w:val="4F9A2DBB"/>
    <w:rsid w:val="4FB018A6"/>
    <w:rsid w:val="4FC43ED6"/>
    <w:rsid w:val="4FD41C1D"/>
    <w:rsid w:val="4FD54DAA"/>
    <w:rsid w:val="4FED2322"/>
    <w:rsid w:val="4FFD53C6"/>
    <w:rsid w:val="501A3D27"/>
    <w:rsid w:val="50265E12"/>
    <w:rsid w:val="50355DE5"/>
    <w:rsid w:val="503D1B16"/>
    <w:rsid w:val="503E193F"/>
    <w:rsid w:val="504467DB"/>
    <w:rsid w:val="505E4959"/>
    <w:rsid w:val="50635AE2"/>
    <w:rsid w:val="5074268E"/>
    <w:rsid w:val="50876B84"/>
    <w:rsid w:val="508E47DC"/>
    <w:rsid w:val="509C363D"/>
    <w:rsid w:val="50A940E7"/>
    <w:rsid w:val="50AA17E4"/>
    <w:rsid w:val="50AE3F83"/>
    <w:rsid w:val="50CF7A4B"/>
    <w:rsid w:val="50FC1A18"/>
    <w:rsid w:val="51022777"/>
    <w:rsid w:val="51077E16"/>
    <w:rsid w:val="511C39D2"/>
    <w:rsid w:val="51254DDE"/>
    <w:rsid w:val="5135331A"/>
    <w:rsid w:val="5137564E"/>
    <w:rsid w:val="514A237E"/>
    <w:rsid w:val="515C0CB9"/>
    <w:rsid w:val="51610EDB"/>
    <w:rsid w:val="5168443D"/>
    <w:rsid w:val="516C1A4D"/>
    <w:rsid w:val="51821556"/>
    <w:rsid w:val="51A846EE"/>
    <w:rsid w:val="51B46774"/>
    <w:rsid w:val="51BF3983"/>
    <w:rsid w:val="51F10280"/>
    <w:rsid w:val="520923F4"/>
    <w:rsid w:val="5211020B"/>
    <w:rsid w:val="521C7493"/>
    <w:rsid w:val="52367A86"/>
    <w:rsid w:val="52424C81"/>
    <w:rsid w:val="524467AD"/>
    <w:rsid w:val="527D24BA"/>
    <w:rsid w:val="52873776"/>
    <w:rsid w:val="529E7DC9"/>
    <w:rsid w:val="52A1157D"/>
    <w:rsid w:val="52AD1C3B"/>
    <w:rsid w:val="52C276E1"/>
    <w:rsid w:val="52E87B38"/>
    <w:rsid w:val="52F30525"/>
    <w:rsid w:val="52F83F52"/>
    <w:rsid w:val="53046705"/>
    <w:rsid w:val="532452B2"/>
    <w:rsid w:val="533D3764"/>
    <w:rsid w:val="534461E7"/>
    <w:rsid w:val="5350294B"/>
    <w:rsid w:val="535B4CF0"/>
    <w:rsid w:val="536317EF"/>
    <w:rsid w:val="53773EDD"/>
    <w:rsid w:val="53907125"/>
    <w:rsid w:val="53A6039D"/>
    <w:rsid w:val="53D01CCC"/>
    <w:rsid w:val="53DA3C95"/>
    <w:rsid w:val="53DD39B2"/>
    <w:rsid w:val="53DE413A"/>
    <w:rsid w:val="53EA2399"/>
    <w:rsid w:val="5400093A"/>
    <w:rsid w:val="543E150A"/>
    <w:rsid w:val="547159D4"/>
    <w:rsid w:val="54B13217"/>
    <w:rsid w:val="54F62233"/>
    <w:rsid w:val="551F414B"/>
    <w:rsid w:val="55411377"/>
    <w:rsid w:val="5569348D"/>
    <w:rsid w:val="55891C60"/>
    <w:rsid w:val="55992746"/>
    <w:rsid w:val="559E3812"/>
    <w:rsid w:val="55A4243F"/>
    <w:rsid w:val="55B00ABD"/>
    <w:rsid w:val="55EF58A5"/>
    <w:rsid w:val="55FB2450"/>
    <w:rsid w:val="566C6AAD"/>
    <w:rsid w:val="56880550"/>
    <w:rsid w:val="569549B7"/>
    <w:rsid w:val="569B59A6"/>
    <w:rsid w:val="56F00AC2"/>
    <w:rsid w:val="56F31CFD"/>
    <w:rsid w:val="56F65263"/>
    <w:rsid w:val="56F705B5"/>
    <w:rsid w:val="57132F95"/>
    <w:rsid w:val="572D56F6"/>
    <w:rsid w:val="575B54C2"/>
    <w:rsid w:val="5764383E"/>
    <w:rsid w:val="57690382"/>
    <w:rsid w:val="576C6A24"/>
    <w:rsid w:val="57737278"/>
    <w:rsid w:val="57806D53"/>
    <w:rsid w:val="57817915"/>
    <w:rsid w:val="5827740E"/>
    <w:rsid w:val="58430210"/>
    <w:rsid w:val="584B6565"/>
    <w:rsid w:val="5863214C"/>
    <w:rsid w:val="58717162"/>
    <w:rsid w:val="58781DC6"/>
    <w:rsid w:val="58853F70"/>
    <w:rsid w:val="589011C0"/>
    <w:rsid w:val="58914CFB"/>
    <w:rsid w:val="589A70FA"/>
    <w:rsid w:val="58A24B8B"/>
    <w:rsid w:val="58A725D8"/>
    <w:rsid w:val="58B8618D"/>
    <w:rsid w:val="58C45F58"/>
    <w:rsid w:val="58EA42C6"/>
    <w:rsid w:val="591279D6"/>
    <w:rsid w:val="592F1B5C"/>
    <w:rsid w:val="59811176"/>
    <w:rsid w:val="598E7961"/>
    <w:rsid w:val="5A145FB7"/>
    <w:rsid w:val="5A3571BF"/>
    <w:rsid w:val="5A400973"/>
    <w:rsid w:val="5A44572C"/>
    <w:rsid w:val="5A85791B"/>
    <w:rsid w:val="5A8A6ADB"/>
    <w:rsid w:val="5A971DBF"/>
    <w:rsid w:val="5AA549B2"/>
    <w:rsid w:val="5AB86784"/>
    <w:rsid w:val="5ACA34DF"/>
    <w:rsid w:val="5AF742D8"/>
    <w:rsid w:val="5B002D6C"/>
    <w:rsid w:val="5B201EB1"/>
    <w:rsid w:val="5B432E41"/>
    <w:rsid w:val="5B4D5E03"/>
    <w:rsid w:val="5B5104F9"/>
    <w:rsid w:val="5B6A7A00"/>
    <w:rsid w:val="5B6F2C19"/>
    <w:rsid w:val="5BAC4E3A"/>
    <w:rsid w:val="5BC20461"/>
    <w:rsid w:val="5BC71CBC"/>
    <w:rsid w:val="5BF32F12"/>
    <w:rsid w:val="5BFC15BD"/>
    <w:rsid w:val="5C040F8A"/>
    <w:rsid w:val="5C06547D"/>
    <w:rsid w:val="5C0A2FD8"/>
    <w:rsid w:val="5C0C484C"/>
    <w:rsid w:val="5C123043"/>
    <w:rsid w:val="5C1D42A1"/>
    <w:rsid w:val="5C230E90"/>
    <w:rsid w:val="5C362AF4"/>
    <w:rsid w:val="5C3E4720"/>
    <w:rsid w:val="5C472BC4"/>
    <w:rsid w:val="5C526BB4"/>
    <w:rsid w:val="5C715941"/>
    <w:rsid w:val="5C802FB3"/>
    <w:rsid w:val="5C8F4BCF"/>
    <w:rsid w:val="5CA675F4"/>
    <w:rsid w:val="5CC34110"/>
    <w:rsid w:val="5CC87CE2"/>
    <w:rsid w:val="5D236172"/>
    <w:rsid w:val="5D3751CD"/>
    <w:rsid w:val="5D3D160C"/>
    <w:rsid w:val="5D4609D3"/>
    <w:rsid w:val="5D635FCC"/>
    <w:rsid w:val="5D6E2893"/>
    <w:rsid w:val="5D9E2345"/>
    <w:rsid w:val="5DAF61B5"/>
    <w:rsid w:val="5DB22A59"/>
    <w:rsid w:val="5DD07349"/>
    <w:rsid w:val="5DFE1B73"/>
    <w:rsid w:val="5E046391"/>
    <w:rsid w:val="5E074110"/>
    <w:rsid w:val="5E13098B"/>
    <w:rsid w:val="5E1676B4"/>
    <w:rsid w:val="5E2869D2"/>
    <w:rsid w:val="5E401FD5"/>
    <w:rsid w:val="5E5474D9"/>
    <w:rsid w:val="5E56287D"/>
    <w:rsid w:val="5E58634F"/>
    <w:rsid w:val="5E9A2800"/>
    <w:rsid w:val="5EA51661"/>
    <w:rsid w:val="5EC52109"/>
    <w:rsid w:val="5ED167E0"/>
    <w:rsid w:val="5EDC6635"/>
    <w:rsid w:val="5EDF242A"/>
    <w:rsid w:val="5EEC4CC9"/>
    <w:rsid w:val="5F387DD8"/>
    <w:rsid w:val="5F50041F"/>
    <w:rsid w:val="5F5843B0"/>
    <w:rsid w:val="5F610F9A"/>
    <w:rsid w:val="5F674CD0"/>
    <w:rsid w:val="5F6800CC"/>
    <w:rsid w:val="5F766605"/>
    <w:rsid w:val="5F7B6EC0"/>
    <w:rsid w:val="5F827A0C"/>
    <w:rsid w:val="5F9B1418"/>
    <w:rsid w:val="5FAE7B2D"/>
    <w:rsid w:val="5FD50E06"/>
    <w:rsid w:val="600D41B4"/>
    <w:rsid w:val="600F713A"/>
    <w:rsid w:val="602B5CAC"/>
    <w:rsid w:val="60442474"/>
    <w:rsid w:val="605613A7"/>
    <w:rsid w:val="6089592F"/>
    <w:rsid w:val="60A07B49"/>
    <w:rsid w:val="60B4760E"/>
    <w:rsid w:val="60D31A6F"/>
    <w:rsid w:val="60E4245B"/>
    <w:rsid w:val="60F45521"/>
    <w:rsid w:val="61541900"/>
    <w:rsid w:val="61610817"/>
    <w:rsid w:val="618C6950"/>
    <w:rsid w:val="61905F8C"/>
    <w:rsid w:val="61B42655"/>
    <w:rsid w:val="61B64AE6"/>
    <w:rsid w:val="61DF648C"/>
    <w:rsid w:val="61EB04E9"/>
    <w:rsid w:val="620F7978"/>
    <w:rsid w:val="622F4266"/>
    <w:rsid w:val="62340A15"/>
    <w:rsid w:val="62462A72"/>
    <w:rsid w:val="627A499B"/>
    <w:rsid w:val="62835C1F"/>
    <w:rsid w:val="628F5929"/>
    <w:rsid w:val="62ED7494"/>
    <w:rsid w:val="63030F14"/>
    <w:rsid w:val="63176B72"/>
    <w:rsid w:val="636173F7"/>
    <w:rsid w:val="636C1F8E"/>
    <w:rsid w:val="639076DF"/>
    <w:rsid w:val="63A06A41"/>
    <w:rsid w:val="640377CE"/>
    <w:rsid w:val="640C3504"/>
    <w:rsid w:val="6413475D"/>
    <w:rsid w:val="645B5B40"/>
    <w:rsid w:val="64671E02"/>
    <w:rsid w:val="64A036C7"/>
    <w:rsid w:val="64B43D65"/>
    <w:rsid w:val="64B52719"/>
    <w:rsid w:val="64B87558"/>
    <w:rsid w:val="64DB7D2E"/>
    <w:rsid w:val="64E75BE6"/>
    <w:rsid w:val="64EC5F80"/>
    <w:rsid w:val="64F6132C"/>
    <w:rsid w:val="64F87AB2"/>
    <w:rsid w:val="654235AD"/>
    <w:rsid w:val="654A36E1"/>
    <w:rsid w:val="654F5B7F"/>
    <w:rsid w:val="656B6764"/>
    <w:rsid w:val="6586222B"/>
    <w:rsid w:val="65954339"/>
    <w:rsid w:val="65A12770"/>
    <w:rsid w:val="65F554EA"/>
    <w:rsid w:val="6612488F"/>
    <w:rsid w:val="661462F7"/>
    <w:rsid w:val="66231B10"/>
    <w:rsid w:val="66543314"/>
    <w:rsid w:val="667128E4"/>
    <w:rsid w:val="667C1F05"/>
    <w:rsid w:val="66A85798"/>
    <w:rsid w:val="66B329EA"/>
    <w:rsid w:val="66E30E48"/>
    <w:rsid w:val="66FD7A4F"/>
    <w:rsid w:val="67010AE3"/>
    <w:rsid w:val="672112E1"/>
    <w:rsid w:val="672A2D67"/>
    <w:rsid w:val="67420EC9"/>
    <w:rsid w:val="67685576"/>
    <w:rsid w:val="67686F27"/>
    <w:rsid w:val="67740C3E"/>
    <w:rsid w:val="67754B8E"/>
    <w:rsid w:val="67840E3F"/>
    <w:rsid w:val="67A744C9"/>
    <w:rsid w:val="67C119C7"/>
    <w:rsid w:val="67C373D8"/>
    <w:rsid w:val="68002120"/>
    <w:rsid w:val="680D1350"/>
    <w:rsid w:val="68282E58"/>
    <w:rsid w:val="682859FC"/>
    <w:rsid w:val="6844684A"/>
    <w:rsid w:val="685343D6"/>
    <w:rsid w:val="68A42834"/>
    <w:rsid w:val="68E814B4"/>
    <w:rsid w:val="68F91EAB"/>
    <w:rsid w:val="69142EFB"/>
    <w:rsid w:val="69154D60"/>
    <w:rsid w:val="69466661"/>
    <w:rsid w:val="694A6DBA"/>
    <w:rsid w:val="69791826"/>
    <w:rsid w:val="697D31CA"/>
    <w:rsid w:val="697E3C44"/>
    <w:rsid w:val="69951D6A"/>
    <w:rsid w:val="69CD7FDE"/>
    <w:rsid w:val="69D709A9"/>
    <w:rsid w:val="69DA654F"/>
    <w:rsid w:val="6A066F7A"/>
    <w:rsid w:val="6A195354"/>
    <w:rsid w:val="6A313ACF"/>
    <w:rsid w:val="6A367232"/>
    <w:rsid w:val="6A3828E1"/>
    <w:rsid w:val="6A3E49CA"/>
    <w:rsid w:val="6A5B015F"/>
    <w:rsid w:val="6A615C08"/>
    <w:rsid w:val="6AC4631F"/>
    <w:rsid w:val="6AC9111D"/>
    <w:rsid w:val="6ACE2499"/>
    <w:rsid w:val="6ADD1396"/>
    <w:rsid w:val="6AE2354A"/>
    <w:rsid w:val="6AE91398"/>
    <w:rsid w:val="6B001D33"/>
    <w:rsid w:val="6B0D2A8A"/>
    <w:rsid w:val="6B0F3217"/>
    <w:rsid w:val="6B22477C"/>
    <w:rsid w:val="6B320A31"/>
    <w:rsid w:val="6B491DA4"/>
    <w:rsid w:val="6B5D28FD"/>
    <w:rsid w:val="6B5E4D2E"/>
    <w:rsid w:val="6B634467"/>
    <w:rsid w:val="6B837184"/>
    <w:rsid w:val="6B982662"/>
    <w:rsid w:val="6BC71444"/>
    <w:rsid w:val="6BCC5D22"/>
    <w:rsid w:val="6BDC52A9"/>
    <w:rsid w:val="6BE116D3"/>
    <w:rsid w:val="6BF058FA"/>
    <w:rsid w:val="6C1978E6"/>
    <w:rsid w:val="6C1D48F0"/>
    <w:rsid w:val="6C2A7865"/>
    <w:rsid w:val="6C2C31E3"/>
    <w:rsid w:val="6C2D715B"/>
    <w:rsid w:val="6C3C1E75"/>
    <w:rsid w:val="6C4D516A"/>
    <w:rsid w:val="6C5207BE"/>
    <w:rsid w:val="6C6A54FD"/>
    <w:rsid w:val="6C82426E"/>
    <w:rsid w:val="6CC76B66"/>
    <w:rsid w:val="6CE229A5"/>
    <w:rsid w:val="6CE346E3"/>
    <w:rsid w:val="6CF40293"/>
    <w:rsid w:val="6CF839D9"/>
    <w:rsid w:val="6D257859"/>
    <w:rsid w:val="6D4119C0"/>
    <w:rsid w:val="6D555633"/>
    <w:rsid w:val="6D572015"/>
    <w:rsid w:val="6D8259F7"/>
    <w:rsid w:val="6DA306D8"/>
    <w:rsid w:val="6DB14B61"/>
    <w:rsid w:val="6DB166DC"/>
    <w:rsid w:val="6DB70CB4"/>
    <w:rsid w:val="6E094352"/>
    <w:rsid w:val="6E372B12"/>
    <w:rsid w:val="6E424BD5"/>
    <w:rsid w:val="6EAF1A14"/>
    <w:rsid w:val="6EBB7AF6"/>
    <w:rsid w:val="6EEA43DA"/>
    <w:rsid w:val="6F1537EE"/>
    <w:rsid w:val="6F3640ED"/>
    <w:rsid w:val="6F525376"/>
    <w:rsid w:val="6F5834D8"/>
    <w:rsid w:val="6F815117"/>
    <w:rsid w:val="6F9456A2"/>
    <w:rsid w:val="6FB37FD9"/>
    <w:rsid w:val="6FD55483"/>
    <w:rsid w:val="6FFB71F0"/>
    <w:rsid w:val="70253E6C"/>
    <w:rsid w:val="7028758A"/>
    <w:rsid w:val="702A2DF0"/>
    <w:rsid w:val="704A1802"/>
    <w:rsid w:val="70557E0B"/>
    <w:rsid w:val="708F3F4F"/>
    <w:rsid w:val="70AA1938"/>
    <w:rsid w:val="70C413C2"/>
    <w:rsid w:val="70EC1752"/>
    <w:rsid w:val="7137018B"/>
    <w:rsid w:val="714856F9"/>
    <w:rsid w:val="714C6327"/>
    <w:rsid w:val="719E503F"/>
    <w:rsid w:val="71A30E24"/>
    <w:rsid w:val="71AC3D91"/>
    <w:rsid w:val="71BB1304"/>
    <w:rsid w:val="71D315A7"/>
    <w:rsid w:val="71D9326F"/>
    <w:rsid w:val="71E7403D"/>
    <w:rsid w:val="71F83376"/>
    <w:rsid w:val="71FF0740"/>
    <w:rsid w:val="71FF0BB1"/>
    <w:rsid w:val="7205522D"/>
    <w:rsid w:val="728733AE"/>
    <w:rsid w:val="728A466C"/>
    <w:rsid w:val="72A1542E"/>
    <w:rsid w:val="72D037B9"/>
    <w:rsid w:val="72D3059A"/>
    <w:rsid w:val="72D847C9"/>
    <w:rsid w:val="72D86580"/>
    <w:rsid w:val="72DD62F0"/>
    <w:rsid w:val="72EB0849"/>
    <w:rsid w:val="73005E81"/>
    <w:rsid w:val="73013FCC"/>
    <w:rsid w:val="7305661E"/>
    <w:rsid w:val="730B40D5"/>
    <w:rsid w:val="731516FB"/>
    <w:rsid w:val="734E5AA8"/>
    <w:rsid w:val="73547991"/>
    <w:rsid w:val="736938A6"/>
    <w:rsid w:val="736B7CB7"/>
    <w:rsid w:val="73832C16"/>
    <w:rsid w:val="738B5BC3"/>
    <w:rsid w:val="738E6C4C"/>
    <w:rsid w:val="739007EC"/>
    <w:rsid w:val="739169F9"/>
    <w:rsid w:val="739F15D1"/>
    <w:rsid w:val="73D11781"/>
    <w:rsid w:val="73F11FA4"/>
    <w:rsid w:val="73F328B4"/>
    <w:rsid w:val="73F8703D"/>
    <w:rsid w:val="740E561C"/>
    <w:rsid w:val="7414168C"/>
    <w:rsid w:val="74366A2C"/>
    <w:rsid w:val="74375F03"/>
    <w:rsid w:val="743E49B4"/>
    <w:rsid w:val="7455588A"/>
    <w:rsid w:val="745D0A44"/>
    <w:rsid w:val="748D793D"/>
    <w:rsid w:val="749E119A"/>
    <w:rsid w:val="74D33EF6"/>
    <w:rsid w:val="74D901D8"/>
    <w:rsid w:val="750C0D23"/>
    <w:rsid w:val="750C3C60"/>
    <w:rsid w:val="75317252"/>
    <w:rsid w:val="756C1B2B"/>
    <w:rsid w:val="7572258D"/>
    <w:rsid w:val="75992D53"/>
    <w:rsid w:val="75A04E43"/>
    <w:rsid w:val="75A91B6E"/>
    <w:rsid w:val="75B35979"/>
    <w:rsid w:val="75BA093F"/>
    <w:rsid w:val="75D94171"/>
    <w:rsid w:val="75F770AF"/>
    <w:rsid w:val="75FB22F9"/>
    <w:rsid w:val="76151D22"/>
    <w:rsid w:val="761A6A1B"/>
    <w:rsid w:val="761D211C"/>
    <w:rsid w:val="76250470"/>
    <w:rsid w:val="762E5215"/>
    <w:rsid w:val="76346F66"/>
    <w:rsid w:val="7654205F"/>
    <w:rsid w:val="767A50C2"/>
    <w:rsid w:val="7698243C"/>
    <w:rsid w:val="769A7B14"/>
    <w:rsid w:val="769D4442"/>
    <w:rsid w:val="76A842C4"/>
    <w:rsid w:val="76A95F35"/>
    <w:rsid w:val="76AC07FE"/>
    <w:rsid w:val="76AF515A"/>
    <w:rsid w:val="76B6368F"/>
    <w:rsid w:val="76CB150B"/>
    <w:rsid w:val="76E806D7"/>
    <w:rsid w:val="76E85B8D"/>
    <w:rsid w:val="770C3F16"/>
    <w:rsid w:val="773751BA"/>
    <w:rsid w:val="773D64AD"/>
    <w:rsid w:val="77647B24"/>
    <w:rsid w:val="77760F59"/>
    <w:rsid w:val="777703EE"/>
    <w:rsid w:val="777D4FCB"/>
    <w:rsid w:val="7798025B"/>
    <w:rsid w:val="77AF28E8"/>
    <w:rsid w:val="77CA5641"/>
    <w:rsid w:val="77DE7281"/>
    <w:rsid w:val="77E06E55"/>
    <w:rsid w:val="77F652C1"/>
    <w:rsid w:val="780D4DDE"/>
    <w:rsid w:val="78203AD8"/>
    <w:rsid w:val="78307537"/>
    <w:rsid w:val="785139C9"/>
    <w:rsid w:val="786979DB"/>
    <w:rsid w:val="786E3042"/>
    <w:rsid w:val="78780CEE"/>
    <w:rsid w:val="78875582"/>
    <w:rsid w:val="788A489C"/>
    <w:rsid w:val="78936E26"/>
    <w:rsid w:val="78AB33EC"/>
    <w:rsid w:val="78C058C0"/>
    <w:rsid w:val="78C83AD2"/>
    <w:rsid w:val="78DA6ABA"/>
    <w:rsid w:val="7927660D"/>
    <w:rsid w:val="792A6984"/>
    <w:rsid w:val="79430AC2"/>
    <w:rsid w:val="796310BB"/>
    <w:rsid w:val="798A5C60"/>
    <w:rsid w:val="79976B54"/>
    <w:rsid w:val="79A07515"/>
    <w:rsid w:val="79C03E2E"/>
    <w:rsid w:val="7A003E33"/>
    <w:rsid w:val="7A00729F"/>
    <w:rsid w:val="7A2E15EF"/>
    <w:rsid w:val="7A345080"/>
    <w:rsid w:val="7A392CE7"/>
    <w:rsid w:val="7A5D4A19"/>
    <w:rsid w:val="7A6944AD"/>
    <w:rsid w:val="7A6E07B0"/>
    <w:rsid w:val="7A9861CB"/>
    <w:rsid w:val="7ACA5466"/>
    <w:rsid w:val="7AD45C10"/>
    <w:rsid w:val="7AE3328E"/>
    <w:rsid w:val="7AF53A9D"/>
    <w:rsid w:val="7B015340"/>
    <w:rsid w:val="7B016627"/>
    <w:rsid w:val="7B025A25"/>
    <w:rsid w:val="7B0A6A9B"/>
    <w:rsid w:val="7B0D2818"/>
    <w:rsid w:val="7B186573"/>
    <w:rsid w:val="7B260F87"/>
    <w:rsid w:val="7B321EE9"/>
    <w:rsid w:val="7B994E29"/>
    <w:rsid w:val="7BA838BD"/>
    <w:rsid w:val="7BD41347"/>
    <w:rsid w:val="7BD673E4"/>
    <w:rsid w:val="7BE32FBE"/>
    <w:rsid w:val="7C2B048D"/>
    <w:rsid w:val="7C996138"/>
    <w:rsid w:val="7C9B7124"/>
    <w:rsid w:val="7CB82DCD"/>
    <w:rsid w:val="7CC37A67"/>
    <w:rsid w:val="7CE41AA1"/>
    <w:rsid w:val="7D0E5203"/>
    <w:rsid w:val="7D174F06"/>
    <w:rsid w:val="7D1A1482"/>
    <w:rsid w:val="7D244665"/>
    <w:rsid w:val="7D393862"/>
    <w:rsid w:val="7D6D0647"/>
    <w:rsid w:val="7D7035DC"/>
    <w:rsid w:val="7D831B33"/>
    <w:rsid w:val="7DA9460F"/>
    <w:rsid w:val="7DDF08AD"/>
    <w:rsid w:val="7DE65FBE"/>
    <w:rsid w:val="7DF81DFD"/>
    <w:rsid w:val="7DFF6F70"/>
    <w:rsid w:val="7E1640FB"/>
    <w:rsid w:val="7E370647"/>
    <w:rsid w:val="7E3A6DE8"/>
    <w:rsid w:val="7E3B2283"/>
    <w:rsid w:val="7E56329C"/>
    <w:rsid w:val="7E6C5B31"/>
    <w:rsid w:val="7E6F6EBC"/>
    <w:rsid w:val="7E73271F"/>
    <w:rsid w:val="7E7B3986"/>
    <w:rsid w:val="7E826950"/>
    <w:rsid w:val="7E9064E4"/>
    <w:rsid w:val="7E9A2761"/>
    <w:rsid w:val="7E9E2C4F"/>
    <w:rsid w:val="7E9F4D2C"/>
    <w:rsid w:val="7EA30CDC"/>
    <w:rsid w:val="7EBA320B"/>
    <w:rsid w:val="7EE77D52"/>
    <w:rsid w:val="7EF82D86"/>
    <w:rsid w:val="7F2F0053"/>
    <w:rsid w:val="7F431180"/>
    <w:rsid w:val="7F511D57"/>
    <w:rsid w:val="7F545C0A"/>
    <w:rsid w:val="7F631191"/>
    <w:rsid w:val="7F6C1BA5"/>
    <w:rsid w:val="7F6C4C7C"/>
    <w:rsid w:val="7F7405C7"/>
    <w:rsid w:val="7F8A7F3B"/>
    <w:rsid w:val="7F9D3DF9"/>
    <w:rsid w:val="7FC342F2"/>
    <w:rsid w:val="7FC90C93"/>
    <w:rsid w:val="7FEB7E92"/>
    <w:rsid w:val="7FFA2F4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99"/>
    <w:pPr>
      <w:keepNext/>
      <w:keepLines/>
      <w:spacing w:line="576" w:lineRule="auto"/>
      <w:jc w:val="center"/>
      <w:outlineLvl w:val="0"/>
    </w:pPr>
    <w:rPr>
      <w:rFonts w:ascii="Times New Roman" w:hAnsi="Times New Roman"/>
      <w:b/>
      <w:kern w:val="44"/>
      <w:sz w:val="32"/>
      <w:szCs w:val="20"/>
    </w:rPr>
  </w:style>
  <w:style w:type="paragraph" w:styleId="4">
    <w:name w:val="heading 2"/>
    <w:basedOn w:val="1"/>
    <w:next w:val="1"/>
    <w:link w:val="43"/>
    <w:qFormat/>
    <w:uiPriority w:val="99"/>
    <w:pPr>
      <w:keepNext/>
      <w:keepLines/>
      <w:spacing w:line="413" w:lineRule="auto"/>
      <w:jc w:val="left"/>
      <w:outlineLvl w:val="1"/>
    </w:pPr>
    <w:rPr>
      <w:rFonts w:ascii="Cambria" w:hAnsi="Cambria"/>
      <w:b/>
      <w:bCs/>
      <w:kern w:val="0"/>
      <w:sz w:val="32"/>
      <w:szCs w:val="32"/>
    </w:rPr>
  </w:style>
  <w:style w:type="paragraph" w:styleId="5">
    <w:name w:val="heading 3"/>
    <w:basedOn w:val="1"/>
    <w:next w:val="1"/>
    <w:link w:val="44"/>
    <w:qFormat/>
    <w:uiPriority w:val="99"/>
    <w:pPr>
      <w:keepNext/>
      <w:keepLines/>
      <w:spacing w:line="413" w:lineRule="auto"/>
      <w:outlineLvl w:val="2"/>
    </w:pPr>
    <w:rPr>
      <w:b/>
      <w:bCs/>
      <w:kern w:val="0"/>
      <w:sz w:val="32"/>
      <w:szCs w:val="32"/>
    </w:rPr>
  </w:style>
  <w:style w:type="paragraph" w:styleId="6">
    <w:name w:val="heading 4"/>
    <w:basedOn w:val="1"/>
    <w:next w:val="1"/>
    <w:link w:val="45"/>
    <w:qFormat/>
    <w:uiPriority w:val="99"/>
    <w:pPr>
      <w:keepNext/>
      <w:keepLines/>
      <w:jc w:val="left"/>
      <w:outlineLvl w:val="3"/>
    </w:pPr>
    <w:rPr>
      <w:rFonts w:ascii="Cambria" w:hAnsi="Cambria"/>
      <w:b/>
      <w:bCs/>
      <w:kern w:val="0"/>
      <w:sz w:val="28"/>
      <w:szCs w:val="28"/>
    </w:rPr>
  </w:style>
  <w:style w:type="paragraph" w:styleId="7">
    <w:name w:val="heading 5"/>
    <w:basedOn w:val="1"/>
    <w:next w:val="1"/>
    <w:link w:val="46"/>
    <w:qFormat/>
    <w:uiPriority w:val="99"/>
    <w:pPr>
      <w:keepNext/>
      <w:keepLines/>
      <w:spacing w:line="372" w:lineRule="auto"/>
      <w:outlineLvl w:val="4"/>
    </w:pPr>
    <w:rPr>
      <w:b/>
      <w:bCs/>
      <w:kern w:val="0"/>
      <w:sz w:val="28"/>
      <w:szCs w:val="28"/>
    </w:rPr>
  </w:style>
  <w:style w:type="paragraph" w:styleId="8">
    <w:name w:val="heading 6"/>
    <w:basedOn w:val="1"/>
    <w:next w:val="1"/>
    <w:semiHidden/>
    <w:unhideWhenUsed/>
    <w:qFormat/>
    <w:locked/>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99"/>
    <w:rPr>
      <w:kern w:val="0"/>
      <w:sz w:val="20"/>
      <w:szCs w:val="20"/>
    </w:rPr>
  </w:style>
  <w:style w:type="paragraph" w:styleId="9">
    <w:name w:val="List Number"/>
    <w:basedOn w:val="1"/>
    <w:qFormat/>
    <w:uiPriority w:val="99"/>
    <w:pPr>
      <w:numPr>
        <w:ilvl w:val="0"/>
        <w:numId w:val="1"/>
      </w:numPr>
    </w:pPr>
  </w:style>
  <w:style w:type="paragraph" w:styleId="10">
    <w:name w:val="Normal Indent"/>
    <w:basedOn w:val="1"/>
    <w:next w:val="11"/>
    <w:qFormat/>
    <w:uiPriority w:val="99"/>
    <w:pPr>
      <w:ind w:firstLine="420"/>
    </w:pPr>
    <w:rPr>
      <w:szCs w:val="20"/>
    </w:rPr>
  </w:style>
  <w:style w:type="paragraph" w:styleId="11">
    <w:name w:val="Plain Text"/>
    <w:basedOn w:val="1"/>
    <w:link w:val="53"/>
    <w:qFormat/>
    <w:uiPriority w:val="99"/>
    <w:pPr>
      <w:spacing w:line="324" w:lineRule="auto"/>
    </w:pPr>
    <w:rPr>
      <w:rFonts w:ascii="宋体" w:hAnsi="Courier New"/>
      <w:kern w:val="0"/>
      <w:szCs w:val="21"/>
    </w:rPr>
  </w:style>
  <w:style w:type="paragraph" w:styleId="12">
    <w:name w:val="Document Map"/>
    <w:basedOn w:val="1"/>
    <w:link w:val="51"/>
    <w:qFormat/>
    <w:uiPriority w:val="99"/>
    <w:rPr>
      <w:rFonts w:ascii="宋体"/>
      <w:sz w:val="18"/>
      <w:szCs w:val="18"/>
    </w:rPr>
  </w:style>
  <w:style w:type="paragraph" w:styleId="13">
    <w:name w:val="annotation text"/>
    <w:basedOn w:val="1"/>
    <w:link w:val="47"/>
    <w:qFormat/>
    <w:uiPriority w:val="99"/>
    <w:pPr>
      <w:jc w:val="left"/>
    </w:pPr>
    <w:rPr>
      <w:rFonts w:ascii="宋体"/>
      <w:kern w:val="0"/>
      <w:sz w:val="22"/>
    </w:rPr>
  </w:style>
  <w:style w:type="paragraph" w:styleId="14">
    <w:name w:val="Body Text Indent"/>
    <w:basedOn w:val="1"/>
    <w:link w:val="52"/>
    <w:qFormat/>
    <w:uiPriority w:val="99"/>
    <w:pPr>
      <w:ind w:left="420" w:leftChars="200"/>
    </w:pPr>
    <w:rPr>
      <w:kern w:val="0"/>
      <w:sz w:val="20"/>
      <w:szCs w:val="20"/>
    </w:rPr>
  </w:style>
  <w:style w:type="paragraph" w:styleId="15">
    <w:name w:val="toc 3"/>
    <w:basedOn w:val="1"/>
    <w:next w:val="1"/>
    <w:qFormat/>
    <w:uiPriority w:val="99"/>
    <w:pPr>
      <w:ind w:left="840" w:leftChars="400"/>
    </w:pPr>
  </w:style>
  <w:style w:type="paragraph" w:styleId="16">
    <w:name w:val="Date"/>
    <w:basedOn w:val="1"/>
    <w:next w:val="1"/>
    <w:link w:val="54"/>
    <w:qFormat/>
    <w:uiPriority w:val="99"/>
    <w:rPr>
      <w:kern w:val="0"/>
      <w:sz w:val="20"/>
      <w:szCs w:val="20"/>
    </w:rPr>
  </w:style>
  <w:style w:type="paragraph" w:styleId="17">
    <w:name w:val="Body Text Indent 2"/>
    <w:basedOn w:val="1"/>
    <w:link w:val="55"/>
    <w:qFormat/>
    <w:uiPriority w:val="99"/>
    <w:pPr>
      <w:spacing w:after="120" w:line="480" w:lineRule="auto"/>
      <w:ind w:left="420" w:leftChars="200"/>
    </w:pPr>
    <w:rPr>
      <w:kern w:val="0"/>
      <w:sz w:val="20"/>
      <w:szCs w:val="20"/>
    </w:rPr>
  </w:style>
  <w:style w:type="paragraph" w:styleId="18">
    <w:name w:val="Balloon Text"/>
    <w:basedOn w:val="1"/>
    <w:link w:val="56"/>
    <w:qFormat/>
    <w:uiPriority w:val="99"/>
    <w:rPr>
      <w:sz w:val="18"/>
      <w:szCs w:val="18"/>
    </w:rPr>
  </w:style>
  <w:style w:type="paragraph" w:styleId="19">
    <w:name w:val="footer"/>
    <w:basedOn w:val="1"/>
    <w:link w:val="57"/>
    <w:qFormat/>
    <w:uiPriority w:val="99"/>
    <w:pPr>
      <w:tabs>
        <w:tab w:val="center" w:pos="4153"/>
        <w:tab w:val="right" w:pos="8306"/>
      </w:tabs>
      <w:snapToGrid w:val="0"/>
      <w:jc w:val="left"/>
    </w:pPr>
    <w:rPr>
      <w:kern w:val="0"/>
      <w:sz w:val="18"/>
      <w:szCs w:val="18"/>
    </w:rPr>
  </w:style>
  <w:style w:type="paragraph" w:styleId="20">
    <w:name w:val="header"/>
    <w:basedOn w:val="1"/>
    <w:link w:val="58"/>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99"/>
  </w:style>
  <w:style w:type="paragraph" w:styleId="22">
    <w:name w:val="footnote text"/>
    <w:basedOn w:val="1"/>
    <w:link w:val="59"/>
    <w:qFormat/>
    <w:uiPriority w:val="99"/>
    <w:pPr>
      <w:snapToGrid w:val="0"/>
      <w:jc w:val="left"/>
    </w:pPr>
    <w:rPr>
      <w:kern w:val="0"/>
      <w:sz w:val="18"/>
      <w:szCs w:val="18"/>
    </w:rPr>
  </w:style>
  <w:style w:type="paragraph" w:styleId="23">
    <w:name w:val="toc 2"/>
    <w:basedOn w:val="1"/>
    <w:next w:val="1"/>
    <w:qFormat/>
    <w:uiPriority w:val="99"/>
    <w:pPr>
      <w:ind w:left="420" w:leftChars="200"/>
    </w:pPr>
  </w:style>
  <w:style w:type="paragraph" w:styleId="24">
    <w:name w:val="Body Text 2"/>
    <w:basedOn w:val="1"/>
    <w:link w:val="60"/>
    <w:qFormat/>
    <w:uiPriority w:val="99"/>
    <w:pPr>
      <w:jc w:val="center"/>
    </w:pPr>
    <w:rPr>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3"/>
    <w:next w:val="13"/>
    <w:link w:val="48"/>
    <w:qFormat/>
    <w:uiPriority w:val="99"/>
    <w:rPr>
      <w:rFonts w:ascii="Calibri"/>
      <w:b/>
      <w:bCs/>
      <w:kern w:val="2"/>
    </w:rPr>
  </w:style>
  <w:style w:type="paragraph" w:styleId="27">
    <w:name w:val="Body Text First Indent"/>
    <w:basedOn w:val="2"/>
    <w:link w:val="50"/>
    <w:qFormat/>
    <w:uiPriority w:val="99"/>
    <w:pPr>
      <w:ind w:firstLine="420" w:firstLineChars="100"/>
    </w:pPr>
  </w:style>
  <w:style w:type="paragraph" w:styleId="28">
    <w:name w:val="Body Text First Indent 2"/>
    <w:basedOn w:val="14"/>
    <w:unhideWhenUsed/>
    <w:qFormat/>
    <w:locked/>
    <w:uiPriority w:val="0"/>
    <w:pPr>
      <w:ind w:firstLine="420" w:firstLineChars="200"/>
    </w:p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99"/>
    <w:rPr>
      <w:rFonts w:cs="Times New Roman"/>
      <w:b/>
      <w:sz w:val="24"/>
    </w:rPr>
  </w:style>
  <w:style w:type="character" w:styleId="33">
    <w:name w:val="page number"/>
    <w:qFormat/>
    <w:uiPriority w:val="99"/>
    <w:rPr>
      <w:rFonts w:cs="Times New Roman"/>
    </w:rPr>
  </w:style>
  <w:style w:type="character" w:styleId="34">
    <w:name w:val="FollowedHyperlink"/>
    <w:qFormat/>
    <w:uiPriority w:val="99"/>
    <w:rPr>
      <w:rFonts w:ascii="宋体" w:hAnsi="宋体" w:eastAsia="宋体" w:cs="Times New Roman"/>
      <w:color w:val="000000"/>
      <w:sz w:val="18"/>
      <w:u w:val="none"/>
    </w:rPr>
  </w:style>
  <w:style w:type="character" w:styleId="35">
    <w:name w:val="Emphasis"/>
    <w:qFormat/>
    <w:uiPriority w:val="99"/>
    <w:rPr>
      <w:rFonts w:cs="Times New Roman"/>
      <w:i/>
    </w:rPr>
  </w:style>
  <w:style w:type="character" w:styleId="36">
    <w:name w:val="Hyperlink"/>
    <w:qFormat/>
    <w:uiPriority w:val="99"/>
    <w:rPr>
      <w:rFonts w:cs="Times New Roman"/>
      <w:color w:val="0000FF"/>
      <w:u w:val="single"/>
    </w:rPr>
  </w:style>
  <w:style w:type="character" w:styleId="37">
    <w:name w:val="annotation reference"/>
    <w:qFormat/>
    <w:uiPriority w:val="99"/>
    <w:rPr>
      <w:rFonts w:cs="Times New Roman"/>
      <w:sz w:val="21"/>
    </w:rPr>
  </w:style>
  <w:style w:type="character" w:styleId="38">
    <w:name w:val="HTML Cite"/>
    <w:qFormat/>
    <w:uiPriority w:val="99"/>
    <w:rPr>
      <w:rFonts w:cs="Times New Roman"/>
      <w:sz w:val="24"/>
    </w:rPr>
  </w:style>
  <w:style w:type="character" w:styleId="39">
    <w:name w:val="footnote reference"/>
    <w:qFormat/>
    <w:uiPriority w:val="99"/>
    <w:rPr>
      <w:rFonts w:cs="Times New Roman"/>
      <w:vertAlign w:val="superscript"/>
    </w:rPr>
  </w:style>
  <w:style w:type="paragraph" w:customStyle="1" w:styleId="40">
    <w:name w:val="Index4"/>
    <w:basedOn w:val="1"/>
    <w:next w:val="1"/>
    <w:qFormat/>
    <w:uiPriority w:val="0"/>
    <w:pPr>
      <w:ind w:left="600" w:leftChars="600"/>
      <w:textAlignment w:val="baseline"/>
    </w:pPr>
    <w:rPr>
      <w:rFonts w:ascii="Verdana" w:hAnsi="Verdana"/>
      <w:szCs w:val="20"/>
    </w:rPr>
  </w:style>
  <w:style w:type="paragraph" w:customStyle="1" w:styleId="41">
    <w:name w:val="Default"/>
    <w:qFormat/>
    <w:uiPriority w:val="99"/>
    <w:pPr>
      <w:widowControl w:val="0"/>
      <w:autoSpaceDE w:val="0"/>
      <w:autoSpaceDN w:val="0"/>
      <w:adjustRightInd w:val="0"/>
    </w:pPr>
    <w:rPr>
      <w:rFonts w:ascii="Helvetica Neue" w:hAnsi="Times New Roman" w:eastAsia="Times New Roman" w:cs="Times New Roman"/>
      <w:color w:val="000000"/>
      <w:sz w:val="24"/>
      <w:lang w:val="en-US" w:eastAsia="zh-CN" w:bidi="ar-SA"/>
    </w:rPr>
  </w:style>
  <w:style w:type="character" w:customStyle="1" w:styleId="42">
    <w:name w:val="标题 1 字符"/>
    <w:link w:val="3"/>
    <w:qFormat/>
    <w:locked/>
    <w:uiPriority w:val="99"/>
    <w:rPr>
      <w:rFonts w:ascii="Times New Roman" w:hAnsi="Times New Roman" w:eastAsia="宋体"/>
      <w:b/>
      <w:kern w:val="44"/>
      <w:sz w:val="32"/>
    </w:rPr>
  </w:style>
  <w:style w:type="character" w:customStyle="1" w:styleId="43">
    <w:name w:val="标题 2 字符"/>
    <w:link w:val="4"/>
    <w:semiHidden/>
    <w:qFormat/>
    <w:locked/>
    <w:uiPriority w:val="99"/>
    <w:rPr>
      <w:rFonts w:ascii="Cambria" w:hAnsi="Cambria" w:eastAsia="宋体"/>
      <w:b/>
      <w:sz w:val="32"/>
    </w:rPr>
  </w:style>
  <w:style w:type="character" w:customStyle="1" w:styleId="44">
    <w:name w:val="标题 3 字符"/>
    <w:link w:val="5"/>
    <w:semiHidden/>
    <w:qFormat/>
    <w:locked/>
    <w:uiPriority w:val="99"/>
    <w:rPr>
      <w:rFonts w:ascii="Calibri" w:hAnsi="Calibri"/>
      <w:b/>
      <w:sz w:val="32"/>
    </w:rPr>
  </w:style>
  <w:style w:type="character" w:customStyle="1" w:styleId="45">
    <w:name w:val="标题 4 字符"/>
    <w:link w:val="6"/>
    <w:semiHidden/>
    <w:qFormat/>
    <w:locked/>
    <w:uiPriority w:val="99"/>
    <w:rPr>
      <w:rFonts w:ascii="Cambria" w:hAnsi="Cambria" w:eastAsia="宋体"/>
      <w:b/>
      <w:sz w:val="28"/>
    </w:rPr>
  </w:style>
  <w:style w:type="character" w:customStyle="1" w:styleId="46">
    <w:name w:val="标题 5 字符"/>
    <w:link w:val="7"/>
    <w:semiHidden/>
    <w:qFormat/>
    <w:locked/>
    <w:uiPriority w:val="99"/>
    <w:rPr>
      <w:rFonts w:ascii="Calibri" w:hAnsi="Calibri"/>
      <w:b/>
      <w:sz w:val="28"/>
    </w:rPr>
  </w:style>
  <w:style w:type="character" w:customStyle="1" w:styleId="47">
    <w:name w:val="批注文字 字符"/>
    <w:link w:val="13"/>
    <w:qFormat/>
    <w:locked/>
    <w:uiPriority w:val="99"/>
    <w:rPr>
      <w:rFonts w:ascii="宋体" w:hAnsi="Calibri" w:eastAsia="宋体"/>
      <w:sz w:val="22"/>
    </w:rPr>
  </w:style>
  <w:style w:type="character" w:customStyle="1" w:styleId="48">
    <w:name w:val="批注主题 字符"/>
    <w:link w:val="26"/>
    <w:qFormat/>
    <w:locked/>
    <w:uiPriority w:val="99"/>
    <w:rPr>
      <w:rFonts w:ascii="Calibri" w:hAnsi="Calibri" w:eastAsia="宋体"/>
      <w:b/>
      <w:kern w:val="2"/>
      <w:sz w:val="22"/>
    </w:rPr>
  </w:style>
  <w:style w:type="character" w:customStyle="1" w:styleId="49">
    <w:name w:val="正文文本 字符"/>
    <w:link w:val="2"/>
    <w:semiHidden/>
    <w:qFormat/>
    <w:locked/>
    <w:uiPriority w:val="99"/>
    <w:rPr>
      <w:rFonts w:ascii="Calibri" w:hAnsi="Calibri"/>
    </w:rPr>
  </w:style>
  <w:style w:type="character" w:customStyle="1" w:styleId="50">
    <w:name w:val="正文首行缩进 字符"/>
    <w:link w:val="27"/>
    <w:semiHidden/>
    <w:qFormat/>
    <w:locked/>
    <w:uiPriority w:val="99"/>
    <w:rPr>
      <w:rFonts w:ascii="Calibri" w:hAnsi="Calibri" w:cs="Times New Roman"/>
    </w:rPr>
  </w:style>
  <w:style w:type="character" w:customStyle="1" w:styleId="51">
    <w:name w:val="文档结构图 字符"/>
    <w:link w:val="12"/>
    <w:qFormat/>
    <w:locked/>
    <w:uiPriority w:val="99"/>
    <w:rPr>
      <w:rFonts w:ascii="宋体" w:hAnsi="Calibri"/>
      <w:kern w:val="2"/>
      <w:sz w:val="18"/>
    </w:rPr>
  </w:style>
  <w:style w:type="character" w:customStyle="1" w:styleId="52">
    <w:name w:val="正文文本缩进 字符"/>
    <w:link w:val="14"/>
    <w:semiHidden/>
    <w:qFormat/>
    <w:locked/>
    <w:uiPriority w:val="99"/>
    <w:rPr>
      <w:rFonts w:ascii="Calibri" w:hAnsi="Calibri"/>
    </w:rPr>
  </w:style>
  <w:style w:type="character" w:customStyle="1" w:styleId="53">
    <w:name w:val="纯文本 字符"/>
    <w:link w:val="11"/>
    <w:semiHidden/>
    <w:qFormat/>
    <w:locked/>
    <w:uiPriority w:val="99"/>
    <w:rPr>
      <w:rFonts w:ascii="宋体" w:hAnsi="Courier New"/>
      <w:sz w:val="21"/>
    </w:rPr>
  </w:style>
  <w:style w:type="character" w:customStyle="1" w:styleId="54">
    <w:name w:val="日期 字符"/>
    <w:link w:val="16"/>
    <w:semiHidden/>
    <w:qFormat/>
    <w:locked/>
    <w:uiPriority w:val="99"/>
    <w:rPr>
      <w:rFonts w:ascii="Calibri" w:hAnsi="Calibri"/>
    </w:rPr>
  </w:style>
  <w:style w:type="character" w:customStyle="1" w:styleId="55">
    <w:name w:val="正文文本缩进 2 字符"/>
    <w:link w:val="17"/>
    <w:semiHidden/>
    <w:qFormat/>
    <w:locked/>
    <w:uiPriority w:val="99"/>
    <w:rPr>
      <w:rFonts w:ascii="Calibri" w:hAnsi="Calibri"/>
    </w:rPr>
  </w:style>
  <w:style w:type="character" w:customStyle="1" w:styleId="56">
    <w:name w:val="批注框文本 字符"/>
    <w:link w:val="18"/>
    <w:qFormat/>
    <w:locked/>
    <w:uiPriority w:val="99"/>
    <w:rPr>
      <w:rFonts w:ascii="Calibri" w:hAnsi="Calibri" w:eastAsia="宋体"/>
      <w:kern w:val="2"/>
      <w:sz w:val="18"/>
    </w:rPr>
  </w:style>
  <w:style w:type="character" w:customStyle="1" w:styleId="57">
    <w:name w:val="页脚 字符"/>
    <w:link w:val="19"/>
    <w:semiHidden/>
    <w:qFormat/>
    <w:locked/>
    <w:uiPriority w:val="99"/>
    <w:rPr>
      <w:rFonts w:ascii="Calibri" w:hAnsi="Calibri"/>
      <w:sz w:val="18"/>
    </w:rPr>
  </w:style>
  <w:style w:type="character" w:customStyle="1" w:styleId="58">
    <w:name w:val="页眉 字符"/>
    <w:link w:val="20"/>
    <w:semiHidden/>
    <w:qFormat/>
    <w:locked/>
    <w:uiPriority w:val="99"/>
    <w:rPr>
      <w:rFonts w:ascii="Calibri" w:hAnsi="Calibri"/>
      <w:sz w:val="18"/>
    </w:rPr>
  </w:style>
  <w:style w:type="character" w:customStyle="1" w:styleId="59">
    <w:name w:val="脚注文本 字符"/>
    <w:link w:val="22"/>
    <w:semiHidden/>
    <w:qFormat/>
    <w:locked/>
    <w:uiPriority w:val="99"/>
    <w:rPr>
      <w:rFonts w:ascii="Calibri" w:hAnsi="Calibri"/>
      <w:sz w:val="18"/>
    </w:rPr>
  </w:style>
  <w:style w:type="character" w:customStyle="1" w:styleId="60">
    <w:name w:val="正文文本 2 字符"/>
    <w:link w:val="24"/>
    <w:semiHidden/>
    <w:qFormat/>
    <w:locked/>
    <w:uiPriority w:val="99"/>
    <w:rPr>
      <w:rFonts w:ascii="Calibri" w:hAnsi="Calibri"/>
    </w:rPr>
  </w:style>
  <w:style w:type="paragraph" w:customStyle="1" w:styleId="61">
    <w:name w:val="Char2 Char Char Char"/>
    <w:basedOn w:val="1"/>
    <w:qFormat/>
    <w:uiPriority w:val="99"/>
    <w:rPr>
      <w:rFonts w:ascii="Tahoma" w:hAnsi="Tahoma"/>
      <w:sz w:val="24"/>
      <w:szCs w:val="20"/>
    </w:rPr>
  </w:style>
  <w:style w:type="paragraph" w:customStyle="1" w:styleId="62">
    <w:name w:val="列出段落1"/>
    <w:basedOn w:val="1"/>
    <w:qFormat/>
    <w:uiPriority w:val="99"/>
    <w:pPr>
      <w:ind w:firstLine="420" w:firstLineChars="200"/>
    </w:pPr>
  </w:style>
  <w:style w:type="character" w:customStyle="1" w:styleId="63">
    <w:name w:val="10"/>
    <w:qFormat/>
    <w:uiPriority w:val="99"/>
    <w:rPr>
      <w:rFonts w:ascii="Calibri" w:hAnsi="Calibri"/>
    </w:rPr>
  </w:style>
  <w:style w:type="character" w:customStyle="1" w:styleId="64">
    <w:name w:val="15"/>
    <w:qFormat/>
    <w:uiPriority w:val="99"/>
    <w:rPr>
      <w:rFonts w:ascii="Calibri" w:hAnsi="Calibri"/>
      <w:i/>
    </w:rPr>
  </w:style>
  <w:style w:type="paragraph" w:customStyle="1" w:styleId="65">
    <w:name w:val="_Style 2"/>
    <w:basedOn w:val="1"/>
    <w:qFormat/>
    <w:uiPriority w:val="99"/>
    <w:pPr>
      <w:ind w:firstLine="420" w:firstLineChars="200"/>
    </w:pPr>
  </w:style>
  <w:style w:type="character" w:customStyle="1" w:styleId="66">
    <w:name w:val="apple-style-span"/>
    <w:qFormat/>
    <w:uiPriority w:val="99"/>
  </w:style>
  <w:style w:type="character" w:customStyle="1" w:styleId="67">
    <w:name w:val="del"/>
    <w:qFormat/>
    <w:uiPriority w:val="99"/>
  </w:style>
  <w:style w:type="character" w:customStyle="1" w:styleId="68">
    <w:name w:val="del1"/>
    <w:qFormat/>
    <w:uiPriority w:val="99"/>
    <w:rPr>
      <w:vanish/>
      <w:color w:val="666666"/>
      <w:sz w:val="18"/>
      <w:u w:val="single"/>
    </w:rPr>
  </w:style>
  <w:style w:type="character" w:customStyle="1" w:styleId="69">
    <w:name w:val="del2"/>
    <w:qFormat/>
    <w:uiPriority w:val="99"/>
    <w:rPr>
      <w:vanish/>
    </w:rPr>
  </w:style>
  <w:style w:type="character" w:customStyle="1" w:styleId="70">
    <w:name w:val="del3"/>
    <w:qFormat/>
    <w:uiPriority w:val="99"/>
    <w:rPr>
      <w:vanish/>
    </w:rPr>
  </w:style>
  <w:style w:type="paragraph" w:customStyle="1" w:styleId="71">
    <w:name w:val="列出段落2"/>
    <w:basedOn w:val="1"/>
    <w:qFormat/>
    <w:uiPriority w:val="99"/>
    <w:pPr>
      <w:ind w:firstLine="420" w:firstLineChars="200"/>
    </w:pPr>
    <w:rPr>
      <w:rFonts w:ascii="宋体"/>
      <w:sz w:val="28"/>
    </w:rPr>
  </w:style>
  <w:style w:type="paragraph" w:customStyle="1" w:styleId="72">
    <w:name w:val="普通(网站)1"/>
    <w:basedOn w:val="1"/>
    <w:qFormat/>
    <w:uiPriority w:val="99"/>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3">
    <w:name w:val="样式 宋体 小四 首行缩进:  0.93 厘米 段前: 11.15 磅 段后: 11.15 磅1"/>
    <w:basedOn w:val="1"/>
    <w:qFormat/>
    <w:uiPriority w:val="99"/>
    <w:pPr>
      <w:ind w:left="200"/>
    </w:pPr>
    <w:rPr>
      <w:rFonts w:ascii="宋体" w:hAnsi="宋体"/>
      <w:color w:val="000000"/>
      <w:kern w:val="1"/>
      <w:sz w:val="24"/>
      <w:szCs w:val="20"/>
    </w:rPr>
  </w:style>
  <w:style w:type="paragraph" w:customStyle="1" w:styleId="74">
    <w:name w:val="列出段落3"/>
    <w:basedOn w:val="1"/>
    <w:qFormat/>
    <w:uiPriority w:val="99"/>
    <w:pPr>
      <w:ind w:firstLine="420" w:firstLineChars="200"/>
    </w:pPr>
    <w:rPr>
      <w:rFonts w:ascii="宋体"/>
      <w:sz w:val="28"/>
    </w:rPr>
  </w:style>
  <w:style w:type="paragraph" w:customStyle="1" w:styleId="75">
    <w:name w:val="list number ＋left spaceing"/>
    <w:basedOn w:val="9"/>
    <w:qFormat/>
    <w:uiPriority w:val="99"/>
    <w:pPr>
      <w:widowControl/>
      <w:tabs>
        <w:tab w:val="left" w:pos="839"/>
      </w:tabs>
      <w:ind w:left="0" w:firstLine="0"/>
      <w:jc w:val="left"/>
    </w:pPr>
    <w:rPr>
      <w:kern w:val="0"/>
    </w:rPr>
  </w:style>
  <w:style w:type="paragraph" w:customStyle="1" w:styleId="76">
    <w:name w:val="正文框"/>
    <w:basedOn w:val="1"/>
    <w:qFormat/>
    <w:uiPriority w:val="99"/>
    <w:pPr>
      <w:widowControl/>
      <w:adjustRightInd w:val="0"/>
      <w:spacing w:line="312" w:lineRule="atLeast"/>
      <w:jc w:val="left"/>
      <w:textAlignment w:val="baseline"/>
    </w:pPr>
    <w:rPr>
      <w:sz w:val="24"/>
    </w:rPr>
  </w:style>
  <w:style w:type="paragraph" w:customStyle="1" w:styleId="77">
    <w:name w:val="Char"/>
    <w:basedOn w:val="1"/>
    <w:qFormat/>
    <w:uiPriority w:val="99"/>
    <w:pPr>
      <w:jc w:val="left"/>
    </w:pPr>
    <w:rPr>
      <w:rFonts w:ascii="Tahoma" w:hAnsi="Tahoma"/>
      <w:sz w:val="24"/>
      <w:szCs w:val="20"/>
    </w:rPr>
  </w:style>
  <w:style w:type="character" w:customStyle="1" w:styleId="78">
    <w:name w:val="font11"/>
    <w:qFormat/>
    <w:uiPriority w:val="99"/>
    <w:rPr>
      <w:rFonts w:ascii="宋体" w:hAnsi="宋体" w:eastAsia="宋体"/>
      <w:color w:val="000000"/>
      <w:sz w:val="22"/>
      <w:u w:val="none"/>
    </w:rPr>
  </w:style>
  <w:style w:type="character" w:customStyle="1" w:styleId="79">
    <w:name w:val="font61"/>
    <w:qFormat/>
    <w:uiPriority w:val="99"/>
    <w:rPr>
      <w:rFonts w:ascii="Tahoma" w:hAnsi="Tahoma"/>
      <w:color w:val="000000"/>
      <w:sz w:val="22"/>
      <w:u w:val="none"/>
    </w:rPr>
  </w:style>
  <w:style w:type="character" w:customStyle="1" w:styleId="80">
    <w:name w:val="font01"/>
    <w:qFormat/>
    <w:uiPriority w:val="99"/>
    <w:rPr>
      <w:rFonts w:ascii="宋体" w:hAnsi="宋体" w:eastAsia="宋体"/>
      <w:b/>
      <w:color w:val="000000"/>
      <w:sz w:val="24"/>
      <w:u w:val="none"/>
    </w:rPr>
  </w:style>
  <w:style w:type="paragraph" w:customStyle="1" w:styleId="81">
    <w:name w:val="列出段落4"/>
    <w:basedOn w:val="1"/>
    <w:qFormat/>
    <w:uiPriority w:val="99"/>
    <w:pPr>
      <w:ind w:firstLine="420" w:firstLineChars="200"/>
    </w:pPr>
  </w:style>
  <w:style w:type="paragraph" w:customStyle="1" w:styleId="82">
    <w:name w:val="列出段落5"/>
    <w:basedOn w:val="1"/>
    <w:qFormat/>
    <w:uiPriority w:val="99"/>
    <w:pPr>
      <w:ind w:firstLine="420" w:firstLineChars="200"/>
    </w:pPr>
  </w:style>
  <w:style w:type="paragraph" w:customStyle="1" w:styleId="83">
    <w:name w:val="TableHeader"/>
    <w:qFormat/>
    <w:uiPriority w:val="99"/>
    <w:pPr>
      <w:spacing w:before="40" w:after="40"/>
      <w:jc w:val="center"/>
    </w:pPr>
    <w:rPr>
      <w:rFonts w:ascii="Arial" w:hAnsi="Arial" w:eastAsia="宋体" w:cs="Times New Roman"/>
      <w:b/>
      <w:bCs/>
      <w:kern w:val="44"/>
      <w:sz w:val="18"/>
      <w:szCs w:val="44"/>
      <w:lang w:val="en-US" w:eastAsia="zh-CN" w:bidi="ar-SA"/>
    </w:rPr>
  </w:style>
  <w:style w:type="paragraph" w:customStyle="1" w:styleId="84">
    <w:name w:val="列出段落11"/>
    <w:basedOn w:val="1"/>
    <w:qFormat/>
    <w:uiPriority w:val="99"/>
    <w:pPr>
      <w:ind w:firstLine="420" w:firstLineChars="200"/>
    </w:pPr>
  </w:style>
  <w:style w:type="paragraph" w:customStyle="1" w:styleId="85">
    <w:name w:val="列出段落6"/>
    <w:basedOn w:val="1"/>
    <w:qFormat/>
    <w:uiPriority w:val="99"/>
    <w:pPr>
      <w:widowControl/>
      <w:spacing w:after="200" w:line="276" w:lineRule="auto"/>
      <w:ind w:left="720"/>
      <w:contextualSpacing/>
      <w:jc w:val="left"/>
    </w:pPr>
    <w:rPr>
      <w:kern w:val="0"/>
      <w:sz w:val="22"/>
    </w:rPr>
  </w:style>
  <w:style w:type="paragraph" w:customStyle="1" w:styleId="86">
    <w:name w:val="No Spacing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7">
    <w:name w:val="_Style 3"/>
    <w:basedOn w:val="1"/>
    <w:qFormat/>
    <w:uiPriority w:val="99"/>
    <w:pPr>
      <w:widowControl/>
      <w:ind w:firstLine="420"/>
    </w:pPr>
    <w:rPr>
      <w:rFonts w:ascii="DengXian" w:hAnsi="DengXian" w:eastAsia="DengXian" w:cs="宋体"/>
      <w:szCs w:val="21"/>
    </w:rPr>
  </w:style>
  <w:style w:type="paragraph" w:customStyle="1" w:styleId="88">
    <w:name w:val="_Style 1"/>
    <w:basedOn w:val="1"/>
    <w:qFormat/>
    <w:uiPriority w:val="99"/>
    <w:pPr>
      <w:ind w:firstLine="420" w:firstLineChars="200"/>
    </w:pPr>
    <w:rPr>
      <w:szCs w:val="21"/>
    </w:rPr>
  </w:style>
  <w:style w:type="paragraph" w:customStyle="1" w:styleId="89">
    <w:name w:val="List Paragraph1"/>
    <w:basedOn w:val="1"/>
    <w:qFormat/>
    <w:uiPriority w:val="99"/>
    <w:pPr>
      <w:ind w:firstLine="420" w:firstLineChars="200"/>
    </w:pPr>
    <w:rPr>
      <w:szCs w:val="21"/>
    </w:rPr>
  </w:style>
  <w:style w:type="paragraph" w:customStyle="1" w:styleId="90">
    <w:name w:val="List Paragraph11"/>
    <w:basedOn w:val="1"/>
    <w:qFormat/>
    <w:uiPriority w:val="99"/>
    <w:pPr>
      <w:ind w:firstLine="420" w:firstLineChars="200"/>
    </w:pPr>
    <w:rPr>
      <w:szCs w:val="21"/>
    </w:rPr>
  </w:style>
  <w:style w:type="paragraph" w:customStyle="1" w:styleId="91">
    <w:name w:val="列出段落7"/>
    <w:basedOn w:val="1"/>
    <w:qFormat/>
    <w:uiPriority w:val="99"/>
    <w:pPr>
      <w:ind w:firstLine="420" w:firstLineChars="200"/>
    </w:pPr>
  </w:style>
  <w:style w:type="paragraph" w:customStyle="1" w:styleId="92">
    <w:name w:val="样式6"/>
    <w:basedOn w:val="1"/>
    <w:qFormat/>
    <w:uiPriority w:val="99"/>
    <w:pPr>
      <w:topLinePunct/>
      <w:spacing w:before="160" w:after="60"/>
      <w:jc w:val="center"/>
    </w:pPr>
    <w:rPr>
      <w:rFonts w:ascii="Times New Roman" w:hAnsi="Times New Roman" w:eastAsia="黑体"/>
      <w:kern w:val="0"/>
      <w:sz w:val="24"/>
      <w:szCs w:val="21"/>
    </w:rPr>
  </w:style>
  <w:style w:type="paragraph" w:customStyle="1" w:styleId="93">
    <w:name w:val="title1"/>
    <w:basedOn w:val="1"/>
    <w:qFormat/>
    <w:uiPriority w:val="0"/>
    <w:pPr>
      <w:spacing w:before="150"/>
      <w:jc w:val="left"/>
    </w:pPr>
    <w:rPr>
      <w:b/>
      <w:kern w:val="0"/>
      <w:sz w:val="22"/>
    </w:rPr>
  </w:style>
  <w:style w:type="paragraph" w:customStyle="1" w:styleId="94">
    <w:name w:val="title12"/>
    <w:basedOn w:val="1"/>
    <w:qFormat/>
    <w:uiPriority w:val="0"/>
    <w:pPr>
      <w:spacing w:before="150"/>
      <w:jc w:val="left"/>
    </w:pPr>
    <w:rPr>
      <w:b/>
      <w:kern w:val="0"/>
      <w:sz w:val="22"/>
    </w:rPr>
  </w:style>
  <w:style w:type="character" w:customStyle="1" w:styleId="95">
    <w:name w:val="number"/>
    <w:qFormat/>
    <w:uiPriority w:val="0"/>
    <w:rPr>
      <w:color w:val="FF8833"/>
      <w:sz w:val="18"/>
      <w:szCs w:val="18"/>
    </w:rPr>
  </w:style>
  <w:style w:type="character" w:customStyle="1" w:styleId="96">
    <w:name w:val="proollist"/>
    <w:basedOn w:val="31"/>
    <w:qFormat/>
    <w:uiPriority w:val="0"/>
  </w:style>
  <w:style w:type="character" w:customStyle="1" w:styleId="97">
    <w:name w:val="phone"/>
    <w:qFormat/>
    <w:uiPriority w:val="0"/>
    <w:rPr>
      <w:color w:val="FF8833"/>
      <w:sz w:val="18"/>
      <w:szCs w:val="18"/>
    </w:rPr>
  </w:style>
  <w:style w:type="character" w:customStyle="1" w:styleId="98">
    <w:name w:val="beforeinfotext"/>
    <w:qFormat/>
    <w:uiPriority w:val="0"/>
    <w:rPr>
      <w:color w:val="666666"/>
    </w:rPr>
  </w:style>
  <w:style w:type="character" w:customStyle="1" w:styleId="99">
    <w:name w:val="stclosebtn"/>
    <w:basedOn w:val="31"/>
    <w:qFormat/>
    <w:uiPriority w:val="0"/>
  </w:style>
  <w:style w:type="character" w:customStyle="1" w:styleId="100">
    <w:name w:val="gjfg"/>
    <w:basedOn w:val="31"/>
    <w:qFormat/>
    <w:uiPriority w:val="0"/>
  </w:style>
  <w:style w:type="character" w:customStyle="1" w:styleId="101">
    <w:name w:val="qxdate"/>
    <w:qFormat/>
    <w:uiPriority w:val="0"/>
    <w:rPr>
      <w:color w:val="333333"/>
      <w:sz w:val="18"/>
      <w:szCs w:val="18"/>
    </w:rPr>
  </w:style>
  <w:style w:type="character" w:customStyle="1" w:styleId="102">
    <w:name w:val="cfdate"/>
    <w:qFormat/>
    <w:uiPriority w:val="0"/>
    <w:rPr>
      <w:color w:val="333333"/>
      <w:sz w:val="18"/>
      <w:szCs w:val="18"/>
    </w:rPr>
  </w:style>
  <w:style w:type="character" w:customStyle="1" w:styleId="103">
    <w:name w:val="prev2"/>
    <w:qFormat/>
    <w:uiPriority w:val="0"/>
    <w:rPr>
      <w:rFonts w:ascii="微软雅黑" w:hAnsi="微软雅黑" w:eastAsia="微软雅黑" w:cs="微软雅黑"/>
      <w:sz w:val="21"/>
      <w:szCs w:val="21"/>
    </w:rPr>
  </w:style>
  <w:style w:type="character" w:customStyle="1" w:styleId="104">
    <w:name w:val="displayarti"/>
    <w:qFormat/>
    <w:uiPriority w:val="0"/>
    <w:rPr>
      <w:color w:val="FFFFFF"/>
      <w:shd w:val="clear" w:color="auto" w:fill="A00000"/>
    </w:rPr>
  </w:style>
  <w:style w:type="character" w:customStyle="1" w:styleId="105">
    <w:name w:val="redfilefwwh"/>
    <w:qFormat/>
    <w:uiPriority w:val="0"/>
    <w:rPr>
      <w:color w:val="BA2636"/>
      <w:sz w:val="18"/>
      <w:szCs w:val="18"/>
    </w:rPr>
  </w:style>
  <w:style w:type="character" w:customStyle="1" w:styleId="106">
    <w:name w:val="redfilenumber"/>
    <w:qFormat/>
    <w:uiPriority w:val="0"/>
    <w:rPr>
      <w:color w:val="BA2636"/>
      <w:sz w:val="18"/>
      <w:szCs w:val="18"/>
    </w:rPr>
  </w:style>
  <w:style w:type="character" w:customStyle="1" w:styleId="107">
    <w:name w:val="next2"/>
    <w:qFormat/>
    <w:uiPriority w:val="0"/>
    <w:rPr>
      <w:rFonts w:hint="eastAsia" w:ascii="微软雅黑" w:hAnsi="微软雅黑" w:eastAsia="微软雅黑" w:cs="微软雅黑"/>
      <w:sz w:val="21"/>
      <w:szCs w:val="21"/>
    </w:rPr>
  </w:style>
  <w:style w:type="character" w:customStyle="1" w:styleId="108">
    <w:name w:val="next3"/>
    <w:qFormat/>
    <w:uiPriority w:val="0"/>
    <w:rPr>
      <w:color w:val="888888"/>
    </w:rPr>
  </w:style>
  <w:style w:type="character" w:customStyle="1" w:styleId="109">
    <w:name w:val="prev"/>
    <w:qFormat/>
    <w:uiPriority w:val="0"/>
    <w:rPr>
      <w:color w:val="888888"/>
    </w:rPr>
  </w:style>
  <w:style w:type="character" w:customStyle="1" w:styleId="110">
    <w:name w:val="prev1"/>
    <w:qFormat/>
    <w:uiPriority w:val="0"/>
    <w:rPr>
      <w:rFonts w:hint="eastAsia" w:ascii="微软雅黑" w:hAnsi="微软雅黑" w:eastAsia="微软雅黑" w:cs="微软雅黑"/>
      <w:sz w:val="21"/>
      <w:szCs w:val="21"/>
    </w:rPr>
  </w:style>
  <w:style w:type="paragraph" w:customStyle="1" w:styleId="111">
    <w:name w:val="首行缩进:2字符"/>
    <w:basedOn w:val="1"/>
    <w:qFormat/>
    <w:uiPriority w:val="0"/>
    <w:pPr>
      <w:spacing w:line="360" w:lineRule="auto"/>
      <w:ind w:firstLine="200" w:firstLineChars="200"/>
      <w:jc w:val="left"/>
    </w:pPr>
    <w:rPr>
      <w:rFonts w:ascii="Times New Roman" w:hAnsi="Times New Roman"/>
      <w:sz w:val="24"/>
      <w:szCs w:val="24"/>
    </w:rPr>
  </w:style>
  <w:style w:type="paragraph" w:customStyle="1" w:styleId="112">
    <w:name w:val="无间隔1"/>
    <w:qFormat/>
    <w:uiPriority w:val="0"/>
    <w:rPr>
      <w:rFonts w:ascii="Times New Roman" w:hAnsi="Times New Roman" w:eastAsia="宋体" w:cs="Times New Roman"/>
      <w:kern w:val="2"/>
      <w:sz w:val="21"/>
      <w:szCs w:val="22"/>
      <w:lang w:val="en-US" w:eastAsia="zh-CN" w:bidi="ar-SA"/>
    </w:rPr>
  </w:style>
  <w:style w:type="paragraph" w:customStyle="1" w:styleId="1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4">
    <w:name w:val="表内容"/>
    <w:qFormat/>
    <w:uiPriority w:val="0"/>
    <w:rPr>
      <w:rFonts w:ascii="Calibri" w:hAnsi="Calibri" w:eastAsia="宋体" w:cs="Times New Roman"/>
      <w:kern w:val="2"/>
      <w:sz w:val="21"/>
      <w:szCs w:val="22"/>
      <w:lang w:val="en-US" w:eastAsia="zh-CN" w:bidi="ar-SA"/>
    </w:rPr>
  </w:style>
  <w:style w:type="paragraph" w:styleId="1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jpe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9.xml"/><Relationship Id="rId25" Type="http://schemas.openxmlformats.org/officeDocument/2006/relationships/footer" Target="footer8.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2" textRotate="1"/>
    <customShpInfo spid="_x0000_s2073" textRotate="1"/>
    <customShpInfo spid="_x0000_s2077" textRotate="1"/>
    <customShpInfo spid="_x0000_s2074" textRotate="1"/>
    <customShpInfo spid="_x0000_s2075" textRotate="1"/>
    <customShpInfo spid="_x0000_s2076" textRotate="1"/>
    <customShpInfo spid="_x0000_s1026"/>
    <customShpInfo spid="_x0000_s1033"/>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70</Pages>
  <Words>27009</Words>
  <Characters>29858</Characters>
  <Lines>143</Lines>
  <Paragraphs>40</Paragraphs>
  <TotalTime>7</TotalTime>
  <ScaleCrop>false</ScaleCrop>
  <LinksUpToDate>false</LinksUpToDate>
  <CharactersWithSpaces>30639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2020-07-25T01:52:00Z</dcterms:created>
  <dc:creator>Administrator</dc:creator>
  <cp:lastModifiedBy>じ☆veSunny</cp:lastModifiedBy>
  <cp:lastPrinted>2022-04-24T07:13:00Z</cp:lastPrinted>
  <dcterms:modified xsi:type="dcterms:W3CDTF">2022-10-09T09:24:33Z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9027EAFCCC9441E68013EF4C1CE620F6</vt:lpwstr>
  </property>
</Properties>
</file>