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hAnsi="宋体" w:eastAsia="宋体" w:cs="宋体"/>
          <w:b/>
          <w:color w:val="auto"/>
          <w:sz w:val="36"/>
          <w:highlight w:val="none"/>
          <w:lang w:eastAsia="zh-CN"/>
        </w:rPr>
      </w:pPr>
      <w:r>
        <w:rPr>
          <w:rFonts w:hint="eastAsia" w:ascii="宋体" w:hAnsi="宋体" w:eastAsia="宋体" w:cs="宋体"/>
          <w:b/>
          <w:bCs/>
          <w:color w:val="auto"/>
          <w:kern w:val="2"/>
          <w:sz w:val="32"/>
          <w:szCs w:val="32"/>
          <w:highlight w:val="none"/>
        </w:rPr>
        <w:t>项目编号:</w:t>
      </w:r>
      <w:r>
        <w:rPr>
          <w:rFonts w:hint="eastAsia" w:hAnsi="宋体" w:cs="宋体"/>
          <w:b/>
          <w:bCs/>
          <w:color w:val="auto"/>
          <w:kern w:val="2"/>
          <w:sz w:val="32"/>
          <w:szCs w:val="32"/>
          <w:highlight w:val="none"/>
          <w:lang w:eastAsia="zh-CN"/>
        </w:rPr>
        <w:t>SXZCZB2022-ZCGK-0930</w:t>
      </w:r>
    </w:p>
    <w:p>
      <w:pPr>
        <w:rPr>
          <w:rFonts w:hAnsi="宋体" w:cs="宋体"/>
          <w:b/>
          <w:color w:val="auto"/>
          <w:sz w:val="36"/>
          <w:highlight w:val="none"/>
        </w:rPr>
      </w:pPr>
    </w:p>
    <w:p>
      <w:pPr>
        <w:tabs>
          <w:tab w:val="left" w:pos="3375"/>
        </w:tabs>
        <w:rPr>
          <w:rFonts w:hAnsi="宋体" w:cs="宋体"/>
          <w:color w:val="auto"/>
          <w:highlight w:val="none"/>
        </w:rPr>
      </w:pPr>
      <w:r>
        <w:rPr>
          <w:rFonts w:hint="eastAsia" w:hAnsi="宋体" w:cs="宋体"/>
          <w:color w:val="auto"/>
          <w:highlight w:val="none"/>
        </w:rPr>
        <w:tab/>
      </w:r>
    </w:p>
    <w:p>
      <w:pPr>
        <w:jc w:val="center"/>
        <w:rPr>
          <w:rFonts w:hAnsi="宋体" w:cs="宋体"/>
          <w:b/>
          <w:color w:val="auto"/>
          <w:sz w:val="52"/>
          <w:szCs w:val="52"/>
          <w:highlight w:val="none"/>
        </w:rPr>
      </w:pPr>
    </w:p>
    <w:p>
      <w:pPr>
        <w:jc w:val="center"/>
        <w:rPr>
          <w:rFonts w:hint="eastAsia" w:hAnsi="宋体" w:cs="宋体"/>
          <w:b/>
          <w:color w:val="auto"/>
          <w:sz w:val="72"/>
          <w:szCs w:val="72"/>
          <w:highlight w:val="none"/>
          <w:lang w:eastAsia="zh-CN"/>
        </w:rPr>
      </w:pPr>
    </w:p>
    <w:p>
      <w:pPr>
        <w:jc w:val="center"/>
        <w:rPr>
          <w:rFonts w:hint="eastAsia" w:hAnsi="宋体" w:cs="宋体"/>
          <w:b/>
          <w:color w:val="auto"/>
          <w:sz w:val="48"/>
          <w:szCs w:val="48"/>
          <w:highlight w:val="none"/>
          <w:lang w:eastAsia="zh-CN"/>
        </w:rPr>
      </w:pPr>
      <w:r>
        <w:rPr>
          <w:rFonts w:hint="eastAsia" w:hAnsi="宋体" w:cs="宋体"/>
          <w:b/>
          <w:color w:val="auto"/>
          <w:sz w:val="72"/>
          <w:szCs w:val="72"/>
          <w:highlight w:val="none"/>
          <w:lang w:eastAsia="zh-CN"/>
        </w:rPr>
        <w:t>检察业务装备采购项目</w:t>
      </w:r>
    </w:p>
    <w:p>
      <w:pPr>
        <w:pStyle w:val="10"/>
        <w:jc w:val="center"/>
        <w:rPr>
          <w:rFonts w:hint="default" w:ascii="宋体" w:hAnsi="宋体" w:eastAsia="宋体" w:cs="宋体"/>
          <w:b/>
          <w:color w:val="auto"/>
          <w:sz w:val="48"/>
          <w:szCs w:val="48"/>
          <w:highlight w:val="none"/>
          <w:lang w:val="en-US" w:eastAsia="zh-CN" w:bidi="ar-SA"/>
        </w:rPr>
      </w:pPr>
    </w:p>
    <w:p>
      <w:pPr>
        <w:spacing w:line="780" w:lineRule="auto"/>
        <w:jc w:val="center"/>
        <w:rPr>
          <w:rFonts w:hAnsi="宋体" w:cs="宋体"/>
          <w:b/>
          <w:color w:val="auto"/>
          <w:sz w:val="88"/>
          <w:szCs w:val="88"/>
          <w:highlight w:val="none"/>
        </w:rPr>
      </w:pPr>
    </w:p>
    <w:p>
      <w:pPr>
        <w:pStyle w:val="13"/>
        <w:rPr>
          <w:color w:val="auto"/>
          <w:highlight w:val="none"/>
        </w:rPr>
      </w:pPr>
    </w:p>
    <w:p>
      <w:pPr>
        <w:spacing w:line="780" w:lineRule="auto"/>
        <w:jc w:val="center"/>
        <w:rPr>
          <w:rFonts w:hint="eastAsia" w:hAnsi="宋体" w:cs="宋体"/>
          <w:b/>
          <w:color w:val="auto"/>
          <w:sz w:val="88"/>
          <w:szCs w:val="88"/>
          <w:highlight w:val="none"/>
        </w:rPr>
      </w:pPr>
      <w:r>
        <w:rPr>
          <w:rFonts w:hint="eastAsia" w:hAnsi="宋体" w:cs="宋体"/>
          <w:b/>
          <w:color w:val="auto"/>
          <w:sz w:val="88"/>
          <w:szCs w:val="88"/>
          <w:highlight w:val="none"/>
        </w:rPr>
        <w:t>招 标 文 件</w:t>
      </w:r>
    </w:p>
    <w:p>
      <w:pPr>
        <w:rPr>
          <w:rFonts w:hAnsi="宋体" w:cs="宋体"/>
          <w:color w:val="auto"/>
          <w:highlight w:val="none"/>
        </w:rPr>
      </w:pPr>
      <w:bookmarkStart w:id="0" w:name="_Toc363463325"/>
    </w:p>
    <w:p>
      <w:pPr>
        <w:rPr>
          <w:rFonts w:hAnsi="宋体" w:cs="宋体"/>
          <w:color w:val="auto"/>
          <w:highlight w:val="none"/>
        </w:rPr>
      </w:pPr>
    </w:p>
    <w:bookmarkEnd w:id="0"/>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rPr>
          <w:rFonts w:hAnsi="宋体" w:cs="宋体"/>
          <w:color w:val="auto"/>
          <w:sz w:val="18"/>
          <w:szCs w:val="18"/>
          <w:highlight w:val="none"/>
        </w:rPr>
      </w:pPr>
    </w:p>
    <w:p>
      <w:pPr>
        <w:pStyle w:val="8"/>
        <w:rPr>
          <w:rFonts w:hAnsi="宋体" w:cs="宋体"/>
          <w:color w:val="auto"/>
          <w:sz w:val="18"/>
          <w:szCs w:val="18"/>
          <w:highlight w:val="none"/>
        </w:rPr>
      </w:pPr>
    </w:p>
    <w:p>
      <w:pPr>
        <w:pStyle w:val="8"/>
        <w:rPr>
          <w:rFonts w:hAnsi="宋体" w:cs="宋体"/>
          <w:color w:val="auto"/>
          <w:sz w:val="18"/>
          <w:szCs w:val="18"/>
          <w:highlight w:val="none"/>
        </w:rPr>
      </w:pPr>
    </w:p>
    <w:p>
      <w:pPr>
        <w:pStyle w:val="8"/>
        <w:rPr>
          <w:rFonts w:hAnsi="宋体" w:cs="宋体"/>
          <w:color w:val="auto"/>
          <w:sz w:val="18"/>
          <w:szCs w:val="18"/>
          <w:highlight w:val="none"/>
        </w:rPr>
      </w:pPr>
    </w:p>
    <w:p>
      <w:pPr>
        <w:tabs>
          <w:tab w:val="left" w:pos="525"/>
        </w:tabs>
        <w:ind w:left="-2" w:leftChars="-1" w:firstLine="1"/>
        <w:jc w:val="center"/>
        <w:rPr>
          <w:rFonts w:hint="eastAsia" w:ascii="宋体" w:hAnsi="宋体" w:eastAsia="宋体" w:cs="宋体"/>
          <w:b/>
          <w:bCs/>
          <w:color w:val="auto"/>
          <w:kern w:val="2"/>
          <w:sz w:val="32"/>
          <w:szCs w:val="32"/>
          <w:highlight w:val="none"/>
          <w:lang w:eastAsia="zh-CN"/>
        </w:rPr>
      </w:pPr>
      <w:r>
        <w:rPr>
          <w:rFonts w:hint="eastAsia" w:ascii="宋体" w:hAnsi="宋体" w:eastAsia="宋体" w:cs="宋体"/>
          <w:b/>
          <w:bCs/>
          <w:color w:val="auto"/>
          <w:kern w:val="2"/>
          <w:sz w:val="32"/>
          <w:szCs w:val="32"/>
          <w:highlight w:val="none"/>
          <w:lang w:eastAsia="zh-CN"/>
        </w:rPr>
        <w:t>陕西至诚招标咨询有限公司</w:t>
      </w:r>
    </w:p>
    <w:p>
      <w:pPr>
        <w:tabs>
          <w:tab w:val="left" w:pos="525"/>
        </w:tabs>
        <w:ind w:left="-2" w:leftChars="-1" w:firstLine="1"/>
        <w:jc w:val="center"/>
        <w:rPr>
          <w:rFonts w:hAnsi="宋体" w:cs="宋体"/>
          <w:b/>
          <w:color w:val="auto"/>
          <w:sz w:val="44"/>
          <w:szCs w:val="44"/>
          <w:highlight w:val="none"/>
        </w:rPr>
        <w:sectPr>
          <w:headerReference r:id="rId4" w:type="first"/>
          <w:footerReference r:id="rId6" w:type="first"/>
          <w:headerReference r:id="rId3" w:type="default"/>
          <w:footerReference r:id="rId5" w:type="default"/>
          <w:pgSz w:w="11906" w:h="16838"/>
          <w:pgMar w:top="1417" w:right="1134" w:bottom="1417" w:left="1417" w:header="1134" w:footer="992" w:gutter="0"/>
          <w:pgNumType w:start="1"/>
          <w:cols w:space="720" w:num="1"/>
          <w:titlePg/>
          <w:docGrid w:type="lines" w:linePitch="333" w:charSpace="0"/>
        </w:sectPr>
      </w:pPr>
      <w:r>
        <w:rPr>
          <w:rFonts w:hint="eastAsia" w:ascii="宋体" w:hAnsi="宋体" w:eastAsia="宋体" w:cs="宋体"/>
          <w:b/>
          <w:bCs/>
          <w:color w:val="auto"/>
          <w:kern w:val="2"/>
          <w:sz w:val="32"/>
          <w:szCs w:val="32"/>
          <w:highlight w:val="none"/>
          <w:lang w:eastAsia="zh-CN"/>
        </w:rPr>
        <w:t>二〇二二年</w:t>
      </w:r>
      <w:r>
        <w:rPr>
          <w:rFonts w:hint="eastAsia" w:hAnsi="宋体" w:cs="宋体"/>
          <w:b/>
          <w:bCs/>
          <w:color w:val="auto"/>
          <w:kern w:val="2"/>
          <w:sz w:val="32"/>
          <w:szCs w:val="32"/>
          <w:highlight w:val="none"/>
          <w:lang w:eastAsia="zh-CN"/>
        </w:rPr>
        <w:t>十</w:t>
      </w:r>
      <w:r>
        <w:rPr>
          <w:rFonts w:hint="eastAsia" w:ascii="宋体" w:hAnsi="宋体" w:eastAsia="宋体" w:cs="宋体"/>
          <w:b/>
          <w:bCs/>
          <w:color w:val="auto"/>
          <w:kern w:val="2"/>
          <w:sz w:val="32"/>
          <w:szCs w:val="32"/>
          <w:highlight w:val="none"/>
          <w:lang w:eastAsia="zh-CN"/>
        </w:rPr>
        <w:t>月</w:t>
      </w:r>
    </w:p>
    <w:p>
      <w:pPr>
        <w:spacing w:before="166" w:beforeLines="50" w:line="360" w:lineRule="auto"/>
        <w:jc w:val="center"/>
        <w:rPr>
          <w:rFonts w:hAnsi="宋体" w:cs="宋体"/>
          <w:b/>
          <w:color w:val="auto"/>
          <w:sz w:val="44"/>
          <w:szCs w:val="44"/>
          <w:highlight w:val="none"/>
        </w:rPr>
      </w:pPr>
      <w:r>
        <w:rPr>
          <w:rFonts w:hint="eastAsia" w:hAnsi="宋体" w:cs="宋体"/>
          <w:b/>
          <w:color w:val="auto"/>
          <w:sz w:val="44"/>
          <w:szCs w:val="44"/>
          <w:highlight w:val="none"/>
        </w:rPr>
        <w:t>目   录</w:t>
      </w:r>
    </w:p>
    <w:p>
      <w:pPr>
        <w:pStyle w:val="15"/>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ind w:left="0" w:leftChars="0"/>
        <w:textAlignment w:val="auto"/>
        <w:rPr>
          <w:color w:val="auto"/>
          <w:sz w:val="28"/>
          <w:szCs w:val="28"/>
          <w:highlight w:val="none"/>
        </w:rPr>
      </w:pPr>
      <w:bookmarkStart w:id="1" w:name="_Toc20652"/>
      <w:bookmarkStart w:id="2" w:name="_Toc21518"/>
      <w:bookmarkStart w:id="3" w:name="_Toc5293"/>
      <w:bookmarkStart w:id="4" w:name="_Toc389582033"/>
      <w:bookmarkStart w:id="5" w:name="_Toc20858"/>
      <w:bookmarkStart w:id="6" w:name="_Toc16218"/>
      <w:bookmarkStart w:id="7" w:name="_Toc19886"/>
      <w:bookmarkStart w:id="8" w:name="_Toc426457691"/>
      <w:bookmarkStart w:id="9" w:name="_Toc363473971"/>
      <w:bookmarkStart w:id="10" w:name="_Toc403077638"/>
      <w:bookmarkStart w:id="11" w:name="_Toc363474016"/>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TOC \o "1-4" \h \u </w:instrText>
      </w:r>
      <w:r>
        <w:rPr>
          <w:rFonts w:hint="eastAsia" w:hAnsi="宋体" w:cs="宋体"/>
          <w:color w:val="auto"/>
          <w:sz w:val="28"/>
          <w:szCs w:val="28"/>
          <w:highlight w:val="none"/>
        </w:rPr>
        <w:fldChar w:fldCharType="separate"/>
      </w: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_Toc444 </w:instrText>
      </w:r>
      <w:r>
        <w:rPr>
          <w:rFonts w:hint="eastAsia" w:hAnsi="宋体" w:cs="宋体"/>
          <w:color w:val="auto"/>
          <w:sz w:val="28"/>
          <w:szCs w:val="28"/>
          <w:highlight w:val="none"/>
        </w:rPr>
        <w:fldChar w:fldCharType="separate"/>
      </w:r>
      <w:r>
        <w:rPr>
          <w:rFonts w:hint="eastAsia" w:ascii="宋体" w:eastAsia="宋体" w:cs="宋体"/>
          <w:color w:val="auto"/>
          <w:sz w:val="28"/>
          <w:szCs w:val="28"/>
          <w:highlight w:val="none"/>
        </w:rPr>
        <w:t>第一章  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_Toc444 \h </w:instrText>
      </w:r>
      <w:r>
        <w:rPr>
          <w:color w:val="auto"/>
          <w:sz w:val="28"/>
          <w:szCs w:val="28"/>
          <w:highlight w:val="none"/>
        </w:rPr>
        <w:fldChar w:fldCharType="separate"/>
      </w:r>
      <w:r>
        <w:rPr>
          <w:color w:val="auto"/>
          <w:sz w:val="28"/>
          <w:szCs w:val="28"/>
          <w:highlight w:val="none"/>
        </w:rPr>
        <w:t>2</w:t>
      </w:r>
      <w:r>
        <w:rPr>
          <w:color w:val="auto"/>
          <w:sz w:val="28"/>
          <w:szCs w:val="28"/>
          <w:highlight w:val="none"/>
        </w:rPr>
        <w:fldChar w:fldCharType="end"/>
      </w:r>
      <w:r>
        <w:rPr>
          <w:rFonts w:hint="eastAsia" w:hAnsi="宋体" w:cs="宋体"/>
          <w:color w:val="auto"/>
          <w:sz w:val="28"/>
          <w:szCs w:val="28"/>
          <w:highlight w:val="none"/>
        </w:rPr>
        <w:fldChar w:fldCharType="end"/>
      </w:r>
    </w:p>
    <w:p>
      <w:pPr>
        <w:pStyle w:val="15"/>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ind w:left="0" w:leftChars="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_Toc32064 </w:instrText>
      </w:r>
      <w:r>
        <w:rPr>
          <w:rFonts w:hint="eastAsia" w:hAnsi="宋体" w:cs="宋体"/>
          <w:color w:val="auto"/>
          <w:sz w:val="28"/>
          <w:szCs w:val="28"/>
          <w:highlight w:val="none"/>
        </w:rPr>
        <w:fldChar w:fldCharType="separate"/>
      </w:r>
      <w:r>
        <w:rPr>
          <w:rFonts w:hint="eastAsia" w:ascii="宋体" w:hAnsi="宋体" w:eastAsia="宋体" w:cs="宋体"/>
          <w:color w:val="auto"/>
          <w:sz w:val="28"/>
          <w:szCs w:val="28"/>
          <w:highlight w:val="none"/>
        </w:rPr>
        <w:t>第二</w:t>
      </w:r>
      <w:r>
        <w:rPr>
          <w:rFonts w:hint="eastAsia" w:ascii="宋体" w:eastAsia="宋体" w:cs="宋体"/>
          <w:color w:val="auto"/>
          <w:sz w:val="28"/>
          <w:szCs w:val="28"/>
          <w:highlight w:val="none"/>
        </w:rPr>
        <w:t xml:space="preserve">章  </w:t>
      </w:r>
      <w:r>
        <w:rPr>
          <w:rFonts w:hint="eastAsia" w:eastAsia="宋体" w:cs="宋体"/>
          <w:color w:val="auto"/>
          <w:sz w:val="28"/>
          <w:szCs w:val="28"/>
          <w:highlight w:val="none"/>
        </w:rPr>
        <w:t>投标人</w:t>
      </w:r>
      <w:r>
        <w:rPr>
          <w:rFonts w:hint="eastAsia" w:ascii="宋体" w:eastAsia="宋体" w:cs="宋体"/>
          <w:color w:val="auto"/>
          <w:sz w:val="28"/>
          <w:szCs w:val="28"/>
          <w:highlight w:val="none"/>
        </w:rPr>
        <w:t>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_Toc32064 \h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hint="eastAsia" w:hAnsi="宋体" w:cs="宋体"/>
          <w:color w:val="auto"/>
          <w:sz w:val="28"/>
          <w:szCs w:val="28"/>
          <w:highlight w:val="none"/>
        </w:rPr>
        <w:fldChar w:fldCharType="end"/>
      </w:r>
    </w:p>
    <w:p>
      <w:pPr>
        <w:pStyle w:val="16"/>
        <w:keepNext w:val="0"/>
        <w:keepLines w:val="0"/>
        <w:pageBreakBefore w:val="0"/>
        <w:widowControl w:val="0"/>
        <w:tabs>
          <w:tab w:val="right" w:leader="dot" w:pos="9355"/>
          <w:tab w:val="clear" w:pos="8302"/>
        </w:tabs>
        <w:kinsoku/>
        <w:wordWrap/>
        <w:overflowPunct/>
        <w:topLinePunct w:val="0"/>
        <w:autoSpaceDE/>
        <w:autoSpaceDN/>
        <w:bidi w:val="0"/>
        <w:adjustRightInd/>
        <w:snapToGrid/>
        <w:spacing w:line="480" w:lineRule="auto"/>
        <w:ind w:left="0" w:leftChars="0" w:firstLine="560" w:firstLineChars="20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_Toc26526 </w:instrText>
      </w:r>
      <w:r>
        <w:rPr>
          <w:rFonts w:hint="eastAsia" w:hAnsi="宋体" w:cs="宋体"/>
          <w:color w:val="auto"/>
          <w:sz w:val="28"/>
          <w:szCs w:val="28"/>
          <w:highlight w:val="none"/>
        </w:rPr>
        <w:fldChar w:fldCharType="separate"/>
      </w:r>
      <w:r>
        <w:rPr>
          <w:rFonts w:hint="eastAsia" w:ascii="宋体" w:hAnsi="宋体" w:cs="宋体"/>
          <w:color w:val="auto"/>
          <w:sz w:val="28"/>
          <w:szCs w:val="28"/>
          <w:highlight w:val="none"/>
        </w:rPr>
        <w:t>投标人须知前附表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_Toc26526 \h </w:instrText>
      </w:r>
      <w:r>
        <w:rPr>
          <w:color w:val="auto"/>
          <w:sz w:val="28"/>
          <w:szCs w:val="28"/>
          <w:highlight w:val="none"/>
        </w:rPr>
        <w:fldChar w:fldCharType="separate"/>
      </w:r>
      <w:r>
        <w:rPr>
          <w:color w:val="auto"/>
          <w:sz w:val="28"/>
          <w:szCs w:val="28"/>
          <w:highlight w:val="none"/>
        </w:rPr>
        <w:t>6</w:t>
      </w:r>
      <w:r>
        <w:rPr>
          <w:color w:val="auto"/>
          <w:sz w:val="28"/>
          <w:szCs w:val="28"/>
          <w:highlight w:val="none"/>
        </w:rPr>
        <w:fldChar w:fldCharType="end"/>
      </w:r>
      <w:r>
        <w:rPr>
          <w:rFonts w:hint="eastAsia" w:hAnsi="宋体" w:cs="宋体"/>
          <w:color w:val="auto"/>
          <w:sz w:val="28"/>
          <w:szCs w:val="28"/>
          <w:highlight w:val="none"/>
        </w:rPr>
        <w:fldChar w:fldCharType="end"/>
      </w:r>
    </w:p>
    <w:p>
      <w:pPr>
        <w:pStyle w:val="15"/>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ind w:left="0" w:leftChars="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_Toc7472 </w:instrText>
      </w:r>
      <w:r>
        <w:rPr>
          <w:rFonts w:hint="eastAsia" w:hAnsi="宋体" w:cs="宋体"/>
          <w:color w:val="auto"/>
          <w:sz w:val="28"/>
          <w:szCs w:val="28"/>
          <w:highlight w:val="none"/>
        </w:rPr>
        <w:fldChar w:fldCharType="separate"/>
      </w:r>
      <w:r>
        <w:rPr>
          <w:rFonts w:hint="eastAsia" w:ascii="宋体" w:hAnsi="宋体" w:eastAsia="宋体" w:cs="宋体"/>
          <w:color w:val="auto"/>
          <w:sz w:val="28"/>
          <w:szCs w:val="28"/>
          <w:highlight w:val="none"/>
        </w:rPr>
        <w:t>第三章  合同条款及格式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_Toc7472 \h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rFonts w:hint="eastAsia" w:hAnsi="宋体" w:cs="宋体"/>
          <w:color w:val="auto"/>
          <w:sz w:val="28"/>
          <w:szCs w:val="28"/>
          <w:highlight w:val="none"/>
        </w:rPr>
        <w:fldChar w:fldCharType="end"/>
      </w:r>
    </w:p>
    <w:p>
      <w:pPr>
        <w:pStyle w:val="16"/>
        <w:keepNext w:val="0"/>
        <w:keepLines w:val="0"/>
        <w:pageBreakBefore w:val="0"/>
        <w:widowControl w:val="0"/>
        <w:tabs>
          <w:tab w:val="right" w:leader="dot" w:pos="9355"/>
          <w:tab w:val="clear" w:pos="8302"/>
        </w:tabs>
        <w:kinsoku/>
        <w:wordWrap/>
        <w:overflowPunct/>
        <w:topLinePunct w:val="0"/>
        <w:autoSpaceDE/>
        <w:autoSpaceDN/>
        <w:bidi w:val="0"/>
        <w:adjustRightInd/>
        <w:snapToGrid/>
        <w:spacing w:line="480" w:lineRule="auto"/>
        <w:ind w:left="0" w:leftChars="0" w:firstLine="560" w:firstLineChars="20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_Toc15400 </w:instrText>
      </w:r>
      <w:r>
        <w:rPr>
          <w:rFonts w:hint="eastAsia" w:hAnsi="宋体" w:cs="宋体"/>
          <w:color w:val="auto"/>
          <w:sz w:val="28"/>
          <w:szCs w:val="28"/>
          <w:highlight w:val="none"/>
        </w:rPr>
        <w:fldChar w:fldCharType="separate"/>
      </w:r>
      <w:r>
        <w:rPr>
          <w:rFonts w:hint="eastAsia"/>
          <w:color w:val="auto"/>
          <w:sz w:val="28"/>
          <w:szCs w:val="28"/>
          <w:highlight w:val="none"/>
        </w:rPr>
        <w:t>合同条款及格式前附表</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_Toc15400 \h </w:instrText>
      </w:r>
      <w:r>
        <w:rPr>
          <w:color w:val="auto"/>
          <w:sz w:val="28"/>
          <w:szCs w:val="28"/>
          <w:highlight w:val="none"/>
        </w:rPr>
        <w:fldChar w:fldCharType="separate"/>
      </w:r>
      <w:r>
        <w:rPr>
          <w:color w:val="auto"/>
          <w:sz w:val="28"/>
          <w:szCs w:val="28"/>
          <w:highlight w:val="none"/>
        </w:rPr>
        <w:t>27</w:t>
      </w:r>
      <w:r>
        <w:rPr>
          <w:color w:val="auto"/>
          <w:sz w:val="28"/>
          <w:szCs w:val="28"/>
          <w:highlight w:val="none"/>
        </w:rPr>
        <w:fldChar w:fldCharType="end"/>
      </w:r>
      <w:r>
        <w:rPr>
          <w:rFonts w:hint="eastAsia" w:hAnsi="宋体" w:cs="宋体"/>
          <w:color w:val="auto"/>
          <w:sz w:val="28"/>
          <w:szCs w:val="28"/>
          <w:highlight w:val="none"/>
        </w:rPr>
        <w:fldChar w:fldCharType="end"/>
      </w:r>
    </w:p>
    <w:p>
      <w:pPr>
        <w:pStyle w:val="15"/>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ind w:left="0" w:leftChars="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_Toc1833 </w:instrText>
      </w:r>
      <w:r>
        <w:rPr>
          <w:rFonts w:hint="eastAsia" w:hAnsi="宋体" w:cs="宋体"/>
          <w:color w:val="auto"/>
          <w:sz w:val="28"/>
          <w:szCs w:val="28"/>
          <w:highlight w:val="none"/>
        </w:rPr>
        <w:fldChar w:fldCharType="separate"/>
      </w:r>
      <w:r>
        <w:rPr>
          <w:rFonts w:hint="eastAsia" w:ascii="宋体" w:eastAsia="宋体" w:cs="宋体"/>
          <w:color w:val="auto"/>
          <w:sz w:val="28"/>
          <w:szCs w:val="28"/>
          <w:highlight w:val="none"/>
          <w:lang w:eastAsia="zh-CN"/>
        </w:rPr>
        <w:t>第四章</w:t>
      </w:r>
      <w:r>
        <w:rPr>
          <w:rFonts w:hint="eastAsia" w:asci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采购内容及技术要求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_Toc1833 \h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rFonts w:hint="eastAsia" w:hAnsi="宋体" w:cs="宋体"/>
          <w:color w:val="auto"/>
          <w:sz w:val="28"/>
          <w:szCs w:val="28"/>
          <w:highlight w:val="none"/>
        </w:rPr>
        <w:fldChar w:fldCharType="end"/>
      </w:r>
    </w:p>
    <w:p>
      <w:pPr>
        <w:pStyle w:val="15"/>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ind w:left="0" w:leftChars="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_Toc14746 </w:instrText>
      </w:r>
      <w:r>
        <w:rPr>
          <w:rFonts w:hint="eastAsia" w:hAnsi="宋体" w:cs="宋体"/>
          <w:color w:val="auto"/>
          <w:sz w:val="28"/>
          <w:szCs w:val="28"/>
          <w:highlight w:val="none"/>
        </w:rPr>
        <w:fldChar w:fldCharType="separate"/>
      </w:r>
      <w:r>
        <w:rPr>
          <w:rFonts w:hint="eastAsia" w:ascii="宋体" w:hAnsi="宋体" w:eastAsia="宋体" w:cs="宋体"/>
          <w:color w:val="auto"/>
          <w:sz w:val="28"/>
          <w:szCs w:val="28"/>
          <w:highlight w:val="none"/>
        </w:rPr>
        <w:t>第五章</w:t>
      </w:r>
      <w:r>
        <w:rPr>
          <w:rFonts w:hint="eastAsia" w:ascii="宋体" w:eastAsia="宋体" w:cs="宋体"/>
          <w:color w:val="auto"/>
          <w:sz w:val="28"/>
          <w:szCs w:val="28"/>
          <w:highlight w:val="none"/>
          <w:lang w:val="en-US" w:eastAsia="zh-CN"/>
        </w:rPr>
        <w:t xml:space="preserve">  </w:t>
      </w:r>
      <w:r>
        <w:rPr>
          <w:rFonts w:hint="eastAsia" w:ascii="宋体" w:hAnsi="宋体" w:eastAsia="宋体" w:cs="宋体"/>
          <w:color w:val="auto"/>
          <w:sz w:val="28"/>
          <w:szCs w:val="28"/>
          <w:highlight w:val="none"/>
        </w:rPr>
        <w:t>评标方法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_Toc14746 \h </w:instrText>
      </w:r>
      <w:r>
        <w:rPr>
          <w:color w:val="auto"/>
          <w:sz w:val="28"/>
          <w:szCs w:val="28"/>
          <w:highlight w:val="none"/>
        </w:rPr>
        <w:fldChar w:fldCharType="separate"/>
      </w:r>
      <w:r>
        <w:rPr>
          <w:color w:val="auto"/>
          <w:sz w:val="28"/>
          <w:szCs w:val="28"/>
          <w:highlight w:val="none"/>
        </w:rPr>
        <w:t>43</w:t>
      </w:r>
      <w:r>
        <w:rPr>
          <w:color w:val="auto"/>
          <w:sz w:val="28"/>
          <w:szCs w:val="28"/>
          <w:highlight w:val="none"/>
        </w:rPr>
        <w:fldChar w:fldCharType="end"/>
      </w:r>
      <w:r>
        <w:rPr>
          <w:rFonts w:hint="eastAsia" w:hAnsi="宋体" w:cs="宋体"/>
          <w:color w:val="auto"/>
          <w:sz w:val="28"/>
          <w:szCs w:val="28"/>
          <w:highlight w:val="none"/>
        </w:rPr>
        <w:fldChar w:fldCharType="end"/>
      </w:r>
    </w:p>
    <w:p>
      <w:pPr>
        <w:pStyle w:val="15"/>
        <w:keepNext w:val="0"/>
        <w:keepLines w:val="0"/>
        <w:pageBreakBefore w:val="0"/>
        <w:widowControl w:val="0"/>
        <w:tabs>
          <w:tab w:val="right" w:leader="dot" w:pos="9355"/>
          <w:tab w:val="clear" w:pos="1418"/>
          <w:tab w:val="clear" w:pos="8302"/>
        </w:tabs>
        <w:kinsoku/>
        <w:wordWrap/>
        <w:overflowPunct/>
        <w:topLinePunct w:val="0"/>
        <w:autoSpaceDE/>
        <w:autoSpaceDN/>
        <w:bidi w:val="0"/>
        <w:adjustRightInd/>
        <w:snapToGrid/>
        <w:spacing w:line="480" w:lineRule="auto"/>
        <w:ind w:left="0" w:leftChars="0"/>
        <w:textAlignment w:val="auto"/>
        <w:rPr>
          <w:color w:val="auto"/>
          <w:sz w:val="28"/>
          <w:szCs w:val="28"/>
          <w:highlight w:val="none"/>
        </w:rPr>
      </w:pPr>
      <w:r>
        <w:rPr>
          <w:rFonts w:hint="eastAsia" w:hAnsi="宋体" w:cs="宋体"/>
          <w:color w:val="auto"/>
          <w:sz w:val="28"/>
          <w:szCs w:val="28"/>
          <w:highlight w:val="none"/>
        </w:rPr>
        <w:fldChar w:fldCharType="begin"/>
      </w:r>
      <w:r>
        <w:rPr>
          <w:rFonts w:hint="eastAsia" w:hAnsi="宋体" w:cs="宋体"/>
          <w:color w:val="auto"/>
          <w:sz w:val="28"/>
          <w:szCs w:val="28"/>
          <w:highlight w:val="none"/>
        </w:rPr>
        <w:instrText xml:space="preserve"> HYPERLINK \l _Toc1624 </w:instrText>
      </w:r>
      <w:r>
        <w:rPr>
          <w:rFonts w:hint="eastAsia" w:hAnsi="宋体" w:cs="宋体"/>
          <w:color w:val="auto"/>
          <w:sz w:val="28"/>
          <w:szCs w:val="28"/>
          <w:highlight w:val="none"/>
        </w:rPr>
        <w:fldChar w:fldCharType="separate"/>
      </w:r>
      <w:r>
        <w:rPr>
          <w:rFonts w:hint="eastAsia" w:ascii="宋体" w:eastAsia="宋体" w:cs="宋体"/>
          <w:bCs/>
          <w:color w:val="auto"/>
          <w:sz w:val="28"/>
          <w:szCs w:val="28"/>
          <w:highlight w:val="none"/>
        </w:rPr>
        <w:t>第六章</w:t>
      </w:r>
      <w:r>
        <w:rPr>
          <w:rFonts w:hint="eastAsia" w:ascii="宋体" w:eastAsia="宋体" w:cs="宋体"/>
          <w:bCs/>
          <w:color w:val="auto"/>
          <w:sz w:val="28"/>
          <w:szCs w:val="28"/>
          <w:highlight w:val="none"/>
          <w:lang w:val="en-US" w:eastAsia="zh-CN"/>
        </w:rPr>
        <w:t xml:space="preserve">  </w:t>
      </w:r>
      <w:r>
        <w:rPr>
          <w:rFonts w:hint="eastAsia" w:ascii="宋体" w:eastAsia="宋体" w:cs="宋体"/>
          <w:bCs/>
          <w:color w:val="auto"/>
          <w:sz w:val="28"/>
          <w:szCs w:val="28"/>
          <w:highlight w:val="none"/>
        </w:rPr>
        <w:t>投标文件构成及格式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_Toc1624 \h </w:instrText>
      </w:r>
      <w:r>
        <w:rPr>
          <w:color w:val="auto"/>
          <w:sz w:val="28"/>
          <w:szCs w:val="28"/>
          <w:highlight w:val="none"/>
        </w:rPr>
        <w:fldChar w:fldCharType="separate"/>
      </w:r>
      <w:r>
        <w:rPr>
          <w:color w:val="auto"/>
          <w:sz w:val="28"/>
          <w:szCs w:val="28"/>
          <w:highlight w:val="none"/>
        </w:rPr>
        <w:t>43</w:t>
      </w:r>
      <w:r>
        <w:rPr>
          <w:color w:val="auto"/>
          <w:sz w:val="28"/>
          <w:szCs w:val="28"/>
          <w:highlight w:val="none"/>
        </w:rPr>
        <w:fldChar w:fldCharType="end"/>
      </w:r>
      <w:r>
        <w:rPr>
          <w:rFonts w:hint="eastAsia" w:hAnsi="宋体" w:cs="宋体"/>
          <w:color w:val="auto"/>
          <w:sz w:val="28"/>
          <w:szCs w:val="28"/>
          <w:highlight w:val="none"/>
        </w:rPr>
        <w:fldChar w:fldCharType="end"/>
      </w:r>
    </w:p>
    <w:p>
      <w:pPr>
        <w:pStyle w:val="15"/>
        <w:keepNext w:val="0"/>
        <w:keepLines w:val="0"/>
        <w:pageBreakBefore w:val="0"/>
        <w:widowControl w:val="0"/>
        <w:kinsoku/>
        <w:wordWrap/>
        <w:overflowPunct/>
        <w:topLinePunct w:val="0"/>
        <w:autoSpaceDE/>
        <w:autoSpaceDN/>
        <w:bidi w:val="0"/>
        <w:adjustRightInd/>
        <w:snapToGrid/>
        <w:spacing w:line="480" w:lineRule="auto"/>
        <w:ind w:left="0" w:leftChars="0"/>
        <w:textAlignment w:val="auto"/>
        <w:rPr>
          <w:rFonts w:hAnsi="宋体" w:cs="宋体"/>
          <w:color w:val="auto"/>
          <w:sz w:val="21"/>
          <w:szCs w:val="21"/>
          <w:highlight w:val="none"/>
        </w:rPr>
        <w:sectPr>
          <w:headerReference r:id="rId8" w:type="first"/>
          <w:footerReference r:id="rId10" w:type="first"/>
          <w:headerReference r:id="rId7" w:type="default"/>
          <w:footerReference r:id="rId9" w:type="default"/>
          <w:pgSz w:w="11906" w:h="16838"/>
          <w:pgMar w:top="1417" w:right="1134" w:bottom="1417" w:left="1417" w:header="1134" w:footer="992" w:gutter="0"/>
          <w:pgNumType w:start="1"/>
          <w:cols w:space="720" w:num="1"/>
          <w:titlePg/>
          <w:docGrid w:type="lines" w:linePitch="333" w:charSpace="0"/>
        </w:sectPr>
      </w:pPr>
      <w:r>
        <w:rPr>
          <w:rFonts w:hint="eastAsia" w:hAnsi="宋体" w:cs="宋体"/>
          <w:color w:val="auto"/>
          <w:sz w:val="28"/>
          <w:szCs w:val="28"/>
          <w:highlight w:val="none"/>
        </w:rPr>
        <w:fldChar w:fldCharType="end"/>
      </w:r>
    </w:p>
    <w:p>
      <w:pPr>
        <w:pStyle w:val="3"/>
        <w:spacing w:after="333" w:afterLines="100" w:line="500" w:lineRule="exact"/>
        <w:jc w:val="center"/>
        <w:rPr>
          <w:rFonts w:ascii="宋体" w:eastAsia="宋体" w:cs="宋体"/>
          <w:color w:val="auto"/>
          <w:sz w:val="36"/>
          <w:szCs w:val="36"/>
          <w:highlight w:val="none"/>
        </w:rPr>
      </w:pPr>
      <w:bookmarkStart w:id="12" w:name="_Toc444"/>
      <w:bookmarkStart w:id="13" w:name="_Toc31289"/>
      <w:bookmarkStart w:id="14" w:name="_Toc28504"/>
      <w:bookmarkStart w:id="15" w:name="_Toc26849"/>
      <w:bookmarkStart w:id="16" w:name="_Toc23576"/>
      <w:r>
        <w:rPr>
          <w:rFonts w:hint="eastAsia" w:ascii="宋体" w:eastAsia="宋体" w:cs="宋体"/>
          <w:color w:val="auto"/>
          <w:sz w:val="36"/>
          <w:szCs w:val="36"/>
          <w:highlight w:val="none"/>
        </w:rPr>
        <w:t xml:space="preserve">第一章  </w:t>
      </w:r>
      <w:bookmarkEnd w:id="1"/>
      <w:bookmarkEnd w:id="2"/>
      <w:bookmarkEnd w:id="3"/>
      <w:bookmarkEnd w:id="4"/>
      <w:bookmarkEnd w:id="5"/>
      <w:bookmarkEnd w:id="6"/>
      <w:bookmarkEnd w:id="7"/>
      <w:r>
        <w:rPr>
          <w:rFonts w:hint="eastAsia" w:ascii="宋体" w:eastAsia="宋体" w:cs="宋体"/>
          <w:color w:val="auto"/>
          <w:sz w:val="36"/>
          <w:szCs w:val="36"/>
          <w:highlight w:val="none"/>
        </w:rPr>
        <w:t>招标公告</w:t>
      </w:r>
      <w:bookmarkEnd w:id="8"/>
      <w:bookmarkEnd w:id="12"/>
      <w:bookmarkEnd w:id="13"/>
      <w:bookmarkEnd w:id="14"/>
      <w:bookmarkEnd w:id="15"/>
      <w:bookmarkEnd w:id="16"/>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项目概况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检察业务装备采购项目招标项目的潜在投标人应在陕西省西安市未央区未央路171-1号银池道拉斯财富中心21楼获取招标文件，并于2022年10月21日 1</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时00分（北京时间）前递交投标文件。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一、项目基本情况</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项目编号：</w:t>
      </w:r>
      <w:r>
        <w:rPr>
          <w:rFonts w:hint="eastAsia" w:cs="宋体"/>
          <w:i w:val="0"/>
          <w:iCs w:val="0"/>
          <w:caps w:val="0"/>
          <w:color w:val="auto"/>
          <w:spacing w:val="0"/>
          <w:sz w:val="24"/>
          <w:szCs w:val="24"/>
          <w:highlight w:val="none"/>
          <w:shd w:val="clear" w:fill="FFFFFF"/>
          <w:lang w:eastAsia="zh-CN"/>
        </w:rPr>
        <w:t>SXZCZB2022-ZCGK-0930</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项目名称：检察业务装备采购项目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采购方式：公开招标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预算金额：</w:t>
      </w:r>
      <w:r>
        <w:rPr>
          <w:rFonts w:hint="eastAsia" w:cs="宋体"/>
          <w:i w:val="0"/>
          <w:iCs w:val="0"/>
          <w:caps w:val="0"/>
          <w:color w:val="auto"/>
          <w:spacing w:val="0"/>
          <w:sz w:val="24"/>
          <w:szCs w:val="24"/>
          <w:highlight w:val="none"/>
          <w:shd w:val="clear" w:fill="FFFFFF"/>
          <w:lang w:eastAsia="zh-CN"/>
        </w:rPr>
        <w:t>800,000.00元</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采购需求：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合同包1(检察业务装备采购项目):</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合同包预算金额：</w:t>
      </w:r>
      <w:r>
        <w:rPr>
          <w:rFonts w:hint="eastAsia" w:cs="宋体"/>
          <w:i w:val="0"/>
          <w:iCs w:val="0"/>
          <w:caps w:val="0"/>
          <w:color w:val="auto"/>
          <w:spacing w:val="0"/>
          <w:sz w:val="24"/>
          <w:szCs w:val="24"/>
          <w:highlight w:val="none"/>
          <w:shd w:val="clear" w:fill="FFFFFF"/>
          <w:lang w:eastAsia="zh-CN"/>
        </w:rPr>
        <w:t>800,000.00元</w:t>
      </w:r>
    </w:p>
    <w:tbl>
      <w:tblPr>
        <w:tblStyle w:val="19"/>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526"/>
        <w:gridCol w:w="2261"/>
        <w:gridCol w:w="2261"/>
        <w:gridCol w:w="722"/>
        <w:gridCol w:w="1473"/>
        <w:gridCol w:w="1503"/>
        <w:gridCol w:w="84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27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品目号</w:t>
            </w:r>
          </w:p>
        </w:tc>
        <w:tc>
          <w:tcPr>
            <w:tcW w:w="11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品目名称</w:t>
            </w:r>
          </w:p>
        </w:tc>
        <w:tc>
          <w:tcPr>
            <w:tcW w:w="11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采购标的</w:t>
            </w:r>
          </w:p>
        </w:tc>
        <w:tc>
          <w:tcPr>
            <w:tcW w:w="3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数量（单位）</w:t>
            </w:r>
          </w:p>
        </w:tc>
        <w:tc>
          <w:tcPr>
            <w:tcW w:w="7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技术规格、参数及要求</w:t>
            </w:r>
          </w:p>
        </w:tc>
        <w:tc>
          <w:tcPr>
            <w:tcW w:w="7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品目预算(元)</w:t>
            </w:r>
          </w:p>
        </w:tc>
        <w:tc>
          <w:tcPr>
            <w:tcW w:w="4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b/>
                <w:bCs/>
                <w:color w:val="auto"/>
                <w:sz w:val="24"/>
                <w:szCs w:val="24"/>
                <w:highlight w:val="none"/>
              </w:rPr>
            </w:pPr>
            <w:r>
              <w:rPr>
                <w:rFonts w:hint="eastAsia" w:ascii="宋体" w:hAnsi="宋体" w:eastAsia="宋体" w:cs="宋体"/>
                <w:b/>
                <w:bCs/>
                <w:color w:val="auto"/>
                <w:kern w:val="0"/>
                <w:sz w:val="24"/>
                <w:szCs w:val="24"/>
                <w:highlight w:val="non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80" w:hRule="atLeast"/>
        </w:trPr>
        <w:tc>
          <w:tcPr>
            <w:tcW w:w="277"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1-1</w:t>
            </w:r>
          </w:p>
        </w:tc>
        <w:tc>
          <w:tcPr>
            <w:tcW w:w="11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其他政法、检测专用设备</w:t>
            </w:r>
          </w:p>
        </w:tc>
        <w:tc>
          <w:tcPr>
            <w:tcW w:w="1181"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检察装备采购</w:t>
            </w:r>
          </w:p>
        </w:tc>
        <w:tc>
          <w:tcPr>
            <w:tcW w:w="36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1(批)</w:t>
            </w:r>
          </w:p>
        </w:tc>
        <w:tc>
          <w:tcPr>
            <w:tcW w:w="770"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详见采购文件</w:t>
            </w:r>
          </w:p>
        </w:tc>
        <w:tc>
          <w:tcPr>
            <w:tcW w:w="786"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800,000.00</w:t>
            </w:r>
          </w:p>
        </w:tc>
        <w:tc>
          <w:tcPr>
            <w:tcW w:w="442" w:type="pct"/>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outlineLvl w:val="9"/>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lang w:val="en-US" w:eastAsia="zh-CN" w:bidi="ar"/>
              </w:rPr>
              <w:t>-</w:t>
            </w:r>
          </w:p>
        </w:tc>
      </w:tr>
    </w:tbl>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本合同包不接受联合体投标</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合同履行期限：无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二、申请人的资格要求：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1.满足《中华人民共和国政府采购法》第二十二条规定;</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2.落实政府采购政策需满足的资格要求：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合同包1(检察业务装备采购项目)落实政府采购政策需满足的资格要求如下: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（1）《政府采购促进中小企业发展管理办法》的通知--财库[2020]46号；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（2）财政部司法部关于政府采购支持监狱企业发展有关问题的通知--财库〔2014〕68号；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（3）《国务院办公厅关于建立政府强制采购节能产品制度的通知》--国办发〔2007〕51号；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（4）《财政部发展改革委生态环境部市场监督总局关于调整优化节能产品、环境标志产品政府采购执行机制的通知》--（财库[2019]9号）；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（5）《关于印发环境标志产品政府采购品目清单的通知》--（财库〔2019〕18号）；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（6）《关于印发节能产品政府采购品目清单的通知》--（财库〔2019〕19号）；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（7）《市场监督总局关于发布参与实施政府采购节能产品、环境标志产品认证机构名录的公告》—2019年第16号；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（8）《财政部民政部中国残疾人联合会关于促进残疾人就业政府采购政策的通知》--（财库〔2017〕141号）；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（9）《关于运用政府采购政策支持乡村产业振兴的通知》（财库〔2021〕19号）；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（10）陕西省财政厅关于印发《陕西省中小企业政府采购信用融资办法》（陕财办采〔2018〕23号）；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（11）《陕西省财政厅关于加快推进我省中小企业政府采购信用融资工作的通知》（陕财办采〔2020〕15号）；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（12）《关于进一步加强政府绿色采购有关问题的通知》（陕财办采〔2021〕29号）；</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（13）其他需要落实的政府采购政策。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3.本项目的特定资格要求：</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合同包1(检察业务装备采购项目)特定资格要求如下:</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（1）提供合格有效的法人或者其他组织的营业执照等证明文件，自然人的身份证明；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（2）提供法定代表人授权书（附法定代表人、被授权人身份证复印件）及被授权人身份证原件（法定代表人直接参加投标，须提供法定代表人身份证明及身份证原件）；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3）财务状况报告：提供2020或2021年度的财务审计报告（至少包括资产负债表和利润表，成立时间至提交投标响应文件截止时间不足一年的可提供成立后任意时段的资产负债表），或开标时间前六个月内银行出具的资信证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（4）税收缴纳证明：提供投标截止日前近一年内任意一个月的纳税证明或完税证明（任意税种），依法免税的单位应提供相关证明材料；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（6）供应商应通过“信用中国”网站(www.creditchina.gov.cn)、中国政府采购网(www.ccgp.gov.cn)查询相关主体信用记录；</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（7）参加政府采购活动前3年内，在经营活动中没有重大违法记录的书面声明；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（8）提供具有履行本合同所必需的设备和专业技术能力的声明；</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（9）投标保证金缴纳凭证或担保机构出具的保函；</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（10）本项目不接受联合体投标。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三、获取招标文件</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时间：2022年09月30日至2022年10月11日，每天上午09:00:00至12:00:00，下午14:00:00至17:00:00（北京时间,法定节假日除外）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地点：陕西省西安市未央区未央路171-1号银池道拉斯财富中心21楼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方式：现场获取</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售价：500元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四、提交投标文件截止时间、开标时间和地点</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时间：2022年10月21日 1</w:t>
      </w:r>
      <w:r>
        <w:rPr>
          <w:rFonts w:hint="eastAsia" w:cs="宋体"/>
          <w:i w:val="0"/>
          <w:iCs w:val="0"/>
          <w:caps w:val="0"/>
          <w:color w:val="auto"/>
          <w:spacing w:val="0"/>
          <w:sz w:val="24"/>
          <w:szCs w:val="24"/>
          <w:highlight w:val="none"/>
          <w:shd w:val="clear" w:fill="FFFFFF"/>
          <w:lang w:val="en-US" w:eastAsia="zh-CN"/>
        </w:rPr>
        <w:t>5</w:t>
      </w:r>
      <w:r>
        <w:rPr>
          <w:rFonts w:hint="eastAsia" w:ascii="宋体" w:hAnsi="宋体" w:eastAsia="宋体" w:cs="宋体"/>
          <w:i w:val="0"/>
          <w:iCs w:val="0"/>
          <w:caps w:val="0"/>
          <w:color w:val="auto"/>
          <w:spacing w:val="0"/>
          <w:sz w:val="24"/>
          <w:szCs w:val="24"/>
          <w:highlight w:val="none"/>
          <w:shd w:val="clear" w:fill="FFFFFF"/>
        </w:rPr>
        <w:t>时00分00秒（北京时间）</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提交投标文件地点：陕西省西安市未央区未央路171-1号银池道拉斯财富中心21楼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开标地点：陕西省西安市未央区未央路171-1号银池道拉斯财富中心21楼</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五、公告期限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自本公告发布之日起5个工作日。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六、其他补充事宜</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文件售价：¥500元/项目。现金购买，售后不退，谢绝邮寄。注：（1）投标人购买标书时，请携带单位介绍信及经办人身份证原件及复印件加盖公章；（2）请投标人按照《陕西省财政厅关于政府采购供应商注册登记有关事项的通知》中的要求，通过陕西省政府采购网（http://www.ccgp-shaanxi.gov.cn/）注册登记加入陕西省政府采购供应商库。（3）本项目非专门面向中小企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right="0"/>
        <w:jc w:val="left"/>
        <w:textAlignment w:val="auto"/>
        <w:outlineLvl w:val="9"/>
        <w:rPr>
          <w:rFonts w:hint="eastAsia" w:ascii="宋体" w:hAnsi="宋体" w:eastAsia="宋体" w:cs="宋体"/>
          <w:b w:val="0"/>
          <w:bCs w:val="0"/>
          <w:color w:val="auto"/>
          <w:sz w:val="24"/>
          <w:szCs w:val="24"/>
          <w:highlight w:val="none"/>
        </w:rPr>
      </w:pPr>
      <w:r>
        <w:rPr>
          <w:rStyle w:val="22"/>
          <w:rFonts w:hint="eastAsia" w:ascii="宋体" w:hAnsi="宋体" w:eastAsia="宋体" w:cs="宋体"/>
          <w:b/>
          <w:bCs/>
          <w:i w:val="0"/>
          <w:iCs w:val="0"/>
          <w:caps w:val="0"/>
          <w:color w:val="auto"/>
          <w:spacing w:val="0"/>
          <w:sz w:val="24"/>
          <w:szCs w:val="24"/>
          <w:highlight w:val="none"/>
          <w:shd w:val="clear" w:fill="FFFFFF"/>
        </w:rPr>
        <w:t>七、对本次招标提出询问，请按以下方式联系。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1.采购人信息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名称：</w:t>
      </w:r>
      <w:r>
        <w:rPr>
          <w:rFonts w:hint="eastAsia" w:cs="宋体"/>
          <w:i w:val="0"/>
          <w:iCs w:val="0"/>
          <w:caps w:val="0"/>
          <w:color w:val="auto"/>
          <w:spacing w:val="0"/>
          <w:sz w:val="24"/>
          <w:szCs w:val="24"/>
          <w:highlight w:val="none"/>
          <w:shd w:val="clear" w:fill="FFFFFF"/>
          <w:lang w:eastAsia="zh-CN"/>
        </w:rPr>
        <w:t>西安铁路运输检察院</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地址：</w:t>
      </w:r>
      <w:r>
        <w:rPr>
          <w:rFonts w:hint="eastAsia" w:cs="宋体"/>
          <w:i w:val="0"/>
          <w:iCs w:val="0"/>
          <w:caps w:val="0"/>
          <w:color w:val="auto"/>
          <w:spacing w:val="0"/>
          <w:sz w:val="24"/>
          <w:szCs w:val="24"/>
          <w:highlight w:val="none"/>
          <w:shd w:val="clear" w:fill="FFFFFF"/>
          <w:lang w:eastAsia="zh-CN"/>
        </w:rPr>
        <w:t>西安市雁塔区西沣一路和沈家桥二路十字西南角（西沣一路2000号）东区</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lang w:eastAsia="zh-CN"/>
        </w:rPr>
      </w:pPr>
      <w:r>
        <w:rPr>
          <w:rFonts w:hint="eastAsia" w:ascii="宋体" w:hAnsi="宋体" w:eastAsia="宋体" w:cs="宋体"/>
          <w:i w:val="0"/>
          <w:iCs w:val="0"/>
          <w:caps w:val="0"/>
          <w:color w:val="auto"/>
          <w:spacing w:val="0"/>
          <w:sz w:val="24"/>
          <w:szCs w:val="24"/>
          <w:highlight w:val="none"/>
          <w:shd w:val="clear" w:fill="FFFFFF"/>
        </w:rPr>
        <w:t>联系方式：</w:t>
      </w:r>
      <w:r>
        <w:rPr>
          <w:rFonts w:hint="eastAsia" w:cs="宋体"/>
          <w:i w:val="0"/>
          <w:iCs w:val="0"/>
          <w:caps w:val="0"/>
          <w:color w:val="auto"/>
          <w:spacing w:val="0"/>
          <w:sz w:val="24"/>
          <w:szCs w:val="24"/>
          <w:highlight w:val="none"/>
          <w:shd w:val="clear" w:fill="FFFFFF"/>
          <w:lang w:eastAsia="zh-CN"/>
        </w:rPr>
        <w:t>029-87361852</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2.采购代理机构信息</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名称：陕西至诚招标咨询有限公司</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地址：陕西省西安市未央区未央路171-1号银池道拉斯财富中心21楼</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联系方式：029-88219779</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left"/>
        <w:textAlignment w:val="auto"/>
        <w:outlineLvl w:val="9"/>
        <w:rPr>
          <w:rFonts w:hint="eastAsia" w:ascii="宋体" w:hAnsi="宋体" w:eastAsia="宋体" w:cs="宋体"/>
          <w:b w:val="0"/>
          <w:bCs w:val="0"/>
          <w:color w:val="auto"/>
          <w:sz w:val="24"/>
          <w:szCs w:val="24"/>
          <w:highlight w:val="none"/>
        </w:rPr>
      </w:pPr>
      <w:r>
        <w:rPr>
          <w:rFonts w:hint="eastAsia" w:ascii="宋体" w:hAnsi="宋体" w:eastAsia="宋体" w:cs="宋体"/>
          <w:b w:val="0"/>
          <w:bCs w:val="0"/>
          <w:i w:val="0"/>
          <w:iCs w:val="0"/>
          <w:caps w:val="0"/>
          <w:color w:val="auto"/>
          <w:spacing w:val="0"/>
          <w:sz w:val="24"/>
          <w:szCs w:val="24"/>
          <w:highlight w:val="none"/>
          <w:shd w:val="clear" w:fill="FFFFFF"/>
        </w:rPr>
        <w:t>3.项目联系方式</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项目联系人：康乐</w:t>
      </w:r>
    </w:p>
    <w:p>
      <w:pPr>
        <w:pStyle w:val="1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outlineLvl w:val="9"/>
        <w:rPr>
          <w:rFonts w:hint="eastAsia" w:ascii="宋体" w:hAnsi="宋体" w:eastAsia="宋体" w:cs="宋体"/>
          <w:color w:val="auto"/>
          <w:sz w:val="24"/>
          <w:szCs w:val="24"/>
          <w:highlight w:val="none"/>
        </w:rPr>
      </w:pPr>
      <w:r>
        <w:rPr>
          <w:rFonts w:hint="eastAsia" w:ascii="宋体" w:hAnsi="宋体" w:eastAsia="宋体" w:cs="宋体"/>
          <w:i w:val="0"/>
          <w:iCs w:val="0"/>
          <w:caps w:val="0"/>
          <w:color w:val="auto"/>
          <w:spacing w:val="0"/>
          <w:sz w:val="24"/>
          <w:szCs w:val="24"/>
          <w:highlight w:val="none"/>
          <w:shd w:val="clear" w:fill="FFFFFF"/>
        </w:rPr>
        <w:t>电话：029-88219779</w:t>
      </w:r>
    </w:p>
    <w:p>
      <w:pPr>
        <w:outlineLvl w:val="9"/>
        <w:rPr>
          <w:rFonts w:hint="eastAsia" w:ascii="宋体" w:hAnsi="宋体" w:eastAsia="宋体" w:cs="宋体"/>
          <w:i w:val="0"/>
          <w:iCs w:val="0"/>
          <w:caps w:val="0"/>
          <w:color w:val="auto"/>
          <w:spacing w:val="0"/>
          <w:sz w:val="24"/>
          <w:szCs w:val="24"/>
          <w:highlight w:val="none"/>
          <w:shd w:val="clear" w:fill="FFFFFF"/>
        </w:rPr>
      </w:pPr>
    </w:p>
    <w:p>
      <w:pPr>
        <w:outlineLvl w:val="9"/>
        <w:rPr>
          <w:rFonts w:hint="eastAsia" w:ascii="宋体" w:hAnsi="宋体" w:eastAsia="宋体" w:cs="宋体"/>
          <w:i w:val="0"/>
          <w:iCs w:val="0"/>
          <w:caps w:val="0"/>
          <w:color w:val="auto"/>
          <w:spacing w:val="0"/>
          <w:sz w:val="24"/>
          <w:szCs w:val="24"/>
          <w:highlight w:val="none"/>
          <w:shd w:val="clear" w:fill="FFFFFF"/>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right"/>
        <w:textAlignment w:val="auto"/>
        <w:outlineLvl w:val="9"/>
        <w:rPr>
          <w:rFonts w:hint="eastAsia" w:ascii="宋体" w:hAnsi="宋体" w:eastAsia="宋体" w:cs="宋体"/>
          <w:b w:val="0"/>
          <w:bCs w:val="0"/>
          <w:i w:val="0"/>
          <w:iCs w:val="0"/>
          <w:caps w:val="0"/>
          <w:color w:val="auto"/>
          <w:spacing w:val="0"/>
          <w:sz w:val="24"/>
          <w:szCs w:val="24"/>
          <w:highlight w:val="none"/>
          <w:shd w:val="clear" w:fill="FFFFFF"/>
        </w:rPr>
      </w:pPr>
      <w:r>
        <w:rPr>
          <w:rFonts w:hint="eastAsia" w:ascii="宋体" w:hAnsi="宋体" w:eastAsia="宋体" w:cs="宋体"/>
          <w:b w:val="0"/>
          <w:bCs w:val="0"/>
          <w:i w:val="0"/>
          <w:iCs w:val="0"/>
          <w:caps w:val="0"/>
          <w:color w:val="auto"/>
          <w:spacing w:val="0"/>
          <w:sz w:val="24"/>
          <w:szCs w:val="24"/>
          <w:highlight w:val="none"/>
          <w:shd w:val="clear" w:fill="FFFFFF"/>
        </w:rPr>
        <w:t>陕西至诚招标咨询有限公司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Autospacing="0" w:after="0" w:afterAutospacing="0" w:line="360" w:lineRule="auto"/>
        <w:ind w:left="0" w:right="0" w:firstLine="480" w:firstLineChars="200"/>
        <w:jc w:val="right"/>
        <w:textAlignment w:val="auto"/>
        <w:outlineLvl w:val="9"/>
        <w:rPr>
          <w:rFonts w:hint="default" w:ascii="宋体" w:hAnsi="宋体" w:eastAsia="宋体" w:cs="宋体"/>
          <w:b w:val="0"/>
          <w:bCs w:val="0"/>
          <w:i w:val="0"/>
          <w:iCs w:val="0"/>
          <w:caps w:val="0"/>
          <w:color w:val="auto"/>
          <w:spacing w:val="0"/>
          <w:sz w:val="24"/>
          <w:szCs w:val="24"/>
          <w:highlight w:val="none"/>
          <w:shd w:val="clear" w:fill="FFFFFF"/>
          <w:lang w:val="en-US" w:eastAsia="zh-CN"/>
        </w:rPr>
      </w:pPr>
      <w:r>
        <w:rPr>
          <w:rFonts w:hint="eastAsia" w:ascii="宋体" w:hAnsi="宋体" w:eastAsia="宋体" w:cs="宋体"/>
          <w:b w:val="0"/>
          <w:bCs w:val="0"/>
          <w:i w:val="0"/>
          <w:iCs w:val="0"/>
          <w:caps w:val="0"/>
          <w:color w:val="auto"/>
          <w:spacing w:val="0"/>
          <w:sz w:val="24"/>
          <w:szCs w:val="24"/>
          <w:highlight w:val="none"/>
          <w:shd w:val="clear" w:fill="FFFFFF"/>
          <w:lang w:val="en-US" w:eastAsia="zh-CN"/>
        </w:rPr>
        <w:t>2022年09月29日</w:t>
      </w:r>
    </w:p>
    <w:p>
      <w:pPr>
        <w:pStyle w:val="3"/>
        <w:jc w:val="center"/>
        <w:rPr>
          <w:rStyle w:val="24"/>
          <w:rFonts w:ascii="宋体" w:eastAsia="宋体" w:cs="宋体"/>
          <w:b/>
          <w:color w:val="auto"/>
          <w:sz w:val="36"/>
          <w:szCs w:val="36"/>
          <w:highlight w:val="none"/>
        </w:rPr>
      </w:pPr>
      <w:r>
        <w:rPr>
          <w:rFonts w:hint="eastAsia" w:ascii="宋体" w:eastAsia="宋体" w:cs="宋体"/>
          <w:color w:val="auto"/>
          <w:highlight w:val="none"/>
        </w:rPr>
        <w:br w:type="page"/>
      </w:r>
      <w:bookmarkStart w:id="17" w:name="_Toc389582035"/>
      <w:bookmarkStart w:id="18" w:name="_Toc2929"/>
      <w:bookmarkStart w:id="19" w:name="_Toc32064"/>
      <w:bookmarkStart w:id="20" w:name="_Toc426457692"/>
      <w:bookmarkStart w:id="21" w:name="_Toc6096"/>
      <w:bookmarkStart w:id="22" w:name="_Toc30304"/>
      <w:r>
        <w:rPr>
          <w:rFonts w:hint="eastAsia" w:ascii="宋体" w:hAnsi="宋体" w:eastAsia="宋体" w:cs="宋体"/>
          <w:color w:val="auto"/>
          <w:sz w:val="36"/>
          <w:szCs w:val="36"/>
          <w:highlight w:val="none"/>
        </w:rPr>
        <w:t>第二</w:t>
      </w:r>
      <w:r>
        <w:rPr>
          <w:rStyle w:val="24"/>
          <w:rFonts w:hint="eastAsia" w:ascii="宋体" w:eastAsia="宋体" w:cs="宋体"/>
          <w:b/>
          <w:color w:val="auto"/>
          <w:sz w:val="36"/>
          <w:szCs w:val="36"/>
          <w:highlight w:val="none"/>
        </w:rPr>
        <w:t xml:space="preserve">章  </w:t>
      </w:r>
      <w:bookmarkEnd w:id="17"/>
      <w:bookmarkEnd w:id="18"/>
      <w:r>
        <w:rPr>
          <w:rStyle w:val="24"/>
          <w:rFonts w:hint="eastAsia" w:eastAsia="宋体" w:cs="宋体"/>
          <w:b/>
          <w:color w:val="auto"/>
          <w:sz w:val="36"/>
          <w:szCs w:val="36"/>
          <w:highlight w:val="none"/>
        </w:rPr>
        <w:t>投标人</w:t>
      </w:r>
      <w:r>
        <w:rPr>
          <w:rStyle w:val="24"/>
          <w:rFonts w:hint="eastAsia" w:ascii="宋体" w:eastAsia="宋体" w:cs="宋体"/>
          <w:b/>
          <w:color w:val="auto"/>
          <w:sz w:val="36"/>
          <w:szCs w:val="36"/>
          <w:highlight w:val="none"/>
        </w:rPr>
        <w:t>须知</w:t>
      </w:r>
      <w:bookmarkEnd w:id="19"/>
      <w:bookmarkEnd w:id="20"/>
    </w:p>
    <w:bookmarkEnd w:id="21"/>
    <w:bookmarkEnd w:id="22"/>
    <w:p>
      <w:pPr>
        <w:pStyle w:val="4"/>
        <w:spacing w:before="120" w:after="120"/>
        <w:jc w:val="center"/>
        <w:rPr>
          <w:rFonts w:ascii="宋体" w:hAnsi="宋体" w:cs="宋体"/>
          <w:color w:val="auto"/>
          <w:sz w:val="32"/>
          <w:highlight w:val="none"/>
        </w:rPr>
      </w:pPr>
      <w:bookmarkStart w:id="23" w:name="_Toc426457693"/>
      <w:bookmarkStart w:id="24" w:name="_Toc26526"/>
      <w:bookmarkStart w:id="25" w:name="_Toc23108"/>
      <w:bookmarkStart w:id="26" w:name="_Toc17040"/>
      <w:bookmarkStart w:id="27" w:name="_Toc30222"/>
      <w:bookmarkStart w:id="28" w:name="_Toc11975"/>
      <w:bookmarkStart w:id="29" w:name="_Toc17539"/>
      <w:r>
        <w:rPr>
          <w:rFonts w:hint="eastAsia" w:ascii="宋体" w:hAnsi="宋体" w:cs="宋体"/>
          <w:color w:val="auto"/>
          <w:sz w:val="32"/>
          <w:highlight w:val="none"/>
        </w:rPr>
        <w:t>投标人须知前附表</w:t>
      </w:r>
      <w:bookmarkEnd w:id="23"/>
      <w:bookmarkEnd w:id="24"/>
      <w:bookmarkEnd w:id="25"/>
      <w:bookmarkEnd w:id="26"/>
      <w:bookmarkEnd w:id="27"/>
      <w:bookmarkEnd w:id="28"/>
      <w:bookmarkEnd w:id="29"/>
    </w:p>
    <w:tbl>
      <w:tblPr>
        <w:tblStyle w:val="19"/>
        <w:tblW w:w="4999"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15"/>
        <w:gridCol w:w="990"/>
        <w:gridCol w:w="78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9" w:hRule="atLeast"/>
          <w:jc w:val="center"/>
        </w:trPr>
        <w:tc>
          <w:tcPr>
            <w:tcW w:w="327" w:type="pct"/>
            <w:noWrap w:val="0"/>
            <w:vAlign w:val="top"/>
          </w:tcPr>
          <w:p>
            <w:pPr>
              <w:spacing w:before="166" w:beforeLines="50"/>
              <w:jc w:val="center"/>
              <w:rPr>
                <w:rFonts w:hAnsi="宋体" w:cs="宋体"/>
                <w:b/>
                <w:color w:val="auto"/>
                <w:szCs w:val="24"/>
                <w:highlight w:val="none"/>
              </w:rPr>
            </w:pPr>
            <w:r>
              <w:rPr>
                <w:rFonts w:hint="eastAsia" w:hAnsi="宋体" w:cs="宋体"/>
                <w:b/>
                <w:color w:val="auto"/>
                <w:szCs w:val="24"/>
                <w:highlight w:val="none"/>
              </w:rPr>
              <w:t>序号</w:t>
            </w:r>
          </w:p>
        </w:tc>
        <w:tc>
          <w:tcPr>
            <w:tcW w:w="526" w:type="pct"/>
            <w:noWrap w:val="0"/>
            <w:vAlign w:val="center"/>
          </w:tcPr>
          <w:p>
            <w:pPr>
              <w:spacing w:before="166" w:beforeLines="50"/>
              <w:jc w:val="center"/>
              <w:rPr>
                <w:rFonts w:hAnsi="宋体" w:cs="宋体"/>
                <w:b/>
                <w:color w:val="auto"/>
                <w:szCs w:val="24"/>
                <w:highlight w:val="none"/>
              </w:rPr>
            </w:pPr>
            <w:r>
              <w:rPr>
                <w:rFonts w:hint="eastAsia" w:hAnsi="宋体" w:cs="宋体"/>
                <w:b/>
                <w:color w:val="auto"/>
                <w:szCs w:val="24"/>
                <w:highlight w:val="none"/>
              </w:rPr>
              <w:t>条款号</w:t>
            </w:r>
          </w:p>
        </w:tc>
        <w:tc>
          <w:tcPr>
            <w:tcW w:w="4146" w:type="pct"/>
            <w:noWrap w:val="0"/>
            <w:vAlign w:val="top"/>
          </w:tcPr>
          <w:p>
            <w:pPr>
              <w:spacing w:before="166" w:beforeLines="50"/>
              <w:jc w:val="center"/>
              <w:rPr>
                <w:rFonts w:hAnsi="宋体" w:cs="宋体"/>
                <w:b/>
                <w:color w:val="auto"/>
                <w:szCs w:val="24"/>
                <w:highlight w:val="none"/>
              </w:rPr>
            </w:pPr>
            <w:r>
              <w:rPr>
                <w:rFonts w:hint="eastAsia" w:hAnsi="宋体" w:cs="宋体"/>
                <w:b/>
                <w:color w:val="auto"/>
                <w:szCs w:val="24"/>
                <w:highlight w:val="none"/>
              </w:rPr>
              <w:t xml:space="preserve">编 列 内 容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327" w:type="pct"/>
            <w:noWrap w:val="0"/>
            <w:vAlign w:val="center"/>
          </w:tcPr>
          <w:p>
            <w:pPr>
              <w:jc w:val="center"/>
              <w:rPr>
                <w:rFonts w:hAnsi="宋体" w:cs="宋体"/>
                <w:color w:val="auto"/>
                <w:szCs w:val="24"/>
                <w:highlight w:val="none"/>
              </w:rPr>
            </w:pPr>
            <w:r>
              <w:rPr>
                <w:rFonts w:hint="eastAsia" w:hAnsi="宋体" w:cs="宋体"/>
                <w:color w:val="auto"/>
                <w:szCs w:val="24"/>
                <w:highlight w:val="none"/>
              </w:rPr>
              <w:t>1</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2.3</w:t>
            </w:r>
          </w:p>
        </w:tc>
        <w:tc>
          <w:tcPr>
            <w:tcW w:w="4146" w:type="pct"/>
            <w:noWrap w:val="0"/>
            <w:vAlign w:val="top"/>
          </w:tcPr>
          <w:p>
            <w:pPr>
              <w:spacing w:line="360" w:lineRule="auto"/>
              <w:rPr>
                <w:rFonts w:hAnsi="宋体" w:cs="宋体"/>
                <w:color w:val="auto"/>
                <w:szCs w:val="24"/>
                <w:highlight w:val="none"/>
              </w:rPr>
            </w:pPr>
            <w:r>
              <w:rPr>
                <w:rFonts w:hint="eastAsia" w:hAnsi="宋体" w:cs="宋体"/>
                <w:color w:val="auto"/>
                <w:szCs w:val="24"/>
                <w:highlight w:val="none"/>
              </w:rPr>
              <w:t>采购代理机构：</w:t>
            </w:r>
            <w:r>
              <w:rPr>
                <w:rFonts w:hint="eastAsia"/>
                <w:color w:val="auto"/>
                <w:szCs w:val="24"/>
                <w:highlight w:val="none"/>
              </w:rPr>
              <w:t>陕西至诚招标咨询有限公司</w:t>
            </w:r>
          </w:p>
          <w:p>
            <w:pPr>
              <w:spacing w:line="360" w:lineRule="auto"/>
              <w:rPr>
                <w:rFonts w:hint="eastAsia" w:hAnsi="宋体" w:eastAsia="宋体" w:cs="宋体"/>
                <w:color w:val="auto"/>
                <w:szCs w:val="24"/>
                <w:highlight w:val="none"/>
                <w:lang w:eastAsia="zh-CN"/>
              </w:rPr>
            </w:pPr>
            <w:r>
              <w:rPr>
                <w:rFonts w:hint="eastAsia" w:hAnsi="宋体" w:cs="宋体"/>
                <w:color w:val="auto"/>
                <w:szCs w:val="24"/>
                <w:highlight w:val="none"/>
              </w:rPr>
              <w:t>地        址：</w:t>
            </w:r>
            <w:r>
              <w:rPr>
                <w:rFonts w:hint="eastAsia"/>
                <w:color w:val="auto"/>
                <w:szCs w:val="24"/>
                <w:highlight w:val="none"/>
                <w:lang w:eastAsia="zh-CN"/>
              </w:rPr>
              <w:t>陕西省西安市未央区未央路171-1号银池道拉斯财富中心21楼</w:t>
            </w:r>
          </w:p>
          <w:p>
            <w:pPr>
              <w:spacing w:line="360" w:lineRule="auto"/>
              <w:rPr>
                <w:rFonts w:hint="default" w:hAnsi="宋体" w:eastAsia="宋体" w:cs="宋体"/>
                <w:color w:val="auto"/>
                <w:szCs w:val="24"/>
                <w:highlight w:val="none"/>
                <w:lang w:val="en-US" w:eastAsia="zh-CN"/>
              </w:rPr>
            </w:pPr>
            <w:r>
              <w:rPr>
                <w:rFonts w:hint="eastAsia" w:hAnsi="宋体" w:cs="宋体"/>
                <w:color w:val="auto"/>
                <w:szCs w:val="24"/>
                <w:highlight w:val="none"/>
              </w:rPr>
              <w:t>邮        编：</w:t>
            </w:r>
            <w:r>
              <w:rPr>
                <w:rFonts w:hint="eastAsia"/>
                <w:color w:val="auto"/>
                <w:szCs w:val="24"/>
                <w:highlight w:val="none"/>
              </w:rPr>
              <w:t>7100</w:t>
            </w:r>
            <w:r>
              <w:rPr>
                <w:rFonts w:hint="eastAsia"/>
                <w:color w:val="auto"/>
                <w:szCs w:val="24"/>
                <w:highlight w:val="none"/>
                <w:lang w:val="en-US" w:eastAsia="zh-CN"/>
              </w:rPr>
              <w:t>21</w:t>
            </w:r>
          </w:p>
          <w:p>
            <w:pPr>
              <w:spacing w:line="360" w:lineRule="auto"/>
              <w:rPr>
                <w:rFonts w:hAnsi="宋体" w:cs="宋体"/>
                <w:color w:val="auto"/>
                <w:szCs w:val="24"/>
                <w:highlight w:val="none"/>
              </w:rPr>
            </w:pPr>
            <w:r>
              <w:rPr>
                <w:rFonts w:hint="eastAsia" w:hAnsi="宋体" w:cs="宋体"/>
                <w:color w:val="auto"/>
                <w:szCs w:val="24"/>
                <w:highlight w:val="none"/>
              </w:rPr>
              <w:t>电        话：029-88219779</w:t>
            </w:r>
          </w:p>
          <w:p>
            <w:pPr>
              <w:spacing w:line="360" w:lineRule="auto"/>
              <w:rPr>
                <w:rFonts w:hAnsi="宋体" w:cs="宋体"/>
                <w:color w:val="auto"/>
                <w:szCs w:val="24"/>
                <w:highlight w:val="none"/>
              </w:rPr>
            </w:pPr>
            <w:r>
              <w:rPr>
                <w:rFonts w:hint="eastAsia" w:hAnsi="宋体" w:cs="宋体"/>
                <w:color w:val="auto"/>
                <w:szCs w:val="24"/>
                <w:highlight w:val="none"/>
              </w:rPr>
              <w:t>传        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327" w:type="pct"/>
            <w:noWrap w:val="0"/>
            <w:vAlign w:val="center"/>
          </w:tcPr>
          <w:p>
            <w:pPr>
              <w:jc w:val="center"/>
              <w:rPr>
                <w:rFonts w:hAnsi="宋体" w:cs="宋体"/>
                <w:color w:val="auto"/>
                <w:szCs w:val="24"/>
                <w:highlight w:val="none"/>
              </w:rPr>
            </w:pPr>
            <w:r>
              <w:rPr>
                <w:rFonts w:hint="eastAsia" w:hAnsi="宋体" w:cs="宋体"/>
                <w:color w:val="auto"/>
                <w:szCs w:val="24"/>
                <w:highlight w:val="none"/>
              </w:rPr>
              <w:t>2</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3.6</w:t>
            </w:r>
          </w:p>
        </w:tc>
        <w:tc>
          <w:tcPr>
            <w:tcW w:w="4146" w:type="pct"/>
            <w:noWrap w:val="0"/>
            <w:vAlign w:val="center"/>
          </w:tcPr>
          <w:p>
            <w:pPr>
              <w:rPr>
                <w:rFonts w:hAnsi="宋体" w:cs="宋体"/>
                <w:color w:val="auto"/>
                <w:szCs w:val="24"/>
                <w:highlight w:val="none"/>
              </w:rPr>
            </w:pPr>
            <w:r>
              <w:rPr>
                <w:rFonts w:hint="eastAsia" w:hAnsi="宋体" w:cs="宋体"/>
                <w:color w:val="auto"/>
                <w:szCs w:val="24"/>
                <w:highlight w:val="none"/>
              </w:rPr>
              <w:t>本项目</w:t>
            </w:r>
            <w:r>
              <w:rPr>
                <w:rFonts w:hint="eastAsia" w:hAnsi="宋体" w:cs="宋体"/>
                <w:color w:val="auto"/>
                <w:szCs w:val="24"/>
                <w:highlight w:val="none"/>
                <w:lang w:eastAsia="zh-CN"/>
              </w:rPr>
              <w:t>各包</w:t>
            </w:r>
            <w:r>
              <w:rPr>
                <w:rFonts w:hint="eastAsia" w:hAnsi="宋体" w:cs="宋体"/>
                <w:color w:val="auto"/>
                <w:szCs w:val="24"/>
                <w:highlight w:val="none"/>
              </w:rPr>
              <w:t>不接受联合体投标。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327" w:type="pct"/>
            <w:noWrap w:val="0"/>
            <w:vAlign w:val="center"/>
          </w:tcPr>
          <w:p>
            <w:pPr>
              <w:jc w:val="center"/>
              <w:rPr>
                <w:rFonts w:hint="eastAsia" w:hAnsi="宋体" w:eastAsia="宋体" w:cs="宋体"/>
                <w:color w:val="auto"/>
                <w:szCs w:val="24"/>
                <w:highlight w:val="none"/>
                <w:lang w:val="en-US" w:eastAsia="zh-CN"/>
              </w:rPr>
            </w:pPr>
            <w:r>
              <w:rPr>
                <w:rFonts w:hint="eastAsia" w:hAnsi="宋体" w:cs="宋体"/>
                <w:color w:val="auto"/>
                <w:szCs w:val="24"/>
                <w:highlight w:val="none"/>
                <w:lang w:val="en-US" w:eastAsia="zh-CN"/>
              </w:rPr>
              <w:t>3</w:t>
            </w:r>
          </w:p>
        </w:tc>
        <w:tc>
          <w:tcPr>
            <w:tcW w:w="526" w:type="pct"/>
            <w:noWrap w:val="0"/>
            <w:vAlign w:val="center"/>
          </w:tcPr>
          <w:p>
            <w:pPr>
              <w:spacing w:line="360" w:lineRule="auto"/>
              <w:jc w:val="center"/>
              <w:rPr>
                <w:rFonts w:hint="default" w:ascii="宋体" w:hAnsi="宋体" w:eastAsia="宋体" w:cs="Times New Roman"/>
                <w:color w:val="auto"/>
                <w:sz w:val="24"/>
                <w:szCs w:val="21"/>
                <w:highlight w:val="none"/>
                <w:lang w:val="en-US" w:eastAsia="zh-CN" w:bidi="ar-SA"/>
              </w:rPr>
            </w:pPr>
            <w:r>
              <w:rPr>
                <w:rFonts w:hint="eastAsia" w:hAnsi="宋体" w:cs="Times New Roman"/>
                <w:color w:val="auto"/>
                <w:sz w:val="24"/>
                <w:szCs w:val="21"/>
                <w:highlight w:val="none"/>
                <w:lang w:val="en-US" w:eastAsia="zh-CN" w:bidi="ar-SA"/>
              </w:rPr>
              <w:t>8.3</w:t>
            </w:r>
          </w:p>
        </w:tc>
        <w:tc>
          <w:tcPr>
            <w:tcW w:w="4146" w:type="pct"/>
            <w:noWrap w:val="0"/>
            <w:vAlign w:val="center"/>
          </w:tcPr>
          <w:p>
            <w:pPr>
              <w:spacing w:line="360" w:lineRule="auto"/>
              <w:rPr>
                <w:rFonts w:hint="eastAsia" w:ascii="宋体" w:hAnsi="宋体" w:eastAsia="宋体" w:cs="Times New Roman"/>
                <w:color w:val="auto"/>
                <w:sz w:val="24"/>
                <w:szCs w:val="21"/>
                <w:highlight w:val="none"/>
                <w:lang w:val="en-US" w:eastAsia="zh-CN" w:bidi="ar-SA"/>
              </w:rPr>
            </w:pPr>
            <w:r>
              <w:rPr>
                <w:rFonts w:hint="eastAsia" w:hAnsi="宋体"/>
                <w:color w:val="auto"/>
                <w:szCs w:val="21"/>
                <w:highlight w:val="none"/>
              </w:rPr>
              <w:t>采购代理机构答疑的时间</w:t>
            </w:r>
            <w:r>
              <w:rPr>
                <w:rFonts w:hint="eastAsia" w:hAnsi="宋体"/>
                <w:color w:val="auto"/>
                <w:szCs w:val="21"/>
                <w:highlight w:val="none"/>
                <w:lang w:eastAsia="zh-CN"/>
              </w:rPr>
              <w:t>：</w:t>
            </w:r>
            <w:r>
              <w:rPr>
                <w:rFonts w:hint="eastAsia" w:hAnsi="宋体"/>
                <w:color w:val="auto"/>
                <w:szCs w:val="21"/>
                <w:highlight w:val="none"/>
              </w:rPr>
              <w:t>对于供应商在规定时间内依法提出的询问，采购代理机构将在三个工作日内答复询问。</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18" w:hRule="atLeast"/>
          <w:jc w:val="center"/>
        </w:trPr>
        <w:tc>
          <w:tcPr>
            <w:tcW w:w="327" w:type="pct"/>
            <w:noWrap w:val="0"/>
            <w:vAlign w:val="center"/>
          </w:tcPr>
          <w:p>
            <w:pPr>
              <w:jc w:val="center"/>
              <w:rPr>
                <w:rFonts w:hAnsi="宋体" w:cs="宋体"/>
                <w:color w:val="auto"/>
                <w:szCs w:val="24"/>
                <w:highlight w:val="none"/>
              </w:rPr>
            </w:pPr>
            <w:r>
              <w:rPr>
                <w:rFonts w:hint="eastAsia" w:hAnsi="宋体" w:cs="宋体"/>
                <w:color w:val="auto"/>
                <w:szCs w:val="24"/>
                <w:highlight w:val="none"/>
              </w:rPr>
              <w:t>3</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9.2</w:t>
            </w:r>
          </w:p>
        </w:tc>
        <w:tc>
          <w:tcPr>
            <w:tcW w:w="4146" w:type="pct"/>
            <w:noWrap w:val="0"/>
            <w:vAlign w:val="center"/>
          </w:tcPr>
          <w:p>
            <w:pPr>
              <w:rPr>
                <w:rFonts w:hAnsi="宋体" w:cs="宋体"/>
                <w:color w:val="auto"/>
                <w:szCs w:val="24"/>
                <w:highlight w:val="none"/>
              </w:rPr>
            </w:pPr>
            <w:r>
              <w:rPr>
                <w:rFonts w:hint="eastAsia" w:hAnsi="宋体" w:cs="宋体"/>
                <w:color w:val="auto"/>
                <w:szCs w:val="24"/>
                <w:highlight w:val="none"/>
                <w:lang w:eastAsia="zh-CN"/>
              </w:rPr>
              <w:t>本项目各包</w:t>
            </w:r>
            <w:r>
              <w:rPr>
                <w:rFonts w:hint="eastAsia" w:hAnsi="宋体" w:cs="宋体"/>
                <w:color w:val="auto"/>
                <w:szCs w:val="24"/>
                <w:highlight w:val="none"/>
              </w:rPr>
              <w:t>不允许提供备选方案。</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3" w:hRule="atLeast"/>
          <w:jc w:val="center"/>
        </w:trPr>
        <w:tc>
          <w:tcPr>
            <w:tcW w:w="327" w:type="pct"/>
            <w:noWrap w:val="0"/>
            <w:vAlign w:val="center"/>
          </w:tcPr>
          <w:p>
            <w:pPr>
              <w:jc w:val="center"/>
              <w:rPr>
                <w:rFonts w:hAnsi="宋体" w:cs="宋体"/>
                <w:color w:val="auto"/>
                <w:szCs w:val="24"/>
                <w:highlight w:val="none"/>
              </w:rPr>
            </w:pPr>
            <w:r>
              <w:rPr>
                <w:rFonts w:hint="eastAsia" w:hAnsi="宋体" w:cs="宋体"/>
                <w:color w:val="auto"/>
                <w:szCs w:val="24"/>
                <w:highlight w:val="none"/>
              </w:rPr>
              <w:t>4</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9.3</w:t>
            </w:r>
          </w:p>
        </w:tc>
        <w:tc>
          <w:tcPr>
            <w:tcW w:w="4146" w:type="pct"/>
            <w:noWrap w:val="0"/>
            <w:vAlign w:val="center"/>
          </w:tcPr>
          <w:p>
            <w:pPr>
              <w:spacing w:line="360" w:lineRule="auto"/>
              <w:rPr>
                <w:rFonts w:hAnsi="宋体" w:cs="宋体"/>
                <w:color w:val="auto"/>
                <w:szCs w:val="24"/>
                <w:highlight w:val="none"/>
              </w:rPr>
            </w:pPr>
            <w:r>
              <w:rPr>
                <w:rFonts w:hint="eastAsia" w:hAnsi="宋体" w:cs="宋体"/>
                <w:color w:val="auto"/>
                <w:szCs w:val="24"/>
                <w:highlight w:val="none"/>
              </w:rPr>
              <w:t>供应商可根据自身的资质情况和经营范围进行投标，但不得将其子目自行分解或针对该项目中的品目进行不完全投标，任何不完全的投标将按无效投标处理。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8" w:hRule="atLeast"/>
          <w:jc w:val="center"/>
        </w:trPr>
        <w:tc>
          <w:tcPr>
            <w:tcW w:w="327" w:type="pct"/>
            <w:noWrap w:val="0"/>
            <w:vAlign w:val="center"/>
          </w:tcPr>
          <w:p>
            <w:pPr>
              <w:spacing w:after="166" w:afterLines="50"/>
              <w:jc w:val="center"/>
              <w:rPr>
                <w:rFonts w:hAnsi="宋体" w:cs="宋体"/>
                <w:color w:val="auto"/>
                <w:szCs w:val="24"/>
                <w:highlight w:val="none"/>
              </w:rPr>
            </w:pPr>
            <w:r>
              <w:rPr>
                <w:rFonts w:hint="eastAsia" w:hAnsi="宋体" w:cs="宋体"/>
                <w:color w:val="auto"/>
                <w:szCs w:val="24"/>
                <w:highlight w:val="none"/>
              </w:rPr>
              <w:t>5</w:t>
            </w:r>
          </w:p>
        </w:tc>
        <w:tc>
          <w:tcPr>
            <w:tcW w:w="526" w:type="pct"/>
            <w:noWrap w:val="0"/>
            <w:vAlign w:val="center"/>
          </w:tcPr>
          <w:p>
            <w:pPr>
              <w:spacing w:after="166" w:afterLines="50"/>
              <w:jc w:val="center"/>
              <w:rPr>
                <w:rFonts w:hAnsi="宋体" w:cs="宋体"/>
                <w:color w:val="auto"/>
                <w:szCs w:val="24"/>
                <w:highlight w:val="none"/>
              </w:rPr>
            </w:pPr>
            <w:r>
              <w:rPr>
                <w:rFonts w:hint="eastAsia" w:hAnsi="宋体" w:cs="宋体"/>
                <w:color w:val="auto"/>
                <w:szCs w:val="24"/>
                <w:highlight w:val="none"/>
              </w:rPr>
              <w:t>11.1</w:t>
            </w:r>
          </w:p>
        </w:tc>
        <w:tc>
          <w:tcPr>
            <w:tcW w:w="4146" w:type="pct"/>
            <w:noWrap w:val="0"/>
            <w:vAlign w:val="top"/>
          </w:tcPr>
          <w:p>
            <w:pPr>
              <w:spacing w:line="500" w:lineRule="exact"/>
              <w:rPr>
                <w:rFonts w:hAnsi="宋体" w:cs="宋体"/>
                <w:color w:val="auto"/>
                <w:szCs w:val="24"/>
                <w:highlight w:val="none"/>
              </w:rPr>
            </w:pPr>
            <w:r>
              <w:rPr>
                <w:rFonts w:hint="eastAsia" w:hAnsi="宋体" w:cs="宋体"/>
                <w:color w:val="auto"/>
                <w:szCs w:val="24"/>
                <w:highlight w:val="none"/>
              </w:rPr>
              <w:t>投标报价：</w:t>
            </w:r>
            <w:bookmarkStart w:id="30" w:name="OLE_LINK11"/>
            <w:r>
              <w:rPr>
                <w:rFonts w:hint="eastAsia" w:hAnsi="宋体" w:cs="宋体"/>
                <w:color w:val="auto"/>
                <w:szCs w:val="24"/>
                <w:highlight w:val="none"/>
              </w:rPr>
              <w:t>投标人应在投标报价表中标明完成本次招标所要求的所有服务且验收合格的全部费用，包括不限于产品费、仓储保管费、</w:t>
            </w:r>
            <w:r>
              <w:rPr>
                <w:rFonts w:hint="eastAsia" w:hAnsi="宋体" w:cs="宋体"/>
                <w:color w:val="auto"/>
                <w:szCs w:val="24"/>
                <w:highlight w:val="none"/>
                <w:lang w:eastAsia="zh-CN"/>
              </w:rPr>
              <w:t>运输装卸费、</w:t>
            </w:r>
            <w:r>
              <w:rPr>
                <w:rFonts w:hint="eastAsia" w:hAnsi="宋体" w:cs="宋体"/>
                <w:color w:val="auto"/>
                <w:szCs w:val="24"/>
                <w:highlight w:val="none"/>
              </w:rPr>
              <w:t>安装调试费、售后服务费、税金、招标代理服务费等其他一切相关费用。投标报价表中标明本次服务的所有单项价格和总价，任何有选择的报价将不予接受，否则按无效投标处理。</w:t>
            </w:r>
            <w:bookmarkEnd w:id="30"/>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jc w:val="center"/>
        </w:trPr>
        <w:tc>
          <w:tcPr>
            <w:tcW w:w="327" w:type="pct"/>
            <w:noWrap w:val="0"/>
            <w:vAlign w:val="center"/>
          </w:tcPr>
          <w:p>
            <w:pPr>
              <w:jc w:val="center"/>
              <w:rPr>
                <w:rFonts w:hAnsi="宋体" w:cs="宋体"/>
                <w:color w:val="auto"/>
                <w:szCs w:val="24"/>
                <w:highlight w:val="none"/>
              </w:rPr>
            </w:pPr>
            <w:r>
              <w:rPr>
                <w:rFonts w:hint="eastAsia" w:hAnsi="宋体" w:cs="宋体"/>
                <w:color w:val="auto"/>
                <w:szCs w:val="24"/>
                <w:highlight w:val="none"/>
              </w:rPr>
              <w:t>6</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12.1</w:t>
            </w:r>
          </w:p>
        </w:tc>
        <w:tc>
          <w:tcPr>
            <w:tcW w:w="4146" w:type="pct"/>
            <w:noWrap w:val="0"/>
            <w:vAlign w:val="top"/>
          </w:tcPr>
          <w:p>
            <w:pPr>
              <w:spacing w:line="500" w:lineRule="exact"/>
              <w:ind w:firstLine="240" w:firstLineChars="100"/>
              <w:rPr>
                <w:rFonts w:hAnsi="宋体" w:cs="宋体"/>
                <w:color w:val="auto"/>
                <w:szCs w:val="24"/>
                <w:highlight w:val="none"/>
              </w:rPr>
            </w:pPr>
            <w:r>
              <w:rPr>
                <w:rFonts w:hAnsi="宋体" w:cs="宋体"/>
                <w:color w:val="auto"/>
                <w:szCs w:val="24"/>
                <w:highlight w:val="none"/>
              </w:rPr>
              <w:t>1.</w:t>
            </w:r>
            <w:r>
              <w:rPr>
                <w:rFonts w:hint="eastAsia" w:hAnsi="宋体" w:cs="宋体"/>
                <w:color w:val="auto"/>
                <w:szCs w:val="24"/>
                <w:highlight w:val="none"/>
              </w:rPr>
              <w:t>基本资格条件：符合《中华人民共和国政府采购法》第二十二条的规定；</w:t>
            </w:r>
          </w:p>
          <w:p>
            <w:pPr>
              <w:spacing w:line="500" w:lineRule="exact"/>
              <w:ind w:firstLine="240" w:firstLineChars="100"/>
              <w:rPr>
                <w:rFonts w:hAnsi="宋体" w:cs="宋体"/>
                <w:color w:val="auto"/>
                <w:szCs w:val="24"/>
                <w:highlight w:val="none"/>
              </w:rPr>
            </w:pPr>
            <w:r>
              <w:rPr>
                <w:rFonts w:hAnsi="宋体" w:cs="宋体"/>
                <w:color w:val="auto"/>
                <w:szCs w:val="24"/>
                <w:highlight w:val="none"/>
              </w:rPr>
              <w:t>2.</w:t>
            </w:r>
            <w:r>
              <w:rPr>
                <w:rFonts w:hint="eastAsia" w:hAnsi="宋体" w:cs="宋体"/>
                <w:color w:val="auto"/>
                <w:szCs w:val="24"/>
                <w:highlight w:val="none"/>
              </w:rPr>
              <w:t>特定资格条件：</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（1）提供合格有效的法人或者其他组织的营业执照等证明文件，自然人的身份证明；</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（2）提供法定代表人授权书（附法定代表人、被授权人身份证复印件）及被授权人身份证原件（法定代表人直接参加投标，须提供法定代表人身份证明及身份证原件）；</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3）财务状况报告：提供2020或2021年度的财务审计报告（至少包括资产负债表和利润表，成立时间至提交投标响应文件截止时间不足一年的可提供成立后任意时段的资产负债表），或开标时间前六个月内银行出具的资信证明；</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（4）税收缴纳证明：提供投标截止日前近一年内任意一个月的纳税证明或完税证明（任意税种），依法免税的单位应提供相关证明材料；</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（6）供应商应通过“信用中国”网站(www.creditchina.gov.cn)、中国政府采购网(www.ccgp.gov.cn)查询相关主体信用记录；</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（7）参加政府采购活动前3年内，在经营活动中没有重大违法记录的书面声明；</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 xml:space="preserve">（8）提供具有履行本合同所必需的设备和专业技术能力的声明； </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（9）投标保证金缴纳凭证或担保机构出具的保函；</w:t>
            </w:r>
          </w:p>
          <w:p>
            <w:pPr>
              <w:pStyle w:val="2"/>
              <w:keepLines w:val="0"/>
              <w:pageBreakBefore w:val="0"/>
              <w:widowControl w:val="0"/>
              <w:kinsoku/>
              <w:wordWrap/>
              <w:overflowPunct/>
              <w:topLinePunct w:val="0"/>
              <w:autoSpaceDE/>
              <w:autoSpaceDN/>
              <w:bidi w:val="0"/>
              <w:adjustRightInd/>
              <w:snapToGrid/>
              <w:spacing w:line="360" w:lineRule="auto"/>
              <w:ind w:left="0" w:right="0" w:firstLine="420"/>
              <w:textAlignment w:val="auto"/>
              <w:rPr>
                <w:rFonts w:hint="eastAsia" w:ascii="宋体" w:hAnsi="宋体" w:eastAsia="宋体" w:cs="宋体"/>
                <w:color w:val="auto"/>
                <w:spacing w:val="-1"/>
                <w:sz w:val="24"/>
                <w:szCs w:val="24"/>
                <w:highlight w:val="none"/>
              </w:rPr>
            </w:pPr>
            <w:r>
              <w:rPr>
                <w:rFonts w:hint="eastAsia" w:ascii="宋体" w:hAnsi="宋体" w:eastAsia="宋体" w:cs="宋体"/>
                <w:color w:val="auto"/>
                <w:spacing w:val="-1"/>
                <w:sz w:val="24"/>
                <w:szCs w:val="24"/>
                <w:highlight w:val="none"/>
              </w:rPr>
              <w:t>（10）本项目不接受联合体投标。</w:t>
            </w:r>
          </w:p>
          <w:p>
            <w:pPr>
              <w:spacing w:line="520" w:lineRule="exact"/>
              <w:ind w:firstLine="480"/>
              <w:rPr>
                <w:rFonts w:hAnsi="宋体" w:cs="宋体"/>
                <w:color w:val="auto"/>
                <w:szCs w:val="24"/>
                <w:highlight w:val="none"/>
              </w:rPr>
            </w:pPr>
            <w:r>
              <w:rPr>
                <w:rFonts w:hint="eastAsia" w:hAnsi="宋体"/>
                <w:b/>
                <w:color w:val="auto"/>
                <w:highlight w:val="none"/>
              </w:rPr>
              <w:t>以上1-</w:t>
            </w:r>
            <w:r>
              <w:rPr>
                <w:rFonts w:hint="eastAsia" w:hAnsi="宋体"/>
                <w:b/>
                <w:color w:val="auto"/>
                <w:highlight w:val="none"/>
                <w:lang w:val="en-US" w:eastAsia="zh-CN"/>
              </w:rPr>
              <w:t>9</w:t>
            </w:r>
            <w:r>
              <w:rPr>
                <w:rFonts w:hint="eastAsia" w:hAnsi="宋体"/>
                <w:b/>
                <w:color w:val="auto"/>
                <w:highlight w:val="none"/>
              </w:rPr>
              <w:t>项为必备资质，缺一项或某项达不到要求，按无效投标处理。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42" w:hRule="atLeast"/>
          <w:jc w:val="center"/>
        </w:trPr>
        <w:tc>
          <w:tcPr>
            <w:tcW w:w="327" w:type="pct"/>
            <w:noWrap w:val="0"/>
            <w:vAlign w:val="center"/>
          </w:tcPr>
          <w:p>
            <w:pPr>
              <w:jc w:val="center"/>
              <w:rPr>
                <w:rFonts w:hint="eastAsia" w:hAnsi="宋体" w:eastAsia="宋体" w:cs="宋体"/>
                <w:color w:val="auto"/>
                <w:szCs w:val="24"/>
                <w:highlight w:val="none"/>
                <w:lang w:eastAsia="zh-CN"/>
              </w:rPr>
            </w:pPr>
            <w:r>
              <w:rPr>
                <w:rFonts w:hint="eastAsia" w:hAnsi="宋体" w:cs="宋体"/>
                <w:color w:val="auto"/>
                <w:szCs w:val="24"/>
                <w:highlight w:val="none"/>
                <w:lang w:val="en-US" w:eastAsia="zh-CN"/>
              </w:rPr>
              <w:t>7</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15.1</w:t>
            </w:r>
          </w:p>
        </w:tc>
        <w:tc>
          <w:tcPr>
            <w:tcW w:w="4146" w:type="pct"/>
            <w:noWrap w:val="0"/>
            <w:vAlign w:val="top"/>
          </w:tcPr>
          <w:p>
            <w:pPr>
              <w:spacing w:line="500" w:lineRule="exact"/>
              <w:rPr>
                <w:rFonts w:hAnsi="宋体" w:cs="宋体"/>
                <w:color w:val="auto"/>
                <w:szCs w:val="24"/>
                <w:highlight w:val="none"/>
              </w:rPr>
            </w:pPr>
            <w:r>
              <w:rPr>
                <w:rFonts w:hint="eastAsia" w:hAnsi="宋体" w:cs="宋体"/>
                <w:color w:val="auto"/>
                <w:szCs w:val="24"/>
                <w:highlight w:val="none"/>
              </w:rPr>
              <w:t>投标有效期：投标文件的截止之日起90天。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20" w:hRule="atLeast"/>
          <w:jc w:val="center"/>
        </w:trPr>
        <w:tc>
          <w:tcPr>
            <w:tcW w:w="327" w:type="pct"/>
            <w:noWrap w:val="0"/>
            <w:vAlign w:val="center"/>
          </w:tcPr>
          <w:p>
            <w:pPr>
              <w:spacing w:after="166" w:afterLines="50"/>
              <w:jc w:val="center"/>
              <w:rPr>
                <w:rFonts w:hint="eastAsia" w:hAnsi="宋体" w:eastAsia="宋体" w:cs="宋体"/>
                <w:color w:val="auto"/>
                <w:szCs w:val="24"/>
                <w:highlight w:val="none"/>
                <w:lang w:eastAsia="zh-CN"/>
              </w:rPr>
            </w:pPr>
            <w:r>
              <w:rPr>
                <w:rFonts w:hint="eastAsia" w:hAnsi="宋体" w:cs="宋体"/>
                <w:color w:val="auto"/>
                <w:szCs w:val="24"/>
                <w:highlight w:val="none"/>
                <w:lang w:val="en-US" w:eastAsia="zh-CN"/>
              </w:rPr>
              <w:t>8</w:t>
            </w:r>
          </w:p>
        </w:tc>
        <w:tc>
          <w:tcPr>
            <w:tcW w:w="526" w:type="pct"/>
            <w:noWrap w:val="0"/>
            <w:vAlign w:val="center"/>
          </w:tcPr>
          <w:p>
            <w:pPr>
              <w:spacing w:after="166" w:afterLines="50"/>
              <w:jc w:val="center"/>
              <w:rPr>
                <w:rFonts w:hAnsi="宋体" w:cs="宋体"/>
                <w:color w:val="auto"/>
                <w:szCs w:val="24"/>
                <w:highlight w:val="none"/>
              </w:rPr>
            </w:pPr>
            <w:r>
              <w:rPr>
                <w:rFonts w:hint="eastAsia" w:hAnsi="宋体" w:cs="宋体"/>
                <w:color w:val="auto"/>
                <w:szCs w:val="24"/>
                <w:highlight w:val="none"/>
              </w:rPr>
              <w:t>16.1</w:t>
            </w:r>
          </w:p>
        </w:tc>
        <w:tc>
          <w:tcPr>
            <w:tcW w:w="4146" w:type="pct"/>
            <w:noWrap w:val="0"/>
            <w:vAlign w:val="center"/>
          </w:tcPr>
          <w:p>
            <w:pPr>
              <w:spacing w:line="360" w:lineRule="auto"/>
              <w:rPr>
                <w:rFonts w:hAnsi="宋体" w:cs="宋体"/>
                <w:color w:val="auto"/>
                <w:szCs w:val="24"/>
                <w:highlight w:val="none"/>
              </w:rPr>
            </w:pPr>
            <w:r>
              <w:rPr>
                <w:rFonts w:hint="eastAsia" w:hAnsi="宋体" w:cs="宋体"/>
                <w:color w:val="auto"/>
                <w:szCs w:val="24"/>
                <w:highlight w:val="none"/>
              </w:rPr>
              <w:t>正本的份数：壹份；副本的份数：叁份；开标一览表</w:t>
            </w:r>
            <w:r>
              <w:rPr>
                <w:rFonts w:hint="eastAsia" w:hAnsi="宋体" w:cs="宋体"/>
                <w:color w:val="auto"/>
                <w:szCs w:val="24"/>
                <w:highlight w:val="none"/>
                <w:lang w:eastAsia="zh-CN"/>
              </w:rPr>
              <w:t>：</w:t>
            </w:r>
            <w:r>
              <w:rPr>
                <w:rFonts w:hint="eastAsia" w:hAnsi="宋体" w:cs="宋体"/>
                <w:color w:val="auto"/>
                <w:szCs w:val="24"/>
                <w:highlight w:val="none"/>
              </w:rPr>
              <w:t>壹份；电子版（U盘）：壹份（需在盘面上标注供应商全称、项目名称、</w:t>
            </w:r>
            <w:r>
              <w:rPr>
                <w:rFonts w:hint="eastAsia" w:hAnsi="宋体" w:cs="宋体"/>
                <w:color w:val="auto"/>
                <w:szCs w:val="24"/>
                <w:highlight w:val="none"/>
                <w:lang w:eastAsia="zh-CN"/>
              </w:rPr>
              <w:t>编号</w:t>
            </w:r>
            <w:r>
              <w:rPr>
                <w:rFonts w:hint="eastAsia" w:hAnsi="宋体" w:cs="宋体"/>
                <w:color w:val="auto"/>
                <w:szCs w:val="24"/>
                <w:highlight w:val="none"/>
              </w:rPr>
              <w:t>）。</w:t>
            </w:r>
          </w:p>
          <w:p>
            <w:pPr>
              <w:spacing w:line="360" w:lineRule="auto"/>
              <w:rPr>
                <w:rFonts w:hAnsi="宋体" w:cs="宋体"/>
                <w:color w:val="auto"/>
                <w:szCs w:val="24"/>
                <w:highlight w:val="none"/>
              </w:rPr>
            </w:pPr>
            <w:r>
              <w:rPr>
                <w:rFonts w:hint="eastAsia" w:hAnsi="宋体" w:cs="宋体"/>
                <w:b/>
                <w:bCs/>
                <w:color w:val="auto"/>
                <w:szCs w:val="24"/>
                <w:highlight w:val="none"/>
              </w:rPr>
              <w:t>电子版为正本签字盖章后的PDF格式扫描件，与正本具有同等法律效力。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8" w:hRule="atLeast"/>
          <w:jc w:val="center"/>
        </w:trPr>
        <w:tc>
          <w:tcPr>
            <w:tcW w:w="327" w:type="pct"/>
            <w:noWrap w:val="0"/>
            <w:vAlign w:val="center"/>
          </w:tcPr>
          <w:p>
            <w:pPr>
              <w:spacing w:after="166" w:afterLines="50"/>
              <w:jc w:val="center"/>
              <w:rPr>
                <w:rFonts w:hint="eastAsia" w:hAnsi="宋体" w:eastAsia="宋体" w:cs="宋体"/>
                <w:color w:val="auto"/>
                <w:szCs w:val="24"/>
                <w:highlight w:val="none"/>
                <w:lang w:eastAsia="zh-CN"/>
              </w:rPr>
            </w:pPr>
            <w:r>
              <w:rPr>
                <w:rFonts w:hint="eastAsia" w:hAnsi="宋体" w:cs="宋体"/>
                <w:color w:val="auto"/>
                <w:szCs w:val="24"/>
                <w:highlight w:val="none"/>
                <w:lang w:val="en-US" w:eastAsia="zh-CN"/>
              </w:rPr>
              <w:t>9</w:t>
            </w:r>
          </w:p>
        </w:tc>
        <w:tc>
          <w:tcPr>
            <w:tcW w:w="526" w:type="pct"/>
            <w:noWrap w:val="0"/>
            <w:vAlign w:val="center"/>
          </w:tcPr>
          <w:p>
            <w:pPr>
              <w:spacing w:after="166" w:afterLines="50"/>
              <w:jc w:val="center"/>
              <w:rPr>
                <w:rFonts w:hAnsi="宋体" w:cs="宋体"/>
                <w:color w:val="auto"/>
                <w:szCs w:val="24"/>
                <w:highlight w:val="none"/>
              </w:rPr>
            </w:pPr>
            <w:r>
              <w:rPr>
                <w:rFonts w:hint="eastAsia" w:hAnsi="宋体" w:cs="宋体"/>
                <w:color w:val="auto"/>
                <w:szCs w:val="24"/>
                <w:highlight w:val="none"/>
              </w:rPr>
              <w:t>17.2</w:t>
            </w:r>
          </w:p>
        </w:tc>
        <w:tc>
          <w:tcPr>
            <w:tcW w:w="4146" w:type="pct"/>
            <w:noWrap w:val="0"/>
            <w:vAlign w:val="center"/>
          </w:tcPr>
          <w:p>
            <w:pPr>
              <w:spacing w:line="360" w:lineRule="auto"/>
              <w:rPr>
                <w:rFonts w:hint="eastAsia" w:hAnsi="宋体" w:cs="宋体"/>
                <w:color w:val="auto"/>
                <w:szCs w:val="24"/>
                <w:highlight w:val="none"/>
              </w:rPr>
            </w:pPr>
            <w:r>
              <w:rPr>
                <w:rFonts w:hint="eastAsia" w:hAnsi="宋体" w:cs="宋体"/>
                <w:color w:val="auto"/>
                <w:szCs w:val="24"/>
                <w:highlight w:val="none"/>
              </w:rPr>
              <w:t>投标文件正本、所有的副本、电子版本、开标一览表需分开密封装在单独的封袋中（封袋不得有破损），且在封袋正面标明“正本”“副本”“电子版本”“开标一览表”字样。封袋应加贴封条，并在封线处加盖供应商公章，封袋正面要粘贴供应商全称、项目名称、</w:t>
            </w:r>
            <w:r>
              <w:rPr>
                <w:rFonts w:hint="eastAsia" w:hAnsi="宋体" w:cs="宋体"/>
                <w:color w:val="auto"/>
                <w:szCs w:val="24"/>
                <w:highlight w:val="none"/>
                <w:lang w:eastAsia="zh-CN"/>
              </w:rPr>
              <w:t>编号</w:t>
            </w:r>
            <w:r>
              <w:rPr>
                <w:rFonts w:hint="eastAsia" w:hAnsi="宋体" w:cs="宋体"/>
                <w:color w:val="auto"/>
                <w:szCs w:val="24"/>
                <w:highlight w:val="none"/>
              </w:rPr>
              <w:t>等标识。</w:t>
            </w:r>
          </w:p>
          <w:p>
            <w:pPr>
              <w:spacing w:line="360" w:lineRule="auto"/>
              <w:rPr>
                <w:rFonts w:hAnsi="宋体"/>
                <w:color w:val="auto"/>
                <w:szCs w:val="24"/>
                <w:highlight w:val="none"/>
              </w:rPr>
            </w:pPr>
            <w:r>
              <w:rPr>
                <w:rFonts w:hAnsi="宋体"/>
                <w:color w:val="auto"/>
                <w:szCs w:val="24"/>
                <w:highlight w:val="none"/>
              </w:rPr>
              <w:t>外层包装请按以下要求标记：</w:t>
            </w:r>
          </w:p>
          <w:p>
            <w:pPr>
              <w:spacing w:line="360" w:lineRule="auto"/>
              <w:ind w:firstLine="480" w:firstLineChars="200"/>
              <w:rPr>
                <w:rFonts w:hAnsi="宋体"/>
                <w:color w:val="auto"/>
                <w:szCs w:val="24"/>
                <w:highlight w:val="none"/>
              </w:rPr>
            </w:pPr>
            <w:r>
              <w:rPr>
                <w:rFonts w:hAnsi="宋体"/>
                <w:color w:val="auto"/>
                <w:szCs w:val="24"/>
                <w:highlight w:val="none"/>
              </w:rPr>
              <w:t xml:space="preserve">1) </w:t>
            </w:r>
            <w:r>
              <w:rPr>
                <w:rFonts w:hint="eastAsia" w:hAnsi="宋体"/>
                <w:color w:val="auto"/>
                <w:szCs w:val="24"/>
                <w:highlight w:val="none"/>
              </w:rPr>
              <w:t>投标人</w:t>
            </w:r>
            <w:r>
              <w:rPr>
                <w:rFonts w:hAnsi="宋体"/>
                <w:color w:val="auto"/>
                <w:szCs w:val="24"/>
                <w:highlight w:val="none"/>
              </w:rPr>
              <w:t>全称</w:t>
            </w:r>
            <w:r>
              <w:rPr>
                <w:rFonts w:hint="eastAsia" w:hAnsi="宋体"/>
                <w:color w:val="auto"/>
                <w:szCs w:val="24"/>
                <w:highlight w:val="none"/>
              </w:rPr>
              <w:t>（加盖公章）</w:t>
            </w:r>
            <w:r>
              <w:rPr>
                <w:rFonts w:hAnsi="宋体"/>
                <w:color w:val="auto"/>
                <w:szCs w:val="24"/>
                <w:highlight w:val="none"/>
              </w:rPr>
              <w:t>；</w:t>
            </w:r>
          </w:p>
          <w:p>
            <w:pPr>
              <w:spacing w:line="360" w:lineRule="auto"/>
              <w:ind w:firstLine="480" w:firstLineChars="200"/>
              <w:rPr>
                <w:rFonts w:hAnsi="宋体"/>
                <w:color w:val="auto"/>
                <w:szCs w:val="24"/>
                <w:highlight w:val="none"/>
              </w:rPr>
            </w:pPr>
            <w:r>
              <w:rPr>
                <w:rFonts w:hAnsi="宋体"/>
                <w:color w:val="auto"/>
                <w:szCs w:val="24"/>
                <w:highlight w:val="none"/>
              </w:rPr>
              <w:t xml:space="preserve">2) </w:t>
            </w:r>
            <w:r>
              <w:rPr>
                <w:rFonts w:hint="eastAsia" w:hAnsi="宋体"/>
                <w:color w:val="auto"/>
                <w:szCs w:val="24"/>
                <w:highlight w:val="none"/>
              </w:rPr>
              <w:t>项目</w:t>
            </w:r>
            <w:r>
              <w:rPr>
                <w:rFonts w:hAnsi="宋体"/>
                <w:color w:val="auto"/>
                <w:szCs w:val="24"/>
                <w:highlight w:val="none"/>
              </w:rPr>
              <w:t>名称、项目</w:t>
            </w:r>
            <w:r>
              <w:rPr>
                <w:rFonts w:hint="eastAsia" w:hAnsi="宋体"/>
                <w:color w:val="auto"/>
                <w:szCs w:val="24"/>
                <w:highlight w:val="none"/>
                <w:lang w:eastAsia="zh-CN"/>
              </w:rPr>
              <w:t>编号</w:t>
            </w:r>
            <w:r>
              <w:rPr>
                <w:rFonts w:hint="eastAsia" w:hAnsi="宋体"/>
                <w:color w:val="auto"/>
                <w:szCs w:val="24"/>
                <w:highlight w:val="none"/>
              </w:rPr>
              <w:t>；</w:t>
            </w:r>
          </w:p>
          <w:p>
            <w:pPr>
              <w:spacing w:line="360" w:lineRule="auto"/>
              <w:ind w:left="240" w:leftChars="100" w:firstLine="240" w:firstLineChars="100"/>
              <w:rPr>
                <w:rFonts w:hAnsi="宋体" w:cs="宋体"/>
                <w:color w:val="auto"/>
                <w:szCs w:val="24"/>
                <w:highlight w:val="none"/>
              </w:rPr>
            </w:pPr>
            <w:r>
              <w:rPr>
                <w:rFonts w:hAnsi="宋体"/>
                <w:color w:val="auto"/>
                <w:szCs w:val="24"/>
                <w:highlight w:val="none"/>
              </w:rPr>
              <w:t>3）正本</w:t>
            </w:r>
            <w:r>
              <w:rPr>
                <w:rFonts w:hint="eastAsia" w:hAnsi="宋体"/>
                <w:color w:val="auto"/>
                <w:szCs w:val="24"/>
                <w:highlight w:val="none"/>
              </w:rPr>
              <w:t>、</w:t>
            </w:r>
            <w:r>
              <w:rPr>
                <w:rFonts w:hAnsi="宋体"/>
                <w:color w:val="auto"/>
                <w:szCs w:val="24"/>
                <w:highlight w:val="none"/>
              </w:rPr>
              <w:t>副本</w:t>
            </w:r>
            <w:r>
              <w:rPr>
                <w:rFonts w:hint="eastAsia" w:hAnsi="宋体"/>
                <w:color w:val="auto"/>
                <w:szCs w:val="24"/>
                <w:highlight w:val="none"/>
              </w:rPr>
              <w:t>、电子版、报价一览表</w:t>
            </w:r>
            <w:r>
              <w:rPr>
                <w:rFonts w:hAnsi="宋体"/>
                <w:color w:val="auto"/>
                <w:szCs w:val="24"/>
                <w:highlight w:val="none"/>
              </w:rPr>
              <w:t>“请勿在</w:t>
            </w:r>
            <w:r>
              <w:rPr>
                <w:rFonts w:hint="eastAsia" w:hAnsi="宋体"/>
                <w:color w:val="auto"/>
                <w:szCs w:val="24"/>
                <w:highlight w:val="none"/>
                <w:u w:val="none"/>
                <w:lang w:val="en-US" w:eastAsia="zh-CN"/>
              </w:rPr>
              <w:t>2022-10-21  15:00:00（开标时间）</w:t>
            </w:r>
            <w:r>
              <w:rPr>
                <w:rFonts w:hAnsi="宋体"/>
                <w:color w:val="auto"/>
                <w:szCs w:val="24"/>
                <w:highlight w:val="none"/>
              </w:rPr>
              <w:t>之前启封”。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25" w:hRule="atLeast"/>
          <w:jc w:val="center"/>
        </w:trPr>
        <w:tc>
          <w:tcPr>
            <w:tcW w:w="327" w:type="pct"/>
            <w:noWrap w:val="0"/>
            <w:vAlign w:val="center"/>
          </w:tcPr>
          <w:p>
            <w:pPr>
              <w:spacing w:after="166" w:afterLines="50"/>
              <w:jc w:val="center"/>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10</w:t>
            </w:r>
          </w:p>
        </w:tc>
        <w:tc>
          <w:tcPr>
            <w:tcW w:w="526" w:type="pct"/>
            <w:noWrap w:val="0"/>
            <w:vAlign w:val="center"/>
          </w:tcPr>
          <w:p>
            <w:pPr>
              <w:spacing w:after="166" w:afterLines="50"/>
              <w:jc w:val="center"/>
              <w:rPr>
                <w:rFonts w:hAnsi="宋体" w:cs="宋体"/>
                <w:color w:val="auto"/>
                <w:szCs w:val="24"/>
                <w:highlight w:val="none"/>
              </w:rPr>
            </w:pPr>
            <w:r>
              <w:rPr>
                <w:rFonts w:hint="eastAsia" w:hAnsi="宋体" w:cs="宋体"/>
                <w:color w:val="auto"/>
                <w:szCs w:val="24"/>
                <w:highlight w:val="none"/>
              </w:rPr>
              <w:t>18.1</w:t>
            </w:r>
          </w:p>
        </w:tc>
        <w:tc>
          <w:tcPr>
            <w:tcW w:w="4146" w:type="pct"/>
            <w:noWrap w:val="0"/>
            <w:vAlign w:val="top"/>
          </w:tcPr>
          <w:p>
            <w:pPr>
              <w:spacing w:line="360" w:lineRule="auto"/>
              <w:rPr>
                <w:rFonts w:cs="宋体"/>
                <w:color w:val="auto"/>
                <w:highlight w:val="none"/>
              </w:rPr>
            </w:pPr>
            <w:r>
              <w:rPr>
                <w:rFonts w:hint="eastAsia" w:cs="宋体"/>
                <w:color w:val="auto"/>
                <w:highlight w:val="none"/>
              </w:rPr>
              <w:t>投标文件递交截止时间</w:t>
            </w:r>
            <w:bookmarkStart w:id="31" w:name="OLE_LINK12"/>
            <w:r>
              <w:rPr>
                <w:rFonts w:hint="eastAsia" w:cs="宋体"/>
                <w:color w:val="auto"/>
                <w:highlight w:val="none"/>
              </w:rPr>
              <w:t>：</w:t>
            </w:r>
            <w:bookmarkEnd w:id="31"/>
            <w:r>
              <w:rPr>
                <w:rFonts w:hint="eastAsia" w:hAnsi="宋体"/>
                <w:color w:val="auto"/>
                <w:szCs w:val="24"/>
                <w:highlight w:val="none"/>
                <w:u w:val="none"/>
                <w:lang w:val="en-US" w:eastAsia="zh-CN"/>
              </w:rPr>
              <w:t>2022-10-21  15:00:00</w:t>
            </w:r>
            <w:r>
              <w:rPr>
                <w:rFonts w:hint="eastAsia" w:cs="宋体"/>
                <w:color w:val="auto"/>
                <w:highlight w:val="none"/>
              </w:rPr>
              <w:t>（北京时间)。</w:t>
            </w:r>
          </w:p>
          <w:p>
            <w:pPr>
              <w:spacing w:line="360" w:lineRule="auto"/>
              <w:rPr>
                <w:rFonts w:hAnsi="宋体" w:cs="宋体"/>
                <w:color w:val="auto"/>
                <w:szCs w:val="24"/>
                <w:highlight w:val="none"/>
              </w:rPr>
            </w:pPr>
            <w:r>
              <w:rPr>
                <w:rFonts w:hint="eastAsia" w:hAnsi="宋体" w:cs="宋体"/>
                <w:color w:val="auto"/>
                <w:szCs w:val="24"/>
                <w:highlight w:val="none"/>
              </w:rPr>
              <w:t>投标文件递交地址：</w:t>
            </w:r>
            <w:r>
              <w:rPr>
                <w:rFonts w:hint="eastAsia" w:hAnsi="宋体" w:cs="宋体"/>
                <w:color w:val="auto"/>
                <w:szCs w:val="24"/>
                <w:highlight w:val="none"/>
                <w:lang w:eastAsia="zh-CN"/>
              </w:rPr>
              <w:t>陕西省西安市未央区未央路171-1号银池道拉斯财富中心21楼</w:t>
            </w:r>
            <w:r>
              <w:rPr>
                <w:rFonts w:hint="eastAsia" w:hAnsi="宋体" w:cs="宋体"/>
                <w:color w:val="auto"/>
                <w:szCs w:val="24"/>
                <w:highlight w:val="none"/>
              </w:rPr>
              <w:t>。</w:t>
            </w:r>
          </w:p>
          <w:p>
            <w:pPr>
              <w:spacing w:line="360" w:lineRule="auto"/>
              <w:rPr>
                <w:rFonts w:hAnsi="宋体" w:cs="宋体"/>
                <w:color w:val="auto"/>
                <w:szCs w:val="24"/>
                <w:highlight w:val="none"/>
              </w:rPr>
            </w:pPr>
            <w:r>
              <w:rPr>
                <w:rFonts w:hint="eastAsia" w:hAnsi="宋体" w:cs="宋体"/>
                <w:color w:val="auto"/>
                <w:szCs w:val="24"/>
                <w:highlight w:val="none"/>
              </w:rPr>
              <w:t>投标文件接收人：陕西至诚招标咨询有限公司。</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35" w:hRule="atLeast"/>
          <w:jc w:val="center"/>
        </w:trPr>
        <w:tc>
          <w:tcPr>
            <w:tcW w:w="327" w:type="pct"/>
            <w:noWrap w:val="0"/>
            <w:vAlign w:val="center"/>
          </w:tcPr>
          <w:p>
            <w:pPr>
              <w:spacing w:after="166" w:afterLines="50"/>
              <w:jc w:val="center"/>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11</w:t>
            </w:r>
          </w:p>
        </w:tc>
        <w:tc>
          <w:tcPr>
            <w:tcW w:w="526" w:type="pct"/>
            <w:noWrap w:val="0"/>
            <w:vAlign w:val="center"/>
          </w:tcPr>
          <w:p>
            <w:pPr>
              <w:spacing w:after="166" w:afterLines="50"/>
              <w:jc w:val="center"/>
              <w:rPr>
                <w:rFonts w:hAnsi="宋体" w:cs="宋体"/>
                <w:color w:val="auto"/>
                <w:szCs w:val="24"/>
                <w:highlight w:val="none"/>
              </w:rPr>
            </w:pPr>
            <w:r>
              <w:rPr>
                <w:rFonts w:hint="eastAsia" w:hAnsi="宋体" w:cs="宋体"/>
                <w:color w:val="auto"/>
                <w:szCs w:val="24"/>
                <w:highlight w:val="none"/>
              </w:rPr>
              <w:t>21.1</w:t>
            </w:r>
          </w:p>
        </w:tc>
        <w:tc>
          <w:tcPr>
            <w:tcW w:w="4146" w:type="pct"/>
            <w:noWrap w:val="0"/>
            <w:vAlign w:val="top"/>
          </w:tcPr>
          <w:p>
            <w:pPr>
              <w:spacing w:line="360" w:lineRule="auto"/>
              <w:rPr>
                <w:rFonts w:hAnsi="宋体" w:cs="宋体"/>
                <w:color w:val="auto"/>
                <w:szCs w:val="24"/>
                <w:highlight w:val="none"/>
              </w:rPr>
            </w:pPr>
            <w:r>
              <w:rPr>
                <w:rFonts w:hint="eastAsia" w:hAnsi="宋体" w:cs="宋体"/>
                <w:color w:val="auto"/>
                <w:szCs w:val="24"/>
                <w:highlight w:val="none"/>
              </w:rPr>
              <w:t>开标时间：</w:t>
            </w:r>
            <w:r>
              <w:rPr>
                <w:rFonts w:hint="eastAsia" w:hAnsi="宋体"/>
                <w:color w:val="auto"/>
                <w:szCs w:val="24"/>
                <w:highlight w:val="none"/>
                <w:u w:val="none"/>
                <w:lang w:val="en-US" w:eastAsia="zh-CN"/>
              </w:rPr>
              <w:t>2022-10-21  15:00:00</w:t>
            </w:r>
            <w:r>
              <w:rPr>
                <w:rFonts w:hint="eastAsia" w:hAnsi="宋体" w:cs="宋体"/>
                <w:color w:val="auto"/>
                <w:szCs w:val="24"/>
                <w:highlight w:val="none"/>
              </w:rPr>
              <w:t>(北京时间)。</w:t>
            </w:r>
          </w:p>
          <w:p>
            <w:pPr>
              <w:spacing w:line="360" w:lineRule="auto"/>
              <w:rPr>
                <w:rFonts w:hAnsi="宋体" w:cs="宋体"/>
                <w:color w:val="auto"/>
                <w:szCs w:val="24"/>
                <w:highlight w:val="none"/>
              </w:rPr>
            </w:pPr>
            <w:r>
              <w:rPr>
                <w:rFonts w:hint="eastAsia" w:hAnsi="宋体" w:cs="宋体"/>
                <w:color w:val="auto"/>
                <w:szCs w:val="24"/>
                <w:highlight w:val="none"/>
              </w:rPr>
              <w:t>开标地点：</w:t>
            </w:r>
            <w:r>
              <w:rPr>
                <w:rFonts w:hint="eastAsia" w:hAnsi="宋体" w:cs="宋体"/>
                <w:color w:val="auto"/>
                <w:szCs w:val="24"/>
                <w:highlight w:val="none"/>
                <w:lang w:eastAsia="zh-CN"/>
              </w:rPr>
              <w:t>陕西省西安市未央区未央路171-1号银池道拉斯财富中心21楼</w:t>
            </w:r>
            <w:r>
              <w:rPr>
                <w:rFonts w:hint="eastAsia" w:hAnsi="宋体" w:cs="宋体"/>
                <w:color w:val="auto"/>
                <w:szCs w:val="24"/>
                <w:highlight w:val="none"/>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30" w:hRule="atLeast"/>
          <w:jc w:val="center"/>
        </w:trPr>
        <w:tc>
          <w:tcPr>
            <w:tcW w:w="327" w:type="pct"/>
            <w:noWrap w:val="0"/>
            <w:vAlign w:val="center"/>
          </w:tcPr>
          <w:p>
            <w:pPr>
              <w:jc w:val="center"/>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12</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24.1</w:t>
            </w:r>
          </w:p>
        </w:tc>
        <w:tc>
          <w:tcPr>
            <w:tcW w:w="4146" w:type="pct"/>
            <w:noWrap w:val="0"/>
            <w:vAlign w:val="center"/>
          </w:tcPr>
          <w:p>
            <w:pPr>
              <w:jc w:val="left"/>
              <w:rPr>
                <w:rFonts w:hAnsi="宋体" w:cs="宋体"/>
                <w:b/>
                <w:bCs/>
                <w:color w:val="auto"/>
                <w:szCs w:val="24"/>
                <w:highlight w:val="none"/>
              </w:rPr>
            </w:pPr>
            <w:r>
              <w:rPr>
                <w:rFonts w:hint="eastAsia" w:hAnsi="宋体" w:cs="宋体"/>
                <w:b/>
                <w:bCs/>
                <w:color w:val="auto"/>
                <w:szCs w:val="24"/>
                <w:highlight w:val="none"/>
              </w:rPr>
              <w:t>评标方法：综合评分法（详见第五章）。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174" w:hRule="atLeast"/>
          <w:jc w:val="center"/>
        </w:trPr>
        <w:tc>
          <w:tcPr>
            <w:tcW w:w="327" w:type="pct"/>
            <w:noWrap w:val="0"/>
            <w:vAlign w:val="center"/>
          </w:tcPr>
          <w:p>
            <w:pPr>
              <w:jc w:val="center"/>
              <w:rPr>
                <w:rFonts w:hint="default" w:hAnsi="宋体" w:eastAsia="宋体" w:cs="宋体"/>
                <w:color w:val="auto"/>
                <w:szCs w:val="24"/>
                <w:highlight w:val="none"/>
                <w:lang w:val="en-US" w:eastAsia="zh-CN"/>
              </w:rPr>
            </w:pPr>
            <w:r>
              <w:rPr>
                <w:rFonts w:hint="eastAsia" w:hAnsi="宋体" w:cs="宋体"/>
                <w:color w:val="auto"/>
                <w:szCs w:val="24"/>
                <w:highlight w:val="none"/>
                <w:lang w:val="en-US" w:eastAsia="zh-CN"/>
              </w:rPr>
              <w:t>13</w:t>
            </w:r>
          </w:p>
        </w:tc>
        <w:tc>
          <w:tcPr>
            <w:tcW w:w="526" w:type="pct"/>
            <w:noWrap w:val="0"/>
            <w:vAlign w:val="center"/>
          </w:tcPr>
          <w:p>
            <w:pPr>
              <w:jc w:val="center"/>
              <w:rPr>
                <w:rFonts w:hAnsi="宋体" w:cs="宋体"/>
                <w:color w:val="auto"/>
                <w:szCs w:val="24"/>
                <w:highlight w:val="none"/>
              </w:rPr>
            </w:pPr>
            <w:r>
              <w:rPr>
                <w:rFonts w:hint="eastAsia" w:hAnsi="宋体" w:cs="宋体"/>
                <w:color w:val="auto"/>
                <w:szCs w:val="24"/>
                <w:highlight w:val="none"/>
              </w:rPr>
              <w:t>29</w:t>
            </w:r>
          </w:p>
        </w:tc>
        <w:tc>
          <w:tcPr>
            <w:tcW w:w="4146" w:type="pct"/>
            <w:noWrap w:val="0"/>
            <w:vAlign w:val="center"/>
          </w:tcPr>
          <w:p>
            <w:pPr>
              <w:spacing w:line="520" w:lineRule="exact"/>
              <w:rPr>
                <w:rFonts w:hAnsi="宋体" w:cs="宋体"/>
                <w:color w:val="auto"/>
                <w:szCs w:val="24"/>
                <w:highlight w:val="none"/>
              </w:rPr>
            </w:pPr>
            <w:r>
              <w:rPr>
                <w:rFonts w:hint="eastAsia" w:hAnsi="宋体" w:cs="宋体"/>
                <w:color w:val="auto"/>
                <w:szCs w:val="24"/>
                <w:highlight w:val="none"/>
              </w:rPr>
              <w:t xml:space="preserve">招标代理服务费： </w:t>
            </w:r>
          </w:p>
          <w:p>
            <w:pPr>
              <w:spacing w:line="500" w:lineRule="exact"/>
              <w:ind w:firstLine="480" w:firstLineChars="200"/>
              <w:rPr>
                <w:rFonts w:hAnsi="宋体" w:cs="宋体"/>
                <w:color w:val="auto"/>
                <w:szCs w:val="22"/>
                <w:highlight w:val="none"/>
              </w:rPr>
            </w:pPr>
            <w:r>
              <w:rPr>
                <w:rFonts w:hint="eastAsia" w:hAnsi="宋体" w:cs="宋体"/>
                <w:color w:val="auto"/>
                <w:szCs w:val="22"/>
                <w:highlight w:val="none"/>
              </w:rPr>
              <w:t>29.1 招标代理服务费的计算方法：以中标金额为基数，依据国家计委颁布《招标代理服务收费管理暂行办法》（计价格[2002]1980号）文件的有关规定执行。</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29</w:t>
            </w:r>
            <w:r>
              <w:rPr>
                <w:rFonts w:hint="eastAsia" w:hAnsi="宋体" w:cs="宋体"/>
                <w:color w:val="auto"/>
                <w:highlight w:val="none"/>
              </w:rPr>
              <w:t xml:space="preserve">.2 </w:t>
            </w:r>
            <w:r>
              <w:rPr>
                <w:rFonts w:hint="eastAsia" w:hAnsi="宋体" w:cs="宋体"/>
                <w:color w:val="auto"/>
                <w:szCs w:val="24"/>
                <w:highlight w:val="none"/>
              </w:rPr>
              <w:t>中标单位在领取中标通知书前，须向采购代理机构一次性支付招标代理服务费。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27" w:type="pct"/>
            <w:noWrap w:val="0"/>
            <w:vAlign w:val="center"/>
          </w:tcPr>
          <w:p>
            <w:pPr>
              <w:jc w:val="center"/>
              <w:rPr>
                <w:rFonts w:hint="eastAsia" w:ascii="宋体" w:hAnsi="宋体" w:eastAsia="宋体" w:cs="宋体"/>
                <w:color w:val="auto"/>
                <w:sz w:val="24"/>
                <w:szCs w:val="24"/>
                <w:highlight w:val="none"/>
                <w:lang w:val="en-US" w:eastAsia="zh-CN" w:bidi="ar-SA"/>
              </w:rPr>
            </w:pPr>
            <w:r>
              <w:rPr>
                <w:rFonts w:hint="eastAsia" w:hAnsi="宋体" w:cs="宋体"/>
                <w:color w:val="auto"/>
                <w:szCs w:val="24"/>
                <w:highlight w:val="none"/>
                <w:lang w:val="en-US" w:eastAsia="zh-CN"/>
              </w:rPr>
              <w:t>14</w:t>
            </w:r>
          </w:p>
        </w:tc>
        <w:tc>
          <w:tcPr>
            <w:tcW w:w="526" w:type="pct"/>
            <w:noWrap w:val="0"/>
            <w:vAlign w:val="center"/>
          </w:tcPr>
          <w:p>
            <w:pPr>
              <w:jc w:val="center"/>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rPr>
              <w:t>投标保证金</w:t>
            </w:r>
          </w:p>
        </w:tc>
        <w:tc>
          <w:tcPr>
            <w:tcW w:w="4146" w:type="pct"/>
            <w:noWrap w:val="0"/>
            <w:vAlign w:val="center"/>
          </w:tcPr>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本次投标活动投标人需交纳投标保证金为:</w:t>
            </w:r>
          </w:p>
          <w:p>
            <w:pPr>
              <w:spacing w:line="360" w:lineRule="auto"/>
              <w:ind w:firstLine="482" w:firstLineChars="200"/>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人民币</w:t>
            </w:r>
            <w:r>
              <w:rPr>
                <w:rFonts w:hint="eastAsia" w:hAnsi="宋体" w:cs="宋体"/>
                <w:b/>
                <w:bCs/>
                <w:color w:val="auto"/>
                <w:sz w:val="24"/>
                <w:szCs w:val="24"/>
                <w:highlight w:val="none"/>
                <w:lang w:eastAsia="zh-CN"/>
              </w:rPr>
              <w:t>壹万伍仟元整</w:t>
            </w:r>
            <w:r>
              <w:rPr>
                <w:rFonts w:hint="eastAsia" w:ascii="宋体" w:hAnsi="宋体" w:eastAsia="宋体" w:cs="宋体"/>
                <w:b/>
                <w:bCs/>
                <w:color w:val="auto"/>
                <w:sz w:val="24"/>
                <w:szCs w:val="24"/>
                <w:highlight w:val="none"/>
                <w:lang w:eastAsia="zh-CN"/>
              </w:rPr>
              <w:t>（</w:t>
            </w:r>
            <w:r>
              <w:rPr>
                <w:rFonts w:hint="eastAsia" w:hAnsi="宋体" w:cs="宋体"/>
                <w:b/>
                <w:bCs/>
                <w:color w:val="auto"/>
                <w:sz w:val="24"/>
                <w:szCs w:val="24"/>
                <w:highlight w:val="none"/>
                <w:lang w:val="en-US" w:eastAsia="zh-CN"/>
              </w:rPr>
              <w:t>¥15000.00</w:t>
            </w:r>
            <w:r>
              <w:rPr>
                <w:rFonts w:hint="eastAsia" w:ascii="宋体" w:hAnsi="宋体" w:eastAsia="宋体" w:cs="宋体"/>
                <w:b/>
                <w:bCs/>
                <w:color w:val="auto"/>
                <w:sz w:val="24"/>
                <w:szCs w:val="24"/>
                <w:highlight w:val="none"/>
                <w:lang w:eastAsia="zh-CN"/>
              </w:rPr>
              <w:t>）</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投标保证金的有效期与投标有效期一致。担保机构出具的保函的有效期为投标有效期延长一个月。</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投标保证金的交纳形式：转账、电汇、担保机构保函。投标人以银行转账、电汇形式交纳投标保证金的(转账时请注明所投</w:t>
            </w:r>
            <w:r>
              <w:rPr>
                <w:rFonts w:hint="eastAsia" w:ascii="宋体" w:hAnsi="宋体" w:eastAsia="宋体" w:cs="宋体"/>
                <w:b/>
                <w:bCs/>
                <w:color w:val="auto"/>
                <w:sz w:val="24"/>
                <w:szCs w:val="24"/>
                <w:highlight w:val="none"/>
              </w:rPr>
              <w:t>项目编号)</w:t>
            </w:r>
            <w:r>
              <w:rPr>
                <w:rFonts w:hint="eastAsia" w:ascii="宋体" w:hAnsi="宋体" w:eastAsia="宋体" w:cs="宋体"/>
                <w:color w:val="auto"/>
                <w:sz w:val="24"/>
                <w:szCs w:val="24"/>
                <w:highlight w:val="none"/>
              </w:rPr>
              <w:t>，招标结束之后以转账形式退到投标人的基本账户。投标人以保函形式缴纳投标保证金的，在投标文件递交截止时间前须将担保机构保函</w:t>
            </w:r>
            <w:r>
              <w:rPr>
                <w:rFonts w:hint="eastAsia" w:ascii="宋体" w:hAnsi="宋体" w:eastAsia="宋体" w:cs="宋体"/>
                <w:b/>
                <w:bCs/>
                <w:color w:val="auto"/>
                <w:sz w:val="24"/>
                <w:szCs w:val="24"/>
                <w:highlight w:val="none"/>
              </w:rPr>
              <w:t>正本原件</w:t>
            </w:r>
            <w:r>
              <w:rPr>
                <w:rFonts w:hint="eastAsia" w:ascii="宋体" w:hAnsi="宋体" w:eastAsia="宋体" w:cs="宋体"/>
                <w:color w:val="auto"/>
                <w:sz w:val="24"/>
                <w:szCs w:val="24"/>
                <w:highlight w:val="none"/>
              </w:rPr>
              <w:t>提交至采购代理机构备案，招标结束之后在规定时间内将保函正本原件退回。</w:t>
            </w:r>
          </w:p>
          <w:p>
            <w:pPr>
              <w:spacing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投标人以银行转账、电汇形式缴纳投标保证金的截止时间：</w:t>
            </w:r>
          </w:p>
          <w:p>
            <w:pPr>
              <w:spacing w:line="360" w:lineRule="auto"/>
              <w:rPr>
                <w:rFonts w:hint="eastAsia" w:ascii="宋体" w:hAnsi="宋体" w:eastAsia="宋体" w:cs="宋体"/>
                <w:b/>
                <w:bCs/>
                <w:color w:val="auto"/>
                <w:sz w:val="24"/>
                <w:szCs w:val="24"/>
                <w:highlight w:val="none"/>
              </w:rPr>
            </w:pPr>
            <w:r>
              <w:rPr>
                <w:rFonts w:hint="eastAsia" w:ascii="宋体" w:hAnsi="宋体" w:eastAsia="宋体" w:cs="宋体"/>
                <w:color w:val="auto"/>
                <w:sz w:val="24"/>
                <w:szCs w:val="24"/>
                <w:highlight w:val="none"/>
              </w:rPr>
              <w:t>须在投标文件递交截止前到达以下帐户。</w:t>
            </w:r>
            <w:r>
              <w:rPr>
                <w:rFonts w:hint="eastAsia" w:ascii="宋体" w:hAnsi="宋体" w:eastAsia="宋体" w:cs="宋体"/>
                <w:b/>
                <w:bCs/>
                <w:color w:val="auto"/>
                <w:sz w:val="24"/>
                <w:szCs w:val="24"/>
                <w:highlight w:val="none"/>
              </w:rPr>
              <w:t>由于转账当天不一定能够到账，为避免因保证金未到账而导致投标被拒绝，建议至少提前2个工作日转账。</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户名：陕西至诚招标咨询有限公司</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账号：61050192090000002152</w:t>
            </w:r>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开户银行：中国建设银行股份有限公司西安高新技术产业开发区支行</w:t>
            </w:r>
          </w:p>
          <w:p>
            <w:pPr>
              <w:spacing w:line="500" w:lineRule="exact"/>
              <w:ind w:firstLine="480" w:firstLineChars="200"/>
              <w:rPr>
                <w:rFonts w:hint="eastAsia" w:hAnsi="宋体" w:cs="宋体"/>
                <w:color w:val="auto"/>
                <w:szCs w:val="24"/>
                <w:highlight w:val="none"/>
              </w:rPr>
            </w:pPr>
            <w:r>
              <w:rPr>
                <w:rFonts w:hint="eastAsia" w:ascii="宋体" w:hAnsi="宋体" w:eastAsia="宋体" w:cs="宋体"/>
                <w:color w:val="auto"/>
                <w:sz w:val="24"/>
                <w:szCs w:val="24"/>
                <w:highlight w:val="none"/>
              </w:rPr>
              <w:t>投标保证金到达采购代理机构指定账户后，投标人须与</w:t>
            </w:r>
            <w:r>
              <w:rPr>
                <w:rFonts w:hint="eastAsia" w:ascii="宋体" w:hAnsi="宋体" w:eastAsia="宋体" w:cs="宋体"/>
                <w:color w:val="auto"/>
                <w:sz w:val="24"/>
                <w:szCs w:val="24"/>
                <w:highlight w:val="none"/>
                <w:lang w:eastAsia="zh-CN"/>
              </w:rPr>
              <w:t>陕西至诚招标咨询有限公司</w:t>
            </w:r>
            <w:r>
              <w:rPr>
                <w:rFonts w:hint="eastAsia" w:ascii="宋体" w:hAnsi="宋体" w:eastAsia="宋体" w:cs="宋体"/>
                <w:color w:val="auto"/>
                <w:sz w:val="24"/>
                <w:szCs w:val="24"/>
                <w:highlight w:val="none"/>
              </w:rPr>
              <w:t>联系确认，确认到帐后请将</w:t>
            </w:r>
            <w:r>
              <w:rPr>
                <w:rFonts w:hint="eastAsia" w:ascii="宋体" w:hAnsi="宋体" w:eastAsia="宋体" w:cs="宋体"/>
                <w:b/>
                <w:bCs/>
                <w:color w:val="auto"/>
                <w:sz w:val="24"/>
                <w:szCs w:val="24"/>
                <w:highlight w:val="none"/>
              </w:rPr>
              <w:t>投标保证金缴纳凭证复印件</w:t>
            </w:r>
            <w:r>
              <w:rPr>
                <w:rFonts w:hint="eastAsia" w:ascii="宋体" w:hAnsi="宋体" w:eastAsia="宋体" w:cs="宋体"/>
                <w:color w:val="auto"/>
                <w:sz w:val="24"/>
                <w:szCs w:val="24"/>
                <w:highlight w:val="none"/>
              </w:rPr>
              <w:t>粘贴于招标文件规定处。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jc w:val="center"/>
              <w:rPr>
                <w:rFonts w:hAnsi="宋体" w:cs="宋体"/>
                <w:color w:val="auto"/>
                <w:szCs w:val="24"/>
                <w:highlight w:val="none"/>
              </w:rPr>
            </w:pPr>
            <w:r>
              <w:rPr>
                <w:rFonts w:hint="eastAsia" w:hAnsi="宋体" w:cs="宋体"/>
                <w:color w:val="auto"/>
                <w:szCs w:val="24"/>
                <w:highlight w:val="none"/>
              </w:rPr>
              <w:t>15</w:t>
            </w:r>
          </w:p>
        </w:tc>
        <w:tc>
          <w:tcPr>
            <w:tcW w:w="526" w:type="pct"/>
            <w:noWrap w:val="0"/>
            <w:vAlign w:val="center"/>
          </w:tcPr>
          <w:p>
            <w:pPr>
              <w:spacing w:line="440" w:lineRule="exact"/>
              <w:jc w:val="center"/>
              <w:rPr>
                <w:rFonts w:hAnsi="宋体" w:cs="宋体"/>
                <w:b/>
                <w:bCs/>
                <w:color w:val="auto"/>
                <w:szCs w:val="24"/>
                <w:highlight w:val="none"/>
              </w:rPr>
            </w:pPr>
            <w:r>
              <w:rPr>
                <w:rFonts w:hint="eastAsia" w:hAnsi="宋体" w:cs="宋体"/>
                <w:b/>
                <w:bCs/>
                <w:color w:val="auto"/>
                <w:szCs w:val="24"/>
                <w:highlight w:val="none"/>
              </w:rPr>
              <w:t>银行</w:t>
            </w:r>
          </w:p>
          <w:p>
            <w:pPr>
              <w:spacing w:line="440" w:lineRule="exact"/>
              <w:jc w:val="center"/>
              <w:rPr>
                <w:rFonts w:hAnsi="宋体" w:cs="宋体"/>
                <w:b/>
                <w:bCs/>
                <w:color w:val="auto"/>
                <w:szCs w:val="24"/>
                <w:highlight w:val="none"/>
              </w:rPr>
            </w:pPr>
            <w:r>
              <w:rPr>
                <w:rFonts w:hint="eastAsia" w:hAnsi="宋体" w:cs="宋体"/>
                <w:b/>
                <w:bCs/>
                <w:color w:val="auto"/>
                <w:szCs w:val="24"/>
                <w:highlight w:val="none"/>
              </w:rPr>
              <w:t>账户</w:t>
            </w:r>
          </w:p>
          <w:p>
            <w:pPr>
              <w:spacing w:line="440" w:lineRule="exact"/>
              <w:jc w:val="center"/>
              <w:rPr>
                <w:rFonts w:hAnsi="宋体" w:cs="宋体"/>
                <w:b/>
                <w:bCs/>
                <w:color w:val="auto"/>
                <w:szCs w:val="24"/>
                <w:highlight w:val="none"/>
              </w:rPr>
            </w:pPr>
            <w:r>
              <w:rPr>
                <w:rFonts w:hint="eastAsia" w:hAnsi="宋体" w:cs="宋体"/>
                <w:b/>
                <w:bCs/>
                <w:color w:val="auto"/>
                <w:szCs w:val="24"/>
                <w:highlight w:val="none"/>
              </w:rPr>
              <w:t>信息</w:t>
            </w:r>
          </w:p>
        </w:tc>
        <w:tc>
          <w:tcPr>
            <w:tcW w:w="4146" w:type="pct"/>
            <w:noWrap w:val="0"/>
            <w:vAlign w:val="center"/>
          </w:tcPr>
          <w:p>
            <w:pPr>
              <w:numPr>
                <w:ilvl w:val="0"/>
                <w:numId w:val="0"/>
              </w:numPr>
              <w:spacing w:line="440" w:lineRule="exact"/>
              <w:rPr>
                <w:rFonts w:hAnsi="宋体" w:cs="宋体"/>
                <w:b/>
                <w:bCs/>
                <w:color w:val="auto"/>
                <w:szCs w:val="24"/>
                <w:highlight w:val="none"/>
              </w:rPr>
            </w:pPr>
            <w:r>
              <w:rPr>
                <w:rFonts w:hint="eastAsia" w:hAnsi="宋体" w:cs="宋体"/>
                <w:b/>
                <w:bCs/>
                <w:color w:val="auto"/>
                <w:szCs w:val="24"/>
                <w:highlight w:val="none"/>
              </w:rPr>
              <w:t>招标代理服务费账户：</w:t>
            </w:r>
          </w:p>
          <w:p>
            <w:pPr>
              <w:spacing w:line="440" w:lineRule="exact"/>
              <w:ind w:firstLine="480" w:firstLineChars="200"/>
              <w:rPr>
                <w:rFonts w:hAnsi="宋体" w:cs="宋体"/>
                <w:color w:val="auto"/>
                <w:szCs w:val="24"/>
                <w:highlight w:val="none"/>
              </w:rPr>
            </w:pPr>
            <w:r>
              <w:rPr>
                <w:rFonts w:hint="eastAsia" w:hAnsi="宋体" w:cs="宋体"/>
                <w:color w:val="auto"/>
                <w:szCs w:val="24"/>
                <w:highlight w:val="none"/>
              </w:rPr>
              <w:t>户名：陕西至诚招标咨询有限公司</w:t>
            </w:r>
          </w:p>
          <w:p>
            <w:pPr>
              <w:spacing w:line="440" w:lineRule="exact"/>
              <w:ind w:firstLine="480" w:firstLineChars="200"/>
              <w:rPr>
                <w:rFonts w:hAnsi="宋体" w:cs="宋体"/>
                <w:color w:val="auto"/>
                <w:szCs w:val="24"/>
                <w:highlight w:val="none"/>
              </w:rPr>
            </w:pPr>
            <w:r>
              <w:rPr>
                <w:rFonts w:hint="eastAsia" w:hAnsi="宋体" w:cs="宋体"/>
                <w:color w:val="auto"/>
                <w:szCs w:val="24"/>
                <w:highlight w:val="none"/>
              </w:rPr>
              <w:t>开户行：中国建设银行股份有限公司西安高新技术产业开发区支行</w:t>
            </w:r>
          </w:p>
          <w:p>
            <w:pPr>
              <w:spacing w:line="440" w:lineRule="exact"/>
              <w:ind w:firstLine="480" w:firstLineChars="200"/>
              <w:rPr>
                <w:rFonts w:hAnsi="宋体" w:cs="宋体"/>
                <w:color w:val="auto"/>
                <w:szCs w:val="24"/>
                <w:highlight w:val="none"/>
              </w:rPr>
            </w:pPr>
            <w:r>
              <w:rPr>
                <w:rFonts w:hint="eastAsia" w:hAnsi="宋体" w:cs="宋体"/>
                <w:color w:val="auto"/>
                <w:szCs w:val="24"/>
                <w:highlight w:val="none"/>
              </w:rPr>
              <w:t>账号：61050192090000002152</w:t>
            </w:r>
          </w:p>
          <w:p>
            <w:pPr>
              <w:spacing w:line="440" w:lineRule="exact"/>
              <w:ind w:firstLine="241" w:firstLineChars="100"/>
              <w:rPr>
                <w:rFonts w:hAnsi="宋体" w:cs="宋体"/>
                <w:color w:val="auto"/>
                <w:szCs w:val="24"/>
                <w:highlight w:val="none"/>
              </w:rPr>
            </w:pPr>
            <w:r>
              <w:rPr>
                <w:rFonts w:hint="eastAsia" w:hAnsi="宋体" w:cs="宋体"/>
                <w:b/>
                <w:bCs/>
                <w:color w:val="auto"/>
                <w:szCs w:val="24"/>
                <w:highlight w:val="none"/>
              </w:rPr>
              <w:t>请按照要求分别将保证金和招标代理服务费汇入以上指定账户，如因自身原因发生错误，产生的不利后果均由供应商自行承担。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jc w:val="center"/>
              <w:rPr>
                <w:rFonts w:hAnsi="宋体"/>
                <w:b/>
                <w:bCs/>
                <w:color w:val="auto"/>
                <w:szCs w:val="24"/>
                <w:highlight w:val="none"/>
              </w:rPr>
            </w:pPr>
            <w:r>
              <w:rPr>
                <w:rFonts w:hint="eastAsia" w:hAnsi="宋体"/>
                <w:b/>
                <w:bCs/>
                <w:color w:val="auto"/>
                <w:szCs w:val="24"/>
                <w:highlight w:val="none"/>
              </w:rPr>
              <w:t>16</w:t>
            </w:r>
          </w:p>
        </w:tc>
        <w:tc>
          <w:tcPr>
            <w:tcW w:w="526" w:type="pct"/>
            <w:noWrap w:val="0"/>
            <w:vAlign w:val="center"/>
          </w:tcPr>
          <w:p>
            <w:pPr>
              <w:spacing w:line="360" w:lineRule="auto"/>
              <w:jc w:val="center"/>
              <w:rPr>
                <w:rFonts w:hAnsi="宋体"/>
                <w:b/>
                <w:bCs/>
                <w:color w:val="auto"/>
                <w:szCs w:val="24"/>
                <w:highlight w:val="none"/>
              </w:rPr>
            </w:pPr>
            <w:r>
              <w:rPr>
                <w:rFonts w:hint="eastAsia" w:hAnsi="宋体"/>
                <w:b/>
                <w:bCs/>
                <w:color w:val="auto"/>
                <w:szCs w:val="24"/>
                <w:highlight w:val="none"/>
              </w:rPr>
              <w:t>核心</w:t>
            </w:r>
          </w:p>
          <w:p>
            <w:pPr>
              <w:spacing w:line="360" w:lineRule="auto"/>
              <w:jc w:val="center"/>
              <w:rPr>
                <w:rFonts w:hAnsi="宋体"/>
                <w:b/>
                <w:bCs/>
                <w:color w:val="auto"/>
                <w:szCs w:val="24"/>
                <w:highlight w:val="none"/>
              </w:rPr>
            </w:pPr>
            <w:r>
              <w:rPr>
                <w:rFonts w:hint="eastAsia" w:hAnsi="宋体"/>
                <w:b/>
                <w:bCs/>
                <w:color w:val="auto"/>
                <w:szCs w:val="24"/>
                <w:highlight w:val="none"/>
              </w:rPr>
              <w:t>产品</w:t>
            </w:r>
          </w:p>
        </w:tc>
        <w:tc>
          <w:tcPr>
            <w:tcW w:w="4146" w:type="pct"/>
            <w:noWrap w:val="0"/>
            <w:vAlign w:val="center"/>
          </w:tcPr>
          <w:p>
            <w:pPr>
              <w:pStyle w:val="17"/>
              <w:keepNext w:val="0"/>
              <w:keepLines w:val="0"/>
              <w:widowControl/>
              <w:suppressLineNumbers w:val="0"/>
              <w:spacing w:before="0" w:beforeAutospacing="0" w:after="0" w:afterAutospacing="0" w:line="360" w:lineRule="auto"/>
              <w:ind w:right="0"/>
              <w:rPr>
                <w:rFonts w:hint="default"/>
                <w:b/>
                <w:bCs/>
                <w:color w:val="auto"/>
                <w:szCs w:val="24"/>
                <w:highlight w:val="none"/>
                <w:lang w:val="en-US" w:eastAsia="zh-CN"/>
              </w:rPr>
            </w:pPr>
            <w:r>
              <w:rPr>
                <w:rFonts w:hint="default"/>
                <w:b/>
                <w:bCs/>
                <w:color w:val="auto"/>
                <w:szCs w:val="24"/>
                <w:highlight w:val="none"/>
                <w:lang w:val="en-US" w:eastAsia="zh-CN"/>
              </w:rPr>
              <w:t>便携式X荧光土壤重金属分析仪</w:t>
            </w:r>
            <w:r>
              <w:rPr>
                <w:rFonts w:hint="eastAsia"/>
                <w:b/>
                <w:bCs/>
                <w:color w:val="auto"/>
                <w:szCs w:val="24"/>
                <w:highlight w:val="none"/>
                <w:lang w:val="en-US" w:eastAsia="zh-CN"/>
              </w:rPr>
              <w:t>、办案质量监控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widowControl/>
              <w:spacing w:line="360" w:lineRule="auto"/>
              <w:jc w:val="center"/>
              <w:rPr>
                <w:rFonts w:hAnsi="宋体"/>
                <w:b/>
                <w:bCs/>
                <w:color w:val="auto"/>
                <w:szCs w:val="24"/>
                <w:highlight w:val="none"/>
              </w:rPr>
            </w:pPr>
            <w:r>
              <w:rPr>
                <w:rFonts w:hint="eastAsia" w:hAnsi="宋体"/>
                <w:b/>
                <w:bCs/>
                <w:color w:val="auto"/>
                <w:szCs w:val="24"/>
                <w:highlight w:val="none"/>
              </w:rPr>
              <w:t>17</w:t>
            </w:r>
          </w:p>
        </w:tc>
        <w:tc>
          <w:tcPr>
            <w:tcW w:w="526" w:type="pct"/>
            <w:noWrap w:val="0"/>
            <w:vAlign w:val="center"/>
          </w:tcPr>
          <w:p>
            <w:pPr>
              <w:widowControl/>
              <w:spacing w:line="360" w:lineRule="auto"/>
              <w:jc w:val="center"/>
              <w:rPr>
                <w:rFonts w:hAnsi="宋体"/>
                <w:b/>
                <w:bCs/>
                <w:color w:val="auto"/>
                <w:szCs w:val="24"/>
                <w:highlight w:val="none"/>
              </w:rPr>
            </w:pPr>
            <w:r>
              <w:rPr>
                <w:rFonts w:hint="eastAsia" w:hAnsi="宋体"/>
                <w:b/>
                <w:bCs/>
                <w:color w:val="auto"/>
                <w:szCs w:val="24"/>
                <w:highlight w:val="none"/>
              </w:rPr>
              <w:t>其他</w:t>
            </w:r>
          </w:p>
        </w:tc>
        <w:tc>
          <w:tcPr>
            <w:tcW w:w="4146" w:type="pct"/>
            <w:noWrap w:val="0"/>
            <w:vAlign w:val="center"/>
          </w:tcPr>
          <w:p>
            <w:pPr>
              <w:widowControl/>
              <w:spacing w:line="360" w:lineRule="auto"/>
              <w:jc w:val="left"/>
              <w:rPr>
                <w:rFonts w:hAnsi="宋体"/>
                <w:b/>
                <w:bCs/>
                <w:color w:val="auto"/>
                <w:szCs w:val="24"/>
                <w:highlight w:val="none"/>
              </w:rPr>
            </w:pPr>
            <w:r>
              <w:rPr>
                <w:rFonts w:hint="eastAsia" w:hAnsi="宋体"/>
                <w:b/>
                <w:bCs/>
                <w:color w:val="auto"/>
                <w:szCs w:val="24"/>
                <w:highlight w:val="none"/>
              </w:rPr>
              <w:t>本项目不允许进口产品投标。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widowControl/>
              <w:spacing w:line="360" w:lineRule="auto"/>
              <w:jc w:val="center"/>
              <w:rPr>
                <w:rFonts w:hint="default" w:hAnsi="宋体" w:eastAsia="宋体"/>
                <w:b/>
                <w:bCs/>
                <w:color w:val="auto"/>
                <w:szCs w:val="24"/>
                <w:highlight w:val="none"/>
                <w:lang w:val="en-US" w:eastAsia="zh-CN"/>
              </w:rPr>
            </w:pPr>
            <w:r>
              <w:rPr>
                <w:rFonts w:hint="eastAsia" w:hAnsi="宋体"/>
                <w:b/>
                <w:bCs/>
                <w:color w:val="auto"/>
                <w:szCs w:val="24"/>
                <w:highlight w:val="none"/>
                <w:lang w:val="en-US" w:eastAsia="zh-CN"/>
              </w:rPr>
              <w:t>18</w:t>
            </w:r>
          </w:p>
        </w:tc>
        <w:tc>
          <w:tcPr>
            <w:tcW w:w="526" w:type="pct"/>
            <w:noWrap w:val="0"/>
            <w:vAlign w:val="center"/>
          </w:tcPr>
          <w:p>
            <w:pPr>
              <w:widowControl/>
              <w:spacing w:line="360" w:lineRule="auto"/>
              <w:jc w:val="center"/>
              <w:rPr>
                <w:rFonts w:hint="eastAsia" w:hAnsi="宋体"/>
                <w:b/>
                <w:bCs/>
                <w:color w:val="auto"/>
                <w:szCs w:val="24"/>
                <w:highlight w:val="none"/>
                <w:lang w:val="en-US" w:eastAsia="zh-CN"/>
              </w:rPr>
            </w:pPr>
            <w:r>
              <w:rPr>
                <w:rFonts w:hint="eastAsia" w:hAnsi="宋体"/>
                <w:b/>
                <w:bCs/>
                <w:color w:val="auto"/>
                <w:szCs w:val="24"/>
                <w:highlight w:val="none"/>
                <w:lang w:val="en-US" w:eastAsia="zh-CN"/>
              </w:rPr>
              <w:t>项目</w:t>
            </w:r>
          </w:p>
          <w:p>
            <w:pPr>
              <w:widowControl/>
              <w:spacing w:line="360" w:lineRule="auto"/>
              <w:jc w:val="center"/>
              <w:rPr>
                <w:rFonts w:hint="default" w:hAnsi="宋体" w:eastAsia="宋体"/>
                <w:b/>
                <w:bCs/>
                <w:color w:val="auto"/>
                <w:szCs w:val="24"/>
                <w:highlight w:val="none"/>
                <w:lang w:val="en-US" w:eastAsia="zh-CN"/>
              </w:rPr>
            </w:pPr>
            <w:r>
              <w:rPr>
                <w:rFonts w:hint="eastAsia" w:hAnsi="宋体"/>
                <w:b/>
                <w:bCs/>
                <w:color w:val="auto"/>
                <w:szCs w:val="24"/>
                <w:highlight w:val="none"/>
                <w:lang w:val="en-US" w:eastAsia="zh-CN"/>
              </w:rPr>
              <w:t>性质</w:t>
            </w:r>
          </w:p>
        </w:tc>
        <w:tc>
          <w:tcPr>
            <w:tcW w:w="4146" w:type="pct"/>
            <w:noWrap w:val="0"/>
            <w:vAlign w:val="center"/>
          </w:tcPr>
          <w:p>
            <w:pPr>
              <w:spacing w:line="360" w:lineRule="auto"/>
              <w:rPr>
                <w:rFonts w:hint="default" w:hAnsi="宋体" w:eastAsia="宋体"/>
                <w:b/>
                <w:bCs/>
                <w:color w:val="auto"/>
                <w:szCs w:val="24"/>
                <w:highlight w:val="none"/>
                <w:lang w:val="en-US" w:eastAsia="zh-CN"/>
              </w:rPr>
            </w:pPr>
            <w:r>
              <w:rPr>
                <w:rFonts w:hint="eastAsia" w:hAnsi="宋体" w:cs="宋体"/>
                <w:b/>
                <w:bCs/>
                <w:color w:val="auto"/>
                <w:szCs w:val="24"/>
                <w:highlight w:val="none"/>
                <w:lang w:eastAsia="zh-CN"/>
              </w:rPr>
              <w:t>本项目非专门面向中小企业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widowControl/>
              <w:spacing w:line="360" w:lineRule="auto"/>
              <w:jc w:val="center"/>
              <w:rPr>
                <w:rFonts w:hint="default" w:hAnsi="宋体"/>
                <w:b/>
                <w:bCs/>
                <w:color w:val="auto"/>
                <w:szCs w:val="24"/>
                <w:highlight w:val="none"/>
                <w:lang w:val="en-US" w:eastAsia="zh-CN"/>
              </w:rPr>
            </w:pPr>
            <w:r>
              <w:rPr>
                <w:rFonts w:hint="eastAsia" w:hAnsi="宋体"/>
                <w:b/>
                <w:bCs/>
                <w:color w:val="auto"/>
                <w:szCs w:val="24"/>
                <w:highlight w:val="none"/>
                <w:lang w:val="en-US" w:eastAsia="zh-CN"/>
              </w:rPr>
              <w:t>19</w:t>
            </w:r>
          </w:p>
        </w:tc>
        <w:tc>
          <w:tcPr>
            <w:tcW w:w="526" w:type="pct"/>
            <w:noWrap w:val="0"/>
            <w:vAlign w:val="center"/>
          </w:tcPr>
          <w:p>
            <w:pPr>
              <w:widowControl/>
              <w:spacing w:line="360" w:lineRule="auto"/>
              <w:jc w:val="center"/>
              <w:rPr>
                <w:rFonts w:hint="eastAsia" w:hAnsi="宋体"/>
                <w:b/>
                <w:bCs/>
                <w:color w:val="auto"/>
                <w:szCs w:val="24"/>
                <w:highlight w:val="none"/>
                <w:lang w:val="en-US" w:eastAsia="zh-CN"/>
              </w:rPr>
            </w:pPr>
            <w:r>
              <w:rPr>
                <w:rFonts w:hint="eastAsia" w:hAnsi="宋体"/>
                <w:b/>
                <w:bCs/>
                <w:color w:val="auto"/>
                <w:szCs w:val="24"/>
                <w:highlight w:val="none"/>
                <w:lang w:val="en-US" w:eastAsia="zh-CN"/>
              </w:rPr>
              <w:t>项目所属行业</w:t>
            </w:r>
          </w:p>
        </w:tc>
        <w:tc>
          <w:tcPr>
            <w:tcW w:w="4146" w:type="pct"/>
            <w:noWrap w:val="0"/>
            <w:vAlign w:val="center"/>
          </w:tcPr>
          <w:p>
            <w:pPr>
              <w:spacing w:line="360" w:lineRule="auto"/>
              <w:rPr>
                <w:rFonts w:hint="eastAsia" w:hAnsi="宋体" w:cs="宋体"/>
                <w:b/>
                <w:bCs/>
                <w:color w:val="auto"/>
                <w:szCs w:val="24"/>
                <w:highlight w:val="none"/>
                <w:lang w:eastAsia="zh-CN"/>
              </w:rPr>
            </w:pPr>
            <w:r>
              <w:rPr>
                <w:rFonts w:hint="eastAsia" w:hAnsi="宋体" w:cs="宋体"/>
                <w:b/>
                <w:bCs/>
                <w:color w:val="auto"/>
                <w:szCs w:val="24"/>
                <w:highlight w:val="none"/>
                <w:lang w:eastAsia="zh-CN"/>
              </w:rPr>
              <w:t>工业</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378" w:hRule="atLeast"/>
          <w:jc w:val="center"/>
        </w:trPr>
        <w:tc>
          <w:tcPr>
            <w:tcW w:w="327" w:type="pct"/>
            <w:noWrap w:val="0"/>
            <w:vAlign w:val="center"/>
          </w:tcPr>
          <w:p>
            <w:pPr>
              <w:widowControl/>
              <w:spacing w:line="360" w:lineRule="auto"/>
              <w:jc w:val="center"/>
              <w:rPr>
                <w:rFonts w:hint="default" w:hAnsi="宋体"/>
                <w:b/>
                <w:bCs/>
                <w:color w:val="auto"/>
                <w:szCs w:val="24"/>
                <w:highlight w:val="none"/>
                <w:lang w:val="en-US" w:eastAsia="zh-CN"/>
              </w:rPr>
            </w:pPr>
            <w:r>
              <w:rPr>
                <w:rFonts w:hint="eastAsia" w:hAnsi="宋体"/>
                <w:b/>
                <w:bCs/>
                <w:color w:val="auto"/>
                <w:szCs w:val="24"/>
                <w:highlight w:val="none"/>
                <w:lang w:val="en-US" w:eastAsia="zh-CN"/>
              </w:rPr>
              <w:t>20</w:t>
            </w:r>
          </w:p>
        </w:tc>
        <w:tc>
          <w:tcPr>
            <w:tcW w:w="526" w:type="pct"/>
            <w:noWrap w:val="0"/>
            <w:vAlign w:val="center"/>
          </w:tcPr>
          <w:p>
            <w:pPr>
              <w:widowControl/>
              <w:spacing w:line="360" w:lineRule="auto"/>
              <w:jc w:val="center"/>
              <w:rPr>
                <w:rFonts w:hint="eastAsia" w:hAnsi="宋体"/>
                <w:b/>
                <w:bCs/>
                <w:color w:val="auto"/>
                <w:szCs w:val="24"/>
                <w:highlight w:val="none"/>
                <w:lang w:val="en-US" w:eastAsia="zh-CN"/>
              </w:rPr>
            </w:pPr>
            <w:r>
              <w:rPr>
                <w:rFonts w:hint="eastAsia" w:hAnsi="宋体"/>
                <w:b/>
                <w:bCs/>
                <w:color w:val="auto"/>
                <w:szCs w:val="24"/>
                <w:highlight w:val="none"/>
                <w:lang w:val="en-US" w:eastAsia="zh-CN"/>
              </w:rPr>
              <w:t>其他</w:t>
            </w:r>
          </w:p>
        </w:tc>
        <w:tc>
          <w:tcPr>
            <w:tcW w:w="4146" w:type="pct"/>
            <w:noWrap w:val="0"/>
            <w:vAlign w:val="center"/>
          </w:tcPr>
          <w:p>
            <w:pPr>
              <w:spacing w:line="360" w:lineRule="auto"/>
              <w:rPr>
                <w:rFonts w:hint="eastAsia" w:hAnsi="宋体" w:cs="宋体"/>
                <w:b/>
                <w:bCs/>
                <w:color w:val="auto"/>
                <w:szCs w:val="24"/>
                <w:highlight w:val="none"/>
                <w:lang w:eastAsia="zh-CN"/>
              </w:rPr>
            </w:pPr>
            <w:r>
              <w:rPr>
                <w:rFonts w:hint="eastAsia" w:hAnsi="宋体" w:cs="宋体"/>
                <w:b/>
                <w:bCs/>
                <w:color w:val="auto"/>
                <w:szCs w:val="24"/>
                <w:highlight w:val="none"/>
                <w:lang w:eastAsia="zh-CN"/>
              </w:rPr>
              <w:t>为了进一步推动金融支持政策更好适应市场主体的需要，扎实落实国务院关于支持中小企业发展的政策措施，积极发挥政府采购政策功能，有效缓解中小企业融资难、融资贵问题，根据中办、国办《关于促进中小企业健康发展的指导意见》、财政部、工信部《政府采购促进中小企业发展管理办法》（财库〔2020〕46 号）、《陕西省中小企业政府采购信用融资办法》（陕财办采【2018】23 号）、《陕西省财政厅关于加快推进我省中小企业政府采购信用融资工作的通知》陕财办采 【2020】15 号）等有关规定，按照市场主导、财政引导、银企自愿、风险自担的原则，中标（成交）供应商可根据自身资金需求，登录陕西省政府采购信用融资平台</w:t>
            </w:r>
          </w:p>
          <w:p>
            <w:pPr>
              <w:spacing w:line="360" w:lineRule="auto"/>
              <w:rPr>
                <w:rFonts w:hint="eastAsia" w:hAnsi="宋体" w:cs="宋体"/>
                <w:b/>
                <w:bCs/>
                <w:color w:val="auto"/>
                <w:szCs w:val="24"/>
                <w:highlight w:val="none"/>
                <w:lang w:eastAsia="zh-CN"/>
              </w:rPr>
            </w:pPr>
            <w:r>
              <w:rPr>
                <w:rFonts w:hint="eastAsia" w:hAnsi="宋体" w:cs="宋体"/>
                <w:b/>
                <w:bCs/>
                <w:color w:val="auto"/>
                <w:szCs w:val="24"/>
                <w:highlight w:val="none"/>
                <w:lang w:eastAsia="zh-CN"/>
              </w:rPr>
              <w:t>(http://www.ccgp-shaanxi.gov.cn/zcdservice/zcd/shan xi/）在线申请，依法参加政府采购信用融资活动。</w:t>
            </w:r>
          </w:p>
          <w:p>
            <w:pPr>
              <w:spacing w:line="360" w:lineRule="auto"/>
              <w:rPr>
                <w:rFonts w:hint="eastAsia" w:hAnsi="宋体" w:cs="宋体"/>
                <w:b/>
                <w:bCs/>
                <w:color w:val="auto"/>
                <w:szCs w:val="24"/>
                <w:highlight w:val="none"/>
                <w:lang w:eastAsia="zh-CN"/>
              </w:rPr>
            </w:pPr>
            <w:r>
              <w:rPr>
                <w:rFonts w:hint="eastAsia" w:hAnsi="宋体" w:cs="宋体"/>
                <w:b/>
                <w:bCs/>
                <w:color w:val="auto"/>
                <w:szCs w:val="24"/>
                <w:highlight w:val="none"/>
                <w:lang w:eastAsia="zh-CN"/>
              </w:rPr>
              <w:t>目前的合作银行有∶北京银行、中国建设银行、中信银行、中国平安银行、中国光大银行、浦发银行、兴业银行、中国工商银行、秦农银行、浙商银行、中国银行、西安银行、中国农业银行、中国邮政储蓄银行（排名不分先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widowControl/>
              <w:spacing w:line="360" w:lineRule="auto"/>
              <w:jc w:val="center"/>
              <w:rPr>
                <w:rFonts w:hint="default" w:hAnsi="宋体"/>
                <w:b/>
                <w:bCs/>
                <w:color w:val="auto"/>
                <w:szCs w:val="24"/>
                <w:highlight w:val="none"/>
                <w:lang w:val="en-US" w:eastAsia="zh-CN"/>
              </w:rPr>
            </w:pPr>
            <w:r>
              <w:rPr>
                <w:rFonts w:hint="eastAsia" w:hAnsi="宋体"/>
                <w:b/>
                <w:bCs/>
                <w:color w:val="auto"/>
                <w:szCs w:val="24"/>
                <w:highlight w:val="none"/>
                <w:lang w:val="en-US" w:eastAsia="zh-CN"/>
              </w:rPr>
              <w:t>21</w:t>
            </w:r>
          </w:p>
        </w:tc>
        <w:tc>
          <w:tcPr>
            <w:tcW w:w="526" w:type="pct"/>
            <w:noWrap w:val="0"/>
            <w:vAlign w:val="center"/>
          </w:tcPr>
          <w:p>
            <w:pPr>
              <w:spacing w:line="312" w:lineRule="auto"/>
              <w:ind w:firstLine="120" w:firstLineChars="50"/>
              <w:jc w:val="center"/>
              <w:rPr>
                <w:rFonts w:hint="eastAsia" w:hAnsi="宋体"/>
                <w:b/>
                <w:bCs/>
                <w:color w:val="auto"/>
                <w:szCs w:val="24"/>
                <w:highlight w:val="none"/>
                <w:lang w:val="en-US" w:eastAsia="zh-CN"/>
              </w:rPr>
            </w:pPr>
            <w:r>
              <w:rPr>
                <w:rFonts w:hint="eastAsia" w:ascii="宋体" w:hAnsi="宋体" w:cs="宋体"/>
                <w:color w:val="auto"/>
                <w:sz w:val="24"/>
                <w:szCs w:val="24"/>
                <w:highlight w:val="none"/>
                <w:lang w:val="en-US" w:eastAsia="zh-CN"/>
              </w:rPr>
              <w:t>中小企业价格得分扣减</w:t>
            </w:r>
          </w:p>
        </w:tc>
        <w:tc>
          <w:tcPr>
            <w:tcW w:w="4146" w:type="pct"/>
            <w:noWrap w:val="0"/>
            <w:vAlign w:val="center"/>
          </w:tcPr>
          <w:p>
            <w:pPr>
              <w:rPr>
                <w:rFonts w:hint="eastAsia" w:hAnsi="宋体" w:cs="宋体"/>
                <w:b/>
                <w:bCs/>
                <w:color w:val="auto"/>
                <w:szCs w:val="24"/>
                <w:highlight w:val="none"/>
                <w:lang w:eastAsia="zh-CN"/>
              </w:rPr>
            </w:pPr>
            <w:r>
              <w:rPr>
                <w:rFonts w:hint="eastAsia" w:ascii="宋体" w:hAnsi="宋体" w:eastAsia="宋体" w:cs="宋体"/>
                <w:color w:val="auto"/>
                <w:sz w:val="24"/>
                <w:szCs w:val="24"/>
                <w:highlight w:val="none"/>
                <w:lang w:val="en-US" w:eastAsia="zh-CN"/>
              </w:rPr>
              <w:t>对符合《政府采购促进中小企业发展管理办法》(财库(2020)46号)规定的小微企业(监狱企业视同小型、微型企业)的报价给予</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10</w:t>
            </w:r>
            <w:r>
              <w:rPr>
                <w:rFonts w:hint="eastAsia" w:ascii="宋体" w:hAnsi="宋体" w:eastAsia="宋体" w:cs="宋体"/>
                <w:color w:val="auto"/>
                <w:sz w:val="24"/>
                <w:szCs w:val="24"/>
                <w:highlight w:val="none"/>
                <w:lang w:val="en-US" w:eastAsia="zh-CN"/>
              </w:rPr>
              <w:t>%-</w:t>
            </w:r>
            <w:r>
              <w:rPr>
                <w:rFonts w:hint="eastAsia" w:hAnsi="宋体" w:cs="宋体"/>
                <w:color w:val="auto"/>
                <w:sz w:val="24"/>
                <w:szCs w:val="24"/>
                <w:highlight w:val="none"/>
                <w:lang w:val="en-US" w:eastAsia="zh-CN"/>
              </w:rPr>
              <w:t>20</w:t>
            </w:r>
            <w:r>
              <w:rPr>
                <w:rFonts w:hint="eastAsia" w:ascii="宋体" w:hAnsi="宋体" w:eastAsia="宋体" w:cs="宋体"/>
                <w:color w:val="auto"/>
                <w:sz w:val="24"/>
                <w:szCs w:val="24"/>
                <w:highlight w:val="none"/>
                <w:lang w:val="en-US" w:eastAsia="zh-CN"/>
              </w:rPr>
              <w:t>%)的扣除,用扣除后的价格参加评审。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widowControl/>
              <w:spacing w:line="360" w:lineRule="auto"/>
              <w:jc w:val="center"/>
              <w:rPr>
                <w:rFonts w:hint="default" w:hAnsi="宋体" w:eastAsia="宋体"/>
                <w:b/>
                <w:bCs/>
                <w:color w:val="auto"/>
                <w:szCs w:val="24"/>
                <w:highlight w:val="none"/>
                <w:lang w:val="en-US" w:eastAsia="zh-CN"/>
              </w:rPr>
            </w:pPr>
            <w:r>
              <w:rPr>
                <w:rFonts w:hint="eastAsia" w:hAnsi="宋体"/>
                <w:b/>
                <w:bCs/>
                <w:color w:val="auto"/>
                <w:szCs w:val="24"/>
                <w:highlight w:val="none"/>
                <w:lang w:val="en-US" w:eastAsia="zh-CN"/>
              </w:rPr>
              <w:t>22</w:t>
            </w:r>
          </w:p>
        </w:tc>
        <w:tc>
          <w:tcPr>
            <w:tcW w:w="526" w:type="pct"/>
            <w:noWrap w:val="0"/>
            <w:vAlign w:val="center"/>
          </w:tcPr>
          <w:p>
            <w:pPr>
              <w:pStyle w:val="2"/>
              <w:jc w:val="center"/>
              <w:rPr>
                <w:rFonts w:hint="eastAsia" w:ascii="宋体" w:hAnsi="Times New Roman" w:eastAsia="宋体" w:cs="宋体"/>
                <w:b/>
                <w:bCs/>
                <w:color w:val="auto"/>
                <w:kern w:val="0"/>
                <w:sz w:val="24"/>
                <w:szCs w:val="24"/>
                <w:highlight w:val="none"/>
                <w:lang w:val="en-US" w:eastAsia="zh-CN" w:bidi="ar-SA"/>
              </w:rPr>
            </w:pPr>
            <w:r>
              <w:rPr>
                <w:rFonts w:hint="eastAsia" w:ascii="宋体" w:hAnsi="宋体" w:cs="宋体"/>
                <w:b/>
                <w:bCs/>
                <w:color w:val="auto"/>
                <w:kern w:val="0"/>
                <w:sz w:val="24"/>
                <w:szCs w:val="24"/>
                <w:highlight w:val="none"/>
              </w:rPr>
              <w:t>一致性</w:t>
            </w:r>
          </w:p>
        </w:tc>
        <w:tc>
          <w:tcPr>
            <w:tcW w:w="4146" w:type="pct"/>
            <w:noWrap w:val="0"/>
            <w:vAlign w:val="center"/>
          </w:tcPr>
          <w:p>
            <w:pPr>
              <w:pStyle w:val="2"/>
              <w:rPr>
                <w:rFonts w:hint="eastAsia" w:ascii="宋体" w:hAnsi="Times New Roman" w:eastAsia="宋体" w:cs="宋体"/>
                <w:color w:val="auto"/>
                <w:kern w:val="0"/>
                <w:sz w:val="24"/>
                <w:szCs w:val="24"/>
                <w:highlight w:val="none"/>
                <w:lang w:val="en-US" w:eastAsia="zh-CN" w:bidi="ar-SA"/>
              </w:rPr>
            </w:pPr>
            <w:r>
              <w:rPr>
                <w:rFonts w:hint="eastAsia" w:ascii="宋体" w:hAnsi="宋体" w:cs="宋体"/>
                <w:b/>
                <w:bCs/>
                <w:color w:val="auto"/>
                <w:kern w:val="0"/>
                <w:sz w:val="24"/>
                <w:szCs w:val="24"/>
                <w:highlight w:val="none"/>
              </w:rPr>
              <w:t>供应商须知前附表和须知不一致的地方，以前附表为准。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42" w:hRule="atLeast"/>
          <w:jc w:val="center"/>
        </w:trPr>
        <w:tc>
          <w:tcPr>
            <w:tcW w:w="327" w:type="pct"/>
            <w:noWrap w:val="0"/>
            <w:vAlign w:val="center"/>
          </w:tcPr>
          <w:p>
            <w:pPr>
              <w:widowControl/>
              <w:spacing w:line="360" w:lineRule="auto"/>
              <w:jc w:val="center"/>
              <w:rPr>
                <w:rFonts w:hint="default" w:hAnsi="宋体" w:eastAsia="宋体"/>
                <w:b/>
                <w:bCs/>
                <w:color w:val="auto"/>
                <w:szCs w:val="24"/>
                <w:highlight w:val="none"/>
                <w:lang w:val="en-US" w:eastAsia="zh-CN"/>
              </w:rPr>
            </w:pPr>
            <w:r>
              <w:rPr>
                <w:rFonts w:hint="eastAsia" w:hAnsi="宋体"/>
                <w:b/>
                <w:bCs/>
                <w:color w:val="auto"/>
                <w:szCs w:val="24"/>
                <w:highlight w:val="none"/>
                <w:lang w:val="en-US" w:eastAsia="zh-CN"/>
              </w:rPr>
              <w:t>23</w:t>
            </w:r>
          </w:p>
        </w:tc>
        <w:tc>
          <w:tcPr>
            <w:tcW w:w="526" w:type="pct"/>
            <w:noWrap w:val="0"/>
            <w:vAlign w:val="center"/>
          </w:tcPr>
          <w:p>
            <w:pPr>
              <w:widowControl/>
              <w:spacing w:line="360" w:lineRule="auto"/>
              <w:jc w:val="center"/>
              <w:rPr>
                <w:rFonts w:hAnsi="宋体"/>
                <w:b/>
                <w:bCs/>
                <w:color w:val="auto"/>
                <w:szCs w:val="24"/>
                <w:highlight w:val="none"/>
              </w:rPr>
            </w:pPr>
            <w:r>
              <w:rPr>
                <w:rFonts w:hint="eastAsia" w:hAnsi="宋体"/>
                <w:b/>
                <w:bCs/>
                <w:color w:val="auto"/>
                <w:szCs w:val="24"/>
                <w:highlight w:val="none"/>
              </w:rPr>
              <w:t>备注</w:t>
            </w:r>
          </w:p>
        </w:tc>
        <w:tc>
          <w:tcPr>
            <w:tcW w:w="4146" w:type="pct"/>
            <w:noWrap w:val="0"/>
            <w:vAlign w:val="center"/>
          </w:tcPr>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供应商注册登记提醒：</w:t>
            </w:r>
          </w:p>
          <w:p>
            <w:pPr>
              <w:spacing w:line="500" w:lineRule="exact"/>
              <w:ind w:firstLine="482" w:firstLineChars="200"/>
              <w:rPr>
                <w:rFonts w:hAnsi="宋体"/>
                <w:color w:val="auto"/>
                <w:szCs w:val="24"/>
                <w:highlight w:val="none"/>
              </w:rPr>
            </w:pPr>
            <w:r>
              <w:rPr>
                <w:rFonts w:hint="eastAsia" w:hAnsi="宋体" w:cs="宋体"/>
                <w:b/>
                <w:bCs/>
                <w:color w:val="auto"/>
                <w:szCs w:val="24"/>
                <w:highlight w:val="none"/>
              </w:rPr>
              <w:t>根据陕西省财政厅关于政府采购供应商注册登记有关事项的通知，如所投本项目的供应商未在陕西省政府采购网（</w:t>
            </w:r>
            <w:r>
              <w:rPr>
                <w:color w:val="auto"/>
                <w:highlight w:val="none"/>
              </w:rPr>
              <w:fldChar w:fldCharType="begin"/>
            </w:r>
            <w:r>
              <w:rPr>
                <w:color w:val="auto"/>
                <w:highlight w:val="none"/>
              </w:rPr>
              <w:instrText xml:space="preserve"> HYPERLINK "http://www.ccgp-shaanxi.gov.cn/information/informationDetail.do?informationguid=8a85be3567ed23460167ed36804d0009" </w:instrText>
            </w:r>
            <w:r>
              <w:rPr>
                <w:color w:val="auto"/>
                <w:highlight w:val="none"/>
              </w:rPr>
              <w:fldChar w:fldCharType="separate"/>
            </w:r>
            <w:r>
              <w:rPr>
                <w:rFonts w:hint="eastAsia" w:hAnsi="宋体" w:cs="宋体"/>
                <w:b/>
                <w:bCs/>
                <w:color w:val="auto"/>
                <w:szCs w:val="24"/>
                <w:highlight w:val="none"/>
              </w:rPr>
              <w:t>http://www.ccgp-shaanxi.gov.cn/information/informationDetail.do?informationguid=8a85be3567ed23460167ed36804d0009</w:t>
            </w:r>
            <w:r>
              <w:rPr>
                <w:rFonts w:hint="eastAsia" w:hAnsi="宋体" w:cs="宋体"/>
                <w:b/>
                <w:bCs/>
                <w:color w:val="auto"/>
                <w:szCs w:val="24"/>
                <w:highlight w:val="none"/>
              </w:rPr>
              <w:fldChar w:fldCharType="end"/>
            </w:r>
            <w:r>
              <w:rPr>
                <w:rFonts w:hint="eastAsia" w:hAnsi="宋体" w:cs="宋体"/>
                <w:b/>
                <w:bCs/>
                <w:color w:val="auto"/>
                <w:szCs w:val="24"/>
                <w:highlight w:val="none"/>
              </w:rPr>
              <w:t>）注册登记加入陕西省政府采购供应商库的，应按要求及时办理注册登记，并接受财政部门监督管理。</w:t>
            </w:r>
          </w:p>
        </w:tc>
      </w:tr>
    </w:tbl>
    <w:p>
      <w:pPr>
        <w:spacing w:before="333" w:beforeLines="100"/>
        <w:jc w:val="center"/>
        <w:rPr>
          <w:rFonts w:hAnsi="宋体" w:cs="宋体"/>
          <w:color w:val="auto"/>
          <w:sz w:val="32"/>
          <w:szCs w:val="32"/>
          <w:highlight w:val="none"/>
        </w:rPr>
      </w:pPr>
      <w:r>
        <w:rPr>
          <w:rFonts w:hint="eastAsia" w:hAnsi="宋体" w:cs="宋体"/>
          <w:color w:val="auto"/>
          <w:highlight w:val="none"/>
        </w:rPr>
        <w:br w:type="page"/>
      </w:r>
      <w:bookmarkEnd w:id="9"/>
      <w:bookmarkEnd w:id="10"/>
      <w:bookmarkEnd w:id="11"/>
      <w:bookmarkStart w:id="32" w:name="_Toc363474017"/>
      <w:bookmarkStart w:id="33" w:name="_Toc363473972"/>
      <w:bookmarkStart w:id="34" w:name="_Toc403077639"/>
      <w:r>
        <w:rPr>
          <w:rFonts w:hint="eastAsia" w:hAnsi="宋体" w:cs="宋体"/>
          <w:b/>
          <w:color w:val="auto"/>
          <w:sz w:val="32"/>
          <w:szCs w:val="32"/>
          <w:highlight w:val="none"/>
        </w:rPr>
        <w:t>一.总  则</w:t>
      </w:r>
      <w:bookmarkEnd w:id="32"/>
      <w:bookmarkEnd w:id="33"/>
      <w:bookmarkEnd w:id="34"/>
    </w:p>
    <w:p>
      <w:pPr>
        <w:spacing w:line="500" w:lineRule="exact"/>
        <w:rPr>
          <w:rFonts w:hAnsi="宋体" w:cs="宋体"/>
          <w:b/>
          <w:color w:val="auto"/>
          <w:szCs w:val="24"/>
          <w:highlight w:val="none"/>
        </w:rPr>
      </w:pPr>
      <w:r>
        <w:rPr>
          <w:rFonts w:hint="eastAsia" w:hAnsi="宋体" w:cs="宋体"/>
          <w:b/>
          <w:color w:val="auto"/>
          <w:szCs w:val="24"/>
          <w:highlight w:val="none"/>
        </w:rPr>
        <w:t>1.资金来源</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1.1本次招标采购所签合同使用</w:t>
      </w:r>
      <w:r>
        <w:rPr>
          <w:rFonts w:hint="eastAsia" w:hAnsi="宋体" w:cs="宋体"/>
          <w:color w:val="auto"/>
          <w:szCs w:val="24"/>
          <w:highlight w:val="none"/>
          <w:lang w:eastAsia="zh-CN"/>
        </w:rPr>
        <w:t>财政拨款</w:t>
      </w:r>
      <w:r>
        <w:rPr>
          <w:rFonts w:hint="eastAsia" w:hAnsi="宋体" w:cs="宋体"/>
          <w:color w:val="auto"/>
          <w:szCs w:val="24"/>
          <w:highlight w:val="none"/>
        </w:rPr>
        <w:t>支付，资金已落实到位。</w:t>
      </w:r>
    </w:p>
    <w:p>
      <w:pPr>
        <w:numPr>
          <w:ilvl w:val="0"/>
          <w:numId w:val="1"/>
        </w:numPr>
        <w:spacing w:line="500" w:lineRule="exact"/>
        <w:rPr>
          <w:rFonts w:hAnsi="宋体" w:cs="宋体"/>
          <w:b/>
          <w:color w:val="auto"/>
          <w:szCs w:val="24"/>
          <w:highlight w:val="none"/>
        </w:rPr>
      </w:pPr>
      <w:r>
        <w:rPr>
          <w:rFonts w:hint="eastAsia" w:hAnsi="宋体" w:cs="宋体"/>
          <w:b/>
          <w:color w:val="auto"/>
          <w:szCs w:val="24"/>
          <w:highlight w:val="none"/>
        </w:rPr>
        <w:t>名词解释</w:t>
      </w:r>
    </w:p>
    <w:p>
      <w:pPr>
        <w:tabs>
          <w:tab w:val="left" w:pos="7665"/>
        </w:tabs>
        <w:spacing w:line="500" w:lineRule="exact"/>
        <w:ind w:firstLine="480" w:firstLineChars="200"/>
        <w:rPr>
          <w:rFonts w:hint="eastAsia" w:hAnsi="宋体" w:eastAsia="宋体" w:cs="宋体"/>
          <w:color w:val="auto"/>
          <w:highlight w:val="none"/>
          <w:lang w:val="en-US" w:eastAsia="zh-CN"/>
        </w:rPr>
      </w:pPr>
      <w:r>
        <w:rPr>
          <w:rFonts w:hint="eastAsia" w:hAnsi="宋体" w:cs="宋体"/>
          <w:color w:val="auto"/>
          <w:highlight w:val="none"/>
        </w:rPr>
        <w:t>2.1采购人：</w:t>
      </w:r>
      <w:r>
        <w:rPr>
          <w:rFonts w:hint="eastAsia" w:hAnsi="宋体"/>
          <w:color w:val="auto"/>
          <w:highlight w:val="none"/>
          <w:lang w:eastAsia="zh-CN"/>
        </w:rPr>
        <w:t>西安铁路运输检察院。</w:t>
      </w:r>
    </w:p>
    <w:p>
      <w:pPr>
        <w:tabs>
          <w:tab w:val="left" w:pos="7665"/>
        </w:tabs>
        <w:spacing w:line="500" w:lineRule="exact"/>
        <w:ind w:firstLine="480" w:firstLineChars="200"/>
        <w:rPr>
          <w:rFonts w:hint="eastAsia" w:hAnsi="宋体" w:eastAsia="宋体" w:cs="宋体"/>
          <w:color w:val="auto"/>
          <w:highlight w:val="none"/>
          <w:lang w:eastAsia="zh-CN"/>
        </w:rPr>
      </w:pPr>
      <w:r>
        <w:rPr>
          <w:rFonts w:hint="eastAsia" w:hAnsi="宋体" w:cs="宋体"/>
          <w:color w:val="auto"/>
          <w:highlight w:val="none"/>
        </w:rPr>
        <w:t>2.2监督机构：</w:t>
      </w:r>
      <w:r>
        <w:rPr>
          <w:rFonts w:hint="eastAsia" w:hAnsi="宋体" w:cs="宋体"/>
          <w:color w:val="auto"/>
          <w:highlight w:val="none"/>
          <w:lang w:eastAsia="zh-CN"/>
        </w:rPr>
        <w:t>同级人民财政部门</w:t>
      </w:r>
    </w:p>
    <w:p>
      <w:pPr>
        <w:tabs>
          <w:tab w:val="left" w:pos="7665"/>
        </w:tabs>
        <w:spacing w:line="500" w:lineRule="exact"/>
        <w:ind w:firstLine="480" w:firstLineChars="200"/>
        <w:rPr>
          <w:rFonts w:hint="eastAsia" w:hAnsi="宋体" w:eastAsia="宋体" w:cs="宋体"/>
          <w:color w:val="auto"/>
          <w:highlight w:val="none"/>
          <w:lang w:eastAsia="zh-CN"/>
        </w:rPr>
      </w:pPr>
      <w:r>
        <w:rPr>
          <w:rFonts w:hint="eastAsia" w:hAnsi="宋体" w:cs="宋体"/>
          <w:color w:val="auto"/>
          <w:highlight w:val="none"/>
        </w:rPr>
        <w:t>2.3采购代理机构：陕西至诚招标咨询有限公司</w:t>
      </w:r>
      <w:r>
        <w:rPr>
          <w:rFonts w:hint="eastAsia" w:hAnsi="宋体" w:cs="宋体"/>
          <w:color w:val="auto"/>
          <w:highlight w:val="none"/>
          <w:lang w:eastAsia="zh-CN"/>
        </w:rPr>
        <w:t>。</w:t>
      </w:r>
    </w:p>
    <w:p>
      <w:pPr>
        <w:tabs>
          <w:tab w:val="left" w:pos="7665"/>
        </w:tabs>
        <w:spacing w:line="500" w:lineRule="exact"/>
        <w:ind w:firstLine="480" w:firstLineChars="200"/>
        <w:rPr>
          <w:rFonts w:hAnsi="宋体" w:cs="宋体"/>
          <w:color w:val="auto"/>
          <w:highlight w:val="none"/>
        </w:rPr>
      </w:pPr>
      <w:r>
        <w:rPr>
          <w:rFonts w:hint="eastAsia" w:hAnsi="宋体" w:cs="宋体"/>
          <w:color w:val="auto"/>
          <w:highlight w:val="none"/>
        </w:rPr>
        <w:t>2.4</w:t>
      </w:r>
      <w:r>
        <w:rPr>
          <w:rFonts w:hint="eastAsia" w:hAnsi="宋体" w:cs="宋体"/>
          <w:color w:val="auto"/>
          <w:highlight w:val="none"/>
          <w:lang w:eastAsia="zh-CN"/>
        </w:rPr>
        <w:t>投标人</w:t>
      </w:r>
      <w:r>
        <w:rPr>
          <w:rFonts w:hint="eastAsia" w:hAnsi="宋体" w:cs="宋体"/>
          <w:color w:val="auto"/>
          <w:highlight w:val="none"/>
        </w:rPr>
        <w:t>：是指响应和符合招标文件规定资格条件且参与投标竞争的法人、其他组织或者自然人。</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2.5产品是指本招标文件中第四章所述所有产品。</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2.6服务是指供应商为满足招标文件要求而提供的服务。</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2.7节能产品或者环保产品是指财政部发布的《节能产品政府采购清单》或《环境标志产品政府采购清单》的产品。</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2.8进口产品是指通过中国海关报关验放进入中国境内且产自关境外的产品，详见《关于政府采购进口产品管理有关问题的通知》(财库[2007]119号)。</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2.9中小企业是指符合《工业和信息化部、国家统计局、国家发展和改革委员会、财政部关于印发中小企业划型标准规定的通知》（工信部联企业[2011]300号）规定的对中小企业的划分标准的企业。</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2.10监狱企业是指由司法部认定的为罪犯、戒毒人员提供生产项目和劳动对象，且全部产权属于司法部监狱管理局、戒毒管理局、直属煤矿管理局，各省、自治区、直辖市监狱管理局、戒毒管理局</w:t>
      </w:r>
      <w:r>
        <w:rPr>
          <w:rFonts w:hint="eastAsia" w:hAnsi="宋体" w:cs="宋体"/>
          <w:color w:val="auto"/>
          <w:highlight w:val="none"/>
          <w:lang w:eastAsia="zh-CN"/>
        </w:rPr>
        <w:t>、</w:t>
      </w:r>
      <w:r>
        <w:rPr>
          <w:rFonts w:hint="eastAsia" w:hAnsi="宋体" w:cs="宋体"/>
          <w:color w:val="auto"/>
          <w:highlight w:val="none"/>
        </w:rPr>
        <w:t>各地（设区的市）监狱、强制隔离戒毒所、戒毒康复所，以及新疆生产建设兵团监狱管理局、戒毒管理局的企业。</w:t>
      </w:r>
    </w:p>
    <w:p>
      <w:pPr>
        <w:adjustRightInd w:val="0"/>
        <w:snapToGrid w:val="0"/>
        <w:spacing w:line="500" w:lineRule="exact"/>
        <w:ind w:firstLine="480" w:firstLineChars="200"/>
        <w:rPr>
          <w:rFonts w:hAnsi="宋体" w:cs="宋体"/>
          <w:color w:val="auto"/>
          <w:highlight w:val="none"/>
        </w:rPr>
      </w:pPr>
      <w:r>
        <w:rPr>
          <w:rFonts w:hint="eastAsia" w:hAnsi="宋体" w:cs="宋体"/>
          <w:color w:val="auto"/>
          <w:highlight w:val="none"/>
        </w:rPr>
        <w:t>2.11残疾人福利性单位是指符合《三部门联合发布关于促进残疾人就业政府采购政策的通知》财库〔2017〕141号规定的对残疾人福利性单位划分标准的单位。</w:t>
      </w:r>
    </w:p>
    <w:p>
      <w:pPr>
        <w:spacing w:line="500" w:lineRule="exact"/>
        <w:rPr>
          <w:rFonts w:hAnsi="宋体" w:cs="宋体"/>
          <w:b/>
          <w:color w:val="auto"/>
          <w:szCs w:val="24"/>
          <w:highlight w:val="none"/>
        </w:rPr>
      </w:pPr>
      <w:r>
        <w:rPr>
          <w:rFonts w:hint="eastAsia" w:hAnsi="宋体" w:cs="宋体"/>
          <w:b/>
          <w:color w:val="auto"/>
          <w:szCs w:val="24"/>
          <w:highlight w:val="none"/>
        </w:rPr>
        <w:t>3.合格的供应商</w:t>
      </w:r>
    </w:p>
    <w:p>
      <w:pPr>
        <w:tabs>
          <w:tab w:val="left" w:pos="851"/>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3.1《政府采购法》第二十二条第一款规定的供应商基本资格条件: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（1）具有独立承担民事责任的能力；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（2）具有良好的商业信誉和健全的财务会计制度；</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（3）具有履行合同所必需的设备和专业技术能力；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（4）有依法缴纳税收的良好记录；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（5）参加政府采购活动前三年内，在经营活动中没有重大违法记录；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（6）法律、行政法规规定的其他条件。</w:t>
      </w:r>
    </w:p>
    <w:p>
      <w:pPr>
        <w:spacing w:line="500" w:lineRule="exact"/>
        <w:ind w:firstLine="480" w:firstLineChars="200"/>
        <w:rPr>
          <w:rFonts w:hAnsi="宋体" w:cs="宋体"/>
          <w:color w:val="auto"/>
          <w:szCs w:val="24"/>
          <w:highlight w:val="none"/>
        </w:rPr>
      </w:pPr>
      <w:r>
        <w:rPr>
          <w:rFonts w:hAnsi="宋体" w:cs="宋体"/>
          <w:color w:val="auto"/>
          <w:szCs w:val="24"/>
          <w:highlight w:val="none"/>
        </w:rPr>
        <w:t>3.2</w:t>
      </w:r>
      <w:r>
        <w:rPr>
          <w:rFonts w:hint="eastAsia" w:hAnsi="宋体" w:cs="宋体"/>
          <w:color w:val="auto"/>
          <w:szCs w:val="24"/>
          <w:highlight w:val="none"/>
        </w:rPr>
        <w:t>根据本次采购项目的特殊要求，规定的供应商特殊条件（见供应商须知前附表）。</w:t>
      </w:r>
    </w:p>
    <w:p>
      <w:pPr>
        <w:spacing w:line="500" w:lineRule="exact"/>
        <w:ind w:firstLine="480" w:firstLineChars="200"/>
        <w:rPr>
          <w:rFonts w:hint="eastAsia" w:hAnsi="宋体" w:cs="宋体"/>
          <w:color w:val="auto"/>
          <w:szCs w:val="24"/>
          <w:highlight w:val="none"/>
        </w:rPr>
      </w:pPr>
      <w:r>
        <w:rPr>
          <w:rFonts w:hAnsi="宋体" w:cs="宋体"/>
          <w:color w:val="auto"/>
          <w:szCs w:val="24"/>
          <w:highlight w:val="none"/>
        </w:rPr>
        <w:t>3.3</w:t>
      </w:r>
      <w:r>
        <w:rPr>
          <w:rFonts w:hint="eastAsia" w:hAnsi="宋体" w:cs="宋体"/>
          <w:color w:val="auto"/>
          <w:szCs w:val="24"/>
          <w:highlight w:val="none"/>
        </w:rPr>
        <w:t>单位负责人为同一人或者存在直接控股、管理关系的不同供应商，不得参加同一合同项下的政府采购活动。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除单一来源采购项目外，为采购项目提供整体设计、规范编制或者项目管理、监理、检测等服务的供应商，不得再参加该采购项目的其他采购活动，否则均为无效投标。</w:t>
      </w:r>
    </w:p>
    <w:p>
      <w:pPr>
        <w:spacing w:line="500" w:lineRule="exact"/>
        <w:ind w:firstLine="480" w:firstLineChars="200"/>
        <w:rPr>
          <w:rFonts w:hAnsi="宋体" w:cs="宋体"/>
          <w:color w:val="auto"/>
          <w:szCs w:val="24"/>
          <w:highlight w:val="none"/>
        </w:rPr>
      </w:pPr>
      <w:r>
        <w:rPr>
          <w:rFonts w:hAnsi="宋体" w:cs="宋体"/>
          <w:color w:val="auto"/>
          <w:szCs w:val="24"/>
          <w:highlight w:val="none"/>
        </w:rPr>
        <w:t>3.4</w:t>
      </w:r>
      <w:r>
        <w:rPr>
          <w:rFonts w:hint="eastAsia" w:hAnsi="宋体" w:cs="宋体"/>
          <w:color w:val="auto"/>
          <w:szCs w:val="24"/>
          <w:highlight w:val="none"/>
        </w:rPr>
        <w:t>供应商必须在陕西至诚招标咨询有限公司</w:t>
      </w:r>
      <w:r>
        <w:rPr>
          <w:rFonts w:hint="eastAsia" w:hAnsi="宋体" w:cs="宋体"/>
          <w:color w:val="auto"/>
          <w:szCs w:val="24"/>
          <w:highlight w:val="none"/>
          <w:lang w:eastAsia="zh-CN"/>
        </w:rPr>
        <w:t>报名并领取</w:t>
      </w:r>
      <w:r>
        <w:rPr>
          <w:rFonts w:hint="eastAsia" w:hAnsi="宋体" w:cs="宋体"/>
          <w:color w:val="auto"/>
          <w:szCs w:val="24"/>
          <w:highlight w:val="none"/>
        </w:rPr>
        <w:t>招标文件，方可参加投标。</w:t>
      </w:r>
    </w:p>
    <w:p>
      <w:pPr>
        <w:spacing w:line="500" w:lineRule="exact"/>
        <w:ind w:firstLine="480" w:firstLineChars="200"/>
        <w:rPr>
          <w:rFonts w:hint="eastAsia" w:hAnsi="宋体" w:eastAsia="宋体" w:cs="宋体"/>
          <w:color w:val="auto"/>
          <w:szCs w:val="24"/>
          <w:highlight w:val="none"/>
          <w:lang w:eastAsia="zh-CN"/>
        </w:rPr>
      </w:pPr>
      <w:bookmarkStart w:id="35" w:name="OLE_LINK33"/>
      <w:r>
        <w:rPr>
          <w:rFonts w:hAnsi="宋体" w:cs="宋体"/>
          <w:color w:val="auto"/>
          <w:szCs w:val="24"/>
          <w:highlight w:val="none"/>
        </w:rPr>
        <w:t>3.</w:t>
      </w:r>
      <w:bookmarkEnd w:id="35"/>
      <w:r>
        <w:rPr>
          <w:rFonts w:hAnsi="宋体" w:cs="宋体"/>
          <w:color w:val="auto"/>
          <w:szCs w:val="24"/>
          <w:highlight w:val="none"/>
        </w:rPr>
        <w:t>5</w:t>
      </w:r>
      <w:r>
        <w:rPr>
          <w:rFonts w:hint="eastAsia" w:hAnsi="宋体" w:cs="宋体"/>
          <w:color w:val="auto"/>
          <w:szCs w:val="24"/>
          <w:highlight w:val="none"/>
        </w:rPr>
        <w:t>联合体投标</w:t>
      </w:r>
      <w:r>
        <w:rPr>
          <w:rFonts w:hint="eastAsia" w:hAnsi="宋体" w:cs="宋体"/>
          <w:color w:val="auto"/>
          <w:szCs w:val="24"/>
          <w:highlight w:val="none"/>
          <w:lang w:eastAsia="zh-CN"/>
        </w:rPr>
        <w:t>。</w:t>
      </w:r>
    </w:p>
    <w:p>
      <w:pPr>
        <w:spacing w:line="500" w:lineRule="exact"/>
        <w:ind w:firstLine="480" w:firstLineChars="200"/>
        <w:rPr>
          <w:rFonts w:hAnsi="宋体" w:cs="宋体"/>
          <w:color w:val="auto"/>
          <w:szCs w:val="24"/>
          <w:highlight w:val="none"/>
        </w:rPr>
      </w:pPr>
      <w:r>
        <w:rPr>
          <w:rFonts w:hAnsi="宋体" w:cs="宋体"/>
          <w:color w:val="auto"/>
          <w:szCs w:val="24"/>
          <w:highlight w:val="none"/>
        </w:rPr>
        <w:t>3.5.1</w:t>
      </w:r>
      <w:r>
        <w:rPr>
          <w:rFonts w:hint="eastAsia" w:hAnsi="宋体" w:cs="宋体"/>
          <w:color w:val="auto"/>
          <w:szCs w:val="24"/>
          <w:highlight w:val="none"/>
        </w:rPr>
        <w:t>如果在招标文件中接受联合体投标（见供应商须知前附表），则两个以上供应商可以组成一个投标联合体，以一个供应商的身份投标。以联合体形式参加投标的，联合体各方均应当符合</w:t>
      </w:r>
      <w:r>
        <w:rPr>
          <w:rFonts w:hint="eastAsia" w:hAnsi="宋体" w:cs="宋体"/>
          <w:color w:val="auto"/>
          <w:highlight w:val="none"/>
        </w:rPr>
        <w:t>《中华人民共和国政府采购法》及实施条例规定的条件</w:t>
      </w:r>
      <w:r>
        <w:rPr>
          <w:rFonts w:hint="eastAsia" w:hAnsi="宋体" w:cs="宋体"/>
          <w:color w:val="auto"/>
          <w:szCs w:val="24"/>
          <w:highlight w:val="none"/>
        </w:rPr>
        <w:t>。采购人根据采购项目的特殊要求规定供应商特定条件的，联合体各方中至少应当有一方符合采购人规定的特定条件。</w:t>
      </w:r>
    </w:p>
    <w:p>
      <w:pPr>
        <w:spacing w:line="500" w:lineRule="exact"/>
        <w:ind w:firstLine="468" w:firstLineChars="195"/>
        <w:rPr>
          <w:rFonts w:hAnsi="宋体" w:cs="宋体"/>
          <w:color w:val="auto"/>
          <w:szCs w:val="24"/>
          <w:highlight w:val="none"/>
        </w:rPr>
      </w:pPr>
      <w:r>
        <w:rPr>
          <w:rFonts w:hAnsi="宋体" w:cs="宋体"/>
          <w:color w:val="auto"/>
          <w:szCs w:val="24"/>
          <w:highlight w:val="none"/>
        </w:rPr>
        <w:t>3.5.2</w:t>
      </w:r>
      <w:r>
        <w:rPr>
          <w:rFonts w:hint="eastAsia" w:hAnsi="宋体" w:cs="宋体"/>
          <w:color w:val="auto"/>
          <w:szCs w:val="24"/>
          <w:highlight w:val="none"/>
        </w:rPr>
        <w:t>联合体各方之间应当签订共同投标协议，明确约定联合体各方承担的工作和相应的责任，并将共同投标协议连同投标文件一并提交</w:t>
      </w:r>
      <w:r>
        <w:rPr>
          <w:rFonts w:hint="eastAsia" w:hAnsi="宋体" w:cs="宋体"/>
          <w:color w:val="auto"/>
          <w:highlight w:val="none"/>
        </w:rPr>
        <w:t>采购代理机构</w:t>
      </w:r>
      <w:r>
        <w:rPr>
          <w:rFonts w:hint="eastAsia" w:hAnsi="宋体" w:cs="宋体"/>
          <w:color w:val="auto"/>
          <w:szCs w:val="24"/>
          <w:highlight w:val="none"/>
        </w:rPr>
        <w:t>。联合体各方签订共同投标协议后，不得再以自己名义单独在同一项目中投标，也不得组成新的联合体参加同一项目投标。</w:t>
      </w:r>
    </w:p>
    <w:p>
      <w:pPr>
        <w:pStyle w:val="9"/>
        <w:spacing w:line="500" w:lineRule="exact"/>
        <w:ind w:firstLine="480" w:firstLineChars="200"/>
        <w:rPr>
          <w:rFonts w:ascii="宋体" w:cs="宋体"/>
          <w:color w:val="auto"/>
          <w:szCs w:val="24"/>
          <w:highlight w:val="none"/>
        </w:rPr>
      </w:pPr>
      <w:r>
        <w:rPr>
          <w:rFonts w:ascii="宋体" w:hAnsi="宋体" w:cs="宋体"/>
          <w:color w:val="auto"/>
          <w:sz w:val="24"/>
          <w:szCs w:val="24"/>
          <w:highlight w:val="none"/>
        </w:rPr>
        <w:t>3.5.3</w:t>
      </w:r>
      <w:r>
        <w:rPr>
          <w:rFonts w:hint="eastAsia" w:ascii="宋体" w:hAnsi="宋体" w:cs="宋体"/>
          <w:color w:val="auto"/>
          <w:sz w:val="24"/>
          <w:szCs w:val="24"/>
          <w:highlight w:val="none"/>
        </w:rPr>
        <w:t>联合体各方应当共同与采购人签订采购合同，就采购合同约定的事项对采购人承担连带责任。</w:t>
      </w:r>
    </w:p>
    <w:p>
      <w:pPr>
        <w:spacing w:line="500" w:lineRule="exact"/>
        <w:ind w:firstLine="480" w:firstLineChars="200"/>
        <w:rPr>
          <w:rFonts w:hAnsi="宋体" w:cs="宋体"/>
          <w:color w:val="auto"/>
          <w:szCs w:val="24"/>
          <w:highlight w:val="none"/>
        </w:rPr>
      </w:pPr>
      <w:r>
        <w:rPr>
          <w:rFonts w:hAnsi="宋体" w:cs="宋体"/>
          <w:color w:val="auto"/>
          <w:szCs w:val="24"/>
          <w:highlight w:val="none"/>
        </w:rPr>
        <w:t>3.6</w:t>
      </w:r>
      <w:r>
        <w:rPr>
          <w:rFonts w:hint="eastAsia" w:hAnsi="宋体" w:cs="宋体"/>
          <w:color w:val="auto"/>
          <w:szCs w:val="24"/>
          <w:highlight w:val="none"/>
        </w:rPr>
        <w:t>投标费用自理。不论投标的结果如何，供应商均应自行承担所有与参加投标有关的费用。</w:t>
      </w:r>
    </w:p>
    <w:p>
      <w:pPr>
        <w:tabs>
          <w:tab w:val="left" w:pos="747"/>
        </w:tabs>
        <w:snapToGrid w:val="0"/>
        <w:spacing w:line="500" w:lineRule="exact"/>
        <w:rPr>
          <w:rFonts w:hAnsi="宋体" w:cs="宋体"/>
          <w:b/>
          <w:bCs/>
          <w:color w:val="auto"/>
          <w:highlight w:val="none"/>
        </w:rPr>
      </w:pPr>
      <w:r>
        <w:rPr>
          <w:rFonts w:hint="eastAsia" w:hAnsi="宋体" w:cs="宋体"/>
          <w:b/>
          <w:bCs/>
          <w:color w:val="auto"/>
          <w:highlight w:val="none"/>
        </w:rPr>
        <w:t>4.合格的货物（产品）和服务</w:t>
      </w:r>
    </w:p>
    <w:p>
      <w:pPr>
        <w:tabs>
          <w:tab w:val="left" w:pos="747"/>
        </w:tabs>
        <w:snapToGrid w:val="0"/>
        <w:spacing w:line="500" w:lineRule="exact"/>
        <w:ind w:firstLine="480" w:firstLineChars="200"/>
        <w:rPr>
          <w:rFonts w:hAnsi="宋体" w:cs="宋体"/>
          <w:color w:val="auto"/>
          <w:highlight w:val="none"/>
        </w:rPr>
      </w:pPr>
      <w:r>
        <w:rPr>
          <w:rFonts w:hAnsi="宋体" w:cs="宋体"/>
          <w:color w:val="auto"/>
          <w:highlight w:val="none"/>
        </w:rPr>
        <w:t>4.1</w:t>
      </w:r>
      <w:r>
        <w:rPr>
          <w:rFonts w:hint="eastAsia" w:hAnsi="宋体" w:cs="宋体"/>
          <w:color w:val="auto"/>
          <w:highlight w:val="none"/>
          <w:lang w:eastAsia="zh-CN"/>
        </w:rPr>
        <w:t>投标人</w:t>
      </w:r>
      <w:r>
        <w:rPr>
          <w:rFonts w:hint="eastAsia" w:hAnsi="宋体" w:cs="宋体"/>
          <w:color w:val="auto"/>
          <w:highlight w:val="none"/>
        </w:rPr>
        <w:t>提供的所有货物和服务，必须是合法生产、合法来源，符合国家有关标准要求，并满足招标文件规定的规格、参数、质量、价格、有效期、售后服务及供应商须承担的运输、安装、技术支持、培训和招标文件规定的其它伴随服务等要求。</w:t>
      </w:r>
    </w:p>
    <w:p>
      <w:pPr>
        <w:tabs>
          <w:tab w:val="left" w:pos="747"/>
        </w:tabs>
        <w:snapToGrid w:val="0"/>
        <w:spacing w:line="500" w:lineRule="exact"/>
        <w:ind w:firstLine="480" w:firstLineChars="200"/>
        <w:rPr>
          <w:rFonts w:hAnsi="宋体" w:cs="宋体"/>
          <w:color w:val="auto"/>
          <w:szCs w:val="24"/>
          <w:highlight w:val="none"/>
        </w:rPr>
      </w:pPr>
      <w:r>
        <w:rPr>
          <w:rFonts w:hAnsi="宋体" w:cs="宋体"/>
          <w:color w:val="auto"/>
          <w:highlight w:val="none"/>
        </w:rPr>
        <w:t>4.2</w:t>
      </w:r>
      <w:r>
        <w:rPr>
          <w:rFonts w:hint="eastAsia" w:hAnsi="宋体" w:cs="宋体"/>
          <w:color w:val="auto"/>
          <w:highlight w:val="none"/>
        </w:rPr>
        <w:t>采购人有权拒绝接受任何不合格的产品和服务，由此产生的费用及相关后果均由供应商自行承担。</w:t>
      </w:r>
    </w:p>
    <w:p>
      <w:pPr>
        <w:spacing w:line="500" w:lineRule="exact"/>
        <w:rPr>
          <w:rFonts w:hAnsi="宋体" w:cs="宋体"/>
          <w:b/>
          <w:color w:val="auto"/>
          <w:szCs w:val="24"/>
          <w:highlight w:val="none"/>
        </w:rPr>
      </w:pPr>
      <w:r>
        <w:rPr>
          <w:rFonts w:hint="eastAsia" w:hAnsi="宋体" w:cs="宋体"/>
          <w:b/>
          <w:color w:val="auto"/>
          <w:szCs w:val="24"/>
          <w:highlight w:val="none"/>
        </w:rPr>
        <w:t>5.投标文件内容的真实性</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5.1供应商应保证其投标文件中所提供的所有投标资料、信息是真实的，并且来源于合法的渠道。因投标文件中所提供的投标资料、信息不真实或者其来源不合法而导致的所有法律责任，由供应商自行承担。</w:t>
      </w:r>
    </w:p>
    <w:p>
      <w:pPr>
        <w:spacing w:before="333" w:beforeLines="100"/>
        <w:jc w:val="center"/>
        <w:rPr>
          <w:rFonts w:hAnsi="宋体" w:cs="宋体"/>
          <w:b/>
          <w:color w:val="auto"/>
          <w:sz w:val="32"/>
          <w:szCs w:val="32"/>
          <w:highlight w:val="none"/>
        </w:rPr>
      </w:pPr>
      <w:bookmarkStart w:id="36" w:name="_Toc363474018"/>
      <w:bookmarkStart w:id="37" w:name="_Toc363473973"/>
      <w:bookmarkStart w:id="38" w:name="_Toc21955"/>
      <w:bookmarkStart w:id="39" w:name="_Toc403077640"/>
      <w:r>
        <w:rPr>
          <w:rFonts w:hint="eastAsia" w:hAnsi="宋体" w:cs="宋体"/>
          <w:b/>
          <w:color w:val="auto"/>
          <w:sz w:val="32"/>
          <w:szCs w:val="32"/>
          <w:highlight w:val="none"/>
        </w:rPr>
        <w:t>二、招标文件</w:t>
      </w:r>
      <w:bookmarkEnd w:id="36"/>
      <w:bookmarkEnd w:id="37"/>
      <w:bookmarkEnd w:id="38"/>
      <w:bookmarkEnd w:id="39"/>
    </w:p>
    <w:p>
      <w:pPr>
        <w:spacing w:line="500" w:lineRule="exact"/>
        <w:rPr>
          <w:rFonts w:hAnsi="宋体" w:cs="宋体"/>
          <w:b/>
          <w:color w:val="auto"/>
          <w:szCs w:val="24"/>
          <w:highlight w:val="none"/>
        </w:rPr>
      </w:pPr>
      <w:r>
        <w:rPr>
          <w:rFonts w:hint="eastAsia" w:hAnsi="宋体" w:cs="宋体"/>
          <w:b/>
          <w:color w:val="auto"/>
          <w:szCs w:val="24"/>
          <w:highlight w:val="none"/>
        </w:rPr>
        <w:t>6.招标文件构成</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6.1 招标文件要求提供的货物、服务，招标程序和合同条件在招标文件中均有说明。招标文件共六章，内容如下：</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第一章 招标公告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第二章 投标人须知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投标人须知前附表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第三章 合同条款及格式</w:t>
      </w:r>
    </w:p>
    <w:p>
      <w:pPr>
        <w:spacing w:line="500" w:lineRule="exact"/>
        <w:ind w:firstLine="840" w:firstLineChars="350"/>
        <w:rPr>
          <w:rFonts w:hAnsi="宋体" w:cs="宋体"/>
          <w:color w:val="auto"/>
          <w:szCs w:val="24"/>
          <w:highlight w:val="none"/>
        </w:rPr>
      </w:pPr>
      <w:r>
        <w:rPr>
          <w:rFonts w:hint="eastAsia" w:hAnsi="宋体" w:cs="宋体"/>
          <w:color w:val="auto"/>
          <w:szCs w:val="24"/>
          <w:highlight w:val="none"/>
        </w:rPr>
        <w:t>合同条款及格式前附表</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第四章 采购内容及技术要求</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第五章 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第六章 投标文件构成及格式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6.2</w:t>
      </w:r>
      <w:r>
        <w:rPr>
          <w:rFonts w:hint="eastAsia" w:hAnsi="宋体" w:cs="宋体"/>
          <w:color w:val="auto"/>
          <w:szCs w:val="24"/>
          <w:highlight w:val="none"/>
          <w:lang w:eastAsia="zh-CN"/>
        </w:rPr>
        <w:t>投标人</w:t>
      </w:r>
      <w:r>
        <w:rPr>
          <w:rFonts w:hint="eastAsia" w:hAnsi="宋体" w:cs="宋体"/>
          <w:color w:val="auto"/>
          <w:szCs w:val="24"/>
          <w:highlight w:val="none"/>
        </w:rPr>
        <w:t>应认真阅读招标文件中所有的事项、格式、条款和规范等要求。如果投标人没有按照招标文件要求提交全部资料，或者投标文件没有对招标文件在各方面都做出实质性响应，由此带来不利于投标人的评标结果，其风险由供应商承担。</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6.3本招标文件的解释权归陕西至诚招标咨询有限公司，如发现招标文件内容与现行法律法规不相符的情况，以现行法律法规为准。</w:t>
      </w:r>
    </w:p>
    <w:p>
      <w:pPr>
        <w:spacing w:line="500" w:lineRule="exact"/>
        <w:rPr>
          <w:rFonts w:hAnsi="宋体" w:cs="宋体"/>
          <w:b/>
          <w:color w:val="auto"/>
          <w:szCs w:val="24"/>
          <w:highlight w:val="none"/>
        </w:rPr>
      </w:pPr>
      <w:r>
        <w:rPr>
          <w:rFonts w:hint="eastAsia" w:hAnsi="宋体" w:cs="宋体"/>
          <w:b/>
          <w:color w:val="auto"/>
          <w:szCs w:val="24"/>
          <w:highlight w:val="none"/>
        </w:rPr>
        <w:t>7.招标文件的修改和澄清</w:t>
      </w:r>
    </w:p>
    <w:p>
      <w:pPr>
        <w:tabs>
          <w:tab w:val="left" w:pos="720"/>
        </w:tabs>
        <w:spacing w:line="500" w:lineRule="exact"/>
        <w:ind w:firstLine="480" w:firstLineChars="200"/>
        <w:rPr>
          <w:rFonts w:hAnsi="宋体" w:cs="宋体"/>
          <w:color w:val="auto"/>
          <w:highlight w:val="none"/>
        </w:rPr>
      </w:pPr>
      <w:r>
        <w:rPr>
          <w:rFonts w:hint="eastAsia" w:hAnsi="宋体" w:cs="宋体"/>
          <w:color w:val="auto"/>
          <w:highlight w:val="none"/>
        </w:rPr>
        <w:t>7.1 在投标截止时间前，采购代理机构无论出于何种原因，可以对已发出招标文件进行必要的澄清或者修改，但不得修改采购标的和资格条件。</w:t>
      </w:r>
    </w:p>
    <w:p>
      <w:pPr>
        <w:spacing w:line="500" w:lineRule="exact"/>
        <w:ind w:firstLine="480" w:firstLineChars="200"/>
        <w:rPr>
          <w:rFonts w:hAnsi="宋体" w:cs="宋体"/>
          <w:color w:val="auto"/>
          <w:highlight w:val="none"/>
        </w:rPr>
      </w:pPr>
      <w:r>
        <w:rPr>
          <w:rFonts w:hint="eastAsia" w:hAnsi="宋体" w:cs="宋体"/>
          <w:color w:val="auto"/>
          <w:highlight w:val="none"/>
        </w:rPr>
        <w:t>7.2 澄清或者修改的内容可能影响投标文件编制的，采购代理机构应当在投标文件截止时间</w:t>
      </w:r>
      <w:r>
        <w:rPr>
          <w:rFonts w:hint="eastAsia" w:hAnsi="宋体" w:cs="宋体"/>
          <w:bCs/>
          <w:color w:val="auto"/>
          <w:highlight w:val="none"/>
        </w:rPr>
        <w:t>15日前，以书面形式将澄清或者修改的内容通知所有获取招标文件的潜在供应商，同时在原信息发布媒体上发布变更公告。该澄清或者修改的内容为招标文件的组成部分。如果澄清或者修改发出的时间距规定的投标截止时间不足15日，将相应</w:t>
      </w:r>
      <w:r>
        <w:rPr>
          <w:rFonts w:hint="eastAsia" w:hAnsi="宋体" w:cs="宋体"/>
          <w:color w:val="auto"/>
          <w:highlight w:val="none"/>
        </w:rPr>
        <w:t>顺延投标截止时间。</w:t>
      </w:r>
    </w:p>
    <w:p>
      <w:pPr>
        <w:pStyle w:val="2"/>
        <w:spacing w:line="500" w:lineRule="exact"/>
        <w:ind w:firstLine="480" w:firstLineChars="200"/>
        <w:rPr>
          <w:rFonts w:ascii="宋体" w:hAnsi="宋体" w:cs="宋体"/>
          <w:color w:val="auto"/>
          <w:kern w:val="0"/>
          <w:sz w:val="24"/>
          <w:szCs w:val="22"/>
          <w:highlight w:val="none"/>
        </w:rPr>
      </w:pPr>
      <w:r>
        <w:rPr>
          <w:rFonts w:hint="eastAsia" w:ascii="宋体" w:hAnsi="宋体" w:cs="宋体"/>
          <w:color w:val="auto"/>
          <w:kern w:val="0"/>
          <w:sz w:val="24"/>
          <w:szCs w:val="22"/>
          <w:highlight w:val="none"/>
        </w:rPr>
        <w:t>7.3在投标文件递交截止时间前，采购代理机构可以视采购具体情况，延长投标截止时间和开标时间并在财政部门指定的媒体上发布变更公告，同时将变更时间书面通知获取招标文件的潜在供应商。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7.4已经购买招标文件的供应商对招标文件有疑问的，均应在购买招标文件后7个工作日内以书面形式向采购代理机构提出。采购代理机构视情况采用适当方式予以澄清或以书面形式予以答复，涉及变更的内容在财政部门指定的媒体上发布变更公告，并以书面形式通知所有购买招标文件的潜在供应商，且作为招标文件的组成部分。</w:t>
      </w:r>
    </w:p>
    <w:p>
      <w:pPr>
        <w:spacing w:line="500" w:lineRule="exact"/>
        <w:ind w:firstLine="480" w:firstLineChars="200"/>
        <w:rPr>
          <w:rFonts w:hAnsi="宋体" w:cs="宋体"/>
          <w:color w:val="auto"/>
          <w:highlight w:val="none"/>
        </w:rPr>
      </w:pPr>
      <w:r>
        <w:rPr>
          <w:rFonts w:hint="eastAsia" w:hAnsi="宋体" w:cs="宋体"/>
          <w:color w:val="auto"/>
          <w:szCs w:val="24"/>
          <w:highlight w:val="none"/>
        </w:rPr>
        <w:t>7.5</w:t>
      </w:r>
      <w:r>
        <w:rPr>
          <w:rFonts w:hint="eastAsia" w:hAnsi="宋体" w:cs="宋体"/>
          <w:color w:val="auto"/>
          <w:highlight w:val="none"/>
        </w:rPr>
        <w:t>供应商在收到上述通知后，应立即向采购代理机构回函确认。</w:t>
      </w:r>
    </w:p>
    <w:p>
      <w:pPr>
        <w:spacing w:line="500" w:lineRule="exact"/>
        <w:rPr>
          <w:rFonts w:hAnsi="宋体" w:cs="宋体"/>
          <w:color w:val="auto"/>
          <w:highlight w:val="none"/>
        </w:rPr>
      </w:pPr>
    </w:p>
    <w:p>
      <w:pPr>
        <w:spacing w:line="500" w:lineRule="exact"/>
        <w:jc w:val="center"/>
        <w:rPr>
          <w:rFonts w:hAnsi="宋体" w:cs="宋体"/>
          <w:b/>
          <w:color w:val="auto"/>
          <w:sz w:val="32"/>
          <w:szCs w:val="32"/>
          <w:highlight w:val="none"/>
        </w:rPr>
      </w:pPr>
      <w:bookmarkStart w:id="40" w:name="_Toc363474019"/>
      <w:bookmarkStart w:id="41" w:name="_Toc403077641"/>
      <w:bookmarkStart w:id="42" w:name="_Toc363473974"/>
      <w:r>
        <w:rPr>
          <w:rFonts w:hint="eastAsia" w:hAnsi="宋体" w:cs="宋体"/>
          <w:b/>
          <w:color w:val="auto"/>
          <w:sz w:val="32"/>
          <w:szCs w:val="32"/>
          <w:highlight w:val="none"/>
        </w:rPr>
        <w:t>三.投标文件的编制</w:t>
      </w:r>
      <w:bookmarkEnd w:id="40"/>
      <w:bookmarkEnd w:id="41"/>
      <w:bookmarkEnd w:id="42"/>
    </w:p>
    <w:p>
      <w:pPr>
        <w:spacing w:line="500" w:lineRule="exact"/>
        <w:rPr>
          <w:rFonts w:hAnsi="宋体" w:cs="宋体"/>
          <w:b/>
          <w:color w:val="auto"/>
          <w:szCs w:val="24"/>
          <w:highlight w:val="none"/>
        </w:rPr>
      </w:pPr>
      <w:r>
        <w:rPr>
          <w:rFonts w:hint="eastAsia" w:hAnsi="宋体" w:cs="宋体"/>
          <w:b/>
          <w:color w:val="auto"/>
          <w:szCs w:val="24"/>
          <w:highlight w:val="none"/>
        </w:rPr>
        <w:t>8. 投标语言和投标货币</w:t>
      </w:r>
    </w:p>
    <w:p>
      <w:pPr>
        <w:spacing w:line="500" w:lineRule="exact"/>
        <w:ind w:firstLine="480" w:firstLineChars="200"/>
        <w:rPr>
          <w:rFonts w:hAnsi="宋体" w:cs="宋体"/>
          <w:b/>
          <w:color w:val="auto"/>
          <w:szCs w:val="24"/>
          <w:highlight w:val="none"/>
        </w:rPr>
      </w:pPr>
      <w:r>
        <w:rPr>
          <w:rFonts w:hint="eastAsia" w:hAnsi="宋体" w:cs="宋体"/>
          <w:color w:val="auto"/>
          <w:szCs w:val="24"/>
          <w:highlight w:val="none"/>
        </w:rPr>
        <w:t>8.1供应商提交的投标文件以及供应商与采购代理机构就有关投标的所有来往函电均应使用中文。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8.2投标应以人民币报价。任何包含非人民币报价的投标将按无效投标处理。</w:t>
      </w:r>
    </w:p>
    <w:p>
      <w:pPr>
        <w:spacing w:line="500" w:lineRule="exact"/>
        <w:rPr>
          <w:rFonts w:hAnsi="宋体" w:cs="宋体"/>
          <w:b/>
          <w:color w:val="auto"/>
          <w:szCs w:val="24"/>
          <w:highlight w:val="none"/>
        </w:rPr>
      </w:pPr>
      <w:r>
        <w:rPr>
          <w:rFonts w:hint="eastAsia" w:hAnsi="宋体" w:cs="宋体"/>
          <w:b/>
          <w:color w:val="auto"/>
          <w:szCs w:val="24"/>
          <w:highlight w:val="none"/>
        </w:rPr>
        <w:t>9.投标文件的构成</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9.1 供应商提交的投标文件应包括下列部分的内容：</w:t>
      </w:r>
    </w:p>
    <w:p>
      <w:pPr>
        <w:spacing w:line="500" w:lineRule="exact"/>
        <w:ind w:firstLine="480" w:firstLineChars="200"/>
        <w:rPr>
          <w:rFonts w:hint="eastAsia" w:hAnsi="宋体" w:eastAsia="宋体" w:cs="宋体"/>
          <w:color w:val="auto"/>
          <w:szCs w:val="24"/>
          <w:highlight w:val="none"/>
          <w:lang w:eastAsia="zh-CN"/>
        </w:rPr>
      </w:pPr>
      <w:r>
        <w:rPr>
          <w:rFonts w:hint="eastAsia" w:hAnsi="宋体" w:cs="宋体"/>
          <w:color w:val="auto"/>
          <w:szCs w:val="24"/>
          <w:highlight w:val="none"/>
        </w:rPr>
        <w:t>（1）按照供应商须知的要求和招标文件规定的格式填写的投标函、投标报价表、法定代表人或负责人授权书</w:t>
      </w:r>
      <w:r>
        <w:rPr>
          <w:rFonts w:hint="eastAsia" w:hAnsi="宋体" w:cs="宋体"/>
          <w:color w:val="auto"/>
          <w:szCs w:val="24"/>
          <w:highlight w:val="none"/>
          <w:lang w:eastAsia="zh-CN"/>
        </w:rPr>
        <w:t>；</w:t>
      </w:r>
    </w:p>
    <w:p>
      <w:pPr>
        <w:spacing w:line="500" w:lineRule="exact"/>
        <w:ind w:firstLine="480" w:firstLineChars="200"/>
        <w:rPr>
          <w:rFonts w:hint="eastAsia" w:hAnsi="宋体" w:eastAsia="宋体" w:cs="宋体"/>
          <w:color w:val="auto"/>
          <w:szCs w:val="24"/>
          <w:highlight w:val="none"/>
          <w:lang w:eastAsia="zh-CN"/>
        </w:rPr>
      </w:pPr>
      <w:r>
        <w:rPr>
          <w:rFonts w:hint="eastAsia" w:hAnsi="宋体" w:cs="宋体"/>
          <w:color w:val="auto"/>
          <w:szCs w:val="24"/>
          <w:highlight w:val="none"/>
        </w:rPr>
        <w:t>（2）按照招标文件的要求编制的投标方案说明书，内容至少应包括对本项目的所有服务内容的理解与认知，针对本项目具有详细的进度计划及服务方案，技术服务响应表，技术服务质量保证方案，技术服务成果说明以及相关的人员配备等</w:t>
      </w:r>
      <w:r>
        <w:rPr>
          <w:rFonts w:hint="eastAsia" w:hAnsi="宋体" w:cs="宋体"/>
          <w:color w:val="auto"/>
          <w:szCs w:val="24"/>
          <w:highlight w:val="none"/>
          <w:lang w:eastAsia="zh-CN"/>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（3）按照招标文件供应商须知前附表的要求提交的资格证明文件；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（4）按照本须知第14条要求提交的投标保证金；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（5）招标文件中要求的其他证明文件。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9.2 本项目各包不允许提供备选方案</w:t>
      </w:r>
      <w:r>
        <w:rPr>
          <w:rFonts w:hint="eastAsia" w:hAnsi="宋体" w:cs="宋体"/>
          <w:color w:val="auto"/>
          <w:szCs w:val="24"/>
          <w:highlight w:val="none"/>
          <w:lang w:eastAsia="zh-CN"/>
        </w:rPr>
        <w:t>，</w:t>
      </w:r>
      <w:r>
        <w:rPr>
          <w:rFonts w:hint="eastAsia" w:hAnsi="宋体" w:cs="宋体"/>
          <w:color w:val="auto"/>
          <w:szCs w:val="24"/>
          <w:highlight w:val="none"/>
        </w:rPr>
        <w:t>每个供应商只允许提交一个投标方案，否则，其投标将按照无效投标处理。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9.3 供应商可根据自身的资质情况和经营范围进行投标，但不得将其子目自行分解或针对该项目中的品目进行不完全投标，任何不完全的投标将按无效投标处理。为保证服务质量及服务响应的及时性和有效性，投标人可同时参与多个包的投标，但一个投标人最多只能中两个包。</w:t>
      </w:r>
    </w:p>
    <w:p>
      <w:pPr>
        <w:spacing w:line="500" w:lineRule="exact"/>
        <w:rPr>
          <w:rFonts w:hAnsi="宋体" w:cs="宋体"/>
          <w:b/>
          <w:color w:val="auto"/>
          <w:szCs w:val="24"/>
          <w:highlight w:val="none"/>
        </w:rPr>
      </w:pPr>
      <w:r>
        <w:rPr>
          <w:rFonts w:hint="eastAsia" w:hAnsi="宋体" w:cs="宋体"/>
          <w:b/>
          <w:color w:val="auto"/>
          <w:szCs w:val="24"/>
          <w:highlight w:val="none"/>
        </w:rPr>
        <w:t>10.投标文件格式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10.1 供应商应按照招标文件中第六章所提供的格式和要求制作投标文件，明确表达投标意愿，详细说明投标方案、承诺及价格。</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10.2按招标文件第9条的内容及要求和第六章提供的格式和要求编写其投标文件，供应商不得缺少或留空任何招标文件要求填写的表格或提交的资料。</w:t>
      </w:r>
    </w:p>
    <w:p>
      <w:pPr>
        <w:spacing w:line="500" w:lineRule="exact"/>
        <w:rPr>
          <w:rFonts w:hAnsi="宋体" w:cs="宋体"/>
          <w:b/>
          <w:color w:val="auto"/>
          <w:szCs w:val="24"/>
          <w:highlight w:val="none"/>
        </w:rPr>
      </w:pPr>
      <w:r>
        <w:rPr>
          <w:rFonts w:hint="eastAsia" w:hAnsi="宋体" w:cs="宋体"/>
          <w:b/>
          <w:color w:val="auto"/>
          <w:szCs w:val="24"/>
          <w:highlight w:val="none"/>
        </w:rPr>
        <w:t>11.投标报价</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11.1投标人应在投标报价表中标明完成本次招标所要求的所有服务且验收合格的全部费用，包括不限于产品费、仓储保管费、</w:t>
      </w:r>
      <w:r>
        <w:rPr>
          <w:rFonts w:hint="eastAsia" w:hAnsi="宋体" w:cs="宋体"/>
          <w:color w:val="auto"/>
          <w:szCs w:val="24"/>
          <w:highlight w:val="none"/>
          <w:lang w:eastAsia="zh-CN"/>
        </w:rPr>
        <w:t>运输装卸费、</w:t>
      </w:r>
      <w:r>
        <w:rPr>
          <w:rFonts w:hint="eastAsia" w:hAnsi="宋体" w:cs="宋体"/>
          <w:color w:val="auto"/>
          <w:szCs w:val="24"/>
          <w:highlight w:val="none"/>
        </w:rPr>
        <w:t>安装调试费、培训费、售后服务费、税金、招标代理服务费等其他一切相关费用。投标报价表中标明本次服务的所有单项价格和总价，任何有选择的报价将不予接受，否则按无效投标处理。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11.2投标报价表中标明的价格应为履行合同的固定价格。</w:t>
      </w:r>
    </w:p>
    <w:p>
      <w:pPr>
        <w:spacing w:line="500" w:lineRule="exact"/>
        <w:ind w:right="617" w:rightChars="257" w:firstLine="480" w:firstLineChars="200"/>
        <w:rPr>
          <w:rFonts w:hAnsi="宋体" w:cs="宋体"/>
          <w:color w:val="auto"/>
          <w:szCs w:val="24"/>
          <w:highlight w:val="none"/>
        </w:rPr>
      </w:pPr>
      <w:r>
        <w:rPr>
          <w:rFonts w:hint="eastAsia" w:hAnsi="宋体" w:cs="宋体"/>
          <w:color w:val="auto"/>
          <w:szCs w:val="24"/>
          <w:highlight w:val="none"/>
        </w:rPr>
        <w:t>11.3投标报价：总价（精确到小数点后二位）。</w:t>
      </w:r>
    </w:p>
    <w:p>
      <w:pPr>
        <w:spacing w:line="500" w:lineRule="exact"/>
        <w:rPr>
          <w:rFonts w:hAnsi="宋体" w:cs="宋体"/>
          <w:b/>
          <w:color w:val="auto"/>
          <w:szCs w:val="24"/>
          <w:highlight w:val="none"/>
        </w:rPr>
      </w:pPr>
      <w:r>
        <w:rPr>
          <w:rFonts w:hint="eastAsia" w:hAnsi="宋体" w:cs="宋体"/>
          <w:b/>
          <w:color w:val="auto"/>
          <w:szCs w:val="24"/>
          <w:highlight w:val="none"/>
        </w:rPr>
        <w:t>12.证明供应商合格和资格的文件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12.1供应商应按照招标文件“投标人须知前附表”的要求，在投标文件中提交合格的资格证明文件。如果资格证明文件不齐全或不合格的，其投标将按无效投标处理。</w:t>
      </w:r>
    </w:p>
    <w:p>
      <w:pPr>
        <w:spacing w:line="500" w:lineRule="exact"/>
        <w:rPr>
          <w:rFonts w:hAnsi="宋体" w:cs="宋体"/>
          <w:color w:val="auto"/>
          <w:highlight w:val="none"/>
        </w:rPr>
      </w:pPr>
      <w:r>
        <w:rPr>
          <w:rFonts w:hint="eastAsia" w:hAnsi="宋体" w:cs="宋体"/>
          <w:b/>
          <w:color w:val="auto"/>
          <w:szCs w:val="24"/>
          <w:highlight w:val="none"/>
        </w:rPr>
        <w:t>13.证明所提供的服务符合招标文件规定的文件</w:t>
      </w:r>
    </w:p>
    <w:p>
      <w:pPr>
        <w:spacing w:line="500" w:lineRule="exact"/>
        <w:ind w:firstLine="480" w:firstLineChars="200"/>
        <w:rPr>
          <w:rFonts w:hAnsi="宋体" w:cs="宋体"/>
          <w:color w:val="auto"/>
          <w:szCs w:val="24"/>
          <w:highlight w:val="none"/>
        </w:rPr>
      </w:pPr>
      <w:r>
        <w:rPr>
          <w:rFonts w:hAnsi="宋体" w:cs="宋体"/>
          <w:color w:val="auto"/>
          <w:szCs w:val="24"/>
          <w:highlight w:val="none"/>
        </w:rPr>
        <w:t>1</w:t>
      </w:r>
      <w:r>
        <w:rPr>
          <w:rFonts w:hint="eastAsia" w:hAnsi="宋体" w:cs="宋体"/>
          <w:color w:val="auto"/>
          <w:szCs w:val="24"/>
          <w:highlight w:val="none"/>
          <w:lang w:val="en-US" w:eastAsia="zh-CN"/>
        </w:rPr>
        <w:t>3</w:t>
      </w:r>
      <w:r>
        <w:rPr>
          <w:rFonts w:hAnsi="宋体" w:cs="宋体"/>
          <w:color w:val="auto"/>
          <w:szCs w:val="24"/>
          <w:highlight w:val="none"/>
        </w:rPr>
        <w:t>.1</w:t>
      </w:r>
      <w:r>
        <w:rPr>
          <w:rFonts w:hint="eastAsia" w:hAnsi="宋体" w:cs="宋体"/>
          <w:color w:val="auto"/>
          <w:szCs w:val="24"/>
          <w:highlight w:val="none"/>
        </w:rPr>
        <w:t>供应商应在投标文件中提交产品和服务满足招标文件要求并符合国家法律法规、行业管理部门要求的其他强制性标准的证明文件。缺少证明文件或证明文件不合格的投标，与招标文件要求有重大偏离的投标，不符合国家法律法规、行业管理部门要求的其他强制性标准的投标将按无效投标处理。</w:t>
      </w:r>
    </w:p>
    <w:p>
      <w:pPr>
        <w:spacing w:line="500" w:lineRule="exact"/>
        <w:ind w:firstLine="480" w:firstLineChars="200"/>
        <w:rPr>
          <w:rFonts w:hAnsi="宋体" w:cs="宋体"/>
          <w:color w:val="auto"/>
          <w:szCs w:val="24"/>
          <w:highlight w:val="none"/>
        </w:rPr>
      </w:pPr>
      <w:r>
        <w:rPr>
          <w:rFonts w:hAnsi="宋体" w:cs="宋体"/>
          <w:color w:val="auto"/>
          <w:szCs w:val="24"/>
          <w:highlight w:val="none"/>
        </w:rPr>
        <w:t>1</w:t>
      </w:r>
      <w:r>
        <w:rPr>
          <w:rFonts w:hint="eastAsia" w:hAnsi="宋体" w:cs="宋体"/>
          <w:color w:val="auto"/>
          <w:szCs w:val="24"/>
          <w:highlight w:val="none"/>
          <w:lang w:val="en-US" w:eastAsia="zh-CN"/>
        </w:rPr>
        <w:t>3</w:t>
      </w:r>
      <w:r>
        <w:rPr>
          <w:rFonts w:hAnsi="宋体" w:cs="宋体"/>
          <w:color w:val="auto"/>
          <w:szCs w:val="24"/>
          <w:highlight w:val="none"/>
        </w:rPr>
        <w:t>.2</w:t>
      </w:r>
      <w:r>
        <w:rPr>
          <w:rFonts w:hint="eastAsia" w:hAnsi="宋体" w:cs="宋体"/>
          <w:color w:val="auto"/>
          <w:szCs w:val="24"/>
          <w:highlight w:val="none"/>
        </w:rPr>
        <w:t>上述证明文件可以是文字资料、图纸、图片、数据、宣传彩页等，所有证明文件表达意思必须统一（如需供应商提供样品，样品必须与投标文件的表述完全符合）。包括：</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w:t>
      </w:r>
      <w:r>
        <w:rPr>
          <w:rFonts w:hAnsi="宋体" w:cs="宋体"/>
          <w:color w:val="auto"/>
          <w:szCs w:val="24"/>
          <w:highlight w:val="none"/>
        </w:rPr>
        <w:t>1)</w:t>
      </w:r>
      <w:r>
        <w:rPr>
          <w:rFonts w:hint="eastAsia" w:hAnsi="宋体" w:cs="宋体"/>
          <w:color w:val="auto"/>
          <w:szCs w:val="24"/>
          <w:highlight w:val="none"/>
        </w:rPr>
        <w:t>产品主要技术指标和性能的详细说明；</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w:t>
      </w:r>
      <w:r>
        <w:rPr>
          <w:rFonts w:hAnsi="宋体" w:cs="宋体"/>
          <w:color w:val="auto"/>
          <w:szCs w:val="24"/>
          <w:highlight w:val="none"/>
        </w:rPr>
        <w:t>2</w:t>
      </w:r>
      <w:r>
        <w:rPr>
          <w:rFonts w:hint="eastAsia" w:hAnsi="宋体" w:cs="宋体"/>
          <w:color w:val="auto"/>
          <w:szCs w:val="24"/>
          <w:highlight w:val="none"/>
        </w:rPr>
        <w:t>）生产厂家出具的、相应的产品功能证明材料（包括但不限于测试报告、官网和功能截图等）；</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w:t>
      </w:r>
      <w:r>
        <w:rPr>
          <w:rFonts w:hAnsi="宋体" w:cs="宋体"/>
          <w:color w:val="auto"/>
          <w:szCs w:val="24"/>
          <w:highlight w:val="none"/>
        </w:rPr>
        <w:t>3)</w:t>
      </w:r>
      <w:r>
        <w:rPr>
          <w:rFonts w:hint="eastAsia" w:hAnsi="宋体" w:cs="宋体"/>
          <w:color w:val="auto"/>
          <w:szCs w:val="24"/>
          <w:highlight w:val="none"/>
        </w:rPr>
        <w:t>逐条对招标文件提出的技术要求和商务要求进行应答，说明所提供的产品和服务对招标的技术和商务要求是否做出了实质性响应并提供支持文件；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w:t>
      </w:r>
      <w:r>
        <w:rPr>
          <w:rFonts w:hAnsi="宋体" w:cs="宋体"/>
          <w:color w:val="auto"/>
          <w:szCs w:val="24"/>
          <w:highlight w:val="none"/>
        </w:rPr>
        <w:t>4</w:t>
      </w:r>
      <w:r>
        <w:rPr>
          <w:rFonts w:hint="eastAsia" w:hAnsi="宋体" w:cs="宋体"/>
          <w:color w:val="auto"/>
          <w:szCs w:val="24"/>
          <w:highlight w:val="none"/>
        </w:rPr>
        <w:t>）供货范围和服务内容的详细说明。</w:t>
      </w:r>
    </w:p>
    <w:p>
      <w:pPr>
        <w:spacing w:line="360" w:lineRule="auto"/>
        <w:ind w:firstLine="482" w:firstLineChars="200"/>
        <w:rPr>
          <w:rFonts w:hint="eastAsia" w:hAnsi="宋体" w:cs="宋体"/>
          <w:color w:val="auto"/>
          <w:szCs w:val="24"/>
          <w:highlight w:val="none"/>
        </w:rPr>
      </w:pPr>
      <w:r>
        <w:rPr>
          <w:rFonts w:hint="eastAsia" w:hAnsi="宋体" w:cs="宋体"/>
          <w:b/>
          <w:color w:val="auto"/>
          <w:szCs w:val="24"/>
          <w:highlight w:val="none"/>
        </w:rPr>
        <w:t>14.投标保证金</w:t>
      </w:r>
      <w:r>
        <w:rPr>
          <w:rFonts w:hint="eastAsia" w:hAnsi="宋体" w:cs="宋体"/>
          <w:color w:val="auto"/>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4.1投标人在投标时应向</w:t>
      </w:r>
      <w:r>
        <w:rPr>
          <w:rFonts w:hint="eastAsia" w:ascii="宋体" w:hAnsi="宋体" w:eastAsia="宋体" w:cs="宋体"/>
          <w:color w:val="auto"/>
          <w:sz w:val="24"/>
          <w:szCs w:val="24"/>
          <w:highlight w:val="none"/>
          <w:lang w:eastAsia="zh-CN"/>
        </w:rPr>
        <w:t>陕西至诚招标咨询有限公司</w:t>
      </w:r>
      <w:r>
        <w:rPr>
          <w:rFonts w:hint="eastAsia" w:ascii="宋体" w:hAnsi="宋体" w:eastAsia="宋体" w:cs="宋体"/>
          <w:color w:val="auto"/>
          <w:sz w:val="24"/>
          <w:szCs w:val="24"/>
          <w:highlight w:val="none"/>
        </w:rPr>
        <w:t>提交“投标人须知前附表”规定数额的投标保证金,并作为其投标的一部分。</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4.2投标保证金是为了保护招标人和招标代理机构免遭因投标人的行为而蒙受损失。招标人和招标代理机构在因投标人的行为受到损害时可根据本须知的规定第3.4.7条没收投标人的投标保证金。</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4.3投标保证金的缴纳形式：转账、电汇、担保机构保函</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4.4投标保证金必须按照招标文件“投标人须知前附表”中规定的缴纳金额及方式办理。</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4.5开标后经审查，未提交投标保证金、未按时间提交投标保证金、投标保证金金额不足或投标保证金缴纳凭证未附在投标文件内的投标将按无效投标处理。</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4.6未中标人的投标保证金，将在中标通知书发出后五个工作日内退还；中标人的投标保证金，在施工合同签订后五个工作日内退还</w:t>
      </w:r>
      <w:r>
        <w:rPr>
          <w:rFonts w:hint="eastAsia" w:ascii="宋体" w:hAnsi="宋体" w:eastAsia="宋体" w:cs="宋体"/>
          <w:b/>
          <w:bCs/>
          <w:color w:val="auto"/>
          <w:sz w:val="24"/>
          <w:szCs w:val="24"/>
          <w:highlight w:val="none"/>
        </w:rPr>
        <w:t>（退还时，须向采购代理机构提供采购合同原件壹份）</w:t>
      </w:r>
      <w:r>
        <w:rPr>
          <w:rFonts w:hint="eastAsia" w:ascii="宋体" w:hAnsi="宋体" w:eastAsia="宋体" w:cs="宋体"/>
          <w:color w:val="auto"/>
          <w:sz w:val="24"/>
          <w:szCs w:val="24"/>
          <w:highlight w:val="none"/>
        </w:rPr>
        <w:t>。</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4.7投标人以担保机构保函形式缴纳投标保证金的，招标结束之后将担保机构保函原件退回（退换时间参照3.4.6条款）；</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4.8下列任何情况发生时，视为投标人违约，其投标保证金将被没收：</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 投标人在投标有效期内撤回其投标；</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 投标人中标后放弃成交、未能按规定签订合同</w:t>
      </w:r>
      <w:bookmarkStart w:id="43" w:name="OLE_LINK3"/>
      <w:r>
        <w:rPr>
          <w:rFonts w:hint="eastAsia" w:ascii="宋体" w:hAnsi="宋体" w:eastAsia="宋体" w:cs="宋体"/>
          <w:color w:val="auto"/>
          <w:sz w:val="24"/>
          <w:szCs w:val="24"/>
          <w:highlight w:val="none"/>
        </w:rPr>
        <w:t>、</w:t>
      </w:r>
      <w:bookmarkEnd w:id="43"/>
      <w:r>
        <w:rPr>
          <w:rFonts w:hint="eastAsia" w:ascii="宋体" w:hAnsi="宋体" w:eastAsia="宋体" w:cs="宋体"/>
          <w:color w:val="auto"/>
          <w:sz w:val="24"/>
          <w:szCs w:val="24"/>
          <w:highlight w:val="none"/>
        </w:rPr>
        <w:t>未按招标文件规定提交履约担保；</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3）投标人中标后将中标项目转让给他人，或者在投标文件中未说明，且未经招标人同意，将中标项目分包给他人的；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4）投标人事先未通告无故不参加投标活动的；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5）投标人在投标文件中提供伪造、套改、虚假资料参加投标的；</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6）投标人不按法定程序进行质疑和投诉,捏造事实，查无实据，造成恶劣影响</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导致采购活动无法正常进行的；</w:t>
      </w:r>
    </w:p>
    <w:p>
      <w:pPr>
        <w:spacing w:line="360" w:lineRule="auto"/>
        <w:ind w:firstLine="480" w:firstLineChars="200"/>
        <w:rPr>
          <w:rFonts w:hint="eastAsia" w:ascii="宋体" w:hAnsi="宋体" w:eastAsia="宋体" w:cs="宋体"/>
          <w:color w:val="auto"/>
          <w:sz w:val="24"/>
          <w:szCs w:val="24"/>
          <w:highlight w:val="none"/>
        </w:rPr>
      </w:pPr>
      <w:r>
        <w:rPr>
          <w:rFonts w:hint="eastAsia" w:hAnsi="宋体" w:cs="宋体"/>
          <w:color w:val="auto"/>
          <w:sz w:val="24"/>
          <w:szCs w:val="24"/>
          <w:highlight w:val="none"/>
          <w:lang w:val="en-US" w:eastAsia="zh-CN"/>
        </w:rPr>
        <w:t>1</w:t>
      </w:r>
      <w:r>
        <w:rPr>
          <w:rFonts w:hint="eastAsia" w:ascii="宋体" w:hAnsi="宋体" w:eastAsia="宋体" w:cs="宋体"/>
          <w:color w:val="auto"/>
          <w:sz w:val="24"/>
          <w:szCs w:val="24"/>
          <w:highlight w:val="none"/>
        </w:rPr>
        <w:t>4.9投标保证金的有</w:t>
      </w:r>
      <w:bookmarkStart w:id="44" w:name="OLE_LINK47"/>
      <w:r>
        <w:rPr>
          <w:rFonts w:hint="eastAsia" w:ascii="宋体" w:hAnsi="宋体" w:eastAsia="宋体" w:cs="宋体"/>
          <w:color w:val="auto"/>
          <w:sz w:val="24"/>
          <w:szCs w:val="24"/>
          <w:highlight w:val="none"/>
        </w:rPr>
        <w:t>效</w:t>
      </w:r>
      <w:bookmarkEnd w:id="44"/>
      <w:r>
        <w:rPr>
          <w:rFonts w:hint="eastAsia" w:ascii="宋体" w:hAnsi="宋体" w:eastAsia="宋体" w:cs="宋体"/>
          <w:color w:val="auto"/>
          <w:sz w:val="24"/>
          <w:szCs w:val="24"/>
          <w:highlight w:val="none"/>
        </w:rPr>
        <w:t>期与投标有效期一致，担保机构出具的保函有效期为投标有效期延长一个月。</w:t>
      </w:r>
    </w:p>
    <w:p>
      <w:pPr>
        <w:spacing w:line="500" w:lineRule="exact"/>
        <w:rPr>
          <w:rFonts w:hAnsi="宋体" w:cs="宋体"/>
          <w:b/>
          <w:color w:val="auto"/>
          <w:szCs w:val="24"/>
          <w:highlight w:val="none"/>
        </w:rPr>
      </w:pPr>
      <w:r>
        <w:rPr>
          <w:rFonts w:hint="eastAsia" w:hAnsi="宋体" w:cs="宋体"/>
          <w:b/>
          <w:color w:val="auto"/>
          <w:szCs w:val="24"/>
          <w:highlight w:val="none"/>
        </w:rPr>
        <w:t>15.投标有效期</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15.1投标有效期从递交投标文件的截止之日起90天。投标文件应在投标有效期内保持有效。投标有效期不满足规定有效期的投标文件将被视为无效投标而拒绝。</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15.2特殊情况下，在原投标有效期期满之前，采购代理机构可向供应商提出延长投标有效期的要求。这种要求与答复均应以书面的形式。供应商可以拒绝采购代理机构的这种要求,其投标保证金也不被没收。同意延长的供应商既不能要求也不允许修改其投标文件</w:t>
      </w:r>
      <w:r>
        <w:rPr>
          <w:rFonts w:hint="eastAsia" w:hAnsi="宋体" w:cs="宋体"/>
          <w:color w:val="auto"/>
          <w:highlight w:val="none"/>
        </w:rPr>
        <w:t>。</w:t>
      </w:r>
    </w:p>
    <w:p>
      <w:pPr>
        <w:numPr>
          <w:ilvl w:val="0"/>
          <w:numId w:val="2"/>
        </w:numPr>
        <w:spacing w:line="500" w:lineRule="exact"/>
        <w:rPr>
          <w:rFonts w:hAnsi="宋体" w:cs="宋体"/>
          <w:b/>
          <w:color w:val="auto"/>
          <w:szCs w:val="24"/>
          <w:highlight w:val="none"/>
        </w:rPr>
      </w:pPr>
      <w:r>
        <w:rPr>
          <w:rFonts w:hint="eastAsia" w:hAnsi="宋体" w:cs="宋体"/>
          <w:b/>
          <w:color w:val="auto"/>
          <w:szCs w:val="24"/>
          <w:highlight w:val="none"/>
        </w:rPr>
        <w:t>投标文件的式样和签署</w:t>
      </w:r>
    </w:p>
    <w:p>
      <w:pPr>
        <w:spacing w:line="360" w:lineRule="auto"/>
        <w:ind w:firstLine="480" w:firstLineChars="200"/>
        <w:rPr>
          <w:rFonts w:hAnsi="宋体" w:cs="宋体"/>
          <w:b/>
          <w:bCs/>
          <w:color w:val="auto"/>
          <w:spacing w:val="-2"/>
          <w:highlight w:val="none"/>
        </w:rPr>
      </w:pPr>
      <w:r>
        <w:rPr>
          <w:rFonts w:hint="eastAsia" w:hAnsi="宋体" w:cs="宋体"/>
          <w:color w:val="auto"/>
          <w:szCs w:val="24"/>
          <w:highlight w:val="none"/>
        </w:rPr>
        <w:t>16.1供应商应按照本章供应商须知的要求, 提交壹份投标文件正本和“供应商须知前附表”中规定数量的副本，每套投标文件封面须清楚地标明“正本”或“副本”。</w:t>
      </w:r>
      <w:r>
        <w:rPr>
          <w:rFonts w:hint="eastAsia" w:hAnsi="宋体" w:cs="宋体"/>
          <w:color w:val="auto"/>
          <w:spacing w:val="4"/>
          <w:highlight w:val="none"/>
        </w:rPr>
        <w:t>同时提供与投标文件正本内容一致的电子版（U盘）一份及开标一览表一份，并标注供应商全称、项目名称、项目</w:t>
      </w:r>
      <w:r>
        <w:rPr>
          <w:rFonts w:hint="eastAsia" w:hAnsi="宋体" w:cs="宋体"/>
          <w:color w:val="auto"/>
          <w:spacing w:val="4"/>
          <w:highlight w:val="none"/>
          <w:lang w:eastAsia="zh-CN"/>
        </w:rPr>
        <w:t>编号</w:t>
      </w:r>
      <w:r>
        <w:rPr>
          <w:rFonts w:hint="eastAsia" w:hAnsi="宋体" w:cs="宋体"/>
          <w:color w:val="auto"/>
          <w:spacing w:val="4"/>
          <w:highlight w:val="none"/>
        </w:rPr>
        <w:t>，与投标文件同时递交。</w:t>
      </w:r>
      <w:r>
        <w:rPr>
          <w:rFonts w:hint="eastAsia" w:hAnsi="宋体" w:cs="宋体"/>
          <w:b/>
          <w:bCs/>
          <w:color w:val="auto"/>
          <w:spacing w:val="4"/>
          <w:highlight w:val="none"/>
        </w:rPr>
        <w:t>投标文件</w:t>
      </w:r>
      <w:r>
        <w:rPr>
          <w:rFonts w:hint="eastAsia" w:hAnsi="宋体" w:cs="宋体"/>
          <w:b/>
          <w:bCs/>
          <w:color w:val="auto"/>
          <w:szCs w:val="24"/>
          <w:highlight w:val="none"/>
        </w:rPr>
        <w:t>电子版为正本签字盖章后的PDF格式扫描件，与正本具有同等法律效力。</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16.2投标文件的正本和副本均需打印或用不褪色、不变质的墨水书写，并由供应商的法定代表人或负责人或其授权代表在规定签章处签字和盖章（招标文件要求投标文件中法定代表人或负责人签字处由法定代表人或负责人签署，要求授权代表签字处由授权代表签署）。投标文件副本可采用正本的复印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16.3任何行间插字、涂改和增删，必须由供应商的法定代表人或负责人或其授权代表在旁边签字方有效。</w:t>
      </w:r>
    </w:p>
    <w:p>
      <w:pPr>
        <w:spacing w:line="500" w:lineRule="exact"/>
        <w:ind w:firstLine="480" w:firstLineChars="200"/>
        <w:rPr>
          <w:rFonts w:hAnsi="宋体" w:cs="宋体"/>
          <w:color w:val="auto"/>
          <w:highlight w:val="none"/>
        </w:rPr>
      </w:pPr>
      <w:r>
        <w:rPr>
          <w:rFonts w:hint="eastAsia" w:hAnsi="宋体" w:cs="宋体"/>
          <w:color w:val="auto"/>
          <w:highlight w:val="none"/>
        </w:rPr>
        <w:t>16.4供应商名称应填写全称，投标文件正本</w:t>
      </w:r>
      <w:r>
        <w:rPr>
          <w:rFonts w:hint="eastAsia" w:hAnsi="宋体" w:cs="宋体"/>
          <w:color w:val="auto"/>
          <w:highlight w:val="none"/>
          <w:lang w:eastAsia="zh-CN"/>
        </w:rPr>
        <w:t>要求盖章部分</w:t>
      </w:r>
      <w:r>
        <w:rPr>
          <w:rFonts w:hint="eastAsia" w:hAnsi="宋体" w:cs="宋体"/>
          <w:color w:val="auto"/>
          <w:highlight w:val="none"/>
        </w:rPr>
        <w:t>必须加盖供应商</w:t>
      </w:r>
      <w:r>
        <w:rPr>
          <w:rFonts w:hint="eastAsia" w:hAnsi="宋体" w:cs="宋体"/>
          <w:color w:val="auto"/>
          <w:highlight w:val="none"/>
          <w:lang w:eastAsia="zh-CN"/>
        </w:rPr>
        <w:t>鲜章。</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16.5 投标文件正本和副本按照招标文件第六章规定的顺序编排、并应</w:t>
      </w:r>
      <w:r>
        <w:rPr>
          <w:rFonts w:hint="eastAsia" w:hAnsi="宋体" w:cs="宋体"/>
          <w:color w:val="auto"/>
          <w:szCs w:val="24"/>
          <w:highlight w:val="none"/>
          <w:lang w:val="zh-CN"/>
        </w:rPr>
        <w:t>编制目录，</w:t>
      </w:r>
      <w:r>
        <w:rPr>
          <w:rFonts w:hint="eastAsia" w:hAnsi="宋体" w:cs="宋体"/>
          <w:color w:val="auto"/>
          <w:szCs w:val="24"/>
          <w:highlight w:val="none"/>
        </w:rPr>
        <w:t>逐页标注连续页码，并分别</w:t>
      </w:r>
      <w:r>
        <w:rPr>
          <w:rFonts w:hint="eastAsia" w:hAnsi="宋体" w:cs="宋体"/>
          <w:color w:val="auto"/>
          <w:szCs w:val="24"/>
          <w:highlight w:val="none"/>
          <w:lang w:val="zh-CN"/>
        </w:rPr>
        <w:t>胶装成册</w:t>
      </w:r>
      <w:r>
        <w:rPr>
          <w:rFonts w:hint="eastAsia" w:hAnsi="宋体" w:cs="宋体"/>
          <w:color w:val="auto"/>
          <w:szCs w:val="24"/>
          <w:highlight w:val="none"/>
        </w:rPr>
        <w:t>。</w:t>
      </w:r>
    </w:p>
    <w:p>
      <w:pPr>
        <w:spacing w:line="500" w:lineRule="exact"/>
        <w:ind w:firstLine="360" w:firstLineChars="150"/>
        <w:rPr>
          <w:rFonts w:hAnsi="宋体" w:cs="宋体"/>
          <w:color w:val="auto"/>
          <w:szCs w:val="24"/>
          <w:highlight w:val="none"/>
        </w:rPr>
      </w:pPr>
      <w:r>
        <w:rPr>
          <w:rFonts w:hint="eastAsia" w:hAnsi="宋体" w:cs="宋体"/>
          <w:color w:val="auto"/>
          <w:szCs w:val="24"/>
          <w:highlight w:val="none"/>
        </w:rPr>
        <w:t xml:space="preserve"> 16.6因字迹潦草、表述不清或不按招标文件格式编制的投标文件，所引起的对供应商不利的后果，由供应商自行负责。</w:t>
      </w:r>
    </w:p>
    <w:p>
      <w:pPr>
        <w:tabs>
          <w:tab w:val="left" w:pos="1080"/>
        </w:tabs>
        <w:spacing w:line="500" w:lineRule="exact"/>
        <w:ind w:firstLine="460" w:firstLineChars="192"/>
        <w:rPr>
          <w:rFonts w:hAnsi="宋体" w:cs="宋体"/>
          <w:color w:val="auto"/>
          <w:highlight w:val="none"/>
        </w:rPr>
      </w:pPr>
      <w:r>
        <w:rPr>
          <w:rFonts w:hint="eastAsia" w:hAnsi="宋体" w:cs="宋体"/>
          <w:color w:val="auto"/>
          <w:szCs w:val="24"/>
          <w:highlight w:val="none"/>
        </w:rPr>
        <w:t>16.7投标文件的副本、电子版须和正本保持一致。</w:t>
      </w:r>
      <w:r>
        <w:rPr>
          <w:rFonts w:hint="eastAsia" w:hAnsi="宋体" w:cs="宋体"/>
          <w:color w:val="auto"/>
          <w:highlight w:val="none"/>
        </w:rPr>
        <w:t>若正本、副本和电子版有不一致的内容，以正本为准。</w:t>
      </w:r>
    </w:p>
    <w:p>
      <w:pPr>
        <w:spacing w:before="333" w:beforeLines="100" w:after="333" w:afterLines="100" w:line="500" w:lineRule="exact"/>
        <w:jc w:val="center"/>
        <w:rPr>
          <w:rFonts w:hAnsi="宋体" w:cs="宋体"/>
          <w:b/>
          <w:color w:val="auto"/>
          <w:sz w:val="32"/>
          <w:szCs w:val="32"/>
          <w:highlight w:val="none"/>
        </w:rPr>
      </w:pPr>
      <w:bookmarkStart w:id="45" w:name="_Toc363474020"/>
      <w:bookmarkStart w:id="46" w:name="_Toc363473975"/>
      <w:bookmarkStart w:id="47" w:name="_Toc403077642"/>
      <w:r>
        <w:rPr>
          <w:rFonts w:hint="eastAsia" w:hAnsi="宋体" w:cs="宋体"/>
          <w:b/>
          <w:color w:val="auto"/>
          <w:sz w:val="32"/>
          <w:szCs w:val="32"/>
          <w:highlight w:val="none"/>
        </w:rPr>
        <w:t>四.投标文件的递交</w:t>
      </w:r>
      <w:bookmarkEnd w:id="45"/>
      <w:bookmarkEnd w:id="46"/>
      <w:bookmarkEnd w:id="47"/>
    </w:p>
    <w:p>
      <w:pPr>
        <w:spacing w:line="500" w:lineRule="exact"/>
        <w:rPr>
          <w:rFonts w:hAnsi="宋体" w:cs="宋体"/>
          <w:b/>
          <w:color w:val="auto"/>
          <w:szCs w:val="24"/>
          <w:highlight w:val="none"/>
        </w:rPr>
      </w:pPr>
      <w:r>
        <w:rPr>
          <w:rFonts w:hint="eastAsia" w:hAnsi="宋体" w:cs="宋体"/>
          <w:b/>
          <w:color w:val="auto"/>
          <w:szCs w:val="24"/>
          <w:highlight w:val="none"/>
        </w:rPr>
        <w:t>17.投标文件的密封和标记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17.1</w:t>
      </w:r>
      <w:r>
        <w:rPr>
          <w:rFonts w:hint="eastAsia" w:hAnsi="宋体" w:cs="宋体"/>
          <w:color w:val="auto"/>
          <w:highlight w:val="none"/>
        </w:rPr>
        <w:t>为方便开标唱标，开标一览表除投标文件内装订外，再制作一份单独密封在封袋中。封线处加贴封条并加盖供应商公章，封袋正面要粘贴标识，单独递交（该单独密封开标一览表的投标报价必须与投标文件正本中的开标一览表（报价表）的投</w:t>
      </w:r>
      <w:r>
        <w:rPr>
          <w:rFonts w:hint="eastAsia" w:hAnsi="宋体" w:cs="宋体"/>
          <w:color w:val="auto"/>
          <w:szCs w:val="24"/>
          <w:highlight w:val="none"/>
        </w:rPr>
        <w:t>标报价一致，若不一致，则按单独密封的开标一览表为准。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17.2供应商应将投标文件正本、所有的副本、电子版本、开标一览表分别单独密封装在封袋中（封袋不得有破损），且在封袋正面标明“正本”“副本”“电子版本”“开标一览表”字样。封袋应加贴封条，并在封线处加盖供应商公章，封袋正面要粘贴供应商全称、项目名称、项目</w:t>
      </w:r>
      <w:r>
        <w:rPr>
          <w:rFonts w:hint="eastAsia" w:hAnsi="宋体" w:cs="宋体"/>
          <w:color w:val="auto"/>
          <w:szCs w:val="24"/>
          <w:highlight w:val="none"/>
          <w:lang w:eastAsia="zh-CN"/>
        </w:rPr>
        <w:t>编号</w:t>
      </w:r>
      <w:r>
        <w:rPr>
          <w:rFonts w:hint="eastAsia" w:hAnsi="宋体" w:cs="宋体"/>
          <w:color w:val="auto"/>
          <w:szCs w:val="24"/>
          <w:highlight w:val="none"/>
        </w:rPr>
        <w:t>等标识。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17.3外层包装请按以下要求标记：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（1) 供应商的全称；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（2) 投标项目名称、项目</w:t>
      </w:r>
      <w:r>
        <w:rPr>
          <w:rFonts w:hint="eastAsia" w:hAnsi="宋体" w:cs="宋体"/>
          <w:color w:val="auto"/>
          <w:szCs w:val="24"/>
          <w:highlight w:val="none"/>
          <w:lang w:eastAsia="zh-CN"/>
        </w:rPr>
        <w:t>编号</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   （3）正本或副本、电子版本、开标一览表“请勿在＿＿＿＿(开标时间)之前启封”。</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17.4如果供应商未对投标文件按上述要求进行完好密封，由此产生的不利后果由供应商自行承担。</w:t>
      </w:r>
    </w:p>
    <w:p>
      <w:pPr>
        <w:spacing w:line="500" w:lineRule="exact"/>
        <w:rPr>
          <w:rFonts w:hAnsi="宋体" w:cs="宋体"/>
          <w:b/>
          <w:color w:val="auto"/>
          <w:szCs w:val="24"/>
          <w:highlight w:val="none"/>
        </w:rPr>
      </w:pPr>
      <w:r>
        <w:rPr>
          <w:rFonts w:hint="eastAsia" w:hAnsi="宋体" w:cs="宋体"/>
          <w:b/>
          <w:color w:val="auto"/>
          <w:szCs w:val="24"/>
          <w:highlight w:val="none"/>
        </w:rPr>
        <w:t>18．投标文件的递交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18.1供应商应按照招标公告中规定的时间、地点，在规定的投标文件递交截止时间前将全部投标文件和投标资料递交至采购代理机构投标文件接收人。</w:t>
      </w:r>
    </w:p>
    <w:p>
      <w:pPr>
        <w:spacing w:line="500" w:lineRule="exact"/>
        <w:ind w:firstLine="480" w:firstLineChars="200"/>
        <w:rPr>
          <w:rFonts w:hint="eastAsia" w:hAnsi="宋体" w:eastAsia="宋体" w:cs="宋体"/>
          <w:color w:val="auto"/>
          <w:szCs w:val="24"/>
          <w:highlight w:val="none"/>
          <w:lang w:eastAsia="zh-CN"/>
        </w:rPr>
      </w:pPr>
      <w:r>
        <w:rPr>
          <w:rFonts w:hint="eastAsia" w:hAnsi="宋体" w:cs="宋体"/>
          <w:color w:val="auto"/>
          <w:szCs w:val="24"/>
          <w:highlight w:val="none"/>
        </w:rPr>
        <w:t>18.2采购代理机构在招标文件规定的投标文件递交截止时间前，只负责投标文件的接收、清点、造册登记工作，并请递交人签字确认，对其有效性不负任何责任</w:t>
      </w:r>
      <w:r>
        <w:rPr>
          <w:rFonts w:hint="eastAsia" w:hAnsi="宋体" w:cs="宋体"/>
          <w:color w:val="auto"/>
          <w:szCs w:val="24"/>
          <w:highlight w:val="none"/>
          <w:lang w:eastAsia="zh-CN"/>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18.3采购代理机构收到投标文件后，向供应商出具签收回执。</w:t>
      </w:r>
    </w:p>
    <w:p>
      <w:pPr>
        <w:spacing w:line="500" w:lineRule="exact"/>
        <w:ind w:firstLine="480" w:firstLineChars="200"/>
        <w:rPr>
          <w:rFonts w:hAnsi="宋体" w:cs="宋体"/>
          <w:color w:val="auto"/>
          <w:spacing w:val="-2"/>
          <w:highlight w:val="none"/>
        </w:rPr>
      </w:pPr>
      <w:r>
        <w:rPr>
          <w:rFonts w:hint="eastAsia" w:hAnsi="宋体" w:cs="宋体"/>
          <w:color w:val="auto"/>
          <w:szCs w:val="24"/>
          <w:highlight w:val="none"/>
        </w:rPr>
        <w:t>18.4无论供应商中标与否，其投标文件</w:t>
      </w:r>
      <w:r>
        <w:rPr>
          <w:rFonts w:hint="eastAsia" w:hAnsi="宋体" w:cs="宋体"/>
          <w:color w:val="auto"/>
          <w:highlight w:val="none"/>
        </w:rPr>
        <w:t>恕不退还。</w:t>
      </w:r>
    </w:p>
    <w:p>
      <w:pPr>
        <w:spacing w:line="500" w:lineRule="exact"/>
        <w:rPr>
          <w:rFonts w:hAnsi="宋体" w:cs="宋体"/>
          <w:b/>
          <w:color w:val="auto"/>
          <w:szCs w:val="24"/>
          <w:highlight w:val="none"/>
        </w:rPr>
      </w:pPr>
      <w:r>
        <w:rPr>
          <w:rFonts w:hint="eastAsia" w:hAnsi="宋体" w:cs="宋体"/>
          <w:b/>
          <w:color w:val="auto"/>
          <w:szCs w:val="24"/>
          <w:highlight w:val="none"/>
        </w:rPr>
        <w:t>19．迟交的投标文件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19.1按照招标文件的规定，在递交投标文件的截止时间之后送达的投标文件，为无效投标文件，采购代理机构将拒绝接收。</w:t>
      </w:r>
    </w:p>
    <w:p>
      <w:pPr>
        <w:spacing w:line="500" w:lineRule="exact"/>
        <w:rPr>
          <w:rFonts w:hAnsi="宋体" w:cs="宋体"/>
          <w:b/>
          <w:color w:val="auto"/>
          <w:szCs w:val="24"/>
          <w:highlight w:val="none"/>
        </w:rPr>
      </w:pPr>
      <w:r>
        <w:rPr>
          <w:rFonts w:hint="eastAsia" w:hAnsi="宋体" w:cs="宋体"/>
          <w:b/>
          <w:color w:val="auto"/>
          <w:szCs w:val="24"/>
          <w:highlight w:val="none"/>
        </w:rPr>
        <w:t>20．投标的修改与撤回</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20.1 供应商在递交投标文件后，可以修改或撤回其投标文件，也可以提出价格变动声明，但供应商必须在规定的投标文件递交截止时间之前将修改或撤回或变动价格的书面通知文件递交到采购代理机构。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20.2 供应商的修改或撤回或变动价格的通知应按本须知第17条的规定编制、密封、标记和递交。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20.3 在投标文件递交截止时间之后，供应商不得对其投标做任何修改或撤回。</w:t>
      </w:r>
    </w:p>
    <w:p>
      <w:pPr>
        <w:spacing w:line="500" w:lineRule="exact"/>
        <w:rPr>
          <w:rFonts w:hAnsi="宋体" w:cs="宋体"/>
          <w:color w:val="auto"/>
          <w:highlight w:val="none"/>
        </w:rPr>
      </w:pPr>
    </w:p>
    <w:p>
      <w:pPr>
        <w:spacing w:line="500" w:lineRule="exact"/>
        <w:jc w:val="center"/>
        <w:rPr>
          <w:rFonts w:hAnsi="宋体" w:cs="宋体"/>
          <w:b/>
          <w:color w:val="auto"/>
          <w:sz w:val="32"/>
          <w:szCs w:val="32"/>
          <w:highlight w:val="none"/>
        </w:rPr>
      </w:pPr>
      <w:bookmarkStart w:id="48" w:name="_Toc363474021"/>
      <w:bookmarkStart w:id="49" w:name="_Toc403077643"/>
      <w:bookmarkStart w:id="50" w:name="_Toc363473976"/>
      <w:r>
        <w:rPr>
          <w:rFonts w:hint="eastAsia" w:hAnsi="宋体" w:cs="宋体"/>
          <w:b/>
          <w:color w:val="auto"/>
          <w:sz w:val="32"/>
          <w:szCs w:val="32"/>
          <w:highlight w:val="none"/>
        </w:rPr>
        <w:t>五.开标与评标</w:t>
      </w:r>
      <w:bookmarkEnd w:id="48"/>
      <w:bookmarkEnd w:id="49"/>
      <w:bookmarkEnd w:id="50"/>
    </w:p>
    <w:p>
      <w:pPr>
        <w:spacing w:line="500" w:lineRule="exact"/>
        <w:rPr>
          <w:rFonts w:hAnsi="宋体" w:cs="宋体"/>
          <w:b/>
          <w:color w:val="auto"/>
          <w:szCs w:val="24"/>
          <w:highlight w:val="none"/>
        </w:rPr>
      </w:pPr>
      <w:r>
        <w:rPr>
          <w:rFonts w:hint="eastAsia" w:hAnsi="宋体" w:cs="宋体"/>
          <w:b/>
          <w:color w:val="auto"/>
          <w:szCs w:val="24"/>
          <w:highlight w:val="none"/>
        </w:rPr>
        <w:t>21.开标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21.1 采购代理机构在规定的时间和地点组织公开开标。开标时所有供应商代表自愿参加，参加开标的代表应签名报到以证明其出席。</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21.2 开标时，由监标人和供应商或者其推选的代表检查投标文件的密封情况。检查完毕后，采购代理机构当众宣读供应商名称、投标价格、价格折扣、修改或撤回或变动价格的书面通知（如果有），以及采购代理机构认为合适的其他内容。未在开标时宣读的投标价格和价格折扣，评标时不予承认。</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21.3只有在开标时唱出的价格和价格变动声明，评标时才能考虑。</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21.4在开标时没有启封和宣读的投标文件将原封退回给供应商。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21.5 采购代理机构将做开标记录，存档备查。</w:t>
      </w:r>
    </w:p>
    <w:p>
      <w:pPr>
        <w:spacing w:line="500" w:lineRule="exact"/>
        <w:rPr>
          <w:rFonts w:hAnsi="宋体" w:cs="宋体"/>
          <w:b/>
          <w:color w:val="auto"/>
          <w:szCs w:val="24"/>
          <w:highlight w:val="none"/>
        </w:rPr>
      </w:pPr>
      <w:r>
        <w:rPr>
          <w:rFonts w:hint="eastAsia" w:hAnsi="宋体" w:cs="宋体"/>
          <w:b/>
          <w:color w:val="auto"/>
          <w:szCs w:val="24"/>
          <w:highlight w:val="none"/>
        </w:rPr>
        <w:t>22．评标组织及评标原则</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22.1</w:t>
      </w:r>
      <w:r>
        <w:rPr>
          <w:rFonts w:hint="eastAsia" w:hAnsi="宋体"/>
          <w:color w:val="auto"/>
          <w:szCs w:val="21"/>
          <w:highlight w:val="none"/>
        </w:rPr>
        <w:t>按照《中华人民共和国政府采购法》、中华人民共和国</w:t>
      </w:r>
      <w:r>
        <w:rPr>
          <w:rFonts w:hAnsi="宋体"/>
          <w:color w:val="auto"/>
          <w:szCs w:val="21"/>
          <w:highlight w:val="none"/>
        </w:rPr>
        <w:t>2015</w:t>
      </w:r>
      <w:r>
        <w:rPr>
          <w:rFonts w:hint="eastAsia" w:hAnsi="宋体"/>
          <w:color w:val="auto"/>
          <w:szCs w:val="21"/>
          <w:highlight w:val="none"/>
        </w:rPr>
        <w:t>年第</w:t>
      </w:r>
      <w:r>
        <w:rPr>
          <w:rFonts w:hAnsi="宋体"/>
          <w:color w:val="auto"/>
          <w:szCs w:val="21"/>
          <w:highlight w:val="none"/>
        </w:rPr>
        <w:t>658</w:t>
      </w:r>
      <w:r>
        <w:rPr>
          <w:rFonts w:hint="eastAsia" w:hAnsi="宋体"/>
          <w:color w:val="auto"/>
          <w:szCs w:val="21"/>
          <w:highlight w:val="none"/>
        </w:rPr>
        <w:t>号国务院令</w:t>
      </w:r>
      <w:r>
        <w:rPr>
          <w:rFonts w:hAnsi="宋体"/>
          <w:color w:val="auto"/>
          <w:szCs w:val="21"/>
          <w:highlight w:val="none"/>
        </w:rPr>
        <w:t>--</w:t>
      </w:r>
      <w:r>
        <w:rPr>
          <w:rFonts w:hint="eastAsia" w:hAnsi="宋体"/>
          <w:color w:val="auto"/>
          <w:szCs w:val="21"/>
          <w:highlight w:val="none"/>
        </w:rPr>
        <w:t>《中华人民共和国政府采购法实施条例》和中华人民共和国财政部</w:t>
      </w:r>
      <w:r>
        <w:rPr>
          <w:rFonts w:hAnsi="宋体"/>
          <w:color w:val="auto"/>
          <w:szCs w:val="21"/>
          <w:highlight w:val="none"/>
        </w:rPr>
        <w:t>2017</w:t>
      </w:r>
      <w:r>
        <w:rPr>
          <w:rFonts w:hint="eastAsia" w:hAnsi="宋体"/>
          <w:color w:val="auto"/>
          <w:szCs w:val="21"/>
          <w:highlight w:val="none"/>
        </w:rPr>
        <w:t>年第</w:t>
      </w:r>
      <w:r>
        <w:rPr>
          <w:rFonts w:hAnsi="宋体"/>
          <w:color w:val="auto"/>
          <w:szCs w:val="21"/>
          <w:highlight w:val="none"/>
        </w:rPr>
        <w:t>87</w:t>
      </w:r>
      <w:r>
        <w:rPr>
          <w:rFonts w:hint="eastAsia" w:hAnsi="宋体"/>
          <w:color w:val="auto"/>
          <w:szCs w:val="21"/>
          <w:highlight w:val="none"/>
        </w:rPr>
        <w:t>号部长令</w:t>
      </w:r>
      <w:r>
        <w:rPr>
          <w:rFonts w:hAnsi="宋体"/>
          <w:color w:val="auto"/>
          <w:szCs w:val="21"/>
          <w:highlight w:val="none"/>
        </w:rPr>
        <w:t>--</w:t>
      </w:r>
      <w:r>
        <w:rPr>
          <w:rFonts w:hint="eastAsia" w:hAnsi="宋体"/>
          <w:color w:val="auto"/>
          <w:szCs w:val="21"/>
          <w:highlight w:val="none"/>
        </w:rPr>
        <w:t>《政府采购服务和服务招标投标管理办法》的规定，依法组建评标委员会。评标委员会按照招标文件规定的评标方法独立进行评标工作</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22.2 评标委员会负责具体评标事务，并独立履行下列职责：</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（1）审查、评价投标文件是否符合招标文件的商务、技术、服务等实质性要求；</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（2）要求供应商对投标文件有关事项作出澄清或者说明；</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（3）对投标文件进行比较和评价；</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（4）确定中标候选人名单，以及根据采购人委托直接确定中标人；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（5）向采购人、采购代理机构或者有关部门报告评标中发现的违法行为。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22.3 采购代理机构负责组织评标工作并履行下列职责：</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（1）核对评审专家身份和采购人代表授权函，对评审专家在政府采购活动中的职责履行情况予以记录，并及时将有关违法违规行为向财政部门报告；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（2）宣布评标纪律；</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（3）公布供应商名单，告知评标专家应当回避的情形；</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（4）组织评标委员会推选评标组长，采购人代表不得担任组长；</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（5）在评标期间采取必要的通讯管理措施，保证评标活动不受外界干扰；</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（6）根据评标委员会的要求介绍政府采购相关政策法规、招标文件；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 xml:space="preserve">（7）维护评标秩序，监督评标委员会依照评标文件规定的评审程序、方法和标准进行独立评审，及时制止和纠正采购人代表、评审专家的倾向性言论或违法违规行为； </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（8）核对评标结果，有《政府采购货物和服务招标投标管理办法》第六十四条规定情形的，要求评标委员会复核或书面说明理由，评标委员会拒绝的，应予记录并向本级财政部门报告；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（9）评审工作完成后，按照规定向评审专家支付劳务报酬和异地评审差旅费；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（10）处理与评标有关的其他事项。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22.4招标文件和投标文件是评标的依据。在评标中，不得改变招标文件中规定的评标标准、方法和中标条件。供应商不得在开标后使用任何方式对投标文件的实质性内容做任何更改。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22.5在评标期间，对投标文件中含义不明确、同类问题表述不一致或者有明显文字和计算错误的内容，评标委员会可以书面形式</w:t>
      </w:r>
      <w:r>
        <w:rPr>
          <w:rFonts w:hint="eastAsia" w:hAnsi="宋体" w:cs="宋体"/>
          <w:color w:val="auto"/>
          <w:highlight w:val="none"/>
        </w:rPr>
        <w:t>（由评标委员会专家签字）</w:t>
      </w:r>
      <w:r>
        <w:rPr>
          <w:rFonts w:hint="eastAsia" w:hAnsi="宋体" w:cs="宋体"/>
          <w:color w:val="auto"/>
          <w:szCs w:val="24"/>
          <w:highlight w:val="none"/>
        </w:rPr>
        <w:t>要求供应商作出必要的澄清、说明或者纠正。供应商的澄清、说明或者补正应当采用书面形式，由其授权的代表签字，并不得超出投标文件的范围或者改变投标文件的实质性内容。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22.6如果供应商在澄清规定期限内，未能答复或拒绝答复评委会提出的澄清要求，将由评委会根据其投标文件按最大风险进行评标。</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22.7投标文件的初审（含资格性、符合性审查）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22.7.1采购人或采购代理机构将审查资格证明文件是否合格齐全，评标委员会审查投标文件是否完整、有效、响应等。</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22.7.2投标文件报价出现前后不一致的，按照下列规定修正：</w:t>
      </w:r>
    </w:p>
    <w:p>
      <w:pPr>
        <w:numPr>
          <w:ilvl w:val="0"/>
          <w:numId w:val="3"/>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投标文件中开标一览表(报价表)内容与投标文件中相应内容不一致的，以开标一览表(报价表)为准；如果单独密封的开标一览表(报价表)与投标文件正本的开标一览表(报价表)不一致，以单独密封的开标一览表(报价表)为准</w:t>
      </w:r>
      <w:r>
        <w:rPr>
          <w:rFonts w:hint="eastAsia" w:hAnsi="宋体" w:cs="宋体"/>
          <w:color w:val="auto"/>
          <w:szCs w:val="24"/>
          <w:highlight w:val="none"/>
          <w:lang w:eastAsia="zh-CN"/>
        </w:rPr>
        <w:t>；</w:t>
      </w:r>
    </w:p>
    <w:p>
      <w:pPr>
        <w:numPr>
          <w:ilvl w:val="0"/>
          <w:numId w:val="3"/>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投标文件的大写金额和小写金额不一致的，以大写金额为准；</w:t>
      </w:r>
    </w:p>
    <w:p>
      <w:pPr>
        <w:numPr>
          <w:ilvl w:val="0"/>
          <w:numId w:val="3"/>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单价金额小数点或者百分比有明显错位的，以单独密封的开标一览表的总价为准，并修改单价；</w:t>
      </w:r>
    </w:p>
    <w:p>
      <w:pPr>
        <w:numPr>
          <w:ilvl w:val="0"/>
          <w:numId w:val="3"/>
        </w:numPr>
        <w:spacing w:line="500" w:lineRule="exact"/>
        <w:ind w:firstLine="480" w:firstLineChars="200"/>
        <w:rPr>
          <w:rFonts w:hAnsi="宋体" w:cs="宋体"/>
          <w:color w:val="auto"/>
          <w:szCs w:val="24"/>
          <w:highlight w:val="none"/>
        </w:rPr>
      </w:pPr>
      <w:r>
        <w:rPr>
          <w:rFonts w:hint="eastAsia" w:hAnsi="宋体" w:cs="宋体"/>
          <w:color w:val="auto"/>
          <w:szCs w:val="24"/>
          <w:highlight w:val="none"/>
        </w:rPr>
        <w:t>总价金额与按单价汇总金额不一致的，以单价金额计算结果为准。</w:t>
      </w:r>
    </w:p>
    <w:p>
      <w:pPr>
        <w:widowControl/>
        <w:autoSpaceDE w:val="0"/>
        <w:autoSpaceDN w:val="0"/>
        <w:spacing w:line="500" w:lineRule="exact"/>
        <w:ind w:right="51" w:firstLine="482" w:firstLineChars="200"/>
        <w:textAlignment w:val="bottom"/>
        <w:rPr>
          <w:rFonts w:hAnsi="宋体" w:cs="宋体"/>
          <w:color w:val="auto"/>
          <w:szCs w:val="24"/>
          <w:highlight w:val="none"/>
        </w:rPr>
      </w:pPr>
      <w:r>
        <w:rPr>
          <w:rFonts w:hint="eastAsia" w:hAnsi="宋体" w:cs="宋体"/>
          <w:b/>
          <w:color w:val="auto"/>
          <w:highlight w:val="none"/>
        </w:rPr>
        <w:t>按上述修正的顺序和方法调整的投标报价应对供应商具有约束力。如果供应商不接受修正后的价格，其投标将按无效投标处理。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22.7.3在详细评标之前，根据本须知第22.5.4条的规定，评标委员会要审查每份投标文件是否实质上响应了招标文件的要求。对关键条文的偏离、保留或反对将被认为是实质上的偏离。评标委员会决定投标的响应性只根据投标文件本身的内容，而不寻求外部的证据。</w:t>
      </w:r>
    </w:p>
    <w:p>
      <w:pPr>
        <w:spacing w:line="500" w:lineRule="exact"/>
        <w:ind w:firstLine="482" w:firstLineChars="200"/>
        <w:rPr>
          <w:rFonts w:hAnsi="宋体" w:cs="宋体"/>
          <w:b/>
          <w:bCs/>
          <w:color w:val="auto"/>
          <w:szCs w:val="24"/>
          <w:highlight w:val="none"/>
        </w:rPr>
      </w:pPr>
      <w:r>
        <w:rPr>
          <w:rFonts w:hint="eastAsia" w:hAnsi="宋体" w:cs="宋体"/>
          <w:b/>
          <w:bCs/>
          <w:color w:val="auto"/>
          <w:szCs w:val="24"/>
          <w:highlight w:val="none"/>
        </w:rPr>
        <w:t>22.7.4实质上没有响应招标文件要求的投标将按无效投标处理。供应商不得通过修正或撤销不合要求的偏离从而使其投标成为实质性响应的投标。如发现下列情况之一的，其投标将构成非实质性响应，按无效投标处理：</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1）没有按照招标文件要求提供投标文件或投标文件构成有重大缺项；</w:t>
      </w:r>
    </w:p>
    <w:p>
      <w:pPr>
        <w:kinsoku w:val="0"/>
        <w:spacing w:line="500" w:lineRule="exact"/>
        <w:ind w:firstLine="480" w:firstLineChars="200"/>
        <w:rPr>
          <w:rFonts w:hAnsi="宋体" w:cs="宋体"/>
          <w:color w:val="auto"/>
          <w:spacing w:val="-6"/>
          <w:highlight w:val="none"/>
        </w:rPr>
      </w:pPr>
      <w:r>
        <w:rPr>
          <w:rFonts w:hint="eastAsia" w:hAnsi="宋体" w:cs="宋体"/>
          <w:color w:val="auto"/>
          <w:highlight w:val="none"/>
        </w:rPr>
        <w:t>2）投标</w:t>
      </w:r>
      <w:r>
        <w:rPr>
          <w:rFonts w:hint="eastAsia" w:hAnsi="宋体" w:cs="宋体"/>
          <w:color w:val="auto"/>
          <w:spacing w:val="-6"/>
          <w:highlight w:val="none"/>
        </w:rPr>
        <w:t>文件</w:t>
      </w:r>
      <w:r>
        <w:rPr>
          <w:rFonts w:hint="eastAsia" w:hAnsi="宋体" w:cs="宋体"/>
          <w:color w:val="auto"/>
          <w:highlight w:val="none"/>
        </w:rPr>
        <w:t>未按招标文件要求签署、盖章的；</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3）供应商未按招标文件要求提交投标保证金或保函的；</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4）不具备招标文件中规定的资格要求的；</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5）</w:t>
      </w:r>
      <w:r>
        <w:rPr>
          <w:rFonts w:hint="eastAsia" w:hAnsi="宋体" w:cs="宋体"/>
          <w:color w:val="auto"/>
          <w:spacing w:val="-6"/>
          <w:highlight w:val="none"/>
        </w:rPr>
        <w:t>无投标</w:t>
      </w:r>
      <w:r>
        <w:rPr>
          <w:rFonts w:hint="eastAsia" w:hAnsi="宋体" w:cs="宋体"/>
          <w:color w:val="auto"/>
          <w:szCs w:val="24"/>
          <w:highlight w:val="none"/>
        </w:rPr>
        <w:t>有效期</w:t>
      </w:r>
      <w:r>
        <w:rPr>
          <w:rFonts w:hint="eastAsia" w:hAnsi="宋体" w:cs="宋体"/>
          <w:color w:val="auto"/>
          <w:spacing w:val="-6"/>
          <w:highlight w:val="none"/>
        </w:rPr>
        <w:t>或有效期达不到招标文件要求的</w:t>
      </w:r>
      <w:r>
        <w:rPr>
          <w:rFonts w:hint="eastAsia" w:hAnsi="宋体" w:cs="宋体"/>
          <w:color w:val="auto"/>
          <w:szCs w:val="24"/>
          <w:highlight w:val="none"/>
        </w:rPr>
        <w:t>；</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6）存在有重大缺漏项和重大技术偏离的投标</w:t>
      </w:r>
      <w:r>
        <w:rPr>
          <w:rFonts w:hint="eastAsia" w:hAnsi="宋体" w:cs="宋体"/>
          <w:color w:val="auto"/>
          <w:highlight w:val="none"/>
        </w:rPr>
        <w:t>货物（产品）</w:t>
      </w:r>
      <w:r>
        <w:rPr>
          <w:rFonts w:hint="eastAsia" w:hAnsi="宋体" w:cs="宋体"/>
          <w:color w:val="auto"/>
          <w:szCs w:val="24"/>
          <w:highlight w:val="none"/>
        </w:rPr>
        <w:t>；</w:t>
      </w:r>
    </w:p>
    <w:p>
      <w:pPr>
        <w:tabs>
          <w:tab w:val="left" w:pos="1260"/>
        </w:tabs>
        <w:spacing w:line="500" w:lineRule="exact"/>
        <w:ind w:firstLine="480" w:firstLineChars="200"/>
        <w:rPr>
          <w:rFonts w:hAnsi="宋体" w:cs="宋体"/>
          <w:color w:val="auto"/>
          <w:szCs w:val="24"/>
          <w:highlight w:val="none"/>
        </w:rPr>
      </w:pPr>
      <w:r>
        <w:rPr>
          <w:rFonts w:hint="eastAsia" w:hAnsi="宋体" w:cs="宋体"/>
          <w:color w:val="auto"/>
          <w:szCs w:val="24"/>
          <w:highlight w:val="none"/>
        </w:rPr>
        <w:t>7）供应商有串通投标、以他人名义投标、弄虚作假、行贿等违法行为的；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8）投标总报价超过招标文件公布的采购预算或者最高限价的；</w:t>
      </w:r>
    </w:p>
    <w:p>
      <w:pPr>
        <w:pStyle w:val="17"/>
        <w:spacing w:before="0" w:beforeAutospacing="0" w:after="0" w:afterAutospacing="0" w:line="500" w:lineRule="exact"/>
        <w:ind w:firstLine="480" w:firstLineChars="200"/>
        <w:jc w:val="both"/>
        <w:rPr>
          <w:rFonts w:cs="宋体"/>
          <w:color w:val="auto"/>
          <w:highlight w:val="none"/>
        </w:rPr>
      </w:pPr>
      <w:r>
        <w:rPr>
          <w:rFonts w:hint="eastAsia" w:cs="宋体"/>
          <w:color w:val="auto"/>
          <w:highlight w:val="none"/>
        </w:rPr>
        <w:t>9）投标文件含有采购人不能接受的附加条件的；</w:t>
      </w:r>
    </w:p>
    <w:p>
      <w:pPr>
        <w:pStyle w:val="17"/>
        <w:spacing w:before="0" w:beforeAutospacing="0" w:after="0" w:afterAutospacing="0" w:line="500" w:lineRule="exact"/>
        <w:ind w:firstLine="480" w:firstLineChars="200"/>
        <w:jc w:val="both"/>
        <w:rPr>
          <w:rFonts w:cs="宋体"/>
          <w:color w:val="auto"/>
          <w:highlight w:val="none"/>
        </w:rPr>
      </w:pPr>
      <w:r>
        <w:rPr>
          <w:rFonts w:hint="eastAsia" w:cs="宋体"/>
          <w:color w:val="auto"/>
          <w:highlight w:val="none"/>
        </w:rPr>
        <w:t>10）供应商被列入失信被执行人、重大税收违法案件当事人名单、政府采购严重违法失信行为记录名单的；</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11）法律、法规规定的其他无效情形。</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22.8投标文件的详细评审</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22.8.1评标委员会将按照本须知第22.5.4条规定，只对确定为实质性响应招标文件要求的投标进行详细评审。</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22.8.2详细评审按照第五章“评标方法”的评标方法进行。</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22.9中标候选人的确定</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评标委员会完成评标后，向采购人提出书面评标报告，并推荐三名中标候选人，标明排列顺序。</w:t>
      </w:r>
    </w:p>
    <w:p>
      <w:pPr>
        <w:spacing w:line="500" w:lineRule="exact"/>
        <w:rPr>
          <w:rFonts w:hAnsi="宋体" w:cs="宋体"/>
          <w:b/>
          <w:color w:val="auto"/>
          <w:szCs w:val="24"/>
          <w:highlight w:val="none"/>
        </w:rPr>
      </w:pPr>
      <w:r>
        <w:rPr>
          <w:rFonts w:hint="eastAsia" w:hAnsi="宋体" w:cs="宋体"/>
          <w:b/>
          <w:color w:val="auto"/>
          <w:szCs w:val="24"/>
          <w:highlight w:val="none"/>
        </w:rPr>
        <w:t>23．评标过程的保密</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23.1评标委员会成员和与评标活动有关的工作人员不得泄露有关投标文件的评审和比较、中标候选人的推荐以及与评标有关的其他情况。</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23.2在评标过程中，如果供应商试图在投标文件的评审和比较、中标候选人的推荐以及与评标有关的其他方面，向评标人、采购人和采购代理机构施加任何影响，其投标应做无效投标处理。</w:t>
      </w:r>
    </w:p>
    <w:p>
      <w:pPr>
        <w:spacing w:line="500" w:lineRule="exact"/>
        <w:rPr>
          <w:rFonts w:hAnsi="宋体" w:cs="宋体"/>
          <w:b/>
          <w:color w:val="auto"/>
          <w:szCs w:val="24"/>
          <w:highlight w:val="none"/>
        </w:rPr>
      </w:pPr>
      <w:r>
        <w:rPr>
          <w:rFonts w:hint="eastAsia" w:hAnsi="宋体" w:cs="宋体"/>
          <w:b/>
          <w:color w:val="auto"/>
          <w:szCs w:val="24"/>
          <w:highlight w:val="none"/>
        </w:rPr>
        <w:t>24．评标方法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24.1按照中华人民共和国财政部令第87号--《政府采购货物和服务招标投标管理办法》的规定，本次评标采用以下评标方法中的一种：具体见“供应商须知前附表”。</w:t>
      </w:r>
    </w:p>
    <w:p>
      <w:pPr>
        <w:pStyle w:val="17"/>
        <w:spacing w:before="0" w:beforeAutospacing="0" w:after="0" w:afterAutospacing="0" w:line="500" w:lineRule="exact"/>
        <w:ind w:firstLine="480" w:firstLineChars="200"/>
        <w:jc w:val="both"/>
        <w:rPr>
          <w:rFonts w:cs="宋体"/>
          <w:color w:val="auto"/>
          <w:highlight w:val="none"/>
        </w:rPr>
      </w:pPr>
      <w:r>
        <w:rPr>
          <w:rFonts w:hint="eastAsia" w:cs="宋体"/>
          <w:color w:val="auto"/>
          <w:highlight w:val="none"/>
        </w:rPr>
        <w:t>1）最低评标价法，即在全部满足招标文件实质性要求前提下，且投标报价最低的供应商为中标候选人的评标方法。</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综合评分法，即在最大限度地满足招标文件实质性要求前提下，按照招标文件中规定的各项因素（包括投标报价、技术或者服务水平、履约能力、对招标文件的响应程度等）和相应的权重分值进行综合评审后，以总得分最高的供应商作为中标候选人并依次排序。</w:t>
      </w:r>
    </w:p>
    <w:p>
      <w:pPr>
        <w:spacing w:line="500" w:lineRule="exact"/>
        <w:rPr>
          <w:rFonts w:hAnsi="宋体" w:cs="宋体"/>
          <w:b/>
          <w:color w:val="auto"/>
          <w:szCs w:val="24"/>
          <w:highlight w:val="none"/>
        </w:rPr>
      </w:pPr>
      <w:r>
        <w:rPr>
          <w:rFonts w:hint="eastAsia" w:hAnsi="宋体" w:cs="宋体"/>
          <w:b/>
          <w:color w:val="auto"/>
          <w:szCs w:val="24"/>
          <w:highlight w:val="none"/>
        </w:rPr>
        <w:t>25．评标程序</w:t>
      </w:r>
    </w:p>
    <w:p>
      <w:pPr>
        <w:spacing w:line="500" w:lineRule="exact"/>
        <w:ind w:firstLine="480" w:firstLineChars="200"/>
        <w:rPr>
          <w:rFonts w:hAnsi="宋体" w:cs="宋体"/>
          <w:color w:val="auto"/>
          <w:highlight w:val="none"/>
        </w:rPr>
      </w:pPr>
      <w:r>
        <w:rPr>
          <w:rFonts w:hint="eastAsia" w:hAnsi="宋体" w:cs="宋体"/>
          <w:color w:val="auto"/>
          <w:szCs w:val="24"/>
          <w:highlight w:val="none"/>
        </w:rPr>
        <w:t>按照投标文件初审、澄清有关问题、比较与评价、推荐中标候选人名单的工作程序进行评标。在上一步评审中供应商被认定无效投标者，不进入下一步的评审。</w:t>
      </w:r>
    </w:p>
    <w:p>
      <w:pPr>
        <w:spacing w:line="500" w:lineRule="exact"/>
        <w:jc w:val="center"/>
        <w:rPr>
          <w:rFonts w:hAnsi="宋体" w:cs="宋体"/>
          <w:b/>
          <w:color w:val="auto"/>
          <w:sz w:val="32"/>
          <w:szCs w:val="32"/>
          <w:highlight w:val="none"/>
        </w:rPr>
      </w:pPr>
      <w:bookmarkStart w:id="51" w:name="_Toc363473977"/>
      <w:bookmarkStart w:id="52" w:name="_Toc363474022"/>
      <w:bookmarkStart w:id="53" w:name="_Toc403077644"/>
      <w:r>
        <w:rPr>
          <w:rFonts w:hint="eastAsia" w:hAnsi="宋体" w:cs="宋体"/>
          <w:b/>
          <w:color w:val="auto"/>
          <w:sz w:val="32"/>
          <w:szCs w:val="32"/>
          <w:highlight w:val="none"/>
        </w:rPr>
        <w:t>六.定标、中标通知与签约</w:t>
      </w:r>
      <w:bookmarkEnd w:id="51"/>
      <w:bookmarkEnd w:id="52"/>
      <w:bookmarkEnd w:id="53"/>
    </w:p>
    <w:p>
      <w:pPr>
        <w:spacing w:line="500" w:lineRule="exact"/>
        <w:rPr>
          <w:rFonts w:hAnsi="宋体" w:cs="宋体"/>
          <w:b/>
          <w:color w:val="auto"/>
          <w:szCs w:val="24"/>
          <w:highlight w:val="none"/>
        </w:rPr>
      </w:pPr>
      <w:r>
        <w:rPr>
          <w:rFonts w:hint="eastAsia" w:hAnsi="宋体" w:cs="宋体"/>
          <w:b/>
          <w:color w:val="auto"/>
          <w:szCs w:val="24"/>
          <w:highlight w:val="none"/>
        </w:rPr>
        <w:t>26．定标程序</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26.1评标委员会根据评标方法的规定对供应商进行评审排序，推荐3名中标候选人，作为评标结果。评标结果由评标委员会成员签字确认。</w:t>
      </w:r>
    </w:p>
    <w:p>
      <w:pPr>
        <w:spacing w:line="500" w:lineRule="exact"/>
        <w:ind w:firstLine="420" w:firstLineChars="175"/>
        <w:rPr>
          <w:rFonts w:hAnsi="宋体" w:cs="宋体"/>
          <w:color w:val="auto"/>
          <w:szCs w:val="24"/>
          <w:highlight w:val="none"/>
        </w:rPr>
      </w:pPr>
      <w:r>
        <w:rPr>
          <w:rFonts w:hint="eastAsia" w:hAnsi="宋体" w:cs="宋体"/>
          <w:color w:val="auto"/>
          <w:szCs w:val="24"/>
          <w:highlight w:val="none"/>
        </w:rPr>
        <w:t>26.2</w:t>
      </w:r>
      <w:r>
        <w:rPr>
          <w:rFonts w:hint="eastAsia" w:hAnsi="宋体" w:cs="宋体"/>
          <w:color w:val="auto"/>
          <w:highlight w:val="none"/>
        </w:rPr>
        <w:t>采购代理机构在评标结束后2个工作日内将评标报告送采购人。采购人应当在收到评标报告后5个工作日内，按照评标报告中推荐的中标候选人顺序和有关规定确定中标人。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26.3</w:t>
      </w:r>
      <w:r>
        <w:rPr>
          <w:rFonts w:hint="eastAsia" w:hAnsi="宋体" w:cs="宋体"/>
          <w:color w:val="auto"/>
          <w:highlight w:val="none"/>
        </w:rPr>
        <w:t>确定的中标候选人放弃中标、在规定期限内未能签订合同、因不可抗力不能履行合同，或者被查实存在影响中标结果的违法行为等情形，不符合中标条件的，采购人可以按照评标委员会提出的中标候选人名单排序依次确定其他中标候选人为中标人，也可以重新招标</w:t>
      </w:r>
      <w:r>
        <w:rPr>
          <w:rFonts w:hint="eastAsia" w:hAnsi="宋体" w:cs="宋体"/>
          <w:color w:val="auto"/>
          <w:szCs w:val="24"/>
          <w:highlight w:val="none"/>
        </w:rPr>
        <w:t>。</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26.4采购人也可以授权评标委员会评标后直接确定中标人。</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26.5中标人确定之后，中标结果将在财政部门指定的政府采购信息发布媒体上公告。</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26.6供应商或者其他利害关系人对评标结果有异议的，应当在法律规定的时间内提出。</w:t>
      </w:r>
    </w:p>
    <w:p>
      <w:pPr>
        <w:spacing w:line="500" w:lineRule="exact"/>
        <w:rPr>
          <w:rFonts w:hAnsi="宋体" w:cs="宋体"/>
          <w:b/>
          <w:color w:val="auto"/>
          <w:szCs w:val="24"/>
          <w:highlight w:val="none"/>
        </w:rPr>
      </w:pPr>
      <w:r>
        <w:rPr>
          <w:rFonts w:hint="eastAsia" w:hAnsi="宋体" w:cs="宋体"/>
          <w:b/>
          <w:color w:val="auto"/>
          <w:szCs w:val="24"/>
          <w:highlight w:val="none"/>
        </w:rPr>
        <w:t>27．中标和落标通知</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27.1 采购代理机构在发布中标公告后，向中标人发出《中标通知书》。</w:t>
      </w:r>
      <w:r>
        <w:rPr>
          <w:rFonts w:hint="eastAsia" w:hAnsi="宋体" w:cs="宋体"/>
          <w:b/>
          <w:bCs/>
          <w:color w:val="auto"/>
          <w:szCs w:val="24"/>
          <w:highlight w:val="none"/>
        </w:rPr>
        <w:t>中标人领取中标通知书时须携带法定代表人或负责人授权书及加盖单位公章的被授权人身份证复印件。</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27.2中标通知书对采购人和中标人具有同等法律效力。中标通知书发出之后，采购人改变中标结果，或者中标人放弃中标，应当承担相应的法律责任。</w:t>
      </w:r>
    </w:p>
    <w:p>
      <w:pPr>
        <w:spacing w:line="500" w:lineRule="exact"/>
        <w:rPr>
          <w:rFonts w:hAnsi="宋体" w:cs="宋体"/>
          <w:b/>
          <w:color w:val="auto"/>
          <w:szCs w:val="24"/>
          <w:highlight w:val="none"/>
        </w:rPr>
      </w:pPr>
      <w:r>
        <w:rPr>
          <w:rFonts w:hint="eastAsia" w:hAnsi="宋体" w:cs="宋体"/>
          <w:b/>
          <w:color w:val="auto"/>
          <w:szCs w:val="24"/>
          <w:highlight w:val="none"/>
        </w:rPr>
        <w:t>28. 中标合同的签订</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28.1采购人应当自中标通知书发出之日起三十日内，按照招标文件和中标人投标文件（包括评标中形成的澄清文件）的约定，与中标人签订书面合同。所签订的合同不得对招标文件和中标人的投标文件（包括评标中形成的澄清文件）作实质性修改。</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28.2采购人自采购合同签订之日起七个工作日内，将采购合同副本报同级人民政府财政部门备案。</w:t>
      </w:r>
    </w:p>
    <w:p>
      <w:pPr>
        <w:spacing w:line="500" w:lineRule="exact"/>
        <w:rPr>
          <w:rFonts w:hAnsi="宋体" w:cs="宋体"/>
          <w:b/>
          <w:color w:val="auto"/>
          <w:szCs w:val="24"/>
          <w:highlight w:val="none"/>
        </w:rPr>
      </w:pPr>
      <w:r>
        <w:rPr>
          <w:rFonts w:hint="eastAsia" w:hAnsi="宋体" w:cs="宋体"/>
          <w:b/>
          <w:color w:val="auto"/>
          <w:szCs w:val="24"/>
          <w:highlight w:val="none"/>
        </w:rPr>
        <w:t>29．招标代理服务费</w:t>
      </w:r>
    </w:p>
    <w:p>
      <w:pPr>
        <w:spacing w:line="500" w:lineRule="exact"/>
        <w:ind w:firstLine="480" w:firstLineChars="200"/>
        <w:rPr>
          <w:rFonts w:hAnsi="宋体" w:cs="宋体"/>
          <w:color w:val="auto"/>
          <w:szCs w:val="22"/>
          <w:highlight w:val="none"/>
        </w:rPr>
      </w:pPr>
      <w:r>
        <w:rPr>
          <w:rFonts w:hint="eastAsia" w:hAnsi="宋体" w:cs="宋体"/>
          <w:color w:val="auto"/>
          <w:szCs w:val="22"/>
          <w:highlight w:val="none"/>
        </w:rPr>
        <w:t>29.1 招标代理服务费的计算方法：以中标金额为基数，依据国家计委颁布《招标代理服务收费管理暂行办法》（计价格[2002]1980号）文件的有关规定执行。</w:t>
      </w:r>
    </w:p>
    <w:p>
      <w:pPr>
        <w:spacing w:line="500" w:lineRule="exact"/>
        <w:ind w:firstLine="480" w:firstLineChars="200"/>
        <w:rPr>
          <w:rFonts w:hAnsi="宋体" w:cs="宋体"/>
          <w:color w:val="auto"/>
          <w:szCs w:val="24"/>
          <w:highlight w:val="none"/>
        </w:rPr>
      </w:pPr>
      <w:r>
        <w:rPr>
          <w:rFonts w:hint="eastAsia" w:hAnsi="宋体" w:cs="宋体"/>
          <w:color w:val="auto"/>
          <w:szCs w:val="24"/>
          <w:highlight w:val="none"/>
        </w:rPr>
        <w:t>29</w:t>
      </w:r>
      <w:r>
        <w:rPr>
          <w:rFonts w:hint="eastAsia" w:hAnsi="宋体" w:cs="宋体"/>
          <w:color w:val="auto"/>
          <w:highlight w:val="none"/>
        </w:rPr>
        <w:t xml:space="preserve">.2 </w:t>
      </w:r>
      <w:r>
        <w:rPr>
          <w:rFonts w:hint="eastAsia" w:hAnsi="宋体" w:cs="宋体"/>
          <w:color w:val="auto"/>
          <w:szCs w:val="24"/>
          <w:highlight w:val="none"/>
        </w:rPr>
        <w:t>中标单位在领取中标通知书前，须向采购代理机构一次性支付招标代理服务费。</w:t>
      </w:r>
    </w:p>
    <w:p>
      <w:pPr>
        <w:spacing w:line="500" w:lineRule="exact"/>
        <w:rPr>
          <w:rFonts w:hAnsi="宋体" w:cs="宋体"/>
          <w:b/>
          <w:bCs/>
          <w:color w:val="auto"/>
          <w:szCs w:val="24"/>
          <w:highlight w:val="none"/>
        </w:rPr>
      </w:pPr>
      <w:r>
        <w:rPr>
          <w:rFonts w:hint="eastAsia" w:hAnsi="宋体" w:cs="宋体"/>
          <w:b/>
          <w:bCs/>
          <w:color w:val="auto"/>
          <w:szCs w:val="24"/>
          <w:highlight w:val="none"/>
        </w:rPr>
        <w:t>30.质疑</w:t>
      </w:r>
    </w:p>
    <w:p>
      <w:pPr>
        <w:spacing w:line="500" w:lineRule="exact"/>
        <w:ind w:right="12" w:firstLine="480"/>
        <w:rPr>
          <w:rFonts w:hAnsi="宋体" w:cs="宋体"/>
          <w:color w:val="auto"/>
          <w:szCs w:val="24"/>
          <w:highlight w:val="none"/>
        </w:rPr>
      </w:pPr>
      <w:r>
        <w:rPr>
          <w:rFonts w:hint="eastAsia" w:hAnsi="宋体" w:cs="宋体"/>
          <w:color w:val="auto"/>
          <w:szCs w:val="24"/>
          <w:highlight w:val="none"/>
        </w:rPr>
        <w:t>30.1供应商认为招标文件、招标过程、中标结果使自己的权益受到损害的，可以在知道或者应知其权益受到损害之日起7个工作日内，以书面形式向采购人、采购代理机构提出质疑。</w:t>
      </w:r>
    </w:p>
    <w:p>
      <w:pPr>
        <w:spacing w:line="500" w:lineRule="exact"/>
        <w:ind w:right="12" w:firstLine="480"/>
        <w:rPr>
          <w:rStyle w:val="22"/>
          <w:rFonts w:hAnsi="宋体" w:cs="宋体"/>
          <w:bCs w:val="0"/>
          <w:color w:val="auto"/>
          <w:szCs w:val="24"/>
          <w:highlight w:val="none"/>
          <w:shd w:val="clear" w:color="auto" w:fill="FFFFFF"/>
        </w:rPr>
      </w:pPr>
      <w:r>
        <w:rPr>
          <w:rFonts w:hint="eastAsia" w:hAnsi="宋体" w:cs="宋体"/>
          <w:color w:val="auto"/>
          <w:szCs w:val="24"/>
          <w:highlight w:val="none"/>
        </w:rPr>
        <w:t>30.2供应商必须在法定质疑期内一次性提出针对同一采购程序环节的质疑。</w:t>
      </w:r>
    </w:p>
    <w:p>
      <w:pPr>
        <w:spacing w:line="500" w:lineRule="exact"/>
        <w:ind w:left="3" w:firstLine="518" w:firstLineChars="216"/>
        <w:rPr>
          <w:rStyle w:val="22"/>
          <w:rFonts w:hAnsi="宋体" w:cs="宋体"/>
          <w:b w:val="0"/>
          <w:color w:val="auto"/>
          <w:szCs w:val="24"/>
          <w:highlight w:val="none"/>
          <w:shd w:val="clear" w:color="auto" w:fill="FFFFFF"/>
        </w:rPr>
      </w:pPr>
      <w:r>
        <w:rPr>
          <w:rStyle w:val="22"/>
          <w:rFonts w:hint="eastAsia" w:hAnsi="宋体" w:cs="宋体"/>
          <w:b w:val="0"/>
          <w:color w:val="auto"/>
          <w:szCs w:val="24"/>
          <w:highlight w:val="none"/>
          <w:shd w:val="clear" w:color="auto" w:fill="FFFFFF"/>
        </w:rPr>
        <w:t>30.3供应商可以委托代理人进行质疑。代理人提出质疑的，应当提交授权委托书。授权委托书应当载明代理人的姓名或者名称、代理事项、具体权限、期限和相关事项。供应商为自然人的，应当由本人签字；供应商为法人或者其他组织的，应当由法定代表人或负责人、主要负责人签字或者盖章，并加盖公章。</w:t>
      </w:r>
    </w:p>
    <w:p>
      <w:pPr>
        <w:spacing w:line="500" w:lineRule="exact"/>
        <w:ind w:left="3" w:firstLine="518" w:firstLineChars="216"/>
        <w:rPr>
          <w:rStyle w:val="22"/>
          <w:rFonts w:hAnsi="宋体" w:cs="宋体"/>
          <w:b w:val="0"/>
          <w:color w:val="auto"/>
          <w:szCs w:val="24"/>
          <w:highlight w:val="none"/>
          <w:shd w:val="clear" w:color="auto" w:fill="FFFFFF"/>
        </w:rPr>
      </w:pPr>
      <w:r>
        <w:rPr>
          <w:rStyle w:val="22"/>
          <w:rFonts w:hint="eastAsia" w:hAnsi="宋体" w:cs="宋体"/>
          <w:b w:val="0"/>
          <w:color w:val="auto"/>
          <w:szCs w:val="24"/>
          <w:highlight w:val="none"/>
          <w:shd w:val="clear" w:color="auto" w:fill="FFFFFF"/>
        </w:rPr>
        <w:t>30.4以联合体形式参加政府采购活动的，其质疑应当由组成联合体的所有供应商共同提出。</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30.5供应商提出质疑应当提交质疑函和必要的证明材料。质疑函应当包括下列内容：</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30.5.1供应商的姓名或者名称、地址、邮编、联系人及联系电话；</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30.5.2质疑项目的名称、</w:t>
      </w:r>
      <w:r>
        <w:rPr>
          <w:rFonts w:hint="eastAsia" w:hAnsi="宋体" w:cs="宋体"/>
          <w:color w:val="auto"/>
          <w:szCs w:val="24"/>
          <w:highlight w:val="none"/>
          <w:lang w:eastAsia="zh-CN"/>
        </w:rPr>
        <w:t>编号</w:t>
      </w:r>
      <w:r>
        <w:rPr>
          <w:rFonts w:hint="eastAsia" w:hAnsi="宋体" w:cs="宋体"/>
          <w:color w:val="auto"/>
          <w:szCs w:val="24"/>
          <w:highlight w:val="none"/>
        </w:rPr>
        <w:t>；</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30.5.3具体、明确的质疑事项和与质疑事项相关的请求；</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30.5.4事实依据；</w:t>
      </w:r>
    </w:p>
    <w:p>
      <w:pPr>
        <w:spacing w:line="500" w:lineRule="exact"/>
        <w:ind w:right="12" w:firstLine="480" w:firstLineChars="200"/>
        <w:rPr>
          <w:rFonts w:hAnsi="宋体" w:cs="宋体"/>
          <w:color w:val="auto"/>
          <w:szCs w:val="24"/>
          <w:highlight w:val="none"/>
        </w:rPr>
      </w:pPr>
      <w:r>
        <w:rPr>
          <w:rFonts w:hint="eastAsia" w:hAnsi="宋体" w:cs="宋体"/>
          <w:color w:val="auto"/>
          <w:szCs w:val="24"/>
          <w:highlight w:val="none"/>
        </w:rPr>
        <w:t>30.5.5必要的法律依据；</w:t>
      </w:r>
    </w:p>
    <w:p>
      <w:pPr>
        <w:spacing w:line="500" w:lineRule="exact"/>
        <w:ind w:right="12" w:firstLine="480" w:firstLineChars="200"/>
        <w:rPr>
          <w:rStyle w:val="22"/>
          <w:rFonts w:hAnsi="宋体" w:cs="宋体"/>
          <w:b w:val="0"/>
          <w:color w:val="auto"/>
          <w:szCs w:val="24"/>
          <w:highlight w:val="none"/>
          <w:shd w:val="clear" w:color="auto" w:fill="FFFFFF"/>
        </w:rPr>
      </w:pPr>
      <w:r>
        <w:rPr>
          <w:rFonts w:hint="eastAsia" w:hAnsi="宋体" w:cs="宋体"/>
          <w:color w:val="auto"/>
          <w:szCs w:val="24"/>
          <w:highlight w:val="none"/>
        </w:rPr>
        <w:t>30.5.6提出质疑的日期。</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30.6有下列情形之一的，属于无效质疑，采购代理机构和采购人不予受理：</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30.6.1质疑供应商不是参与本次政府采购项目的供应商；</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30.6.2质疑供应商与质疑事项不存在利害关系的；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30.6.3未在法定期限内提出质疑的；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30.6.4质疑未以书面形式提出，或质疑函主要内容构成不完整的；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30.6.5应当提交授权书而未提交的；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30.6.6以非法手段取得证据、材料的；</w:t>
      </w:r>
    </w:p>
    <w:p>
      <w:pPr>
        <w:widowControl/>
        <w:spacing w:line="500" w:lineRule="exact"/>
        <w:ind w:firstLine="480" w:firstLineChars="200"/>
        <w:rPr>
          <w:rFonts w:hAnsi="宋体" w:cs="宋体"/>
          <w:color w:val="auto"/>
          <w:highlight w:val="none"/>
        </w:rPr>
      </w:pPr>
      <w:r>
        <w:rPr>
          <w:rFonts w:hint="eastAsia" w:hAnsi="宋体" w:cs="宋体"/>
          <w:color w:val="auto"/>
          <w:highlight w:val="none"/>
        </w:rPr>
        <w:t>30.6.7质疑答复后，同一质疑人就同一事项或同一采购程序环节再次提出质疑的；</w:t>
      </w:r>
    </w:p>
    <w:p>
      <w:pPr>
        <w:widowControl/>
        <w:spacing w:line="500" w:lineRule="exact"/>
        <w:ind w:firstLine="480" w:firstLineChars="200"/>
        <w:rPr>
          <w:rStyle w:val="22"/>
          <w:rFonts w:hAnsi="宋体" w:cs="宋体"/>
          <w:b w:val="0"/>
          <w:color w:val="auto"/>
          <w:szCs w:val="24"/>
          <w:highlight w:val="none"/>
          <w:shd w:val="clear" w:color="auto" w:fill="FFFFFF"/>
        </w:rPr>
      </w:pPr>
      <w:r>
        <w:rPr>
          <w:rFonts w:hint="eastAsia" w:hAnsi="宋体" w:cs="宋体"/>
          <w:color w:val="auto"/>
          <w:highlight w:val="none"/>
        </w:rPr>
        <w:t>30.6.8不符合法律、法规、规章和政府采购监管机构规定的其他条件的。</w:t>
      </w:r>
    </w:p>
    <w:p>
      <w:pPr>
        <w:spacing w:line="500" w:lineRule="exact"/>
        <w:ind w:right="12"/>
        <w:rPr>
          <w:rFonts w:hAnsi="宋体" w:cs="宋体"/>
          <w:color w:val="auto"/>
          <w:szCs w:val="24"/>
          <w:highlight w:val="none"/>
        </w:rPr>
      </w:pPr>
      <w:r>
        <w:rPr>
          <w:rFonts w:hint="eastAsia" w:hAnsi="宋体" w:cs="宋体"/>
          <w:color w:val="auto"/>
          <w:szCs w:val="24"/>
          <w:highlight w:val="none"/>
        </w:rPr>
        <w:t xml:space="preserve">    30.7质疑答复</w:t>
      </w:r>
    </w:p>
    <w:p>
      <w:pPr>
        <w:pStyle w:val="25"/>
        <w:spacing w:line="500" w:lineRule="exact"/>
        <w:ind w:firstLine="480"/>
        <w:jc w:val="left"/>
        <w:rPr>
          <w:rFonts w:hAnsi="宋体" w:cs="宋体"/>
          <w:color w:val="auto"/>
          <w:szCs w:val="24"/>
          <w:highlight w:val="none"/>
        </w:rPr>
      </w:pPr>
      <w:r>
        <w:rPr>
          <w:rFonts w:hint="eastAsia" w:hAnsi="宋体" w:cs="宋体"/>
          <w:color w:val="auto"/>
          <w:szCs w:val="24"/>
          <w:highlight w:val="none"/>
        </w:rPr>
        <w:t>30.7.1采购人或采购代理机构在收到质疑函后7个工作日内作出答复，并以书面形式通知质疑供应商和其他有关供应商。</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30.7.2质疑供应商对采购人、采购代理机构的答复不满意，或者采购人、采购代理机构未在规定时间内作出答复的，可以在答复期满后15个工作日内向项目主管财政部门提起投诉。</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30.8.1质疑函须按财政部《质疑函范本》给定的格式进行填写，范本下载详见【财政部国库司（gks.mof.gov.cn）】网站〖首页·政府采购管理〗栏目中的《政府采购供应商质疑函范本》。《政府采购供应商质疑函范本》链接地址：</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http://gks.mof.gov.cn/zhengfucaigouguanli/201802/t20180201_2804589.html</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30.8.2接收质疑函的方式：书面形式</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30.8.3联系部门：陕西至诚招标咨询有限公司前台</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30.8.4联系电话：029-88219779</w:t>
      </w:r>
    </w:p>
    <w:p>
      <w:pPr>
        <w:pStyle w:val="25"/>
        <w:spacing w:line="500" w:lineRule="exact"/>
        <w:ind w:firstLine="480" w:firstLineChars="0"/>
        <w:jc w:val="left"/>
        <w:rPr>
          <w:rFonts w:hAnsi="宋体" w:cs="宋体"/>
          <w:color w:val="auto"/>
          <w:szCs w:val="24"/>
          <w:highlight w:val="none"/>
        </w:rPr>
      </w:pPr>
      <w:r>
        <w:rPr>
          <w:rFonts w:hint="eastAsia" w:hAnsi="宋体" w:cs="宋体"/>
          <w:color w:val="auto"/>
          <w:szCs w:val="24"/>
          <w:highlight w:val="none"/>
        </w:rPr>
        <w:t>31.8.5通讯地址：西安市高新区高新路瑞欣大厦6楼A室</w:t>
      </w:r>
    </w:p>
    <w:p>
      <w:pPr>
        <w:spacing w:line="500" w:lineRule="exact"/>
        <w:rPr>
          <w:rFonts w:hAnsi="宋体" w:cs="宋体"/>
          <w:color w:val="auto"/>
          <w:szCs w:val="24"/>
          <w:highlight w:val="none"/>
        </w:rPr>
      </w:pPr>
      <w:r>
        <w:rPr>
          <w:rFonts w:hint="eastAsia" w:hAnsi="宋体" w:cs="宋体"/>
          <w:b/>
          <w:bCs/>
          <w:color w:val="auto"/>
          <w:szCs w:val="24"/>
          <w:highlight w:val="none"/>
        </w:rPr>
        <w:t>32.其他</w:t>
      </w:r>
    </w:p>
    <w:p>
      <w:pPr>
        <w:spacing w:line="500" w:lineRule="exact"/>
        <w:ind w:firstLine="480" w:firstLineChars="200"/>
        <w:rPr>
          <w:rFonts w:hAnsi="宋体" w:cs="宋体"/>
          <w:color w:val="auto"/>
          <w:highlight w:val="none"/>
        </w:rPr>
      </w:pPr>
      <w:r>
        <w:rPr>
          <w:rFonts w:hint="eastAsia" w:hAnsi="宋体" w:cs="宋体"/>
          <w:color w:val="auto"/>
          <w:highlight w:val="none"/>
        </w:rPr>
        <w:t>32.1 废标的情形</w:t>
      </w:r>
    </w:p>
    <w:p>
      <w:pPr>
        <w:spacing w:line="500" w:lineRule="exact"/>
        <w:ind w:firstLine="480" w:firstLineChars="200"/>
        <w:rPr>
          <w:rFonts w:hAnsi="宋体" w:cs="宋体"/>
          <w:color w:val="auto"/>
          <w:highlight w:val="none"/>
        </w:rPr>
      </w:pPr>
      <w:r>
        <w:rPr>
          <w:rFonts w:hint="eastAsia" w:hAnsi="宋体" w:cs="宋体"/>
          <w:color w:val="auto"/>
          <w:highlight w:val="none"/>
        </w:rPr>
        <w:t>32.1.1招标采购中，出现下列情形之一的，应予以废标：</w:t>
      </w:r>
    </w:p>
    <w:p>
      <w:pPr>
        <w:spacing w:line="500" w:lineRule="exact"/>
        <w:ind w:firstLine="480" w:firstLineChars="200"/>
        <w:rPr>
          <w:rFonts w:hAnsi="宋体" w:cs="宋体"/>
          <w:color w:val="auto"/>
          <w:highlight w:val="none"/>
        </w:rPr>
      </w:pPr>
      <w:r>
        <w:rPr>
          <w:rFonts w:hint="eastAsia" w:hAnsi="宋体" w:cs="宋体"/>
          <w:color w:val="auto"/>
          <w:highlight w:val="none"/>
        </w:rPr>
        <w:t>（1）符合专业条件的供应商或者对招标文件作实质响应的供应商不足3家的；</w:t>
      </w:r>
    </w:p>
    <w:p>
      <w:pPr>
        <w:spacing w:line="500" w:lineRule="exact"/>
        <w:ind w:firstLine="480" w:firstLineChars="200"/>
        <w:rPr>
          <w:rFonts w:hAnsi="宋体" w:cs="宋体"/>
          <w:color w:val="auto"/>
          <w:highlight w:val="none"/>
        </w:rPr>
      </w:pPr>
      <w:r>
        <w:rPr>
          <w:rFonts w:hint="eastAsia" w:hAnsi="宋体" w:cs="宋体"/>
          <w:color w:val="auto"/>
          <w:highlight w:val="none"/>
        </w:rPr>
        <w:t>（2）出现影响采购公正的违法、违规行为的；</w:t>
      </w:r>
    </w:p>
    <w:p>
      <w:pPr>
        <w:spacing w:line="500" w:lineRule="exact"/>
        <w:ind w:firstLine="480" w:firstLineChars="200"/>
        <w:rPr>
          <w:rFonts w:hAnsi="宋体" w:cs="宋体"/>
          <w:color w:val="auto"/>
          <w:highlight w:val="none"/>
        </w:rPr>
      </w:pPr>
      <w:r>
        <w:rPr>
          <w:rFonts w:hint="eastAsia" w:hAnsi="宋体" w:cs="宋体"/>
          <w:color w:val="auto"/>
          <w:highlight w:val="none"/>
        </w:rPr>
        <w:t>（3）供应商的报价均超过了采购预算，采购人不能支付的；</w:t>
      </w:r>
    </w:p>
    <w:p>
      <w:pPr>
        <w:spacing w:line="500" w:lineRule="exact"/>
        <w:ind w:firstLine="480" w:firstLineChars="200"/>
        <w:rPr>
          <w:rFonts w:hAnsi="宋体" w:cs="宋体"/>
          <w:color w:val="auto"/>
          <w:highlight w:val="none"/>
        </w:rPr>
      </w:pPr>
      <w:r>
        <w:rPr>
          <w:rFonts w:hint="eastAsia" w:hAnsi="宋体" w:cs="宋体"/>
          <w:color w:val="auto"/>
          <w:highlight w:val="none"/>
        </w:rPr>
        <w:t>（4）因重大变故，采购任务取消的。</w:t>
      </w:r>
    </w:p>
    <w:p>
      <w:pPr>
        <w:spacing w:line="500" w:lineRule="exact"/>
        <w:ind w:firstLine="480" w:firstLineChars="200"/>
        <w:rPr>
          <w:rFonts w:hAnsi="宋体" w:cs="宋体"/>
          <w:color w:val="auto"/>
          <w:highlight w:val="none"/>
        </w:rPr>
      </w:pPr>
      <w:r>
        <w:rPr>
          <w:rFonts w:hint="eastAsia" w:hAnsi="宋体" w:cs="宋体"/>
          <w:color w:val="auto"/>
          <w:highlight w:val="none"/>
        </w:rPr>
        <w:t>32.1.2废标后，采购代理机构应在财政部门指定采购网上公告，并公告废标的详细理由。</w:t>
      </w:r>
    </w:p>
    <w:p>
      <w:pPr>
        <w:spacing w:line="500" w:lineRule="exact"/>
        <w:ind w:firstLine="480" w:firstLineChars="200"/>
        <w:rPr>
          <w:rFonts w:hAnsi="宋体" w:cs="宋体"/>
          <w:color w:val="auto"/>
          <w:highlight w:val="none"/>
        </w:rPr>
      </w:pPr>
      <w:r>
        <w:rPr>
          <w:rFonts w:hint="eastAsia" w:hAnsi="宋体" w:cs="宋体"/>
          <w:color w:val="auto"/>
          <w:highlight w:val="none"/>
        </w:rPr>
        <w:t>32.2变更采购方式</w:t>
      </w:r>
    </w:p>
    <w:p>
      <w:pPr>
        <w:spacing w:line="500" w:lineRule="exact"/>
        <w:ind w:firstLine="480" w:firstLineChars="200"/>
        <w:rPr>
          <w:rFonts w:hAnsi="宋体" w:cs="宋体"/>
          <w:color w:val="auto"/>
          <w:highlight w:val="none"/>
        </w:rPr>
      </w:pPr>
      <w:r>
        <w:rPr>
          <w:rFonts w:hint="eastAsia" w:hAnsi="宋体" w:cs="宋体"/>
          <w:color w:val="auto"/>
          <w:highlight w:val="none"/>
        </w:rPr>
        <w:t>32.2.1存在下列情形之一的，除采购任务取消情形外，采购人经同级财政部门同意后，可按《政府采购货物和服务招标投标管理办法》（财政部87号令）第四十三条规定的方式处理：</w:t>
      </w:r>
    </w:p>
    <w:p>
      <w:pPr>
        <w:spacing w:line="500" w:lineRule="exact"/>
        <w:ind w:firstLine="480" w:firstLineChars="200"/>
        <w:rPr>
          <w:rFonts w:hAnsi="宋体" w:cs="宋体"/>
          <w:color w:val="auto"/>
          <w:highlight w:val="none"/>
        </w:rPr>
      </w:pPr>
      <w:r>
        <w:rPr>
          <w:rFonts w:hint="eastAsia" w:hAnsi="宋体" w:cs="宋体"/>
          <w:color w:val="auto"/>
          <w:highlight w:val="none"/>
        </w:rPr>
        <w:t>（1）投标截止后参加投标的人不足3家的；</w:t>
      </w:r>
    </w:p>
    <w:p>
      <w:pPr>
        <w:spacing w:line="500" w:lineRule="exact"/>
        <w:ind w:firstLine="480" w:firstLineChars="200"/>
        <w:rPr>
          <w:rFonts w:hAnsi="宋体" w:cs="宋体"/>
          <w:color w:val="auto"/>
          <w:highlight w:val="none"/>
        </w:rPr>
      </w:pPr>
      <w:r>
        <w:rPr>
          <w:rFonts w:hint="eastAsia" w:hAnsi="宋体" w:cs="宋体"/>
          <w:color w:val="auto"/>
          <w:highlight w:val="none"/>
        </w:rPr>
        <w:t>（2）通过资格审查的供应商不足3家的；</w:t>
      </w:r>
    </w:p>
    <w:p>
      <w:pPr>
        <w:spacing w:line="500" w:lineRule="exact"/>
        <w:ind w:firstLine="480" w:firstLineChars="200"/>
        <w:rPr>
          <w:rFonts w:hAnsi="宋体" w:cs="宋体"/>
          <w:color w:val="auto"/>
          <w:highlight w:val="none"/>
        </w:rPr>
      </w:pPr>
      <w:r>
        <w:rPr>
          <w:rFonts w:hint="eastAsia" w:hAnsi="宋体" w:cs="宋体"/>
          <w:color w:val="auto"/>
          <w:highlight w:val="none"/>
        </w:rPr>
        <w:t>（3）通过符合性审查的供应商不足3家的。</w:t>
      </w:r>
    </w:p>
    <w:p>
      <w:pPr>
        <w:spacing w:line="500" w:lineRule="exact"/>
        <w:ind w:firstLine="480" w:firstLineChars="200"/>
        <w:rPr>
          <w:rFonts w:hAnsi="宋体" w:cs="宋体"/>
          <w:color w:val="auto"/>
          <w:highlight w:val="none"/>
        </w:rPr>
      </w:pPr>
      <w:r>
        <w:rPr>
          <w:rFonts w:hint="eastAsia" w:hAnsi="宋体" w:cs="宋体"/>
          <w:color w:val="auto"/>
          <w:highlight w:val="none"/>
        </w:rPr>
        <w:t>32.2.2通过符合性审查的供应商只有2家时，采购人经同级财政部门同意后，可以按《政府采购非招标采购方式管理办法》（财政部第74号令）的规定与该2家供应商进行竞争性谈判采购。</w:t>
      </w:r>
    </w:p>
    <w:p>
      <w:pPr>
        <w:rPr>
          <w:rFonts w:ascii="宋体" w:hAnsi="宋体" w:eastAsia="宋体" w:cs="宋体"/>
          <w:color w:val="auto"/>
          <w:sz w:val="36"/>
          <w:szCs w:val="36"/>
          <w:highlight w:val="none"/>
        </w:rPr>
      </w:pPr>
      <w:bookmarkStart w:id="54" w:name="_Toc6721"/>
      <w:bookmarkStart w:id="55" w:name="_Toc363474023"/>
      <w:r>
        <w:rPr>
          <w:rFonts w:hint="eastAsia" w:ascii="宋体" w:hAnsi="宋体" w:eastAsia="宋体" w:cs="宋体"/>
          <w:color w:val="auto"/>
          <w:sz w:val="36"/>
          <w:szCs w:val="36"/>
          <w:highlight w:val="none"/>
        </w:rPr>
        <w:br w:type="page"/>
      </w:r>
    </w:p>
    <w:p>
      <w:pPr>
        <w:pStyle w:val="3"/>
        <w:jc w:val="center"/>
        <w:rPr>
          <w:rFonts w:ascii="宋体" w:hAnsi="宋体" w:eastAsia="宋体" w:cs="宋体"/>
          <w:color w:val="auto"/>
          <w:sz w:val="36"/>
          <w:szCs w:val="36"/>
          <w:highlight w:val="none"/>
        </w:rPr>
      </w:pPr>
      <w:bookmarkStart w:id="56" w:name="_Toc7472"/>
      <w:r>
        <w:rPr>
          <w:rFonts w:hint="eastAsia" w:ascii="宋体" w:hAnsi="宋体" w:eastAsia="宋体" w:cs="宋体"/>
          <w:color w:val="auto"/>
          <w:sz w:val="36"/>
          <w:szCs w:val="36"/>
          <w:highlight w:val="none"/>
        </w:rPr>
        <w:t>第三章  合同条款及格式</w:t>
      </w:r>
      <w:bookmarkEnd w:id="54"/>
      <w:bookmarkEnd w:id="56"/>
    </w:p>
    <w:p>
      <w:pPr>
        <w:pStyle w:val="4"/>
        <w:jc w:val="center"/>
        <w:rPr>
          <w:rFonts w:ascii="宋体" w:hAnsi="宋体" w:eastAsia="宋体" w:cs="宋体"/>
          <w:color w:val="auto"/>
          <w:highlight w:val="none"/>
        </w:rPr>
      </w:pPr>
      <w:bookmarkStart w:id="57" w:name="_Toc15400"/>
      <w:bookmarkStart w:id="58" w:name="_Toc476"/>
      <w:bookmarkStart w:id="59" w:name="_Toc26935"/>
      <w:bookmarkStart w:id="60" w:name="_Toc426457695"/>
      <w:bookmarkStart w:id="61" w:name="_Toc317530110"/>
      <w:bookmarkStart w:id="62" w:name="_Toc23856"/>
      <w:bookmarkStart w:id="63" w:name="_Toc1025"/>
      <w:bookmarkStart w:id="64" w:name="_Toc20481"/>
      <w:bookmarkStart w:id="65" w:name="_Toc11450"/>
      <w:bookmarkStart w:id="66" w:name="_Toc4053"/>
      <w:bookmarkStart w:id="67" w:name="_Toc2711"/>
      <w:bookmarkStart w:id="68" w:name="_Toc389582038"/>
      <w:r>
        <w:rPr>
          <w:rFonts w:hint="eastAsia"/>
          <w:color w:val="auto"/>
          <w:highlight w:val="none"/>
        </w:rPr>
        <w:t>合同条款及格式前附表</w:t>
      </w:r>
      <w:bookmarkEnd w:id="57"/>
      <w:bookmarkEnd w:id="58"/>
      <w:bookmarkEnd w:id="59"/>
      <w:bookmarkEnd w:id="60"/>
    </w:p>
    <w:p>
      <w:pPr>
        <w:rPr>
          <w:color w:val="auto"/>
          <w:highlight w:val="none"/>
        </w:rPr>
      </w:pPr>
      <w:r>
        <w:rPr>
          <w:rFonts w:hint="eastAsia"/>
          <w:b/>
          <w:bCs/>
          <w:color w:val="auto"/>
          <w:highlight w:val="none"/>
        </w:rPr>
        <w:t>本表是对合同条款的具体补充和修改，如有矛盾，应以本资料表为准。</w:t>
      </w:r>
    </w:p>
    <w:tbl>
      <w:tblPr>
        <w:tblStyle w:val="19"/>
        <w:tblW w:w="9411"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65"/>
        <w:gridCol w:w="85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01" w:hRule="atLeast"/>
        </w:trPr>
        <w:tc>
          <w:tcPr>
            <w:tcW w:w="865" w:type="dxa"/>
            <w:noWrap w:val="0"/>
            <w:vAlign w:val="center"/>
          </w:tcPr>
          <w:p>
            <w:pPr>
              <w:spacing w:line="360" w:lineRule="auto"/>
              <w:jc w:val="center"/>
              <w:rPr>
                <w:rFonts w:hAnsi="宋体" w:cs="宋体"/>
                <w:b/>
                <w:color w:val="auto"/>
                <w:sz w:val="24"/>
                <w:szCs w:val="24"/>
                <w:highlight w:val="none"/>
              </w:rPr>
            </w:pPr>
            <w:bookmarkStart w:id="69" w:name="_Toc15898"/>
            <w:bookmarkStart w:id="70" w:name="_Toc426457694"/>
            <w:bookmarkStart w:id="71" w:name="_Toc11810"/>
            <w:bookmarkStart w:id="72" w:name="_Toc3798"/>
            <w:bookmarkStart w:id="73" w:name="_Toc403077645"/>
            <w:r>
              <w:rPr>
                <w:rFonts w:hint="eastAsia" w:hAnsi="宋体" w:cs="宋体"/>
                <w:b/>
                <w:color w:val="auto"/>
                <w:sz w:val="24"/>
                <w:szCs w:val="24"/>
                <w:highlight w:val="none"/>
              </w:rPr>
              <w:t>序号</w:t>
            </w:r>
          </w:p>
        </w:tc>
        <w:tc>
          <w:tcPr>
            <w:tcW w:w="8546" w:type="dxa"/>
            <w:noWrap w:val="0"/>
            <w:vAlign w:val="center"/>
          </w:tcPr>
          <w:p>
            <w:pPr>
              <w:spacing w:line="360" w:lineRule="auto"/>
              <w:jc w:val="center"/>
              <w:rPr>
                <w:rFonts w:hAnsi="宋体" w:cs="宋体"/>
                <w:b/>
                <w:color w:val="auto"/>
                <w:sz w:val="24"/>
                <w:szCs w:val="24"/>
                <w:highlight w:val="none"/>
              </w:rPr>
            </w:pPr>
            <w:r>
              <w:rPr>
                <w:rFonts w:hint="eastAsia" w:hAnsi="宋体" w:cs="宋体"/>
                <w:b/>
                <w:color w:val="auto"/>
                <w:sz w:val="24"/>
                <w:szCs w:val="24"/>
                <w:highlight w:val="none"/>
              </w:rPr>
              <w:t>内      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8" w:hRule="atLeas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1</w:t>
            </w:r>
          </w:p>
        </w:tc>
        <w:tc>
          <w:tcPr>
            <w:tcW w:w="8546" w:type="dxa"/>
            <w:noWrap w:val="0"/>
            <w:vAlign w:val="center"/>
          </w:tcPr>
          <w:p>
            <w:pPr>
              <w:spacing w:line="360" w:lineRule="auto"/>
              <w:rPr>
                <w:rFonts w:hint="eastAsia" w:hAnsi="宋体" w:eastAsia="宋体" w:cs="宋体"/>
                <w:color w:val="auto"/>
                <w:sz w:val="24"/>
                <w:szCs w:val="24"/>
                <w:highlight w:val="none"/>
                <w:lang w:eastAsia="zh-CN"/>
              </w:rPr>
            </w:pPr>
            <w:r>
              <w:rPr>
                <w:rFonts w:hint="eastAsia" w:hAnsi="宋体" w:cs="宋体"/>
                <w:b/>
                <w:color w:val="auto"/>
                <w:sz w:val="24"/>
                <w:szCs w:val="24"/>
                <w:highlight w:val="none"/>
              </w:rPr>
              <w:t>采购人名称</w:t>
            </w:r>
            <w:r>
              <w:rPr>
                <w:rFonts w:hint="eastAsia" w:hAnsi="宋体" w:cs="宋体"/>
                <w:color w:val="auto"/>
                <w:sz w:val="24"/>
                <w:szCs w:val="24"/>
                <w:highlight w:val="none"/>
              </w:rPr>
              <w:t>：</w:t>
            </w:r>
            <w:r>
              <w:rPr>
                <w:rFonts w:hint="eastAsia" w:hAnsi="宋体" w:cs="宋体"/>
                <w:b/>
                <w:color w:val="auto"/>
                <w:sz w:val="24"/>
                <w:szCs w:val="24"/>
                <w:highlight w:val="none"/>
                <w:lang w:eastAsia="zh-CN"/>
              </w:rPr>
              <w:t>西安铁路运输检察院</w:t>
            </w:r>
          </w:p>
          <w:p>
            <w:pPr>
              <w:spacing w:line="360" w:lineRule="auto"/>
              <w:jc w:val="left"/>
              <w:rPr>
                <w:rFonts w:hint="eastAsia" w:hAnsi="宋体" w:eastAsia="宋体" w:cs="宋体"/>
                <w:color w:val="auto"/>
                <w:sz w:val="24"/>
                <w:szCs w:val="24"/>
                <w:highlight w:val="none"/>
                <w:lang w:eastAsia="zh-CN"/>
              </w:rPr>
            </w:pPr>
            <w:r>
              <w:rPr>
                <w:rFonts w:hint="eastAsia" w:hAnsi="宋体" w:cs="宋体"/>
                <w:b/>
                <w:color w:val="auto"/>
                <w:sz w:val="24"/>
                <w:szCs w:val="24"/>
                <w:highlight w:val="none"/>
              </w:rPr>
              <w:t>地址：</w:t>
            </w:r>
            <w:r>
              <w:rPr>
                <w:rFonts w:hint="eastAsia" w:hAnsi="宋体" w:cs="宋体"/>
                <w:b/>
                <w:color w:val="auto"/>
                <w:sz w:val="24"/>
                <w:szCs w:val="24"/>
                <w:highlight w:val="none"/>
                <w:lang w:eastAsia="zh-CN"/>
              </w:rPr>
              <w:t>西安市雁塔区西沣一路和沈家桥二路十字西南角（西沣一路2000号）东区</w:t>
            </w:r>
          </w:p>
          <w:p>
            <w:pPr>
              <w:spacing w:line="360" w:lineRule="auto"/>
              <w:rPr>
                <w:rFonts w:hint="eastAsia" w:hAnsi="宋体" w:eastAsia="宋体" w:cs="宋体"/>
                <w:color w:val="auto"/>
                <w:sz w:val="24"/>
                <w:szCs w:val="24"/>
                <w:highlight w:val="none"/>
                <w:lang w:eastAsia="zh-CN"/>
              </w:rPr>
            </w:pPr>
            <w:r>
              <w:rPr>
                <w:rFonts w:hint="eastAsia" w:hAnsi="宋体" w:cs="宋体"/>
                <w:b/>
                <w:color w:val="auto"/>
                <w:sz w:val="24"/>
                <w:szCs w:val="24"/>
                <w:highlight w:val="none"/>
              </w:rPr>
              <w:t>项目名称</w:t>
            </w:r>
            <w:r>
              <w:rPr>
                <w:rFonts w:hint="eastAsia" w:hAnsi="宋体" w:cs="宋体"/>
                <w:color w:val="auto"/>
                <w:sz w:val="24"/>
                <w:szCs w:val="24"/>
                <w:highlight w:val="none"/>
              </w:rPr>
              <w:t>：</w:t>
            </w:r>
            <w:r>
              <w:rPr>
                <w:rFonts w:hint="eastAsia" w:hAnsi="宋体" w:cs="宋体"/>
                <w:color w:val="auto"/>
                <w:sz w:val="24"/>
                <w:szCs w:val="24"/>
                <w:highlight w:val="none"/>
                <w:lang w:eastAsia="zh-CN"/>
              </w:rPr>
              <w:t>检察业务装备采购项目</w:t>
            </w:r>
          </w:p>
          <w:p>
            <w:pPr>
              <w:spacing w:line="360" w:lineRule="auto"/>
              <w:rPr>
                <w:rFonts w:hAnsi="宋体" w:cs="宋体"/>
                <w:color w:val="auto"/>
                <w:sz w:val="24"/>
                <w:szCs w:val="24"/>
                <w:highlight w:val="none"/>
              </w:rPr>
            </w:pPr>
            <w:r>
              <w:rPr>
                <w:rFonts w:hint="eastAsia" w:hAnsi="宋体" w:cs="宋体"/>
                <w:b/>
                <w:color w:val="auto"/>
                <w:sz w:val="24"/>
                <w:szCs w:val="24"/>
                <w:highlight w:val="none"/>
              </w:rPr>
              <w:t>资金来源：</w:t>
            </w:r>
            <w:r>
              <w:rPr>
                <w:rFonts w:hint="eastAsia" w:hAnsi="宋体" w:cs="宋体"/>
                <w:color w:val="auto"/>
                <w:sz w:val="24"/>
                <w:szCs w:val="24"/>
                <w:highlight w:val="none"/>
                <w:lang w:eastAsia="zh-CN"/>
              </w:rPr>
              <w:t>财政拨款</w:t>
            </w:r>
            <w:r>
              <w:rPr>
                <w:rFonts w:hint="eastAsia" w:hAnsi="宋体" w:cs="宋体"/>
                <w:color w:val="auto"/>
                <w:sz w:val="24"/>
                <w:szCs w:val="24"/>
                <w:highlight w:val="none"/>
              </w:rPr>
              <w:t>，资金已落实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573" w:hRule="atLeas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2</w:t>
            </w:r>
          </w:p>
        </w:tc>
        <w:tc>
          <w:tcPr>
            <w:tcW w:w="8546" w:type="dxa"/>
            <w:noWrap w:val="0"/>
            <w:vAlign w:val="center"/>
          </w:tcPr>
          <w:p>
            <w:pPr>
              <w:spacing w:line="360" w:lineRule="auto"/>
              <w:rPr>
                <w:rFonts w:hAnsi="宋体" w:cs="宋体"/>
                <w:color w:val="auto"/>
                <w:sz w:val="24"/>
                <w:szCs w:val="24"/>
                <w:highlight w:val="none"/>
              </w:rPr>
            </w:pPr>
            <w:r>
              <w:rPr>
                <w:rFonts w:hint="eastAsia" w:hAnsi="宋体" w:cs="宋体"/>
                <w:b/>
                <w:color w:val="auto"/>
                <w:sz w:val="24"/>
                <w:szCs w:val="24"/>
                <w:highlight w:val="none"/>
              </w:rPr>
              <w:t>名词解释：</w:t>
            </w:r>
            <w:r>
              <w:rPr>
                <w:rFonts w:hint="eastAsia" w:hAnsi="宋体" w:cs="宋体"/>
                <w:color w:val="auto"/>
                <w:sz w:val="24"/>
                <w:szCs w:val="24"/>
                <w:highlight w:val="none"/>
              </w:rPr>
              <w:t>本章节中出现的 “投标人”，在招标投标阶段措辞为“投标人”；在项目招标结束，中标结果确定后，措辞由“投标人”转为“中标人”；在采购人与中标人签订合同，履约、实施阶段，措辞由“中标人”转为“投标人”。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4" w:hRule="atLeas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3</w:t>
            </w:r>
          </w:p>
        </w:tc>
        <w:tc>
          <w:tcPr>
            <w:tcW w:w="8546" w:type="dxa"/>
            <w:noWrap w:val="0"/>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项目实施地点：采购人指定地点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20" w:hRule="exac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4</w:t>
            </w:r>
          </w:p>
        </w:tc>
        <w:tc>
          <w:tcPr>
            <w:tcW w:w="8546" w:type="dxa"/>
            <w:noWrap w:val="0"/>
            <w:vAlign w:val="center"/>
          </w:tcPr>
          <w:p>
            <w:pPr>
              <w:spacing w:line="360" w:lineRule="auto"/>
              <w:rPr>
                <w:rFonts w:hint="eastAsia" w:eastAsia="宋体"/>
                <w:color w:val="auto"/>
                <w:sz w:val="24"/>
                <w:szCs w:val="24"/>
                <w:highlight w:val="none"/>
                <w:lang w:val="en-US" w:eastAsia="zh-CN"/>
              </w:rPr>
            </w:pPr>
            <w:bookmarkStart w:id="74" w:name="OLE_LINK5"/>
            <w:bookmarkStart w:id="75" w:name="OLE_LINK6"/>
            <w:r>
              <w:rPr>
                <w:rFonts w:hint="eastAsia" w:hAnsi="宋体" w:cs="宋体"/>
                <w:b/>
                <w:color w:val="auto"/>
                <w:sz w:val="24"/>
                <w:szCs w:val="24"/>
                <w:highlight w:val="none"/>
                <w:lang w:eastAsia="zh-CN"/>
              </w:rPr>
              <w:t>交货期</w:t>
            </w:r>
            <w:r>
              <w:rPr>
                <w:rFonts w:hint="eastAsia" w:hAnsi="宋体" w:cs="宋体"/>
                <w:b/>
                <w:color w:val="auto"/>
                <w:sz w:val="24"/>
                <w:szCs w:val="24"/>
                <w:highlight w:val="none"/>
              </w:rPr>
              <w:t>（含安装调试期）：</w:t>
            </w:r>
            <w:bookmarkEnd w:id="74"/>
            <w:bookmarkEnd w:id="75"/>
            <w:r>
              <w:rPr>
                <w:rFonts w:hint="eastAsia" w:hAnsi="宋体" w:cs="宋体"/>
                <w:b/>
                <w:color w:val="auto"/>
                <w:sz w:val="24"/>
                <w:szCs w:val="24"/>
                <w:highlight w:val="none"/>
                <w:lang w:val="en-US" w:eastAsia="zh-CN"/>
              </w:rPr>
              <w:t>自合同签订之日起45日历天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149" w:hRule="exac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5</w:t>
            </w:r>
          </w:p>
        </w:tc>
        <w:tc>
          <w:tcPr>
            <w:tcW w:w="8546" w:type="dxa"/>
            <w:noWrap w:val="0"/>
            <w:vAlign w:val="center"/>
          </w:tcPr>
          <w:p>
            <w:pPr>
              <w:spacing w:line="360" w:lineRule="auto"/>
              <w:rPr>
                <w:rFonts w:hint="eastAsia" w:hAnsi="宋体" w:eastAsia="宋体" w:cs="宋体"/>
                <w:b/>
                <w:color w:val="auto"/>
                <w:sz w:val="24"/>
                <w:szCs w:val="24"/>
                <w:highlight w:val="none"/>
                <w:lang w:eastAsia="zh-CN"/>
              </w:rPr>
            </w:pPr>
            <w:r>
              <w:rPr>
                <w:rFonts w:hint="eastAsia" w:hAnsi="宋体" w:cs="宋体"/>
                <w:b/>
                <w:color w:val="auto"/>
                <w:sz w:val="24"/>
                <w:szCs w:val="24"/>
                <w:highlight w:val="none"/>
              </w:rPr>
              <w:t>质保期：</w:t>
            </w:r>
            <w:r>
              <w:rPr>
                <w:rFonts w:hint="eastAsia" w:hAnsi="宋体" w:cs="宋体"/>
                <w:b/>
                <w:color w:val="auto"/>
                <w:sz w:val="24"/>
                <w:szCs w:val="24"/>
                <w:highlight w:val="none"/>
                <w:lang w:eastAsia="zh-CN"/>
              </w:rPr>
              <w:t>项目整体</w:t>
            </w:r>
            <w:r>
              <w:rPr>
                <w:rFonts w:hint="eastAsia" w:hAnsi="宋体" w:cs="宋体"/>
                <w:b/>
                <w:color w:val="auto"/>
                <w:sz w:val="24"/>
                <w:szCs w:val="24"/>
                <w:highlight w:val="none"/>
              </w:rPr>
              <w:t>自验收合格之日起不少于</w:t>
            </w:r>
            <w:r>
              <w:rPr>
                <w:rFonts w:hint="eastAsia" w:hAnsi="宋体" w:cs="宋体"/>
                <w:b/>
                <w:color w:val="auto"/>
                <w:sz w:val="24"/>
                <w:szCs w:val="24"/>
                <w:highlight w:val="none"/>
                <w:lang w:val="en-US" w:eastAsia="zh-CN"/>
              </w:rPr>
              <w:t>1</w:t>
            </w:r>
            <w:r>
              <w:rPr>
                <w:rFonts w:hint="eastAsia" w:hAnsi="宋体" w:cs="宋体"/>
                <w:b/>
                <w:color w:val="auto"/>
                <w:sz w:val="24"/>
                <w:szCs w:val="24"/>
                <w:highlight w:val="none"/>
              </w:rPr>
              <w:t>年</w:t>
            </w:r>
            <w:r>
              <w:rPr>
                <w:rFonts w:hint="eastAsia" w:hAnsi="宋体" w:cs="宋体"/>
                <w:b/>
                <w:color w:val="auto"/>
                <w:sz w:val="24"/>
                <w:szCs w:val="24"/>
                <w:highlight w:val="none"/>
                <w:lang w:eastAsia="zh-CN"/>
              </w:rPr>
              <w:t>（各单品质保期超过</w:t>
            </w:r>
            <w:r>
              <w:rPr>
                <w:rFonts w:hint="eastAsia" w:hAnsi="宋体" w:cs="宋体"/>
                <w:b/>
                <w:color w:val="auto"/>
                <w:sz w:val="24"/>
                <w:szCs w:val="24"/>
                <w:highlight w:val="none"/>
                <w:lang w:val="en-US" w:eastAsia="zh-CN"/>
              </w:rPr>
              <w:t>1年的</w:t>
            </w:r>
            <w:r>
              <w:rPr>
                <w:rFonts w:hint="eastAsia" w:hAnsi="宋体" w:cs="宋体"/>
                <w:b/>
                <w:color w:val="auto"/>
                <w:sz w:val="24"/>
                <w:szCs w:val="24"/>
                <w:highlight w:val="none"/>
                <w:lang w:eastAsia="zh-CN"/>
              </w:rPr>
              <w:t>执行各单品质保期）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78" w:hRule="exac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6</w:t>
            </w:r>
          </w:p>
        </w:tc>
        <w:tc>
          <w:tcPr>
            <w:tcW w:w="8546" w:type="dxa"/>
            <w:noWrap w:val="0"/>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付款：</w:t>
            </w:r>
          </w:p>
          <w:p>
            <w:pPr>
              <w:spacing w:line="360" w:lineRule="auto"/>
              <w:rPr>
                <w:rFonts w:hAnsi="宋体" w:cs="宋体"/>
                <w:bCs/>
                <w:color w:val="auto"/>
                <w:sz w:val="24"/>
                <w:szCs w:val="24"/>
                <w:highlight w:val="none"/>
              </w:rPr>
            </w:pPr>
            <w:r>
              <w:rPr>
                <w:rFonts w:hint="eastAsia" w:hAnsi="宋体" w:cs="宋体"/>
                <w:bCs/>
                <w:color w:val="auto"/>
                <w:sz w:val="24"/>
                <w:szCs w:val="24"/>
                <w:highlight w:val="none"/>
              </w:rPr>
              <w:t>1.合同总价即中标价，不受市场价变化或实际工作量变化的影响。</w:t>
            </w:r>
          </w:p>
          <w:p>
            <w:pPr>
              <w:spacing w:line="360" w:lineRule="auto"/>
              <w:rPr>
                <w:rFonts w:hAnsi="宋体" w:cs="宋体"/>
                <w:bCs/>
                <w:color w:val="auto"/>
                <w:sz w:val="24"/>
                <w:szCs w:val="24"/>
                <w:highlight w:val="none"/>
              </w:rPr>
            </w:pPr>
            <w:r>
              <w:rPr>
                <w:rFonts w:hint="eastAsia" w:hAnsi="宋体" w:cs="宋体"/>
                <w:bCs/>
                <w:color w:val="auto"/>
                <w:sz w:val="24"/>
                <w:szCs w:val="24"/>
                <w:highlight w:val="none"/>
              </w:rPr>
              <w:t>2.付款方式和程序：</w:t>
            </w:r>
          </w:p>
          <w:p>
            <w:pPr>
              <w:spacing w:line="360" w:lineRule="auto"/>
              <w:ind w:firstLine="480" w:firstLineChars="200"/>
              <w:rPr>
                <w:rFonts w:hAnsi="宋体" w:cs="宋体"/>
                <w:bCs/>
                <w:color w:val="auto"/>
                <w:sz w:val="24"/>
                <w:szCs w:val="24"/>
                <w:highlight w:val="none"/>
              </w:rPr>
            </w:pPr>
            <w:r>
              <w:rPr>
                <w:rFonts w:hint="eastAsia" w:hAnsi="宋体" w:cs="宋体"/>
                <w:bCs/>
                <w:color w:val="auto"/>
                <w:sz w:val="24"/>
                <w:szCs w:val="24"/>
                <w:highlight w:val="none"/>
              </w:rPr>
              <w:t>2.1由采购人负责结算，在付款前，投标人必须开具全额发票给采购人（附详细清单）。</w:t>
            </w:r>
          </w:p>
          <w:p>
            <w:p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2.2付款方式：</w:t>
            </w:r>
          </w:p>
          <w:p>
            <w:pPr>
              <w:spacing w:line="360" w:lineRule="auto"/>
              <w:ind w:firstLine="482" w:firstLineChars="200"/>
              <w:rPr>
                <w:rFonts w:hint="eastAsia" w:hAnsi="宋体" w:eastAsia="宋体" w:cs="宋体"/>
                <w:b/>
                <w:bCs/>
                <w:color w:val="auto"/>
                <w:sz w:val="24"/>
                <w:szCs w:val="24"/>
                <w:highlight w:val="none"/>
                <w:lang w:val="en-US" w:eastAsia="zh-CN"/>
              </w:rPr>
            </w:pPr>
            <w:r>
              <w:rPr>
                <w:rFonts w:hint="eastAsia" w:hAnsi="宋体" w:cs="宋体"/>
                <w:b/>
                <w:bCs/>
                <w:color w:val="auto"/>
                <w:sz w:val="24"/>
                <w:szCs w:val="24"/>
                <w:highlight w:val="none"/>
                <w:lang w:eastAsia="zh-CN"/>
              </w:rPr>
              <w:t>以签订合同为准；</w:t>
            </w:r>
          </w:p>
          <w:p>
            <w:pPr>
              <w:spacing w:line="360" w:lineRule="auto"/>
              <w:ind w:firstLine="482" w:firstLineChars="200"/>
              <w:rPr>
                <w:rFonts w:hAnsi="宋体" w:cs="宋体"/>
                <w:b/>
                <w:color w:val="auto"/>
                <w:sz w:val="24"/>
                <w:szCs w:val="24"/>
                <w:highlight w:val="none"/>
              </w:rPr>
            </w:pPr>
            <w:r>
              <w:rPr>
                <w:rFonts w:hint="eastAsia" w:hAnsi="宋体" w:cs="宋体"/>
                <w:b/>
                <w:color w:val="auto"/>
                <w:sz w:val="24"/>
                <w:szCs w:val="24"/>
                <w:highlight w:val="none"/>
              </w:rPr>
              <w:t>2.3支付方式：银行转账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7</w:t>
            </w:r>
          </w:p>
        </w:tc>
        <w:tc>
          <w:tcPr>
            <w:tcW w:w="8546" w:type="dxa"/>
            <w:noWrap w:val="0"/>
            <w:vAlign w:val="center"/>
          </w:tcPr>
          <w:p>
            <w:pPr>
              <w:spacing w:line="360" w:lineRule="auto"/>
              <w:rPr>
                <w:rFonts w:hAnsi="宋体" w:cs="宋体"/>
                <w:b/>
                <w:bCs/>
                <w:color w:val="auto"/>
                <w:sz w:val="24"/>
                <w:szCs w:val="24"/>
                <w:highlight w:val="none"/>
              </w:rPr>
            </w:pPr>
            <w:r>
              <w:rPr>
                <w:rFonts w:hint="eastAsia" w:hAnsi="宋体" w:cs="宋体"/>
                <w:b/>
                <w:bCs/>
                <w:color w:val="auto"/>
                <w:sz w:val="24"/>
                <w:szCs w:val="24"/>
                <w:highlight w:val="none"/>
              </w:rPr>
              <w:t>质量及维保：</w:t>
            </w:r>
          </w:p>
          <w:p>
            <w:pPr>
              <w:spacing w:line="360" w:lineRule="auto"/>
              <w:ind w:firstLine="480" w:firstLineChars="200"/>
              <w:rPr>
                <w:rFonts w:hAnsi="宋体"/>
                <w:color w:val="auto"/>
                <w:sz w:val="24"/>
                <w:szCs w:val="24"/>
                <w:highlight w:val="none"/>
              </w:rPr>
            </w:pPr>
            <w:r>
              <w:rPr>
                <w:rFonts w:hint="eastAsia" w:hAnsi="宋体"/>
                <w:color w:val="auto"/>
                <w:sz w:val="24"/>
                <w:szCs w:val="24"/>
                <w:highlight w:val="none"/>
              </w:rPr>
              <w:t>1、质保期：项目整体验收合格后不低于</w:t>
            </w:r>
            <w:r>
              <w:rPr>
                <w:rFonts w:hint="eastAsia" w:hAnsi="宋体"/>
                <w:color w:val="auto"/>
                <w:sz w:val="24"/>
                <w:szCs w:val="24"/>
                <w:highlight w:val="none"/>
                <w:lang w:val="en-US" w:eastAsia="zh-CN"/>
              </w:rPr>
              <w:t>壹</w:t>
            </w:r>
            <w:r>
              <w:rPr>
                <w:rFonts w:hint="eastAsia" w:hAnsi="宋体"/>
                <w:color w:val="auto"/>
                <w:sz w:val="24"/>
                <w:szCs w:val="24"/>
                <w:highlight w:val="none"/>
              </w:rPr>
              <w:t>年。</w:t>
            </w:r>
          </w:p>
          <w:p>
            <w:pPr>
              <w:spacing w:line="520" w:lineRule="exact"/>
              <w:ind w:firstLine="480" w:firstLineChars="200"/>
              <w:rPr>
                <w:rFonts w:hAnsi="宋体"/>
                <w:color w:val="auto"/>
                <w:sz w:val="24"/>
                <w:szCs w:val="24"/>
                <w:highlight w:val="none"/>
              </w:rPr>
            </w:pPr>
            <w:r>
              <w:rPr>
                <w:rFonts w:hint="eastAsia" w:hAnsi="宋体"/>
                <w:color w:val="auto"/>
                <w:sz w:val="24"/>
                <w:szCs w:val="24"/>
                <w:highlight w:val="none"/>
              </w:rPr>
              <w:t>2、供应商提供的产品、材料和服务必须保证质量可靠，为市场最新或主流产品，进货渠道正常，配置合理齐全，应全面满足招标文件的要求，招标文件未明确要求的内容，供应商须按招标产品主流标准配置或以采购人的补充要求为准。所供产品工艺质量应严格按国家最新发布的规范标准执行，如发生质量问题由供应商承担全部责任。</w:t>
            </w:r>
          </w:p>
          <w:p>
            <w:pPr>
              <w:tabs>
                <w:tab w:val="left" w:pos="1080"/>
              </w:tabs>
              <w:spacing w:line="360" w:lineRule="auto"/>
              <w:ind w:firstLine="480" w:firstLineChars="200"/>
              <w:rPr>
                <w:rFonts w:hAnsi="宋体"/>
                <w:color w:val="auto"/>
                <w:sz w:val="24"/>
                <w:szCs w:val="24"/>
                <w:highlight w:val="none"/>
              </w:rPr>
            </w:pPr>
            <w:r>
              <w:rPr>
                <w:rFonts w:hAnsi="宋体"/>
                <w:color w:val="auto"/>
                <w:sz w:val="24"/>
                <w:szCs w:val="24"/>
                <w:highlight w:val="none"/>
              </w:rPr>
              <w:t>3</w:t>
            </w:r>
            <w:r>
              <w:rPr>
                <w:rFonts w:hint="eastAsia" w:hAnsi="宋体"/>
                <w:color w:val="auto"/>
                <w:sz w:val="24"/>
                <w:szCs w:val="24"/>
                <w:highlight w:val="none"/>
              </w:rPr>
              <w:t>、供应商应提供可承担维修职能的公司、全资分公司或办事处，并</w:t>
            </w:r>
            <w:r>
              <w:rPr>
                <w:rFonts w:hint="eastAsia" w:hAnsi="宋体"/>
                <w:color w:val="auto"/>
                <w:sz w:val="24"/>
                <w:szCs w:val="24"/>
                <w:highlight w:val="none"/>
                <w:lang w:val="en-US" w:eastAsia="zh-CN"/>
              </w:rPr>
              <w:t>具备专业</w:t>
            </w:r>
            <w:r>
              <w:rPr>
                <w:rFonts w:hint="eastAsia" w:hAnsi="宋体"/>
                <w:color w:val="auto"/>
                <w:sz w:val="24"/>
                <w:szCs w:val="24"/>
                <w:highlight w:val="none"/>
              </w:rPr>
              <w:t>维护技术人员，并提供地点、联系人及联系电话（服务热线），随时解答各种疑问。</w:t>
            </w:r>
          </w:p>
          <w:p>
            <w:pPr>
              <w:spacing w:line="360" w:lineRule="auto"/>
              <w:ind w:firstLine="480" w:firstLineChars="200"/>
              <w:rPr>
                <w:rFonts w:hAnsi="宋体"/>
                <w:color w:val="auto"/>
                <w:sz w:val="24"/>
                <w:szCs w:val="24"/>
                <w:highlight w:val="none"/>
              </w:rPr>
            </w:pPr>
            <w:r>
              <w:rPr>
                <w:rFonts w:hAnsi="宋体"/>
                <w:color w:val="auto"/>
                <w:sz w:val="24"/>
                <w:szCs w:val="24"/>
                <w:highlight w:val="none"/>
              </w:rPr>
              <w:t>4</w:t>
            </w:r>
            <w:r>
              <w:rPr>
                <w:rFonts w:hint="eastAsia" w:hAnsi="宋体"/>
                <w:color w:val="auto"/>
                <w:sz w:val="24"/>
                <w:szCs w:val="24"/>
                <w:highlight w:val="none"/>
              </w:rPr>
              <w:t>、服务方式:现场及远程服务，整体验收合格后线上综合服务平台质量保证期不低于壹年(质保期自验收合格后开始计算)，质保期内补漏、维修等费用含在合同总价中（中标价格），并提供终身维修（护）。在质量保证期内发生</w:t>
            </w:r>
            <w:r>
              <w:rPr>
                <w:rFonts w:hAnsi="宋体"/>
                <w:color w:val="auto"/>
                <w:sz w:val="24"/>
                <w:szCs w:val="24"/>
                <w:highlight w:val="none"/>
              </w:rPr>
              <w:t>重大故障</w:t>
            </w:r>
            <w:r>
              <w:rPr>
                <w:rFonts w:hint="eastAsia" w:hAnsi="宋体"/>
                <w:color w:val="auto"/>
                <w:sz w:val="24"/>
                <w:szCs w:val="24"/>
                <w:highlight w:val="none"/>
              </w:rPr>
              <w:t>，维修工程师处理响应时间≤0.5小时，3个工作日内</w:t>
            </w:r>
            <w:r>
              <w:rPr>
                <w:rFonts w:hAnsi="宋体"/>
                <w:color w:val="auto"/>
                <w:sz w:val="24"/>
                <w:szCs w:val="24"/>
                <w:highlight w:val="none"/>
              </w:rPr>
              <w:t>无法恢复的故障提供免费备机服务</w:t>
            </w:r>
            <w:r>
              <w:rPr>
                <w:rFonts w:hint="eastAsia" w:hAnsi="宋体"/>
                <w:color w:val="auto"/>
                <w:sz w:val="24"/>
                <w:szCs w:val="24"/>
                <w:highlight w:val="none"/>
              </w:rPr>
              <w:t>。</w:t>
            </w:r>
          </w:p>
          <w:p>
            <w:pPr>
              <w:spacing w:line="360" w:lineRule="auto"/>
              <w:ind w:firstLine="480" w:firstLineChars="200"/>
              <w:rPr>
                <w:rFonts w:hAnsi="宋体"/>
                <w:color w:val="auto"/>
                <w:sz w:val="24"/>
                <w:szCs w:val="24"/>
                <w:highlight w:val="none"/>
              </w:rPr>
            </w:pPr>
            <w:r>
              <w:rPr>
                <w:rFonts w:hAnsi="宋体"/>
                <w:color w:val="auto"/>
                <w:sz w:val="24"/>
                <w:szCs w:val="24"/>
                <w:highlight w:val="none"/>
              </w:rPr>
              <w:t>5</w:t>
            </w:r>
            <w:r>
              <w:rPr>
                <w:rFonts w:hint="eastAsia" w:hAnsi="宋体"/>
                <w:color w:val="auto"/>
                <w:sz w:val="24"/>
                <w:szCs w:val="24"/>
                <w:highlight w:val="none"/>
              </w:rPr>
              <w:t>、对于存在质量问题或者短少的产品，供应商应在接到采购人的通知2个日历日内负责修复，调换、重新制作或补齐。</w:t>
            </w:r>
          </w:p>
          <w:p>
            <w:pPr>
              <w:spacing w:line="360" w:lineRule="auto"/>
              <w:ind w:firstLine="480" w:firstLineChars="200"/>
              <w:rPr>
                <w:rFonts w:hAnsi="宋体"/>
                <w:color w:val="auto"/>
                <w:sz w:val="24"/>
                <w:szCs w:val="24"/>
                <w:highlight w:val="none"/>
              </w:rPr>
            </w:pPr>
            <w:r>
              <w:rPr>
                <w:rFonts w:hAnsi="宋体"/>
                <w:color w:val="auto"/>
                <w:sz w:val="24"/>
                <w:szCs w:val="24"/>
                <w:highlight w:val="none"/>
              </w:rPr>
              <w:t>6</w:t>
            </w:r>
            <w:r>
              <w:rPr>
                <w:rFonts w:hint="eastAsia" w:hAnsi="宋体"/>
                <w:color w:val="auto"/>
                <w:sz w:val="24"/>
                <w:szCs w:val="24"/>
                <w:highlight w:val="none"/>
              </w:rPr>
              <w:t>、在项目竣工验收后的质量保证期内，供应商应对因</w:t>
            </w:r>
            <w:r>
              <w:rPr>
                <w:rFonts w:hint="eastAsia" w:hAnsi="宋体"/>
                <w:color w:val="auto"/>
                <w:sz w:val="24"/>
                <w:szCs w:val="24"/>
                <w:highlight w:val="none"/>
                <w:lang w:val="en-US" w:eastAsia="zh-CN"/>
              </w:rPr>
              <w:t>产品质量</w:t>
            </w:r>
            <w:r>
              <w:rPr>
                <w:rFonts w:hint="eastAsia" w:hAnsi="宋体"/>
                <w:color w:val="auto"/>
                <w:sz w:val="24"/>
                <w:szCs w:val="24"/>
                <w:highlight w:val="none"/>
              </w:rPr>
              <w:t>而产生的故障负责（负责解决并承担全部费用</w:t>
            </w:r>
            <w:r>
              <w:rPr>
                <w:rFonts w:hAnsi="宋体"/>
                <w:color w:val="auto"/>
                <w:sz w:val="24"/>
                <w:szCs w:val="24"/>
                <w:highlight w:val="none"/>
              </w:rPr>
              <w:t>）</w:t>
            </w:r>
            <w:r>
              <w:rPr>
                <w:rFonts w:hint="eastAsia" w:hAnsi="宋体"/>
                <w:color w:val="auto"/>
                <w:sz w:val="24"/>
                <w:szCs w:val="24"/>
                <w:highlight w:val="none"/>
              </w:rPr>
              <w:t>。质保期满后如出现此类问题亦应负责。</w:t>
            </w:r>
          </w:p>
          <w:p>
            <w:pPr>
              <w:spacing w:line="360" w:lineRule="auto"/>
              <w:ind w:firstLine="480" w:firstLineChars="200"/>
              <w:rPr>
                <w:rFonts w:hAnsi="宋体" w:cs="宋体"/>
                <w:color w:val="auto"/>
                <w:sz w:val="24"/>
                <w:szCs w:val="24"/>
                <w:highlight w:val="none"/>
              </w:rPr>
            </w:pPr>
            <w:r>
              <w:rPr>
                <w:rFonts w:hAnsi="宋体"/>
                <w:color w:val="auto"/>
                <w:sz w:val="24"/>
                <w:szCs w:val="24"/>
                <w:highlight w:val="none"/>
              </w:rPr>
              <w:t>7</w:t>
            </w:r>
            <w:r>
              <w:rPr>
                <w:rFonts w:hint="eastAsia" w:hAnsi="宋体"/>
                <w:color w:val="auto"/>
                <w:sz w:val="24"/>
                <w:szCs w:val="24"/>
                <w:highlight w:val="none"/>
              </w:rPr>
              <w:t>、对于未按约定提供质保服务的供应商或违约的供应商，采购人将拒绝其参加采购人单位的政府采购项目。且采购人有权委托第三方进行维修，所产生的费用由供应商承担，采购人有权从应付款或质保金中直接扣除，不足部分应由供应商支付。</w:t>
            </w:r>
          </w:p>
          <w:p>
            <w:pPr>
              <w:spacing w:line="360" w:lineRule="auto"/>
              <w:ind w:firstLine="480" w:firstLineChars="200"/>
              <w:rPr>
                <w:rFonts w:hAnsi="宋体" w:cs="宋体"/>
                <w:color w:val="auto"/>
                <w:sz w:val="24"/>
                <w:szCs w:val="24"/>
                <w:highlight w:val="none"/>
              </w:rPr>
            </w:pPr>
            <w:r>
              <w:rPr>
                <w:rFonts w:hint="eastAsia" w:hAnsi="宋体"/>
                <w:color w:val="auto"/>
                <w:sz w:val="24"/>
                <w:szCs w:val="24"/>
                <w:highlight w:val="none"/>
              </w:rPr>
              <w:t>8、投标人及所投产品的生产厂商应承诺质保期、维保期的售后服务条款（包括具体的服务内容、故障响应时间、响应方式、维修措施及时限、维护响应计划等方面），未提供任何质保期、维保期的售后服务条款或提供的内容不实的以不实质性满足招标文件要求对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06" w:hRule="atLeast"/>
        </w:trPr>
        <w:tc>
          <w:tcPr>
            <w:tcW w:w="865" w:type="dxa"/>
            <w:noWrap w:val="0"/>
            <w:vAlign w:val="center"/>
          </w:tcPr>
          <w:p>
            <w:pPr>
              <w:spacing w:line="360" w:lineRule="auto"/>
              <w:jc w:val="center"/>
              <w:rPr>
                <w:rFonts w:hAnsi="宋体" w:cs="宋体"/>
                <w:color w:val="auto"/>
                <w:sz w:val="24"/>
                <w:szCs w:val="24"/>
                <w:highlight w:val="none"/>
              </w:rPr>
            </w:pPr>
            <w:r>
              <w:rPr>
                <w:rFonts w:hint="eastAsia" w:hAnsi="宋体" w:cs="宋体"/>
                <w:color w:val="auto"/>
                <w:sz w:val="24"/>
                <w:szCs w:val="24"/>
                <w:highlight w:val="none"/>
              </w:rPr>
              <w:t>8</w:t>
            </w:r>
          </w:p>
        </w:tc>
        <w:tc>
          <w:tcPr>
            <w:tcW w:w="8546" w:type="dxa"/>
            <w:noWrap w:val="0"/>
            <w:vAlign w:val="center"/>
          </w:tcPr>
          <w:p>
            <w:pPr>
              <w:spacing w:line="360" w:lineRule="auto"/>
              <w:rPr>
                <w:rFonts w:hAnsi="宋体" w:cs="宋体"/>
                <w:b/>
                <w:bCs/>
                <w:color w:val="auto"/>
                <w:sz w:val="24"/>
                <w:szCs w:val="24"/>
                <w:highlight w:val="none"/>
              </w:rPr>
            </w:pPr>
            <w:r>
              <w:rPr>
                <w:rFonts w:hint="eastAsia" w:hAnsi="宋体" w:cs="宋体"/>
                <w:b/>
                <w:bCs/>
                <w:color w:val="auto"/>
                <w:sz w:val="24"/>
                <w:szCs w:val="24"/>
                <w:highlight w:val="none"/>
              </w:rPr>
              <w:t>运输、安装、调试要求：</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1.供应商根据产品特性，自行选择运输及包装方式，承担一切运输费用，包括从生产厂到采购人指定交货地点所需的装卸、运输（含保险费）及其他一切费用。</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2.由供应商制定安装、调试及试运行的进度计划表。</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3.供应商应在合同规定的工期内完成该项工作。如因供应商责任而造成延期，每超过一天按合同总价款的（1‰）支付采购人误期赔偿金，直至交货或提供服务结束为止，所有因延期而产生的费用由供应商承担。</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4.安装和调试期间所发生的费用均由供应商负责。</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5.供应商应对安装调试、整改等实施过程的安全负责，如发生人身伤亡、财产损失的由供应商负责解决并承担全部责任。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color w:val="auto"/>
                <w:kern w:val="0"/>
                <w:sz w:val="24"/>
                <w:szCs w:val="24"/>
                <w:highlight w:val="none"/>
              </w:rPr>
            </w:pPr>
            <w:r>
              <w:rPr>
                <w:rFonts w:hint="eastAsia" w:hAnsi="宋体" w:cs="宋体"/>
                <w:color w:val="auto"/>
                <w:kern w:val="0"/>
                <w:sz w:val="24"/>
                <w:szCs w:val="24"/>
                <w:highlight w:val="none"/>
              </w:rPr>
              <w:t>9</w:t>
            </w:r>
          </w:p>
        </w:tc>
        <w:tc>
          <w:tcPr>
            <w:tcW w:w="8546" w:type="dxa"/>
            <w:noWrap w:val="0"/>
            <w:vAlign w:val="center"/>
          </w:tcPr>
          <w:p>
            <w:pPr>
              <w:spacing w:line="360" w:lineRule="auto"/>
              <w:rPr>
                <w:rFonts w:hAnsi="宋体" w:cs="宋体"/>
                <w:b/>
                <w:bCs/>
                <w:color w:val="auto"/>
                <w:sz w:val="24"/>
                <w:szCs w:val="24"/>
                <w:highlight w:val="none"/>
              </w:rPr>
            </w:pPr>
            <w:r>
              <w:rPr>
                <w:rFonts w:hint="eastAsia" w:hAnsi="宋体" w:cs="宋体"/>
                <w:b/>
                <w:bCs/>
                <w:color w:val="auto"/>
                <w:sz w:val="24"/>
                <w:szCs w:val="24"/>
                <w:highlight w:val="none"/>
              </w:rPr>
              <w:t>技术支持：</w:t>
            </w:r>
          </w:p>
          <w:p>
            <w:pPr>
              <w:spacing w:line="360" w:lineRule="auto"/>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质保期内提供7×24小时的技术支持服务。</w:t>
            </w:r>
          </w:p>
          <w:p>
            <w:pPr>
              <w:spacing w:line="360" w:lineRule="auto"/>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供应商怠于或无法提供技术支持的，采购人有权委托第三方处理，由此产生的费用和后果由供应商负责，费用直接从应付款或质保金中扣除。供应商指定的项目总协调人必须是供应商公司管理层人员。项目建设过程中一旦出现重大问题，项目总协调人应能及时赶到现场。供应商更换项目负责人和主要技术人员，须将变更人及其工作影响、替换人资历等情况以书面材料报告项目采购人审核，经同意后方可更换。因供应商的人员变更原因所造成的任何项目质量、进度滞后的后果，由供应商承担。</w:t>
            </w:r>
          </w:p>
          <w:p>
            <w:pPr>
              <w:spacing w:line="360" w:lineRule="auto"/>
              <w:ind w:firstLine="480" w:firstLineChars="200"/>
              <w:jc w:val="left"/>
              <w:rPr>
                <w:rFonts w:hAnsi="宋体" w:cs="宋体"/>
                <w:color w:val="auto"/>
                <w:sz w:val="24"/>
                <w:szCs w:val="24"/>
                <w:highlight w:val="none"/>
              </w:rPr>
            </w:pPr>
            <w:r>
              <w:rPr>
                <w:rFonts w:hint="eastAsia" w:hAnsi="宋体" w:cs="宋体"/>
                <w:bCs/>
                <w:color w:val="auto"/>
                <w:sz w:val="24"/>
                <w:szCs w:val="24"/>
                <w:highlight w:val="none"/>
              </w:rPr>
              <w:t>供应商在项目实施过程中，质量保障人员、资源不足或者执行不力，给项目质量带来的风险超出采购人认定的允许范围时，采购人可终止本项目的合作并进行索赔。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color w:val="auto"/>
                <w:kern w:val="0"/>
                <w:sz w:val="24"/>
                <w:szCs w:val="24"/>
                <w:highlight w:val="none"/>
              </w:rPr>
            </w:pPr>
            <w:r>
              <w:rPr>
                <w:rFonts w:hint="eastAsia" w:hAnsi="宋体" w:cs="宋体"/>
                <w:color w:val="auto"/>
                <w:kern w:val="0"/>
                <w:sz w:val="24"/>
                <w:szCs w:val="24"/>
                <w:highlight w:val="none"/>
              </w:rPr>
              <w:t>10</w:t>
            </w:r>
          </w:p>
        </w:tc>
        <w:tc>
          <w:tcPr>
            <w:tcW w:w="8546" w:type="dxa"/>
            <w:noWrap w:val="0"/>
            <w:vAlign w:val="center"/>
          </w:tcPr>
          <w:p>
            <w:pPr>
              <w:spacing w:line="360" w:lineRule="auto"/>
              <w:jc w:val="left"/>
              <w:rPr>
                <w:rFonts w:hAnsi="宋体" w:cs="宋体"/>
                <w:b/>
                <w:color w:val="auto"/>
                <w:sz w:val="24"/>
                <w:szCs w:val="24"/>
                <w:highlight w:val="none"/>
              </w:rPr>
            </w:pPr>
            <w:r>
              <w:rPr>
                <w:rFonts w:hint="eastAsia" w:hAnsi="宋体" w:cs="宋体"/>
                <w:b/>
                <w:color w:val="auto"/>
                <w:sz w:val="24"/>
                <w:szCs w:val="24"/>
                <w:highlight w:val="none"/>
              </w:rPr>
              <w:t>技术培训：</w:t>
            </w:r>
          </w:p>
          <w:p>
            <w:pPr>
              <w:spacing w:line="360" w:lineRule="auto"/>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应包括产品使用操作、保养、维修等培训内容。供应商需按采购人要求的时间为采购人</w:t>
            </w:r>
            <w:r>
              <w:rPr>
                <w:rFonts w:hint="eastAsia" w:hAnsi="宋体" w:cs="宋体"/>
                <w:bCs/>
                <w:color w:val="auto"/>
                <w:sz w:val="24"/>
                <w:szCs w:val="24"/>
                <w:highlight w:val="none"/>
                <w:lang w:val="en-US" w:eastAsia="zh-CN"/>
              </w:rPr>
              <w:t>的相关使用人员提供</w:t>
            </w:r>
            <w:r>
              <w:rPr>
                <w:rFonts w:hint="eastAsia" w:hAnsi="宋体" w:cs="宋体"/>
                <w:bCs/>
                <w:color w:val="auto"/>
                <w:sz w:val="24"/>
                <w:szCs w:val="24"/>
                <w:highlight w:val="none"/>
              </w:rPr>
              <w:t>免费培训，培训服务以受培训人员熟练掌握相应技能为原则。在</w:t>
            </w:r>
            <w:r>
              <w:rPr>
                <w:rFonts w:hint="eastAsia" w:hAnsi="宋体" w:cs="宋体"/>
                <w:bCs/>
                <w:color w:val="auto"/>
                <w:sz w:val="24"/>
                <w:szCs w:val="24"/>
                <w:highlight w:val="none"/>
                <w:lang w:eastAsia="zh-CN"/>
              </w:rPr>
              <w:t>产品或</w:t>
            </w:r>
            <w:r>
              <w:rPr>
                <w:rFonts w:hint="eastAsia" w:hAnsi="宋体" w:cs="宋体"/>
                <w:bCs/>
                <w:color w:val="auto"/>
                <w:sz w:val="24"/>
                <w:szCs w:val="24"/>
                <w:highlight w:val="none"/>
                <w:lang w:val="en-US" w:eastAsia="zh-CN"/>
              </w:rPr>
              <w:t>相关</w:t>
            </w:r>
            <w:r>
              <w:rPr>
                <w:rFonts w:hint="eastAsia" w:hAnsi="宋体" w:cs="宋体"/>
                <w:bCs/>
                <w:color w:val="auto"/>
                <w:sz w:val="24"/>
                <w:szCs w:val="24"/>
                <w:highlight w:val="none"/>
                <w:lang w:eastAsia="zh-CN"/>
              </w:rPr>
              <w:t>软件</w:t>
            </w:r>
            <w:r>
              <w:rPr>
                <w:rFonts w:hint="eastAsia" w:hAnsi="宋体" w:cs="宋体"/>
                <w:bCs/>
                <w:color w:val="auto"/>
                <w:sz w:val="24"/>
                <w:szCs w:val="24"/>
                <w:highlight w:val="none"/>
              </w:rPr>
              <w:t>投入使用初期进行必要的跟踪指导，保障</w:t>
            </w:r>
            <w:r>
              <w:rPr>
                <w:rFonts w:hint="eastAsia" w:hAnsi="宋体" w:cs="宋体"/>
                <w:bCs/>
                <w:color w:val="auto"/>
                <w:sz w:val="24"/>
                <w:szCs w:val="24"/>
                <w:highlight w:val="none"/>
                <w:lang w:val="en-US" w:eastAsia="zh-CN"/>
              </w:rPr>
              <w:t>项目</w:t>
            </w:r>
            <w:r>
              <w:rPr>
                <w:rFonts w:hint="eastAsia" w:hAnsi="宋体" w:cs="宋体"/>
                <w:bCs/>
                <w:color w:val="auto"/>
                <w:sz w:val="24"/>
                <w:szCs w:val="24"/>
                <w:highlight w:val="none"/>
              </w:rPr>
              <w:t>的稳定运行。投标产品需在培训基地培训的，供应商应按要求履行，培训产生的交通费、食宿费、培训费等均由供应商承担。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color w:val="auto"/>
                <w:kern w:val="0"/>
                <w:sz w:val="24"/>
                <w:szCs w:val="24"/>
                <w:highlight w:val="none"/>
              </w:rPr>
            </w:pPr>
            <w:r>
              <w:rPr>
                <w:rFonts w:hint="eastAsia" w:hAnsi="宋体" w:cs="宋体"/>
                <w:color w:val="auto"/>
                <w:kern w:val="0"/>
                <w:sz w:val="24"/>
                <w:szCs w:val="24"/>
                <w:highlight w:val="none"/>
              </w:rPr>
              <w:t>11</w:t>
            </w:r>
          </w:p>
        </w:tc>
        <w:tc>
          <w:tcPr>
            <w:tcW w:w="8546" w:type="dxa"/>
            <w:noWrap w:val="0"/>
            <w:vAlign w:val="center"/>
          </w:tcPr>
          <w:p>
            <w:pPr>
              <w:spacing w:line="360" w:lineRule="auto"/>
              <w:jc w:val="left"/>
              <w:rPr>
                <w:rFonts w:hAnsi="宋体" w:cs="宋体"/>
                <w:b/>
                <w:color w:val="auto"/>
                <w:sz w:val="24"/>
                <w:szCs w:val="24"/>
                <w:highlight w:val="none"/>
              </w:rPr>
            </w:pPr>
            <w:r>
              <w:rPr>
                <w:rFonts w:hint="eastAsia" w:hAnsi="宋体" w:cs="宋体"/>
                <w:b/>
                <w:color w:val="auto"/>
                <w:sz w:val="24"/>
                <w:szCs w:val="24"/>
                <w:highlight w:val="none"/>
              </w:rPr>
              <w:t>技术资料要求：</w:t>
            </w:r>
          </w:p>
          <w:p>
            <w:pPr>
              <w:spacing w:line="360" w:lineRule="auto"/>
              <w:ind w:firstLine="480" w:firstLineChars="200"/>
              <w:jc w:val="left"/>
              <w:rPr>
                <w:rFonts w:hAnsi="宋体" w:cs="宋体"/>
                <w:bCs/>
                <w:color w:val="auto"/>
                <w:sz w:val="24"/>
                <w:szCs w:val="24"/>
                <w:highlight w:val="none"/>
              </w:rPr>
            </w:pPr>
            <w:r>
              <w:rPr>
                <w:rFonts w:hint="eastAsia" w:hAnsi="宋体" w:cs="宋体"/>
                <w:bCs/>
                <w:color w:val="auto"/>
                <w:sz w:val="24"/>
                <w:szCs w:val="24"/>
                <w:highlight w:val="none"/>
              </w:rPr>
              <w:t>供应商应向采购人提供全套中文技术资料两套，其费用包括在投标价格中：</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rPr>
              <w:t>1、</w:t>
            </w:r>
            <w:r>
              <w:rPr>
                <w:rFonts w:hint="eastAsia" w:hAnsi="宋体" w:cs="宋体"/>
                <w:bCs/>
                <w:color w:val="auto"/>
                <w:sz w:val="24"/>
                <w:szCs w:val="24"/>
                <w:highlight w:val="none"/>
                <w:lang w:val="en-US" w:eastAsia="zh-CN"/>
              </w:rPr>
              <w:t>项目</w:t>
            </w:r>
            <w:r>
              <w:rPr>
                <w:rFonts w:hint="eastAsia" w:hAnsi="宋体" w:cs="宋体"/>
                <w:bCs/>
                <w:color w:val="auto"/>
                <w:sz w:val="24"/>
                <w:szCs w:val="24"/>
                <w:highlight w:val="none"/>
              </w:rPr>
              <w:t>实施方案</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rPr>
              <w:t>2、项目需求规格说明书</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rPr>
              <w:t>3、项目变更相关资料</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4</w:t>
            </w:r>
            <w:r>
              <w:rPr>
                <w:rFonts w:hint="eastAsia" w:hAnsi="宋体" w:cs="宋体"/>
                <w:bCs/>
                <w:color w:val="auto"/>
                <w:sz w:val="24"/>
                <w:szCs w:val="24"/>
                <w:highlight w:val="none"/>
              </w:rPr>
              <w:t>、功能测试报告（如有）</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5</w:t>
            </w:r>
            <w:r>
              <w:rPr>
                <w:rFonts w:hint="eastAsia" w:hAnsi="宋体" w:cs="宋体"/>
                <w:bCs/>
                <w:color w:val="auto"/>
                <w:sz w:val="24"/>
                <w:szCs w:val="24"/>
                <w:highlight w:val="none"/>
              </w:rPr>
              <w:t>、用户操作手册</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6</w:t>
            </w:r>
            <w:r>
              <w:rPr>
                <w:rFonts w:hint="eastAsia" w:hAnsi="宋体" w:cs="宋体"/>
                <w:bCs/>
                <w:color w:val="auto"/>
                <w:sz w:val="24"/>
                <w:szCs w:val="24"/>
                <w:highlight w:val="none"/>
              </w:rPr>
              <w:t>、用户培训记录</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7</w:t>
            </w:r>
            <w:r>
              <w:rPr>
                <w:rFonts w:hint="eastAsia" w:hAnsi="宋体" w:cs="宋体"/>
                <w:bCs/>
                <w:color w:val="auto"/>
                <w:sz w:val="24"/>
                <w:szCs w:val="24"/>
                <w:highlight w:val="none"/>
              </w:rPr>
              <w:t>、项目管理记录（含会议纪要、工作月报）</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8</w:t>
            </w:r>
            <w:r>
              <w:rPr>
                <w:rFonts w:hint="eastAsia" w:hAnsi="宋体" w:cs="宋体"/>
                <w:bCs/>
                <w:color w:val="auto"/>
                <w:sz w:val="24"/>
                <w:szCs w:val="24"/>
                <w:highlight w:val="none"/>
              </w:rPr>
              <w:t>、项目验收报告</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9</w:t>
            </w:r>
            <w:r>
              <w:rPr>
                <w:rFonts w:hint="eastAsia" w:hAnsi="宋体" w:cs="宋体"/>
                <w:bCs/>
                <w:color w:val="auto"/>
                <w:sz w:val="24"/>
                <w:szCs w:val="24"/>
                <w:highlight w:val="none"/>
              </w:rPr>
              <w:t>、维护和故障处理说明书</w:t>
            </w:r>
            <w:r>
              <w:rPr>
                <w:rFonts w:hint="eastAsia" w:hAnsi="宋体" w:cs="宋体"/>
                <w:bCs/>
                <w:color w:val="auto"/>
                <w:sz w:val="24"/>
                <w:szCs w:val="24"/>
                <w:highlight w:val="none"/>
                <w:lang w:eastAsia="zh-CN"/>
              </w:rPr>
              <w:t>。</w:t>
            </w:r>
          </w:p>
          <w:p>
            <w:pPr>
              <w:spacing w:line="360" w:lineRule="auto"/>
              <w:ind w:firstLine="480" w:firstLineChars="200"/>
              <w:jc w:val="left"/>
              <w:rPr>
                <w:rFonts w:hint="eastAsia" w:hAnsi="宋体" w:eastAsia="宋体" w:cs="宋体"/>
                <w:bCs/>
                <w:color w:val="auto"/>
                <w:sz w:val="24"/>
                <w:szCs w:val="24"/>
                <w:highlight w:val="none"/>
                <w:lang w:eastAsia="zh-CN"/>
              </w:rPr>
            </w:pPr>
            <w:r>
              <w:rPr>
                <w:rFonts w:hint="eastAsia" w:hAnsi="宋体" w:cs="宋体"/>
                <w:bCs/>
                <w:color w:val="auto"/>
                <w:sz w:val="24"/>
                <w:szCs w:val="24"/>
                <w:highlight w:val="none"/>
                <w:lang w:val="en-US" w:eastAsia="zh-CN"/>
              </w:rPr>
              <w:t>10</w:t>
            </w:r>
            <w:r>
              <w:rPr>
                <w:rFonts w:hint="eastAsia" w:hAnsi="宋体" w:cs="宋体"/>
                <w:bCs/>
                <w:color w:val="auto"/>
                <w:sz w:val="24"/>
                <w:szCs w:val="24"/>
                <w:highlight w:val="none"/>
              </w:rPr>
              <w:t>、合同中要求的其他文件资料</w:t>
            </w:r>
            <w:r>
              <w:rPr>
                <w:rFonts w:hint="eastAsia" w:hAnsi="宋体" w:cs="宋体"/>
                <w:bCs/>
                <w:color w:val="auto"/>
                <w:sz w:val="24"/>
                <w:szCs w:val="24"/>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b/>
                <w:bCs/>
                <w:color w:val="auto"/>
                <w:kern w:val="0"/>
                <w:sz w:val="24"/>
                <w:szCs w:val="24"/>
                <w:highlight w:val="none"/>
              </w:rPr>
            </w:pPr>
            <w:r>
              <w:rPr>
                <w:rFonts w:hint="eastAsia" w:hAnsi="宋体" w:cs="宋体"/>
                <w:color w:val="auto"/>
                <w:kern w:val="0"/>
                <w:sz w:val="24"/>
                <w:szCs w:val="24"/>
                <w:highlight w:val="none"/>
              </w:rPr>
              <w:t>12</w:t>
            </w:r>
          </w:p>
        </w:tc>
        <w:tc>
          <w:tcPr>
            <w:tcW w:w="8546" w:type="dxa"/>
            <w:noWrap w:val="0"/>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验收：</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由采购人和供应商共同对项目进行整体验收。其内容包括</w:t>
            </w:r>
            <w:r>
              <w:rPr>
                <w:rFonts w:hint="eastAsia" w:hAnsi="宋体" w:cs="宋体"/>
                <w:color w:val="auto"/>
                <w:sz w:val="24"/>
                <w:szCs w:val="24"/>
                <w:highlight w:val="none"/>
                <w:lang w:eastAsia="zh-CN"/>
              </w:rPr>
              <w:t>所有产品清单的供货、使用等</w:t>
            </w:r>
            <w:r>
              <w:rPr>
                <w:rFonts w:hint="eastAsia" w:hAnsi="宋体" w:cs="宋体"/>
                <w:color w:val="auto"/>
                <w:sz w:val="24"/>
                <w:szCs w:val="24"/>
                <w:highlight w:val="none"/>
              </w:rPr>
              <w:t>是否达到验收规范“合格”标准、是否按照采购人要求按时完成。</w:t>
            </w:r>
          </w:p>
          <w:p>
            <w:pPr>
              <w:spacing w:line="5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1.所验各项内容最终验收达不到招标文件要求和投标文件承诺的，或在后续使用中发现采购人不能容忍的缺陷等，将视为验收不合格，供应商应在采购人要求的时间内无条件整改及恢复。</w:t>
            </w:r>
          </w:p>
          <w:p>
            <w:pPr>
              <w:spacing w:line="5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2.若发现供应商有弄虚作假的，在招标阶段故意或随意夸大技术能力、服务质量的，采购人有权解除合同，并且要求供应商赔偿相关损失。</w:t>
            </w:r>
          </w:p>
          <w:p>
            <w:pPr>
              <w:spacing w:line="52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3.验收标准：按招标文件、投标文件及澄清函等技术指标进行验收。各项指标均应符合验收标准及要求。</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4.验收合格后，填写验收单，双方签字生效。</w:t>
            </w:r>
          </w:p>
          <w:p>
            <w:pPr>
              <w:spacing w:line="360" w:lineRule="auto"/>
              <w:ind w:firstLine="480" w:firstLineChars="200"/>
              <w:rPr>
                <w:color w:val="auto"/>
                <w:sz w:val="24"/>
                <w:szCs w:val="24"/>
                <w:highlight w:val="none"/>
              </w:rPr>
            </w:pPr>
            <w:r>
              <w:rPr>
                <w:rFonts w:hint="eastAsia" w:hAnsi="宋体" w:cs="宋体"/>
                <w:color w:val="auto"/>
                <w:sz w:val="24"/>
                <w:szCs w:val="24"/>
                <w:highlight w:val="none"/>
              </w:rPr>
              <w:t>5.验收依据：</w:t>
            </w:r>
          </w:p>
          <w:p>
            <w:pPr>
              <w:numPr>
                <w:ilvl w:val="0"/>
                <w:numId w:val="4"/>
              </w:numPr>
              <w:tabs>
                <w:tab w:val="left" w:pos="498"/>
                <w:tab w:val="clear" w:pos="840"/>
              </w:tabs>
              <w:spacing w:line="360" w:lineRule="auto"/>
              <w:ind w:hanging="625"/>
              <w:rPr>
                <w:rFonts w:hAnsi="宋体" w:cs="宋体"/>
                <w:color w:val="auto"/>
                <w:sz w:val="24"/>
                <w:szCs w:val="24"/>
                <w:highlight w:val="none"/>
              </w:rPr>
            </w:pPr>
            <w:r>
              <w:rPr>
                <w:rFonts w:hint="eastAsia" w:hAnsi="宋体" w:cs="宋体"/>
                <w:color w:val="auto"/>
                <w:sz w:val="24"/>
                <w:szCs w:val="24"/>
                <w:highlight w:val="none"/>
              </w:rPr>
              <w:t>合同文本；</w:t>
            </w:r>
          </w:p>
          <w:p>
            <w:pPr>
              <w:numPr>
                <w:ilvl w:val="0"/>
                <w:numId w:val="4"/>
              </w:numPr>
              <w:tabs>
                <w:tab w:val="left" w:pos="498"/>
                <w:tab w:val="clear" w:pos="840"/>
              </w:tabs>
              <w:spacing w:line="360" w:lineRule="auto"/>
              <w:ind w:hanging="625"/>
              <w:rPr>
                <w:rFonts w:hAnsi="宋体" w:cs="宋体"/>
                <w:color w:val="auto"/>
                <w:sz w:val="24"/>
                <w:szCs w:val="24"/>
                <w:highlight w:val="none"/>
              </w:rPr>
            </w:pPr>
            <w:r>
              <w:rPr>
                <w:rFonts w:hint="eastAsia" w:hAnsi="宋体" w:cs="宋体"/>
                <w:color w:val="auto"/>
                <w:sz w:val="24"/>
                <w:szCs w:val="24"/>
                <w:highlight w:val="none"/>
              </w:rPr>
              <w:t>招标文件及澄清函、投标文件；</w:t>
            </w:r>
          </w:p>
          <w:p>
            <w:pPr>
              <w:numPr>
                <w:ilvl w:val="0"/>
                <w:numId w:val="4"/>
              </w:numPr>
              <w:tabs>
                <w:tab w:val="left" w:pos="498"/>
                <w:tab w:val="clear" w:pos="840"/>
              </w:tabs>
              <w:spacing w:line="360" w:lineRule="auto"/>
              <w:ind w:hanging="625"/>
              <w:rPr>
                <w:rFonts w:hAnsi="宋体" w:cs="宋体"/>
                <w:color w:val="auto"/>
                <w:sz w:val="24"/>
                <w:szCs w:val="24"/>
                <w:highlight w:val="none"/>
              </w:rPr>
            </w:pPr>
            <w:r>
              <w:rPr>
                <w:rFonts w:hint="eastAsia" w:hAnsi="宋体" w:cs="宋体"/>
                <w:color w:val="auto"/>
                <w:sz w:val="24"/>
                <w:szCs w:val="24"/>
                <w:highlight w:val="none"/>
              </w:rPr>
              <w:t>国家和行业制定的相应的标准和规范；</w:t>
            </w:r>
          </w:p>
          <w:p>
            <w:pPr>
              <w:numPr>
                <w:ilvl w:val="0"/>
                <w:numId w:val="4"/>
              </w:numPr>
              <w:tabs>
                <w:tab w:val="left" w:pos="498"/>
                <w:tab w:val="clear" w:pos="840"/>
              </w:tabs>
              <w:spacing w:line="360" w:lineRule="auto"/>
              <w:ind w:hanging="625"/>
              <w:rPr>
                <w:rFonts w:hAnsi="宋体" w:cs="宋体"/>
                <w:color w:val="auto"/>
                <w:sz w:val="24"/>
                <w:szCs w:val="24"/>
                <w:highlight w:val="none"/>
              </w:rPr>
            </w:pPr>
            <w:r>
              <w:rPr>
                <w:rFonts w:hint="eastAsia" w:hAnsi="宋体" w:cs="宋体"/>
                <w:color w:val="auto"/>
                <w:sz w:val="24"/>
                <w:szCs w:val="24"/>
                <w:highlight w:val="none"/>
              </w:rPr>
              <w:t>验收清单。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b/>
                <w:bCs/>
                <w:color w:val="auto"/>
                <w:kern w:val="0"/>
                <w:sz w:val="24"/>
                <w:szCs w:val="24"/>
                <w:highlight w:val="none"/>
              </w:rPr>
            </w:pPr>
            <w:r>
              <w:rPr>
                <w:rFonts w:hint="eastAsia" w:hAnsi="宋体" w:cs="宋体"/>
                <w:color w:val="auto"/>
                <w:kern w:val="0"/>
                <w:sz w:val="24"/>
                <w:szCs w:val="24"/>
                <w:highlight w:val="none"/>
              </w:rPr>
              <w:t>13</w:t>
            </w:r>
          </w:p>
        </w:tc>
        <w:tc>
          <w:tcPr>
            <w:tcW w:w="8546" w:type="dxa"/>
            <w:noWrap w:val="0"/>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知识产权：</w:t>
            </w:r>
          </w:p>
          <w:p>
            <w:pPr>
              <w:spacing w:line="360" w:lineRule="auto"/>
              <w:ind w:firstLine="480" w:firstLineChars="200"/>
              <w:rPr>
                <w:rFonts w:hAnsi="宋体" w:cs="宋体"/>
                <w:bCs/>
                <w:color w:val="auto"/>
                <w:sz w:val="24"/>
                <w:szCs w:val="24"/>
                <w:highlight w:val="none"/>
              </w:rPr>
            </w:pPr>
            <w:r>
              <w:rPr>
                <w:rFonts w:hint="eastAsia" w:hAnsi="宋体" w:cs="宋体"/>
                <w:color w:val="auto"/>
                <w:sz w:val="24"/>
                <w:szCs w:val="24"/>
                <w:highlight w:val="none"/>
              </w:rPr>
              <w:t>供应商应对所供产品具有或已取得合法知识产权，供应商应保证所供产品及服务不会出现因第三方提出侵犯其专利权、商标权或其它知识产权而引发法律或经济纠纷，否则由供应商负责解决并承担全部责任；如因此影响到采购人的正常使用，采购人有权单方解除本合同，供应商应无条件向采购人退回已收取的全部合同价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b/>
                <w:bCs/>
                <w:color w:val="auto"/>
                <w:kern w:val="0"/>
                <w:sz w:val="24"/>
                <w:szCs w:val="24"/>
                <w:highlight w:val="none"/>
              </w:rPr>
            </w:pPr>
            <w:r>
              <w:rPr>
                <w:rFonts w:hint="eastAsia" w:hAnsi="宋体" w:cs="宋体"/>
                <w:color w:val="auto"/>
                <w:kern w:val="0"/>
                <w:sz w:val="24"/>
                <w:szCs w:val="24"/>
                <w:highlight w:val="none"/>
              </w:rPr>
              <w:t>14</w:t>
            </w:r>
          </w:p>
        </w:tc>
        <w:tc>
          <w:tcPr>
            <w:tcW w:w="8546" w:type="dxa"/>
            <w:noWrap w:val="0"/>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违约责任：</w:t>
            </w:r>
          </w:p>
          <w:p>
            <w:pPr>
              <w:tabs>
                <w:tab w:val="left" w:pos="152"/>
              </w:tabs>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1、按《</w:t>
            </w:r>
            <w:r>
              <w:rPr>
                <w:rFonts w:hint="eastAsia" w:hAnsi="宋体" w:cs="宋体"/>
                <w:color w:val="auto"/>
                <w:sz w:val="24"/>
                <w:szCs w:val="24"/>
                <w:highlight w:val="none"/>
                <w:lang w:eastAsia="zh-CN"/>
              </w:rPr>
              <w:t>民法典</w:t>
            </w:r>
            <w:r>
              <w:rPr>
                <w:rFonts w:hint="eastAsia" w:hAnsi="宋体" w:cs="宋体"/>
                <w:color w:val="auto"/>
                <w:sz w:val="24"/>
                <w:szCs w:val="24"/>
                <w:highlight w:val="none"/>
              </w:rPr>
              <w:t>》中的相关条款执行。</w:t>
            </w:r>
          </w:p>
          <w:p>
            <w:pPr>
              <w:tabs>
                <w:tab w:val="left" w:pos="152"/>
              </w:tabs>
              <w:spacing w:line="360" w:lineRule="auto"/>
              <w:ind w:firstLine="480" w:firstLineChars="200"/>
              <w:rPr>
                <w:rFonts w:hAnsi="宋体" w:cs="宋体"/>
                <w:bCs/>
                <w:color w:val="auto"/>
                <w:sz w:val="24"/>
                <w:szCs w:val="24"/>
                <w:highlight w:val="none"/>
              </w:rPr>
            </w:pPr>
            <w:r>
              <w:rPr>
                <w:rFonts w:hint="eastAsia" w:hAnsi="宋体" w:cs="宋体"/>
                <w:color w:val="auto"/>
                <w:sz w:val="24"/>
                <w:szCs w:val="24"/>
                <w:highlight w:val="none"/>
              </w:rPr>
              <w:t>2、未按合同要求提供服务或服务不能满足合同要求，采购人应当将服务商违约的情况以及拟采取的措施以书面形式报政府采购监管部门，根据政府采购监管部门的处理意见，采购人有权依据《</w:t>
            </w:r>
            <w:r>
              <w:rPr>
                <w:rFonts w:hint="eastAsia" w:hAnsi="宋体" w:cs="宋体"/>
                <w:color w:val="auto"/>
                <w:sz w:val="24"/>
                <w:szCs w:val="24"/>
                <w:highlight w:val="none"/>
                <w:lang w:eastAsia="zh-CN"/>
              </w:rPr>
              <w:t>民法典</w:t>
            </w:r>
            <w:r>
              <w:rPr>
                <w:rFonts w:hint="eastAsia" w:hAnsi="宋体" w:cs="宋体"/>
                <w:color w:val="auto"/>
                <w:sz w:val="24"/>
                <w:szCs w:val="24"/>
                <w:highlight w:val="none"/>
              </w:rPr>
              <w:t>》有关条款及合同约定终止合同，并要求供应商承担违约责任。同时，政府采购监管部门有权依据《政府采购法》及相关法律法规对供应商的违法行为进行相应的处罚。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28" w:hRule="atLeast"/>
        </w:trPr>
        <w:tc>
          <w:tcPr>
            <w:tcW w:w="865" w:type="dxa"/>
            <w:noWrap w:val="0"/>
            <w:vAlign w:val="center"/>
          </w:tcPr>
          <w:p>
            <w:pPr>
              <w:pStyle w:val="12"/>
              <w:spacing w:line="360" w:lineRule="auto"/>
              <w:jc w:val="center"/>
              <w:rPr>
                <w:rFonts w:hAnsi="宋体" w:cs="宋体"/>
                <w:color w:val="auto"/>
                <w:kern w:val="0"/>
                <w:sz w:val="24"/>
                <w:szCs w:val="24"/>
                <w:highlight w:val="none"/>
              </w:rPr>
            </w:pPr>
            <w:r>
              <w:rPr>
                <w:rFonts w:hint="eastAsia" w:hAnsi="宋体" w:cs="宋体"/>
                <w:color w:val="auto"/>
                <w:kern w:val="0"/>
                <w:sz w:val="24"/>
                <w:szCs w:val="24"/>
                <w:highlight w:val="none"/>
              </w:rPr>
              <w:t>15</w:t>
            </w:r>
          </w:p>
        </w:tc>
        <w:tc>
          <w:tcPr>
            <w:tcW w:w="8546" w:type="dxa"/>
            <w:noWrap w:val="0"/>
            <w:vAlign w:val="center"/>
          </w:tcPr>
          <w:p>
            <w:pPr>
              <w:spacing w:line="360" w:lineRule="auto"/>
              <w:rPr>
                <w:rFonts w:hAnsi="宋体" w:cs="宋体"/>
                <w:b/>
                <w:color w:val="auto"/>
                <w:sz w:val="24"/>
                <w:szCs w:val="24"/>
                <w:highlight w:val="none"/>
              </w:rPr>
            </w:pPr>
            <w:r>
              <w:rPr>
                <w:rFonts w:hint="eastAsia" w:hAnsi="宋体" w:cs="宋体"/>
                <w:b/>
                <w:color w:val="auto"/>
                <w:sz w:val="24"/>
                <w:szCs w:val="24"/>
                <w:highlight w:val="none"/>
              </w:rPr>
              <w:t>政府采购合同：</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政府采购合同适用</w:t>
            </w:r>
            <w:r>
              <w:rPr>
                <w:rFonts w:hint="eastAsia" w:hAnsi="宋体" w:cs="宋体"/>
                <w:color w:val="auto"/>
                <w:sz w:val="24"/>
                <w:szCs w:val="24"/>
                <w:highlight w:val="none"/>
                <w:lang w:eastAsia="zh-CN"/>
              </w:rPr>
              <w:t>民法典</w:t>
            </w:r>
            <w:r>
              <w:rPr>
                <w:rFonts w:hint="eastAsia" w:hAnsi="宋体" w:cs="宋体"/>
                <w:color w:val="auto"/>
                <w:sz w:val="24"/>
                <w:szCs w:val="24"/>
                <w:highlight w:val="none"/>
              </w:rPr>
              <w:t>。采购人和投标人之间的权利和义务，应当按照平等、自愿的原则以合同方式约定。</w:t>
            </w:r>
            <w:r>
              <w:rPr>
                <w:rFonts w:hint="eastAsia" w:hAnsi="宋体" w:cs="宋体"/>
                <w:color w:val="auto"/>
                <w:sz w:val="24"/>
                <w:szCs w:val="24"/>
                <w:highlight w:val="none"/>
              </w:rPr>
              <w:br w:type="textWrapping"/>
            </w:r>
            <w:r>
              <w:rPr>
                <w:rFonts w:hint="eastAsia" w:hAnsi="宋体" w:cs="宋体"/>
                <w:color w:val="auto"/>
                <w:sz w:val="24"/>
                <w:szCs w:val="24"/>
                <w:highlight w:val="none"/>
              </w:rPr>
              <w:t xml:space="preserve">    采购人可以委托采购代理机构代表其与投标人签订政府采购合同。由采购代理机构以采购人名义签订合同的，应当提交采购人的授权委托书，作为合同附件。</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政府采购合同应当采用书面形式。</w:t>
            </w:r>
          </w:p>
          <w:p>
            <w:pPr>
              <w:spacing w:line="360" w:lineRule="auto"/>
              <w:ind w:firstLine="480" w:firstLineChars="200"/>
              <w:rPr>
                <w:rFonts w:hAnsi="宋体" w:cs="宋体"/>
                <w:color w:val="auto"/>
                <w:sz w:val="24"/>
                <w:szCs w:val="24"/>
                <w:highlight w:val="none"/>
              </w:rPr>
            </w:pPr>
            <w:r>
              <w:rPr>
                <w:rFonts w:hint="eastAsia" w:hAnsi="宋体" w:cs="宋体"/>
                <w:color w:val="auto"/>
                <w:sz w:val="24"/>
                <w:szCs w:val="24"/>
                <w:highlight w:val="none"/>
              </w:rPr>
              <w:t>国务院政府采购监督管理部门应当会同国务院有关部门，规定政府采购合同必须具备的条款。</w:t>
            </w:r>
            <w:r>
              <w:rPr>
                <w:rFonts w:hint="eastAsia" w:hAnsi="宋体" w:cs="宋体"/>
                <w:color w:val="auto"/>
                <w:sz w:val="24"/>
                <w:szCs w:val="24"/>
                <w:highlight w:val="none"/>
              </w:rPr>
              <w:br w:type="textWrapping"/>
            </w:r>
            <w:r>
              <w:rPr>
                <w:rFonts w:hint="eastAsia" w:hAnsi="宋体" w:cs="宋体"/>
                <w:color w:val="auto"/>
                <w:sz w:val="24"/>
                <w:szCs w:val="24"/>
                <w:highlight w:val="none"/>
              </w:rPr>
              <w:t xml:space="preserve">    采购人与中标、成交投标人应当在中标、成交通知书发出之日起三十日内，按照采购文件确定的事项签订政府采购合同。</w:t>
            </w:r>
            <w:r>
              <w:rPr>
                <w:rFonts w:hint="eastAsia" w:hAnsi="宋体" w:cs="宋体"/>
                <w:color w:val="auto"/>
                <w:sz w:val="24"/>
                <w:szCs w:val="24"/>
                <w:highlight w:val="none"/>
              </w:rPr>
              <w:br w:type="textWrapping"/>
            </w:r>
            <w:r>
              <w:rPr>
                <w:rFonts w:hint="eastAsia" w:hAnsi="宋体" w:cs="宋体"/>
                <w:color w:val="auto"/>
                <w:sz w:val="24"/>
                <w:szCs w:val="24"/>
                <w:highlight w:val="none"/>
              </w:rPr>
              <w:t xml:space="preserve">    中标、成交通知书对采购人和中标、成交投标人均具有法律效力。中标、成交通知书发出后，采购人改变中标、成交结果的，或者中标、成交投标人放弃中标、成交项目的，应当依法承担法律责任。</w:t>
            </w:r>
          </w:p>
          <w:p>
            <w:pPr>
              <w:widowControl/>
              <w:spacing w:line="560" w:lineRule="exact"/>
              <w:ind w:firstLine="480" w:firstLineChars="200"/>
              <w:rPr>
                <w:rFonts w:hAnsi="宋体" w:cs="宋体"/>
                <w:color w:val="auto"/>
                <w:sz w:val="24"/>
                <w:szCs w:val="24"/>
                <w:highlight w:val="none"/>
              </w:rPr>
            </w:pPr>
            <w:r>
              <w:rPr>
                <w:rFonts w:hint="eastAsia" w:hAnsi="宋体" w:cs="宋体"/>
                <w:color w:val="auto"/>
                <w:sz w:val="24"/>
                <w:szCs w:val="24"/>
                <w:highlight w:val="none"/>
              </w:rPr>
              <w:t>政府采购项目的采购合同自签订之日起七个工作日内，采购人应当将合同副本报同级政府采购监督管理部门和有关部门备案。</w:t>
            </w:r>
            <w:r>
              <w:rPr>
                <w:rFonts w:hint="eastAsia" w:hAnsi="宋体" w:cs="宋体"/>
                <w:color w:val="auto"/>
                <w:sz w:val="24"/>
                <w:szCs w:val="24"/>
                <w:highlight w:val="none"/>
              </w:rPr>
              <w:br w:type="textWrapping"/>
            </w:r>
            <w:r>
              <w:rPr>
                <w:rFonts w:hint="eastAsia" w:hAnsi="宋体" w:cs="宋体"/>
                <w:color w:val="auto"/>
                <w:sz w:val="24"/>
                <w:szCs w:val="24"/>
                <w:highlight w:val="none"/>
              </w:rPr>
              <w:t xml:space="preserve">    经采购人同意，中标、成交投标人可以依法采取分包方式履行合同。政府采购合同分包履行的，中标、成交投标人就采购项目和分包项目向采购人负责，分包投标人就分包项目承担责任。</w:t>
            </w:r>
            <w:r>
              <w:rPr>
                <w:rFonts w:hint="eastAsia" w:hAnsi="宋体" w:cs="宋体"/>
                <w:color w:val="auto"/>
                <w:sz w:val="24"/>
                <w:szCs w:val="24"/>
                <w:highlight w:val="none"/>
              </w:rPr>
              <w:br w:type="textWrapping"/>
            </w:r>
            <w:r>
              <w:rPr>
                <w:rFonts w:hint="eastAsia" w:hAnsi="宋体" w:cs="宋体"/>
                <w:color w:val="auto"/>
                <w:sz w:val="24"/>
                <w:szCs w:val="24"/>
                <w:highlight w:val="none"/>
              </w:rPr>
              <w:t xml:space="preserve">    政府采购合同履行中，采购人需追加与合同标的相同的货物、工程或者服务的，在不改变合同其他条款的前提下，可以与投标人协商签订补充合同，但所有补充合同的采购金额不得超过原合同采购金额的百分之十。</w:t>
            </w:r>
            <w:r>
              <w:rPr>
                <w:rFonts w:hint="eastAsia" w:hAnsi="宋体" w:cs="宋体"/>
                <w:color w:val="auto"/>
                <w:sz w:val="24"/>
                <w:szCs w:val="24"/>
                <w:highlight w:val="none"/>
              </w:rPr>
              <w:br w:type="textWrapping"/>
            </w:r>
            <w:r>
              <w:rPr>
                <w:rFonts w:hint="eastAsia" w:hAnsi="宋体" w:cs="宋体"/>
                <w:color w:val="auto"/>
                <w:sz w:val="24"/>
                <w:szCs w:val="24"/>
                <w:highlight w:val="none"/>
              </w:rPr>
              <w:t xml:space="preserve">    政府采购合同的双方当事人不得擅自变更、中止或者终止合同。</w:t>
            </w:r>
            <w:r>
              <w:rPr>
                <w:rFonts w:hint="eastAsia" w:hAnsi="宋体" w:cs="宋体"/>
                <w:color w:val="auto"/>
                <w:sz w:val="24"/>
                <w:szCs w:val="24"/>
                <w:highlight w:val="none"/>
              </w:rPr>
              <w:br w:type="textWrapping"/>
            </w:r>
            <w:r>
              <w:rPr>
                <w:rFonts w:hint="eastAsia" w:hAnsi="宋体" w:cs="宋体"/>
                <w:color w:val="auto"/>
                <w:sz w:val="24"/>
                <w:szCs w:val="24"/>
                <w:highlight w:val="none"/>
              </w:rPr>
              <w:t>政府采购合同继续履行将损害国家利益和社会公共利益的，双方当事人应当变更、中止或者终止合同。有过错的一方应当承担赔偿责任，双方都有过错的，各自承担相应的责任。</w:t>
            </w:r>
          </w:p>
        </w:tc>
      </w:tr>
      <w:bookmarkEnd w:id="69"/>
      <w:bookmarkEnd w:id="70"/>
      <w:bookmarkEnd w:id="71"/>
      <w:bookmarkEnd w:id="72"/>
      <w:bookmarkEnd w:id="73"/>
    </w:tbl>
    <w:p>
      <w:pPr>
        <w:rPr>
          <w:rFonts w:hAnsi="宋体" w:cs="宋体"/>
          <w:b/>
          <w:color w:val="auto"/>
          <w:sz w:val="36"/>
          <w:szCs w:val="36"/>
          <w:highlight w:val="none"/>
        </w:rPr>
      </w:pPr>
      <w:r>
        <w:rPr>
          <w:rFonts w:hint="eastAsia" w:hAnsi="宋体" w:cs="宋体"/>
          <w:b/>
          <w:color w:val="auto"/>
          <w:sz w:val="36"/>
          <w:szCs w:val="36"/>
          <w:highlight w:val="none"/>
        </w:rPr>
        <w:br w:type="page"/>
      </w: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p>
    <w:p>
      <w:pPr>
        <w:jc w:val="center"/>
        <w:rPr>
          <w:rFonts w:hAnsi="宋体" w:cs="宋体"/>
          <w:b/>
          <w:bCs/>
          <w:color w:val="auto"/>
          <w:sz w:val="44"/>
          <w:szCs w:val="44"/>
          <w:highlight w:val="none"/>
        </w:rPr>
      </w:pPr>
      <w:r>
        <w:rPr>
          <w:rFonts w:hint="eastAsia" w:hAnsi="宋体" w:cs="宋体"/>
          <w:b/>
          <w:bCs/>
          <w:color w:val="auto"/>
          <w:sz w:val="44"/>
          <w:szCs w:val="44"/>
          <w:highlight w:val="none"/>
          <w:lang w:eastAsia="zh-CN"/>
        </w:rPr>
        <w:t>检察业务装备采购项目</w:t>
      </w:r>
      <w:r>
        <w:rPr>
          <w:rFonts w:hint="eastAsia" w:hAnsi="宋体" w:cs="宋体"/>
          <w:b/>
          <w:bCs/>
          <w:color w:val="auto"/>
          <w:sz w:val="44"/>
          <w:szCs w:val="44"/>
          <w:highlight w:val="none"/>
        </w:rPr>
        <w:t>采购合同</w:t>
      </w: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rPr>
          <w:rFonts w:hAnsi="宋体" w:cs="宋体"/>
          <w:color w:val="auto"/>
          <w:highlight w:val="none"/>
        </w:rPr>
      </w:pPr>
    </w:p>
    <w:p>
      <w:pPr>
        <w:jc w:val="center"/>
        <w:rPr>
          <w:rFonts w:hAnsi="宋体" w:cs="宋体"/>
          <w:b/>
          <w:color w:val="auto"/>
          <w:sz w:val="36"/>
          <w:szCs w:val="36"/>
          <w:highlight w:val="none"/>
        </w:rPr>
      </w:pPr>
      <w:r>
        <w:rPr>
          <w:rFonts w:hint="eastAsia" w:hAnsi="宋体" w:cs="宋体"/>
          <w:b/>
          <w:color w:val="auto"/>
          <w:sz w:val="36"/>
          <w:szCs w:val="36"/>
          <w:highlight w:val="none"/>
        </w:rPr>
        <w:t>（示范文本）</w:t>
      </w: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jc w:val="center"/>
        <w:rPr>
          <w:rFonts w:hAnsi="宋体" w:cs="宋体"/>
          <w:b/>
          <w:color w:val="auto"/>
          <w:sz w:val="36"/>
          <w:szCs w:val="36"/>
          <w:highlight w:val="none"/>
        </w:rPr>
      </w:pPr>
    </w:p>
    <w:p>
      <w:pPr>
        <w:rPr>
          <w:rFonts w:hint="eastAsia" w:hAnsi="宋体"/>
          <w:b/>
          <w:color w:val="auto"/>
          <w:sz w:val="36"/>
          <w:szCs w:val="24"/>
          <w:highlight w:val="none"/>
        </w:rPr>
      </w:pPr>
      <w:r>
        <w:rPr>
          <w:rFonts w:hint="eastAsia" w:hAnsi="宋体"/>
          <w:b/>
          <w:color w:val="auto"/>
          <w:sz w:val="36"/>
          <w:szCs w:val="24"/>
          <w:highlight w:val="none"/>
        </w:rPr>
        <w:br w:type="page"/>
      </w:r>
    </w:p>
    <w:p>
      <w:pPr>
        <w:adjustRightInd w:val="0"/>
        <w:snapToGrid w:val="0"/>
        <w:spacing w:before="333" w:beforeLines="100" w:after="333" w:afterLines="100" w:line="580" w:lineRule="exact"/>
        <w:ind w:firstLine="723" w:firstLineChars="200"/>
        <w:jc w:val="center"/>
        <w:rPr>
          <w:rFonts w:hAnsi="宋体"/>
          <w:b/>
          <w:color w:val="auto"/>
          <w:sz w:val="36"/>
          <w:szCs w:val="24"/>
          <w:highlight w:val="none"/>
        </w:rPr>
      </w:pPr>
      <w:r>
        <w:rPr>
          <w:rFonts w:hint="eastAsia" w:hAnsi="宋体"/>
          <w:b/>
          <w:color w:val="auto"/>
          <w:sz w:val="36"/>
          <w:szCs w:val="24"/>
          <w:highlight w:val="none"/>
        </w:rPr>
        <w:t>协议书</w:t>
      </w:r>
    </w:p>
    <w:p>
      <w:pPr>
        <w:adjustRightInd w:val="0"/>
        <w:snapToGrid w:val="0"/>
        <w:spacing w:line="580" w:lineRule="exact"/>
        <w:ind w:firstLine="482" w:firstLineChars="200"/>
        <w:rPr>
          <w:rFonts w:hAnsi="宋体"/>
          <w:b/>
          <w:color w:val="auto"/>
          <w:highlight w:val="none"/>
          <w:u w:val="single"/>
        </w:rPr>
      </w:pPr>
      <w:r>
        <w:rPr>
          <w:rFonts w:hint="eastAsia" w:hAnsi="宋体"/>
          <w:b/>
          <w:color w:val="auto"/>
          <w:highlight w:val="none"/>
        </w:rPr>
        <w:t>采购人（全称）：</w:t>
      </w:r>
      <w:r>
        <w:rPr>
          <w:rFonts w:hint="eastAsia" w:hAnsi="宋体"/>
          <w:b/>
          <w:color w:val="auto"/>
          <w:highlight w:val="none"/>
          <w:u w:val="single"/>
          <w:lang w:eastAsia="zh-CN"/>
        </w:rPr>
        <w:t>西安铁路运输检察院</w:t>
      </w:r>
      <w:r>
        <w:rPr>
          <w:rFonts w:hint="eastAsia" w:hAnsi="宋体"/>
          <w:b/>
          <w:color w:val="auto"/>
          <w:highlight w:val="none"/>
          <w:u w:val="single"/>
        </w:rPr>
        <w:t xml:space="preserve">         </w:t>
      </w:r>
    </w:p>
    <w:p>
      <w:pPr>
        <w:adjustRightInd w:val="0"/>
        <w:snapToGrid w:val="0"/>
        <w:spacing w:line="580" w:lineRule="exact"/>
        <w:ind w:left="480" w:leftChars="200"/>
        <w:rPr>
          <w:rFonts w:hint="default" w:hAnsi="宋体" w:eastAsia="宋体"/>
          <w:color w:val="auto"/>
          <w:highlight w:val="none"/>
          <w:u w:val="single"/>
          <w:lang w:val="en-US" w:eastAsia="zh-CN"/>
        </w:rPr>
      </w:pPr>
      <w:r>
        <w:rPr>
          <w:rFonts w:hint="eastAsia" w:hAnsi="宋体"/>
          <w:b/>
          <w:color w:val="auto"/>
          <w:highlight w:val="none"/>
        </w:rPr>
        <w:t>供应商（全称）：</w:t>
      </w:r>
      <w:r>
        <w:rPr>
          <w:rFonts w:hint="eastAsia" w:hAnsi="宋体"/>
          <w:b/>
          <w:color w:val="auto"/>
          <w:highlight w:val="none"/>
          <w:u w:val="single"/>
        </w:rPr>
        <w:t xml:space="preserve">              </w:t>
      </w:r>
      <w:r>
        <w:rPr>
          <w:rFonts w:hint="eastAsia" w:hAnsi="宋体"/>
          <w:b/>
          <w:color w:val="auto"/>
          <w:highlight w:val="none"/>
          <w:u w:val="single"/>
          <w:lang w:val="en-US" w:eastAsia="zh-CN"/>
        </w:rPr>
        <w:t xml:space="preserve">               </w:t>
      </w:r>
      <w:r>
        <w:rPr>
          <w:rFonts w:hint="eastAsia" w:hAnsi="宋体"/>
          <w:b/>
          <w:color w:val="auto"/>
          <w:highlight w:val="none"/>
          <w:u w:val="single"/>
        </w:rPr>
        <w:t xml:space="preserve">                  </w:t>
      </w:r>
      <w:r>
        <w:rPr>
          <w:rFonts w:hint="eastAsia" w:hAnsi="宋体"/>
          <w:b/>
          <w:color w:val="auto"/>
          <w:highlight w:val="none"/>
          <w:u w:val="single"/>
          <w:lang w:val="en-US" w:eastAsia="zh-CN"/>
        </w:rPr>
        <w:t xml:space="preserve">  </w:t>
      </w:r>
    </w:p>
    <w:p>
      <w:pPr>
        <w:adjustRightInd w:val="0"/>
        <w:snapToGrid w:val="0"/>
        <w:spacing w:line="580" w:lineRule="exact"/>
        <w:ind w:firstLine="480" w:firstLineChars="200"/>
        <w:rPr>
          <w:rFonts w:hAnsi="宋体"/>
          <w:color w:val="auto"/>
          <w:highlight w:val="none"/>
          <w:u w:val="single"/>
        </w:rPr>
      </w:pPr>
      <w:r>
        <w:rPr>
          <w:rFonts w:hint="eastAsia" w:hAnsi="宋体"/>
          <w:color w:val="auto"/>
          <w:highlight w:val="none"/>
        </w:rPr>
        <w:t>根据《中华人民共和国</w:t>
      </w:r>
      <w:r>
        <w:rPr>
          <w:rFonts w:hint="eastAsia" w:hAnsi="宋体"/>
          <w:color w:val="auto"/>
          <w:highlight w:val="none"/>
          <w:lang w:eastAsia="zh-CN"/>
        </w:rPr>
        <w:t>民法典</w:t>
      </w:r>
      <w:r>
        <w:rPr>
          <w:rFonts w:hint="eastAsia" w:hAnsi="宋体"/>
          <w:color w:val="auto"/>
          <w:highlight w:val="none"/>
        </w:rPr>
        <w:t>》及其他有关法律、法规，遵循平等、自愿、公平和诚信的原则，双方就下述项目范围与相关服务事项协商一致，订立本合同。</w:t>
      </w:r>
    </w:p>
    <w:p>
      <w:pPr>
        <w:spacing w:line="580" w:lineRule="exact"/>
        <w:rPr>
          <w:rFonts w:hAnsi="宋体"/>
          <w:b/>
          <w:color w:val="auto"/>
          <w:highlight w:val="none"/>
        </w:rPr>
      </w:pPr>
      <w:r>
        <w:rPr>
          <w:rFonts w:hint="eastAsia" w:hAnsi="宋体"/>
          <w:b/>
          <w:color w:val="auto"/>
          <w:highlight w:val="none"/>
        </w:rPr>
        <w:t>一、项目概况</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1. 项目名称：</w:t>
      </w:r>
      <w:r>
        <w:rPr>
          <w:rFonts w:hint="eastAsia" w:hAnsi="宋体" w:cs="宋体"/>
          <w:color w:val="auto"/>
          <w:szCs w:val="24"/>
          <w:highlight w:val="none"/>
          <w:u w:val="single"/>
          <w:lang w:eastAsia="zh-CN"/>
        </w:rPr>
        <w:t>检察业务装备采购项目</w:t>
      </w:r>
      <w:r>
        <w:rPr>
          <w:rFonts w:hint="eastAsia" w:hAnsi="宋体" w:cs="宋体"/>
          <w:color w:val="auto"/>
          <w:szCs w:val="24"/>
          <w:highlight w:val="none"/>
          <w:u w:val="single"/>
        </w:rPr>
        <w:t xml:space="preserve">                        </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2. 项目地点：</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single"/>
        </w:rPr>
        <w:t xml:space="preserve">                                       </w:t>
      </w:r>
    </w:p>
    <w:p>
      <w:pPr>
        <w:adjustRightInd w:val="0"/>
        <w:snapToGrid w:val="0"/>
        <w:spacing w:line="580" w:lineRule="exact"/>
        <w:ind w:firstLine="475" w:firstLineChars="198"/>
        <w:jc w:val="left"/>
        <w:rPr>
          <w:rFonts w:hAnsi="宋体"/>
          <w:color w:val="auto"/>
          <w:highlight w:val="none"/>
        </w:rPr>
      </w:pPr>
      <w:r>
        <w:rPr>
          <w:rFonts w:hint="eastAsia" w:hAnsi="宋体"/>
          <w:color w:val="auto"/>
          <w:highlight w:val="none"/>
        </w:rPr>
        <w:t>3. 项目内容：</w:t>
      </w:r>
      <w:r>
        <w:rPr>
          <w:rFonts w:hint="eastAsia" w:hAnsi="宋体"/>
          <w:color w:val="auto"/>
          <w:highlight w:val="none"/>
          <w:u w:val="single"/>
        </w:rPr>
        <w:t xml:space="preserve">                          </w:t>
      </w:r>
      <w:r>
        <w:rPr>
          <w:rFonts w:hint="eastAsia" w:hAnsi="宋体"/>
          <w:color w:val="auto"/>
          <w:highlight w:val="none"/>
          <w:u w:val="single"/>
          <w:lang w:val="en-US" w:eastAsia="zh-CN"/>
        </w:rPr>
        <w:t xml:space="preserve">        </w:t>
      </w:r>
      <w:r>
        <w:rPr>
          <w:rFonts w:hint="eastAsia" w:hAnsi="宋体"/>
          <w:color w:val="auto"/>
          <w:highlight w:val="none"/>
          <w:u w:val="single"/>
        </w:rPr>
        <w:t xml:space="preserve">                           </w:t>
      </w:r>
    </w:p>
    <w:p>
      <w:pPr>
        <w:spacing w:line="580" w:lineRule="exact"/>
        <w:rPr>
          <w:rFonts w:hAnsi="宋体"/>
          <w:b/>
          <w:color w:val="auto"/>
          <w:highlight w:val="none"/>
        </w:rPr>
      </w:pPr>
      <w:r>
        <w:rPr>
          <w:rFonts w:hint="eastAsia" w:hAnsi="宋体"/>
          <w:b/>
          <w:color w:val="auto"/>
          <w:highlight w:val="none"/>
        </w:rPr>
        <w:t>二、组成本合同的文件</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1.协议书；</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2.中标通知书、投标文件、招标文件、澄清函、招标补充文件；</w:t>
      </w:r>
    </w:p>
    <w:p>
      <w:pPr>
        <w:adjustRightInd w:val="0"/>
        <w:snapToGrid w:val="0"/>
        <w:spacing w:line="580" w:lineRule="exact"/>
        <w:ind w:firstLine="480" w:firstLineChars="200"/>
        <w:rPr>
          <w:rFonts w:hAnsi="宋体"/>
          <w:color w:val="auto"/>
          <w:highlight w:val="none"/>
        </w:rPr>
      </w:pPr>
      <w:r>
        <w:rPr>
          <w:rFonts w:hint="eastAsia" w:hAnsi="宋体"/>
          <w:color w:val="auto"/>
          <w:highlight w:val="none"/>
        </w:rPr>
        <w:t>3.相关服务建议书；</w:t>
      </w:r>
    </w:p>
    <w:p>
      <w:pPr>
        <w:adjustRightInd w:val="0"/>
        <w:snapToGrid w:val="0"/>
        <w:spacing w:line="580" w:lineRule="exact"/>
        <w:ind w:firstLine="480" w:firstLineChars="200"/>
        <w:rPr>
          <w:rFonts w:hAnsi="宋体"/>
          <w:color w:val="auto"/>
          <w:highlight w:val="none"/>
        </w:rPr>
      </w:pPr>
      <w:r>
        <w:rPr>
          <w:rFonts w:hint="eastAsia" w:hAnsi="宋体"/>
          <w:color w:val="auto"/>
          <w:highlight w:val="none"/>
        </w:rPr>
        <w:t>4.附录，即：附表内相关服务的范围和内容；</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本合同签订后，双方依法签订的补充协议也是本合同文件的组成部分。</w:t>
      </w:r>
    </w:p>
    <w:p>
      <w:pPr>
        <w:spacing w:line="580" w:lineRule="exact"/>
        <w:rPr>
          <w:rFonts w:hAnsi="宋体"/>
          <w:b/>
          <w:color w:val="auto"/>
          <w:highlight w:val="none"/>
        </w:rPr>
      </w:pPr>
      <w:r>
        <w:rPr>
          <w:rFonts w:hint="eastAsia" w:hAnsi="宋体"/>
          <w:b/>
          <w:color w:val="auto"/>
          <w:highlight w:val="none"/>
        </w:rPr>
        <w:t>三、签约金额</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签约金额（大写）：</w:t>
      </w:r>
      <w:r>
        <w:rPr>
          <w:rFonts w:hint="eastAsia" w:hAnsi="宋体"/>
          <w:color w:val="auto"/>
          <w:highlight w:val="none"/>
          <w:u w:val="single"/>
        </w:rPr>
        <w:t xml:space="preserve">                            </w:t>
      </w:r>
      <w:r>
        <w:rPr>
          <w:rFonts w:hint="eastAsia" w:hAnsi="宋体"/>
          <w:color w:val="auto"/>
          <w:highlight w:val="none"/>
        </w:rPr>
        <w:t>（¥        ）。</w:t>
      </w:r>
    </w:p>
    <w:p>
      <w:pPr>
        <w:adjustRightInd w:val="0"/>
        <w:snapToGrid w:val="0"/>
        <w:spacing w:line="520" w:lineRule="exact"/>
        <w:ind w:firstLine="475" w:firstLineChars="198"/>
        <w:rPr>
          <w:rFonts w:hAnsi="宋体"/>
          <w:color w:val="auto"/>
          <w:szCs w:val="24"/>
          <w:highlight w:val="none"/>
        </w:rPr>
      </w:pPr>
      <w:r>
        <w:rPr>
          <w:rFonts w:hint="eastAsia" w:hAnsi="宋体"/>
          <w:color w:val="auto"/>
          <w:szCs w:val="24"/>
          <w:highlight w:val="none"/>
        </w:rPr>
        <w:t>合同总价即中标价，合同总价一次包死，不受市场价变化或实际工作量变化的影响，合同价格为含税价，供应商（中标人）提供产品所发生的一切税（包括增值税）费等都已包含于合同价款中。</w:t>
      </w:r>
    </w:p>
    <w:p>
      <w:pPr>
        <w:adjustRightInd w:val="0"/>
        <w:snapToGrid w:val="0"/>
        <w:spacing w:line="520" w:lineRule="exact"/>
        <w:rPr>
          <w:rFonts w:hAnsi="宋体"/>
          <w:b/>
          <w:color w:val="auto"/>
          <w:highlight w:val="none"/>
        </w:rPr>
      </w:pPr>
      <w:r>
        <w:rPr>
          <w:rFonts w:hint="eastAsia" w:hAnsi="宋体"/>
          <w:b/>
          <w:bCs/>
          <w:color w:val="auto"/>
          <w:szCs w:val="24"/>
          <w:highlight w:val="none"/>
        </w:rPr>
        <w:t>四、</w:t>
      </w:r>
      <w:r>
        <w:rPr>
          <w:rFonts w:hint="eastAsia" w:hAnsi="宋体"/>
          <w:b/>
          <w:color w:val="auto"/>
          <w:highlight w:val="none"/>
        </w:rPr>
        <w:t>结算方式：</w:t>
      </w:r>
    </w:p>
    <w:p>
      <w:pPr>
        <w:adjustRightInd w:val="0"/>
        <w:snapToGrid w:val="0"/>
        <w:spacing w:line="520" w:lineRule="exact"/>
        <w:ind w:firstLine="475" w:firstLineChars="198"/>
        <w:rPr>
          <w:rFonts w:hAnsi="宋体"/>
          <w:color w:val="auto"/>
          <w:szCs w:val="24"/>
          <w:highlight w:val="none"/>
        </w:rPr>
      </w:pPr>
      <w:r>
        <w:rPr>
          <w:rFonts w:hint="eastAsia" w:hAnsi="宋体"/>
          <w:color w:val="auto"/>
          <w:szCs w:val="24"/>
          <w:highlight w:val="none"/>
        </w:rPr>
        <w:t>详见合同前附表</w:t>
      </w:r>
    </w:p>
    <w:p>
      <w:pPr>
        <w:spacing w:line="360" w:lineRule="auto"/>
        <w:rPr>
          <w:rFonts w:hAnsi="宋体"/>
          <w:b/>
          <w:color w:val="auto"/>
          <w:highlight w:val="none"/>
        </w:rPr>
      </w:pPr>
      <w:r>
        <w:rPr>
          <w:rFonts w:hint="eastAsia" w:hAnsi="宋体"/>
          <w:b/>
          <w:color w:val="auto"/>
          <w:highlight w:val="none"/>
        </w:rPr>
        <w:t>五、项目完成期</w:t>
      </w:r>
    </w:p>
    <w:p>
      <w:pPr>
        <w:adjustRightInd w:val="0"/>
        <w:snapToGrid w:val="0"/>
        <w:spacing w:line="520" w:lineRule="exact"/>
        <w:ind w:firstLine="477" w:firstLineChars="198"/>
        <w:rPr>
          <w:rFonts w:hAnsi="宋体"/>
          <w:color w:val="auto"/>
          <w:szCs w:val="24"/>
          <w:highlight w:val="none"/>
        </w:rPr>
      </w:pPr>
      <w:r>
        <w:rPr>
          <w:rFonts w:hint="eastAsia" w:hAnsi="宋体" w:cs="宋体"/>
          <w:b/>
          <w:color w:val="auto"/>
          <w:szCs w:val="24"/>
          <w:highlight w:val="none"/>
        </w:rPr>
        <w:t>项目完成期：</w:t>
      </w:r>
      <w:r>
        <w:rPr>
          <w:rFonts w:hint="eastAsia" w:hAnsi="宋体" w:cs="宋体"/>
          <w:b/>
          <w:color w:val="auto"/>
          <w:szCs w:val="24"/>
          <w:highlight w:val="none"/>
          <w:u w:val="single"/>
          <w:lang w:val="en-US" w:eastAsia="zh-CN"/>
        </w:rPr>
        <w:t xml:space="preserve">           </w:t>
      </w:r>
      <w:r>
        <w:rPr>
          <w:rFonts w:hint="eastAsia" w:hAnsi="宋体"/>
          <w:color w:val="auto"/>
          <w:szCs w:val="24"/>
          <w:highlight w:val="none"/>
        </w:rPr>
        <w:t>。</w:t>
      </w:r>
    </w:p>
    <w:p>
      <w:pPr>
        <w:spacing w:line="580" w:lineRule="exact"/>
        <w:rPr>
          <w:rFonts w:hAnsi="宋体"/>
          <w:b/>
          <w:color w:val="auto"/>
          <w:highlight w:val="none"/>
        </w:rPr>
      </w:pPr>
      <w:r>
        <w:rPr>
          <w:rFonts w:hint="eastAsia" w:hAnsi="宋体"/>
          <w:b/>
          <w:color w:val="auto"/>
          <w:highlight w:val="none"/>
        </w:rPr>
        <w:t>六、双方承诺</w:t>
      </w:r>
    </w:p>
    <w:p>
      <w:pPr>
        <w:adjustRightInd w:val="0"/>
        <w:snapToGrid w:val="0"/>
        <w:spacing w:line="520" w:lineRule="exact"/>
        <w:ind w:firstLine="475" w:firstLineChars="198"/>
        <w:rPr>
          <w:rFonts w:hAnsi="宋体"/>
          <w:color w:val="auto"/>
          <w:szCs w:val="24"/>
          <w:highlight w:val="none"/>
        </w:rPr>
      </w:pPr>
      <w:r>
        <w:rPr>
          <w:rFonts w:hint="eastAsia" w:hAnsi="宋体"/>
          <w:color w:val="auto"/>
          <w:szCs w:val="24"/>
          <w:highlight w:val="none"/>
        </w:rPr>
        <w:t>1. 供应商向采购人承诺，按照本合同约定提供相关服务。</w:t>
      </w:r>
    </w:p>
    <w:p>
      <w:pPr>
        <w:adjustRightInd w:val="0"/>
        <w:snapToGrid w:val="0"/>
        <w:spacing w:line="520" w:lineRule="exact"/>
        <w:ind w:firstLine="475" w:firstLineChars="198"/>
        <w:rPr>
          <w:rFonts w:hAnsi="宋体"/>
          <w:color w:val="auto"/>
          <w:szCs w:val="24"/>
          <w:highlight w:val="none"/>
        </w:rPr>
      </w:pPr>
      <w:r>
        <w:rPr>
          <w:rFonts w:hint="eastAsia" w:hAnsi="宋体"/>
          <w:color w:val="auto"/>
          <w:szCs w:val="24"/>
          <w:highlight w:val="none"/>
        </w:rPr>
        <w:t>2. 采购人向供应商承诺，按照本合同约定支付服务款项。</w:t>
      </w:r>
    </w:p>
    <w:p>
      <w:pPr>
        <w:spacing w:line="580" w:lineRule="exact"/>
        <w:rPr>
          <w:rFonts w:hAnsi="宋体"/>
          <w:b/>
          <w:color w:val="auto"/>
          <w:highlight w:val="none"/>
        </w:rPr>
      </w:pPr>
      <w:r>
        <w:rPr>
          <w:rFonts w:hint="eastAsia" w:hAnsi="宋体"/>
          <w:b/>
          <w:color w:val="auto"/>
          <w:highlight w:val="none"/>
        </w:rPr>
        <w:t>七、内容及要求：</w:t>
      </w:r>
    </w:p>
    <w:p>
      <w:pPr>
        <w:tabs>
          <w:tab w:val="left" w:pos="840"/>
        </w:tabs>
        <w:spacing w:line="520" w:lineRule="exact"/>
        <w:ind w:firstLine="480" w:firstLineChars="200"/>
        <w:rPr>
          <w:rFonts w:hAnsi="宋体"/>
          <w:color w:val="auto"/>
          <w:szCs w:val="24"/>
          <w:highlight w:val="none"/>
        </w:rPr>
      </w:pPr>
      <w:r>
        <w:rPr>
          <w:rFonts w:hint="eastAsia" w:hAnsi="宋体"/>
          <w:color w:val="auto"/>
          <w:szCs w:val="24"/>
          <w:highlight w:val="none"/>
        </w:rPr>
        <w:t>供应商交付的产品、服务内容、数量与投标文件、招标文件等所指明的，或者与本合同所指明的产品、服务内容相一致。（附清单）</w:t>
      </w:r>
    </w:p>
    <w:p>
      <w:pPr>
        <w:spacing w:line="580" w:lineRule="exact"/>
        <w:rPr>
          <w:rFonts w:hAnsi="宋体"/>
          <w:b/>
          <w:color w:val="auto"/>
          <w:highlight w:val="none"/>
        </w:rPr>
      </w:pPr>
      <w:r>
        <w:rPr>
          <w:rFonts w:hint="eastAsia" w:hAnsi="宋体"/>
          <w:b/>
          <w:color w:val="auto"/>
          <w:highlight w:val="none"/>
        </w:rPr>
        <w:t>八、项目实施地点：采购人指定地点。</w:t>
      </w:r>
    </w:p>
    <w:p>
      <w:pPr>
        <w:spacing w:line="580" w:lineRule="exact"/>
        <w:rPr>
          <w:rFonts w:hAnsi="宋体"/>
          <w:b/>
          <w:color w:val="auto"/>
          <w:highlight w:val="none"/>
        </w:rPr>
      </w:pPr>
      <w:r>
        <w:rPr>
          <w:rFonts w:hint="eastAsia" w:hAnsi="宋体"/>
          <w:b/>
          <w:color w:val="auto"/>
          <w:highlight w:val="none"/>
        </w:rPr>
        <w:t>九、质量</w:t>
      </w:r>
      <w:r>
        <w:rPr>
          <w:rFonts w:hint="eastAsia" w:hAnsi="宋体"/>
          <w:b/>
          <w:color w:val="auto"/>
          <w:highlight w:val="none"/>
          <w:lang w:val="en-US" w:eastAsia="zh-CN"/>
        </w:rPr>
        <w:t>及维保</w:t>
      </w:r>
      <w:r>
        <w:rPr>
          <w:rFonts w:hint="eastAsia" w:hAnsi="宋体"/>
          <w:b/>
          <w:color w:val="auto"/>
          <w:highlight w:val="none"/>
        </w:rPr>
        <w:t>：</w:t>
      </w:r>
    </w:p>
    <w:p>
      <w:pPr>
        <w:pStyle w:val="12"/>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详见合同前附表</w:t>
      </w:r>
      <w:r>
        <w:rPr>
          <w:rFonts w:hint="eastAsia" w:hAnsi="宋体"/>
          <w:color w:val="auto"/>
          <w:sz w:val="24"/>
          <w:szCs w:val="24"/>
          <w:highlight w:val="none"/>
          <w:lang w:eastAsia="zh-CN"/>
        </w:rPr>
        <w:t>。</w:t>
      </w:r>
    </w:p>
    <w:p>
      <w:pPr>
        <w:spacing w:line="580" w:lineRule="exact"/>
        <w:rPr>
          <w:rFonts w:hAnsi="宋体"/>
          <w:b/>
          <w:color w:val="auto"/>
          <w:highlight w:val="none"/>
        </w:rPr>
      </w:pPr>
      <w:r>
        <w:rPr>
          <w:rFonts w:hint="eastAsia" w:hAnsi="宋体"/>
          <w:b/>
          <w:color w:val="auto"/>
          <w:highlight w:val="none"/>
        </w:rPr>
        <w:t>十、安装、调试要求：</w:t>
      </w:r>
    </w:p>
    <w:p>
      <w:pPr>
        <w:pStyle w:val="12"/>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详见合同前附表</w:t>
      </w:r>
      <w:r>
        <w:rPr>
          <w:rFonts w:hint="eastAsia" w:hAnsi="宋体"/>
          <w:color w:val="auto"/>
          <w:sz w:val="24"/>
          <w:szCs w:val="24"/>
          <w:highlight w:val="none"/>
          <w:lang w:eastAsia="zh-CN"/>
        </w:rPr>
        <w:t>。</w:t>
      </w:r>
    </w:p>
    <w:p>
      <w:pPr>
        <w:spacing w:line="580" w:lineRule="exact"/>
        <w:rPr>
          <w:rFonts w:hAnsi="宋体"/>
          <w:b/>
          <w:color w:val="auto"/>
          <w:highlight w:val="none"/>
        </w:rPr>
      </w:pPr>
      <w:r>
        <w:rPr>
          <w:rFonts w:hint="eastAsia" w:hAnsi="宋体"/>
          <w:b/>
          <w:color w:val="auto"/>
          <w:highlight w:val="none"/>
        </w:rPr>
        <w:t>十一、技术支持：</w:t>
      </w:r>
    </w:p>
    <w:p>
      <w:pPr>
        <w:pStyle w:val="12"/>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详见合同前附表</w:t>
      </w:r>
      <w:r>
        <w:rPr>
          <w:rFonts w:hint="eastAsia" w:hAnsi="宋体"/>
          <w:color w:val="auto"/>
          <w:sz w:val="24"/>
          <w:szCs w:val="24"/>
          <w:highlight w:val="none"/>
          <w:lang w:eastAsia="zh-CN"/>
        </w:rPr>
        <w:t>。</w:t>
      </w:r>
    </w:p>
    <w:p>
      <w:pPr>
        <w:spacing w:line="580" w:lineRule="exact"/>
        <w:rPr>
          <w:rFonts w:hAnsi="宋体"/>
          <w:b/>
          <w:color w:val="auto"/>
          <w:highlight w:val="none"/>
        </w:rPr>
      </w:pPr>
      <w:r>
        <w:rPr>
          <w:rFonts w:hint="eastAsia" w:hAnsi="宋体"/>
          <w:b/>
          <w:color w:val="auto"/>
          <w:highlight w:val="none"/>
        </w:rPr>
        <w:t>十二、技术培训：</w:t>
      </w:r>
    </w:p>
    <w:p>
      <w:pPr>
        <w:pStyle w:val="12"/>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详见合同前附表</w:t>
      </w:r>
      <w:r>
        <w:rPr>
          <w:rFonts w:hint="eastAsia" w:hAnsi="宋体"/>
          <w:color w:val="auto"/>
          <w:sz w:val="24"/>
          <w:szCs w:val="24"/>
          <w:highlight w:val="none"/>
          <w:lang w:eastAsia="zh-CN"/>
        </w:rPr>
        <w:t>。</w:t>
      </w:r>
    </w:p>
    <w:p>
      <w:pPr>
        <w:spacing w:line="580" w:lineRule="exact"/>
        <w:rPr>
          <w:rFonts w:hAnsi="宋体"/>
          <w:b/>
          <w:color w:val="auto"/>
          <w:highlight w:val="none"/>
        </w:rPr>
      </w:pPr>
      <w:r>
        <w:rPr>
          <w:rFonts w:hint="eastAsia" w:hAnsi="宋体"/>
          <w:b/>
          <w:color w:val="auto"/>
          <w:highlight w:val="none"/>
        </w:rPr>
        <w:t>十三、技术资料要求：</w:t>
      </w:r>
    </w:p>
    <w:p>
      <w:pPr>
        <w:pStyle w:val="12"/>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详见合同前附表</w:t>
      </w:r>
      <w:r>
        <w:rPr>
          <w:rFonts w:hint="eastAsia" w:hAnsi="宋体"/>
          <w:color w:val="auto"/>
          <w:sz w:val="24"/>
          <w:szCs w:val="24"/>
          <w:highlight w:val="none"/>
          <w:lang w:eastAsia="zh-CN"/>
        </w:rPr>
        <w:t>。</w:t>
      </w:r>
    </w:p>
    <w:p>
      <w:pPr>
        <w:spacing w:line="580" w:lineRule="exact"/>
        <w:rPr>
          <w:rFonts w:hAnsi="宋体"/>
          <w:b/>
          <w:color w:val="auto"/>
          <w:highlight w:val="none"/>
        </w:rPr>
      </w:pPr>
      <w:r>
        <w:rPr>
          <w:rFonts w:hint="eastAsia" w:hAnsi="宋体"/>
          <w:b/>
          <w:color w:val="auto"/>
          <w:highlight w:val="none"/>
        </w:rPr>
        <w:t>十四、验收:</w:t>
      </w:r>
    </w:p>
    <w:p>
      <w:pPr>
        <w:pStyle w:val="12"/>
        <w:spacing w:line="360" w:lineRule="auto"/>
        <w:ind w:firstLine="480" w:firstLineChars="200"/>
        <w:rPr>
          <w:rFonts w:hint="eastAsia" w:hAnsi="宋体" w:eastAsia="宋体"/>
          <w:color w:val="auto"/>
          <w:sz w:val="24"/>
          <w:szCs w:val="24"/>
          <w:highlight w:val="none"/>
          <w:lang w:eastAsia="zh-CN"/>
        </w:rPr>
      </w:pPr>
      <w:r>
        <w:rPr>
          <w:rFonts w:hint="eastAsia" w:hAnsi="宋体"/>
          <w:color w:val="auto"/>
          <w:sz w:val="24"/>
          <w:szCs w:val="24"/>
          <w:highlight w:val="none"/>
        </w:rPr>
        <w:t>详见合同前附表</w:t>
      </w:r>
      <w:r>
        <w:rPr>
          <w:rFonts w:hint="eastAsia" w:hAnsi="宋体"/>
          <w:color w:val="auto"/>
          <w:sz w:val="24"/>
          <w:szCs w:val="24"/>
          <w:highlight w:val="none"/>
          <w:lang w:eastAsia="zh-CN"/>
        </w:rPr>
        <w:t>。</w:t>
      </w:r>
    </w:p>
    <w:p>
      <w:pPr>
        <w:spacing w:line="580" w:lineRule="exact"/>
        <w:rPr>
          <w:rFonts w:hAnsi="宋体"/>
          <w:b/>
          <w:color w:val="auto"/>
          <w:highlight w:val="none"/>
        </w:rPr>
      </w:pPr>
      <w:r>
        <w:rPr>
          <w:rFonts w:hint="eastAsia" w:hAnsi="宋体"/>
          <w:b/>
          <w:color w:val="auto"/>
          <w:highlight w:val="none"/>
        </w:rPr>
        <w:t>十五、保密责任</w:t>
      </w:r>
    </w:p>
    <w:p>
      <w:pPr>
        <w:tabs>
          <w:tab w:val="left" w:pos="1080"/>
        </w:tabs>
        <w:spacing w:line="520" w:lineRule="exact"/>
        <w:ind w:firstLine="480" w:firstLineChars="200"/>
        <w:rPr>
          <w:rFonts w:hAnsi="宋体"/>
          <w:color w:val="auto"/>
          <w:szCs w:val="24"/>
          <w:highlight w:val="none"/>
        </w:rPr>
      </w:pPr>
      <w:r>
        <w:rPr>
          <w:rFonts w:hint="eastAsia"/>
          <w:color w:val="auto"/>
          <w:highlight w:val="none"/>
        </w:rPr>
        <w:t>双方共同恪守对技术及对项目的保密责任。</w:t>
      </w:r>
      <w:r>
        <w:rPr>
          <w:rFonts w:hint="eastAsia" w:hAnsi="宋体"/>
          <w:color w:val="auto"/>
          <w:szCs w:val="24"/>
          <w:highlight w:val="none"/>
        </w:rPr>
        <w:t>对工作中了解到的采购人的技术、机密等进行保密，不得向他人泄漏。本合同的解除或终止不免除供应商应承担的保密义务。</w:t>
      </w:r>
    </w:p>
    <w:p>
      <w:pPr>
        <w:spacing w:line="580" w:lineRule="exact"/>
        <w:rPr>
          <w:rFonts w:hAnsi="宋体"/>
          <w:b/>
          <w:color w:val="auto"/>
          <w:highlight w:val="none"/>
        </w:rPr>
      </w:pPr>
      <w:r>
        <w:rPr>
          <w:rFonts w:hint="eastAsia" w:hAnsi="宋体"/>
          <w:b/>
          <w:color w:val="auto"/>
          <w:highlight w:val="none"/>
        </w:rPr>
        <w:t>十六、</w:t>
      </w:r>
      <w:r>
        <w:rPr>
          <w:rFonts w:hAnsi="宋体"/>
          <w:b/>
          <w:color w:val="auto"/>
          <w:highlight w:val="none"/>
        </w:rPr>
        <w:t>本合同知识产权归属</w:t>
      </w:r>
    </w:p>
    <w:p>
      <w:pPr>
        <w:adjustRightInd w:val="0"/>
        <w:snapToGrid w:val="0"/>
        <w:spacing w:line="520" w:lineRule="exact"/>
        <w:ind w:firstLine="475" w:firstLineChars="198"/>
        <w:rPr>
          <w:rFonts w:hAnsi="宋体"/>
          <w:color w:val="auto"/>
          <w:szCs w:val="24"/>
          <w:highlight w:val="none"/>
        </w:rPr>
      </w:pPr>
      <w:r>
        <w:rPr>
          <w:rFonts w:hAnsi="宋体"/>
          <w:color w:val="auto"/>
          <w:szCs w:val="24"/>
          <w:highlight w:val="none"/>
        </w:rPr>
        <w:t>1、本合同签订前已存在的知识产权归原拥有方所有。</w:t>
      </w:r>
    </w:p>
    <w:p>
      <w:pPr>
        <w:adjustRightInd w:val="0"/>
        <w:snapToGrid w:val="0"/>
        <w:spacing w:line="520" w:lineRule="exact"/>
        <w:ind w:firstLine="475" w:firstLineChars="198"/>
        <w:rPr>
          <w:rFonts w:hAnsi="宋体"/>
          <w:color w:val="auto"/>
          <w:szCs w:val="24"/>
          <w:highlight w:val="none"/>
        </w:rPr>
      </w:pPr>
      <w:r>
        <w:rPr>
          <w:rFonts w:hAnsi="宋体"/>
          <w:color w:val="auto"/>
          <w:szCs w:val="24"/>
          <w:highlight w:val="none"/>
        </w:rPr>
        <w:t>2、本合同范围内的相关软件系统，双方约定相关知识产权（含软件著作权）归采购人所有。</w:t>
      </w:r>
    </w:p>
    <w:p>
      <w:pPr>
        <w:adjustRightInd w:val="0"/>
        <w:snapToGrid w:val="0"/>
        <w:spacing w:line="520" w:lineRule="exact"/>
        <w:ind w:firstLine="475" w:firstLineChars="198"/>
        <w:rPr>
          <w:rFonts w:hAnsi="宋体"/>
          <w:color w:val="auto"/>
          <w:szCs w:val="24"/>
          <w:highlight w:val="none"/>
        </w:rPr>
      </w:pPr>
      <w:r>
        <w:rPr>
          <w:rFonts w:hAnsi="宋体"/>
          <w:color w:val="auto"/>
          <w:szCs w:val="24"/>
          <w:highlight w:val="none"/>
        </w:rPr>
        <w:t>3、采购人同意供应商使用与本合同相关的非专有信息用</w:t>
      </w:r>
      <w:r>
        <w:rPr>
          <w:rFonts w:hint="eastAsia" w:hAnsi="宋体"/>
          <w:color w:val="auto"/>
          <w:szCs w:val="24"/>
          <w:highlight w:val="none"/>
        </w:rPr>
        <w:t>做</w:t>
      </w:r>
      <w:r>
        <w:rPr>
          <w:rFonts w:hAnsi="宋体"/>
          <w:color w:val="auto"/>
          <w:szCs w:val="24"/>
          <w:highlight w:val="none"/>
        </w:rPr>
        <w:t>商品推介、宣传材料、案例分析、资料分析等类似用途，但涉及采购人名称、商标、特有标识、外观装潢或采购人商业机密的，供应商应事先获得采购人书面许可。</w:t>
      </w:r>
    </w:p>
    <w:p>
      <w:pPr>
        <w:spacing w:line="580" w:lineRule="exact"/>
        <w:rPr>
          <w:rFonts w:hAnsi="宋体"/>
          <w:b/>
          <w:color w:val="auto"/>
          <w:highlight w:val="none"/>
        </w:rPr>
      </w:pPr>
      <w:r>
        <w:rPr>
          <w:rFonts w:hint="eastAsia" w:hAnsi="宋体"/>
          <w:b/>
          <w:color w:val="auto"/>
          <w:highlight w:val="none"/>
        </w:rPr>
        <w:t>十七、</w:t>
      </w:r>
      <w:r>
        <w:rPr>
          <w:rFonts w:hAnsi="宋体"/>
          <w:b/>
          <w:color w:val="auto"/>
          <w:highlight w:val="none"/>
        </w:rPr>
        <w:t>第三方知识产权</w:t>
      </w:r>
    </w:p>
    <w:p>
      <w:pPr>
        <w:adjustRightInd w:val="0"/>
        <w:snapToGrid w:val="0"/>
        <w:spacing w:line="520" w:lineRule="exact"/>
        <w:ind w:firstLine="475" w:firstLineChars="198"/>
        <w:rPr>
          <w:rFonts w:hAnsi="宋体"/>
          <w:color w:val="auto"/>
          <w:szCs w:val="24"/>
          <w:highlight w:val="none"/>
        </w:rPr>
      </w:pPr>
      <w:r>
        <w:rPr>
          <w:rFonts w:hAnsi="宋体"/>
          <w:color w:val="auto"/>
          <w:szCs w:val="24"/>
          <w:highlight w:val="none"/>
        </w:rPr>
        <w:t>1、供应商承诺，其在受托开发本合同项目中，不会侵犯第三方知识产权，同时，在交付合同成果中也不会涉及或非法使用第三方知识产权。</w:t>
      </w:r>
    </w:p>
    <w:p>
      <w:pPr>
        <w:adjustRightInd w:val="0"/>
        <w:snapToGrid w:val="0"/>
        <w:spacing w:line="520" w:lineRule="exact"/>
        <w:ind w:firstLine="475" w:firstLineChars="198"/>
        <w:rPr>
          <w:rFonts w:hAnsi="宋体"/>
          <w:color w:val="auto"/>
          <w:szCs w:val="24"/>
          <w:highlight w:val="none"/>
        </w:rPr>
      </w:pPr>
      <w:r>
        <w:rPr>
          <w:rFonts w:hAnsi="宋体"/>
          <w:color w:val="auto"/>
          <w:szCs w:val="24"/>
          <w:highlight w:val="none"/>
        </w:rPr>
        <w:t>2、任何因本项目成果本身引发的对第三方知识产权的侵权诉讼，供应商承诺自行负责处理，并承担由于上述问题引起的索赔及法律责任。</w:t>
      </w:r>
    </w:p>
    <w:p>
      <w:pPr>
        <w:spacing w:line="580" w:lineRule="exact"/>
        <w:rPr>
          <w:rFonts w:hAnsi="宋体"/>
          <w:b/>
          <w:color w:val="auto"/>
          <w:highlight w:val="none"/>
        </w:rPr>
      </w:pPr>
      <w:r>
        <w:rPr>
          <w:rFonts w:hint="eastAsia" w:hAnsi="宋体"/>
          <w:b/>
          <w:color w:val="auto"/>
          <w:highlight w:val="none"/>
        </w:rPr>
        <w:t>十八、合同争议的解决：</w:t>
      </w:r>
    </w:p>
    <w:p>
      <w:pPr>
        <w:tabs>
          <w:tab w:val="left" w:pos="1080"/>
        </w:tabs>
        <w:spacing w:line="520" w:lineRule="exact"/>
        <w:ind w:firstLine="480" w:firstLineChars="200"/>
        <w:rPr>
          <w:rFonts w:hAnsi="宋体"/>
          <w:color w:val="auto"/>
          <w:szCs w:val="24"/>
          <w:highlight w:val="none"/>
        </w:rPr>
      </w:pPr>
      <w:r>
        <w:rPr>
          <w:rFonts w:hint="eastAsia" w:hAnsi="宋体"/>
          <w:color w:val="auto"/>
          <w:szCs w:val="24"/>
          <w:highlight w:val="none"/>
        </w:rPr>
        <w:t>合同执行中发生争议的，当事人双方应协商解决。双方协商不能解决时，</w:t>
      </w:r>
      <w:r>
        <w:rPr>
          <w:rFonts w:hAnsi="宋体"/>
          <w:color w:val="auto"/>
          <w:szCs w:val="24"/>
          <w:highlight w:val="none"/>
        </w:rPr>
        <w:t>提交</w:t>
      </w:r>
      <w:r>
        <w:rPr>
          <w:rFonts w:hint="eastAsia" w:hAnsi="宋体"/>
          <w:color w:val="auto"/>
          <w:szCs w:val="24"/>
          <w:highlight w:val="none"/>
        </w:rPr>
        <w:t>被告方所在地</w:t>
      </w:r>
      <w:r>
        <w:rPr>
          <w:rFonts w:hAnsi="宋体"/>
          <w:color w:val="auto"/>
          <w:szCs w:val="24"/>
          <w:highlight w:val="none"/>
        </w:rPr>
        <w:t>人民法院诉讼解决。</w:t>
      </w:r>
    </w:p>
    <w:p>
      <w:pPr>
        <w:spacing w:line="580" w:lineRule="exact"/>
        <w:rPr>
          <w:rFonts w:hAnsi="宋体"/>
          <w:b/>
          <w:color w:val="auto"/>
          <w:highlight w:val="none"/>
        </w:rPr>
      </w:pPr>
      <w:r>
        <w:rPr>
          <w:rFonts w:hint="eastAsia" w:hAnsi="宋体"/>
          <w:b/>
          <w:color w:val="auto"/>
          <w:highlight w:val="none"/>
        </w:rPr>
        <w:t>十九、不可抗力</w:t>
      </w:r>
    </w:p>
    <w:p>
      <w:pPr>
        <w:tabs>
          <w:tab w:val="left" w:pos="1080"/>
        </w:tabs>
        <w:spacing w:line="520" w:lineRule="exact"/>
        <w:ind w:firstLine="480" w:firstLineChars="200"/>
        <w:rPr>
          <w:rFonts w:hAnsi="宋体"/>
          <w:color w:val="auto"/>
          <w:szCs w:val="24"/>
          <w:highlight w:val="none"/>
        </w:rPr>
      </w:pPr>
      <w:r>
        <w:rPr>
          <w:rFonts w:hint="eastAsia" w:hAnsi="宋体"/>
          <w:color w:val="auto"/>
          <w:szCs w:val="24"/>
          <w:highlight w:val="none"/>
        </w:rPr>
        <w:t>在合同有效期内，由于客观因素或不可抗力等原因造成本系统未和相关监管部门、机构等实现数据对接和联通，供应商应保证所提供系统具备与相关部门和机构进行数据对接的相应接口和相关功能。</w:t>
      </w:r>
    </w:p>
    <w:p>
      <w:pPr>
        <w:tabs>
          <w:tab w:val="left" w:pos="1080"/>
        </w:tabs>
        <w:spacing w:line="520" w:lineRule="exact"/>
        <w:ind w:firstLine="480" w:firstLineChars="200"/>
        <w:rPr>
          <w:rFonts w:hAnsi="宋体"/>
          <w:color w:val="auto"/>
          <w:szCs w:val="24"/>
          <w:highlight w:val="none"/>
        </w:rPr>
      </w:pPr>
      <w:r>
        <w:rPr>
          <w:rFonts w:hint="eastAsia" w:hAnsi="宋体"/>
          <w:color w:val="auto"/>
          <w:szCs w:val="24"/>
          <w:highlight w:val="none"/>
        </w:rPr>
        <w:t>由于地震、台风、水灾、火灾、战争以及其他不能预见并对其发生和后果不能预防、不能克服或避免的不可抗力直接影响本合同的履行或者导致双方不能按照约定履行合同的，遇有不可抗力的一方可以免除相关合同责任。但是遇有不可抗力的一方应立即书面通知对方，并在15天之内提供上述不可抗力的详细情况及合同不能履行或者部分不能履行或者需要延期履行的理由和有效的证明文件。按照不可抗力对履行合同影响的程度，由双方协商决定是否解除合同，或者部分免除履行合同的义务，或者延期履行合同。一方迟延履行本合同时发生了不可抗力的，迟延方的合同义务不能免除。</w:t>
      </w:r>
    </w:p>
    <w:p>
      <w:pPr>
        <w:tabs>
          <w:tab w:val="left" w:pos="1080"/>
        </w:tabs>
        <w:spacing w:line="520" w:lineRule="exact"/>
        <w:ind w:firstLine="480" w:firstLineChars="200"/>
        <w:rPr>
          <w:rFonts w:hAnsi="宋体"/>
          <w:color w:val="auto"/>
          <w:szCs w:val="24"/>
          <w:highlight w:val="none"/>
        </w:rPr>
      </w:pPr>
      <w:r>
        <w:rPr>
          <w:rFonts w:hint="eastAsia" w:hAnsi="宋体"/>
          <w:color w:val="auto"/>
          <w:szCs w:val="24"/>
          <w:highlight w:val="none"/>
        </w:rPr>
        <w:t>受不可抗力影响的一方，应当尽可能采取合理的行为和适当的措施减轻不可抗力对履行本合同所造成的影响。没有采取适当措施致使损失扩大的，该方不得就扩大损失的部分要求免责或赔偿。</w:t>
      </w:r>
    </w:p>
    <w:p>
      <w:pPr>
        <w:spacing w:line="580" w:lineRule="exact"/>
        <w:rPr>
          <w:rFonts w:hAnsi="宋体"/>
          <w:b/>
          <w:color w:val="auto"/>
          <w:highlight w:val="none"/>
        </w:rPr>
      </w:pPr>
      <w:r>
        <w:rPr>
          <w:rFonts w:hint="eastAsia" w:hAnsi="宋体"/>
          <w:b/>
          <w:color w:val="auto"/>
          <w:highlight w:val="none"/>
        </w:rPr>
        <w:t>二十、违约责任：</w:t>
      </w:r>
    </w:p>
    <w:p>
      <w:pPr>
        <w:tabs>
          <w:tab w:val="left" w:pos="1080"/>
        </w:tabs>
        <w:spacing w:line="520" w:lineRule="exact"/>
        <w:ind w:firstLine="480" w:firstLineChars="200"/>
        <w:rPr>
          <w:rFonts w:hAnsi="宋体"/>
          <w:color w:val="auto"/>
          <w:szCs w:val="24"/>
          <w:highlight w:val="none"/>
        </w:rPr>
      </w:pPr>
      <w:r>
        <w:rPr>
          <w:rFonts w:hint="eastAsia" w:hAnsi="宋体"/>
          <w:color w:val="auto"/>
          <w:szCs w:val="24"/>
          <w:highlight w:val="none"/>
        </w:rPr>
        <w:t>依据《中华人民共和国</w:t>
      </w:r>
      <w:r>
        <w:rPr>
          <w:rFonts w:hint="eastAsia" w:hAnsi="宋体"/>
          <w:color w:val="auto"/>
          <w:szCs w:val="24"/>
          <w:highlight w:val="none"/>
          <w:lang w:eastAsia="zh-CN"/>
        </w:rPr>
        <w:t>民法典</w:t>
      </w:r>
      <w:r>
        <w:rPr>
          <w:rFonts w:hint="eastAsia" w:hAnsi="宋体"/>
          <w:color w:val="auto"/>
          <w:szCs w:val="24"/>
          <w:highlight w:val="none"/>
        </w:rPr>
        <w:t>》、《中华人民共和国政府采购法》的相关条款和本合同约定，中标供应商未全面履行合同义务或者发生违约，采购单位会同采购代理机构有权终止合同，依法向中标供应商进行经济索赔，并报请政府采购监督管理机关进行相应的行政处罚。采购单位违约的，应当赔偿给中标供应商造成的经济损失。具体条款如下：</w:t>
      </w:r>
    </w:p>
    <w:p>
      <w:pPr>
        <w:spacing w:line="360" w:lineRule="auto"/>
        <w:ind w:firstLine="480" w:firstLineChars="200"/>
        <w:rPr>
          <w:rFonts w:hAnsi="宋体"/>
          <w:color w:val="auto"/>
          <w:highlight w:val="none"/>
        </w:rPr>
      </w:pPr>
      <w:r>
        <w:rPr>
          <w:rFonts w:hint="eastAsia" w:hAnsi="宋体"/>
          <w:color w:val="auto"/>
          <w:highlight w:val="none"/>
        </w:rPr>
        <w:t>1.由于供应商原因造成开发工作延期，每延迟10个工作日，供应商向采购人支付违约金为开发费总额的1%，但总的违约金额不超过开发费总额的5%。</w:t>
      </w:r>
    </w:p>
    <w:p>
      <w:pPr>
        <w:spacing w:line="360" w:lineRule="auto"/>
        <w:ind w:firstLine="480" w:firstLineChars="200"/>
        <w:rPr>
          <w:rFonts w:hAnsi="宋体"/>
          <w:color w:val="auto"/>
          <w:highlight w:val="none"/>
        </w:rPr>
      </w:pPr>
      <w:r>
        <w:rPr>
          <w:rFonts w:hint="eastAsia" w:hAnsi="宋体"/>
          <w:color w:val="auto"/>
          <w:highlight w:val="none"/>
        </w:rPr>
        <w:t>2.由于采购人未按时付款或其他采购人原因造成开发工作延期，每延迟10个工作日，采购人向供应商支付违约金为开发费总额的1%，但总的违约金额不能超过开发费总额的5%。</w:t>
      </w:r>
    </w:p>
    <w:p>
      <w:pPr>
        <w:spacing w:line="360" w:lineRule="auto"/>
        <w:ind w:firstLine="480" w:firstLineChars="200"/>
        <w:rPr>
          <w:rFonts w:hAnsi="宋体"/>
          <w:color w:val="auto"/>
          <w:highlight w:val="none"/>
        </w:rPr>
      </w:pPr>
      <w:r>
        <w:rPr>
          <w:rFonts w:hint="eastAsia" w:hAnsi="宋体"/>
          <w:color w:val="auto"/>
          <w:highlight w:val="none"/>
        </w:rPr>
        <w:t>3.因任何一方原因导致开发工作延期超过30个工作日的，除该违约方按照上述第1、2款约定承担违约责任外，守约方并有权解除合同。</w:t>
      </w:r>
    </w:p>
    <w:p>
      <w:pPr>
        <w:spacing w:line="360" w:lineRule="auto"/>
        <w:ind w:firstLine="480" w:firstLineChars="200"/>
        <w:rPr>
          <w:rFonts w:hAnsi="宋体"/>
          <w:color w:val="auto"/>
          <w:highlight w:val="none"/>
        </w:rPr>
      </w:pPr>
      <w:r>
        <w:rPr>
          <w:rFonts w:hint="eastAsia" w:hAnsi="宋体"/>
          <w:color w:val="auto"/>
          <w:highlight w:val="none"/>
        </w:rPr>
        <w:t>4.因任何一方原因导致项目失败的，另一方有权解除合同，要求违约方支付本合同开发费总额5%的违约金，并赔偿由此造成的直接损失。</w:t>
      </w:r>
    </w:p>
    <w:p>
      <w:pPr>
        <w:spacing w:line="360" w:lineRule="auto"/>
        <w:ind w:firstLine="480" w:firstLineChars="200"/>
        <w:rPr>
          <w:rFonts w:hAnsi="宋体"/>
          <w:color w:val="auto"/>
          <w:highlight w:val="none"/>
        </w:rPr>
      </w:pPr>
      <w:r>
        <w:rPr>
          <w:rFonts w:hint="eastAsia" w:hAnsi="宋体"/>
          <w:color w:val="auto"/>
          <w:highlight w:val="none"/>
        </w:rPr>
        <w:t>5.本合同签订后，若任何一方无正当理由而终止合同，应向另一方支付本合同开发费总额5%的违约金。</w:t>
      </w:r>
    </w:p>
    <w:p>
      <w:pPr>
        <w:spacing w:line="580" w:lineRule="exact"/>
        <w:rPr>
          <w:color w:val="auto"/>
          <w:highlight w:val="none"/>
        </w:rPr>
      </w:pPr>
      <w:r>
        <w:rPr>
          <w:rFonts w:hint="eastAsia" w:hAnsi="宋体"/>
          <w:b/>
          <w:color w:val="auto"/>
          <w:highlight w:val="none"/>
        </w:rPr>
        <w:t>二十一、其他</w:t>
      </w:r>
    </w:p>
    <w:p>
      <w:pPr>
        <w:spacing w:line="360" w:lineRule="auto"/>
        <w:ind w:left="480" w:leftChars="200"/>
        <w:rPr>
          <w:rFonts w:hAnsi="宋体"/>
          <w:color w:val="auto"/>
          <w:highlight w:val="none"/>
        </w:rPr>
      </w:pPr>
      <w:r>
        <w:rPr>
          <w:rFonts w:hint="eastAsia" w:hAnsi="宋体"/>
          <w:color w:val="auto"/>
          <w:highlight w:val="none"/>
        </w:rPr>
        <w:t>1.本合同的变更必须由双方协商，并以书面形式确定，与本合同具有同等法律效力。</w:t>
      </w:r>
    </w:p>
    <w:p>
      <w:pPr>
        <w:spacing w:line="360" w:lineRule="auto"/>
        <w:ind w:firstLine="480" w:firstLineChars="200"/>
        <w:rPr>
          <w:rFonts w:hAnsi="宋体"/>
          <w:color w:val="auto"/>
          <w:highlight w:val="none"/>
        </w:rPr>
      </w:pPr>
      <w:r>
        <w:rPr>
          <w:rFonts w:hint="eastAsia" w:hAnsi="宋体"/>
          <w:color w:val="auto"/>
          <w:highlight w:val="none"/>
        </w:rPr>
        <w:t>2.本合同免费维护服务期满后为有偿服务期，若采购人仍需供应商提供维护服务，则另行确认维护费用。</w:t>
      </w:r>
    </w:p>
    <w:p>
      <w:pPr>
        <w:spacing w:line="580" w:lineRule="exact"/>
        <w:rPr>
          <w:rFonts w:hAnsi="宋体"/>
          <w:b/>
          <w:color w:val="auto"/>
          <w:highlight w:val="none"/>
        </w:rPr>
      </w:pPr>
      <w:r>
        <w:rPr>
          <w:rFonts w:hint="eastAsia" w:hAnsi="宋体"/>
          <w:b/>
          <w:color w:val="auto"/>
          <w:highlight w:val="none"/>
        </w:rPr>
        <w:t>二十二、合同订立</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1. 订立时间：</w:t>
      </w:r>
      <w:r>
        <w:rPr>
          <w:rFonts w:hint="eastAsia" w:hAnsi="宋体"/>
          <w:color w:val="auto"/>
          <w:highlight w:val="none"/>
          <w:u w:val="single"/>
        </w:rPr>
        <w:t xml:space="preserve">          </w:t>
      </w:r>
      <w:r>
        <w:rPr>
          <w:rFonts w:hint="eastAsia" w:hAnsi="宋体"/>
          <w:color w:val="auto"/>
          <w:highlight w:val="none"/>
        </w:rPr>
        <w:t>年</w:t>
      </w:r>
      <w:r>
        <w:rPr>
          <w:rFonts w:hint="eastAsia" w:hAnsi="宋体"/>
          <w:color w:val="auto"/>
          <w:highlight w:val="none"/>
          <w:u w:val="single"/>
        </w:rPr>
        <w:t xml:space="preserve">       </w:t>
      </w:r>
      <w:r>
        <w:rPr>
          <w:rFonts w:hint="eastAsia" w:hAnsi="宋体"/>
          <w:color w:val="auto"/>
          <w:highlight w:val="none"/>
        </w:rPr>
        <w:t>月</w:t>
      </w:r>
      <w:r>
        <w:rPr>
          <w:rFonts w:hint="eastAsia" w:hAnsi="宋体"/>
          <w:color w:val="auto"/>
          <w:highlight w:val="none"/>
          <w:u w:val="single"/>
        </w:rPr>
        <w:t xml:space="preserve">      </w:t>
      </w:r>
      <w:r>
        <w:rPr>
          <w:rFonts w:hint="eastAsia" w:hAnsi="宋体"/>
          <w:color w:val="auto"/>
          <w:highlight w:val="none"/>
        </w:rPr>
        <w:t>日。</w:t>
      </w:r>
    </w:p>
    <w:p>
      <w:pPr>
        <w:adjustRightInd w:val="0"/>
        <w:snapToGrid w:val="0"/>
        <w:spacing w:line="580" w:lineRule="exact"/>
        <w:ind w:firstLine="475" w:firstLineChars="198"/>
        <w:rPr>
          <w:rFonts w:hAnsi="宋体"/>
          <w:color w:val="auto"/>
          <w:highlight w:val="none"/>
        </w:rPr>
      </w:pPr>
      <w:r>
        <w:rPr>
          <w:rFonts w:hint="eastAsia" w:hAnsi="宋体"/>
          <w:color w:val="auto"/>
          <w:highlight w:val="none"/>
        </w:rPr>
        <w:t>2. 订立地点：</w:t>
      </w:r>
      <w:r>
        <w:rPr>
          <w:rFonts w:hint="eastAsia" w:hAnsi="宋体"/>
          <w:color w:val="auto"/>
          <w:highlight w:val="none"/>
          <w:u w:val="single"/>
        </w:rPr>
        <w:t xml:space="preserve">                                 </w:t>
      </w:r>
      <w:r>
        <w:rPr>
          <w:rFonts w:hint="eastAsia" w:hAnsi="宋体"/>
          <w:color w:val="auto"/>
          <w:highlight w:val="none"/>
        </w:rPr>
        <w:t>。</w:t>
      </w:r>
    </w:p>
    <w:p>
      <w:pPr>
        <w:tabs>
          <w:tab w:val="left" w:pos="980"/>
        </w:tabs>
        <w:kinsoku w:val="0"/>
        <w:spacing w:line="580" w:lineRule="exact"/>
        <w:ind w:firstLine="480" w:firstLineChars="200"/>
        <w:rPr>
          <w:rFonts w:hAnsi="宋体"/>
          <w:color w:val="auto"/>
          <w:highlight w:val="none"/>
        </w:rPr>
      </w:pPr>
      <w:r>
        <w:rPr>
          <w:rFonts w:hint="eastAsia" w:hAnsi="宋体"/>
          <w:color w:val="auto"/>
          <w:highlight w:val="none"/>
        </w:rPr>
        <w:t xml:space="preserve">3. </w:t>
      </w:r>
      <w:r>
        <w:rPr>
          <w:rFonts w:hint="eastAsia" w:hAnsi="宋体"/>
          <w:color w:val="auto"/>
          <w:szCs w:val="24"/>
          <w:highlight w:val="none"/>
        </w:rPr>
        <w:t>本合同一式</w:t>
      </w:r>
      <w:r>
        <w:rPr>
          <w:rFonts w:hint="eastAsia" w:hAnsi="宋体"/>
          <w:color w:val="auto"/>
          <w:szCs w:val="24"/>
          <w:highlight w:val="none"/>
          <w:u w:val="single"/>
        </w:rPr>
        <w:t>捌</w:t>
      </w:r>
      <w:r>
        <w:rPr>
          <w:rFonts w:hint="eastAsia" w:hAnsi="宋体"/>
          <w:color w:val="auto"/>
          <w:szCs w:val="24"/>
          <w:highlight w:val="none"/>
        </w:rPr>
        <w:t>份，其中，合同</w:t>
      </w:r>
      <w:r>
        <w:rPr>
          <w:rFonts w:hint="eastAsia" w:hAnsi="宋体"/>
          <w:color w:val="auto"/>
          <w:szCs w:val="24"/>
          <w:highlight w:val="none"/>
          <w:u w:val="single"/>
        </w:rPr>
        <w:t>正本一式贰份</w:t>
      </w:r>
      <w:r>
        <w:rPr>
          <w:rFonts w:hint="eastAsia" w:hAnsi="宋体"/>
          <w:color w:val="auto"/>
          <w:szCs w:val="24"/>
          <w:highlight w:val="none"/>
        </w:rPr>
        <w:t>，</w:t>
      </w:r>
      <w:r>
        <w:rPr>
          <w:rFonts w:hint="eastAsia" w:hAnsi="宋体"/>
          <w:color w:val="auto"/>
          <w:szCs w:val="24"/>
          <w:highlight w:val="none"/>
          <w:u w:val="single"/>
        </w:rPr>
        <w:t>副本一式陆份</w:t>
      </w:r>
      <w:r>
        <w:rPr>
          <w:rFonts w:hint="eastAsia" w:hAnsi="宋体"/>
          <w:color w:val="auto"/>
          <w:szCs w:val="24"/>
          <w:highlight w:val="none"/>
        </w:rPr>
        <w:t>，具有同等法律效力，正副本不一致，以正本为准。采供双方各执</w:t>
      </w:r>
      <w:r>
        <w:rPr>
          <w:rFonts w:hint="eastAsia" w:hAnsi="宋体"/>
          <w:color w:val="auto"/>
          <w:szCs w:val="24"/>
          <w:highlight w:val="none"/>
          <w:u w:val="single"/>
        </w:rPr>
        <w:t>正本壹份副本贰份</w:t>
      </w:r>
      <w:r>
        <w:rPr>
          <w:rFonts w:hint="eastAsia" w:hAnsi="宋体"/>
          <w:color w:val="auto"/>
          <w:szCs w:val="24"/>
          <w:highlight w:val="none"/>
        </w:rPr>
        <w:t>，监管部门备案</w:t>
      </w:r>
      <w:r>
        <w:rPr>
          <w:rFonts w:hint="eastAsia" w:hAnsi="宋体"/>
          <w:color w:val="auto"/>
          <w:szCs w:val="24"/>
          <w:highlight w:val="none"/>
          <w:u w:val="single"/>
        </w:rPr>
        <w:t>副本壹份</w:t>
      </w:r>
      <w:r>
        <w:rPr>
          <w:rFonts w:hint="eastAsia" w:hAnsi="宋体"/>
          <w:color w:val="auto"/>
          <w:szCs w:val="24"/>
          <w:highlight w:val="none"/>
        </w:rPr>
        <w:t>、采购代理机构存档</w:t>
      </w:r>
      <w:r>
        <w:rPr>
          <w:rFonts w:hint="eastAsia" w:hAnsi="宋体"/>
          <w:color w:val="auto"/>
          <w:szCs w:val="24"/>
          <w:highlight w:val="none"/>
          <w:u w:val="single"/>
        </w:rPr>
        <w:t>副本壹份</w:t>
      </w:r>
      <w:r>
        <w:rPr>
          <w:rFonts w:hint="eastAsia" w:hAnsi="宋体"/>
          <w:color w:val="auto"/>
          <w:szCs w:val="24"/>
          <w:highlight w:val="none"/>
        </w:rPr>
        <w:t>。各方签字盖章后生效，合同执行完毕自动失效。（合同的服务承诺则长期有效）。</w:t>
      </w:r>
    </w:p>
    <w:p>
      <w:pPr>
        <w:adjustRightInd w:val="0"/>
        <w:snapToGrid w:val="0"/>
        <w:spacing w:line="580" w:lineRule="exact"/>
        <w:ind w:firstLine="480" w:firstLineChars="200"/>
        <w:rPr>
          <w:rFonts w:hAnsi="宋体"/>
          <w:color w:val="auto"/>
          <w:highlight w:val="none"/>
        </w:rPr>
      </w:pPr>
    </w:p>
    <w:p>
      <w:pPr>
        <w:adjustRightInd w:val="0"/>
        <w:snapToGrid w:val="0"/>
        <w:spacing w:line="580" w:lineRule="exact"/>
        <w:ind w:firstLine="480" w:firstLineChars="200"/>
        <w:rPr>
          <w:rFonts w:hAnsi="宋体"/>
          <w:color w:val="auto"/>
          <w:highlight w:val="none"/>
        </w:rPr>
      </w:pPr>
      <w:r>
        <w:rPr>
          <w:rFonts w:hint="eastAsia" w:hAnsi="宋体"/>
          <w:color w:val="auto"/>
          <w:highlight w:val="none"/>
        </w:rPr>
        <w:t>采购人：</w:t>
      </w:r>
      <w:r>
        <w:rPr>
          <w:rFonts w:hint="eastAsia" w:hAnsi="宋体"/>
          <w:color w:val="auto"/>
          <w:highlight w:val="none"/>
          <w:u w:val="single"/>
        </w:rPr>
        <w:t xml:space="preserve">  （盖章）    </w:t>
      </w:r>
      <w:r>
        <w:rPr>
          <w:rFonts w:hAnsi="宋体"/>
          <w:color w:val="auto"/>
          <w:highlight w:val="none"/>
          <w:u w:val="single"/>
        </w:rPr>
        <w:t xml:space="preserve">     </w:t>
      </w:r>
      <w:r>
        <w:rPr>
          <w:rFonts w:hint="eastAsia" w:hAnsi="宋体"/>
          <w:color w:val="auto"/>
          <w:highlight w:val="none"/>
          <w:u w:val="single"/>
        </w:rPr>
        <w:t xml:space="preserve"> </w:t>
      </w:r>
      <w:r>
        <w:rPr>
          <w:rFonts w:hint="eastAsia" w:hAnsi="宋体"/>
          <w:color w:val="auto"/>
          <w:highlight w:val="none"/>
        </w:rPr>
        <w:t xml:space="preserve">       供应商：</w:t>
      </w:r>
      <w:r>
        <w:rPr>
          <w:rFonts w:hint="eastAsia" w:hAnsi="宋体"/>
          <w:color w:val="auto"/>
          <w:highlight w:val="none"/>
          <w:u w:val="single"/>
        </w:rPr>
        <w:t xml:space="preserve">  （盖章）    </w:t>
      </w:r>
      <w:r>
        <w:rPr>
          <w:rFonts w:hAnsi="宋体"/>
          <w:color w:val="auto"/>
          <w:highlight w:val="none"/>
          <w:u w:val="single"/>
        </w:rPr>
        <w:t xml:space="preserve">       </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 xml:space="preserve">地址： </w:t>
      </w:r>
      <w:r>
        <w:rPr>
          <w:rFonts w:hint="eastAsia" w:hAnsi="宋体"/>
          <w:color w:val="auto"/>
          <w:highlight w:val="none"/>
          <w:u w:val="single"/>
        </w:rPr>
        <w:t xml:space="preserve">                     </w:t>
      </w:r>
      <w:r>
        <w:rPr>
          <w:rFonts w:hint="eastAsia" w:hAnsi="宋体"/>
          <w:color w:val="auto"/>
          <w:highlight w:val="none"/>
        </w:rPr>
        <w:t xml:space="preserve">       地址： </w:t>
      </w:r>
      <w:r>
        <w:rPr>
          <w:rFonts w:hint="eastAsia" w:hAnsi="宋体"/>
          <w:color w:val="auto"/>
          <w:highlight w:val="none"/>
          <w:u w:val="single"/>
        </w:rPr>
        <w:t xml:space="preserve">                      </w:t>
      </w:r>
    </w:p>
    <w:p>
      <w:pPr>
        <w:adjustRightInd w:val="0"/>
        <w:snapToGrid w:val="0"/>
        <w:spacing w:line="400" w:lineRule="exact"/>
        <w:ind w:firstLine="480" w:firstLineChars="200"/>
        <w:rPr>
          <w:rFonts w:hAnsi="宋体"/>
          <w:color w:val="auto"/>
          <w:highlight w:val="none"/>
        </w:rPr>
      </w:pPr>
      <w:r>
        <w:rPr>
          <w:rFonts w:hint="eastAsia" w:hAnsi="宋体"/>
          <w:color w:val="auto"/>
          <w:highlight w:val="none"/>
        </w:rPr>
        <w:t>邮政编码：</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u w:val="single"/>
        </w:rPr>
        <w:t xml:space="preserve"> </w:t>
      </w:r>
      <w:r>
        <w:rPr>
          <w:rFonts w:hint="eastAsia" w:hAnsi="宋体"/>
          <w:color w:val="auto"/>
          <w:highlight w:val="none"/>
        </w:rPr>
        <w:t xml:space="preserve">       邮政编码：</w:t>
      </w:r>
      <w:r>
        <w:rPr>
          <w:rFonts w:hint="eastAsia" w:hAnsi="宋体"/>
          <w:color w:val="auto"/>
          <w:highlight w:val="none"/>
          <w:u w:val="single"/>
        </w:rPr>
        <w:t xml:space="preserve">                  </w:t>
      </w:r>
      <w:r>
        <w:rPr>
          <w:rFonts w:hAnsi="宋体"/>
          <w:color w:val="auto"/>
          <w:highlight w:val="none"/>
          <w:u w:val="single"/>
        </w:rPr>
        <w:t xml:space="preserve"> </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法定代表人或负责人或其授权                 法定代表人或负责人或其授权</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的代理人：</w:t>
      </w:r>
      <w:r>
        <w:rPr>
          <w:rFonts w:hint="eastAsia" w:hAnsi="宋体"/>
          <w:color w:val="auto"/>
          <w:highlight w:val="none"/>
          <w:u w:val="single"/>
        </w:rPr>
        <w:t xml:space="preserve">（签字）  </w:t>
      </w:r>
      <w:r>
        <w:rPr>
          <w:rFonts w:hAnsi="宋体"/>
          <w:color w:val="auto"/>
          <w:highlight w:val="none"/>
          <w:u w:val="single"/>
        </w:rPr>
        <w:t xml:space="preserve">     </w:t>
      </w:r>
      <w:r>
        <w:rPr>
          <w:rFonts w:hint="eastAsia" w:hAnsi="宋体"/>
          <w:color w:val="auto"/>
          <w:highlight w:val="none"/>
          <w:u w:val="single"/>
        </w:rPr>
        <w:t xml:space="preserve">   </w:t>
      </w:r>
      <w:r>
        <w:rPr>
          <w:rFonts w:hint="eastAsia" w:hAnsi="宋体"/>
          <w:color w:val="auto"/>
          <w:highlight w:val="none"/>
        </w:rPr>
        <w:t xml:space="preserve">     </w:t>
      </w:r>
      <w:r>
        <w:rPr>
          <w:rFonts w:hAnsi="宋体"/>
          <w:color w:val="auto"/>
          <w:highlight w:val="none"/>
        </w:rPr>
        <w:t xml:space="preserve"> </w:t>
      </w:r>
      <w:r>
        <w:rPr>
          <w:rFonts w:hint="eastAsia" w:hAnsi="宋体"/>
          <w:color w:val="auto"/>
          <w:highlight w:val="none"/>
        </w:rPr>
        <w:t xml:space="preserve"> 的代理人：</w:t>
      </w:r>
      <w:r>
        <w:rPr>
          <w:rFonts w:hint="eastAsia" w:hAnsi="宋体"/>
          <w:color w:val="auto"/>
          <w:highlight w:val="none"/>
          <w:u w:val="single"/>
        </w:rPr>
        <w:t xml:space="preserve">（签字）   </w:t>
      </w:r>
      <w:r>
        <w:rPr>
          <w:rFonts w:hAnsi="宋体"/>
          <w:color w:val="auto"/>
          <w:highlight w:val="none"/>
          <w:u w:val="single"/>
        </w:rPr>
        <w:t xml:space="preserve"> </w:t>
      </w:r>
      <w:r>
        <w:rPr>
          <w:rFonts w:hint="eastAsia" w:hAnsi="宋体"/>
          <w:color w:val="auto"/>
          <w:highlight w:val="none"/>
          <w:u w:val="single"/>
        </w:rPr>
        <w:t xml:space="preserve"> </w:t>
      </w:r>
      <w:r>
        <w:rPr>
          <w:rFonts w:hAnsi="宋体"/>
          <w:color w:val="auto"/>
          <w:highlight w:val="none"/>
          <w:u w:val="single"/>
        </w:rPr>
        <w:t xml:space="preserve">      </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开户银行：</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u w:val="single"/>
        </w:rPr>
        <w:t xml:space="preserve">  </w:t>
      </w:r>
      <w:r>
        <w:rPr>
          <w:rFonts w:hint="eastAsia" w:hAnsi="宋体"/>
          <w:color w:val="auto"/>
          <w:highlight w:val="none"/>
        </w:rPr>
        <w:t xml:space="preserve">       开户银行：</w:t>
      </w:r>
      <w:r>
        <w:rPr>
          <w:rFonts w:hint="eastAsia" w:hAnsi="宋体"/>
          <w:color w:val="auto"/>
          <w:highlight w:val="none"/>
          <w:u w:val="single"/>
        </w:rPr>
        <w:t xml:space="preserve">                  </w:t>
      </w:r>
      <w:r>
        <w:rPr>
          <w:rFonts w:hAnsi="宋体"/>
          <w:color w:val="auto"/>
          <w:highlight w:val="none"/>
          <w:u w:val="single"/>
        </w:rPr>
        <w:t xml:space="preserve"> </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账号：</w:t>
      </w:r>
      <w:r>
        <w:rPr>
          <w:rFonts w:hint="eastAsia" w:hAnsi="宋体"/>
          <w:color w:val="auto"/>
          <w:highlight w:val="none"/>
          <w:u w:val="single"/>
        </w:rPr>
        <w:t xml:space="preserve">                      </w:t>
      </w:r>
      <w:r>
        <w:rPr>
          <w:rFonts w:hint="eastAsia" w:hAnsi="宋体"/>
          <w:color w:val="auto"/>
          <w:highlight w:val="none"/>
        </w:rPr>
        <w:t xml:space="preserve">       账号：</w:t>
      </w:r>
      <w:r>
        <w:rPr>
          <w:rFonts w:hint="eastAsia" w:hAnsi="宋体"/>
          <w:color w:val="auto"/>
          <w:highlight w:val="none"/>
          <w:u w:val="single"/>
        </w:rPr>
        <w:t xml:space="preserve">                       </w:t>
      </w:r>
      <w:r>
        <w:rPr>
          <w:rFonts w:hint="eastAsia" w:hAnsi="宋体"/>
          <w:color w:val="auto"/>
          <w:highlight w:val="none"/>
        </w:rPr>
        <w:t xml:space="preserve"> </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电话：</w:t>
      </w:r>
      <w:r>
        <w:rPr>
          <w:rFonts w:hint="eastAsia" w:hAnsi="宋体"/>
          <w:color w:val="auto"/>
          <w:highlight w:val="none"/>
          <w:u w:val="single"/>
        </w:rPr>
        <w:t xml:space="preserve">                      </w:t>
      </w:r>
      <w:r>
        <w:rPr>
          <w:rFonts w:hint="eastAsia" w:hAnsi="宋体"/>
          <w:color w:val="auto"/>
          <w:highlight w:val="none"/>
        </w:rPr>
        <w:t xml:space="preserve">       电话：</w:t>
      </w:r>
      <w:r>
        <w:rPr>
          <w:rFonts w:hint="eastAsia" w:hAnsi="宋体"/>
          <w:color w:val="auto"/>
          <w:highlight w:val="none"/>
          <w:u w:val="single"/>
        </w:rPr>
        <w:t xml:space="preserve">                       </w:t>
      </w:r>
    </w:p>
    <w:p>
      <w:pPr>
        <w:adjustRightInd w:val="0"/>
        <w:snapToGrid w:val="0"/>
        <w:spacing w:line="400" w:lineRule="exact"/>
        <w:ind w:firstLine="475" w:firstLineChars="198"/>
        <w:rPr>
          <w:rFonts w:hAnsi="宋体"/>
          <w:color w:val="auto"/>
          <w:highlight w:val="none"/>
        </w:rPr>
      </w:pPr>
      <w:r>
        <w:rPr>
          <w:rFonts w:hint="eastAsia" w:hAnsi="宋体"/>
          <w:color w:val="auto"/>
          <w:highlight w:val="none"/>
        </w:rPr>
        <w:t>传真：</w:t>
      </w:r>
      <w:r>
        <w:rPr>
          <w:rFonts w:hint="eastAsia" w:hAnsi="宋体"/>
          <w:color w:val="auto"/>
          <w:highlight w:val="none"/>
          <w:u w:val="single"/>
        </w:rPr>
        <w:t xml:space="preserve">                      </w:t>
      </w:r>
      <w:r>
        <w:rPr>
          <w:rFonts w:hint="eastAsia" w:hAnsi="宋体"/>
          <w:color w:val="auto"/>
          <w:highlight w:val="none"/>
        </w:rPr>
        <w:t xml:space="preserve">       传真：</w:t>
      </w:r>
      <w:r>
        <w:rPr>
          <w:rFonts w:hint="eastAsia" w:hAnsi="宋体"/>
          <w:color w:val="auto"/>
          <w:highlight w:val="none"/>
          <w:u w:val="single"/>
        </w:rPr>
        <w:t xml:space="preserve">                       </w:t>
      </w:r>
    </w:p>
    <w:p>
      <w:pPr>
        <w:adjustRightInd w:val="0"/>
        <w:snapToGrid w:val="0"/>
        <w:spacing w:line="400" w:lineRule="exact"/>
        <w:ind w:firstLine="480" w:firstLineChars="200"/>
        <w:rPr>
          <w:rFonts w:hAnsi="宋体"/>
          <w:color w:val="auto"/>
          <w:highlight w:val="none"/>
          <w:u w:val="single"/>
        </w:rPr>
      </w:pPr>
      <w:r>
        <w:rPr>
          <w:rFonts w:hint="eastAsia" w:hAnsi="宋体"/>
          <w:color w:val="auto"/>
          <w:highlight w:val="none"/>
        </w:rPr>
        <w:t>电子邮箱：</w:t>
      </w:r>
      <w:r>
        <w:rPr>
          <w:rFonts w:hint="eastAsia" w:hAnsi="宋体"/>
          <w:color w:val="auto"/>
          <w:highlight w:val="none"/>
          <w:u w:val="single"/>
        </w:rPr>
        <w:t xml:space="preserve">                 </w:t>
      </w:r>
      <w:r>
        <w:rPr>
          <w:rFonts w:hAnsi="宋体"/>
          <w:color w:val="auto"/>
          <w:highlight w:val="none"/>
          <w:u w:val="single"/>
        </w:rPr>
        <w:t xml:space="preserve"> </w:t>
      </w:r>
      <w:r>
        <w:rPr>
          <w:rFonts w:hint="eastAsia" w:hAnsi="宋体"/>
          <w:color w:val="auto"/>
          <w:highlight w:val="none"/>
        </w:rPr>
        <w:t xml:space="preserve">       电子邮箱：</w:t>
      </w:r>
      <w:r>
        <w:rPr>
          <w:rFonts w:hint="eastAsia" w:hAnsi="宋体"/>
          <w:color w:val="auto"/>
          <w:highlight w:val="none"/>
          <w:u w:val="single"/>
        </w:rPr>
        <w:t xml:space="preserve">        </w:t>
      </w:r>
      <w:r>
        <w:rPr>
          <w:rFonts w:hAnsi="宋体"/>
          <w:color w:val="auto"/>
          <w:highlight w:val="none"/>
          <w:u w:val="single"/>
        </w:rPr>
        <w:t xml:space="preserve">           </w:t>
      </w:r>
    </w:p>
    <w:p>
      <w:pPr>
        <w:rPr>
          <w:rFonts w:hAnsi="宋体" w:cs="宋体"/>
          <w:b/>
          <w:color w:val="auto"/>
          <w:szCs w:val="21"/>
          <w:highlight w:val="none"/>
        </w:rPr>
      </w:pPr>
      <w:bookmarkStart w:id="76" w:name="_Toc8333"/>
      <w:bookmarkStart w:id="77" w:name="_Toc20230"/>
      <w:bookmarkStart w:id="78" w:name="_Toc19246"/>
      <w:bookmarkStart w:id="79" w:name="_Toc426457696"/>
      <w:bookmarkStart w:id="80" w:name="_Toc29888"/>
      <w:bookmarkStart w:id="81" w:name="_Toc31520"/>
      <w:bookmarkStart w:id="82" w:name="_Toc389582037"/>
      <w:bookmarkStart w:id="83" w:name="_Toc31683"/>
      <w:bookmarkStart w:id="84" w:name="_Toc26595"/>
      <w:bookmarkStart w:id="85" w:name="_Toc9053"/>
      <w:bookmarkStart w:id="86" w:name="_Toc8954"/>
      <w:bookmarkStart w:id="87" w:name="_Toc19199"/>
      <w:r>
        <w:rPr>
          <w:rFonts w:hint="eastAsia" w:hAnsi="宋体" w:cs="宋体"/>
          <w:b/>
          <w:color w:val="auto"/>
          <w:szCs w:val="21"/>
          <w:highlight w:val="none"/>
        </w:rPr>
        <w:br w:type="page"/>
      </w:r>
    </w:p>
    <w:p>
      <w:pPr>
        <w:tabs>
          <w:tab w:val="left" w:pos="675"/>
        </w:tabs>
        <w:spacing w:line="360" w:lineRule="auto"/>
        <w:rPr>
          <w:rFonts w:hAnsi="宋体" w:cs="宋体"/>
          <w:b/>
          <w:color w:val="auto"/>
          <w:szCs w:val="21"/>
          <w:highlight w:val="none"/>
        </w:rPr>
      </w:pPr>
      <w:r>
        <w:rPr>
          <w:rFonts w:hint="eastAsia" w:hAnsi="宋体" w:cs="宋体"/>
          <w:b/>
          <w:color w:val="auto"/>
          <w:szCs w:val="21"/>
          <w:highlight w:val="none"/>
        </w:rPr>
        <w:t>附件</w:t>
      </w:r>
    </w:p>
    <w:p>
      <w:pPr>
        <w:tabs>
          <w:tab w:val="left" w:pos="675"/>
        </w:tabs>
        <w:spacing w:line="360" w:lineRule="auto"/>
        <w:jc w:val="center"/>
        <w:rPr>
          <w:rFonts w:hAnsi="宋体" w:cs="宋体"/>
          <w:b/>
          <w:color w:val="auto"/>
          <w:szCs w:val="21"/>
          <w:highlight w:val="none"/>
        </w:rPr>
      </w:pPr>
    </w:p>
    <w:p>
      <w:pPr>
        <w:tabs>
          <w:tab w:val="left" w:pos="675"/>
        </w:tabs>
        <w:spacing w:line="360" w:lineRule="auto"/>
        <w:jc w:val="center"/>
        <w:rPr>
          <w:rFonts w:hAnsi="宋体" w:cs="宋体"/>
          <w:b/>
          <w:color w:val="auto"/>
          <w:szCs w:val="21"/>
          <w:highlight w:val="none"/>
        </w:rPr>
      </w:pPr>
      <w:r>
        <w:rPr>
          <w:rFonts w:hint="eastAsia" w:hAnsi="宋体" w:cs="宋体"/>
          <w:b/>
          <w:color w:val="auto"/>
          <w:szCs w:val="21"/>
          <w:highlight w:val="none"/>
          <w:u w:val="single"/>
        </w:rPr>
        <w:t>（项目名称）</w:t>
      </w:r>
      <w:r>
        <w:rPr>
          <w:rFonts w:hint="eastAsia" w:hAnsi="宋体" w:cs="宋体"/>
          <w:b/>
          <w:color w:val="auto"/>
          <w:szCs w:val="21"/>
          <w:highlight w:val="none"/>
        </w:rPr>
        <w:t>配置清单</w:t>
      </w:r>
    </w:p>
    <w:p>
      <w:pPr>
        <w:tabs>
          <w:tab w:val="left" w:pos="675"/>
        </w:tabs>
        <w:spacing w:line="360" w:lineRule="auto"/>
        <w:jc w:val="center"/>
        <w:rPr>
          <w:rFonts w:hAnsi="宋体" w:cs="宋体"/>
          <w:b/>
          <w:color w:val="auto"/>
          <w:szCs w:val="21"/>
          <w:highlight w:val="none"/>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5"/>
        <w:gridCol w:w="2631"/>
        <w:gridCol w:w="1710"/>
        <w:gridCol w:w="1418"/>
        <w:gridCol w:w="1134"/>
        <w:gridCol w:w="13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Ansi="宋体" w:cs="宋体"/>
                <w:color w:val="auto"/>
                <w:szCs w:val="21"/>
                <w:highlight w:val="none"/>
              </w:rPr>
            </w:pPr>
            <w:r>
              <w:rPr>
                <w:rFonts w:hint="eastAsia" w:hAnsi="宋体" w:cs="宋体"/>
                <w:color w:val="auto"/>
                <w:szCs w:val="21"/>
                <w:highlight w:val="none"/>
              </w:rPr>
              <w:t>序号</w:t>
            </w:r>
          </w:p>
        </w:tc>
        <w:tc>
          <w:tcPr>
            <w:tcW w:w="2631"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Ansi="宋体" w:cs="宋体"/>
                <w:color w:val="auto"/>
                <w:szCs w:val="21"/>
                <w:highlight w:val="none"/>
              </w:rPr>
            </w:pPr>
            <w:r>
              <w:rPr>
                <w:rFonts w:hint="eastAsia" w:hAnsi="宋体" w:cs="宋体"/>
                <w:color w:val="auto"/>
                <w:szCs w:val="21"/>
                <w:highlight w:val="none"/>
              </w:rPr>
              <w:t>货物名称</w:t>
            </w:r>
          </w:p>
        </w:tc>
        <w:tc>
          <w:tcPr>
            <w:tcW w:w="1710"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Ansi="宋体" w:cs="宋体"/>
                <w:color w:val="auto"/>
                <w:szCs w:val="21"/>
                <w:highlight w:val="none"/>
              </w:rPr>
            </w:pPr>
            <w:r>
              <w:rPr>
                <w:rFonts w:hint="eastAsia" w:hAnsi="宋体" w:cs="宋体"/>
                <w:color w:val="auto"/>
                <w:szCs w:val="21"/>
                <w:highlight w:val="none"/>
              </w:rPr>
              <w:t>规格参数</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Ansi="宋体" w:cs="宋体"/>
                <w:color w:val="auto"/>
                <w:szCs w:val="21"/>
                <w:highlight w:val="none"/>
              </w:rPr>
            </w:pPr>
            <w:r>
              <w:rPr>
                <w:rFonts w:hint="eastAsia" w:hAnsi="宋体" w:cs="宋体"/>
                <w:color w:val="auto"/>
                <w:szCs w:val="21"/>
                <w:highlight w:val="none"/>
              </w:rPr>
              <w:t>数量</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Ansi="宋体" w:cs="宋体"/>
                <w:color w:val="auto"/>
                <w:szCs w:val="21"/>
                <w:highlight w:val="none"/>
              </w:rPr>
            </w:pPr>
            <w:r>
              <w:rPr>
                <w:rFonts w:hint="eastAsia" w:hAnsi="宋体" w:cs="宋体"/>
                <w:color w:val="auto"/>
                <w:szCs w:val="21"/>
                <w:highlight w:val="none"/>
              </w:rPr>
              <w:t>产地</w:t>
            </w:r>
          </w:p>
        </w:tc>
        <w:tc>
          <w:tcPr>
            <w:tcW w:w="1347" w:type="dxa"/>
            <w:tcBorders>
              <w:top w:val="single" w:color="auto" w:sz="4" w:space="0"/>
              <w:left w:val="single" w:color="auto" w:sz="4" w:space="0"/>
              <w:bottom w:val="single" w:color="auto" w:sz="4" w:space="0"/>
              <w:right w:val="single" w:color="auto" w:sz="4" w:space="0"/>
            </w:tcBorders>
            <w:noWrap w:val="0"/>
            <w:vAlign w:val="center"/>
          </w:tcPr>
          <w:p>
            <w:pPr>
              <w:tabs>
                <w:tab w:val="left" w:pos="480"/>
              </w:tabs>
              <w:spacing w:line="360" w:lineRule="auto"/>
              <w:jc w:val="center"/>
              <w:rPr>
                <w:rFonts w:hAnsi="宋体" w:cs="宋体"/>
                <w:color w:val="auto"/>
                <w:szCs w:val="21"/>
                <w:highlight w:val="none"/>
              </w:rPr>
            </w:pPr>
            <w:r>
              <w:rPr>
                <w:rFonts w:hint="eastAsia" w:hAnsi="宋体" w:cs="宋体"/>
                <w:color w:val="auto"/>
                <w:szCs w:val="21"/>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9</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10</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11</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12</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13</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14</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15</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16</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17</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95"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r>
              <w:rPr>
                <w:rFonts w:hint="eastAsia" w:hAnsi="宋体" w:cs="宋体"/>
                <w:color w:val="auto"/>
                <w:szCs w:val="21"/>
                <w:highlight w:val="none"/>
              </w:rPr>
              <w:t>18</w:t>
            </w:r>
          </w:p>
        </w:tc>
        <w:tc>
          <w:tcPr>
            <w:tcW w:w="2631"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710"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418" w:type="dxa"/>
            <w:tcBorders>
              <w:top w:val="single" w:color="auto" w:sz="4" w:space="0"/>
              <w:left w:val="single" w:color="auto" w:sz="4" w:space="0"/>
              <w:bottom w:val="single" w:color="auto" w:sz="4" w:space="0"/>
              <w:right w:val="single" w:color="auto" w:sz="4" w:space="0"/>
            </w:tcBorders>
            <w:noWrap w:val="0"/>
            <w:vAlign w:val="bottom"/>
          </w:tcPr>
          <w:p>
            <w:pPr>
              <w:spacing w:line="360" w:lineRule="auto"/>
              <w:jc w:val="center"/>
              <w:rPr>
                <w:rFonts w:hAnsi="宋体" w:cs="宋体"/>
                <w:color w:val="auto"/>
                <w:szCs w:val="21"/>
                <w:highlight w:val="none"/>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Ansi="宋体" w:cs="宋体"/>
                <w:color w:val="auto"/>
                <w:szCs w:val="21"/>
                <w:highlight w:val="none"/>
              </w:rPr>
            </w:pPr>
          </w:p>
        </w:tc>
        <w:tc>
          <w:tcPr>
            <w:tcW w:w="1347" w:type="dxa"/>
            <w:tcBorders>
              <w:top w:val="single" w:color="auto" w:sz="4" w:space="0"/>
              <w:left w:val="single" w:color="auto" w:sz="4" w:space="0"/>
              <w:bottom w:val="single" w:color="auto" w:sz="4" w:space="0"/>
              <w:right w:val="single" w:color="auto" w:sz="4" w:space="0"/>
            </w:tcBorders>
            <w:noWrap w:val="0"/>
            <w:vAlign w:val="top"/>
          </w:tcPr>
          <w:p>
            <w:pPr>
              <w:tabs>
                <w:tab w:val="left" w:pos="480"/>
              </w:tabs>
              <w:spacing w:line="360" w:lineRule="auto"/>
              <w:jc w:val="center"/>
              <w:rPr>
                <w:rFonts w:hAnsi="宋体" w:cs="宋体"/>
                <w:color w:val="auto"/>
                <w:szCs w:val="21"/>
                <w:highlight w:val="none"/>
              </w:rPr>
            </w:pPr>
          </w:p>
        </w:tc>
      </w:tr>
    </w:tbl>
    <w:p>
      <w:pPr>
        <w:pStyle w:val="2"/>
        <w:rPr>
          <w:color w:val="auto"/>
          <w:highlight w:val="none"/>
        </w:rPr>
        <w:sectPr>
          <w:headerReference r:id="rId11" w:type="first"/>
          <w:footerReference r:id="rId13" w:type="first"/>
          <w:footerReference r:id="rId12" w:type="default"/>
          <w:pgSz w:w="11906" w:h="16838"/>
          <w:pgMar w:top="1417" w:right="1134" w:bottom="1417" w:left="1417" w:header="1134" w:footer="992" w:gutter="0"/>
          <w:cols w:space="720" w:num="1"/>
          <w:docGrid w:type="lines" w:linePitch="333" w:charSpace="0"/>
        </w:sectPr>
      </w:pPr>
    </w:p>
    <w:bookmarkEnd w:id="76"/>
    <w:bookmarkEnd w:id="77"/>
    <w:bookmarkEnd w:id="78"/>
    <w:bookmarkEnd w:id="79"/>
    <w:bookmarkEnd w:id="80"/>
    <w:bookmarkEnd w:id="81"/>
    <w:bookmarkEnd w:id="82"/>
    <w:bookmarkEnd w:id="83"/>
    <w:bookmarkEnd w:id="84"/>
    <w:bookmarkEnd w:id="85"/>
    <w:bookmarkEnd w:id="86"/>
    <w:bookmarkEnd w:id="87"/>
    <w:p>
      <w:pPr>
        <w:pStyle w:val="3"/>
        <w:numPr>
          <w:ilvl w:val="0"/>
          <w:numId w:val="0"/>
        </w:numPr>
        <w:jc w:val="center"/>
        <w:rPr>
          <w:rFonts w:hint="eastAsia" w:ascii="宋体" w:hAnsi="宋体" w:eastAsia="宋体" w:cs="宋体"/>
          <w:color w:val="auto"/>
          <w:sz w:val="36"/>
          <w:szCs w:val="36"/>
          <w:highlight w:val="none"/>
        </w:rPr>
      </w:pPr>
      <w:bookmarkStart w:id="88" w:name="_Toc1833"/>
      <w:r>
        <w:rPr>
          <w:rFonts w:hint="eastAsia" w:ascii="宋体" w:eastAsia="宋体" w:cs="宋体"/>
          <w:color w:val="auto"/>
          <w:sz w:val="36"/>
          <w:szCs w:val="36"/>
          <w:highlight w:val="none"/>
          <w:lang w:eastAsia="zh-CN"/>
        </w:rPr>
        <w:t>第四章</w:t>
      </w:r>
      <w:r>
        <w:rPr>
          <w:rFonts w:hint="eastAsia" w:ascii="宋体" w:eastAsia="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采购内容及技术要求</w:t>
      </w:r>
      <w:bookmarkEnd w:id="88"/>
    </w:p>
    <w:bookmarkEnd w:id="61"/>
    <w:tbl>
      <w:tblPr>
        <w:tblStyle w:val="19"/>
        <w:tblW w:w="499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64"/>
        <w:gridCol w:w="2492"/>
        <w:gridCol w:w="9475"/>
        <w:gridCol w:w="12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jc w:val="center"/>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bookmarkStart w:id="89" w:name="_Toc2203"/>
            <w:bookmarkStart w:id="90" w:name="_Toc25607"/>
            <w:bookmarkStart w:id="91" w:name="_Toc426457697"/>
            <w:bookmarkStart w:id="92" w:name="_Toc19952"/>
            <w:bookmarkStart w:id="93" w:name="_Toc1462"/>
            <w:r>
              <w:rPr>
                <w:rFonts w:hint="eastAsia" w:ascii="宋体" w:hAnsi="宋体" w:eastAsia="宋体" w:cs="宋体"/>
                <w:i w:val="0"/>
                <w:iCs w:val="0"/>
                <w:color w:val="000000"/>
                <w:kern w:val="0"/>
                <w:sz w:val="24"/>
                <w:szCs w:val="24"/>
                <w:highlight w:val="none"/>
                <w:u w:val="none"/>
                <w:lang w:val="en-US" w:eastAsia="zh-CN" w:bidi="ar"/>
              </w:rPr>
              <w:t>序号</w:t>
            </w:r>
          </w:p>
        </w:tc>
        <w:tc>
          <w:tcPr>
            <w:tcW w:w="8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设备名称</w:t>
            </w:r>
          </w:p>
        </w:tc>
        <w:tc>
          <w:tcPr>
            <w:tcW w:w="3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技术参数</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0" w:hRule="atLeast"/>
          <w:jc w:val="center"/>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c>
          <w:tcPr>
            <w:tcW w:w="8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top"/>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便携式X荧光土壤重金属分析仪</w:t>
            </w:r>
          </w:p>
        </w:tc>
        <w:tc>
          <w:tcPr>
            <w:tcW w:w="3331" w:type="pct"/>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eastAsia" w:ascii="宋体" w:hAnsi="宋体" w:eastAsia="宋体" w:cs="宋体"/>
                <w:i w:val="0"/>
                <w:iCs w:val="0"/>
                <w:color w:val="000000"/>
                <w:sz w:val="24"/>
                <w:szCs w:val="24"/>
                <w:highlight w:val="none"/>
                <w:u w:val="none"/>
              </w:rPr>
            </w:pP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1.测试范围：环境土壤测试模式可测试：Mg、Al、Si、S、P、Pb、Cr、Cu、Zn、As、Ni、Cd、Hg、Mn、Mo、Zr、Sr、U、Rb、Th、Se、Au、W、Co、Fe、V、Ti、Sc、Ca、K、Ba、Cs、Te、Sb、Sn、Pd、Ag等38种元素以上，检出限达到mg/Kg级别；环境废液模式可测试：Pb、Cr、Cu、Zn、 Cd、Mn、Mo等常见污染元素（有废液测试模式）</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2.微电脑系统：工业定制安卓7.0以上系统, CPU: 十核2.5G ,系统内存: ≥64G , 扩展存储最大支持128G, 标配≥16G</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3.防辐射：微型x光管（Ag靶/Rh靶可选）整体化封装，安全性能强，x射线辐射剂量≤0.06μSV/h，配置铅橡胶保护罩应对松散样品和小样品的安全测试</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4.屏幕显示：全新型5寸半透半反式液晶显示触摸屏，其分辨率可达1080*720.屏幕可大角度旋转更好的应对现场测试强光照射下的数据观测</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5.仪器具有360度无死角的辐射指示灯设计，测试具有声光电的同步提醒</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6.准直器和滤光片直径4.0mm和2.0mm准直器，6种滤光片组合自动切换</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7.仪器支持电池热拔插，即不关机可更换电池，同时电池具有剩余电量显示功能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8.具有辐射剂量检测报告且具有省级及以上环境保护主管部门出具的实行辐射豁免管理证明</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9.配置清单</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测定仪主机、防尘防震便携式手提箱及配件（2块9000毫安大容量可充电锂电池、110/220V AC充电器/电源适配器、数据线、专用环境有害元素分析软件、安全系带、仪器保护套、小样品测试辐射安全罩、SD卡机读卡器、车载充电器、屏幕保护膜等）</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8" w:hRule="atLeast"/>
          <w:jc w:val="center"/>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c>
          <w:tcPr>
            <w:tcW w:w="8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现场执法音视频记录设备</w:t>
            </w:r>
          </w:p>
        </w:tc>
        <w:tc>
          <w:tcPr>
            <w:tcW w:w="3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1.安卓系统、4G传输、人脸识别、超长续航；</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2.显示屏：≥2.4英寸TFT LCD，240*320，电容触摸屏；</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3.CPU：8核64位处理器；操作系统：Android 9.0；内存：≥2GB；</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 xml:space="preserve">4.视频输入：主机内置摄像机录像分辨率1920*1080; </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5.拍照：主相机支持3000万像素；</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6.存储容量：内置存储，不可拆卸，存储芯片容量≥32GB；</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7.卫星定位：内置GPS和北斗二代组合定位功能；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8.电池：可拆卸，≥3300mAh ，录像时长9h+；</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2" w:hRule="atLeast"/>
          <w:jc w:val="center"/>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3</w:t>
            </w:r>
          </w:p>
        </w:tc>
        <w:tc>
          <w:tcPr>
            <w:tcW w:w="8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智能采集站</w:t>
            </w:r>
          </w:p>
        </w:tc>
        <w:tc>
          <w:tcPr>
            <w:tcW w:w="3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1.双系统8口智能采集站；接入数量：支持8台执法终端同时接入；</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2.显示屏：≥13.3寸液晶显示屏，分辨率1920*1080；内存：≥2G内存；</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3.系统：嵌入式、安卓双系统设计；</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4.安装方式：默认标配壁挂式支架，可选配桌面式或移动式支架；</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color w:val="000000"/>
                <w:kern w:val="0"/>
                <w:sz w:val="24"/>
                <w:szCs w:val="24"/>
                <w:highlight w:val="none"/>
              </w:rPr>
              <w:t>▲</w:t>
            </w:r>
            <w:r>
              <w:rPr>
                <w:rFonts w:hint="eastAsia" w:ascii="宋体" w:hAnsi="宋体" w:eastAsia="宋体" w:cs="宋体"/>
                <w:i w:val="0"/>
                <w:iCs w:val="0"/>
                <w:color w:val="000000"/>
                <w:kern w:val="0"/>
                <w:sz w:val="24"/>
                <w:szCs w:val="24"/>
                <w:highlight w:val="none"/>
                <w:u w:val="none"/>
                <w:lang w:val="en-US" w:eastAsia="zh-CN" w:bidi="ar"/>
              </w:rPr>
              <w:t>5.存储硬盘：自带 2T 硬盘,可扩展至 6 块硬盘,单盘最大支持 8T，支持 RAID 功能；</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6.指示灯：每个仓位正面有条形3色指示灯，红、绿、蓝</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4</w:t>
            </w:r>
          </w:p>
        </w:tc>
        <w:tc>
          <w:tcPr>
            <w:tcW w:w="8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办案现场卫星视频终端</w:t>
            </w:r>
          </w:p>
        </w:tc>
        <w:tc>
          <w:tcPr>
            <w:tcW w:w="3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运营商：移动，联通，电信。不带卡。</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3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5</w:t>
            </w:r>
          </w:p>
        </w:tc>
        <w:tc>
          <w:tcPr>
            <w:tcW w:w="87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现场视频采集工作站</w:t>
            </w:r>
          </w:p>
        </w:tc>
        <w:tc>
          <w:tcPr>
            <w:tcW w:w="33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1、酷睿i5处理器</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2、内存≥16GB+硬盘512</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3、理论续航时间：5-8小时, 具体时间视使用环境而定</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4、≥14英寸，有摄像头，内置麦克风</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5、配置含鼠标</w:t>
            </w:r>
          </w:p>
        </w:tc>
        <w:tc>
          <w:tcPr>
            <w:tcW w:w="45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6</w:t>
            </w:r>
          </w:p>
        </w:tc>
        <w:tc>
          <w:tcPr>
            <w:tcW w:w="87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lang w:val="en-US"/>
              </w:rPr>
            </w:pPr>
            <w:r>
              <w:rPr>
                <w:rFonts w:hint="eastAsia" w:ascii="宋体" w:hAnsi="宋体" w:eastAsia="宋体" w:cs="宋体"/>
                <w:i w:val="0"/>
                <w:iCs w:val="0"/>
                <w:color w:val="000000"/>
                <w:kern w:val="0"/>
                <w:sz w:val="24"/>
                <w:szCs w:val="24"/>
                <w:highlight w:val="none"/>
                <w:u w:val="none"/>
                <w:lang w:val="en-US" w:eastAsia="zh-CN" w:bidi="ar"/>
              </w:rPr>
              <w:t>办案质量监控</w:t>
            </w: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诉讼监督线索：对办案中诉讼监督线索进行提示提醒，对需要加强监督的事项提醒办案人履行好监督职责。</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0"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8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案件过程质量：对容易出现质量问题的案件类型，特别是对犯罪嫌疑人不认罪认罚的案件以及对挪用资金、职务侵占、信用卡诈骗等刑事、民事交叉类的案件提醒检察官在审查批捕环节要重点审查，对近期因司法解释发生变化的案件提醒检察官重点注意入罪出罪条件的变化，对办案质量进行过程控制，尽最大可能减少错案的发生。</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8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风险防范提示：主要关注两大类事项：一是办案干警容易忽视、法律法规有规定、其他部门特别关注的事项进行提醒；二是对一个时期某一类案件需要特别关注、注意防范各类风险的，提醒办案干警注意此类案件的处理，提高能动司法能力。</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8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案卡填录异常：案卡填录错误提示预警，对案卡填录错误的情形及时推送、提醒检察官进行纠正，部分指标设置重复验证功能、并辅助检察官智能回填，确保案卡填录问题得到及时有效整改。</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9"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7</w:t>
            </w:r>
          </w:p>
        </w:tc>
        <w:tc>
          <w:tcPr>
            <w:tcW w:w="876" w:type="pct"/>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办案质量管理</w:t>
            </w: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指标配置：配置办案质量监控指标及对应处置提示、修改步骤和截图。</w:t>
            </w:r>
            <w:r>
              <w:rPr>
                <w:rFonts w:hint="eastAsia" w:ascii="宋体" w:hAnsi="宋体" w:eastAsia="宋体" w:cs="宋体"/>
                <w:i w:val="0"/>
                <w:iCs w:val="0"/>
                <w:color w:val="000000"/>
                <w:kern w:val="0"/>
                <w:sz w:val="24"/>
                <w:szCs w:val="24"/>
                <w:highlight w:val="none"/>
                <w:u w:val="none"/>
                <w:lang w:val="en-US" w:eastAsia="zh-CN" w:bidi="ar"/>
              </w:rPr>
              <w:br w:type="textWrapping"/>
            </w:r>
            <w:r>
              <w:rPr>
                <w:rFonts w:hint="eastAsia" w:ascii="宋体" w:hAnsi="宋体" w:eastAsia="宋体" w:cs="宋体"/>
                <w:i w:val="0"/>
                <w:iCs w:val="0"/>
                <w:color w:val="000000"/>
                <w:kern w:val="0"/>
                <w:sz w:val="24"/>
                <w:szCs w:val="24"/>
                <w:highlight w:val="none"/>
                <w:u w:val="none"/>
                <w:lang w:val="en-US" w:eastAsia="zh-CN" w:bidi="ar"/>
              </w:rPr>
              <w:t>各单位可根据本单位实际配置本单位个性化指标。</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0" w:hRule="atLeast"/>
          <w:jc w:val="center"/>
        </w:trPr>
        <w:tc>
          <w:tcPr>
            <w:tcW w:w="339"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876" w:type="pct"/>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24"/>
                <w:szCs w:val="24"/>
                <w:highlight w:val="none"/>
                <w:u w:val="none"/>
              </w:rPr>
            </w:pP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bottom"/>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办案质量管理：将系统识别的办案质量问题按角色推送给院领导、案管部门和部门负责人，其中院领导、案管部门推送全院办案质量情况，各部门负责人推送本条线办案质量情况。支持具体案件详情和文书查看。</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339"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8</w:t>
            </w:r>
          </w:p>
        </w:tc>
        <w:tc>
          <w:tcPr>
            <w:tcW w:w="876"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统计分析</w:t>
            </w:r>
          </w:p>
        </w:tc>
        <w:tc>
          <w:tcPr>
            <w:tcW w:w="3331"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4"/>
                <w:szCs w:val="24"/>
                <w:highlight w:val="none"/>
                <w:u w:val="none"/>
                <w:lang w:val="en-US" w:eastAsia="zh-CN" w:bidi="ar"/>
              </w:rPr>
              <w:t>办案质量分析：对本院办案质量问题按监控类型、部门、业务条线、指标类型等维度进行统计分析和常见问题排名分析。</w:t>
            </w:r>
          </w:p>
        </w:tc>
        <w:tc>
          <w:tcPr>
            <w:tcW w:w="452" w:type="pc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highlight w:val="none"/>
                <w:u w:val="none"/>
              </w:rPr>
            </w:pPr>
            <w:r>
              <w:rPr>
                <w:rFonts w:hint="eastAsia" w:ascii="宋体" w:hAnsi="宋体" w:eastAsia="宋体" w:cs="宋体"/>
                <w:i w:val="0"/>
                <w:iCs w:val="0"/>
                <w:color w:val="000000"/>
                <w:kern w:val="0"/>
                <w:sz w:val="24"/>
                <w:szCs w:val="24"/>
                <w:highlight w:val="none"/>
                <w:u w:val="none"/>
                <w:lang w:val="en-US" w:eastAsia="zh-CN" w:bidi="ar"/>
              </w:rPr>
              <w:t>1</w:t>
            </w:r>
          </w:p>
        </w:tc>
      </w:tr>
    </w:tbl>
    <w:p>
      <w:pPr>
        <w:pStyle w:val="15"/>
        <w:rPr>
          <w:rFonts w:hint="eastAsia"/>
          <w:color w:val="auto"/>
          <w:highlight w:val="none"/>
        </w:rPr>
      </w:pPr>
    </w:p>
    <w:p>
      <w:pPr>
        <w:rPr>
          <w:rFonts w:hint="eastAsia"/>
          <w:highlight w:val="none"/>
        </w:rPr>
        <w:sectPr>
          <w:footerReference r:id="rId14" w:type="default"/>
          <w:pgSz w:w="16838" w:h="11906" w:orient="landscape"/>
          <w:pgMar w:top="1417" w:right="1417" w:bottom="1134" w:left="1417" w:header="1134" w:footer="992" w:gutter="0"/>
          <w:cols w:space="720" w:num="1"/>
          <w:docGrid w:type="lines" w:linePitch="333" w:charSpace="0"/>
        </w:sectPr>
      </w:pPr>
    </w:p>
    <w:bookmarkEnd w:id="55"/>
    <w:bookmarkEnd w:id="62"/>
    <w:bookmarkEnd w:id="63"/>
    <w:bookmarkEnd w:id="64"/>
    <w:bookmarkEnd w:id="65"/>
    <w:bookmarkEnd w:id="66"/>
    <w:bookmarkEnd w:id="67"/>
    <w:bookmarkEnd w:id="68"/>
    <w:bookmarkEnd w:id="89"/>
    <w:bookmarkEnd w:id="90"/>
    <w:bookmarkEnd w:id="91"/>
    <w:bookmarkEnd w:id="92"/>
    <w:bookmarkEnd w:id="93"/>
    <w:p>
      <w:pPr>
        <w:pStyle w:val="3"/>
        <w:jc w:val="center"/>
        <w:rPr>
          <w:color w:val="auto"/>
          <w:highlight w:val="none"/>
        </w:rPr>
      </w:pPr>
      <w:bookmarkStart w:id="94" w:name="_Toc14746"/>
      <w:bookmarkStart w:id="95" w:name="_Toc8830"/>
      <w:bookmarkStart w:id="96" w:name="_Toc22538"/>
      <w:bookmarkStart w:id="97" w:name="_Toc1624"/>
      <w:bookmarkStart w:id="98" w:name="_Toc8126"/>
      <w:bookmarkStart w:id="99" w:name="_Toc28411"/>
      <w:bookmarkStart w:id="100" w:name="_Toc426457698"/>
      <w:bookmarkStart w:id="101" w:name="_Toc363474025"/>
      <w:r>
        <w:rPr>
          <w:rFonts w:hint="eastAsia" w:ascii="宋体" w:hAnsi="宋体" w:eastAsia="宋体" w:cs="宋体"/>
          <w:color w:val="auto"/>
          <w:sz w:val="36"/>
          <w:szCs w:val="36"/>
          <w:highlight w:val="none"/>
        </w:rPr>
        <w:t>第五章</w:t>
      </w:r>
      <w:r>
        <w:rPr>
          <w:rFonts w:hint="eastAsia" w:ascii="宋体" w:eastAsia="宋体" w:cs="宋体"/>
          <w:color w:val="auto"/>
          <w:sz w:val="36"/>
          <w:szCs w:val="36"/>
          <w:highlight w:val="none"/>
          <w:lang w:val="en-US" w:eastAsia="zh-CN"/>
        </w:rPr>
        <w:t xml:space="preserve">  </w:t>
      </w:r>
      <w:r>
        <w:rPr>
          <w:rFonts w:hint="eastAsia" w:ascii="宋体" w:hAnsi="宋体" w:eastAsia="宋体" w:cs="宋体"/>
          <w:color w:val="auto"/>
          <w:sz w:val="36"/>
          <w:szCs w:val="36"/>
          <w:highlight w:val="none"/>
        </w:rPr>
        <w:t>评标方法</w:t>
      </w:r>
      <w:bookmarkEnd w:id="94"/>
    </w:p>
    <w:p>
      <w:pPr>
        <w:spacing w:line="360" w:lineRule="auto"/>
        <w:rPr>
          <w:rFonts w:hAnsi="宋体" w:cs="宋体"/>
          <w:b/>
          <w:color w:val="auto"/>
          <w:sz w:val="28"/>
          <w:szCs w:val="28"/>
          <w:highlight w:val="none"/>
        </w:rPr>
      </w:pPr>
      <w:bookmarkStart w:id="102" w:name="_Toc363463332"/>
      <w:r>
        <w:rPr>
          <w:rFonts w:hint="eastAsia" w:hAnsi="宋体" w:cs="宋体"/>
          <w:b/>
          <w:color w:val="auto"/>
          <w:sz w:val="28"/>
          <w:szCs w:val="28"/>
          <w:highlight w:val="none"/>
        </w:rPr>
        <w:t>一、评标方法</w:t>
      </w:r>
      <w:bookmarkEnd w:id="102"/>
    </w:p>
    <w:p>
      <w:pPr>
        <w:spacing w:line="360" w:lineRule="auto"/>
        <w:ind w:firstLine="496" w:firstLineChars="20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按照</w:t>
      </w:r>
      <w:r>
        <w:rPr>
          <w:rFonts w:hint="eastAsia" w:ascii="宋体" w:hAnsi="宋体" w:eastAsia="宋体" w:cs="宋体"/>
          <w:color w:val="auto"/>
          <w:sz w:val="24"/>
          <w:szCs w:val="24"/>
          <w:highlight w:val="none"/>
        </w:rPr>
        <w:t>《中华人民共和国政府采购法》及实施条例和</w:t>
      </w:r>
      <w:r>
        <w:rPr>
          <w:rFonts w:hint="eastAsia" w:ascii="宋体" w:hAnsi="宋体" w:eastAsia="宋体" w:cs="宋体"/>
          <w:color w:val="auto"/>
          <w:spacing w:val="4"/>
          <w:sz w:val="24"/>
          <w:szCs w:val="24"/>
          <w:highlight w:val="none"/>
        </w:rPr>
        <w:t>中华人民共和国财政部令第87号--《政府采购货物和服务招标投标管理办法》的规定，本次评标采用</w:t>
      </w:r>
      <w:r>
        <w:rPr>
          <w:rFonts w:hint="eastAsia" w:ascii="宋体" w:hAnsi="宋体" w:eastAsia="宋体" w:cs="宋体"/>
          <w:b/>
          <w:color w:val="auto"/>
          <w:spacing w:val="4"/>
          <w:sz w:val="24"/>
          <w:szCs w:val="24"/>
          <w:highlight w:val="none"/>
        </w:rPr>
        <w:t>综合评分法</w:t>
      </w:r>
      <w:r>
        <w:rPr>
          <w:rFonts w:hint="eastAsia" w:ascii="宋体" w:hAnsi="宋体" w:eastAsia="宋体" w:cs="宋体"/>
          <w:color w:val="auto"/>
          <w:spacing w:val="4"/>
          <w:sz w:val="24"/>
          <w:szCs w:val="24"/>
          <w:highlight w:val="none"/>
        </w:rPr>
        <w:t>，即在最大限度地满足招标文件实质性要求前提下，按照招标文件中规定的各项因素和相应的权重分值进行综合评审后，以总得分最高的供应商作为中标候选人并依次排序（最低报价不是中标的唯一标准）。</w:t>
      </w:r>
    </w:p>
    <w:p>
      <w:pPr>
        <w:spacing w:line="360" w:lineRule="auto"/>
        <w:rPr>
          <w:rFonts w:hAnsi="宋体" w:cs="宋体"/>
          <w:b/>
          <w:color w:val="auto"/>
          <w:sz w:val="28"/>
          <w:szCs w:val="28"/>
          <w:highlight w:val="none"/>
        </w:rPr>
      </w:pPr>
      <w:r>
        <w:rPr>
          <w:rFonts w:hint="eastAsia" w:hAnsi="宋体" w:cs="宋体"/>
          <w:b/>
          <w:color w:val="auto"/>
          <w:sz w:val="28"/>
          <w:szCs w:val="28"/>
          <w:highlight w:val="none"/>
        </w:rPr>
        <w:t>二、评审标准</w:t>
      </w:r>
    </w:p>
    <w:p>
      <w:pPr>
        <w:tabs>
          <w:tab w:val="left" w:pos="0"/>
        </w:tabs>
        <w:adjustRightInd w:val="0"/>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2.1初步评审标准</w:t>
      </w:r>
    </w:p>
    <w:p>
      <w:pPr>
        <w:tabs>
          <w:tab w:val="left" w:pos="0"/>
        </w:tabs>
        <w:adjustRightInd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2.1.1资格性审查标准：见附件1初步审查要素表。</w:t>
      </w:r>
    </w:p>
    <w:p>
      <w:pPr>
        <w:tabs>
          <w:tab w:val="left" w:pos="0"/>
        </w:tabs>
        <w:adjustRightInd w:val="0"/>
        <w:snapToGrid w:val="0"/>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2.1.2符合性审查标准：见附件1初步审查要素表。</w:t>
      </w:r>
    </w:p>
    <w:p>
      <w:pPr>
        <w:tabs>
          <w:tab w:val="left" w:pos="0"/>
        </w:tabs>
        <w:adjustRightInd w:val="0"/>
        <w:snapToGrid w:val="0"/>
        <w:spacing w:line="360" w:lineRule="auto"/>
        <w:ind w:firstLine="472" w:firstLineChars="196"/>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2.2分值构成与评分标准</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2.2.1 分值构成</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（1）投标价格：见附件2评标因素及权重分值表。</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（2）技术评审：见附件2评标因素及权重分值表。</w:t>
      </w:r>
    </w:p>
    <w:p>
      <w:pPr>
        <w:tabs>
          <w:tab w:val="left" w:pos="0"/>
        </w:tabs>
        <w:adjustRightInd w:val="0"/>
        <w:snapToGrid w:val="0"/>
        <w:spacing w:line="360" w:lineRule="auto"/>
        <w:ind w:firstLine="470" w:firstLineChars="196"/>
        <w:rPr>
          <w:rFonts w:hint="eastAsia"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（3）履约能力及服务承诺：见附件2评标因素及权重分值表。</w:t>
      </w:r>
    </w:p>
    <w:p>
      <w:pPr>
        <w:spacing w:line="360" w:lineRule="auto"/>
        <w:rPr>
          <w:rFonts w:hAnsi="宋体" w:cs="宋体"/>
          <w:b/>
          <w:color w:val="auto"/>
          <w:sz w:val="28"/>
          <w:szCs w:val="28"/>
          <w:highlight w:val="none"/>
        </w:rPr>
      </w:pPr>
      <w:bookmarkStart w:id="103" w:name="_Toc363463333"/>
      <w:r>
        <w:rPr>
          <w:rFonts w:hint="eastAsia" w:hAnsi="宋体" w:cs="宋体"/>
          <w:b/>
          <w:color w:val="auto"/>
          <w:sz w:val="28"/>
          <w:szCs w:val="28"/>
          <w:highlight w:val="none"/>
        </w:rPr>
        <w:t>三、评标程序</w:t>
      </w:r>
      <w:bookmarkEnd w:id="103"/>
    </w:p>
    <w:p>
      <w:pPr>
        <w:spacing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1.本采购项目评标按照下列工作程序进行</w:t>
      </w:r>
      <w:r>
        <w:rPr>
          <w:rFonts w:hint="eastAsia" w:ascii="宋体" w:hAnsi="宋体" w:eastAsia="宋体" w:cs="宋体"/>
          <w:bCs/>
          <w:color w:val="auto"/>
          <w:sz w:val="24"/>
          <w:szCs w:val="24"/>
          <w:highlight w:val="none"/>
        </w:rPr>
        <w:t>（在上一步评审中被认定无效投标者，不进入下一步的评审）</w:t>
      </w:r>
      <w:r>
        <w:rPr>
          <w:rFonts w:hint="eastAsia" w:ascii="宋体" w:hAnsi="宋体" w:eastAsia="宋体" w:cs="宋体"/>
          <w:b/>
          <w:color w:val="auto"/>
          <w:sz w:val="24"/>
          <w:szCs w:val="24"/>
          <w:highlight w:val="none"/>
        </w:rPr>
        <w:t>。</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（1）投标文件初审；</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（2）澄清有关问题；</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（3）比较与评价；</w:t>
      </w:r>
    </w:p>
    <w:p>
      <w:pPr>
        <w:spacing w:line="360" w:lineRule="auto"/>
        <w:ind w:firstLine="49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（4）推荐中标候选人名单。</w:t>
      </w:r>
    </w:p>
    <w:p>
      <w:pPr>
        <w:spacing w:before="120" w:after="12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2.投标文件初审</w:t>
      </w:r>
    </w:p>
    <w:p>
      <w:pPr>
        <w:tabs>
          <w:tab w:val="left" w:pos="0"/>
        </w:tabs>
        <w:adjustRightInd w:val="0"/>
        <w:snapToGrid w:val="0"/>
        <w:spacing w:line="360" w:lineRule="auto"/>
        <w:ind w:firstLine="472" w:firstLineChars="196"/>
        <w:rPr>
          <w:rFonts w:hint="eastAsia"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评标委员会根据本章第 2.1 项规定的评审标准对投标文件进行初步评审。有一项不符合评审标准的，评标委员会应当否决其投标。</w:t>
      </w:r>
    </w:p>
    <w:p>
      <w:pPr>
        <w:tabs>
          <w:tab w:val="left" w:pos="0"/>
        </w:tabs>
        <w:adjustRightInd w:val="0"/>
        <w:snapToGrid w:val="0"/>
        <w:spacing w:line="360" w:lineRule="auto"/>
        <w:ind w:firstLine="472" w:firstLineChars="196"/>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在资格性审查阶段，不符合文件要求的，不得进入符合性审查，在资格性审查和符合性审查时未通过的，不得进入后续评审环节。</w:t>
      </w:r>
    </w:p>
    <w:p>
      <w:pPr>
        <w:spacing w:before="120" w:after="120" w:line="360" w:lineRule="auto"/>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3.投标文件的澄清</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为有助于投标文件的审查、比较和评价，评标委员会可要求供应商对其投标文件中非实质性（投标文件中含义不明确、同类问题表述不一致或者有明显文字和计算错误的内容）的有关问题进行澄清、说明或者补正。有关澄清、说明或者补正的要求和答复应以书面形式提交，并由其法定代表人或负责人或授权代表签字。供应商的澄清、说明或者补正不得超出投标文件的范围或者改变投标文件的实质性内容。评标委员会不接受供应商主动提出的澄清、说明。</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3.2有效的书面澄清材料，是投标文件的补充材料，成为投标文件的组成部分。</w:t>
      </w:r>
    </w:p>
    <w:p>
      <w:pPr>
        <w:tabs>
          <w:tab w:val="left" w:pos="851"/>
        </w:tabs>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pPr>
        <w:spacing w:before="120" w:after="120" w:line="360" w:lineRule="auto"/>
        <w:jc w:val="left"/>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4.投标文件比较与评价</w:t>
      </w:r>
    </w:p>
    <w:p>
      <w:pPr>
        <w:tabs>
          <w:tab w:val="left" w:pos="0"/>
        </w:tabs>
        <w:adjustRightInd w:val="0"/>
        <w:snapToGrid w:val="0"/>
        <w:spacing w:before="12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w:t>
      </w:r>
      <w:r>
        <w:rPr>
          <w:rFonts w:hint="eastAsia" w:ascii="宋体" w:hAnsi="宋体" w:eastAsia="宋体" w:cs="宋体"/>
          <w:bCs/>
          <w:color w:val="auto"/>
          <w:sz w:val="24"/>
          <w:szCs w:val="24"/>
          <w:highlight w:val="none"/>
        </w:rPr>
        <w:t>评委会应按照招标文件中规定的评标方法</w:t>
      </w:r>
      <w:r>
        <w:rPr>
          <w:rFonts w:hint="eastAsia" w:ascii="宋体" w:hAnsi="宋体" w:eastAsia="宋体" w:cs="宋体"/>
          <w:color w:val="auto"/>
          <w:sz w:val="24"/>
          <w:szCs w:val="24"/>
          <w:highlight w:val="none"/>
        </w:rPr>
        <w:t>和标准，</w:t>
      </w:r>
      <w:r>
        <w:rPr>
          <w:rFonts w:hint="eastAsia" w:ascii="宋体" w:hAnsi="宋体" w:eastAsia="宋体" w:cs="宋体"/>
          <w:bCs/>
          <w:color w:val="auto"/>
          <w:sz w:val="24"/>
          <w:szCs w:val="24"/>
          <w:highlight w:val="none"/>
        </w:rPr>
        <w:t>对</w:t>
      </w:r>
      <w:r>
        <w:rPr>
          <w:rFonts w:hint="eastAsia" w:ascii="宋体" w:hAnsi="宋体" w:eastAsia="宋体" w:cs="宋体"/>
          <w:color w:val="auto"/>
          <w:sz w:val="24"/>
          <w:szCs w:val="24"/>
          <w:highlight w:val="none"/>
        </w:rPr>
        <w:t>资格性检查和符合性检查</w:t>
      </w:r>
      <w:r>
        <w:rPr>
          <w:rFonts w:hint="eastAsia" w:ascii="宋体" w:hAnsi="宋体" w:eastAsia="宋体" w:cs="宋体"/>
          <w:bCs/>
          <w:color w:val="auto"/>
          <w:sz w:val="24"/>
          <w:szCs w:val="24"/>
          <w:highlight w:val="none"/>
        </w:rPr>
        <w:t>合格的投标文件进行商务和技术评估，综合比较与评价。</w:t>
      </w:r>
    </w:p>
    <w:p>
      <w:pPr>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4.2如果投标文件没有实质性响应招标文件的要求，评委会将予以拒绝。供应商不得通过修正或撤销不合要求的偏离或保留，从而使其投标成为实质性响应的投标。</w:t>
      </w:r>
    </w:p>
    <w:p>
      <w:pPr>
        <w:spacing w:line="360" w:lineRule="auto"/>
        <w:ind w:firstLine="120" w:firstLineChars="5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四、政策性扣减</w:t>
      </w:r>
    </w:p>
    <w:p>
      <w:pPr>
        <w:spacing w:line="6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1、政策性扣减范围</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1.1供应商符合小型、微型企业或监狱企业、残疾人福利性单位条件的，其投标报价价格评审时将按相应比例进行扣减。</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1.2依照&lt;关于印发《政府采购促进中小企业发展暂行办法》的通知&gt;财库〔2020〕46号的规定，小型、微型企业应当同时符合以下条件：</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1.2.1符合中小企业划分标准（中小企业划分标准是指国务院有关部门根据企业从业人员、营业收入、资产总额等指标制定的中小企业划型标准（工信部联企业〔2011〕300号））。</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1.2.2提供本企业制造的货物、承担的工程或者服务，或者提供其他中小企业制造的货物，不包括提供或使用大型企业注册商标的货物。</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1.2.3小型、微型企业提供中型企业制造的货物的，视同为中型企业；小型、微型、中型企业提供大型企业制造的货物的，视同为大型企业。</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采购人拟采购产品属于优先采购节能环保产品范围的，应当优先采购节能环保产品，节能产品以财政部国家发展改革委关于调整公布最新一期节能产品政府采购清单所列产品为准。环保产品以财政部环境保护部关于调整公布最新一期环境标志产品政府采购清单所列产品为准。所投产品符合政府采购强制采购政策的，实行强制采购。</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节能产品政府采购清单”：符合政府采购优先采购政策的，所投产品属于“节能产品政府采购清单”中品目的产品，需提供最新一期“节能产品政府采购清单”中投标产品所在清单页并加盖供应商公章。该清单可在中国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"http://www.ccgp.gov.cn/" </w:instrText>
      </w:r>
      <w:r>
        <w:rPr>
          <w:rFonts w:hint="eastAsia" w:ascii="宋体" w:hAnsi="宋体" w:eastAsia="宋体" w:cs="宋体"/>
          <w:color w:val="auto"/>
          <w:sz w:val="24"/>
          <w:szCs w:val="24"/>
          <w:highlight w:val="none"/>
        </w:rPr>
        <w:fldChar w:fldCharType="separate"/>
      </w:r>
      <w:r>
        <w:rPr>
          <w:rStyle w:val="23"/>
          <w:rFonts w:hint="eastAsia" w:ascii="宋体" w:hAnsi="宋体" w:eastAsia="宋体" w:cs="宋体"/>
          <w:color w:val="auto"/>
          <w:sz w:val="24"/>
          <w:szCs w:val="24"/>
          <w:highlight w:val="none"/>
        </w:rPr>
        <w:t>http://www.ccgp.gov.cn/</w:t>
      </w:r>
      <w:r>
        <w:rPr>
          <w:rStyle w:val="23"/>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）上查找。</w:t>
      </w:r>
    </w:p>
    <w:p>
      <w:pPr>
        <w:spacing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 “环境标志产品政府采购清单”：所投产品属于“环境标志产品政府采购清单”中品目的产品，需提供最新一期“环境标志产品政府采购清单”中投标产品所在清单页并加盖供应商公章。该清单可在中国政府采购网（</w:t>
      </w: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 HYPERLINK "http://www.ccgp.gov.cn/" </w:instrText>
      </w:r>
      <w:r>
        <w:rPr>
          <w:rFonts w:hint="eastAsia" w:ascii="宋体" w:hAnsi="宋体" w:eastAsia="宋体" w:cs="宋体"/>
          <w:color w:val="auto"/>
          <w:sz w:val="24"/>
          <w:szCs w:val="24"/>
          <w:highlight w:val="none"/>
        </w:rPr>
        <w:fldChar w:fldCharType="separate"/>
      </w:r>
      <w:r>
        <w:rPr>
          <w:rStyle w:val="23"/>
          <w:rFonts w:hint="eastAsia" w:ascii="宋体" w:hAnsi="宋体" w:eastAsia="宋体" w:cs="宋体"/>
          <w:color w:val="auto"/>
          <w:sz w:val="24"/>
          <w:szCs w:val="24"/>
          <w:highlight w:val="none"/>
        </w:rPr>
        <w:t>http://www.ccgp.gov.cn/</w:t>
      </w:r>
      <w:r>
        <w:rPr>
          <w:rStyle w:val="23"/>
          <w:rFonts w:hint="eastAsia" w:ascii="宋体" w:hAnsi="宋体" w:eastAsia="宋体" w:cs="宋体"/>
          <w:color w:val="auto"/>
          <w:sz w:val="24"/>
          <w:szCs w:val="24"/>
          <w:highlight w:val="none"/>
        </w:rPr>
        <w:fldChar w:fldCharType="end"/>
      </w:r>
      <w:r>
        <w:rPr>
          <w:rFonts w:hint="eastAsia" w:ascii="宋体" w:hAnsi="宋体" w:eastAsia="宋体" w:cs="宋体"/>
          <w:color w:val="auto"/>
          <w:sz w:val="24"/>
          <w:szCs w:val="24"/>
          <w:highlight w:val="none"/>
        </w:rPr>
        <w:t>）上查找。</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1.4监狱企业参加政府采购活动时，应当提供由省级以上监狱管理局、戒毒管理局(含新疆生产建设兵团)出具的属于监狱企业的证明文件。监狱企业参加政府采购活动时，视同小型、微型企业。</w:t>
      </w:r>
    </w:p>
    <w:p>
      <w:pPr>
        <w:spacing w:line="56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符合条件的残疾人福利性单位在参加政府采购活动时，应当提供本通知规定的《残疾人福利性单位声明函》，并对声明的真实性负责。残疾人福利性单位参加政府采购活动时，视同小型、微型企业；残疾人福利性单位属于小型、微型企业的，不重复享受政策。</w:t>
      </w:r>
    </w:p>
    <w:p>
      <w:pPr>
        <w:spacing w:line="600" w:lineRule="exact"/>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2、政策性扣减方式：</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2.1在投标报价的基础上，对小微企业、监狱企业、残疾人福利性单位，按“投标报价×6%”进行扣减；</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2.2供应商为联合体参与投标，且联合协议中约定小型或微型企业的协议合同金额占到联合体协议合同总金额30％以上的，按“投标报价×2%”进行扣减；</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2.3供应商享受</w:t>
      </w:r>
      <w:r>
        <w:rPr>
          <w:rFonts w:hint="eastAsia" w:ascii="宋体" w:hAnsi="宋体" w:eastAsia="宋体" w:cs="宋体"/>
          <w:bCs/>
          <w:color w:val="auto"/>
          <w:sz w:val="24"/>
          <w:szCs w:val="24"/>
          <w:highlight w:val="none"/>
        </w:rPr>
        <w:t>支持</w:t>
      </w:r>
      <w:r>
        <w:rPr>
          <w:rFonts w:hint="eastAsia" w:ascii="宋体" w:hAnsi="宋体" w:eastAsia="宋体" w:cs="宋体"/>
          <w:color w:val="auto"/>
          <w:sz w:val="24"/>
          <w:szCs w:val="24"/>
          <w:highlight w:val="none"/>
        </w:rPr>
        <w:t>中小型企业发展政策优惠的，可以同时享受节能、环境标志产品优先采购政策；</w:t>
      </w:r>
    </w:p>
    <w:p>
      <w:pPr>
        <w:spacing w:line="600" w:lineRule="exact"/>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3、中标价格=中标供应商的有效投标报价。</w:t>
      </w:r>
    </w:p>
    <w:p>
      <w:pPr>
        <w:pStyle w:val="2"/>
        <w:rPr>
          <w:rFonts w:ascii="宋体" w:hAnsi="宋体" w:cs="宋体"/>
          <w:color w:val="auto"/>
          <w:szCs w:val="24"/>
          <w:highlight w:val="none"/>
        </w:rPr>
      </w:pPr>
      <w:r>
        <w:rPr>
          <w:rFonts w:hint="eastAsia" w:ascii="宋体" w:hAnsi="宋体" w:cs="宋体"/>
          <w:color w:val="auto"/>
          <w:szCs w:val="24"/>
          <w:highlight w:val="none"/>
        </w:rPr>
        <w:br w:type="page"/>
      </w:r>
      <w:r>
        <w:rPr>
          <w:rFonts w:hint="eastAsia" w:ascii="宋体" w:hAnsi="宋体" w:cs="宋体"/>
          <w:b/>
          <w:bCs/>
          <w:color w:val="auto"/>
          <w:sz w:val="24"/>
          <w:szCs w:val="24"/>
          <w:highlight w:val="none"/>
        </w:rPr>
        <w:t>附件1：</w:t>
      </w:r>
    </w:p>
    <w:p>
      <w:pPr>
        <w:pStyle w:val="2"/>
        <w:jc w:val="center"/>
        <w:rPr>
          <w:rFonts w:ascii="宋体" w:hAnsi="宋体" w:cs="宋体"/>
          <w:b/>
          <w:bCs/>
          <w:color w:val="auto"/>
          <w:sz w:val="24"/>
          <w:szCs w:val="24"/>
          <w:highlight w:val="none"/>
        </w:rPr>
      </w:pPr>
      <w:r>
        <w:rPr>
          <w:rFonts w:hint="eastAsia" w:ascii="宋体" w:hAnsi="宋体" w:cs="宋体"/>
          <w:b/>
          <w:bCs/>
          <w:color w:val="auto"/>
          <w:sz w:val="24"/>
          <w:szCs w:val="24"/>
          <w:highlight w:val="none"/>
        </w:rPr>
        <w:t>初步审查要素表</w:t>
      </w:r>
    </w:p>
    <w:tbl>
      <w:tblPr>
        <w:tblStyle w:val="19"/>
        <w:tblW w:w="9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4"/>
        <w:gridCol w:w="600"/>
        <w:gridCol w:w="567"/>
        <w:gridCol w:w="2404"/>
        <w:gridCol w:w="51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364" w:type="dxa"/>
            <w:gridSpan w:val="2"/>
            <w:noWrap w:val="0"/>
            <w:vAlign w:val="center"/>
          </w:tcPr>
          <w:p>
            <w:pPr>
              <w:tabs>
                <w:tab w:val="left" w:pos="0"/>
              </w:tabs>
              <w:adjustRightInd w:val="0"/>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条款号</w:t>
            </w:r>
          </w:p>
        </w:tc>
        <w:tc>
          <w:tcPr>
            <w:tcW w:w="2971" w:type="dxa"/>
            <w:gridSpan w:val="2"/>
            <w:noWrap w:val="0"/>
            <w:vAlign w:val="center"/>
          </w:tcPr>
          <w:p>
            <w:pPr>
              <w:tabs>
                <w:tab w:val="left" w:pos="0"/>
              </w:tabs>
              <w:adjustRightInd w:val="0"/>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评审因素</w:t>
            </w:r>
          </w:p>
        </w:tc>
        <w:tc>
          <w:tcPr>
            <w:tcW w:w="5184" w:type="dxa"/>
            <w:noWrap w:val="0"/>
            <w:vAlign w:val="center"/>
          </w:tcPr>
          <w:p>
            <w:pPr>
              <w:tabs>
                <w:tab w:val="left" w:pos="0"/>
              </w:tabs>
              <w:adjustRightInd w:val="0"/>
              <w:snapToGrid w:val="0"/>
              <w:jc w:val="center"/>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364" w:type="dxa"/>
            <w:gridSpan w:val="2"/>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eastAsia="zh-CN"/>
              </w:rPr>
              <w:t>资格审查标准</w:t>
            </w:r>
          </w:p>
        </w:tc>
        <w:tc>
          <w:tcPr>
            <w:tcW w:w="8155" w:type="dxa"/>
            <w:gridSpan w:val="3"/>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（1）提供合格有效的法人或者其他组织的营业执照等证明文件，自然人的身份证明；</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（2）提供法定代表人授权书（附法定代表人、被授权人身份证复印件）及被授权人身份证原件（法定代表人直接参加投标，须提供法定代表人身份证明及身份证原件）；</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财务状况报告：提供2020或2021年度的财务审计报告（至少包括资产负债表和利润表，成立时间至提交投标响应文件截止时间不足一年的可提供成立后任意时段的资产负债表），或开标时间前六个月内银行出具的资信证明；</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（4）税收缴纳证明：提供投标截止日前近一年内任意一个月的纳税证明或完税证明（任意税种），依法免税的单位应提供相关证明材料；</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（5）社会保障资金缴纳证明：提供投标截止日前近一年内任意一个月的社会保障资金缴存单据或社保机构开具的社会保险参保缴费情况证明，依法不需要缴纳社会保障资金的单位应提供相关证明材料；</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（6）供应商应通过“信用中国”网站(www.creditchina.gov.cn)、中国政府采购网(www.ccgp.gov.cn)查询相关主体信用记录；</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（7）参加政府采购活动前3年内，在经营活动中没有重大违法记录的书面声明；</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（8）提供具有履行本合同所必需的设备和专业技术能力的声明； </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（9）投标保证金缴纳凭证或担保机构出具的保函；</w:t>
            </w:r>
          </w:p>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restart"/>
            <w:noWrap w:val="0"/>
            <w:vAlign w:val="center"/>
          </w:tcPr>
          <w:p>
            <w:pPr>
              <w:tabs>
                <w:tab w:val="left" w:pos="0"/>
              </w:tabs>
              <w:adjustRightInd w:val="0"/>
              <w:snapToGrid w:val="0"/>
              <w:spacing w:line="360" w:lineRule="auto"/>
              <w:jc w:val="center"/>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2.1.</w:t>
            </w:r>
            <w:r>
              <w:rPr>
                <w:rFonts w:hint="eastAsia" w:ascii="宋体" w:hAnsi="宋体" w:eastAsia="宋体" w:cs="宋体"/>
                <w:color w:val="auto"/>
                <w:sz w:val="24"/>
                <w:szCs w:val="24"/>
                <w:highlight w:val="none"/>
                <w:lang w:val="en-US" w:eastAsia="zh-CN"/>
              </w:rPr>
              <w:t>1</w:t>
            </w:r>
          </w:p>
        </w:tc>
        <w:tc>
          <w:tcPr>
            <w:tcW w:w="600" w:type="dxa"/>
            <w:vMerge w:val="restart"/>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符合性评审标准</w:t>
            </w:r>
          </w:p>
        </w:tc>
        <w:tc>
          <w:tcPr>
            <w:tcW w:w="567" w:type="dxa"/>
            <w:vMerge w:val="restart"/>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有效性审查</w:t>
            </w: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投标文件的签署盖章</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投标文件上法定代表人或负责人或其授权代表人的签字齐全并加盖公章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567"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投标文件格式</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应符合“投标文件格式”要求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567"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报价唯一</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只能有一个有效报价，不得提交选择性报价，且报价不超过采购预算金额或最高限价。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center"/>
          </w:tcPr>
          <w:p>
            <w:pPr>
              <w:tabs>
                <w:tab w:val="left" w:pos="0"/>
              </w:tabs>
              <w:adjustRightInd w:val="0"/>
              <w:snapToGrid w:val="0"/>
              <w:spacing w:line="360" w:lineRule="auto"/>
              <w:jc w:val="center"/>
              <w:rPr>
                <w:rFonts w:hint="eastAsia" w:ascii="宋体" w:hAnsi="宋体" w:eastAsia="宋体" w:cs="宋体"/>
                <w:color w:val="auto"/>
                <w:sz w:val="24"/>
                <w:szCs w:val="24"/>
                <w:highlight w:val="none"/>
              </w:rPr>
            </w:pPr>
          </w:p>
        </w:tc>
        <w:tc>
          <w:tcPr>
            <w:tcW w:w="600" w:type="dxa"/>
            <w:vMerge w:val="continue"/>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rPr>
            </w:pPr>
          </w:p>
        </w:tc>
        <w:tc>
          <w:tcPr>
            <w:tcW w:w="567" w:type="dxa"/>
            <w:vMerge w:val="restart"/>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完整性审查</w:t>
            </w: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投标文件份数</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应符合“供应商须知前附表”规定的正本、副本、电子文件数量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567"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投标文件内容</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center"/>
          </w:tcPr>
          <w:p>
            <w:pPr>
              <w:tabs>
                <w:tab w:val="left" w:pos="0"/>
              </w:tabs>
              <w:adjustRightInd w:val="0"/>
              <w:snapToGrid w:val="0"/>
              <w:spacing w:line="360" w:lineRule="auto"/>
              <w:jc w:val="center"/>
              <w:rPr>
                <w:rFonts w:hint="eastAsia" w:ascii="宋体" w:hAnsi="宋体" w:eastAsia="宋体" w:cs="宋体"/>
                <w:color w:val="auto"/>
                <w:sz w:val="24"/>
                <w:szCs w:val="24"/>
                <w:highlight w:val="none"/>
              </w:rPr>
            </w:pPr>
          </w:p>
        </w:tc>
        <w:tc>
          <w:tcPr>
            <w:tcW w:w="600" w:type="dxa"/>
            <w:vMerge w:val="continue"/>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rPr>
            </w:pPr>
          </w:p>
        </w:tc>
        <w:tc>
          <w:tcPr>
            <w:tcW w:w="567" w:type="dxa"/>
            <w:vMerge w:val="restart"/>
            <w:noWrap w:val="0"/>
            <w:vAlign w:val="center"/>
          </w:tcPr>
          <w:p>
            <w:pPr>
              <w:tabs>
                <w:tab w:val="left" w:pos="0"/>
              </w:tabs>
              <w:adjustRightInd w:val="0"/>
              <w:snapToGrid w:val="0"/>
              <w:jc w:val="center"/>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响应性审查</w:t>
            </w: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对招标文件响应程度</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要求全面响应，不能有任何采购人不能接受的附加条件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567"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项目完成期</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应满足招标文件中要求的项目完成期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64" w:type="dxa"/>
            <w:vMerge w:val="continue"/>
            <w:noWrap w:val="0"/>
            <w:vAlign w:val="top"/>
          </w:tcPr>
          <w:p>
            <w:pPr>
              <w:tabs>
                <w:tab w:val="left" w:pos="0"/>
              </w:tabs>
              <w:adjustRightInd w:val="0"/>
              <w:snapToGrid w:val="0"/>
              <w:spacing w:line="360" w:lineRule="auto"/>
              <w:rPr>
                <w:rFonts w:hint="eastAsia" w:ascii="宋体" w:hAnsi="宋体" w:eastAsia="宋体" w:cs="宋体"/>
                <w:color w:val="auto"/>
                <w:sz w:val="24"/>
                <w:szCs w:val="24"/>
                <w:highlight w:val="none"/>
              </w:rPr>
            </w:pPr>
          </w:p>
        </w:tc>
        <w:tc>
          <w:tcPr>
            <w:tcW w:w="600"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567" w:type="dxa"/>
            <w:vMerge w:val="continue"/>
            <w:noWrap w:val="0"/>
            <w:vAlign w:val="top"/>
          </w:tcPr>
          <w:p>
            <w:pPr>
              <w:tabs>
                <w:tab w:val="left" w:pos="0"/>
              </w:tabs>
              <w:adjustRightInd w:val="0"/>
              <w:snapToGrid w:val="0"/>
              <w:spacing w:line="360" w:lineRule="auto"/>
              <w:rPr>
                <w:rFonts w:hint="eastAsia" w:ascii="宋体" w:hAnsi="宋体" w:eastAsia="宋体" w:cs="宋体"/>
                <w:b/>
                <w:bCs/>
                <w:color w:val="auto"/>
                <w:sz w:val="24"/>
                <w:szCs w:val="24"/>
                <w:highlight w:val="none"/>
              </w:rPr>
            </w:pPr>
          </w:p>
        </w:tc>
        <w:tc>
          <w:tcPr>
            <w:tcW w:w="2404" w:type="dxa"/>
            <w:noWrap w:val="0"/>
            <w:vAlign w:val="center"/>
          </w:tcPr>
          <w:p>
            <w:pPr>
              <w:tabs>
                <w:tab w:val="left" w:pos="0"/>
              </w:tabs>
              <w:adjustRightInd w:val="0"/>
              <w:snapToGrid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投标有效期</w:t>
            </w:r>
          </w:p>
        </w:tc>
        <w:tc>
          <w:tcPr>
            <w:tcW w:w="5184" w:type="dxa"/>
            <w:noWrap w:val="0"/>
            <w:vAlign w:val="center"/>
          </w:tcPr>
          <w:p>
            <w:pPr>
              <w:tabs>
                <w:tab w:val="left" w:pos="0"/>
              </w:tabs>
              <w:adjustRightInd w:val="0"/>
              <w:snapToGrid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应满足招标文件中的规定</w:t>
            </w:r>
          </w:p>
        </w:tc>
      </w:tr>
    </w:tbl>
    <w:p>
      <w:pPr>
        <w:spacing w:line="560" w:lineRule="exact"/>
        <w:rPr>
          <w:rFonts w:hAnsi="宋体" w:cs="宋体"/>
          <w:b/>
          <w:color w:val="auto"/>
          <w:sz w:val="28"/>
          <w:szCs w:val="28"/>
          <w:highlight w:val="none"/>
        </w:rPr>
      </w:pPr>
      <w:r>
        <w:rPr>
          <w:rFonts w:hint="eastAsia" w:hAnsi="宋体" w:cs="宋体"/>
          <w:b/>
          <w:color w:val="auto"/>
          <w:sz w:val="28"/>
          <w:szCs w:val="28"/>
          <w:highlight w:val="none"/>
        </w:rPr>
        <w:br w:type="page"/>
      </w:r>
      <w:r>
        <w:rPr>
          <w:rFonts w:hint="eastAsia" w:hAnsi="宋体" w:cs="宋体"/>
          <w:b/>
          <w:color w:val="auto"/>
          <w:sz w:val="28"/>
          <w:szCs w:val="28"/>
          <w:highlight w:val="none"/>
        </w:rPr>
        <w:t>附件2：</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eastAsia" w:hAnsi="宋体" w:cs="宋体"/>
          <w:b/>
          <w:color w:val="auto"/>
          <w:szCs w:val="24"/>
          <w:highlight w:val="none"/>
        </w:rPr>
      </w:pPr>
      <w:r>
        <w:rPr>
          <w:rFonts w:hint="eastAsia" w:hAnsi="宋体" w:cs="宋体"/>
          <w:b/>
          <w:color w:val="auto"/>
          <w:szCs w:val="24"/>
          <w:highlight w:val="none"/>
        </w:rPr>
        <w:t>评标因素及权重分值表</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8"/>
        <w:gridCol w:w="708"/>
        <w:gridCol w:w="923"/>
        <w:gridCol w:w="71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797" w:type="pct"/>
            <w:gridSpan w:val="2"/>
            <w:shd w:val="clear" w:color="auto" w:fill="auto"/>
            <w:vAlign w:val="center"/>
          </w:tcPr>
          <w:p>
            <w:pPr>
              <w:widowControl/>
              <w:jc w:val="center"/>
              <w:rPr>
                <w:rFonts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评分要素</w:t>
            </w:r>
          </w:p>
        </w:tc>
        <w:tc>
          <w:tcPr>
            <w:tcW w:w="482" w:type="pct"/>
            <w:vAlign w:val="center"/>
          </w:tcPr>
          <w:p>
            <w:pPr>
              <w:widowControl/>
              <w:jc w:val="center"/>
              <w:rPr>
                <w:rFonts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分值</w:t>
            </w:r>
          </w:p>
        </w:tc>
        <w:tc>
          <w:tcPr>
            <w:tcW w:w="3720" w:type="pct"/>
            <w:shd w:val="clear" w:color="auto" w:fill="auto"/>
            <w:vAlign w:val="center"/>
          </w:tcPr>
          <w:p>
            <w:pPr>
              <w:widowControl/>
              <w:jc w:val="center"/>
              <w:rPr>
                <w:rFonts w:ascii="宋体" w:hAnsi="宋体" w:eastAsia="宋体" w:cs="宋体"/>
                <w:b/>
                <w:bCs/>
                <w:color w:val="000000"/>
                <w:kern w:val="0"/>
                <w:sz w:val="24"/>
                <w:szCs w:val="24"/>
                <w:highlight w:val="none"/>
              </w:rPr>
            </w:pPr>
            <w:r>
              <w:rPr>
                <w:rFonts w:hint="eastAsia" w:ascii="宋体" w:hAnsi="宋体" w:eastAsia="宋体" w:cs="宋体"/>
                <w:b/>
                <w:bCs/>
                <w:color w:val="000000"/>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97" w:type="pct"/>
            <w:gridSpan w:val="2"/>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价格评审</w:t>
            </w:r>
          </w:p>
        </w:tc>
        <w:tc>
          <w:tcPr>
            <w:tcW w:w="482" w:type="pct"/>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3</w:t>
            </w:r>
            <w:r>
              <w:rPr>
                <w:rFonts w:hint="eastAsia" w:ascii="宋体" w:hAnsi="宋体" w:eastAsia="宋体" w:cs="宋体"/>
                <w:color w:val="000000"/>
                <w:kern w:val="0"/>
                <w:sz w:val="24"/>
                <w:szCs w:val="24"/>
                <w:highlight w:val="none"/>
              </w:rPr>
              <w:t>0</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采用低价优先法计算，即满足招标文件要求且投标价格（落实政府采购政策进行价格调整的，以调整后的价格计算）最低的投标报价为评标基准价，其报价分为满分。其他投标人的报价分按照下列公式计算：报价分</w:t>
            </w:r>
            <w:r>
              <w:rPr>
                <w:rFonts w:ascii="宋体" w:hAnsi="宋体" w:eastAsia="宋体" w:cs="宋体"/>
                <w:color w:val="000000"/>
                <w:kern w:val="0"/>
                <w:sz w:val="24"/>
                <w:szCs w:val="24"/>
                <w:highlight w:val="none"/>
              </w:rPr>
              <w:t>=(评标基准价／投标报价)×30</w:t>
            </w:r>
            <w:r>
              <w:rPr>
                <w:rFonts w:hint="eastAsia" w:ascii="宋体" w:hAnsi="宋体" w:eastAsia="宋体" w:cs="宋体"/>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trPr>
        <w:tc>
          <w:tcPr>
            <w:tcW w:w="427" w:type="pct"/>
            <w:vMerge w:val="restar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技术服务评审  </w:t>
            </w: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技术方案</w:t>
            </w:r>
          </w:p>
        </w:tc>
        <w:tc>
          <w:tcPr>
            <w:tcW w:w="482" w:type="pct"/>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20</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技术方案内容应覆盖该分项目建设的全部内容和投标产品。</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1、对项目需求的理解与分析准确，符合人民检察院相关和标准规范，得0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rPr>
              <w:t>5分。</w:t>
            </w:r>
          </w:p>
          <w:p>
            <w:pPr>
              <w:widowControl/>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rPr>
              <w:t>、设计内容完整，系统结构和组成，层次清晰合理，系统图和文字描述清晰，符合本项目实际建设内容和特点，得</w:t>
            </w:r>
            <w:r>
              <w:rPr>
                <w:rFonts w:ascii="宋体" w:hAnsi="宋体" w:eastAsia="宋体" w:cs="宋体"/>
                <w:color w:val="000000"/>
                <w:kern w:val="0"/>
                <w:sz w:val="24"/>
                <w:szCs w:val="24"/>
                <w:highlight w:val="none"/>
              </w:rPr>
              <w:t>0-</w:t>
            </w:r>
            <w:r>
              <w:rPr>
                <w:rFonts w:hint="eastAsia" w:ascii="宋体" w:hAnsi="宋体" w:eastAsia="宋体" w:cs="宋体"/>
                <w:color w:val="000000"/>
                <w:kern w:val="0"/>
                <w:sz w:val="24"/>
                <w:szCs w:val="24"/>
                <w:highlight w:val="none"/>
                <w:lang w:val="en-US" w:eastAsia="zh-CN"/>
              </w:rPr>
              <w:t>5</w:t>
            </w:r>
            <w:r>
              <w:rPr>
                <w:rFonts w:hint="eastAsia" w:ascii="宋体" w:hAnsi="宋体" w:eastAsia="宋体" w:cs="宋体"/>
                <w:color w:val="000000"/>
                <w:kern w:val="0"/>
                <w:sz w:val="24"/>
                <w:szCs w:val="24"/>
                <w:highlight w:val="none"/>
              </w:rPr>
              <w:t>分。</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3、系统各组成部分的功能和作用、采用的技术实现方法描述明确、可行。得0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val="en-US" w:eastAsia="zh-CN"/>
              </w:rPr>
              <w:t>10</w:t>
            </w:r>
            <w:r>
              <w:rPr>
                <w:rFonts w:hint="eastAsia" w:ascii="宋体" w:hAnsi="宋体" w:eastAsia="宋体" w:cs="宋体"/>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427" w:type="pct"/>
            <w:vMerge w:val="continue"/>
            <w:vAlign w:val="center"/>
          </w:tcPr>
          <w:p>
            <w:pPr>
              <w:widowControl/>
              <w:jc w:val="center"/>
              <w:rPr>
                <w:rFonts w:ascii="宋体" w:hAnsi="宋体" w:eastAsia="宋体" w:cs="宋体"/>
                <w:color w:val="000000"/>
                <w:kern w:val="0"/>
                <w:sz w:val="24"/>
                <w:szCs w:val="24"/>
                <w:highlight w:val="none"/>
              </w:rPr>
            </w:pP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设备选型配置</w:t>
            </w:r>
          </w:p>
        </w:tc>
        <w:tc>
          <w:tcPr>
            <w:tcW w:w="482" w:type="pct"/>
            <w:vAlign w:val="center"/>
          </w:tcPr>
          <w:p>
            <w:pPr>
              <w:widowControl/>
              <w:jc w:val="center"/>
              <w:rPr>
                <w:rFonts w:hint="eastAsia" w:ascii="宋体" w:hAnsi="宋体" w:eastAsia="宋体" w:cs="宋体"/>
                <w:color w:val="000000"/>
                <w:kern w:val="0"/>
                <w:sz w:val="24"/>
                <w:szCs w:val="24"/>
                <w:highlight w:val="none"/>
                <w:lang w:eastAsia="zh-CN"/>
              </w:rPr>
            </w:pPr>
            <w:r>
              <w:rPr>
                <w:rFonts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lang w:val="en-US" w:eastAsia="zh-CN"/>
              </w:rPr>
              <w:t>5</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投标产品选型应符合招标文件的技术条件和要求，产品名称、品牌、型号、技术参数应明确，不得出现二义性。</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1、技术参数全部满足招标文件要求的，得2</w:t>
            </w:r>
            <w:r>
              <w:rPr>
                <w:rFonts w:hint="eastAsia" w:hAnsi="宋体" w:cs="宋体"/>
                <w:color w:val="000000"/>
                <w:kern w:val="0"/>
                <w:sz w:val="24"/>
                <w:szCs w:val="24"/>
                <w:highlight w:val="none"/>
                <w:lang w:val="en-US" w:eastAsia="zh-CN"/>
              </w:rPr>
              <w:t>5</w:t>
            </w:r>
            <w:r>
              <w:rPr>
                <w:rFonts w:hint="eastAsia" w:ascii="宋体" w:hAnsi="宋体" w:eastAsia="宋体" w:cs="宋体"/>
                <w:color w:val="000000"/>
                <w:kern w:val="0"/>
                <w:sz w:val="24"/>
                <w:szCs w:val="24"/>
                <w:highlight w:val="none"/>
              </w:rPr>
              <w:t>分。</w:t>
            </w:r>
            <w:bookmarkStart w:id="262" w:name="_GoBack"/>
            <w:bookmarkEnd w:id="262"/>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2、标注“▲”的技术响应参数（以第三方检测机构出具的检测报告或认定证书、设备原生产厂商提供的产品白皮书或产品彩页、加盖设备原厂公章的界面截图为准），一个负偏离扣</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分，最多扣</w:t>
            </w:r>
            <w:r>
              <w:rPr>
                <w:rFonts w:hint="eastAsia" w:ascii="宋体" w:hAnsi="宋体" w:eastAsia="宋体" w:cs="宋体"/>
                <w:color w:val="000000"/>
                <w:kern w:val="0"/>
                <w:sz w:val="24"/>
                <w:szCs w:val="24"/>
                <w:highlight w:val="none"/>
                <w:lang w:val="en-US" w:eastAsia="zh-CN"/>
              </w:rPr>
              <w:t>20</w:t>
            </w:r>
            <w:r>
              <w:rPr>
                <w:rFonts w:hint="eastAsia" w:ascii="宋体" w:hAnsi="宋体" w:eastAsia="宋体" w:cs="宋体"/>
                <w:color w:val="000000"/>
                <w:kern w:val="0"/>
                <w:sz w:val="24"/>
                <w:szCs w:val="24"/>
                <w:highlight w:val="none"/>
              </w:rPr>
              <w:t>分。</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3、未标注“▲”的技术响应参数出现负偏离的，由评标委员会按照统一标准，酌情扣分，最多扣</w:t>
            </w:r>
            <w:r>
              <w:rPr>
                <w:rFonts w:ascii="宋体" w:hAnsi="宋体" w:eastAsia="宋体" w:cs="宋体"/>
                <w:color w:val="000000"/>
                <w:kern w:val="0"/>
                <w:sz w:val="24"/>
                <w:szCs w:val="24"/>
                <w:highlight w:val="none"/>
              </w:rPr>
              <w:t>5</w:t>
            </w:r>
            <w:r>
              <w:rPr>
                <w:rFonts w:hint="eastAsia" w:ascii="宋体" w:hAnsi="宋体" w:eastAsia="宋体" w:cs="宋体"/>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427" w:type="pct"/>
            <w:vMerge w:val="continue"/>
            <w:vAlign w:val="center"/>
          </w:tcPr>
          <w:p>
            <w:pPr>
              <w:widowControl/>
              <w:jc w:val="center"/>
              <w:rPr>
                <w:rFonts w:ascii="宋体" w:hAnsi="宋体" w:eastAsia="宋体" w:cs="宋体"/>
                <w:color w:val="000000"/>
                <w:kern w:val="0"/>
                <w:sz w:val="24"/>
                <w:szCs w:val="24"/>
                <w:highlight w:val="none"/>
              </w:rPr>
            </w:pP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实施方案</w:t>
            </w:r>
          </w:p>
        </w:tc>
        <w:tc>
          <w:tcPr>
            <w:tcW w:w="482" w:type="pct"/>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10</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实施方案编写内容应完整、合理、可行，主要内容应包括项目进度计划、项目组织管理、人员安排、技术培训等。</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1、实施方案内容应完整、详细，符合该项目的建设内容和具体特点，得0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p>
            <w:pPr>
              <w:widowControl/>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rPr>
              <w:t>、采购供货、安装调试、项目验收、系统试运行、技术培训</w:t>
            </w:r>
            <w:r>
              <w:rPr>
                <w:rFonts w:hint="eastAsia" w:ascii="宋体" w:hAnsi="宋体" w:eastAsia="宋体" w:cs="宋体"/>
                <w:color w:val="000000"/>
                <w:kern w:val="0"/>
                <w:sz w:val="24"/>
                <w:szCs w:val="24"/>
                <w:highlight w:val="none"/>
                <w:lang w:eastAsia="zh-CN"/>
              </w:rPr>
              <w:t>、</w:t>
            </w:r>
            <w:r>
              <w:rPr>
                <w:rFonts w:hint="eastAsia" w:ascii="宋体" w:hAnsi="宋体" w:eastAsia="宋体" w:cs="宋体"/>
                <w:color w:val="000000"/>
                <w:kern w:val="0"/>
                <w:sz w:val="24"/>
                <w:szCs w:val="24"/>
                <w:highlight w:val="none"/>
                <w:lang w:val="en-US" w:eastAsia="zh-CN"/>
              </w:rPr>
              <w:t>技术支持</w:t>
            </w:r>
            <w:r>
              <w:rPr>
                <w:rFonts w:hint="eastAsia" w:ascii="宋体" w:hAnsi="宋体" w:eastAsia="宋体" w:cs="宋体"/>
                <w:color w:val="000000"/>
                <w:kern w:val="0"/>
                <w:sz w:val="24"/>
                <w:szCs w:val="24"/>
                <w:highlight w:val="none"/>
              </w:rPr>
              <w:t>等计划合理可行，得0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val="en-US" w:eastAsia="zh-CN"/>
              </w:rPr>
              <w:t>6</w:t>
            </w:r>
            <w:r>
              <w:rPr>
                <w:rFonts w:hint="eastAsia" w:ascii="宋体" w:hAnsi="宋体" w:eastAsia="宋体" w:cs="宋体"/>
                <w:color w:val="000000"/>
                <w:kern w:val="0"/>
                <w:sz w:val="24"/>
                <w:szCs w:val="24"/>
                <w:highlight w:val="none"/>
              </w:rPr>
              <w:t>分。</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3、实施组织和人员配置合理，</w:t>
            </w:r>
            <w:r>
              <w:rPr>
                <w:rFonts w:hint="eastAsia" w:ascii="宋体" w:hAnsi="宋体" w:eastAsia="宋体" w:cs="宋体"/>
                <w:color w:val="000000"/>
                <w:kern w:val="0"/>
                <w:sz w:val="24"/>
                <w:szCs w:val="24"/>
                <w:highlight w:val="none"/>
                <w:lang w:val="en-US" w:eastAsia="zh-CN"/>
              </w:rPr>
              <w:t>资质齐全，</w:t>
            </w:r>
            <w:r>
              <w:rPr>
                <w:rFonts w:hint="eastAsia" w:ascii="宋体" w:hAnsi="宋体" w:eastAsia="宋体" w:cs="宋体"/>
                <w:color w:val="000000"/>
                <w:kern w:val="0"/>
                <w:sz w:val="24"/>
                <w:szCs w:val="24"/>
                <w:highlight w:val="none"/>
              </w:rPr>
              <w:t>符合招标文件的其他要求，满足项目实施和总工期要求，得0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val="en-US" w:eastAsia="zh-CN"/>
              </w:rPr>
              <w:t>2</w:t>
            </w:r>
            <w:r>
              <w:rPr>
                <w:rFonts w:ascii="宋体" w:hAnsi="宋体" w:eastAsia="宋体" w:cs="宋体"/>
                <w:color w:val="000000"/>
                <w:kern w:val="0"/>
                <w:sz w:val="24"/>
                <w:szCs w:val="24"/>
                <w:highlight w:val="none"/>
              </w:rPr>
              <w:t>分</w:t>
            </w:r>
            <w:r>
              <w:rPr>
                <w:rFonts w:hint="eastAsia" w:ascii="宋体" w:hAnsi="宋体" w:eastAsia="宋体" w:cs="宋体"/>
                <w:color w:val="000000"/>
                <w:kern w:val="0"/>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0" w:hRule="atLeast"/>
        </w:trPr>
        <w:tc>
          <w:tcPr>
            <w:tcW w:w="427" w:type="pct"/>
            <w:vMerge w:val="continue"/>
            <w:vAlign w:val="center"/>
          </w:tcPr>
          <w:p>
            <w:pPr>
              <w:widowControl/>
              <w:jc w:val="center"/>
              <w:rPr>
                <w:rFonts w:ascii="宋体" w:hAnsi="宋体" w:eastAsia="宋体" w:cs="宋体"/>
                <w:color w:val="000000"/>
                <w:kern w:val="0"/>
                <w:sz w:val="24"/>
                <w:szCs w:val="24"/>
                <w:highlight w:val="none"/>
              </w:rPr>
            </w:pP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项目经验</w:t>
            </w:r>
          </w:p>
        </w:tc>
        <w:tc>
          <w:tcPr>
            <w:tcW w:w="482" w:type="pct"/>
            <w:vAlign w:val="center"/>
          </w:tcPr>
          <w:p>
            <w:pPr>
              <w:widowControl/>
              <w:jc w:val="center"/>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3</w:t>
            </w:r>
          </w:p>
        </w:tc>
        <w:tc>
          <w:tcPr>
            <w:tcW w:w="3720" w:type="pct"/>
            <w:shd w:val="clear" w:color="auto" w:fill="auto"/>
            <w:vAlign w:val="center"/>
          </w:tcPr>
          <w:p>
            <w:pPr>
              <w:widowControl/>
              <w:ind w:firstLine="480" w:firstLineChars="200"/>
              <w:jc w:val="left"/>
              <w:rPr>
                <w:rFonts w:hint="eastAsia"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提供自投标截止日前三年的同类项目案例，以合同为准（复印件应包含合同首页、合同金额、项目内容、签字盖章等页面，其中项目内容应与本项目建设内容和特点相适应，否则为无效证明文件），每提供1份得</w:t>
            </w:r>
            <w:r>
              <w:rPr>
                <w:rFonts w:ascii="宋体" w:hAnsi="宋体" w:eastAsia="宋体" w:cs="宋体"/>
                <w:color w:val="000000"/>
                <w:kern w:val="0"/>
                <w:sz w:val="24"/>
                <w:szCs w:val="24"/>
                <w:highlight w:val="none"/>
              </w:rPr>
              <w:t>1</w:t>
            </w:r>
            <w:r>
              <w:rPr>
                <w:rFonts w:hint="eastAsia" w:ascii="宋体" w:hAnsi="宋体" w:eastAsia="宋体" w:cs="宋体"/>
                <w:color w:val="000000"/>
                <w:kern w:val="0"/>
                <w:sz w:val="24"/>
                <w:szCs w:val="24"/>
                <w:highlight w:val="none"/>
              </w:rPr>
              <w:t>分，最多得</w:t>
            </w:r>
            <w:r>
              <w:rPr>
                <w:rFonts w:ascii="宋体" w:hAnsi="宋体" w:eastAsia="宋体" w:cs="宋体"/>
                <w:color w:val="000000"/>
                <w:kern w:val="0"/>
                <w:sz w:val="24"/>
                <w:szCs w:val="24"/>
                <w:highlight w:val="none"/>
              </w:rPr>
              <w:t>3</w:t>
            </w:r>
            <w:r>
              <w:rPr>
                <w:rFonts w:hint="eastAsia" w:ascii="宋体" w:hAnsi="宋体" w:eastAsia="宋体" w:cs="宋体"/>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27" w:type="pct"/>
            <w:vMerge w:val="restart"/>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 xml:space="preserve">售后服务评审 </w:t>
            </w: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售后服务方案</w:t>
            </w:r>
          </w:p>
        </w:tc>
        <w:tc>
          <w:tcPr>
            <w:tcW w:w="482" w:type="pct"/>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5</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售后服务方案编写内容应完整、合理、可行，主要内容应包括服务体系、服务内容、服务方式、响应时间等。</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1、售后服务方案编写内容完整、无遗漏，与本项目建设内容和特点相适应，得0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rPr>
              <w:t>2分。</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w:t>
            </w:r>
            <w:r>
              <w:rPr>
                <w:rFonts w:hint="eastAsia" w:ascii="宋体" w:hAnsi="宋体" w:eastAsia="宋体" w:cs="宋体"/>
                <w:sz w:val="24"/>
                <w:szCs w:val="24"/>
                <w:highlight w:val="none"/>
              </w:rPr>
              <w:t>服务体系完善、服务内容具体、服务方式明确、服务响应时间合理，</w:t>
            </w:r>
            <w:r>
              <w:rPr>
                <w:rFonts w:hint="eastAsia" w:ascii="宋体" w:hAnsi="宋体" w:eastAsia="宋体" w:cs="宋体"/>
                <w:color w:val="000000"/>
                <w:kern w:val="0"/>
                <w:sz w:val="24"/>
                <w:szCs w:val="24"/>
                <w:highlight w:val="none"/>
              </w:rPr>
              <w:t>满足招标文件的要求，得0</w:t>
            </w:r>
            <w:r>
              <w:rPr>
                <w:rFonts w:ascii="宋体" w:hAnsi="宋体" w:eastAsia="宋体" w:cs="宋体"/>
                <w:color w:val="000000"/>
                <w:kern w:val="0"/>
                <w:sz w:val="24"/>
                <w:szCs w:val="24"/>
                <w:highlight w:val="none"/>
              </w:rPr>
              <w:t>-3</w:t>
            </w:r>
            <w:r>
              <w:rPr>
                <w:rFonts w:hint="eastAsia" w:ascii="宋体" w:hAnsi="宋体" w:eastAsia="宋体" w:cs="宋体"/>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427" w:type="pct"/>
            <w:vMerge w:val="continue"/>
            <w:vAlign w:val="center"/>
          </w:tcPr>
          <w:p>
            <w:pPr>
              <w:widowControl/>
              <w:jc w:val="center"/>
              <w:rPr>
                <w:rFonts w:ascii="宋体" w:hAnsi="宋体" w:eastAsia="宋体" w:cs="宋体"/>
                <w:color w:val="000000"/>
                <w:kern w:val="0"/>
                <w:sz w:val="24"/>
                <w:szCs w:val="24"/>
                <w:highlight w:val="none"/>
              </w:rPr>
            </w:pP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售后服务承诺</w:t>
            </w:r>
          </w:p>
        </w:tc>
        <w:tc>
          <w:tcPr>
            <w:tcW w:w="482" w:type="pct"/>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2</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针对招标文件“保修</w:t>
            </w:r>
            <w:r>
              <w:rPr>
                <w:rFonts w:ascii="宋体" w:hAnsi="宋体" w:eastAsia="宋体" w:cs="宋体"/>
                <w:color w:val="000000"/>
                <w:kern w:val="0"/>
                <w:sz w:val="24"/>
                <w:szCs w:val="24"/>
                <w:highlight w:val="none"/>
              </w:rPr>
              <w:t>(缺陷责任) 期</w:t>
            </w:r>
            <w:r>
              <w:rPr>
                <w:rFonts w:hint="eastAsia" w:ascii="宋体" w:hAnsi="宋体" w:eastAsia="宋体" w:cs="宋体"/>
                <w:color w:val="000000"/>
                <w:kern w:val="0"/>
                <w:sz w:val="24"/>
                <w:szCs w:val="24"/>
                <w:highlight w:val="none"/>
              </w:rPr>
              <w:t>”和“产品质保期”的承诺。</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1、满足招标文件中“保修</w:t>
            </w:r>
            <w:r>
              <w:rPr>
                <w:rFonts w:ascii="宋体" w:hAnsi="宋体" w:eastAsia="宋体" w:cs="宋体"/>
                <w:color w:val="000000"/>
                <w:kern w:val="0"/>
                <w:sz w:val="24"/>
                <w:szCs w:val="24"/>
                <w:highlight w:val="none"/>
              </w:rPr>
              <w:t>(缺陷责任) 期”和“产品质保期”要求</w:t>
            </w:r>
            <w:r>
              <w:rPr>
                <w:rFonts w:hint="eastAsia" w:ascii="宋体" w:hAnsi="宋体" w:eastAsia="宋体" w:cs="宋体"/>
                <w:color w:val="000000"/>
                <w:kern w:val="0"/>
                <w:sz w:val="24"/>
                <w:szCs w:val="24"/>
                <w:highlight w:val="none"/>
              </w:rPr>
              <w:t>的，得0分。</w:t>
            </w:r>
          </w:p>
          <w:p>
            <w:pPr>
              <w:widowControl/>
              <w:ind w:firstLine="480" w:firstLineChars="200"/>
              <w:jc w:val="left"/>
              <w:rPr>
                <w:rFonts w:ascii="宋体" w:hAnsi="宋体" w:eastAsia="宋体" w:cs="宋体"/>
                <w:color w:val="000000"/>
                <w:kern w:val="0"/>
                <w:sz w:val="24"/>
                <w:szCs w:val="24"/>
                <w:highlight w:val="none"/>
              </w:rPr>
            </w:pPr>
            <w:r>
              <w:rPr>
                <w:rFonts w:ascii="宋体" w:hAnsi="宋体" w:eastAsia="宋体" w:cs="宋体"/>
                <w:color w:val="000000"/>
                <w:kern w:val="0"/>
                <w:sz w:val="24"/>
                <w:szCs w:val="24"/>
                <w:highlight w:val="none"/>
              </w:rPr>
              <w:t>2</w:t>
            </w:r>
            <w:r>
              <w:rPr>
                <w:rFonts w:hint="eastAsia" w:ascii="宋体" w:hAnsi="宋体" w:eastAsia="宋体" w:cs="宋体"/>
                <w:color w:val="000000"/>
                <w:kern w:val="0"/>
                <w:sz w:val="24"/>
                <w:szCs w:val="24"/>
                <w:highlight w:val="none"/>
              </w:rPr>
              <w:t>、在满足招标文件对“保修</w:t>
            </w:r>
            <w:r>
              <w:rPr>
                <w:rFonts w:ascii="宋体" w:hAnsi="宋体" w:eastAsia="宋体" w:cs="宋体"/>
                <w:color w:val="000000"/>
                <w:kern w:val="0"/>
                <w:sz w:val="24"/>
                <w:szCs w:val="24"/>
                <w:highlight w:val="none"/>
              </w:rPr>
              <w:t>(缺陷责任) 期”和“产品质保期”</w:t>
            </w:r>
            <w:r>
              <w:rPr>
                <w:rFonts w:hint="eastAsia" w:ascii="宋体" w:hAnsi="宋体" w:eastAsia="宋体" w:cs="宋体"/>
                <w:color w:val="000000"/>
                <w:kern w:val="0"/>
                <w:sz w:val="24"/>
                <w:szCs w:val="24"/>
                <w:highlight w:val="none"/>
              </w:rPr>
              <w:t>要求的前提下，承诺对“保修</w:t>
            </w:r>
            <w:r>
              <w:rPr>
                <w:rFonts w:ascii="宋体" w:hAnsi="宋体" w:eastAsia="宋体" w:cs="宋体"/>
                <w:color w:val="000000"/>
                <w:kern w:val="0"/>
                <w:sz w:val="24"/>
                <w:szCs w:val="24"/>
                <w:highlight w:val="none"/>
              </w:rPr>
              <w:t>(缺陷责任) 期”</w:t>
            </w:r>
            <w:r>
              <w:rPr>
                <w:rFonts w:hint="eastAsia" w:ascii="宋体" w:hAnsi="宋体" w:eastAsia="宋体" w:cs="宋体"/>
                <w:color w:val="000000"/>
                <w:kern w:val="0"/>
                <w:sz w:val="24"/>
                <w:szCs w:val="24"/>
                <w:highlight w:val="none"/>
              </w:rPr>
              <w:t>或</w:t>
            </w:r>
            <w:r>
              <w:rPr>
                <w:rFonts w:ascii="宋体" w:hAnsi="宋体" w:eastAsia="宋体" w:cs="宋体"/>
                <w:color w:val="000000"/>
                <w:kern w:val="0"/>
                <w:sz w:val="24"/>
                <w:szCs w:val="24"/>
                <w:highlight w:val="none"/>
              </w:rPr>
              <w:t>“产品质保期”</w:t>
            </w:r>
            <w:r>
              <w:rPr>
                <w:rFonts w:hint="eastAsia" w:ascii="宋体" w:hAnsi="宋体" w:eastAsia="宋体" w:cs="宋体"/>
                <w:color w:val="000000"/>
                <w:kern w:val="0"/>
                <w:sz w:val="24"/>
                <w:szCs w:val="24"/>
                <w:highlight w:val="none"/>
              </w:rPr>
              <w:t>每增加1年，得1分，最多得</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27" w:type="pct"/>
            <w:vMerge w:val="continue"/>
            <w:vAlign w:val="center"/>
          </w:tcPr>
          <w:p>
            <w:pPr>
              <w:widowControl/>
              <w:jc w:val="center"/>
              <w:rPr>
                <w:rFonts w:ascii="宋体" w:hAnsi="宋体" w:eastAsia="宋体" w:cs="宋体"/>
                <w:color w:val="000000"/>
                <w:kern w:val="0"/>
                <w:sz w:val="24"/>
                <w:szCs w:val="24"/>
                <w:highlight w:val="none"/>
              </w:rPr>
            </w:pPr>
          </w:p>
        </w:tc>
        <w:tc>
          <w:tcPr>
            <w:tcW w:w="369" w:type="pct"/>
            <w:shd w:val="clear" w:color="auto" w:fill="auto"/>
            <w:vAlign w:val="center"/>
          </w:tcPr>
          <w:p>
            <w:pPr>
              <w:widowControl/>
              <w:jc w:val="center"/>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技术培训</w:t>
            </w:r>
          </w:p>
        </w:tc>
        <w:tc>
          <w:tcPr>
            <w:tcW w:w="482" w:type="pct"/>
            <w:vAlign w:val="center"/>
          </w:tcPr>
          <w:p>
            <w:pPr>
              <w:widowControl/>
              <w:jc w:val="center"/>
              <w:rPr>
                <w:rFonts w:hint="eastAsia" w:ascii="宋体" w:hAnsi="宋体" w:eastAsia="宋体" w:cs="宋体"/>
                <w:color w:val="000000"/>
                <w:kern w:val="0"/>
                <w:sz w:val="24"/>
                <w:szCs w:val="24"/>
                <w:highlight w:val="none"/>
                <w:lang w:eastAsia="zh-CN"/>
              </w:rPr>
            </w:pPr>
            <w:r>
              <w:rPr>
                <w:rFonts w:hint="eastAsia" w:ascii="宋体" w:hAnsi="宋体" w:eastAsia="宋体" w:cs="宋体"/>
                <w:color w:val="000000"/>
                <w:kern w:val="0"/>
                <w:sz w:val="24"/>
                <w:szCs w:val="24"/>
                <w:highlight w:val="none"/>
                <w:lang w:val="en-US" w:eastAsia="zh-CN"/>
              </w:rPr>
              <w:t>5</w:t>
            </w:r>
          </w:p>
        </w:tc>
        <w:tc>
          <w:tcPr>
            <w:tcW w:w="3720" w:type="pct"/>
            <w:shd w:val="clear" w:color="auto" w:fill="auto"/>
            <w:vAlign w:val="center"/>
          </w:tcPr>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技术培训方案内容应完整、可行、合理，应包括培训对象、培训目标、培训方式和培训时长，以及再次培训和费用等。</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1、培训对象、培训目标、培训方式和培训时长等描述明确，符合招标文件要求，得0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val="en-US" w:eastAsia="zh-CN"/>
              </w:rPr>
              <w:t>3</w:t>
            </w:r>
            <w:r>
              <w:rPr>
                <w:rFonts w:hint="eastAsia" w:ascii="宋体" w:hAnsi="宋体" w:eastAsia="宋体" w:cs="宋体"/>
                <w:color w:val="000000"/>
                <w:kern w:val="0"/>
                <w:sz w:val="24"/>
                <w:szCs w:val="24"/>
                <w:highlight w:val="none"/>
              </w:rPr>
              <w:t>分。</w:t>
            </w:r>
          </w:p>
          <w:p>
            <w:pPr>
              <w:widowControl/>
              <w:ind w:firstLine="480" w:firstLineChars="200"/>
              <w:jc w:val="left"/>
              <w:rPr>
                <w:rFonts w:ascii="宋体" w:hAnsi="宋体" w:eastAsia="宋体" w:cs="宋体"/>
                <w:color w:val="000000"/>
                <w:kern w:val="0"/>
                <w:sz w:val="24"/>
                <w:szCs w:val="24"/>
                <w:highlight w:val="none"/>
              </w:rPr>
            </w:pPr>
            <w:r>
              <w:rPr>
                <w:rFonts w:hint="eastAsia" w:ascii="宋体" w:hAnsi="宋体" w:eastAsia="宋体" w:cs="宋体"/>
                <w:color w:val="000000"/>
                <w:kern w:val="0"/>
                <w:sz w:val="24"/>
                <w:szCs w:val="24"/>
                <w:highlight w:val="none"/>
              </w:rPr>
              <w:t>2、技术培训未达到预期目标时，进行再次培训及再次培训费用的承诺，得0</w:t>
            </w:r>
            <w:r>
              <w:rPr>
                <w:rFonts w:ascii="宋体" w:hAnsi="宋体" w:eastAsia="宋体" w:cs="宋体"/>
                <w:color w:val="000000"/>
                <w:kern w:val="0"/>
                <w:sz w:val="24"/>
                <w:szCs w:val="24"/>
                <w:highlight w:val="none"/>
              </w:rPr>
              <w:t>-</w:t>
            </w:r>
            <w:r>
              <w:rPr>
                <w:rFonts w:hint="eastAsia" w:ascii="宋体" w:hAnsi="宋体" w:eastAsia="宋体" w:cs="宋体"/>
                <w:color w:val="000000"/>
                <w:kern w:val="0"/>
                <w:sz w:val="24"/>
                <w:szCs w:val="24"/>
                <w:highlight w:val="none"/>
                <w:lang w:val="en-US" w:eastAsia="zh-CN"/>
              </w:rPr>
              <w:t>2</w:t>
            </w:r>
            <w:r>
              <w:rPr>
                <w:rFonts w:hint="eastAsia" w:ascii="宋体" w:hAnsi="宋体" w:eastAsia="宋体" w:cs="宋体"/>
                <w:color w:val="000000"/>
                <w:kern w:val="0"/>
                <w:sz w:val="24"/>
                <w:szCs w:val="24"/>
                <w:highlight w:val="none"/>
              </w:rPr>
              <w:t>分。</w:t>
            </w:r>
          </w:p>
        </w:tc>
      </w:tr>
    </w:tbl>
    <w:p>
      <w:pPr>
        <w:rPr>
          <w:rFonts w:hint="eastAsia"/>
          <w:color w:val="auto"/>
          <w:highlight w:val="none"/>
          <w:lang w:eastAsia="zh-CN"/>
        </w:rPr>
      </w:pPr>
    </w:p>
    <w:p>
      <w:pPr>
        <w:spacing w:line="460" w:lineRule="exact"/>
        <w:rPr>
          <w:rFonts w:hAnsi="宋体" w:cs="宋体"/>
          <w:b/>
          <w:color w:val="auto"/>
          <w:spacing w:val="4"/>
          <w:sz w:val="28"/>
          <w:szCs w:val="24"/>
          <w:highlight w:val="none"/>
        </w:rPr>
      </w:pPr>
      <w:r>
        <w:rPr>
          <w:rFonts w:hint="eastAsia" w:hAnsi="宋体" w:cs="宋体"/>
          <w:b/>
          <w:color w:val="auto"/>
          <w:spacing w:val="4"/>
          <w:sz w:val="28"/>
          <w:szCs w:val="24"/>
          <w:highlight w:val="none"/>
        </w:rPr>
        <w:t>五、定标：</w:t>
      </w:r>
    </w:p>
    <w:p>
      <w:pPr>
        <w:spacing w:line="460" w:lineRule="exact"/>
        <w:ind w:firstLine="496" w:firstLineChars="200"/>
        <w:rPr>
          <w:rFonts w:hAnsi="宋体" w:cs="宋体"/>
          <w:color w:val="auto"/>
          <w:spacing w:val="4"/>
          <w:szCs w:val="24"/>
          <w:highlight w:val="none"/>
        </w:rPr>
      </w:pPr>
      <w:r>
        <w:rPr>
          <w:rFonts w:hint="eastAsia" w:hAnsi="宋体" w:cs="宋体"/>
          <w:color w:val="auto"/>
          <w:spacing w:val="4"/>
          <w:szCs w:val="24"/>
          <w:highlight w:val="none"/>
        </w:rPr>
        <w:t>1、评标结果由</w:t>
      </w:r>
      <w:r>
        <w:rPr>
          <w:rFonts w:hint="eastAsia" w:hAnsi="宋体" w:cs="宋体"/>
          <w:color w:val="auto"/>
          <w:szCs w:val="24"/>
          <w:highlight w:val="none"/>
        </w:rPr>
        <w:t>评标委员会</w:t>
      </w:r>
      <w:r>
        <w:rPr>
          <w:rFonts w:hint="eastAsia" w:hAnsi="宋体" w:cs="宋体"/>
          <w:color w:val="auto"/>
          <w:spacing w:val="4"/>
          <w:szCs w:val="24"/>
          <w:highlight w:val="none"/>
        </w:rPr>
        <w:t>全体</w:t>
      </w:r>
      <w:r>
        <w:rPr>
          <w:rFonts w:hint="eastAsia" w:hAnsi="宋体" w:cs="宋体"/>
          <w:color w:val="auto"/>
          <w:szCs w:val="24"/>
          <w:highlight w:val="none"/>
        </w:rPr>
        <w:t>成员</w:t>
      </w:r>
      <w:r>
        <w:rPr>
          <w:rFonts w:hint="eastAsia" w:hAnsi="宋体" w:cs="宋体"/>
          <w:color w:val="auto"/>
          <w:spacing w:val="4"/>
          <w:szCs w:val="24"/>
          <w:highlight w:val="none"/>
        </w:rPr>
        <w:t>签字确认。</w:t>
      </w:r>
    </w:p>
    <w:p>
      <w:pPr>
        <w:spacing w:line="460" w:lineRule="exact"/>
        <w:ind w:firstLine="496" w:firstLineChars="200"/>
        <w:rPr>
          <w:rFonts w:hAnsi="宋体" w:cs="宋体"/>
          <w:bCs/>
          <w:color w:val="auto"/>
          <w:sz w:val="36"/>
          <w:szCs w:val="36"/>
          <w:highlight w:val="none"/>
        </w:rPr>
      </w:pPr>
      <w:r>
        <w:rPr>
          <w:rFonts w:hint="eastAsia" w:hAnsi="宋体" w:cs="宋体"/>
          <w:color w:val="auto"/>
          <w:spacing w:val="4"/>
          <w:szCs w:val="24"/>
          <w:highlight w:val="none"/>
        </w:rPr>
        <w:t>2、采购人根据评标报告中推荐的中标候选人排列顺序确定投标人，以复函通知招标代理机构。</w:t>
      </w:r>
    </w:p>
    <w:p>
      <w:pPr>
        <w:rPr>
          <w:rFonts w:hint="eastAsia" w:ascii="宋体" w:eastAsia="宋体" w:cs="宋体"/>
          <w:bCs/>
          <w:color w:val="auto"/>
          <w:sz w:val="36"/>
          <w:szCs w:val="36"/>
          <w:highlight w:val="none"/>
        </w:rPr>
      </w:pPr>
      <w:r>
        <w:rPr>
          <w:rFonts w:hint="eastAsia" w:ascii="宋体" w:eastAsia="宋体" w:cs="宋体"/>
          <w:bCs/>
          <w:color w:val="auto"/>
          <w:sz w:val="36"/>
          <w:szCs w:val="36"/>
          <w:highlight w:val="none"/>
        </w:rPr>
        <w:br w:type="page"/>
      </w:r>
    </w:p>
    <w:p>
      <w:pPr>
        <w:pStyle w:val="3"/>
        <w:spacing w:line="360" w:lineRule="auto"/>
        <w:jc w:val="center"/>
        <w:rPr>
          <w:rFonts w:ascii="宋体" w:eastAsia="宋体" w:cs="宋体"/>
          <w:bCs/>
          <w:color w:val="auto"/>
          <w:sz w:val="36"/>
          <w:szCs w:val="36"/>
          <w:highlight w:val="none"/>
        </w:rPr>
      </w:pPr>
      <w:r>
        <w:rPr>
          <w:rFonts w:hint="eastAsia" w:ascii="宋体" w:eastAsia="宋体" w:cs="宋体"/>
          <w:bCs/>
          <w:color w:val="auto"/>
          <w:sz w:val="36"/>
          <w:szCs w:val="36"/>
          <w:highlight w:val="none"/>
        </w:rPr>
        <w:t>第六章</w:t>
      </w:r>
      <w:r>
        <w:rPr>
          <w:rFonts w:hint="eastAsia" w:ascii="宋体" w:eastAsia="宋体" w:cs="宋体"/>
          <w:bCs/>
          <w:color w:val="auto"/>
          <w:sz w:val="36"/>
          <w:szCs w:val="36"/>
          <w:highlight w:val="none"/>
          <w:lang w:val="en-US" w:eastAsia="zh-CN"/>
        </w:rPr>
        <w:t xml:space="preserve">  </w:t>
      </w:r>
      <w:r>
        <w:rPr>
          <w:rFonts w:hint="eastAsia" w:ascii="宋体" w:eastAsia="宋体" w:cs="宋体"/>
          <w:bCs/>
          <w:color w:val="auto"/>
          <w:sz w:val="36"/>
          <w:szCs w:val="36"/>
          <w:highlight w:val="none"/>
        </w:rPr>
        <w:t>投标文件构成及格式</w:t>
      </w:r>
      <w:bookmarkEnd w:id="95"/>
      <w:bookmarkEnd w:id="96"/>
      <w:bookmarkEnd w:id="97"/>
      <w:bookmarkEnd w:id="98"/>
      <w:bookmarkEnd w:id="99"/>
      <w:bookmarkEnd w:id="100"/>
      <w:bookmarkEnd w:id="101"/>
    </w:p>
    <w:p>
      <w:pPr>
        <w:rPr>
          <w:rFonts w:hAnsi="宋体" w:cs="宋体"/>
          <w:color w:val="auto"/>
          <w:highlight w:val="none"/>
        </w:rPr>
      </w:pPr>
    </w:p>
    <w:p>
      <w:pPr>
        <w:rPr>
          <w:rFonts w:hint="eastAsia" w:hAnsi="宋体" w:eastAsia="宋体" w:cs="宋体"/>
          <w:b/>
          <w:color w:val="auto"/>
          <w:sz w:val="32"/>
          <w:szCs w:val="32"/>
          <w:highlight w:val="none"/>
          <w:lang w:eastAsia="zh-CN"/>
        </w:rPr>
      </w:pPr>
      <w:r>
        <w:rPr>
          <w:rFonts w:hint="eastAsia" w:hAnsi="宋体" w:cs="宋体"/>
          <w:b/>
          <w:color w:val="auto"/>
          <w:sz w:val="32"/>
          <w:szCs w:val="32"/>
          <w:highlight w:val="none"/>
        </w:rPr>
        <w:t>项目编号：</w:t>
      </w:r>
      <w:r>
        <w:rPr>
          <w:rFonts w:hint="eastAsia" w:hAnsi="宋体" w:cs="宋体"/>
          <w:b/>
          <w:color w:val="auto"/>
          <w:sz w:val="32"/>
          <w:szCs w:val="32"/>
          <w:highlight w:val="none"/>
          <w:lang w:eastAsia="zh-CN"/>
        </w:rPr>
        <w:t>SXZCZB2022-ZCGK-0930</w:t>
      </w:r>
    </w:p>
    <w:p>
      <w:pPr>
        <w:jc w:val="right"/>
        <w:rPr>
          <w:rFonts w:hAnsi="宋体" w:cs="宋体"/>
          <w:b/>
          <w:color w:val="auto"/>
          <w:sz w:val="32"/>
          <w:szCs w:val="32"/>
          <w:highlight w:val="none"/>
        </w:rPr>
      </w:pPr>
      <w:r>
        <w:rPr>
          <w:rFonts w:hint="eastAsia" w:hAnsi="宋体" w:cs="宋体"/>
          <w:b/>
          <w:color w:val="auto"/>
          <w:sz w:val="32"/>
          <w:szCs w:val="32"/>
          <w:highlight w:val="none"/>
        </w:rPr>
        <w:t>（正本或副本）</w:t>
      </w:r>
    </w:p>
    <w:p>
      <w:pPr>
        <w:jc w:val="center"/>
        <w:rPr>
          <w:rFonts w:hAnsi="宋体" w:cs="宋体"/>
          <w:b/>
          <w:color w:val="auto"/>
          <w:sz w:val="36"/>
          <w:szCs w:val="36"/>
          <w:highlight w:val="none"/>
        </w:rPr>
      </w:pPr>
    </w:p>
    <w:p>
      <w:pPr>
        <w:rPr>
          <w:rFonts w:hAnsi="宋体" w:cs="宋体"/>
          <w:b/>
          <w:color w:val="auto"/>
          <w:sz w:val="52"/>
          <w:szCs w:val="52"/>
          <w:highlight w:val="none"/>
        </w:rPr>
      </w:pPr>
    </w:p>
    <w:p>
      <w:pPr>
        <w:jc w:val="center"/>
        <w:rPr>
          <w:rFonts w:hint="eastAsia" w:hAnsi="宋体" w:eastAsia="宋体" w:cs="宋体"/>
          <w:b/>
          <w:color w:val="auto"/>
          <w:sz w:val="48"/>
          <w:szCs w:val="48"/>
          <w:highlight w:val="none"/>
          <w:lang w:eastAsia="zh-CN"/>
        </w:rPr>
      </w:pPr>
      <w:r>
        <w:rPr>
          <w:rFonts w:hint="eastAsia" w:hAnsi="宋体" w:cs="宋体"/>
          <w:b/>
          <w:color w:val="auto"/>
          <w:sz w:val="72"/>
          <w:szCs w:val="72"/>
          <w:highlight w:val="none"/>
          <w:lang w:eastAsia="zh-CN"/>
        </w:rPr>
        <w:t>检察业务装备采购项目</w:t>
      </w:r>
    </w:p>
    <w:p>
      <w:pPr>
        <w:rPr>
          <w:rFonts w:hAnsi="宋体" w:cs="宋体"/>
          <w:b/>
          <w:color w:val="auto"/>
          <w:sz w:val="48"/>
          <w:szCs w:val="48"/>
          <w:highlight w:val="none"/>
        </w:rPr>
      </w:pPr>
    </w:p>
    <w:p>
      <w:pPr>
        <w:rPr>
          <w:rFonts w:hAnsi="宋体" w:cs="宋体"/>
          <w:b/>
          <w:color w:val="auto"/>
          <w:sz w:val="48"/>
          <w:szCs w:val="48"/>
          <w:highlight w:val="none"/>
        </w:rPr>
      </w:pPr>
    </w:p>
    <w:p>
      <w:pPr>
        <w:jc w:val="center"/>
        <w:rPr>
          <w:rFonts w:hint="eastAsia" w:hAnsi="宋体" w:cs="宋体"/>
          <w:b/>
          <w:color w:val="auto"/>
          <w:sz w:val="72"/>
          <w:szCs w:val="72"/>
          <w:highlight w:val="none"/>
        </w:rPr>
      </w:pPr>
    </w:p>
    <w:p>
      <w:pPr>
        <w:jc w:val="center"/>
        <w:rPr>
          <w:rFonts w:hAnsi="宋体" w:cs="宋体"/>
          <w:b/>
          <w:color w:val="auto"/>
          <w:sz w:val="72"/>
          <w:szCs w:val="72"/>
          <w:highlight w:val="none"/>
        </w:rPr>
      </w:pPr>
      <w:r>
        <w:rPr>
          <w:rFonts w:hint="eastAsia" w:hAnsi="宋体" w:cs="宋体"/>
          <w:b/>
          <w:color w:val="auto"/>
          <w:sz w:val="72"/>
          <w:szCs w:val="72"/>
          <w:highlight w:val="none"/>
        </w:rPr>
        <w:t>投 标 文 件</w:t>
      </w:r>
    </w:p>
    <w:p>
      <w:pPr>
        <w:rPr>
          <w:rFonts w:hAnsi="宋体" w:cs="宋体"/>
          <w:b/>
          <w:color w:val="auto"/>
          <w:sz w:val="36"/>
          <w:szCs w:val="36"/>
          <w:highlight w:val="none"/>
        </w:rPr>
      </w:pPr>
    </w:p>
    <w:p>
      <w:pPr>
        <w:tabs>
          <w:tab w:val="center" w:pos="5346"/>
        </w:tabs>
        <w:spacing w:line="720" w:lineRule="auto"/>
        <w:jc w:val="center"/>
        <w:rPr>
          <w:rFonts w:hint="eastAsia" w:hAnsi="宋体" w:cs="宋体"/>
          <w:b/>
          <w:color w:val="auto"/>
          <w:sz w:val="32"/>
          <w:szCs w:val="32"/>
          <w:highlight w:val="none"/>
        </w:rPr>
      </w:pPr>
    </w:p>
    <w:p>
      <w:pPr>
        <w:tabs>
          <w:tab w:val="center" w:pos="5346"/>
        </w:tabs>
        <w:spacing w:line="720" w:lineRule="auto"/>
        <w:jc w:val="center"/>
        <w:rPr>
          <w:rFonts w:hint="eastAsia" w:hAnsi="宋体" w:cs="宋体"/>
          <w:b/>
          <w:color w:val="auto"/>
          <w:sz w:val="32"/>
          <w:szCs w:val="32"/>
          <w:highlight w:val="none"/>
        </w:rPr>
      </w:pPr>
    </w:p>
    <w:p>
      <w:pPr>
        <w:tabs>
          <w:tab w:val="center" w:pos="5346"/>
        </w:tabs>
        <w:spacing w:line="720" w:lineRule="auto"/>
        <w:jc w:val="center"/>
        <w:rPr>
          <w:rFonts w:hAnsi="宋体" w:cs="宋体"/>
          <w:b/>
          <w:color w:val="auto"/>
          <w:sz w:val="32"/>
          <w:szCs w:val="32"/>
          <w:highlight w:val="none"/>
        </w:rPr>
      </w:pPr>
      <w:r>
        <w:rPr>
          <w:rFonts w:hint="eastAsia" w:hAnsi="宋体" w:cs="宋体"/>
          <w:b/>
          <w:color w:val="auto"/>
          <w:sz w:val="32"/>
          <w:szCs w:val="32"/>
          <w:highlight w:val="none"/>
        </w:rPr>
        <w:t>投标人名称（公章）</w:t>
      </w:r>
    </w:p>
    <w:p>
      <w:pPr>
        <w:spacing w:line="720" w:lineRule="auto"/>
        <w:jc w:val="center"/>
        <w:rPr>
          <w:rFonts w:hAnsi="宋体" w:cs="宋体"/>
          <w:color w:val="auto"/>
          <w:sz w:val="32"/>
          <w:szCs w:val="32"/>
          <w:highlight w:val="none"/>
        </w:rPr>
      </w:pPr>
      <w:r>
        <w:rPr>
          <w:rFonts w:hint="eastAsia" w:hAnsi="宋体" w:cs="宋体"/>
          <w:b/>
          <w:color w:val="auto"/>
          <w:sz w:val="32"/>
          <w:szCs w:val="32"/>
          <w:highlight w:val="none"/>
        </w:rPr>
        <w:t xml:space="preserve">  年   月</w:t>
      </w:r>
      <w:r>
        <w:rPr>
          <w:rFonts w:hint="eastAsia" w:hAnsi="宋体" w:cs="宋体"/>
          <w:b/>
          <w:color w:val="auto"/>
          <w:sz w:val="36"/>
          <w:szCs w:val="36"/>
          <w:highlight w:val="none"/>
        </w:rPr>
        <w:br w:type="page"/>
      </w:r>
      <w:bookmarkStart w:id="104" w:name="_Toc426457699"/>
      <w:bookmarkStart w:id="105" w:name="_Toc363474026"/>
      <w:bookmarkStart w:id="106" w:name="_Toc17702"/>
      <w:bookmarkStart w:id="107" w:name="_Toc403077647"/>
      <w:bookmarkStart w:id="108" w:name="_Toc23267"/>
      <w:bookmarkStart w:id="109" w:name="_Toc23850"/>
      <w:bookmarkStart w:id="110" w:name="_Toc22537"/>
      <w:bookmarkStart w:id="111" w:name="_Toc30983"/>
      <w:r>
        <w:rPr>
          <w:rFonts w:hint="eastAsia" w:hAnsi="宋体" w:cs="宋体"/>
          <w:color w:val="auto"/>
          <w:sz w:val="32"/>
          <w:szCs w:val="32"/>
          <w:highlight w:val="none"/>
        </w:rPr>
        <w:t>目    录</w:t>
      </w:r>
      <w:bookmarkEnd w:id="104"/>
      <w:bookmarkEnd w:id="105"/>
      <w:bookmarkEnd w:id="106"/>
      <w:bookmarkEnd w:id="107"/>
      <w:bookmarkEnd w:id="108"/>
      <w:bookmarkEnd w:id="109"/>
      <w:bookmarkEnd w:id="110"/>
      <w:bookmarkEnd w:id="111"/>
    </w:p>
    <w:p>
      <w:pPr>
        <w:rPr>
          <w:rFonts w:hAnsi="宋体" w:cs="宋体"/>
          <w:color w:val="auto"/>
          <w:highlight w:val="none"/>
        </w:rPr>
      </w:pPr>
    </w:p>
    <w:p>
      <w:pPr>
        <w:numPr>
          <w:ilvl w:val="0"/>
          <w:numId w:val="5"/>
        </w:numPr>
        <w:tabs>
          <w:tab w:val="left" w:pos="1418"/>
        </w:tabs>
        <w:spacing w:line="720" w:lineRule="auto"/>
        <w:ind w:left="831"/>
        <w:rPr>
          <w:rFonts w:hAnsi="宋体" w:cs="宋体"/>
          <w:color w:val="auto"/>
          <w:spacing w:val="4"/>
          <w:szCs w:val="24"/>
          <w:highlight w:val="none"/>
        </w:rPr>
      </w:pPr>
      <w:r>
        <w:rPr>
          <w:rFonts w:hint="eastAsia" w:hAnsi="宋体" w:cs="宋体"/>
          <w:color w:val="auto"/>
          <w:spacing w:val="4"/>
          <w:szCs w:val="24"/>
          <w:highlight w:val="none"/>
        </w:rPr>
        <w:t>投标函</w:t>
      </w:r>
    </w:p>
    <w:p>
      <w:pPr>
        <w:numPr>
          <w:ilvl w:val="0"/>
          <w:numId w:val="5"/>
        </w:numPr>
        <w:tabs>
          <w:tab w:val="left" w:pos="1418"/>
        </w:tabs>
        <w:spacing w:line="720" w:lineRule="auto"/>
        <w:ind w:left="831"/>
        <w:rPr>
          <w:rFonts w:hAnsi="宋体" w:cs="宋体"/>
          <w:color w:val="auto"/>
          <w:spacing w:val="4"/>
          <w:szCs w:val="24"/>
          <w:highlight w:val="none"/>
        </w:rPr>
      </w:pPr>
      <w:r>
        <w:rPr>
          <w:rFonts w:hint="eastAsia" w:hAnsi="宋体" w:cs="宋体"/>
          <w:color w:val="auto"/>
          <w:spacing w:val="4"/>
          <w:szCs w:val="24"/>
          <w:highlight w:val="none"/>
        </w:rPr>
        <w:t>投标报价表</w:t>
      </w:r>
    </w:p>
    <w:p>
      <w:pPr>
        <w:numPr>
          <w:ilvl w:val="0"/>
          <w:numId w:val="5"/>
        </w:numPr>
        <w:tabs>
          <w:tab w:val="left" w:pos="1418"/>
        </w:tabs>
        <w:spacing w:line="720" w:lineRule="auto"/>
        <w:ind w:left="831"/>
        <w:rPr>
          <w:rFonts w:hAnsi="宋体" w:cs="宋体"/>
          <w:color w:val="auto"/>
          <w:spacing w:val="4"/>
          <w:szCs w:val="24"/>
          <w:highlight w:val="none"/>
        </w:rPr>
      </w:pPr>
      <w:r>
        <w:rPr>
          <w:rFonts w:hint="eastAsia" w:hAnsi="宋体" w:cs="宋体"/>
          <w:color w:val="auto"/>
          <w:szCs w:val="24"/>
          <w:highlight w:val="none"/>
        </w:rPr>
        <w:t>投标方案说明书</w:t>
      </w:r>
    </w:p>
    <w:p>
      <w:pPr>
        <w:numPr>
          <w:ilvl w:val="0"/>
          <w:numId w:val="5"/>
        </w:numPr>
        <w:tabs>
          <w:tab w:val="left" w:pos="1418"/>
        </w:tabs>
        <w:spacing w:line="720" w:lineRule="auto"/>
        <w:ind w:left="831"/>
        <w:rPr>
          <w:rFonts w:hAnsi="宋体" w:cs="宋体"/>
          <w:color w:val="auto"/>
          <w:spacing w:val="4"/>
          <w:szCs w:val="24"/>
          <w:highlight w:val="none"/>
        </w:rPr>
      </w:pPr>
      <w:r>
        <w:rPr>
          <w:rFonts w:hint="eastAsia" w:hAnsi="宋体" w:cs="宋体"/>
          <w:color w:val="auto"/>
          <w:szCs w:val="24"/>
          <w:highlight w:val="none"/>
        </w:rPr>
        <w:t>商务条款偏离表</w:t>
      </w:r>
    </w:p>
    <w:p>
      <w:pPr>
        <w:numPr>
          <w:ilvl w:val="0"/>
          <w:numId w:val="5"/>
        </w:numPr>
        <w:tabs>
          <w:tab w:val="left" w:pos="1418"/>
        </w:tabs>
        <w:spacing w:line="720" w:lineRule="auto"/>
        <w:ind w:left="831"/>
        <w:rPr>
          <w:rFonts w:hAnsi="宋体" w:cs="宋体"/>
          <w:color w:val="auto"/>
          <w:spacing w:val="4"/>
          <w:szCs w:val="24"/>
          <w:highlight w:val="none"/>
        </w:rPr>
      </w:pPr>
      <w:r>
        <w:rPr>
          <w:rFonts w:hint="eastAsia" w:hAnsi="宋体" w:cs="宋体"/>
          <w:color w:val="auto"/>
          <w:spacing w:val="4"/>
          <w:szCs w:val="24"/>
          <w:highlight w:val="none"/>
        </w:rPr>
        <w:t>陕西省政府采购供应商拒绝政府采购领域商业贿赂承诺书</w:t>
      </w:r>
    </w:p>
    <w:p>
      <w:pPr>
        <w:numPr>
          <w:ilvl w:val="0"/>
          <w:numId w:val="5"/>
        </w:numPr>
        <w:tabs>
          <w:tab w:val="left" w:pos="1418"/>
        </w:tabs>
        <w:spacing w:line="720" w:lineRule="auto"/>
        <w:ind w:left="831"/>
        <w:rPr>
          <w:rFonts w:hint="eastAsia" w:hAnsi="宋体" w:cs="宋体"/>
          <w:color w:val="auto"/>
          <w:szCs w:val="24"/>
          <w:highlight w:val="none"/>
        </w:rPr>
      </w:pPr>
      <w:r>
        <w:rPr>
          <w:rFonts w:hint="eastAsia" w:hAnsi="宋体" w:cs="宋体"/>
          <w:color w:val="auto"/>
          <w:szCs w:val="24"/>
          <w:highlight w:val="none"/>
        </w:rPr>
        <w:t>资格证明文件</w:t>
      </w:r>
    </w:p>
    <w:p>
      <w:pPr>
        <w:numPr>
          <w:ilvl w:val="0"/>
          <w:numId w:val="5"/>
        </w:numPr>
        <w:tabs>
          <w:tab w:val="left" w:pos="1418"/>
        </w:tabs>
        <w:spacing w:line="720" w:lineRule="auto"/>
        <w:ind w:left="831"/>
        <w:rPr>
          <w:rFonts w:hint="eastAsia" w:hAnsi="宋体" w:cs="宋体"/>
          <w:color w:val="auto"/>
          <w:szCs w:val="24"/>
          <w:highlight w:val="none"/>
          <w:lang w:eastAsia="zh-CN"/>
        </w:rPr>
      </w:pPr>
      <w:r>
        <w:rPr>
          <w:rFonts w:hint="eastAsia" w:hAnsi="宋体" w:cs="宋体"/>
          <w:color w:val="auto"/>
          <w:szCs w:val="24"/>
          <w:highlight w:val="none"/>
          <w:lang w:eastAsia="zh-CN"/>
        </w:rPr>
        <w:t>其他</w:t>
      </w:r>
    </w:p>
    <w:p>
      <w:pPr>
        <w:spacing w:line="480" w:lineRule="auto"/>
        <w:ind w:left="105"/>
        <w:rPr>
          <w:rFonts w:hAnsi="宋体" w:cs="宋体"/>
          <w:color w:val="auto"/>
          <w:spacing w:val="4"/>
          <w:szCs w:val="24"/>
          <w:highlight w:val="none"/>
        </w:rPr>
      </w:pPr>
    </w:p>
    <w:p>
      <w:pPr>
        <w:pStyle w:val="5"/>
        <w:spacing w:before="333" w:beforeLines="100"/>
        <w:rPr>
          <w:rFonts w:ascii="宋体" w:hAnsi="宋体" w:cs="宋体"/>
          <w:color w:val="auto"/>
          <w:sz w:val="32"/>
          <w:szCs w:val="32"/>
          <w:highlight w:val="none"/>
        </w:rPr>
      </w:pPr>
      <w:r>
        <w:rPr>
          <w:rFonts w:hint="eastAsia" w:ascii="宋体" w:hAnsi="宋体" w:cs="宋体"/>
          <w:color w:val="auto"/>
          <w:sz w:val="28"/>
          <w:highlight w:val="none"/>
        </w:rPr>
        <w:br w:type="page"/>
      </w:r>
      <w:bookmarkStart w:id="112" w:name="_Toc363474027"/>
      <w:bookmarkStart w:id="113" w:name="_Toc403077648"/>
      <w:bookmarkStart w:id="114" w:name="_Toc22682"/>
      <w:bookmarkStart w:id="115" w:name="_Toc426457700"/>
      <w:bookmarkStart w:id="116" w:name="_Toc24564"/>
      <w:bookmarkStart w:id="117" w:name="_Toc20960"/>
      <w:bookmarkStart w:id="118" w:name="_Toc28404"/>
      <w:bookmarkStart w:id="119" w:name="_Toc14057"/>
      <w:bookmarkStart w:id="120" w:name="_Toc23702"/>
      <w:bookmarkStart w:id="121" w:name="_Toc24231"/>
      <w:bookmarkStart w:id="122" w:name="_Toc4930"/>
      <w:bookmarkStart w:id="123" w:name="_Toc26301"/>
      <w:bookmarkStart w:id="124" w:name="_Toc6397"/>
      <w:r>
        <w:rPr>
          <w:rFonts w:hint="eastAsia" w:ascii="宋体" w:hAnsi="宋体" w:cs="宋体"/>
          <w:color w:val="auto"/>
          <w:sz w:val="32"/>
          <w:szCs w:val="32"/>
          <w:highlight w:val="none"/>
        </w:rPr>
        <w:t>一、投标</w:t>
      </w:r>
      <w:bookmarkEnd w:id="112"/>
      <w:bookmarkEnd w:id="113"/>
      <w:r>
        <w:rPr>
          <w:rFonts w:hint="eastAsia" w:ascii="宋体" w:hAnsi="宋体" w:cs="宋体"/>
          <w:color w:val="auto"/>
          <w:sz w:val="32"/>
          <w:szCs w:val="32"/>
          <w:highlight w:val="none"/>
        </w:rPr>
        <w:t>函</w:t>
      </w:r>
      <w:bookmarkEnd w:id="114"/>
      <w:bookmarkEnd w:id="115"/>
      <w:bookmarkEnd w:id="116"/>
      <w:bookmarkEnd w:id="117"/>
      <w:bookmarkEnd w:id="118"/>
      <w:bookmarkEnd w:id="119"/>
      <w:bookmarkEnd w:id="120"/>
      <w:bookmarkEnd w:id="121"/>
      <w:bookmarkEnd w:id="122"/>
      <w:bookmarkEnd w:id="123"/>
      <w:bookmarkEnd w:id="124"/>
    </w:p>
    <w:p>
      <w:pPr>
        <w:rPr>
          <w:rFonts w:hAnsi="宋体" w:cs="宋体"/>
          <w:color w:val="auto"/>
          <w:highlight w:val="none"/>
        </w:rPr>
      </w:pPr>
    </w:p>
    <w:p>
      <w:pPr>
        <w:spacing w:line="500" w:lineRule="exact"/>
        <w:jc w:val="left"/>
        <w:rPr>
          <w:rFonts w:hAnsi="宋体" w:cs="宋体"/>
          <w:color w:val="auto"/>
          <w:spacing w:val="4"/>
          <w:szCs w:val="24"/>
          <w:highlight w:val="none"/>
          <w:u w:val="single"/>
        </w:rPr>
      </w:pPr>
      <w:r>
        <w:rPr>
          <w:rFonts w:hint="eastAsia" w:hAnsi="宋体" w:cs="宋体"/>
          <w:b/>
          <w:color w:val="auto"/>
          <w:spacing w:val="4"/>
          <w:szCs w:val="24"/>
          <w:highlight w:val="none"/>
        </w:rPr>
        <w:t>致</w:t>
      </w:r>
      <w:r>
        <w:rPr>
          <w:rFonts w:hint="eastAsia" w:hAnsi="宋体" w:cs="宋体"/>
          <w:b/>
          <w:color w:val="auto"/>
          <w:spacing w:val="4"/>
          <w:szCs w:val="24"/>
          <w:highlight w:val="none"/>
          <w:u w:val="single"/>
        </w:rPr>
        <w:t>：采购人名称/陕西至诚招标咨询有限公司</w:t>
      </w:r>
    </w:p>
    <w:p>
      <w:pPr>
        <w:spacing w:line="500" w:lineRule="exact"/>
        <w:ind w:firstLine="496" w:firstLineChars="200"/>
        <w:rPr>
          <w:rFonts w:hAnsi="宋体" w:cs="宋体"/>
          <w:color w:val="auto"/>
          <w:spacing w:val="4"/>
          <w:highlight w:val="none"/>
        </w:rPr>
      </w:pPr>
      <w:r>
        <w:rPr>
          <w:rFonts w:hint="eastAsia" w:hAnsi="宋体" w:cs="宋体"/>
          <w:color w:val="auto"/>
          <w:spacing w:val="4"/>
          <w:highlight w:val="none"/>
        </w:rPr>
        <w:t>根据贵方“</w:t>
      </w:r>
      <w:r>
        <w:rPr>
          <w:rFonts w:hint="eastAsia" w:hAnsi="宋体" w:cs="宋体"/>
          <w:color w:val="auto"/>
          <w:spacing w:val="4"/>
          <w:highlight w:val="none"/>
          <w:u w:val="single"/>
        </w:rPr>
        <w:t xml:space="preserve">                      </w:t>
      </w:r>
      <w:r>
        <w:rPr>
          <w:rFonts w:hint="eastAsia" w:hAnsi="宋体" w:cs="宋体"/>
          <w:color w:val="auto"/>
          <w:spacing w:val="4"/>
          <w:highlight w:val="none"/>
        </w:rPr>
        <w:t>”项目的投标邀请</w:t>
      </w:r>
      <w:r>
        <w:rPr>
          <w:rFonts w:hint="eastAsia" w:hAnsi="宋体" w:cs="宋体"/>
          <w:color w:val="auto"/>
          <w:spacing w:val="4"/>
          <w:highlight w:val="none"/>
          <w:u w:val="single"/>
        </w:rPr>
        <w:t>(</w:t>
      </w:r>
      <w:r>
        <w:rPr>
          <w:rFonts w:hint="eastAsia" w:hAnsi="宋体" w:cs="宋体"/>
          <w:color w:val="auto"/>
          <w:spacing w:val="4"/>
          <w:highlight w:val="none"/>
          <w:u w:val="single"/>
          <w:lang w:eastAsia="zh-CN"/>
        </w:rPr>
        <w:t>编号</w:t>
      </w:r>
      <w:r>
        <w:rPr>
          <w:rFonts w:hint="eastAsia" w:hAnsi="宋体" w:cs="宋体"/>
          <w:color w:val="auto"/>
          <w:spacing w:val="4"/>
          <w:highlight w:val="none"/>
          <w:u w:val="single"/>
        </w:rPr>
        <w:t>：        )</w:t>
      </w:r>
      <w:r>
        <w:rPr>
          <w:rFonts w:hint="eastAsia" w:hAnsi="宋体" w:cs="宋体"/>
          <w:color w:val="auto"/>
          <w:spacing w:val="4"/>
          <w:highlight w:val="none"/>
        </w:rPr>
        <w:t>，签字代表</w:t>
      </w:r>
      <w:r>
        <w:rPr>
          <w:rFonts w:hint="eastAsia" w:hAnsi="宋体" w:cs="宋体"/>
          <w:color w:val="auto"/>
          <w:spacing w:val="4"/>
          <w:highlight w:val="none"/>
          <w:u w:val="single"/>
        </w:rPr>
        <w:t>（全名、职务）</w:t>
      </w:r>
      <w:r>
        <w:rPr>
          <w:rFonts w:hint="eastAsia" w:hAnsi="宋体" w:cs="宋体"/>
          <w:color w:val="auto"/>
          <w:spacing w:val="4"/>
          <w:highlight w:val="none"/>
        </w:rPr>
        <w:t>经正式授权并代表供应商</w:t>
      </w:r>
      <w:r>
        <w:rPr>
          <w:rFonts w:hint="eastAsia" w:hAnsi="宋体" w:cs="宋体"/>
          <w:color w:val="auto"/>
          <w:spacing w:val="4"/>
          <w:highlight w:val="none"/>
          <w:u w:val="single"/>
        </w:rPr>
        <w:t>(供应商名称、地址)</w:t>
      </w:r>
      <w:r>
        <w:rPr>
          <w:rFonts w:hint="eastAsia" w:hAnsi="宋体" w:cs="宋体"/>
          <w:color w:val="auto"/>
          <w:spacing w:val="4"/>
          <w:highlight w:val="none"/>
        </w:rPr>
        <w:t xml:space="preserve"> 提交投标文件正本壹份、副本一式</w:t>
      </w:r>
      <w:r>
        <w:rPr>
          <w:rFonts w:hint="eastAsia" w:hAnsi="宋体" w:cs="宋体"/>
          <w:color w:val="auto"/>
          <w:spacing w:val="4"/>
          <w:highlight w:val="none"/>
          <w:u w:val="single"/>
        </w:rPr>
        <w:t xml:space="preserve">    </w:t>
      </w:r>
      <w:r>
        <w:rPr>
          <w:rFonts w:hint="eastAsia" w:hAnsi="宋体" w:cs="宋体"/>
          <w:color w:val="auto"/>
          <w:spacing w:val="4"/>
          <w:highlight w:val="none"/>
        </w:rPr>
        <w:t>份、电子版</w:t>
      </w:r>
      <w:r>
        <w:rPr>
          <w:rFonts w:hint="eastAsia" w:hAnsi="宋体" w:cs="宋体"/>
          <w:color w:val="auto"/>
          <w:spacing w:val="4"/>
          <w:highlight w:val="none"/>
          <w:u w:val="single"/>
        </w:rPr>
        <w:t xml:space="preserve">    </w:t>
      </w:r>
      <w:r>
        <w:rPr>
          <w:rFonts w:hint="eastAsia" w:hAnsi="宋体" w:cs="宋体"/>
          <w:color w:val="auto"/>
          <w:spacing w:val="4"/>
          <w:highlight w:val="none"/>
        </w:rPr>
        <w:t>份、开标一览表</w:t>
      </w:r>
      <w:r>
        <w:rPr>
          <w:rFonts w:hint="eastAsia" w:hAnsi="宋体" w:cs="宋体"/>
          <w:color w:val="auto"/>
          <w:spacing w:val="4"/>
          <w:highlight w:val="none"/>
          <w:u w:val="single"/>
        </w:rPr>
        <w:t xml:space="preserve">    </w:t>
      </w:r>
      <w:r>
        <w:rPr>
          <w:rFonts w:hint="eastAsia" w:hAnsi="宋体" w:cs="宋体"/>
          <w:color w:val="auto"/>
          <w:spacing w:val="4"/>
          <w:highlight w:val="none"/>
        </w:rPr>
        <w:t>份。</w:t>
      </w:r>
      <w:r>
        <w:rPr>
          <w:rFonts w:hint="eastAsia" w:hAnsi="宋体" w:cs="宋体"/>
          <w:color w:val="auto"/>
          <w:spacing w:val="4"/>
          <w:sz w:val="24"/>
          <w:szCs w:val="24"/>
          <w:highlight w:val="none"/>
        </w:rPr>
        <w:t>并提交投标保证金，金额为</w:t>
      </w:r>
      <w:r>
        <w:rPr>
          <w:rFonts w:hint="eastAsia" w:hAnsi="宋体" w:cs="宋体"/>
          <w:color w:val="auto"/>
          <w:spacing w:val="4"/>
          <w:sz w:val="24"/>
          <w:szCs w:val="24"/>
          <w:highlight w:val="none"/>
          <w:u w:val="single"/>
        </w:rPr>
        <w:t xml:space="preserve">             </w:t>
      </w:r>
      <w:r>
        <w:rPr>
          <w:rFonts w:hint="eastAsia" w:hAnsi="宋体" w:cs="宋体"/>
          <w:color w:val="auto"/>
          <w:spacing w:val="4"/>
          <w:sz w:val="24"/>
          <w:szCs w:val="24"/>
          <w:highlight w:val="none"/>
        </w:rPr>
        <w:t>。</w:t>
      </w:r>
    </w:p>
    <w:p>
      <w:pPr>
        <w:spacing w:line="500" w:lineRule="exact"/>
        <w:ind w:left="624" w:leftChars="251" w:hanging="22" w:hangingChars="9"/>
        <w:jc w:val="left"/>
        <w:rPr>
          <w:rFonts w:hAnsi="宋体" w:cs="宋体"/>
          <w:color w:val="auto"/>
          <w:spacing w:val="4"/>
          <w:highlight w:val="none"/>
        </w:rPr>
      </w:pPr>
      <w:r>
        <w:rPr>
          <w:rFonts w:hint="eastAsia" w:hAnsi="宋体" w:cs="宋体"/>
          <w:color w:val="auto"/>
          <w:spacing w:val="4"/>
          <w:highlight w:val="none"/>
        </w:rPr>
        <w:t>我方承诺如下：</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投标报价为小写：</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（大写：</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如果中标，我们根据招标文件的规定，履行合同的责任和义务。</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我们已详细阅读和审核全部招标文件（含修改部分，如有的话）及有关附件，我们知道必须放弃提出含糊不清或误解的问题的权利。</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我们同意在投标有效期内（</w:t>
      </w:r>
      <w:r>
        <w:rPr>
          <w:rFonts w:hint="eastAsia" w:ascii="宋体" w:hAnsi="宋体" w:eastAsia="宋体" w:cs="宋体"/>
          <w:color w:val="auto"/>
          <w:spacing w:val="4"/>
          <w:sz w:val="24"/>
          <w:szCs w:val="24"/>
          <w:highlight w:val="none"/>
          <w:u w:val="single"/>
        </w:rPr>
        <w:t>自开标之日起    天</w:t>
      </w:r>
      <w:r>
        <w:rPr>
          <w:rFonts w:hint="eastAsia" w:ascii="宋体" w:hAnsi="宋体" w:eastAsia="宋体" w:cs="宋体"/>
          <w:color w:val="auto"/>
          <w:spacing w:val="4"/>
          <w:sz w:val="24"/>
          <w:szCs w:val="24"/>
          <w:highlight w:val="none"/>
        </w:rPr>
        <w:t>），本投标函对我方具有约束力。</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如果在开标后规定的投标有效期内撤回投标，我们的投标保证金可被贵方没收。</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同意提供贵方可能另外要求的与本投标有关的任何证据和资料。</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我们同意，如果中标，向陕西至诚招标咨询有限公司交纳招标代理服务费。</w:t>
      </w:r>
    </w:p>
    <w:p>
      <w:pPr>
        <w:numPr>
          <w:ilvl w:val="0"/>
          <w:numId w:val="6"/>
        </w:numPr>
        <w:tabs>
          <w:tab w:val="left" w:pos="2160"/>
        </w:tabs>
        <w:spacing w:line="500" w:lineRule="exact"/>
        <w:ind w:left="0" w:firstLine="0"/>
        <w:jc w:val="left"/>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与本投标有关的一切正式往来通讯为：</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联系地址：</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邮政编码：</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电    话：</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传    真：</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供应商名称（盖章）：</w:t>
      </w:r>
    </w:p>
    <w:p>
      <w:pPr>
        <w:spacing w:line="500" w:lineRule="exact"/>
        <w:ind w:firstLine="1200" w:firstLineChars="500"/>
        <w:jc w:val="left"/>
        <w:rPr>
          <w:rFonts w:hAnsi="宋体" w:cs="宋体"/>
          <w:color w:val="auto"/>
          <w:spacing w:val="4"/>
          <w:highlight w:val="none"/>
        </w:rPr>
      </w:pPr>
      <w:r>
        <w:rPr>
          <w:rFonts w:hint="eastAsia" w:hAnsi="宋体" w:cs="宋体"/>
          <w:color w:val="auto"/>
          <w:highlight w:val="none"/>
        </w:rPr>
        <w:t>法定代表人或</w:t>
      </w:r>
      <w:r>
        <w:rPr>
          <w:rFonts w:hint="eastAsia" w:hAnsi="宋体" w:cs="宋体"/>
          <w:color w:val="auto"/>
          <w:szCs w:val="24"/>
          <w:highlight w:val="none"/>
        </w:rPr>
        <w:t>被授权人签字或盖章</w:t>
      </w:r>
      <w:r>
        <w:rPr>
          <w:rFonts w:hint="eastAsia" w:hAnsi="宋体" w:cs="宋体"/>
          <w:color w:val="auto"/>
          <w:spacing w:val="4"/>
          <w:highlight w:val="none"/>
        </w:rPr>
        <w:t>：</w:t>
      </w:r>
    </w:p>
    <w:p>
      <w:pPr>
        <w:spacing w:line="500" w:lineRule="exact"/>
        <w:ind w:firstLine="1240" w:firstLineChars="500"/>
        <w:jc w:val="left"/>
        <w:rPr>
          <w:rFonts w:hAnsi="宋体" w:cs="宋体"/>
          <w:color w:val="auto"/>
          <w:spacing w:val="4"/>
          <w:highlight w:val="none"/>
        </w:rPr>
      </w:pPr>
      <w:r>
        <w:rPr>
          <w:rFonts w:hint="eastAsia" w:hAnsi="宋体" w:cs="宋体"/>
          <w:color w:val="auto"/>
          <w:spacing w:val="4"/>
          <w:highlight w:val="none"/>
        </w:rPr>
        <w:t>日    期：</w:t>
      </w:r>
    </w:p>
    <w:p>
      <w:pPr>
        <w:spacing w:before="333" w:beforeLines="100"/>
        <w:jc w:val="center"/>
        <w:outlineLvl w:val="2"/>
        <w:rPr>
          <w:rFonts w:hAnsi="宋体" w:cs="宋体"/>
          <w:b/>
          <w:bCs/>
          <w:color w:val="auto"/>
          <w:sz w:val="32"/>
          <w:szCs w:val="32"/>
          <w:highlight w:val="none"/>
        </w:rPr>
      </w:pPr>
      <w:r>
        <w:rPr>
          <w:rFonts w:hint="eastAsia" w:hAnsi="宋体" w:cs="宋体"/>
          <w:color w:val="auto"/>
          <w:sz w:val="28"/>
          <w:highlight w:val="none"/>
        </w:rPr>
        <w:br w:type="page"/>
      </w:r>
      <w:bookmarkStart w:id="125" w:name="_Toc403077651"/>
      <w:bookmarkStart w:id="126" w:name="_Toc21319"/>
      <w:bookmarkStart w:id="127" w:name="_Toc2675"/>
      <w:bookmarkStart w:id="128" w:name="_Toc13665"/>
      <w:bookmarkStart w:id="129" w:name="_Toc17802"/>
      <w:bookmarkStart w:id="130" w:name="_Toc4332"/>
      <w:bookmarkStart w:id="131" w:name="_Toc27599"/>
      <w:bookmarkStart w:id="132" w:name="_Toc363474030"/>
      <w:bookmarkStart w:id="133" w:name="_Toc26697"/>
      <w:bookmarkStart w:id="134" w:name="_Toc25217"/>
      <w:bookmarkStart w:id="135" w:name="_Toc426457703"/>
      <w:bookmarkStart w:id="136" w:name="_Toc19026"/>
      <w:bookmarkStart w:id="137" w:name="_Toc29025"/>
      <w:r>
        <w:rPr>
          <w:rFonts w:hint="eastAsia" w:hAnsi="宋体" w:cs="宋体"/>
          <w:b/>
          <w:bCs/>
          <w:color w:val="auto"/>
          <w:sz w:val="32"/>
          <w:szCs w:val="32"/>
          <w:highlight w:val="none"/>
        </w:rPr>
        <w:t>二、投标报价表</w:t>
      </w:r>
      <w:bookmarkEnd w:id="125"/>
      <w:bookmarkEnd w:id="126"/>
      <w:bookmarkEnd w:id="127"/>
      <w:bookmarkEnd w:id="128"/>
      <w:bookmarkEnd w:id="129"/>
      <w:bookmarkEnd w:id="130"/>
      <w:bookmarkEnd w:id="131"/>
      <w:bookmarkEnd w:id="132"/>
      <w:bookmarkEnd w:id="133"/>
      <w:bookmarkEnd w:id="134"/>
      <w:bookmarkEnd w:id="135"/>
      <w:bookmarkEnd w:id="136"/>
      <w:bookmarkEnd w:id="137"/>
    </w:p>
    <w:p>
      <w:pPr>
        <w:jc w:val="center"/>
        <w:rPr>
          <w:rFonts w:hAnsi="宋体" w:cs="宋体"/>
          <w:b/>
          <w:color w:val="auto"/>
          <w:sz w:val="30"/>
          <w:szCs w:val="30"/>
          <w:highlight w:val="none"/>
        </w:rPr>
      </w:pPr>
      <w:r>
        <w:rPr>
          <w:rFonts w:hint="eastAsia" w:hAnsi="宋体" w:cs="宋体"/>
          <w:b/>
          <w:color w:val="auto"/>
          <w:sz w:val="30"/>
          <w:szCs w:val="30"/>
          <w:highlight w:val="none"/>
        </w:rPr>
        <w:t>2.1开标一览表</w:t>
      </w:r>
    </w:p>
    <w:p>
      <w:pPr>
        <w:jc w:val="left"/>
        <w:rPr>
          <w:rFonts w:hAnsi="宋体" w:cs="宋体"/>
          <w:bCs/>
          <w:color w:val="auto"/>
          <w:szCs w:val="24"/>
          <w:highlight w:val="none"/>
        </w:rPr>
      </w:pPr>
      <w:r>
        <w:rPr>
          <w:rFonts w:hint="eastAsia" w:hAnsi="宋体" w:cs="宋体"/>
          <w:bCs/>
          <w:color w:val="auto"/>
          <w:szCs w:val="24"/>
          <w:highlight w:val="none"/>
        </w:rPr>
        <w:t>项目名称：</w:t>
      </w:r>
    </w:p>
    <w:p>
      <w:pPr>
        <w:jc w:val="left"/>
        <w:rPr>
          <w:rFonts w:hAnsi="宋体" w:cs="宋体"/>
          <w:bCs/>
          <w:color w:val="auto"/>
          <w:szCs w:val="24"/>
          <w:highlight w:val="none"/>
        </w:rPr>
      </w:pPr>
      <w:r>
        <w:rPr>
          <w:rFonts w:hint="eastAsia" w:hAnsi="宋体" w:cs="宋体"/>
          <w:bCs/>
          <w:color w:val="auto"/>
          <w:szCs w:val="24"/>
          <w:highlight w:val="none"/>
        </w:rPr>
        <w:t>项目</w:t>
      </w:r>
      <w:r>
        <w:rPr>
          <w:rFonts w:hint="eastAsia" w:hAnsi="宋体" w:cs="宋体"/>
          <w:bCs/>
          <w:color w:val="auto"/>
          <w:szCs w:val="24"/>
          <w:highlight w:val="none"/>
          <w:lang w:eastAsia="zh-CN"/>
        </w:rPr>
        <w:t>编号</w:t>
      </w:r>
      <w:r>
        <w:rPr>
          <w:rFonts w:hint="eastAsia" w:hAnsi="宋体" w:cs="宋体"/>
          <w:bCs/>
          <w:color w:val="auto"/>
          <w:szCs w:val="24"/>
          <w:highlight w:val="none"/>
        </w:rPr>
        <w:t>：</w:t>
      </w:r>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3228"/>
        <w:gridCol w:w="1909"/>
        <w:gridCol w:w="19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jc w:val="center"/>
        </w:trPr>
        <w:tc>
          <w:tcPr>
            <w:tcW w:w="1311" w:type="pct"/>
            <w:noWrap w:val="0"/>
            <w:vAlign w:val="center"/>
          </w:tcPr>
          <w:p>
            <w:pPr>
              <w:jc w:val="center"/>
              <w:rPr>
                <w:rFonts w:hAnsi="宋体" w:cs="宋体"/>
                <w:color w:val="auto"/>
                <w:szCs w:val="24"/>
                <w:highlight w:val="none"/>
              </w:rPr>
            </w:pPr>
            <w:r>
              <w:rPr>
                <w:rFonts w:hint="eastAsia" w:hAnsi="宋体" w:cs="宋体"/>
                <w:color w:val="auto"/>
                <w:szCs w:val="24"/>
                <w:highlight w:val="none"/>
              </w:rPr>
              <w:t>投标报价</w:t>
            </w:r>
          </w:p>
          <w:p>
            <w:pPr>
              <w:jc w:val="center"/>
              <w:rPr>
                <w:rFonts w:hAnsi="宋体" w:cs="宋体"/>
                <w:color w:val="auto"/>
                <w:szCs w:val="24"/>
                <w:highlight w:val="none"/>
              </w:rPr>
            </w:pPr>
            <w:r>
              <w:rPr>
                <w:rFonts w:hint="eastAsia" w:hAnsi="宋体" w:cs="宋体"/>
                <w:color w:val="auto"/>
                <w:szCs w:val="24"/>
                <w:highlight w:val="none"/>
              </w:rPr>
              <w:t>（元）</w:t>
            </w:r>
          </w:p>
        </w:tc>
        <w:tc>
          <w:tcPr>
            <w:tcW w:w="1688" w:type="pct"/>
            <w:noWrap w:val="0"/>
            <w:vAlign w:val="center"/>
          </w:tcPr>
          <w:p>
            <w:pPr>
              <w:jc w:val="center"/>
              <w:rPr>
                <w:rFonts w:hint="eastAsia" w:hAnsi="宋体" w:eastAsia="宋体"/>
                <w:color w:val="auto"/>
                <w:szCs w:val="24"/>
                <w:highlight w:val="none"/>
                <w:lang w:eastAsia="zh-CN"/>
              </w:rPr>
            </w:pPr>
            <w:r>
              <w:rPr>
                <w:rFonts w:hint="eastAsia" w:hAnsi="宋体"/>
                <w:color w:val="auto"/>
                <w:szCs w:val="24"/>
                <w:highlight w:val="none"/>
                <w:lang w:eastAsia="zh-CN"/>
              </w:rPr>
              <w:t>交货期（含安装调试）</w:t>
            </w:r>
          </w:p>
          <w:p>
            <w:pPr>
              <w:jc w:val="center"/>
              <w:rPr>
                <w:rFonts w:hAnsi="宋体" w:cs="宋体"/>
                <w:color w:val="auto"/>
                <w:szCs w:val="24"/>
                <w:highlight w:val="none"/>
              </w:rPr>
            </w:pPr>
            <w:r>
              <w:rPr>
                <w:rFonts w:hint="eastAsia" w:hAnsi="宋体"/>
                <w:color w:val="auto"/>
                <w:szCs w:val="24"/>
                <w:highlight w:val="none"/>
              </w:rPr>
              <w:t>（日历日）</w:t>
            </w:r>
          </w:p>
        </w:tc>
        <w:tc>
          <w:tcPr>
            <w:tcW w:w="998" w:type="pct"/>
            <w:noWrap w:val="0"/>
            <w:vAlign w:val="center"/>
          </w:tcPr>
          <w:p>
            <w:pPr>
              <w:jc w:val="center"/>
              <w:rPr>
                <w:rFonts w:hAnsi="宋体" w:cs="宋体"/>
                <w:color w:val="auto"/>
                <w:szCs w:val="24"/>
                <w:highlight w:val="none"/>
              </w:rPr>
            </w:pPr>
            <w:r>
              <w:rPr>
                <w:rFonts w:hint="eastAsia" w:hAnsi="宋体" w:cs="宋体"/>
                <w:color w:val="auto"/>
                <w:szCs w:val="24"/>
                <w:highlight w:val="none"/>
              </w:rPr>
              <w:t>整体质保期</w:t>
            </w:r>
          </w:p>
          <w:p>
            <w:pPr>
              <w:jc w:val="center"/>
              <w:rPr>
                <w:rFonts w:hAnsi="宋体" w:cs="宋体"/>
                <w:color w:val="auto"/>
                <w:szCs w:val="24"/>
                <w:highlight w:val="none"/>
              </w:rPr>
            </w:pPr>
            <w:r>
              <w:rPr>
                <w:rFonts w:hint="eastAsia" w:hAnsi="宋体" w:cs="宋体"/>
                <w:color w:val="auto"/>
                <w:szCs w:val="24"/>
                <w:highlight w:val="none"/>
              </w:rPr>
              <w:t>（年）</w:t>
            </w:r>
          </w:p>
        </w:tc>
        <w:tc>
          <w:tcPr>
            <w:tcW w:w="1001" w:type="pct"/>
            <w:noWrap w:val="0"/>
            <w:vAlign w:val="center"/>
          </w:tcPr>
          <w:p>
            <w:pPr>
              <w:jc w:val="center"/>
              <w:rPr>
                <w:rFonts w:hAnsi="宋体" w:cs="宋体"/>
                <w:color w:val="auto"/>
                <w:szCs w:val="24"/>
                <w:highlight w:val="none"/>
              </w:rPr>
            </w:pPr>
            <w:r>
              <w:rPr>
                <w:rFonts w:hint="eastAsia" w:hAnsi="宋体" w:cs="宋体"/>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1311" w:type="pct"/>
            <w:noWrap w:val="0"/>
            <w:vAlign w:val="center"/>
          </w:tcPr>
          <w:p>
            <w:pPr>
              <w:jc w:val="center"/>
              <w:rPr>
                <w:rFonts w:hAnsi="宋体" w:cs="宋体"/>
                <w:color w:val="auto"/>
                <w:szCs w:val="24"/>
                <w:highlight w:val="none"/>
              </w:rPr>
            </w:pPr>
          </w:p>
        </w:tc>
        <w:tc>
          <w:tcPr>
            <w:tcW w:w="1688" w:type="pct"/>
            <w:noWrap w:val="0"/>
            <w:vAlign w:val="center"/>
          </w:tcPr>
          <w:p>
            <w:pPr>
              <w:jc w:val="center"/>
              <w:rPr>
                <w:rFonts w:hAnsi="宋体" w:cs="宋体"/>
                <w:color w:val="auto"/>
                <w:szCs w:val="24"/>
                <w:highlight w:val="none"/>
              </w:rPr>
            </w:pPr>
          </w:p>
        </w:tc>
        <w:tc>
          <w:tcPr>
            <w:tcW w:w="998" w:type="pct"/>
            <w:noWrap w:val="0"/>
            <w:vAlign w:val="top"/>
          </w:tcPr>
          <w:p>
            <w:pPr>
              <w:jc w:val="center"/>
              <w:rPr>
                <w:rFonts w:hAnsi="宋体" w:cs="宋体"/>
                <w:color w:val="auto"/>
                <w:szCs w:val="24"/>
                <w:highlight w:val="none"/>
              </w:rPr>
            </w:pPr>
          </w:p>
        </w:tc>
        <w:tc>
          <w:tcPr>
            <w:tcW w:w="1001" w:type="pct"/>
            <w:noWrap w:val="0"/>
            <w:vAlign w:val="top"/>
          </w:tcPr>
          <w:p>
            <w:pPr>
              <w:jc w:val="center"/>
              <w:rPr>
                <w:rFonts w:hAnsi="宋体" w:cs="宋体"/>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000" w:type="pct"/>
            <w:gridSpan w:val="4"/>
            <w:noWrap w:val="0"/>
            <w:vAlign w:val="center"/>
          </w:tcPr>
          <w:p>
            <w:pPr>
              <w:jc w:val="center"/>
              <w:rPr>
                <w:rFonts w:hAnsi="宋体" w:cs="宋体"/>
                <w:color w:val="auto"/>
                <w:szCs w:val="24"/>
                <w:highlight w:val="none"/>
              </w:rPr>
            </w:pPr>
            <w:r>
              <w:rPr>
                <w:rFonts w:hint="eastAsia" w:hAnsi="宋体" w:cs="宋体"/>
                <w:color w:val="auto"/>
                <w:szCs w:val="24"/>
                <w:highlight w:val="none"/>
              </w:rPr>
              <w:t>投标报价（大写）：                                  （小写：￥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6" w:hRule="atLeast"/>
          <w:jc w:val="center"/>
        </w:trPr>
        <w:tc>
          <w:tcPr>
            <w:tcW w:w="5000" w:type="pct"/>
            <w:gridSpan w:val="4"/>
            <w:noWrap w:val="0"/>
            <w:vAlign w:val="center"/>
          </w:tcPr>
          <w:p>
            <w:pPr>
              <w:jc w:val="center"/>
              <w:rPr>
                <w:rFonts w:hAnsi="宋体" w:cs="宋体"/>
                <w:color w:val="auto"/>
                <w:szCs w:val="24"/>
                <w:highlight w:val="none"/>
              </w:rPr>
            </w:pPr>
            <w:r>
              <w:rPr>
                <w:rFonts w:hint="eastAsia" w:hAnsi="宋体" w:cs="宋体"/>
                <w:color w:val="auto"/>
                <w:szCs w:val="24"/>
                <w:highlight w:val="none"/>
              </w:rPr>
              <w:t>备注：表内报价内容以元为单位，保留小数点后两位。</w:t>
            </w:r>
          </w:p>
        </w:tc>
      </w:tr>
    </w:tbl>
    <w:p>
      <w:pPr>
        <w:tabs>
          <w:tab w:val="left" w:pos="7200"/>
          <w:tab w:val="left" w:pos="8504"/>
        </w:tabs>
        <w:spacing w:line="360" w:lineRule="auto"/>
        <w:ind w:right="-1"/>
        <w:rPr>
          <w:rFonts w:hAnsi="宋体" w:cs="宋体"/>
          <w:color w:val="auto"/>
          <w:highlight w:val="none"/>
        </w:rPr>
      </w:pPr>
    </w:p>
    <w:p>
      <w:pPr>
        <w:spacing w:line="120" w:lineRule="exact"/>
        <w:rPr>
          <w:rFonts w:hAnsi="宋体" w:cs="宋体"/>
          <w:color w:val="auto"/>
          <w:highlight w:val="none"/>
        </w:rPr>
      </w:pPr>
    </w:p>
    <w:p>
      <w:pPr>
        <w:spacing w:line="480" w:lineRule="auto"/>
        <w:ind w:right="617" w:rightChars="257"/>
        <w:jc w:val="left"/>
        <w:rPr>
          <w:rFonts w:hAnsi="宋体" w:cs="宋体"/>
          <w:color w:val="auto"/>
          <w:highlight w:val="none"/>
        </w:rPr>
      </w:pPr>
      <w:r>
        <w:rPr>
          <w:rFonts w:hint="eastAsia" w:hAnsi="宋体" w:cs="宋体"/>
          <w:color w:val="auto"/>
          <w:highlight w:val="none"/>
        </w:rPr>
        <w:t>供应商名称：</w:t>
      </w:r>
      <w:r>
        <w:rPr>
          <w:rFonts w:hint="eastAsia" w:hAnsi="宋体" w:cs="宋体"/>
          <w:color w:val="auto"/>
          <w:highlight w:val="none"/>
          <w:u w:val="single"/>
        </w:rPr>
        <w:t xml:space="preserve">      （加盖单位公章）      </w:t>
      </w:r>
    </w:p>
    <w:p>
      <w:pPr>
        <w:spacing w:line="480" w:lineRule="auto"/>
        <w:ind w:right="617" w:rightChars="257"/>
        <w:jc w:val="left"/>
        <w:rPr>
          <w:rFonts w:hAnsi="宋体" w:cs="宋体"/>
          <w:color w:val="auto"/>
          <w:highlight w:val="none"/>
        </w:rPr>
      </w:pPr>
    </w:p>
    <w:p>
      <w:pPr>
        <w:spacing w:line="480" w:lineRule="auto"/>
        <w:ind w:right="617" w:rightChars="257"/>
        <w:jc w:val="left"/>
        <w:rPr>
          <w:rFonts w:hint="eastAsia" w:hAnsi="宋体" w:cs="宋体"/>
          <w:color w:val="auto"/>
          <w:highlight w:val="none"/>
        </w:rPr>
      </w:pPr>
      <w:r>
        <w:rPr>
          <w:rFonts w:hint="eastAsia" w:hAnsi="宋体" w:cs="宋体"/>
          <w:color w:val="auto"/>
          <w:highlight w:val="none"/>
        </w:rPr>
        <w:t>法定代表人/被授权人签字或盖章：</w:t>
      </w:r>
    </w:p>
    <w:p>
      <w:pPr>
        <w:pStyle w:val="10"/>
        <w:ind w:left="0" w:leftChars="0" w:firstLine="0" w:firstLineChars="0"/>
        <w:rPr>
          <w:color w:val="auto"/>
          <w:highlight w:val="none"/>
        </w:rPr>
      </w:pPr>
    </w:p>
    <w:p>
      <w:pPr>
        <w:spacing w:line="480" w:lineRule="auto"/>
        <w:ind w:right="617" w:rightChars="257"/>
        <w:rPr>
          <w:rFonts w:hAnsi="宋体" w:cs="宋体"/>
          <w:color w:val="auto"/>
          <w:highlight w:val="none"/>
        </w:rPr>
      </w:pPr>
      <w:r>
        <w:rPr>
          <w:rFonts w:hint="eastAsia" w:hAnsi="宋体" w:cs="宋体"/>
          <w:color w:val="auto"/>
          <w:highlight w:val="none"/>
        </w:rPr>
        <w:t>日    期：</w:t>
      </w:r>
    </w:p>
    <w:p>
      <w:pPr>
        <w:spacing w:before="166" w:beforeLines="50" w:after="166" w:afterLines="50" w:line="480" w:lineRule="auto"/>
        <w:rPr>
          <w:rFonts w:hAnsi="宋体" w:cs="宋体"/>
          <w:color w:val="auto"/>
          <w:szCs w:val="21"/>
          <w:highlight w:val="none"/>
          <w:u w:val="single"/>
        </w:rPr>
      </w:pPr>
      <w:r>
        <w:rPr>
          <w:rFonts w:hint="eastAsia" w:hAnsi="宋体" w:cs="宋体"/>
          <w:color w:val="auto"/>
          <w:highlight w:val="none"/>
        </w:rPr>
        <w:t>本表应按“供应商须知”的规定密封单独提交。若有折扣声明，请与本表一并装订和密封。</w:t>
      </w:r>
    </w:p>
    <w:p>
      <w:pPr>
        <w:rPr>
          <w:rFonts w:hAnsi="宋体" w:cs="宋体"/>
          <w:color w:val="auto"/>
          <w:highlight w:val="none"/>
        </w:rPr>
      </w:pPr>
      <w:r>
        <w:rPr>
          <w:rFonts w:hint="eastAsia" w:hAnsi="宋体" w:cs="宋体"/>
          <w:color w:val="auto"/>
          <w:highlight w:val="none"/>
        </w:rPr>
        <w:br w:type="page"/>
      </w:r>
    </w:p>
    <w:p>
      <w:pPr>
        <w:jc w:val="center"/>
        <w:rPr>
          <w:rFonts w:hint="eastAsia" w:hAnsi="宋体" w:cs="宋体"/>
          <w:color w:val="auto"/>
          <w:highlight w:val="none"/>
        </w:rPr>
      </w:pPr>
      <w:r>
        <w:rPr>
          <w:rFonts w:hint="eastAsia" w:hAnsi="宋体" w:cs="宋体"/>
          <w:b/>
          <w:color w:val="auto"/>
          <w:sz w:val="30"/>
          <w:szCs w:val="30"/>
          <w:highlight w:val="none"/>
        </w:rPr>
        <w:t>2.2投标分项报价表</w:t>
      </w:r>
      <w:r>
        <w:rPr>
          <w:rFonts w:hint="eastAsia" w:hAnsi="宋体" w:cs="宋体"/>
          <w:color w:val="auto"/>
          <w:highlight w:val="none"/>
        </w:rPr>
        <w:t xml:space="preserve"> </w:t>
      </w:r>
    </w:p>
    <w:p>
      <w:pPr>
        <w:jc w:val="center"/>
        <w:rPr>
          <w:rFonts w:hint="eastAsia" w:hAnsi="宋体" w:cs="宋体"/>
          <w:color w:val="auto"/>
          <w:highlight w:val="none"/>
        </w:rPr>
      </w:pPr>
    </w:p>
    <w:tbl>
      <w:tblPr>
        <w:tblStyle w:val="19"/>
        <w:tblW w:w="8899" w:type="dxa"/>
        <w:jc w:val="center"/>
        <w:tblLayout w:type="fixed"/>
        <w:tblCellMar>
          <w:top w:w="0" w:type="dxa"/>
          <w:left w:w="28" w:type="dxa"/>
          <w:bottom w:w="0" w:type="dxa"/>
          <w:right w:w="28" w:type="dxa"/>
        </w:tblCellMar>
      </w:tblPr>
      <w:tblGrid>
        <w:gridCol w:w="875"/>
        <w:gridCol w:w="681"/>
        <w:gridCol w:w="1290"/>
        <w:gridCol w:w="1185"/>
        <w:gridCol w:w="1380"/>
        <w:gridCol w:w="1230"/>
        <w:gridCol w:w="1125"/>
        <w:gridCol w:w="1133"/>
      </w:tblGrid>
      <w:tr>
        <w:tblPrEx>
          <w:tblCellMar>
            <w:top w:w="0" w:type="dxa"/>
            <w:left w:w="28" w:type="dxa"/>
            <w:bottom w:w="0" w:type="dxa"/>
            <w:right w:w="28" w:type="dxa"/>
          </w:tblCellMar>
        </w:tblPrEx>
        <w:trPr>
          <w:trHeight w:val="598" w:hRule="atLeast"/>
          <w:jc w:val="center"/>
        </w:trPr>
        <w:tc>
          <w:tcPr>
            <w:tcW w:w="875" w:type="dxa"/>
            <w:vMerge w:val="restart"/>
            <w:tcBorders>
              <w:top w:val="single" w:color="auto" w:sz="6" w:space="0"/>
              <w:left w:val="single" w:color="auto" w:sz="6" w:space="0"/>
              <w:right w:val="single" w:color="auto" w:sz="4" w:space="0"/>
            </w:tcBorders>
            <w:noWrap w:val="0"/>
            <w:vAlign w:val="center"/>
          </w:tcPr>
          <w:p>
            <w:pPr>
              <w:spacing w:after="120"/>
              <w:jc w:val="center"/>
              <w:rPr>
                <w:rFonts w:hAnsi="宋体" w:cs="宋体"/>
                <w:color w:val="auto"/>
                <w:szCs w:val="24"/>
                <w:highlight w:val="none"/>
              </w:rPr>
            </w:pPr>
            <w:r>
              <w:rPr>
                <w:rFonts w:hint="eastAsia" w:hAnsi="宋体" w:cs="宋体"/>
                <w:color w:val="auto"/>
                <w:highlight w:val="none"/>
              </w:rPr>
              <w:t xml:space="preserve">                           </w:t>
            </w:r>
            <w:r>
              <w:rPr>
                <w:rFonts w:hint="eastAsia" w:hAnsi="宋体" w:cs="宋体"/>
                <w:color w:val="auto"/>
                <w:szCs w:val="24"/>
                <w:highlight w:val="none"/>
              </w:rPr>
              <w:t>产品</w:t>
            </w:r>
          </w:p>
          <w:p>
            <w:pPr>
              <w:spacing w:after="120"/>
              <w:jc w:val="center"/>
              <w:rPr>
                <w:rFonts w:hAnsi="宋体" w:cs="宋体"/>
                <w:color w:val="auto"/>
                <w:highlight w:val="none"/>
              </w:rPr>
            </w:pPr>
            <w:r>
              <w:rPr>
                <w:rFonts w:hint="eastAsia" w:hAnsi="宋体" w:cs="宋体"/>
                <w:color w:val="auto"/>
                <w:szCs w:val="24"/>
                <w:highlight w:val="none"/>
              </w:rPr>
              <w:t>费用</w:t>
            </w:r>
          </w:p>
        </w:tc>
        <w:tc>
          <w:tcPr>
            <w:tcW w:w="681" w:type="dxa"/>
            <w:tcBorders>
              <w:top w:val="single" w:color="auto" w:sz="6" w:space="0"/>
              <w:left w:val="single" w:color="auto" w:sz="4" w:space="0"/>
              <w:bottom w:val="single" w:color="auto" w:sz="6" w:space="0"/>
            </w:tcBorders>
            <w:noWrap w:val="0"/>
            <w:vAlign w:val="center"/>
          </w:tcPr>
          <w:p>
            <w:pPr>
              <w:spacing w:after="120"/>
              <w:jc w:val="center"/>
              <w:rPr>
                <w:rFonts w:hAnsi="宋体" w:cs="宋体"/>
                <w:color w:val="auto"/>
                <w:highlight w:val="none"/>
              </w:rPr>
            </w:pPr>
            <w:r>
              <w:rPr>
                <w:rFonts w:hint="eastAsia" w:hAnsi="宋体" w:cs="宋体"/>
                <w:color w:val="auto"/>
                <w:highlight w:val="none"/>
              </w:rPr>
              <w:t>序号</w:t>
            </w:r>
          </w:p>
        </w:tc>
        <w:tc>
          <w:tcPr>
            <w:tcW w:w="1290"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Ansi="宋体" w:cs="宋体"/>
                <w:color w:val="auto"/>
                <w:highlight w:val="none"/>
              </w:rPr>
            </w:pPr>
            <w:r>
              <w:rPr>
                <w:rFonts w:hint="eastAsia" w:hAnsi="宋体" w:cs="宋体"/>
                <w:color w:val="auto"/>
                <w:highlight w:val="none"/>
              </w:rPr>
              <w:t>名称</w:t>
            </w:r>
          </w:p>
        </w:tc>
        <w:tc>
          <w:tcPr>
            <w:tcW w:w="1185" w:type="dxa"/>
            <w:tcBorders>
              <w:top w:val="single" w:color="auto" w:sz="6" w:space="0"/>
              <w:left w:val="single" w:color="auto" w:sz="6" w:space="0"/>
              <w:bottom w:val="single" w:color="auto" w:sz="6" w:space="0"/>
              <w:right w:val="single" w:color="auto" w:sz="4" w:space="0"/>
            </w:tcBorders>
            <w:noWrap w:val="0"/>
            <w:vAlign w:val="center"/>
          </w:tcPr>
          <w:p>
            <w:pPr>
              <w:spacing w:after="120"/>
              <w:jc w:val="center"/>
              <w:rPr>
                <w:rFonts w:hAnsi="宋体" w:cs="宋体"/>
                <w:color w:val="auto"/>
                <w:highlight w:val="none"/>
              </w:rPr>
            </w:pPr>
            <w:r>
              <w:rPr>
                <w:rFonts w:hint="eastAsia" w:hAnsi="宋体" w:cs="宋体"/>
                <w:color w:val="auto"/>
                <w:highlight w:val="none"/>
              </w:rPr>
              <w:t>品牌</w:t>
            </w:r>
          </w:p>
        </w:tc>
        <w:tc>
          <w:tcPr>
            <w:tcW w:w="1380" w:type="dxa"/>
            <w:tcBorders>
              <w:top w:val="single" w:color="auto" w:sz="6" w:space="0"/>
              <w:left w:val="single" w:color="auto" w:sz="4" w:space="0"/>
              <w:bottom w:val="single" w:color="auto" w:sz="6" w:space="0"/>
              <w:right w:val="single" w:color="auto" w:sz="6" w:space="0"/>
            </w:tcBorders>
            <w:noWrap w:val="0"/>
            <w:vAlign w:val="center"/>
          </w:tcPr>
          <w:p>
            <w:pPr>
              <w:spacing w:after="120"/>
              <w:jc w:val="center"/>
              <w:rPr>
                <w:rFonts w:hAnsi="宋体" w:cs="宋体"/>
                <w:color w:val="auto"/>
                <w:highlight w:val="none"/>
              </w:rPr>
            </w:pPr>
            <w:r>
              <w:rPr>
                <w:rFonts w:hint="eastAsia" w:hAnsi="宋体" w:cs="宋体"/>
                <w:color w:val="auto"/>
                <w:highlight w:val="none"/>
              </w:rPr>
              <w:t>规格型号</w:t>
            </w:r>
          </w:p>
        </w:tc>
        <w:tc>
          <w:tcPr>
            <w:tcW w:w="1230"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Ansi="宋体" w:cs="宋体"/>
                <w:color w:val="auto"/>
                <w:highlight w:val="none"/>
              </w:rPr>
            </w:pPr>
            <w:r>
              <w:rPr>
                <w:rFonts w:hint="eastAsia" w:hAnsi="宋体" w:cs="宋体"/>
                <w:color w:val="auto"/>
                <w:highlight w:val="none"/>
              </w:rPr>
              <w:t>数量</w:t>
            </w:r>
          </w:p>
        </w:tc>
        <w:tc>
          <w:tcPr>
            <w:tcW w:w="1125"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Ansi="宋体" w:cs="宋体"/>
                <w:color w:val="auto"/>
                <w:highlight w:val="none"/>
              </w:rPr>
            </w:pPr>
            <w:r>
              <w:rPr>
                <w:rFonts w:hint="eastAsia" w:hAnsi="宋体" w:cs="宋体"/>
                <w:color w:val="auto"/>
                <w:highlight w:val="none"/>
              </w:rPr>
              <w:t>单价</w:t>
            </w:r>
          </w:p>
          <w:p>
            <w:pPr>
              <w:spacing w:after="120"/>
              <w:jc w:val="center"/>
              <w:rPr>
                <w:rFonts w:hAnsi="宋体" w:cs="宋体"/>
                <w:bCs/>
                <w:color w:val="auto"/>
                <w:highlight w:val="none"/>
              </w:rPr>
            </w:pPr>
            <w:r>
              <w:rPr>
                <w:rFonts w:hint="eastAsia" w:hAnsi="宋体" w:cs="宋体"/>
                <w:color w:val="auto"/>
                <w:highlight w:val="none"/>
              </w:rPr>
              <w:t>（元）</w:t>
            </w:r>
          </w:p>
        </w:tc>
        <w:tc>
          <w:tcPr>
            <w:tcW w:w="1133" w:type="dxa"/>
            <w:tcBorders>
              <w:top w:val="single" w:color="auto" w:sz="6" w:space="0"/>
              <w:left w:val="single" w:color="auto" w:sz="6" w:space="0"/>
              <w:bottom w:val="single" w:color="auto" w:sz="6" w:space="0"/>
              <w:right w:val="single" w:color="auto" w:sz="6" w:space="0"/>
            </w:tcBorders>
            <w:noWrap w:val="0"/>
            <w:vAlign w:val="center"/>
          </w:tcPr>
          <w:p>
            <w:pPr>
              <w:spacing w:after="120"/>
              <w:jc w:val="center"/>
              <w:rPr>
                <w:rFonts w:hAnsi="宋体" w:cs="宋体"/>
                <w:bCs/>
                <w:color w:val="auto"/>
                <w:highlight w:val="none"/>
              </w:rPr>
            </w:pPr>
            <w:r>
              <w:rPr>
                <w:rFonts w:hint="eastAsia" w:hAnsi="宋体" w:cs="宋体"/>
                <w:bCs/>
                <w:color w:val="auto"/>
                <w:highlight w:val="none"/>
              </w:rPr>
              <w:t>总价</w:t>
            </w:r>
          </w:p>
          <w:p>
            <w:pPr>
              <w:spacing w:after="120"/>
              <w:jc w:val="center"/>
              <w:rPr>
                <w:rFonts w:hAnsi="宋体" w:cs="宋体"/>
                <w:bCs/>
                <w:color w:val="auto"/>
                <w:highlight w:val="none"/>
              </w:rPr>
            </w:pPr>
            <w:r>
              <w:rPr>
                <w:rFonts w:hint="eastAsia" w:hAnsi="宋体" w:cs="宋体"/>
                <w:bCs/>
                <w:color w:val="auto"/>
                <w:highlight w:val="none"/>
              </w:rPr>
              <w:t>（元）</w:t>
            </w: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33" w:beforeLines="100"/>
              <w:jc w:val="center"/>
              <w:rPr>
                <w:rFonts w:hAnsi="宋体" w:cs="宋体"/>
                <w:color w:val="auto"/>
                <w:highlight w:val="none"/>
              </w:rPr>
            </w:pPr>
          </w:p>
        </w:tc>
        <w:tc>
          <w:tcPr>
            <w:tcW w:w="681" w:type="dxa"/>
            <w:tcBorders>
              <w:top w:val="single" w:color="auto" w:sz="6" w:space="0"/>
              <w:left w:val="single" w:color="auto" w:sz="4" w:space="0"/>
              <w:bottom w:val="single" w:color="auto" w:sz="4" w:space="0"/>
            </w:tcBorders>
            <w:noWrap w:val="0"/>
            <w:vAlign w:val="center"/>
          </w:tcPr>
          <w:p>
            <w:pPr>
              <w:spacing w:before="333" w:beforeLines="100"/>
              <w:jc w:val="center"/>
              <w:rPr>
                <w:rFonts w:hAnsi="宋体" w:cs="宋体"/>
                <w:color w:val="auto"/>
                <w:highlight w:val="none"/>
              </w:rPr>
            </w:pPr>
            <w:r>
              <w:rPr>
                <w:rFonts w:hint="eastAsia" w:hAnsi="宋体" w:cs="宋体"/>
                <w:color w:val="auto"/>
                <w:highlight w:val="none"/>
              </w:rPr>
              <w:t>1</w:t>
            </w:r>
          </w:p>
        </w:tc>
        <w:tc>
          <w:tcPr>
            <w:tcW w:w="1290" w:type="dxa"/>
            <w:tcBorders>
              <w:top w:val="single" w:color="auto" w:sz="6" w:space="0"/>
              <w:left w:val="single" w:color="auto" w:sz="6" w:space="0"/>
              <w:bottom w:val="single" w:color="auto" w:sz="4" w:space="0"/>
              <w:right w:val="single" w:color="auto" w:sz="6" w:space="0"/>
            </w:tcBorders>
            <w:noWrap w:val="0"/>
            <w:vAlign w:val="center"/>
          </w:tcPr>
          <w:p>
            <w:pPr>
              <w:spacing w:before="166" w:beforeLines="50"/>
              <w:jc w:val="center"/>
              <w:rPr>
                <w:rFonts w:hAnsi="宋体" w:cs="宋体"/>
                <w:color w:val="auto"/>
                <w:highlight w:val="none"/>
              </w:rPr>
            </w:pPr>
          </w:p>
        </w:tc>
        <w:tc>
          <w:tcPr>
            <w:tcW w:w="1185" w:type="dxa"/>
            <w:tcBorders>
              <w:top w:val="single" w:color="auto" w:sz="6" w:space="0"/>
              <w:left w:val="single" w:color="auto" w:sz="6" w:space="0"/>
              <w:bottom w:val="single" w:color="auto" w:sz="4" w:space="0"/>
              <w:right w:val="single" w:color="auto" w:sz="4" w:space="0"/>
            </w:tcBorders>
            <w:noWrap w:val="0"/>
            <w:vAlign w:val="center"/>
          </w:tcPr>
          <w:p>
            <w:pPr>
              <w:spacing w:before="166" w:beforeLines="50"/>
              <w:jc w:val="center"/>
              <w:rPr>
                <w:rFonts w:hAnsi="宋体" w:cs="宋体"/>
                <w:color w:val="auto"/>
                <w:highlight w:val="none"/>
              </w:rPr>
            </w:pPr>
          </w:p>
        </w:tc>
        <w:tc>
          <w:tcPr>
            <w:tcW w:w="1380" w:type="dxa"/>
            <w:tcBorders>
              <w:top w:val="single" w:color="auto" w:sz="6" w:space="0"/>
              <w:left w:val="single" w:color="auto" w:sz="4" w:space="0"/>
              <w:bottom w:val="single" w:color="auto" w:sz="4" w:space="0"/>
              <w:right w:val="single" w:color="auto" w:sz="6" w:space="0"/>
            </w:tcBorders>
            <w:noWrap w:val="0"/>
            <w:vAlign w:val="center"/>
          </w:tcPr>
          <w:p>
            <w:pPr>
              <w:spacing w:before="166" w:beforeLines="50"/>
              <w:jc w:val="center"/>
              <w:rPr>
                <w:rFonts w:hAnsi="宋体" w:cs="宋体"/>
                <w:color w:val="auto"/>
                <w:highlight w:val="none"/>
              </w:rPr>
            </w:pPr>
          </w:p>
        </w:tc>
        <w:tc>
          <w:tcPr>
            <w:tcW w:w="1230" w:type="dxa"/>
            <w:tcBorders>
              <w:top w:val="single" w:color="auto" w:sz="6" w:space="0"/>
              <w:left w:val="single" w:color="auto" w:sz="6" w:space="0"/>
              <w:bottom w:val="single" w:color="auto" w:sz="4" w:space="0"/>
              <w:right w:val="single" w:color="auto" w:sz="6" w:space="0"/>
            </w:tcBorders>
            <w:noWrap w:val="0"/>
            <w:vAlign w:val="center"/>
          </w:tcPr>
          <w:p>
            <w:pPr>
              <w:spacing w:before="166" w:beforeLines="50"/>
              <w:jc w:val="center"/>
              <w:rPr>
                <w:rFonts w:hAnsi="宋体" w:cs="宋体"/>
                <w:color w:val="auto"/>
                <w:highlight w:val="none"/>
              </w:rPr>
            </w:pPr>
          </w:p>
        </w:tc>
        <w:tc>
          <w:tcPr>
            <w:tcW w:w="1125" w:type="dxa"/>
            <w:tcBorders>
              <w:top w:val="single" w:color="auto" w:sz="6" w:space="0"/>
              <w:left w:val="single" w:color="auto" w:sz="6" w:space="0"/>
              <w:bottom w:val="single" w:color="auto" w:sz="4" w:space="0"/>
              <w:right w:val="single" w:color="auto" w:sz="6" w:space="0"/>
            </w:tcBorders>
            <w:noWrap w:val="0"/>
            <w:vAlign w:val="center"/>
          </w:tcPr>
          <w:p>
            <w:pPr>
              <w:spacing w:before="166" w:beforeLines="50"/>
              <w:jc w:val="center"/>
              <w:rPr>
                <w:rFonts w:hAnsi="宋体" w:cs="宋体"/>
                <w:color w:val="auto"/>
                <w:highlight w:val="none"/>
              </w:rPr>
            </w:pPr>
          </w:p>
        </w:tc>
        <w:tc>
          <w:tcPr>
            <w:tcW w:w="1133" w:type="dxa"/>
            <w:tcBorders>
              <w:top w:val="single" w:color="auto" w:sz="6" w:space="0"/>
              <w:left w:val="single" w:color="auto" w:sz="6" w:space="0"/>
              <w:bottom w:val="single" w:color="auto" w:sz="4" w:space="0"/>
              <w:right w:val="single" w:color="auto" w:sz="6" w:space="0"/>
            </w:tcBorders>
            <w:noWrap w:val="0"/>
            <w:vAlign w:val="center"/>
          </w:tcPr>
          <w:p>
            <w:pPr>
              <w:spacing w:before="166" w:beforeLines="50"/>
              <w:jc w:val="center"/>
              <w:rPr>
                <w:rFonts w:hAnsi="宋体" w:cs="宋体"/>
                <w:color w:val="auto"/>
                <w:highlight w:val="none"/>
              </w:rPr>
            </w:pPr>
          </w:p>
        </w:tc>
      </w:tr>
      <w:tr>
        <w:tblPrEx>
          <w:tblCellMar>
            <w:top w:w="0" w:type="dxa"/>
            <w:left w:w="28" w:type="dxa"/>
            <w:bottom w:w="0" w:type="dxa"/>
            <w:right w:w="28" w:type="dxa"/>
          </w:tblCellMar>
        </w:tblPrEx>
        <w:trPr>
          <w:trHeight w:val="710" w:hRule="atLeast"/>
          <w:jc w:val="center"/>
        </w:trPr>
        <w:tc>
          <w:tcPr>
            <w:tcW w:w="875" w:type="dxa"/>
            <w:vMerge w:val="continue"/>
            <w:tcBorders>
              <w:left w:val="single" w:color="auto" w:sz="6" w:space="0"/>
              <w:right w:val="single" w:color="auto" w:sz="4" w:space="0"/>
            </w:tcBorders>
            <w:noWrap w:val="0"/>
            <w:vAlign w:val="center"/>
          </w:tcPr>
          <w:p>
            <w:pPr>
              <w:spacing w:before="333" w:beforeLines="100"/>
              <w:jc w:val="center"/>
              <w:rPr>
                <w:rFonts w:hAnsi="宋体" w:cs="宋体"/>
                <w:color w:val="auto"/>
                <w:highlight w:val="none"/>
              </w:rPr>
            </w:pPr>
          </w:p>
        </w:tc>
        <w:tc>
          <w:tcPr>
            <w:tcW w:w="681" w:type="dxa"/>
            <w:tcBorders>
              <w:top w:val="single" w:color="auto" w:sz="4" w:space="0"/>
              <w:left w:val="single" w:color="auto" w:sz="4" w:space="0"/>
              <w:bottom w:val="single" w:color="auto" w:sz="6" w:space="0"/>
            </w:tcBorders>
            <w:noWrap w:val="0"/>
            <w:vAlign w:val="center"/>
          </w:tcPr>
          <w:p>
            <w:pPr>
              <w:spacing w:before="333" w:beforeLines="100"/>
              <w:jc w:val="center"/>
              <w:rPr>
                <w:rFonts w:hAnsi="宋体" w:cs="宋体"/>
                <w:color w:val="auto"/>
                <w:highlight w:val="none"/>
              </w:rPr>
            </w:pPr>
            <w:r>
              <w:rPr>
                <w:rFonts w:hint="eastAsia" w:hAnsi="宋体" w:cs="宋体"/>
                <w:color w:val="auto"/>
                <w:highlight w:val="none"/>
              </w:rPr>
              <w:t>2</w:t>
            </w:r>
          </w:p>
        </w:tc>
        <w:tc>
          <w:tcPr>
            <w:tcW w:w="1290" w:type="dxa"/>
            <w:tcBorders>
              <w:top w:val="single" w:color="auto" w:sz="4" w:space="0"/>
              <w:left w:val="single" w:color="auto" w:sz="6" w:space="0"/>
              <w:bottom w:val="single" w:color="auto" w:sz="6" w:space="0"/>
              <w:right w:val="single" w:color="auto" w:sz="6" w:space="0"/>
            </w:tcBorders>
            <w:noWrap w:val="0"/>
            <w:vAlign w:val="center"/>
          </w:tcPr>
          <w:p>
            <w:pPr>
              <w:spacing w:before="333" w:beforeLines="100"/>
              <w:jc w:val="center"/>
              <w:rPr>
                <w:rFonts w:hAnsi="宋体" w:cs="宋体"/>
                <w:color w:val="auto"/>
                <w:highlight w:val="none"/>
              </w:rPr>
            </w:pPr>
          </w:p>
        </w:tc>
        <w:tc>
          <w:tcPr>
            <w:tcW w:w="1185" w:type="dxa"/>
            <w:tcBorders>
              <w:top w:val="single" w:color="auto" w:sz="4" w:space="0"/>
              <w:left w:val="single" w:color="auto" w:sz="6" w:space="0"/>
              <w:bottom w:val="single" w:color="auto" w:sz="6" w:space="0"/>
              <w:right w:val="single" w:color="auto" w:sz="4" w:space="0"/>
            </w:tcBorders>
            <w:noWrap w:val="0"/>
            <w:vAlign w:val="center"/>
          </w:tcPr>
          <w:p>
            <w:pPr>
              <w:spacing w:before="166" w:beforeLines="50"/>
              <w:jc w:val="center"/>
              <w:rPr>
                <w:rFonts w:hAnsi="宋体" w:cs="宋体"/>
                <w:color w:val="auto"/>
                <w:highlight w:val="none"/>
              </w:rPr>
            </w:pPr>
          </w:p>
        </w:tc>
        <w:tc>
          <w:tcPr>
            <w:tcW w:w="1380" w:type="dxa"/>
            <w:tcBorders>
              <w:top w:val="single" w:color="auto" w:sz="4" w:space="0"/>
              <w:left w:val="single" w:color="auto" w:sz="4"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230"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25"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33"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33" w:beforeLines="100"/>
              <w:jc w:val="center"/>
              <w:rPr>
                <w:rFonts w:hAnsi="宋体" w:cs="宋体"/>
                <w:color w:val="auto"/>
                <w:highlight w:val="none"/>
              </w:rPr>
            </w:pPr>
          </w:p>
        </w:tc>
        <w:tc>
          <w:tcPr>
            <w:tcW w:w="681" w:type="dxa"/>
            <w:tcBorders>
              <w:top w:val="single" w:color="auto" w:sz="4" w:space="0"/>
              <w:left w:val="single" w:color="auto" w:sz="4" w:space="0"/>
              <w:bottom w:val="single" w:color="auto" w:sz="6" w:space="0"/>
            </w:tcBorders>
            <w:noWrap w:val="0"/>
            <w:vAlign w:val="center"/>
          </w:tcPr>
          <w:p>
            <w:pPr>
              <w:spacing w:before="333" w:beforeLines="100"/>
              <w:jc w:val="center"/>
              <w:rPr>
                <w:rFonts w:hAnsi="宋体" w:cs="宋体"/>
                <w:color w:val="auto"/>
                <w:highlight w:val="none"/>
              </w:rPr>
            </w:pPr>
            <w:r>
              <w:rPr>
                <w:rFonts w:hint="eastAsia" w:hAnsi="宋体" w:cs="宋体"/>
                <w:color w:val="auto"/>
                <w:highlight w:val="none"/>
              </w:rPr>
              <w:t>3</w:t>
            </w:r>
          </w:p>
        </w:tc>
        <w:tc>
          <w:tcPr>
            <w:tcW w:w="1290" w:type="dxa"/>
            <w:tcBorders>
              <w:top w:val="single" w:color="auto" w:sz="4" w:space="0"/>
              <w:left w:val="single" w:color="auto" w:sz="6" w:space="0"/>
              <w:bottom w:val="single" w:color="auto" w:sz="6" w:space="0"/>
              <w:right w:val="single" w:color="auto" w:sz="6" w:space="0"/>
            </w:tcBorders>
            <w:noWrap w:val="0"/>
            <w:vAlign w:val="center"/>
          </w:tcPr>
          <w:p>
            <w:pPr>
              <w:spacing w:before="333" w:beforeLines="100"/>
              <w:jc w:val="center"/>
              <w:rPr>
                <w:rFonts w:hAnsi="宋体" w:cs="宋体"/>
                <w:color w:val="auto"/>
                <w:highlight w:val="none"/>
              </w:rPr>
            </w:pPr>
          </w:p>
        </w:tc>
        <w:tc>
          <w:tcPr>
            <w:tcW w:w="1185" w:type="dxa"/>
            <w:tcBorders>
              <w:top w:val="single" w:color="auto" w:sz="4" w:space="0"/>
              <w:left w:val="single" w:color="auto" w:sz="6" w:space="0"/>
              <w:bottom w:val="single" w:color="auto" w:sz="6" w:space="0"/>
              <w:right w:val="single" w:color="auto" w:sz="4" w:space="0"/>
            </w:tcBorders>
            <w:noWrap w:val="0"/>
            <w:vAlign w:val="center"/>
          </w:tcPr>
          <w:p>
            <w:pPr>
              <w:spacing w:before="166" w:beforeLines="50"/>
              <w:jc w:val="center"/>
              <w:rPr>
                <w:rFonts w:hAnsi="宋体" w:cs="宋体"/>
                <w:color w:val="auto"/>
                <w:highlight w:val="none"/>
              </w:rPr>
            </w:pPr>
          </w:p>
        </w:tc>
        <w:tc>
          <w:tcPr>
            <w:tcW w:w="1380" w:type="dxa"/>
            <w:tcBorders>
              <w:top w:val="single" w:color="auto" w:sz="4" w:space="0"/>
              <w:left w:val="single" w:color="auto" w:sz="4"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230"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25"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33"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right w:val="single" w:color="auto" w:sz="4" w:space="0"/>
            </w:tcBorders>
            <w:noWrap w:val="0"/>
            <w:vAlign w:val="center"/>
          </w:tcPr>
          <w:p>
            <w:pPr>
              <w:spacing w:before="333" w:beforeLines="100"/>
              <w:jc w:val="center"/>
              <w:rPr>
                <w:rFonts w:hAnsi="宋体" w:cs="宋体"/>
                <w:color w:val="auto"/>
                <w:highlight w:val="none"/>
              </w:rPr>
            </w:pPr>
          </w:p>
        </w:tc>
        <w:tc>
          <w:tcPr>
            <w:tcW w:w="681" w:type="dxa"/>
            <w:tcBorders>
              <w:top w:val="single" w:color="auto" w:sz="4" w:space="0"/>
              <w:left w:val="single" w:color="auto" w:sz="4" w:space="0"/>
              <w:bottom w:val="single" w:color="auto" w:sz="6" w:space="0"/>
            </w:tcBorders>
            <w:noWrap w:val="0"/>
            <w:vAlign w:val="center"/>
          </w:tcPr>
          <w:p>
            <w:pPr>
              <w:spacing w:before="333" w:beforeLines="100"/>
              <w:jc w:val="center"/>
              <w:rPr>
                <w:rFonts w:hAnsi="宋体" w:cs="宋体"/>
                <w:color w:val="auto"/>
                <w:highlight w:val="none"/>
              </w:rPr>
            </w:pPr>
            <w:r>
              <w:rPr>
                <w:rFonts w:hint="eastAsia" w:hAnsi="宋体" w:cs="宋体"/>
                <w:color w:val="auto"/>
                <w:szCs w:val="24"/>
                <w:highlight w:val="none"/>
              </w:rPr>
              <w:t>……</w:t>
            </w:r>
          </w:p>
        </w:tc>
        <w:tc>
          <w:tcPr>
            <w:tcW w:w="1290"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85" w:type="dxa"/>
            <w:tcBorders>
              <w:top w:val="single" w:color="auto" w:sz="4" w:space="0"/>
              <w:left w:val="single" w:color="auto" w:sz="6" w:space="0"/>
              <w:bottom w:val="single" w:color="auto" w:sz="6" w:space="0"/>
              <w:right w:val="single" w:color="auto" w:sz="4" w:space="0"/>
            </w:tcBorders>
            <w:noWrap w:val="0"/>
            <w:vAlign w:val="center"/>
          </w:tcPr>
          <w:p>
            <w:pPr>
              <w:spacing w:before="166" w:beforeLines="50"/>
              <w:jc w:val="center"/>
              <w:rPr>
                <w:rFonts w:hAnsi="宋体" w:cs="宋体"/>
                <w:color w:val="auto"/>
                <w:highlight w:val="none"/>
              </w:rPr>
            </w:pPr>
          </w:p>
        </w:tc>
        <w:tc>
          <w:tcPr>
            <w:tcW w:w="1380" w:type="dxa"/>
            <w:tcBorders>
              <w:top w:val="single" w:color="auto" w:sz="4" w:space="0"/>
              <w:left w:val="single" w:color="auto" w:sz="4"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230"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25"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33"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875" w:type="dxa"/>
            <w:vMerge w:val="continue"/>
            <w:tcBorders>
              <w:left w:val="single" w:color="auto" w:sz="6" w:space="0"/>
              <w:bottom w:val="single" w:color="auto" w:sz="6" w:space="0"/>
              <w:right w:val="single" w:color="auto" w:sz="4" w:space="0"/>
            </w:tcBorders>
            <w:noWrap w:val="0"/>
            <w:vAlign w:val="center"/>
          </w:tcPr>
          <w:p>
            <w:pPr>
              <w:spacing w:before="333" w:beforeLines="100"/>
              <w:jc w:val="center"/>
              <w:rPr>
                <w:rFonts w:hAnsi="宋体" w:cs="宋体"/>
                <w:color w:val="auto"/>
                <w:highlight w:val="none"/>
              </w:rPr>
            </w:pPr>
          </w:p>
        </w:tc>
        <w:tc>
          <w:tcPr>
            <w:tcW w:w="681" w:type="dxa"/>
            <w:tcBorders>
              <w:top w:val="single" w:color="auto" w:sz="4" w:space="0"/>
              <w:left w:val="single" w:color="auto" w:sz="4" w:space="0"/>
              <w:bottom w:val="single" w:color="auto" w:sz="6" w:space="0"/>
            </w:tcBorders>
            <w:noWrap w:val="0"/>
            <w:vAlign w:val="center"/>
          </w:tcPr>
          <w:p>
            <w:pPr>
              <w:spacing w:before="333" w:beforeLines="100"/>
              <w:jc w:val="center"/>
              <w:rPr>
                <w:rFonts w:hAnsi="宋体" w:cs="宋体"/>
                <w:b/>
                <w:color w:val="auto"/>
                <w:highlight w:val="none"/>
              </w:rPr>
            </w:pPr>
            <w:r>
              <w:rPr>
                <w:rFonts w:hint="eastAsia" w:hAnsi="宋体" w:cs="宋体"/>
                <w:color w:val="auto"/>
                <w:szCs w:val="24"/>
                <w:highlight w:val="none"/>
              </w:rPr>
              <w:t>……</w:t>
            </w:r>
          </w:p>
        </w:tc>
        <w:tc>
          <w:tcPr>
            <w:tcW w:w="1290"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85" w:type="dxa"/>
            <w:tcBorders>
              <w:top w:val="single" w:color="auto" w:sz="4" w:space="0"/>
              <w:left w:val="single" w:color="auto" w:sz="6" w:space="0"/>
              <w:bottom w:val="single" w:color="auto" w:sz="6" w:space="0"/>
              <w:right w:val="single" w:color="auto" w:sz="4" w:space="0"/>
            </w:tcBorders>
            <w:noWrap w:val="0"/>
            <w:vAlign w:val="center"/>
          </w:tcPr>
          <w:p>
            <w:pPr>
              <w:spacing w:before="166" w:beforeLines="50"/>
              <w:jc w:val="center"/>
              <w:rPr>
                <w:rFonts w:hAnsi="宋体" w:cs="宋体"/>
                <w:color w:val="auto"/>
                <w:highlight w:val="none"/>
              </w:rPr>
            </w:pPr>
          </w:p>
        </w:tc>
        <w:tc>
          <w:tcPr>
            <w:tcW w:w="1380" w:type="dxa"/>
            <w:tcBorders>
              <w:top w:val="single" w:color="auto" w:sz="4" w:space="0"/>
              <w:left w:val="single" w:color="auto" w:sz="4"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230"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25"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c>
          <w:tcPr>
            <w:tcW w:w="1133" w:type="dxa"/>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highlight w:val="none"/>
              </w:rPr>
            </w:pPr>
          </w:p>
        </w:tc>
      </w:tr>
      <w:tr>
        <w:tblPrEx>
          <w:tblCellMar>
            <w:top w:w="0" w:type="dxa"/>
            <w:left w:w="28" w:type="dxa"/>
            <w:bottom w:w="0" w:type="dxa"/>
            <w:right w:w="28" w:type="dxa"/>
          </w:tblCellMar>
        </w:tblPrEx>
        <w:trPr>
          <w:trHeight w:val="531" w:hRule="atLeast"/>
          <w:jc w:val="center"/>
        </w:trPr>
        <w:tc>
          <w:tcPr>
            <w:tcW w:w="2846" w:type="dxa"/>
            <w:gridSpan w:val="3"/>
            <w:tcBorders>
              <w:top w:val="single" w:color="auto" w:sz="4" w:space="0"/>
              <w:left w:val="single" w:color="auto" w:sz="6" w:space="0"/>
              <w:bottom w:val="single" w:color="auto" w:sz="6" w:space="0"/>
            </w:tcBorders>
            <w:noWrap w:val="0"/>
            <w:vAlign w:val="center"/>
          </w:tcPr>
          <w:p>
            <w:pPr>
              <w:jc w:val="center"/>
              <w:rPr>
                <w:rFonts w:hAnsi="宋体" w:cs="宋体"/>
                <w:color w:val="auto"/>
                <w:szCs w:val="24"/>
                <w:highlight w:val="none"/>
              </w:rPr>
            </w:pPr>
            <w:r>
              <w:rPr>
                <w:rFonts w:hint="eastAsia" w:hAnsi="宋体" w:cs="宋体"/>
                <w:color w:val="auto"/>
                <w:szCs w:val="24"/>
                <w:highlight w:val="none"/>
              </w:rPr>
              <w:t>投标总报价</w:t>
            </w:r>
          </w:p>
        </w:tc>
        <w:tc>
          <w:tcPr>
            <w:tcW w:w="6053" w:type="dxa"/>
            <w:gridSpan w:val="5"/>
            <w:tcBorders>
              <w:top w:val="single" w:color="auto" w:sz="4" w:space="0"/>
              <w:left w:val="single" w:color="auto" w:sz="6" w:space="0"/>
              <w:bottom w:val="single" w:color="auto" w:sz="6" w:space="0"/>
              <w:right w:val="single" w:color="auto" w:sz="6" w:space="0"/>
            </w:tcBorders>
            <w:noWrap w:val="0"/>
            <w:vAlign w:val="center"/>
          </w:tcPr>
          <w:p>
            <w:pPr>
              <w:spacing w:before="166" w:beforeLines="50"/>
              <w:jc w:val="center"/>
              <w:rPr>
                <w:rFonts w:hAnsi="宋体" w:cs="宋体"/>
                <w:color w:val="auto"/>
                <w:szCs w:val="24"/>
                <w:highlight w:val="none"/>
              </w:rPr>
            </w:pPr>
            <w:r>
              <w:rPr>
                <w:rFonts w:hint="eastAsia" w:hAnsi="宋体" w:cs="宋体"/>
                <w:color w:val="auto"/>
                <w:szCs w:val="24"/>
                <w:highlight w:val="none"/>
              </w:rPr>
              <w:t>大写：                           小写：</w:t>
            </w:r>
          </w:p>
        </w:tc>
      </w:tr>
      <w:tr>
        <w:tblPrEx>
          <w:tblCellMar>
            <w:top w:w="0" w:type="dxa"/>
            <w:left w:w="28" w:type="dxa"/>
            <w:bottom w:w="0" w:type="dxa"/>
            <w:right w:w="28" w:type="dxa"/>
          </w:tblCellMar>
        </w:tblPrEx>
        <w:trPr>
          <w:trHeight w:val="531" w:hRule="atLeast"/>
          <w:jc w:val="center"/>
        </w:trPr>
        <w:tc>
          <w:tcPr>
            <w:tcW w:w="2846" w:type="dxa"/>
            <w:gridSpan w:val="3"/>
            <w:tcBorders>
              <w:top w:val="single" w:color="auto" w:sz="4" w:space="0"/>
              <w:left w:val="single" w:color="auto" w:sz="6" w:space="0"/>
              <w:bottom w:val="single" w:color="auto" w:sz="6" w:space="0"/>
            </w:tcBorders>
            <w:noWrap w:val="0"/>
            <w:vAlign w:val="center"/>
          </w:tcPr>
          <w:p>
            <w:pPr>
              <w:jc w:val="center"/>
              <w:rPr>
                <w:rFonts w:hAnsi="宋体" w:cs="宋体"/>
                <w:color w:val="auto"/>
                <w:szCs w:val="24"/>
                <w:highlight w:val="none"/>
              </w:rPr>
            </w:pPr>
            <w:r>
              <w:rPr>
                <w:rFonts w:hint="eastAsia" w:hAnsi="宋体" w:cs="宋体"/>
                <w:color w:val="auto"/>
                <w:szCs w:val="24"/>
                <w:highlight w:val="none"/>
              </w:rPr>
              <w:t>备注</w:t>
            </w:r>
          </w:p>
        </w:tc>
        <w:tc>
          <w:tcPr>
            <w:tcW w:w="6053" w:type="dxa"/>
            <w:gridSpan w:val="5"/>
            <w:tcBorders>
              <w:top w:val="single" w:color="auto" w:sz="4" w:space="0"/>
              <w:left w:val="single" w:color="auto" w:sz="6" w:space="0"/>
              <w:bottom w:val="single" w:color="auto" w:sz="6" w:space="0"/>
              <w:right w:val="single" w:color="auto" w:sz="6" w:space="0"/>
            </w:tcBorders>
            <w:noWrap w:val="0"/>
            <w:vAlign w:val="center"/>
          </w:tcPr>
          <w:p>
            <w:pPr>
              <w:spacing w:before="166" w:beforeLines="50"/>
              <w:rPr>
                <w:rFonts w:hAnsi="宋体" w:cs="宋体"/>
                <w:color w:val="auto"/>
                <w:szCs w:val="24"/>
                <w:highlight w:val="none"/>
              </w:rPr>
            </w:pPr>
            <w:r>
              <w:rPr>
                <w:rFonts w:hint="eastAsia" w:hAnsi="宋体" w:cs="宋体"/>
                <w:color w:val="auto"/>
                <w:spacing w:val="-6"/>
                <w:szCs w:val="24"/>
                <w:highlight w:val="none"/>
              </w:rPr>
              <w:t>保留小数点后两位。</w:t>
            </w:r>
          </w:p>
        </w:tc>
      </w:tr>
    </w:tbl>
    <w:p>
      <w:pPr>
        <w:spacing w:line="560" w:lineRule="exact"/>
        <w:rPr>
          <w:rFonts w:hAnsi="宋体" w:cs="宋体"/>
          <w:color w:val="auto"/>
          <w:highlight w:val="none"/>
        </w:rPr>
      </w:pPr>
      <w:r>
        <w:rPr>
          <w:rFonts w:hint="eastAsia" w:hAnsi="宋体" w:cs="宋体"/>
          <w:color w:val="auto"/>
          <w:highlight w:val="none"/>
        </w:rPr>
        <w:t>注：1.如果按单价计算的结果与总价不一致，以单价为准修正总价。</w:t>
      </w:r>
    </w:p>
    <w:p>
      <w:pPr>
        <w:spacing w:line="560" w:lineRule="exact"/>
        <w:ind w:firstLine="480" w:firstLineChars="200"/>
        <w:rPr>
          <w:rFonts w:hAnsi="宋体" w:cs="宋体"/>
          <w:color w:val="auto"/>
          <w:highlight w:val="none"/>
        </w:rPr>
      </w:pPr>
      <w:r>
        <w:rPr>
          <w:rFonts w:hint="eastAsia" w:hAnsi="宋体" w:cs="宋体"/>
          <w:color w:val="auto"/>
          <w:highlight w:val="none"/>
        </w:rPr>
        <w:t>2.如果不提供详细分项报价将视为没有实质性响应</w:t>
      </w:r>
      <w:r>
        <w:rPr>
          <w:rFonts w:hint="eastAsia" w:hAnsi="宋体" w:cs="宋体"/>
          <w:color w:val="auto"/>
          <w:highlight w:val="none"/>
          <w:lang w:eastAsia="zh-CN"/>
        </w:rPr>
        <w:t>招标</w:t>
      </w:r>
      <w:r>
        <w:rPr>
          <w:rFonts w:hint="eastAsia" w:hAnsi="宋体" w:cs="宋体"/>
          <w:color w:val="auto"/>
          <w:highlight w:val="none"/>
        </w:rPr>
        <w:t>文件。</w:t>
      </w:r>
    </w:p>
    <w:p>
      <w:pPr>
        <w:spacing w:line="560" w:lineRule="exact"/>
        <w:ind w:firstLine="480" w:firstLineChars="200"/>
        <w:rPr>
          <w:rFonts w:hAnsi="宋体" w:cs="宋体"/>
          <w:bCs/>
          <w:color w:val="auto"/>
          <w:highlight w:val="none"/>
        </w:rPr>
      </w:pPr>
      <w:r>
        <w:rPr>
          <w:rFonts w:hint="eastAsia" w:hAnsi="宋体" w:cs="宋体"/>
          <w:bCs/>
          <w:color w:val="auto"/>
          <w:highlight w:val="none"/>
        </w:rPr>
        <w:t>3.供应商可适当调整该表格式，但不得减少信息内容。</w:t>
      </w:r>
    </w:p>
    <w:p>
      <w:pPr>
        <w:spacing w:line="560" w:lineRule="exact"/>
        <w:ind w:firstLine="480" w:firstLineChars="200"/>
        <w:rPr>
          <w:color w:val="auto"/>
          <w:highlight w:val="none"/>
        </w:rPr>
      </w:pPr>
      <w:r>
        <w:rPr>
          <w:rFonts w:hint="eastAsia"/>
          <w:color w:val="auto"/>
          <w:highlight w:val="none"/>
        </w:rPr>
        <w:t>4</w:t>
      </w:r>
      <w:r>
        <w:rPr>
          <w:rFonts w:hint="eastAsia"/>
          <w:color w:val="auto"/>
          <w:highlight w:val="none"/>
          <w:lang w:eastAsia="zh-CN"/>
        </w:rPr>
        <w:t>.</w:t>
      </w:r>
      <w:r>
        <w:rPr>
          <w:rFonts w:hint="eastAsia"/>
          <w:color w:val="auto"/>
          <w:highlight w:val="none"/>
        </w:rPr>
        <w:t>单位：元，保留小数点后两位。</w:t>
      </w:r>
    </w:p>
    <w:p>
      <w:pPr>
        <w:rPr>
          <w:rFonts w:hAnsi="宋体" w:cs="宋体"/>
          <w:color w:val="auto"/>
          <w:highlight w:val="none"/>
        </w:rPr>
      </w:pPr>
    </w:p>
    <w:p>
      <w:pPr>
        <w:pStyle w:val="5"/>
        <w:spacing w:before="333" w:beforeLines="100"/>
        <w:rPr>
          <w:rFonts w:ascii="宋体" w:hAnsi="宋体" w:cs="宋体"/>
          <w:b w:val="0"/>
          <w:color w:val="auto"/>
          <w:highlight w:val="none"/>
        </w:rPr>
      </w:pPr>
      <w:bookmarkStart w:id="138" w:name="_Toc2184"/>
      <w:bookmarkStart w:id="139" w:name="_Toc8367"/>
      <w:bookmarkStart w:id="140" w:name="_Toc3617"/>
      <w:bookmarkStart w:id="141" w:name="_Toc19152"/>
      <w:bookmarkStart w:id="142" w:name="_Toc31326"/>
      <w:bookmarkStart w:id="143" w:name="_Toc16715"/>
      <w:bookmarkStart w:id="144" w:name="_Toc4085"/>
      <w:bookmarkStart w:id="145" w:name="_Toc14384"/>
      <w:r>
        <w:rPr>
          <w:rFonts w:hint="eastAsia" w:ascii="宋体" w:hAnsi="宋体" w:cs="宋体"/>
          <w:color w:val="auto"/>
          <w:sz w:val="32"/>
          <w:szCs w:val="32"/>
          <w:highlight w:val="none"/>
        </w:rPr>
        <w:br w:type="page"/>
      </w:r>
      <w:bookmarkStart w:id="146" w:name="_Toc17891"/>
      <w:bookmarkStart w:id="147" w:name="_Toc18339"/>
      <w:r>
        <w:rPr>
          <w:rFonts w:hint="eastAsia" w:ascii="宋体" w:hAnsi="宋体" w:cs="宋体"/>
          <w:color w:val="auto"/>
          <w:sz w:val="32"/>
          <w:szCs w:val="32"/>
          <w:highlight w:val="none"/>
        </w:rPr>
        <w:t>三、投标方案说明书</w:t>
      </w:r>
      <w:bookmarkEnd w:id="138"/>
      <w:bookmarkEnd w:id="139"/>
      <w:bookmarkEnd w:id="140"/>
      <w:bookmarkEnd w:id="141"/>
      <w:bookmarkEnd w:id="142"/>
      <w:bookmarkEnd w:id="143"/>
      <w:bookmarkEnd w:id="144"/>
      <w:bookmarkEnd w:id="145"/>
      <w:bookmarkEnd w:id="146"/>
      <w:bookmarkEnd w:id="147"/>
    </w:p>
    <w:p>
      <w:pPr>
        <w:spacing w:line="360" w:lineRule="auto"/>
        <w:ind w:firstLine="480" w:firstLineChars="200"/>
        <w:rPr>
          <w:rFonts w:hint="eastAsia" w:ascii="宋体" w:hAnsi="宋体" w:eastAsia="宋体" w:cs="宋体"/>
          <w:bCs/>
          <w:color w:val="auto"/>
          <w:szCs w:val="24"/>
          <w:highlight w:val="none"/>
          <w:lang w:eastAsia="zh-CN"/>
        </w:rPr>
      </w:pPr>
      <w:r>
        <w:rPr>
          <w:rFonts w:hint="eastAsia" w:hAnsi="宋体" w:cs="宋体"/>
          <w:bCs/>
          <w:color w:val="auto"/>
          <w:szCs w:val="24"/>
          <w:highlight w:val="none"/>
          <w:lang w:eastAsia="zh-CN"/>
        </w:rPr>
        <w:t>备注：</w:t>
      </w:r>
      <w:r>
        <w:rPr>
          <w:rFonts w:hint="eastAsia" w:ascii="宋体" w:hAnsi="宋体" w:eastAsia="宋体" w:cs="宋体"/>
          <w:bCs/>
          <w:color w:val="auto"/>
          <w:szCs w:val="24"/>
          <w:highlight w:val="none"/>
        </w:rPr>
        <w:t>按照招标文件的要求编制的投标方案说明书（参照评分办法）</w:t>
      </w:r>
      <w:r>
        <w:rPr>
          <w:rFonts w:hint="eastAsia" w:ascii="宋体" w:hAnsi="宋体" w:eastAsia="宋体" w:cs="宋体"/>
          <w:bCs/>
          <w:color w:val="auto"/>
          <w:szCs w:val="24"/>
          <w:highlight w:val="none"/>
          <w:lang w:eastAsia="zh-CN"/>
        </w:rPr>
        <w:t>。</w:t>
      </w:r>
    </w:p>
    <w:p>
      <w:pPr>
        <w:rPr>
          <w:rFonts w:hAnsi="宋体" w:cs="宋体"/>
          <w:color w:val="auto"/>
          <w:szCs w:val="24"/>
          <w:highlight w:val="none"/>
        </w:rPr>
      </w:pPr>
      <w:r>
        <w:rPr>
          <w:rFonts w:hint="eastAsia" w:hAnsi="宋体" w:cs="宋体"/>
          <w:color w:val="auto"/>
          <w:szCs w:val="24"/>
          <w:highlight w:val="none"/>
        </w:rPr>
        <w:br w:type="page"/>
      </w:r>
    </w:p>
    <w:p>
      <w:pPr>
        <w:spacing w:after="120"/>
        <w:rPr>
          <w:rFonts w:hAnsi="宋体"/>
          <w:b/>
          <w:color w:val="auto"/>
          <w:szCs w:val="24"/>
          <w:highlight w:val="none"/>
        </w:rPr>
      </w:pPr>
      <w:r>
        <w:rPr>
          <w:rFonts w:hint="eastAsia" w:hAnsi="宋体"/>
          <w:b/>
          <w:color w:val="auto"/>
          <w:szCs w:val="24"/>
          <w:highlight w:val="none"/>
        </w:rPr>
        <w:t>附表1：</w:t>
      </w:r>
    </w:p>
    <w:p>
      <w:pPr>
        <w:spacing w:after="120"/>
        <w:jc w:val="center"/>
        <w:rPr>
          <w:rFonts w:hAnsi="宋体"/>
          <w:b/>
          <w:color w:val="auto"/>
          <w:sz w:val="32"/>
          <w:szCs w:val="32"/>
          <w:highlight w:val="none"/>
        </w:rPr>
      </w:pPr>
      <w:r>
        <w:rPr>
          <w:rFonts w:hint="eastAsia" w:hAnsi="宋体"/>
          <w:b/>
          <w:color w:val="auto"/>
          <w:sz w:val="32"/>
          <w:szCs w:val="32"/>
          <w:highlight w:val="none"/>
        </w:rPr>
        <w:t>技术规格响应表</w:t>
      </w:r>
    </w:p>
    <w:p>
      <w:pPr>
        <w:spacing w:after="120"/>
        <w:ind w:firstLine="120" w:firstLineChars="50"/>
        <w:rPr>
          <w:rFonts w:hAnsi="宋体"/>
          <w:color w:val="auto"/>
          <w:szCs w:val="24"/>
          <w:highlight w:val="none"/>
        </w:rPr>
      </w:pPr>
      <w:r>
        <w:rPr>
          <w:rFonts w:hint="eastAsia" w:hAnsi="宋体"/>
          <w:color w:val="auto"/>
          <w:szCs w:val="24"/>
          <w:highlight w:val="none"/>
        </w:rPr>
        <w:t>项目名称：</w:t>
      </w:r>
    </w:p>
    <w:p>
      <w:pPr>
        <w:spacing w:after="120"/>
        <w:ind w:firstLine="120" w:firstLineChars="50"/>
        <w:rPr>
          <w:rFonts w:hAnsi="宋体"/>
          <w:color w:val="auto"/>
          <w:szCs w:val="24"/>
          <w:highlight w:val="none"/>
        </w:rPr>
      </w:pPr>
      <w:r>
        <w:rPr>
          <w:rFonts w:hint="eastAsia" w:hAnsi="宋体"/>
          <w:color w:val="auto"/>
          <w:szCs w:val="24"/>
          <w:highlight w:val="none"/>
        </w:rPr>
        <w:t>项目</w:t>
      </w:r>
      <w:r>
        <w:rPr>
          <w:rFonts w:hint="eastAsia" w:hAnsi="宋体"/>
          <w:color w:val="auto"/>
          <w:szCs w:val="24"/>
          <w:highlight w:val="none"/>
          <w:lang w:eastAsia="zh-CN"/>
        </w:rPr>
        <w:t>编号</w:t>
      </w:r>
      <w:r>
        <w:rPr>
          <w:rFonts w:hint="eastAsia" w:hAnsi="宋体"/>
          <w:color w:val="auto"/>
          <w:szCs w:val="24"/>
          <w:highlight w:val="none"/>
        </w:rPr>
        <w:t>：</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737"/>
        <w:gridCol w:w="1276"/>
        <w:gridCol w:w="2268"/>
        <w:gridCol w:w="2781"/>
        <w:gridCol w:w="1188"/>
        <w:gridCol w:w="5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33" w:hRule="atLeast"/>
          <w:jc w:val="center"/>
        </w:trPr>
        <w:tc>
          <w:tcPr>
            <w:tcW w:w="737" w:type="dxa"/>
            <w:tcBorders>
              <w:bottom w:val="nil"/>
            </w:tcBorders>
            <w:noWrap w:val="0"/>
            <w:vAlign w:val="top"/>
          </w:tcPr>
          <w:p>
            <w:pPr>
              <w:spacing w:before="166" w:beforeLines="50"/>
              <w:jc w:val="center"/>
              <w:rPr>
                <w:rFonts w:hAnsi="宋体"/>
                <w:color w:val="auto"/>
                <w:szCs w:val="24"/>
                <w:highlight w:val="none"/>
              </w:rPr>
            </w:pPr>
            <w:r>
              <w:rPr>
                <w:rFonts w:hint="eastAsia" w:hAnsi="宋体"/>
                <w:color w:val="auto"/>
                <w:szCs w:val="24"/>
                <w:highlight w:val="none"/>
              </w:rPr>
              <w:t>序号</w:t>
            </w:r>
          </w:p>
        </w:tc>
        <w:tc>
          <w:tcPr>
            <w:tcW w:w="1276" w:type="dxa"/>
            <w:tcBorders>
              <w:bottom w:val="nil"/>
            </w:tcBorders>
            <w:noWrap w:val="0"/>
            <w:vAlign w:val="top"/>
          </w:tcPr>
          <w:p>
            <w:pPr>
              <w:spacing w:before="166" w:beforeLines="50"/>
              <w:jc w:val="center"/>
              <w:rPr>
                <w:rFonts w:hAnsi="宋体"/>
                <w:color w:val="auto"/>
                <w:szCs w:val="24"/>
                <w:highlight w:val="none"/>
              </w:rPr>
            </w:pPr>
            <w:r>
              <w:rPr>
                <w:rFonts w:hint="eastAsia" w:hAnsi="宋体"/>
                <w:color w:val="auto"/>
                <w:szCs w:val="24"/>
                <w:highlight w:val="none"/>
              </w:rPr>
              <w:t>产品名称</w:t>
            </w:r>
          </w:p>
        </w:tc>
        <w:tc>
          <w:tcPr>
            <w:tcW w:w="2268" w:type="dxa"/>
            <w:tcBorders>
              <w:bottom w:val="nil"/>
            </w:tcBorders>
            <w:noWrap w:val="0"/>
            <w:vAlign w:val="top"/>
          </w:tcPr>
          <w:p>
            <w:pPr>
              <w:spacing w:before="166" w:beforeLines="50"/>
              <w:jc w:val="center"/>
              <w:rPr>
                <w:rFonts w:hAnsi="宋体"/>
                <w:color w:val="auto"/>
                <w:szCs w:val="24"/>
                <w:highlight w:val="none"/>
              </w:rPr>
            </w:pPr>
            <w:r>
              <w:rPr>
                <w:rFonts w:hint="eastAsia" w:hAnsi="宋体"/>
                <w:color w:val="auto"/>
                <w:szCs w:val="24"/>
                <w:highlight w:val="none"/>
              </w:rPr>
              <w:t>招标规格 ☆1</w:t>
            </w:r>
          </w:p>
        </w:tc>
        <w:tc>
          <w:tcPr>
            <w:tcW w:w="2781" w:type="dxa"/>
            <w:tcBorders>
              <w:bottom w:val="nil"/>
            </w:tcBorders>
            <w:noWrap w:val="0"/>
            <w:vAlign w:val="top"/>
          </w:tcPr>
          <w:p>
            <w:pPr>
              <w:spacing w:before="166" w:beforeLines="50"/>
              <w:jc w:val="center"/>
              <w:rPr>
                <w:rFonts w:hAnsi="宋体"/>
                <w:color w:val="auto"/>
                <w:szCs w:val="24"/>
                <w:highlight w:val="none"/>
              </w:rPr>
            </w:pPr>
            <w:r>
              <w:rPr>
                <w:rFonts w:hint="eastAsia" w:hAnsi="宋体"/>
                <w:color w:val="auto"/>
                <w:szCs w:val="24"/>
                <w:highlight w:val="none"/>
              </w:rPr>
              <w:t>投标规格 ☆2</w:t>
            </w:r>
          </w:p>
        </w:tc>
        <w:tc>
          <w:tcPr>
            <w:tcW w:w="1188" w:type="dxa"/>
            <w:tcBorders>
              <w:bottom w:val="nil"/>
            </w:tcBorders>
            <w:noWrap w:val="0"/>
            <w:vAlign w:val="top"/>
          </w:tcPr>
          <w:p>
            <w:pPr>
              <w:spacing w:before="166" w:beforeLines="50"/>
              <w:jc w:val="center"/>
              <w:rPr>
                <w:rFonts w:hAnsi="宋体"/>
                <w:color w:val="auto"/>
                <w:szCs w:val="24"/>
                <w:highlight w:val="none"/>
              </w:rPr>
            </w:pPr>
            <w:r>
              <w:rPr>
                <w:rFonts w:hint="eastAsia" w:hAnsi="宋体"/>
                <w:color w:val="auto"/>
                <w:szCs w:val="24"/>
                <w:highlight w:val="none"/>
              </w:rPr>
              <w:t>偏离说明</w:t>
            </w:r>
          </w:p>
        </w:tc>
        <w:tc>
          <w:tcPr>
            <w:tcW w:w="594" w:type="dxa"/>
            <w:tcBorders>
              <w:bottom w:val="nil"/>
            </w:tcBorders>
            <w:noWrap w:val="0"/>
            <w:vAlign w:val="top"/>
          </w:tcPr>
          <w:p>
            <w:pPr>
              <w:spacing w:before="166" w:beforeLines="50"/>
              <w:jc w:val="center"/>
              <w:rPr>
                <w:rFonts w:hAnsi="宋体"/>
                <w:color w:val="auto"/>
                <w:szCs w:val="24"/>
                <w:highlight w:val="none"/>
              </w:rPr>
            </w:pPr>
            <w:r>
              <w:rPr>
                <w:rFonts w:hint="eastAsia" w:hAnsi="宋体"/>
                <w:color w:val="auto"/>
                <w:szCs w:val="24"/>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89" w:hRule="atLeast"/>
          <w:jc w:val="center"/>
        </w:trPr>
        <w:tc>
          <w:tcPr>
            <w:tcW w:w="737" w:type="dxa"/>
            <w:tcBorders>
              <w:top w:val="single" w:color="auto" w:sz="12" w:space="0"/>
              <w:left w:val="single" w:color="auto" w:sz="12" w:space="0"/>
              <w:bottom w:val="nil"/>
              <w:right w:val="single" w:color="auto" w:sz="6" w:space="0"/>
            </w:tcBorders>
            <w:noWrap w:val="0"/>
            <w:vAlign w:val="top"/>
          </w:tcPr>
          <w:p>
            <w:pPr>
              <w:rPr>
                <w:rFonts w:hAnsi="宋体"/>
                <w:color w:val="auto"/>
                <w:szCs w:val="24"/>
                <w:highlight w:val="none"/>
              </w:rPr>
            </w:pPr>
          </w:p>
        </w:tc>
        <w:tc>
          <w:tcPr>
            <w:tcW w:w="1276" w:type="dxa"/>
            <w:tcBorders>
              <w:top w:val="single" w:color="auto" w:sz="12" w:space="0"/>
              <w:left w:val="single" w:color="auto" w:sz="6" w:space="0"/>
              <w:bottom w:val="nil"/>
              <w:right w:val="single" w:color="auto" w:sz="6" w:space="0"/>
            </w:tcBorders>
            <w:noWrap w:val="0"/>
            <w:vAlign w:val="top"/>
          </w:tcPr>
          <w:p>
            <w:pPr>
              <w:rPr>
                <w:rFonts w:hAnsi="宋体"/>
                <w:color w:val="auto"/>
                <w:szCs w:val="24"/>
                <w:highlight w:val="none"/>
              </w:rPr>
            </w:pPr>
          </w:p>
        </w:tc>
        <w:tc>
          <w:tcPr>
            <w:tcW w:w="2268" w:type="dxa"/>
            <w:tcBorders>
              <w:top w:val="single" w:color="auto" w:sz="12" w:space="0"/>
              <w:left w:val="single" w:color="auto" w:sz="6" w:space="0"/>
              <w:bottom w:val="nil"/>
              <w:right w:val="single" w:color="auto" w:sz="6" w:space="0"/>
            </w:tcBorders>
            <w:noWrap w:val="0"/>
            <w:vAlign w:val="top"/>
          </w:tcPr>
          <w:p>
            <w:pPr>
              <w:rPr>
                <w:rFonts w:hAnsi="宋体"/>
                <w:color w:val="auto"/>
                <w:szCs w:val="24"/>
                <w:highlight w:val="none"/>
              </w:rPr>
            </w:pPr>
          </w:p>
        </w:tc>
        <w:tc>
          <w:tcPr>
            <w:tcW w:w="2781" w:type="dxa"/>
            <w:tcBorders>
              <w:top w:val="single" w:color="auto" w:sz="12" w:space="0"/>
              <w:left w:val="single" w:color="auto" w:sz="6" w:space="0"/>
              <w:bottom w:val="nil"/>
              <w:right w:val="single" w:color="auto" w:sz="6" w:space="0"/>
            </w:tcBorders>
            <w:noWrap w:val="0"/>
            <w:vAlign w:val="top"/>
          </w:tcPr>
          <w:p>
            <w:pPr>
              <w:rPr>
                <w:rFonts w:hAnsi="宋体"/>
                <w:color w:val="auto"/>
                <w:szCs w:val="24"/>
                <w:highlight w:val="none"/>
              </w:rPr>
            </w:pPr>
          </w:p>
        </w:tc>
        <w:tc>
          <w:tcPr>
            <w:tcW w:w="1188" w:type="dxa"/>
            <w:tcBorders>
              <w:top w:val="single" w:color="auto" w:sz="12" w:space="0"/>
              <w:left w:val="single" w:color="auto" w:sz="6" w:space="0"/>
              <w:bottom w:val="nil"/>
              <w:right w:val="single" w:color="auto" w:sz="6" w:space="0"/>
            </w:tcBorders>
            <w:noWrap w:val="0"/>
            <w:vAlign w:val="top"/>
          </w:tcPr>
          <w:p>
            <w:pPr>
              <w:rPr>
                <w:rFonts w:hAnsi="宋体"/>
                <w:color w:val="auto"/>
                <w:szCs w:val="24"/>
                <w:highlight w:val="none"/>
              </w:rPr>
            </w:pPr>
          </w:p>
        </w:tc>
        <w:tc>
          <w:tcPr>
            <w:tcW w:w="594" w:type="dxa"/>
            <w:tcBorders>
              <w:top w:val="single" w:color="auto" w:sz="12" w:space="0"/>
              <w:left w:val="single" w:color="auto" w:sz="6" w:space="0"/>
              <w:bottom w:val="nil"/>
              <w:right w:val="single" w:color="auto" w:sz="12" w:space="0"/>
            </w:tcBorders>
            <w:noWrap w:val="0"/>
            <w:vAlign w:val="top"/>
          </w:tcPr>
          <w:p>
            <w:pP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69" w:hRule="atLeast"/>
          <w:jc w:val="center"/>
        </w:trPr>
        <w:tc>
          <w:tcPr>
            <w:tcW w:w="737" w:type="dxa"/>
            <w:tcBorders>
              <w:top w:val="nil"/>
            </w:tcBorders>
            <w:noWrap w:val="0"/>
            <w:vAlign w:val="top"/>
          </w:tcPr>
          <w:p>
            <w:pPr>
              <w:rPr>
                <w:rFonts w:hAnsi="宋体"/>
                <w:color w:val="auto"/>
                <w:szCs w:val="24"/>
                <w:highlight w:val="none"/>
              </w:rPr>
            </w:pPr>
          </w:p>
        </w:tc>
        <w:tc>
          <w:tcPr>
            <w:tcW w:w="1276" w:type="dxa"/>
            <w:tcBorders>
              <w:top w:val="nil"/>
            </w:tcBorders>
            <w:noWrap w:val="0"/>
            <w:vAlign w:val="top"/>
          </w:tcPr>
          <w:p>
            <w:pPr>
              <w:rPr>
                <w:rFonts w:hAnsi="宋体"/>
                <w:color w:val="auto"/>
                <w:szCs w:val="24"/>
                <w:highlight w:val="none"/>
              </w:rPr>
            </w:pPr>
          </w:p>
        </w:tc>
        <w:tc>
          <w:tcPr>
            <w:tcW w:w="2268" w:type="dxa"/>
            <w:tcBorders>
              <w:top w:val="nil"/>
            </w:tcBorders>
            <w:noWrap w:val="0"/>
            <w:vAlign w:val="top"/>
          </w:tcPr>
          <w:p>
            <w:pPr>
              <w:rPr>
                <w:rFonts w:hAnsi="宋体"/>
                <w:color w:val="auto"/>
                <w:szCs w:val="24"/>
                <w:highlight w:val="none"/>
              </w:rPr>
            </w:pPr>
          </w:p>
        </w:tc>
        <w:tc>
          <w:tcPr>
            <w:tcW w:w="2781" w:type="dxa"/>
            <w:tcBorders>
              <w:top w:val="nil"/>
            </w:tcBorders>
            <w:noWrap w:val="0"/>
            <w:vAlign w:val="top"/>
          </w:tcPr>
          <w:p>
            <w:pPr>
              <w:rPr>
                <w:rFonts w:hAnsi="宋体"/>
                <w:color w:val="auto"/>
                <w:szCs w:val="24"/>
                <w:highlight w:val="none"/>
              </w:rPr>
            </w:pPr>
          </w:p>
        </w:tc>
        <w:tc>
          <w:tcPr>
            <w:tcW w:w="1188" w:type="dxa"/>
            <w:tcBorders>
              <w:top w:val="nil"/>
            </w:tcBorders>
            <w:noWrap w:val="0"/>
            <w:vAlign w:val="top"/>
          </w:tcPr>
          <w:p>
            <w:pPr>
              <w:rPr>
                <w:rFonts w:hAnsi="宋体"/>
                <w:color w:val="auto"/>
                <w:szCs w:val="24"/>
                <w:highlight w:val="none"/>
              </w:rPr>
            </w:pPr>
          </w:p>
        </w:tc>
        <w:tc>
          <w:tcPr>
            <w:tcW w:w="594" w:type="dxa"/>
            <w:tcBorders>
              <w:top w:val="nil"/>
            </w:tcBorders>
            <w:noWrap w:val="0"/>
            <w:vAlign w:val="top"/>
          </w:tcPr>
          <w:p>
            <w:pPr>
              <w:rPr>
                <w:rFonts w:hAnsi="宋体"/>
                <w:color w:val="auto"/>
                <w:szCs w:val="24"/>
                <w:highlight w:val="none"/>
              </w:rPr>
            </w:pPr>
          </w:p>
        </w:tc>
      </w:tr>
    </w:tbl>
    <w:p>
      <w:pPr>
        <w:rPr>
          <w:rFonts w:hAnsi="宋体"/>
          <w:color w:val="auto"/>
          <w:highlight w:val="none"/>
        </w:rPr>
      </w:pPr>
    </w:p>
    <w:p>
      <w:pPr>
        <w:rPr>
          <w:rFonts w:hAnsi="宋体"/>
          <w:color w:val="auto"/>
          <w:highlight w:val="none"/>
        </w:rPr>
      </w:pPr>
    </w:p>
    <w:p>
      <w:pPr>
        <w:rPr>
          <w:rFonts w:hAnsi="宋体"/>
          <w:color w:val="auto"/>
          <w:szCs w:val="24"/>
          <w:highlight w:val="none"/>
        </w:rPr>
      </w:pPr>
    </w:p>
    <w:p>
      <w:pPr>
        <w:spacing w:line="280" w:lineRule="exact"/>
        <w:ind w:firstLine="120" w:firstLineChars="50"/>
        <w:rPr>
          <w:rFonts w:hAnsi="宋体"/>
          <w:color w:val="auto"/>
          <w:szCs w:val="24"/>
          <w:highlight w:val="none"/>
        </w:rPr>
      </w:pPr>
      <w:r>
        <w:rPr>
          <w:rFonts w:hint="eastAsia"/>
          <w:color w:val="auto"/>
          <w:highlight w:val="none"/>
        </w:rPr>
        <w:t>法定代表人或被授权人（签字或盖章）</w:t>
      </w:r>
      <w:r>
        <w:rPr>
          <w:rFonts w:hint="eastAsia" w:hAnsi="宋体"/>
          <w:color w:val="auto"/>
          <w:szCs w:val="24"/>
          <w:highlight w:val="none"/>
        </w:rPr>
        <w:t>:</w:t>
      </w:r>
    </w:p>
    <w:p>
      <w:pPr>
        <w:tabs>
          <w:tab w:val="left" w:pos="3045"/>
        </w:tabs>
        <w:spacing w:line="280" w:lineRule="exact"/>
        <w:rPr>
          <w:rFonts w:hAnsi="宋体"/>
          <w:color w:val="auto"/>
          <w:szCs w:val="24"/>
          <w:highlight w:val="none"/>
        </w:rPr>
      </w:pPr>
    </w:p>
    <w:p>
      <w:pPr>
        <w:spacing w:line="280" w:lineRule="exact"/>
        <w:rPr>
          <w:rFonts w:hAnsi="宋体"/>
          <w:color w:val="auto"/>
          <w:szCs w:val="24"/>
          <w:highlight w:val="none"/>
        </w:rPr>
      </w:pPr>
    </w:p>
    <w:p>
      <w:pPr>
        <w:spacing w:line="280" w:lineRule="exact"/>
        <w:ind w:firstLine="120" w:firstLineChars="50"/>
        <w:rPr>
          <w:rFonts w:hAnsi="宋体"/>
          <w:color w:val="auto"/>
          <w:szCs w:val="24"/>
          <w:highlight w:val="none"/>
        </w:rPr>
      </w:pPr>
      <w:r>
        <w:rPr>
          <w:rFonts w:hint="eastAsia" w:hAnsi="宋体"/>
          <w:color w:val="auto"/>
          <w:szCs w:val="24"/>
          <w:highlight w:val="none"/>
        </w:rPr>
        <w:t>公      章：</w:t>
      </w:r>
    </w:p>
    <w:p>
      <w:pPr>
        <w:rPr>
          <w:rFonts w:hAnsi="宋体"/>
          <w:color w:val="auto"/>
          <w:szCs w:val="24"/>
          <w:highlight w:val="none"/>
        </w:rPr>
      </w:pPr>
    </w:p>
    <w:p>
      <w:pPr>
        <w:spacing w:line="360" w:lineRule="auto"/>
        <w:ind w:left="1560" w:hanging="1560" w:hangingChars="650"/>
        <w:rPr>
          <w:rFonts w:hAnsi="宋体"/>
          <w:color w:val="auto"/>
          <w:szCs w:val="24"/>
          <w:highlight w:val="none"/>
        </w:rPr>
      </w:pPr>
      <w:r>
        <w:rPr>
          <w:rFonts w:hint="eastAsia" w:hAnsi="宋体"/>
          <w:color w:val="auto"/>
          <w:szCs w:val="24"/>
          <w:highlight w:val="none"/>
        </w:rPr>
        <w:t>注:  1.  ☆1指招标文件中的技术规格(参数),供应商应按照招标文件中的内容逐条抄写。</w:t>
      </w:r>
    </w:p>
    <w:p>
      <w:pPr>
        <w:spacing w:line="360" w:lineRule="auto"/>
        <w:ind w:left="1560" w:hanging="1560" w:hangingChars="650"/>
        <w:rPr>
          <w:rFonts w:hAnsi="宋体"/>
          <w:color w:val="auto"/>
          <w:szCs w:val="24"/>
          <w:highlight w:val="none"/>
        </w:rPr>
      </w:pPr>
      <w:r>
        <w:rPr>
          <w:rFonts w:hint="eastAsia" w:hAnsi="宋体"/>
          <w:color w:val="auto"/>
          <w:szCs w:val="24"/>
          <w:highlight w:val="none"/>
        </w:rPr>
        <w:t xml:space="preserve">     2.  ☆2指供应商拟提供的招标产品的功能及技术规格(参数),供应商应逐条如实填写并提供相应的支持文件。 </w:t>
      </w:r>
    </w:p>
    <w:p>
      <w:pPr>
        <w:rPr>
          <w:rFonts w:hAnsi="宋体"/>
          <w:color w:val="auto"/>
          <w:highlight w:val="none"/>
        </w:rPr>
      </w:pPr>
      <w:r>
        <w:rPr>
          <w:rFonts w:hint="eastAsia" w:hAnsi="宋体"/>
          <w:color w:val="auto"/>
          <w:szCs w:val="24"/>
          <w:highlight w:val="none"/>
        </w:rPr>
        <w:t xml:space="preserve">     </w:t>
      </w:r>
      <w:r>
        <w:rPr>
          <w:rFonts w:hint="eastAsia" w:hAnsi="宋体"/>
          <w:color w:val="auto"/>
          <w:highlight w:val="none"/>
        </w:rPr>
        <w:t>3.     偏离说明填写：优于、满足或低于。</w:t>
      </w:r>
    </w:p>
    <w:p>
      <w:pPr>
        <w:rPr>
          <w:rFonts w:hAnsi="宋体"/>
          <w:color w:val="auto"/>
          <w:highlight w:val="none"/>
        </w:rPr>
      </w:pPr>
      <w:r>
        <w:rPr>
          <w:rFonts w:hint="eastAsia" w:hAnsi="宋体"/>
          <w:color w:val="auto"/>
          <w:highlight w:val="none"/>
        </w:rPr>
        <w:br w:type="page"/>
      </w:r>
    </w:p>
    <w:p>
      <w:pPr>
        <w:spacing w:after="120"/>
        <w:jc w:val="left"/>
        <w:rPr>
          <w:rFonts w:hAnsi="宋体"/>
          <w:b/>
          <w:color w:val="auto"/>
          <w:sz w:val="32"/>
          <w:szCs w:val="32"/>
          <w:highlight w:val="none"/>
        </w:rPr>
      </w:pPr>
      <w:r>
        <w:rPr>
          <w:rFonts w:hint="eastAsia" w:hAnsi="宋体"/>
          <w:b/>
          <w:color w:val="auto"/>
          <w:szCs w:val="24"/>
          <w:highlight w:val="none"/>
        </w:rPr>
        <w:t>附表2：</w:t>
      </w:r>
    </w:p>
    <w:p>
      <w:pPr>
        <w:spacing w:after="120"/>
        <w:jc w:val="center"/>
        <w:rPr>
          <w:rFonts w:hAnsi="宋体"/>
          <w:b/>
          <w:color w:val="auto"/>
          <w:sz w:val="32"/>
          <w:szCs w:val="32"/>
          <w:highlight w:val="none"/>
        </w:rPr>
      </w:pPr>
      <w:r>
        <w:rPr>
          <w:rFonts w:hint="eastAsia" w:hAnsi="宋体"/>
          <w:b/>
          <w:color w:val="auto"/>
          <w:sz w:val="32"/>
          <w:szCs w:val="32"/>
          <w:highlight w:val="none"/>
        </w:rPr>
        <w:t>供货一览表</w:t>
      </w:r>
    </w:p>
    <w:p>
      <w:pPr>
        <w:spacing w:after="120"/>
        <w:ind w:firstLine="120" w:firstLineChars="50"/>
        <w:rPr>
          <w:rFonts w:hAnsi="宋体"/>
          <w:color w:val="auto"/>
          <w:szCs w:val="24"/>
          <w:highlight w:val="none"/>
        </w:rPr>
      </w:pPr>
      <w:r>
        <w:rPr>
          <w:rFonts w:hint="eastAsia" w:hAnsi="宋体"/>
          <w:color w:val="auto"/>
          <w:szCs w:val="24"/>
          <w:highlight w:val="none"/>
        </w:rPr>
        <w:t>项目名称：</w:t>
      </w:r>
    </w:p>
    <w:p>
      <w:pPr>
        <w:spacing w:after="120"/>
        <w:ind w:firstLine="120" w:firstLineChars="50"/>
        <w:rPr>
          <w:rFonts w:hAnsi="宋体"/>
          <w:color w:val="auto"/>
          <w:szCs w:val="24"/>
          <w:highlight w:val="none"/>
        </w:rPr>
      </w:pPr>
      <w:r>
        <w:rPr>
          <w:rFonts w:hint="eastAsia" w:hAnsi="宋体"/>
          <w:color w:val="auto"/>
          <w:szCs w:val="24"/>
          <w:highlight w:val="none"/>
        </w:rPr>
        <w:t>项目</w:t>
      </w:r>
      <w:r>
        <w:rPr>
          <w:rFonts w:hint="eastAsia" w:hAnsi="宋体"/>
          <w:color w:val="auto"/>
          <w:szCs w:val="24"/>
          <w:highlight w:val="none"/>
          <w:lang w:eastAsia="zh-CN"/>
        </w:rPr>
        <w:t>编号</w:t>
      </w:r>
      <w:r>
        <w:rPr>
          <w:rFonts w:hint="eastAsia" w:hAnsi="宋体"/>
          <w:color w:val="auto"/>
          <w:szCs w:val="24"/>
          <w:highlight w:val="none"/>
        </w:rPr>
        <w:t>：</w:t>
      </w:r>
    </w:p>
    <w:tbl>
      <w:tblPr>
        <w:tblStyle w:val="19"/>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553"/>
        <w:gridCol w:w="1718"/>
        <w:gridCol w:w="1513"/>
        <w:gridCol w:w="1378"/>
        <w:gridCol w:w="1031"/>
        <w:gridCol w:w="1035"/>
        <w:gridCol w:w="1093"/>
        <w:gridCol w:w="122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center"/>
          </w:tcPr>
          <w:p>
            <w:pPr>
              <w:spacing w:before="166" w:beforeLines="50" w:line="360" w:lineRule="auto"/>
              <w:jc w:val="center"/>
              <w:rPr>
                <w:rFonts w:hAnsi="宋体"/>
                <w:b/>
                <w:color w:val="auto"/>
                <w:szCs w:val="24"/>
                <w:highlight w:val="none"/>
              </w:rPr>
            </w:pPr>
            <w:r>
              <w:rPr>
                <w:rFonts w:hint="eastAsia" w:hAnsi="宋体"/>
                <w:b/>
                <w:color w:val="auto"/>
                <w:szCs w:val="24"/>
                <w:highlight w:val="none"/>
              </w:rPr>
              <w:t>序号</w:t>
            </w:r>
          </w:p>
        </w:tc>
        <w:tc>
          <w:tcPr>
            <w:tcW w:w="1718" w:type="dxa"/>
            <w:noWrap w:val="0"/>
            <w:vAlign w:val="center"/>
          </w:tcPr>
          <w:p>
            <w:pPr>
              <w:spacing w:before="166" w:beforeLines="50" w:line="360" w:lineRule="auto"/>
              <w:jc w:val="center"/>
              <w:rPr>
                <w:rFonts w:hAnsi="宋体"/>
                <w:b/>
                <w:color w:val="auto"/>
                <w:szCs w:val="24"/>
                <w:highlight w:val="none"/>
              </w:rPr>
            </w:pPr>
            <w:r>
              <w:rPr>
                <w:rFonts w:hint="eastAsia" w:hAnsi="宋体"/>
                <w:b/>
                <w:color w:val="auto"/>
                <w:szCs w:val="24"/>
                <w:highlight w:val="none"/>
              </w:rPr>
              <w:t>名称</w:t>
            </w:r>
          </w:p>
        </w:tc>
        <w:tc>
          <w:tcPr>
            <w:tcW w:w="1513" w:type="dxa"/>
            <w:tcBorders>
              <w:right w:val="single" w:color="auto" w:sz="4" w:space="0"/>
            </w:tcBorders>
            <w:noWrap w:val="0"/>
            <w:vAlign w:val="center"/>
          </w:tcPr>
          <w:p>
            <w:pPr>
              <w:pStyle w:val="4"/>
              <w:adjustRightInd w:val="0"/>
              <w:snapToGrid w:val="0"/>
              <w:ind w:left="0"/>
              <w:jc w:val="center"/>
              <w:rPr>
                <w:rFonts w:ascii="宋体" w:hAnsi="宋体"/>
                <w:color w:val="auto"/>
                <w:sz w:val="24"/>
                <w:szCs w:val="24"/>
                <w:highlight w:val="none"/>
              </w:rPr>
            </w:pPr>
            <w:bookmarkStart w:id="148" w:name="_Toc30065"/>
            <w:bookmarkStart w:id="149" w:name="_Toc32309"/>
            <w:bookmarkStart w:id="150" w:name="_Toc15750"/>
            <w:bookmarkStart w:id="151" w:name="_Toc24582"/>
            <w:bookmarkStart w:id="152" w:name="_Toc24009"/>
            <w:bookmarkStart w:id="153" w:name="_Toc29617"/>
            <w:bookmarkStart w:id="154" w:name="_Toc628"/>
            <w:bookmarkStart w:id="155" w:name="_Toc28060"/>
            <w:bookmarkStart w:id="156" w:name="_Toc8403"/>
            <w:bookmarkStart w:id="157" w:name="_Toc32014"/>
            <w:r>
              <w:rPr>
                <w:rFonts w:hint="eastAsia" w:ascii="宋体" w:hAnsi="宋体"/>
                <w:color w:val="auto"/>
                <w:sz w:val="24"/>
                <w:szCs w:val="24"/>
                <w:highlight w:val="none"/>
              </w:rPr>
              <w:t>品牌、规格及型号</w:t>
            </w:r>
            <w:bookmarkEnd w:id="148"/>
            <w:bookmarkEnd w:id="149"/>
            <w:bookmarkEnd w:id="150"/>
            <w:bookmarkEnd w:id="151"/>
            <w:bookmarkEnd w:id="152"/>
            <w:bookmarkEnd w:id="153"/>
            <w:bookmarkEnd w:id="154"/>
            <w:bookmarkEnd w:id="155"/>
            <w:bookmarkEnd w:id="156"/>
            <w:bookmarkEnd w:id="157"/>
          </w:p>
        </w:tc>
        <w:tc>
          <w:tcPr>
            <w:tcW w:w="1378" w:type="dxa"/>
            <w:tcBorders>
              <w:left w:val="single" w:color="auto" w:sz="4" w:space="0"/>
            </w:tcBorders>
            <w:noWrap w:val="0"/>
            <w:vAlign w:val="center"/>
          </w:tcPr>
          <w:p>
            <w:pPr>
              <w:pStyle w:val="4"/>
              <w:adjustRightInd w:val="0"/>
              <w:snapToGrid w:val="0"/>
              <w:ind w:left="0"/>
              <w:jc w:val="center"/>
              <w:rPr>
                <w:rFonts w:ascii="宋体" w:hAnsi="宋体"/>
                <w:color w:val="auto"/>
                <w:sz w:val="24"/>
                <w:szCs w:val="24"/>
                <w:highlight w:val="none"/>
              </w:rPr>
            </w:pPr>
            <w:bookmarkStart w:id="158" w:name="_Toc13693"/>
            <w:bookmarkStart w:id="159" w:name="_Toc5023"/>
            <w:bookmarkStart w:id="160" w:name="_Toc8331"/>
            <w:bookmarkStart w:id="161" w:name="_Toc6970"/>
            <w:bookmarkStart w:id="162" w:name="_Toc23855"/>
            <w:bookmarkStart w:id="163" w:name="_Toc16441"/>
            <w:bookmarkStart w:id="164" w:name="_Toc10047"/>
            <w:bookmarkStart w:id="165" w:name="_Toc17740"/>
            <w:bookmarkStart w:id="166" w:name="_Toc13511"/>
            <w:bookmarkStart w:id="167" w:name="_Toc6823"/>
            <w:bookmarkStart w:id="168" w:name="_Toc426457706"/>
            <w:r>
              <w:rPr>
                <w:rFonts w:hint="eastAsia" w:ascii="宋体" w:hAnsi="宋体"/>
                <w:color w:val="auto"/>
                <w:sz w:val="24"/>
                <w:szCs w:val="24"/>
                <w:highlight w:val="none"/>
              </w:rPr>
              <w:t>原产地及 制造厂名</w:t>
            </w:r>
            <w:bookmarkEnd w:id="158"/>
            <w:bookmarkEnd w:id="159"/>
            <w:bookmarkEnd w:id="160"/>
            <w:bookmarkEnd w:id="161"/>
            <w:bookmarkEnd w:id="162"/>
            <w:bookmarkEnd w:id="163"/>
            <w:bookmarkEnd w:id="164"/>
            <w:bookmarkEnd w:id="165"/>
            <w:bookmarkEnd w:id="166"/>
            <w:bookmarkEnd w:id="167"/>
          </w:p>
        </w:tc>
        <w:tc>
          <w:tcPr>
            <w:tcW w:w="1031" w:type="dxa"/>
            <w:tcBorders>
              <w:right w:val="single" w:color="auto" w:sz="4" w:space="0"/>
            </w:tcBorders>
            <w:noWrap w:val="0"/>
            <w:vAlign w:val="center"/>
          </w:tcPr>
          <w:p>
            <w:pPr>
              <w:pStyle w:val="4"/>
              <w:adjustRightInd w:val="0"/>
              <w:snapToGrid w:val="0"/>
              <w:ind w:left="0"/>
              <w:jc w:val="center"/>
              <w:rPr>
                <w:rFonts w:ascii="宋体" w:hAnsi="宋体"/>
                <w:color w:val="auto"/>
                <w:sz w:val="24"/>
                <w:szCs w:val="24"/>
                <w:highlight w:val="none"/>
              </w:rPr>
            </w:pPr>
            <w:bookmarkStart w:id="169" w:name="_Toc2218"/>
            <w:bookmarkStart w:id="170" w:name="_Toc29415"/>
            <w:bookmarkStart w:id="171" w:name="_Toc5449"/>
            <w:bookmarkStart w:id="172" w:name="_Toc13853"/>
            <w:bookmarkStart w:id="173" w:name="_Toc22669"/>
            <w:bookmarkStart w:id="174" w:name="_Toc24194"/>
            <w:bookmarkStart w:id="175" w:name="_Toc17442"/>
            <w:bookmarkStart w:id="176" w:name="_Toc32261"/>
            <w:bookmarkStart w:id="177" w:name="_Toc5186"/>
            <w:bookmarkStart w:id="178" w:name="_Toc6864"/>
            <w:r>
              <w:rPr>
                <w:rFonts w:hint="eastAsia" w:ascii="宋体" w:hAnsi="宋体"/>
                <w:color w:val="auto"/>
                <w:sz w:val="24"/>
                <w:szCs w:val="24"/>
                <w:highlight w:val="none"/>
              </w:rPr>
              <w:t>数量</w:t>
            </w:r>
            <w:bookmarkEnd w:id="168"/>
            <w:bookmarkEnd w:id="169"/>
            <w:bookmarkEnd w:id="170"/>
            <w:bookmarkEnd w:id="171"/>
            <w:bookmarkEnd w:id="172"/>
            <w:bookmarkEnd w:id="173"/>
            <w:bookmarkEnd w:id="174"/>
            <w:bookmarkEnd w:id="175"/>
            <w:bookmarkEnd w:id="176"/>
            <w:bookmarkEnd w:id="177"/>
            <w:bookmarkEnd w:id="178"/>
          </w:p>
        </w:tc>
        <w:tc>
          <w:tcPr>
            <w:tcW w:w="1035" w:type="dxa"/>
            <w:tcBorders>
              <w:left w:val="single" w:color="auto" w:sz="4" w:space="0"/>
            </w:tcBorders>
            <w:noWrap w:val="0"/>
            <w:vAlign w:val="center"/>
          </w:tcPr>
          <w:p>
            <w:pPr>
              <w:pStyle w:val="4"/>
              <w:ind w:left="0"/>
              <w:jc w:val="center"/>
              <w:rPr>
                <w:rFonts w:ascii="宋体" w:hAnsi="宋体"/>
                <w:color w:val="auto"/>
                <w:sz w:val="24"/>
                <w:szCs w:val="24"/>
                <w:highlight w:val="none"/>
              </w:rPr>
            </w:pPr>
            <w:bookmarkStart w:id="179" w:name="_Toc21073"/>
            <w:bookmarkStart w:id="180" w:name="_Toc6310"/>
            <w:bookmarkStart w:id="181" w:name="_Toc10474"/>
            <w:bookmarkStart w:id="182" w:name="_Toc6926"/>
            <w:bookmarkStart w:id="183" w:name="_Toc6713"/>
            <w:bookmarkStart w:id="184" w:name="_Toc2426"/>
            <w:bookmarkStart w:id="185" w:name="_Toc25212"/>
            <w:bookmarkStart w:id="186" w:name="_Toc5343"/>
            <w:bookmarkStart w:id="187" w:name="_Toc10545"/>
            <w:bookmarkStart w:id="188" w:name="_Toc20788"/>
            <w:bookmarkStart w:id="189" w:name="_Toc426457707"/>
            <w:r>
              <w:rPr>
                <w:rFonts w:ascii="宋体" w:hAnsi="宋体" w:cs="宋体"/>
                <w:color w:val="auto"/>
                <w:sz w:val="24"/>
                <w:szCs w:val="24"/>
                <w:highlight w:val="none"/>
              </w:rPr>
              <w:t>交付地点</w:t>
            </w:r>
            <w:bookmarkEnd w:id="179"/>
            <w:bookmarkEnd w:id="180"/>
            <w:bookmarkEnd w:id="181"/>
            <w:bookmarkEnd w:id="182"/>
            <w:bookmarkEnd w:id="183"/>
            <w:bookmarkEnd w:id="184"/>
            <w:bookmarkEnd w:id="185"/>
            <w:bookmarkEnd w:id="186"/>
            <w:bookmarkEnd w:id="187"/>
            <w:bookmarkEnd w:id="188"/>
            <w:bookmarkEnd w:id="189"/>
          </w:p>
        </w:tc>
        <w:tc>
          <w:tcPr>
            <w:tcW w:w="1093" w:type="dxa"/>
            <w:tcBorders>
              <w:right w:val="single" w:color="auto" w:sz="4" w:space="0"/>
            </w:tcBorders>
            <w:noWrap w:val="0"/>
            <w:vAlign w:val="center"/>
          </w:tcPr>
          <w:p>
            <w:pPr>
              <w:pStyle w:val="4"/>
              <w:ind w:left="0"/>
              <w:jc w:val="center"/>
              <w:rPr>
                <w:rFonts w:ascii="宋体" w:hAnsi="宋体"/>
                <w:color w:val="auto"/>
                <w:sz w:val="24"/>
                <w:szCs w:val="24"/>
                <w:highlight w:val="none"/>
              </w:rPr>
            </w:pPr>
            <w:bookmarkStart w:id="190" w:name="_Toc12618"/>
            <w:bookmarkStart w:id="191" w:name="_Toc5960"/>
            <w:bookmarkStart w:id="192" w:name="_Toc23582"/>
            <w:bookmarkStart w:id="193" w:name="_Toc426457708"/>
            <w:bookmarkStart w:id="194" w:name="_Toc5026"/>
            <w:bookmarkStart w:id="195" w:name="_Toc31537"/>
            <w:bookmarkStart w:id="196" w:name="_Toc14545"/>
            <w:bookmarkStart w:id="197" w:name="_Toc25012"/>
            <w:bookmarkStart w:id="198" w:name="_Toc19803"/>
            <w:bookmarkStart w:id="199" w:name="_Toc24743"/>
            <w:bookmarkStart w:id="200" w:name="_Toc28407"/>
            <w:r>
              <w:rPr>
                <w:rFonts w:ascii="宋体" w:hAnsi="宋体" w:cs="宋体"/>
                <w:color w:val="auto"/>
                <w:sz w:val="24"/>
                <w:szCs w:val="24"/>
                <w:highlight w:val="none"/>
              </w:rPr>
              <w:t>交付时间</w:t>
            </w:r>
            <w:bookmarkEnd w:id="190"/>
            <w:bookmarkEnd w:id="191"/>
            <w:bookmarkEnd w:id="192"/>
            <w:bookmarkEnd w:id="193"/>
            <w:bookmarkEnd w:id="194"/>
            <w:bookmarkEnd w:id="195"/>
            <w:bookmarkEnd w:id="196"/>
            <w:bookmarkEnd w:id="197"/>
            <w:bookmarkEnd w:id="198"/>
            <w:bookmarkEnd w:id="199"/>
            <w:bookmarkEnd w:id="200"/>
          </w:p>
        </w:tc>
        <w:tc>
          <w:tcPr>
            <w:tcW w:w="1222" w:type="dxa"/>
            <w:tcBorders>
              <w:right w:val="single" w:color="auto" w:sz="4" w:space="0"/>
            </w:tcBorders>
            <w:noWrap w:val="0"/>
            <w:vAlign w:val="center"/>
          </w:tcPr>
          <w:p>
            <w:pPr>
              <w:pStyle w:val="4"/>
              <w:ind w:left="0"/>
              <w:jc w:val="center"/>
              <w:rPr>
                <w:rFonts w:ascii="宋体" w:hAnsi="宋体" w:cs="宋体"/>
                <w:color w:val="auto"/>
                <w:sz w:val="24"/>
                <w:szCs w:val="24"/>
                <w:highlight w:val="none"/>
              </w:rPr>
            </w:pPr>
            <w:bookmarkStart w:id="201" w:name="_Toc22789"/>
            <w:bookmarkStart w:id="202" w:name="_Toc24445"/>
            <w:bookmarkStart w:id="203" w:name="_Toc8990"/>
            <w:bookmarkStart w:id="204" w:name="_Toc6139"/>
            <w:bookmarkStart w:id="205" w:name="_Toc14093"/>
            <w:bookmarkStart w:id="206" w:name="_Toc16567"/>
            <w:bookmarkStart w:id="207" w:name="_Toc3059"/>
            <w:bookmarkStart w:id="208" w:name="_Toc426457709"/>
            <w:bookmarkStart w:id="209" w:name="_Toc12830"/>
            <w:bookmarkStart w:id="210" w:name="_Toc22386"/>
            <w:bookmarkStart w:id="211" w:name="_Toc18685"/>
            <w:r>
              <w:rPr>
                <w:rFonts w:hint="eastAsia" w:ascii="宋体" w:hAnsi="宋体" w:cs="宋体"/>
                <w:color w:val="auto"/>
                <w:sz w:val="24"/>
                <w:szCs w:val="24"/>
                <w:highlight w:val="none"/>
              </w:rPr>
              <w:t>备注</w:t>
            </w:r>
            <w:bookmarkEnd w:id="201"/>
            <w:bookmarkEnd w:id="202"/>
            <w:bookmarkEnd w:id="203"/>
            <w:bookmarkEnd w:id="204"/>
            <w:bookmarkEnd w:id="205"/>
            <w:bookmarkEnd w:id="206"/>
            <w:bookmarkEnd w:id="207"/>
            <w:bookmarkEnd w:id="208"/>
            <w:bookmarkEnd w:id="209"/>
            <w:bookmarkEnd w:id="210"/>
            <w:bookmarkEnd w:id="211"/>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449" w:hRule="atLeast"/>
          <w:jc w:val="center"/>
        </w:trPr>
        <w:tc>
          <w:tcPr>
            <w:tcW w:w="553" w:type="dxa"/>
            <w:noWrap w:val="0"/>
            <w:vAlign w:val="top"/>
          </w:tcPr>
          <w:p>
            <w:pPr>
              <w:spacing w:before="166" w:beforeLines="50" w:line="360" w:lineRule="auto"/>
              <w:jc w:val="center"/>
              <w:rPr>
                <w:rFonts w:hAnsi="宋体"/>
                <w:color w:val="auto"/>
                <w:szCs w:val="24"/>
                <w:highlight w:val="none"/>
              </w:rPr>
            </w:pPr>
          </w:p>
        </w:tc>
        <w:tc>
          <w:tcPr>
            <w:tcW w:w="1718" w:type="dxa"/>
            <w:noWrap w:val="0"/>
            <w:vAlign w:val="top"/>
          </w:tcPr>
          <w:p>
            <w:pPr>
              <w:spacing w:before="166" w:beforeLines="50" w:line="360" w:lineRule="auto"/>
              <w:jc w:val="center"/>
              <w:rPr>
                <w:rFonts w:hAnsi="宋体"/>
                <w:color w:val="auto"/>
                <w:szCs w:val="24"/>
                <w:highlight w:val="none"/>
              </w:rPr>
            </w:pPr>
          </w:p>
        </w:tc>
        <w:tc>
          <w:tcPr>
            <w:tcW w:w="151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378"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31"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035" w:type="dxa"/>
            <w:tcBorders>
              <w:left w:val="single" w:color="auto" w:sz="4" w:space="0"/>
            </w:tcBorders>
            <w:noWrap w:val="0"/>
            <w:vAlign w:val="top"/>
          </w:tcPr>
          <w:p>
            <w:pPr>
              <w:spacing w:before="166" w:beforeLines="50" w:line="360" w:lineRule="auto"/>
              <w:jc w:val="center"/>
              <w:rPr>
                <w:rFonts w:hAnsi="宋体"/>
                <w:color w:val="auto"/>
                <w:szCs w:val="24"/>
                <w:highlight w:val="none"/>
              </w:rPr>
            </w:pPr>
          </w:p>
        </w:tc>
        <w:tc>
          <w:tcPr>
            <w:tcW w:w="1093"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c>
          <w:tcPr>
            <w:tcW w:w="1222" w:type="dxa"/>
            <w:tcBorders>
              <w:right w:val="single" w:color="auto" w:sz="4" w:space="0"/>
            </w:tcBorders>
            <w:noWrap w:val="0"/>
            <w:vAlign w:val="top"/>
          </w:tcPr>
          <w:p>
            <w:pPr>
              <w:spacing w:before="166" w:beforeLines="50" w:line="360" w:lineRule="auto"/>
              <w:jc w:val="center"/>
              <w:rPr>
                <w:rFonts w:hAnsi="宋体"/>
                <w:color w:val="auto"/>
                <w:szCs w:val="24"/>
                <w:highlight w:val="none"/>
              </w:rPr>
            </w:pPr>
          </w:p>
        </w:tc>
      </w:tr>
    </w:tbl>
    <w:p>
      <w:pPr>
        <w:rPr>
          <w:rFonts w:hAnsi="宋体"/>
          <w:color w:val="auto"/>
          <w:highlight w:val="none"/>
        </w:rPr>
      </w:pPr>
    </w:p>
    <w:p>
      <w:pPr>
        <w:ind w:firstLine="120" w:firstLineChars="50"/>
        <w:rPr>
          <w:rFonts w:hAnsi="宋体"/>
          <w:color w:val="auto"/>
          <w:szCs w:val="24"/>
          <w:highlight w:val="none"/>
        </w:rPr>
      </w:pPr>
      <w:r>
        <w:rPr>
          <w:rFonts w:hint="eastAsia"/>
          <w:color w:val="auto"/>
          <w:highlight w:val="none"/>
        </w:rPr>
        <w:t>法定代表人或被授权人（签字或盖章）</w:t>
      </w:r>
      <w:r>
        <w:rPr>
          <w:rFonts w:hint="eastAsia" w:hAnsi="宋体"/>
          <w:color w:val="auto"/>
          <w:szCs w:val="24"/>
          <w:highlight w:val="none"/>
        </w:rPr>
        <w:t>：</w:t>
      </w:r>
    </w:p>
    <w:p>
      <w:pPr>
        <w:tabs>
          <w:tab w:val="left" w:pos="3045"/>
        </w:tabs>
        <w:rPr>
          <w:rFonts w:hAnsi="宋体"/>
          <w:color w:val="auto"/>
          <w:szCs w:val="24"/>
          <w:highlight w:val="none"/>
        </w:rPr>
      </w:pPr>
    </w:p>
    <w:p>
      <w:pPr>
        <w:rPr>
          <w:rFonts w:hAnsi="宋体"/>
          <w:color w:val="auto"/>
          <w:szCs w:val="24"/>
          <w:highlight w:val="none"/>
        </w:rPr>
      </w:pPr>
    </w:p>
    <w:p>
      <w:pPr>
        <w:ind w:firstLine="120" w:firstLineChars="50"/>
        <w:rPr>
          <w:rFonts w:hAnsi="宋体"/>
          <w:color w:val="auto"/>
          <w:szCs w:val="24"/>
          <w:highlight w:val="none"/>
        </w:rPr>
      </w:pPr>
      <w:r>
        <w:rPr>
          <w:rFonts w:hint="eastAsia" w:hAnsi="宋体"/>
          <w:color w:val="auto"/>
          <w:szCs w:val="24"/>
          <w:highlight w:val="none"/>
        </w:rPr>
        <w:t>公      章：</w:t>
      </w:r>
    </w:p>
    <w:p>
      <w:pPr>
        <w:rPr>
          <w:rFonts w:hAnsi="宋体" w:cs="宋体"/>
          <w:color w:val="auto"/>
          <w:szCs w:val="24"/>
          <w:highlight w:val="none"/>
        </w:rPr>
      </w:pPr>
      <w:r>
        <w:rPr>
          <w:rFonts w:hint="eastAsia" w:hAnsi="宋体" w:cs="宋体"/>
          <w:b/>
          <w:color w:val="auto"/>
          <w:szCs w:val="24"/>
          <w:highlight w:val="none"/>
        </w:rPr>
        <w:br w:type="page"/>
      </w:r>
      <w:r>
        <w:rPr>
          <w:rFonts w:hint="eastAsia" w:hAnsi="宋体" w:cs="宋体"/>
          <w:b/>
          <w:color w:val="auto"/>
          <w:szCs w:val="24"/>
          <w:highlight w:val="none"/>
        </w:rPr>
        <w:t>附表3 本项目拟投入人员汇总表</w:t>
      </w:r>
    </w:p>
    <w:tbl>
      <w:tblPr>
        <w:tblStyle w:val="19"/>
        <w:tblW w:w="0" w:type="auto"/>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7"/>
        <w:gridCol w:w="1240"/>
        <w:gridCol w:w="570"/>
        <w:gridCol w:w="570"/>
        <w:gridCol w:w="570"/>
        <w:gridCol w:w="835"/>
        <w:gridCol w:w="1157"/>
        <w:gridCol w:w="748"/>
        <w:gridCol w:w="1877"/>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01" w:hRule="atLeast"/>
          <w:tblHeader/>
        </w:trPr>
        <w:tc>
          <w:tcPr>
            <w:tcW w:w="557"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序号</w:t>
            </w:r>
          </w:p>
        </w:tc>
        <w:tc>
          <w:tcPr>
            <w:tcW w:w="1240"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姓  名</w:t>
            </w:r>
          </w:p>
        </w:tc>
        <w:tc>
          <w:tcPr>
            <w:tcW w:w="570"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性别</w:t>
            </w:r>
          </w:p>
        </w:tc>
        <w:tc>
          <w:tcPr>
            <w:tcW w:w="570"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年龄</w:t>
            </w:r>
          </w:p>
        </w:tc>
        <w:tc>
          <w:tcPr>
            <w:tcW w:w="570"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学历</w:t>
            </w:r>
          </w:p>
        </w:tc>
        <w:tc>
          <w:tcPr>
            <w:tcW w:w="835"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技术</w:t>
            </w:r>
          </w:p>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职称</w:t>
            </w:r>
          </w:p>
        </w:tc>
        <w:tc>
          <w:tcPr>
            <w:tcW w:w="1157" w:type="dxa"/>
            <w:noWrap w:val="0"/>
            <w:tcMar>
              <w:top w:w="15" w:type="dxa"/>
              <w:left w:w="15" w:type="dxa"/>
              <w:bottom w:w="0" w:type="dxa"/>
              <w:right w:w="15" w:type="dxa"/>
            </w:tcMar>
            <w:vAlign w:val="top"/>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资格证</w:t>
            </w:r>
          </w:p>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书种类</w:t>
            </w:r>
          </w:p>
        </w:tc>
        <w:tc>
          <w:tcPr>
            <w:tcW w:w="748"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工作</w:t>
            </w:r>
          </w:p>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年限</w:t>
            </w:r>
          </w:p>
        </w:tc>
        <w:tc>
          <w:tcPr>
            <w:tcW w:w="1877"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拟担任的职务</w:t>
            </w:r>
          </w:p>
        </w:tc>
        <w:tc>
          <w:tcPr>
            <w:tcW w:w="680" w:type="dxa"/>
            <w:noWrap w:val="0"/>
            <w:tcMar>
              <w:top w:w="15" w:type="dxa"/>
              <w:left w:w="15" w:type="dxa"/>
              <w:bottom w:w="0" w:type="dxa"/>
              <w:right w:w="15" w:type="dxa"/>
            </w:tcMar>
            <w:vAlign w:val="center"/>
          </w:tcPr>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岗位</w:t>
            </w:r>
          </w:p>
          <w:p>
            <w:pPr>
              <w:pStyle w:val="35"/>
              <w:spacing w:line="400" w:lineRule="exact"/>
              <w:ind w:left="0" w:leftChars="0"/>
              <w:rPr>
                <w:rFonts w:hAnsi="宋体" w:cs="宋体"/>
                <w:b/>
                <w:color w:val="auto"/>
                <w:szCs w:val="21"/>
                <w:highlight w:val="none"/>
              </w:rPr>
            </w:pPr>
            <w:r>
              <w:rPr>
                <w:rFonts w:hint="eastAsia" w:hAnsi="宋体" w:cs="宋体"/>
                <w:b/>
                <w:color w:val="auto"/>
                <w:szCs w:val="21"/>
                <w:highlight w:val="none"/>
              </w:rPr>
              <w:t>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393"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408" w:hRule="atLeast"/>
        </w:trPr>
        <w:tc>
          <w:tcPr>
            <w:tcW w:w="55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24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57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835"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157" w:type="dxa"/>
            <w:noWrap w:val="0"/>
            <w:tcMar>
              <w:top w:w="15" w:type="dxa"/>
              <w:left w:w="15" w:type="dxa"/>
              <w:bottom w:w="0" w:type="dxa"/>
              <w:right w:w="15" w:type="dxa"/>
            </w:tcMar>
            <w:vAlign w:val="top"/>
          </w:tcPr>
          <w:p>
            <w:pPr>
              <w:pStyle w:val="35"/>
              <w:spacing w:line="400" w:lineRule="exact"/>
              <w:ind w:left="0" w:leftChars="0" w:firstLine="480" w:firstLineChars="200"/>
              <w:jc w:val="both"/>
              <w:rPr>
                <w:rFonts w:hAnsi="宋体" w:cs="宋体"/>
                <w:color w:val="auto"/>
                <w:szCs w:val="21"/>
                <w:highlight w:val="none"/>
              </w:rPr>
            </w:pPr>
          </w:p>
        </w:tc>
        <w:tc>
          <w:tcPr>
            <w:tcW w:w="748"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1877"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c>
          <w:tcPr>
            <w:tcW w:w="680" w:type="dxa"/>
            <w:noWrap w:val="0"/>
            <w:tcMar>
              <w:top w:w="15" w:type="dxa"/>
              <w:left w:w="15" w:type="dxa"/>
              <w:bottom w:w="0" w:type="dxa"/>
              <w:right w:w="15" w:type="dxa"/>
            </w:tcMar>
            <w:vAlign w:val="bottom"/>
          </w:tcPr>
          <w:p>
            <w:pPr>
              <w:pStyle w:val="35"/>
              <w:spacing w:line="400" w:lineRule="exact"/>
              <w:ind w:left="0" w:leftChars="0" w:firstLine="480" w:firstLineChars="200"/>
              <w:jc w:val="both"/>
              <w:rPr>
                <w:rFonts w:hAnsi="宋体" w:cs="宋体"/>
                <w:color w:val="auto"/>
                <w:szCs w:val="21"/>
                <w:highlight w:val="none"/>
              </w:rPr>
            </w:pPr>
          </w:p>
        </w:tc>
      </w:tr>
    </w:tbl>
    <w:p>
      <w:pPr>
        <w:pStyle w:val="36"/>
        <w:tabs>
          <w:tab w:val="left" w:pos="2040"/>
        </w:tabs>
        <w:spacing w:beforeLines="0" w:line="400" w:lineRule="exact"/>
        <w:ind w:left="0" w:firstLine="480" w:firstLineChars="200"/>
        <w:rPr>
          <w:rFonts w:hAnsi="宋体" w:eastAsia="宋体" w:cs="宋体"/>
          <w:color w:val="auto"/>
          <w:szCs w:val="21"/>
          <w:highlight w:val="none"/>
        </w:rPr>
      </w:pPr>
      <w:r>
        <w:rPr>
          <w:rFonts w:hint="eastAsia" w:hAnsi="宋体" w:eastAsia="宋体" w:cs="宋体"/>
          <w:color w:val="auto"/>
          <w:szCs w:val="21"/>
          <w:highlight w:val="none"/>
        </w:rPr>
        <w:t>注：1.“岗位情况”须注明该人在本单位是在岗、返聘还是外聘。</w:t>
      </w:r>
    </w:p>
    <w:p>
      <w:pPr>
        <w:pStyle w:val="36"/>
        <w:tabs>
          <w:tab w:val="left" w:pos="2040"/>
        </w:tabs>
        <w:spacing w:beforeLines="0" w:line="400" w:lineRule="exact"/>
        <w:ind w:left="0" w:firstLine="960" w:firstLineChars="400"/>
        <w:rPr>
          <w:rFonts w:hAnsi="宋体" w:eastAsia="宋体" w:cs="宋体"/>
          <w:color w:val="auto"/>
          <w:szCs w:val="21"/>
          <w:highlight w:val="none"/>
        </w:rPr>
      </w:pPr>
      <w:r>
        <w:rPr>
          <w:rFonts w:hint="eastAsia" w:hAnsi="宋体" w:eastAsia="宋体" w:cs="宋体"/>
          <w:color w:val="auto"/>
          <w:szCs w:val="21"/>
          <w:highlight w:val="none"/>
        </w:rPr>
        <w:t>2.供应商可适当调整该表格式，但不得减少信息内容。</w:t>
      </w:r>
    </w:p>
    <w:p>
      <w:pPr>
        <w:rPr>
          <w:rFonts w:hAnsi="宋体"/>
          <w:color w:val="auto"/>
          <w:szCs w:val="24"/>
          <w:highlight w:val="none"/>
        </w:rPr>
      </w:pPr>
      <w:bookmarkStart w:id="212" w:name="_Toc30338"/>
      <w:r>
        <w:rPr>
          <w:rFonts w:hint="eastAsia" w:hAnsi="宋体"/>
          <w:color w:val="auto"/>
          <w:szCs w:val="24"/>
          <w:highlight w:val="none"/>
        </w:rPr>
        <w:br w:type="page"/>
      </w:r>
    </w:p>
    <w:bookmarkEnd w:id="212"/>
    <w:p>
      <w:pPr>
        <w:pStyle w:val="5"/>
        <w:spacing w:before="333" w:beforeLines="100"/>
        <w:ind w:firstLine="321" w:firstLineChars="100"/>
        <w:rPr>
          <w:rFonts w:ascii="宋体" w:hAnsi="宋体" w:cs="宋体"/>
          <w:color w:val="auto"/>
          <w:sz w:val="32"/>
          <w:szCs w:val="32"/>
          <w:highlight w:val="none"/>
        </w:rPr>
      </w:pPr>
      <w:bookmarkStart w:id="213" w:name="_Toc23455"/>
      <w:bookmarkStart w:id="214" w:name="_Toc2621"/>
      <w:bookmarkStart w:id="215" w:name="_Toc1379"/>
      <w:bookmarkStart w:id="216" w:name="_Toc363474032"/>
      <w:bookmarkStart w:id="217" w:name="_Toc426457713"/>
      <w:bookmarkStart w:id="218" w:name="_Toc9218"/>
      <w:bookmarkStart w:id="219" w:name="_Toc21284"/>
      <w:bookmarkStart w:id="220" w:name="_Toc403077655"/>
      <w:bookmarkStart w:id="221" w:name="_Toc13421"/>
      <w:bookmarkStart w:id="222" w:name="_Toc19497"/>
      <w:bookmarkStart w:id="223" w:name="_Toc17364"/>
      <w:bookmarkStart w:id="224" w:name="_Toc2700"/>
      <w:r>
        <w:rPr>
          <w:rFonts w:hint="eastAsia" w:ascii="宋体" w:hAnsi="宋体" w:cs="宋体"/>
          <w:color w:val="auto"/>
          <w:sz w:val="32"/>
          <w:szCs w:val="32"/>
          <w:highlight w:val="none"/>
        </w:rPr>
        <w:t>四、</w:t>
      </w:r>
      <w:bookmarkEnd w:id="213"/>
      <w:bookmarkEnd w:id="214"/>
      <w:bookmarkEnd w:id="215"/>
      <w:bookmarkEnd w:id="216"/>
      <w:bookmarkEnd w:id="217"/>
      <w:bookmarkEnd w:id="218"/>
      <w:bookmarkEnd w:id="219"/>
      <w:bookmarkEnd w:id="220"/>
      <w:r>
        <w:rPr>
          <w:rFonts w:hint="eastAsia" w:ascii="宋体" w:hAnsi="宋体" w:cs="宋体"/>
          <w:color w:val="auto"/>
          <w:sz w:val="32"/>
          <w:szCs w:val="32"/>
          <w:highlight w:val="none"/>
        </w:rPr>
        <w:t>商务条款偏离表</w:t>
      </w:r>
      <w:bookmarkEnd w:id="221"/>
      <w:bookmarkEnd w:id="222"/>
      <w:bookmarkEnd w:id="223"/>
      <w:bookmarkEnd w:id="224"/>
    </w:p>
    <w:p>
      <w:pPr>
        <w:pStyle w:val="17"/>
        <w:widowControl w:val="0"/>
        <w:spacing w:before="166" w:beforeLines="50" w:beforeAutospacing="0" w:after="166" w:afterLines="50" w:afterAutospacing="0"/>
        <w:ind w:firstLine="480" w:firstLineChars="200"/>
        <w:rPr>
          <w:rFonts w:cs="宋体"/>
          <w:color w:val="auto"/>
          <w:highlight w:val="none"/>
        </w:rPr>
      </w:pPr>
      <w:r>
        <w:rPr>
          <w:rFonts w:hint="eastAsia" w:cs="宋体"/>
          <w:color w:val="auto"/>
          <w:highlight w:val="none"/>
        </w:rPr>
        <w:t>项目</w:t>
      </w:r>
      <w:r>
        <w:rPr>
          <w:rFonts w:hint="eastAsia" w:cs="宋体"/>
          <w:color w:val="auto"/>
          <w:highlight w:val="none"/>
          <w:lang w:eastAsia="zh-CN"/>
        </w:rPr>
        <w:t>编号</w:t>
      </w:r>
      <w:r>
        <w:rPr>
          <w:rFonts w:hint="eastAsia" w:cs="宋体"/>
          <w:color w:val="auto"/>
          <w:highlight w:val="none"/>
        </w:rPr>
        <w:t>：</w:t>
      </w:r>
    </w:p>
    <w:p>
      <w:pPr>
        <w:pStyle w:val="17"/>
        <w:widowControl w:val="0"/>
        <w:spacing w:before="166" w:beforeLines="50" w:beforeAutospacing="0" w:after="166" w:afterLines="50" w:afterAutospacing="0"/>
        <w:ind w:firstLine="480" w:firstLineChars="200"/>
        <w:rPr>
          <w:rFonts w:cs="宋体"/>
          <w:color w:val="auto"/>
          <w:highlight w:val="none"/>
          <w:u w:val="single"/>
        </w:rPr>
      </w:pPr>
      <w:r>
        <w:rPr>
          <w:rFonts w:hint="eastAsia" w:cs="宋体"/>
          <w:color w:val="auto"/>
          <w:highlight w:val="none"/>
        </w:rPr>
        <w:t>项目名称：</w:t>
      </w:r>
    </w:p>
    <w:p>
      <w:pPr>
        <w:pStyle w:val="17"/>
        <w:widowControl w:val="0"/>
        <w:spacing w:before="0" w:beforeAutospacing="0" w:after="0" w:afterAutospacing="0"/>
        <w:ind w:firstLine="480" w:firstLineChars="200"/>
        <w:jc w:val="center"/>
        <w:rPr>
          <w:rFonts w:cs="宋体"/>
          <w:color w:val="auto"/>
          <w:highlight w:val="none"/>
        </w:rPr>
      </w:pPr>
    </w:p>
    <w:tbl>
      <w:tblPr>
        <w:tblStyle w:val="19"/>
        <w:tblW w:w="91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935"/>
        <w:gridCol w:w="1995"/>
        <w:gridCol w:w="2085"/>
        <w:gridCol w:w="1260"/>
        <w:gridCol w:w="9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jc w:val="center"/>
              <w:rPr>
                <w:rFonts w:cs="宋体"/>
                <w:color w:val="auto"/>
                <w:highlight w:val="none"/>
              </w:rPr>
            </w:pPr>
            <w:r>
              <w:rPr>
                <w:rFonts w:hint="eastAsia" w:cs="宋体"/>
                <w:color w:val="auto"/>
                <w:highlight w:val="none"/>
              </w:rPr>
              <w:t>序号</w:t>
            </w: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jc w:val="center"/>
              <w:rPr>
                <w:rFonts w:cs="宋体"/>
                <w:color w:val="auto"/>
                <w:highlight w:val="none"/>
              </w:rPr>
            </w:pPr>
            <w:r>
              <w:rPr>
                <w:rFonts w:hint="eastAsia" w:cs="宋体"/>
                <w:color w:val="auto"/>
                <w:highlight w:val="none"/>
              </w:rPr>
              <w:t>招标文件条目号</w:t>
            </w: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jc w:val="center"/>
              <w:rPr>
                <w:rFonts w:cs="宋体"/>
                <w:color w:val="auto"/>
                <w:highlight w:val="none"/>
              </w:rPr>
            </w:pPr>
            <w:r>
              <w:rPr>
                <w:rFonts w:hint="eastAsia" w:cs="宋体"/>
                <w:color w:val="auto"/>
                <w:highlight w:val="none"/>
              </w:rPr>
              <w:t>招标文件的商务条款</w:t>
            </w: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jc w:val="center"/>
              <w:rPr>
                <w:rFonts w:cs="宋体"/>
                <w:color w:val="auto"/>
                <w:highlight w:val="none"/>
              </w:rPr>
            </w:pPr>
            <w:r>
              <w:rPr>
                <w:rFonts w:hint="eastAsia" w:cs="宋体"/>
                <w:color w:val="auto"/>
                <w:highlight w:val="none"/>
              </w:rPr>
              <w:t>投标文件的商务条款</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jc w:val="center"/>
              <w:rPr>
                <w:rFonts w:cs="宋体"/>
                <w:color w:val="auto"/>
                <w:highlight w:val="none"/>
              </w:rPr>
            </w:pPr>
            <w:r>
              <w:rPr>
                <w:rFonts w:hint="eastAsia" w:cs="宋体"/>
                <w:color w:val="auto"/>
                <w:highlight w:val="none"/>
              </w:rPr>
              <w:t>偏离</w:t>
            </w: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jc w:val="center"/>
              <w:rPr>
                <w:rFonts w:cs="宋体"/>
                <w:color w:val="auto"/>
                <w:highlight w:val="none"/>
              </w:rPr>
            </w:pPr>
            <w:r>
              <w:rPr>
                <w:rFonts w:hint="eastAsia" w:cs="宋体"/>
                <w:color w:val="auto"/>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882"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3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99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2085"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c>
          <w:tcPr>
            <w:tcW w:w="944" w:type="dxa"/>
            <w:tcBorders>
              <w:top w:val="single" w:color="auto" w:sz="4" w:space="0"/>
              <w:left w:val="single" w:color="auto" w:sz="4" w:space="0"/>
              <w:bottom w:val="single" w:color="auto" w:sz="4" w:space="0"/>
              <w:right w:val="single" w:color="auto" w:sz="4" w:space="0"/>
            </w:tcBorders>
            <w:noWrap w:val="0"/>
            <w:vAlign w:val="center"/>
          </w:tcPr>
          <w:p>
            <w:pPr>
              <w:pStyle w:val="17"/>
              <w:widowControl w:val="0"/>
              <w:spacing w:before="0" w:beforeAutospacing="0" w:after="0" w:afterAutospacing="0"/>
              <w:ind w:firstLine="480" w:firstLineChars="200"/>
              <w:jc w:val="center"/>
              <w:rPr>
                <w:rFonts w:cs="宋体"/>
                <w:color w:val="auto"/>
                <w:highlight w:val="none"/>
              </w:rPr>
            </w:pPr>
          </w:p>
        </w:tc>
      </w:tr>
    </w:tbl>
    <w:p>
      <w:pPr>
        <w:pStyle w:val="17"/>
        <w:widowControl w:val="0"/>
        <w:spacing w:before="0" w:beforeAutospacing="0" w:after="0" w:afterAutospacing="0"/>
        <w:rPr>
          <w:rFonts w:cs="宋体"/>
          <w:color w:val="auto"/>
          <w:highlight w:val="none"/>
        </w:rPr>
      </w:pPr>
      <w:r>
        <w:rPr>
          <w:rFonts w:hint="eastAsia" w:cs="宋体"/>
          <w:color w:val="auto"/>
          <w:highlight w:val="none"/>
        </w:rPr>
        <w:t>说明：</w:t>
      </w:r>
    </w:p>
    <w:p>
      <w:pPr>
        <w:pStyle w:val="17"/>
        <w:widowControl w:val="0"/>
        <w:spacing w:before="0" w:beforeAutospacing="0" w:after="0" w:afterAutospacing="0"/>
        <w:ind w:firstLine="480" w:firstLineChars="200"/>
        <w:jc w:val="both"/>
        <w:rPr>
          <w:rFonts w:cs="宋体"/>
          <w:color w:val="auto"/>
          <w:highlight w:val="none"/>
        </w:rPr>
      </w:pPr>
      <w:r>
        <w:rPr>
          <w:rFonts w:hint="eastAsia" w:cs="宋体"/>
          <w:color w:val="auto"/>
          <w:highlight w:val="none"/>
        </w:rPr>
        <w:t>1.本表只填写投标文件中与招标文件有偏离（包括正偏离和负偏离）的内容，投标文件中商务响应与招标文件要求完全一致的，不用在此表中列出，但必须提交空白表。</w:t>
      </w:r>
    </w:p>
    <w:p>
      <w:pPr>
        <w:pStyle w:val="17"/>
        <w:widowControl w:val="0"/>
        <w:spacing w:before="0" w:beforeAutospacing="0" w:after="0" w:afterAutospacing="0"/>
        <w:ind w:firstLine="480" w:firstLineChars="200"/>
        <w:rPr>
          <w:rFonts w:cs="宋体"/>
          <w:color w:val="auto"/>
          <w:highlight w:val="none"/>
        </w:rPr>
      </w:pPr>
      <w:r>
        <w:rPr>
          <w:rFonts w:hint="eastAsia" w:cs="宋体"/>
          <w:color w:val="auto"/>
          <w:highlight w:val="none"/>
        </w:rPr>
        <w:t>2.供应商必须据实填写，不得虚假响应，否则将取消其投标或中标资格，并按有关规定进处罚。</w:t>
      </w:r>
    </w:p>
    <w:p>
      <w:pPr>
        <w:pStyle w:val="17"/>
        <w:widowControl w:val="0"/>
        <w:spacing w:before="0" w:beforeAutospacing="0" w:after="0" w:afterAutospacing="0"/>
        <w:ind w:firstLine="480" w:firstLineChars="200"/>
        <w:jc w:val="center"/>
        <w:rPr>
          <w:rFonts w:cs="宋体"/>
          <w:color w:val="auto"/>
          <w:highlight w:val="none"/>
        </w:rPr>
      </w:pPr>
    </w:p>
    <w:p>
      <w:pPr>
        <w:pStyle w:val="17"/>
        <w:widowControl w:val="0"/>
        <w:spacing w:before="0" w:beforeAutospacing="0" w:after="0" w:afterAutospacing="0"/>
        <w:ind w:firstLine="480" w:firstLineChars="200"/>
        <w:rPr>
          <w:rFonts w:cs="宋体"/>
          <w:color w:val="auto"/>
          <w:highlight w:val="none"/>
        </w:rPr>
      </w:pPr>
      <w:r>
        <w:rPr>
          <w:rFonts w:hint="eastAsia" w:cs="宋体"/>
          <w:color w:val="auto"/>
          <w:highlight w:val="none"/>
        </w:rPr>
        <w:t>供应商名称：                     （单位公章）</w:t>
      </w:r>
    </w:p>
    <w:p>
      <w:pPr>
        <w:pStyle w:val="17"/>
        <w:widowControl w:val="0"/>
        <w:spacing w:before="0" w:beforeAutospacing="0" w:after="0" w:afterAutospacing="0"/>
        <w:ind w:firstLine="480" w:firstLineChars="200"/>
        <w:jc w:val="center"/>
        <w:rPr>
          <w:rFonts w:cs="宋体"/>
          <w:color w:val="auto"/>
          <w:highlight w:val="none"/>
        </w:rPr>
      </w:pPr>
    </w:p>
    <w:p>
      <w:pPr>
        <w:pStyle w:val="17"/>
        <w:widowControl w:val="0"/>
        <w:spacing w:before="0" w:beforeAutospacing="0" w:after="0" w:afterAutospacing="0"/>
        <w:ind w:firstLine="480" w:firstLineChars="200"/>
        <w:rPr>
          <w:rFonts w:cs="宋体"/>
          <w:color w:val="auto"/>
          <w:highlight w:val="none"/>
        </w:rPr>
      </w:pPr>
      <w:r>
        <w:rPr>
          <w:rFonts w:hint="eastAsia" w:cs="宋体"/>
          <w:color w:val="auto"/>
          <w:highlight w:val="none"/>
        </w:rPr>
        <w:t xml:space="preserve">法定代表人或被授权人（签字或盖章）：                 </w:t>
      </w:r>
    </w:p>
    <w:p>
      <w:pPr>
        <w:jc w:val="center"/>
        <w:outlineLvl w:val="2"/>
        <w:rPr>
          <w:rFonts w:hAnsi="宋体" w:cs="宋体"/>
          <w:color w:val="auto"/>
          <w:highlight w:val="none"/>
        </w:rPr>
      </w:pPr>
      <w:r>
        <w:rPr>
          <w:rFonts w:hint="eastAsia" w:hAnsi="宋体" w:cs="宋体"/>
          <w:color w:val="auto"/>
          <w:highlight w:val="none"/>
        </w:rPr>
        <w:br w:type="page"/>
      </w:r>
      <w:bookmarkStart w:id="225" w:name="_Toc6432"/>
      <w:bookmarkStart w:id="226" w:name="_Toc363474033"/>
      <w:bookmarkStart w:id="227" w:name="_Toc403077656"/>
      <w:bookmarkStart w:id="228" w:name="_Toc10179"/>
      <w:bookmarkStart w:id="229" w:name="_Toc10058"/>
      <w:bookmarkStart w:id="230" w:name="_Toc22990"/>
      <w:bookmarkStart w:id="231" w:name="_Toc426457714"/>
      <w:bookmarkStart w:id="232" w:name="_Toc6862"/>
      <w:bookmarkStart w:id="233" w:name="_Toc8692"/>
      <w:bookmarkStart w:id="234" w:name="_Toc24011"/>
      <w:bookmarkStart w:id="235" w:name="_Toc8857"/>
      <w:bookmarkStart w:id="236" w:name="_Toc13133"/>
      <w:r>
        <w:rPr>
          <w:rStyle w:val="38"/>
          <w:rFonts w:hint="eastAsia"/>
          <w:color w:val="auto"/>
          <w:sz w:val="32"/>
          <w:szCs w:val="32"/>
          <w:highlight w:val="none"/>
        </w:rPr>
        <w:t>五、</w:t>
      </w:r>
      <w:bookmarkEnd w:id="225"/>
      <w:bookmarkEnd w:id="226"/>
      <w:bookmarkEnd w:id="227"/>
      <w:bookmarkEnd w:id="228"/>
      <w:bookmarkEnd w:id="229"/>
      <w:bookmarkEnd w:id="230"/>
      <w:bookmarkEnd w:id="231"/>
      <w:bookmarkEnd w:id="232"/>
      <w:bookmarkEnd w:id="233"/>
      <w:r>
        <w:rPr>
          <w:rStyle w:val="38"/>
          <w:rFonts w:hint="eastAsia"/>
          <w:color w:val="auto"/>
          <w:sz w:val="32"/>
          <w:szCs w:val="32"/>
          <w:highlight w:val="none"/>
        </w:rPr>
        <w:t>陕西省政府采购供应商拒绝政府采购领域商业贿赂承诺书</w:t>
      </w:r>
      <w:bookmarkEnd w:id="234"/>
      <w:bookmarkEnd w:id="235"/>
      <w:bookmarkEnd w:id="236"/>
    </w:p>
    <w:p>
      <w:pPr>
        <w:widowControl/>
        <w:spacing w:line="408" w:lineRule="auto"/>
        <w:ind w:left="274" w:leftChars="114" w:firstLine="470" w:firstLineChars="196"/>
        <w:jc w:val="left"/>
        <w:rPr>
          <w:rFonts w:hAnsi="宋体" w:cs="宋体"/>
          <w:color w:val="auto"/>
          <w:highlight w:val="none"/>
        </w:rPr>
      </w:pPr>
      <w:r>
        <w:rPr>
          <w:rFonts w:hint="eastAsia" w:hAnsi="宋体" w:cs="宋体"/>
          <w:color w:val="auto"/>
          <w:highlight w:val="none"/>
        </w:rPr>
        <w:t>为响应党中央、国务院关于治理政府采购领域商业贿赂行为的号召，我公司在此庄严承诺：</w:t>
      </w:r>
      <w:r>
        <w:rPr>
          <w:rFonts w:hint="eastAsia" w:hAnsi="宋体" w:cs="宋体"/>
          <w:color w:val="auto"/>
          <w:highlight w:val="none"/>
        </w:rPr>
        <w:br w:type="textWrapping"/>
      </w:r>
      <w:r>
        <w:rPr>
          <w:rFonts w:hint="eastAsia" w:hAnsi="宋体" w:cs="宋体"/>
          <w:color w:val="auto"/>
          <w:highlight w:val="none"/>
        </w:rPr>
        <w:t>1、在参与政府采购活动中遵纪守法、诚信经营、公平竞标。</w:t>
      </w:r>
      <w:r>
        <w:rPr>
          <w:rFonts w:hint="eastAsia" w:hAnsi="宋体" w:cs="宋体"/>
          <w:color w:val="auto"/>
          <w:highlight w:val="none"/>
        </w:rPr>
        <w:br w:type="textWrapping"/>
      </w:r>
      <w:r>
        <w:rPr>
          <w:rFonts w:hint="eastAsia" w:hAnsi="宋体" w:cs="宋体"/>
          <w:color w:val="auto"/>
          <w:highlight w:val="none"/>
        </w:rPr>
        <w:t>2、不向政府采购人、采购代理机构和政府采购评审专家进行任何形式的商业贿赂以谋取交易机会。</w:t>
      </w:r>
      <w:r>
        <w:rPr>
          <w:rFonts w:hint="eastAsia" w:hAnsi="宋体" w:cs="宋体"/>
          <w:color w:val="auto"/>
          <w:highlight w:val="none"/>
        </w:rPr>
        <w:br w:type="textWrapping"/>
      </w:r>
      <w:r>
        <w:rPr>
          <w:rFonts w:hint="eastAsia" w:hAnsi="宋体" w:cs="宋体"/>
          <w:color w:val="auto"/>
          <w:highlight w:val="none"/>
        </w:rPr>
        <w:t>3、不向政府采购代理机构和采购人提供虚假资质文件或采用虚假应标方式参与政府采购市场竞争并谋取中标、成交。</w:t>
      </w:r>
      <w:r>
        <w:rPr>
          <w:rFonts w:hint="eastAsia" w:hAnsi="宋体" w:cs="宋体"/>
          <w:color w:val="auto"/>
          <w:highlight w:val="none"/>
        </w:rPr>
        <w:br w:type="textWrapping"/>
      </w:r>
      <w:r>
        <w:rPr>
          <w:rFonts w:hint="eastAsia" w:hAnsi="宋体" w:cs="宋体"/>
          <w:color w:val="auto"/>
          <w:highlight w:val="none"/>
        </w:rPr>
        <w:t>4、不采取“围标、陪标”等商业欺诈手段获得政府采购定单。</w:t>
      </w:r>
      <w:r>
        <w:rPr>
          <w:rFonts w:hint="eastAsia" w:hAnsi="宋体" w:cs="宋体"/>
          <w:color w:val="auto"/>
          <w:highlight w:val="none"/>
        </w:rPr>
        <w:br w:type="textWrapping"/>
      </w:r>
      <w:r>
        <w:rPr>
          <w:rFonts w:hint="eastAsia" w:hAnsi="宋体" w:cs="宋体"/>
          <w:color w:val="auto"/>
          <w:highlight w:val="none"/>
        </w:rPr>
        <w:t>5、不采取不正当手段诋毁、排挤其他供应商。</w:t>
      </w:r>
      <w:r>
        <w:rPr>
          <w:rFonts w:hint="eastAsia" w:hAnsi="宋体" w:cs="宋体"/>
          <w:color w:val="auto"/>
          <w:highlight w:val="none"/>
        </w:rPr>
        <w:br w:type="textWrapping"/>
      </w:r>
      <w:r>
        <w:rPr>
          <w:rFonts w:hint="eastAsia" w:hAnsi="宋体" w:cs="宋体"/>
          <w:color w:val="auto"/>
          <w:highlight w:val="none"/>
        </w:rPr>
        <w:t>6、不在提供商品和服务时“偷梁换柱、以次充好”损害采购人的合法权益。</w:t>
      </w:r>
      <w:r>
        <w:rPr>
          <w:rFonts w:hint="eastAsia" w:hAnsi="宋体" w:cs="宋体"/>
          <w:color w:val="auto"/>
          <w:highlight w:val="none"/>
        </w:rPr>
        <w:br w:type="textWrapping"/>
      </w:r>
      <w:r>
        <w:rPr>
          <w:rFonts w:hint="eastAsia" w:hAnsi="宋体" w:cs="宋体"/>
          <w:color w:val="auto"/>
          <w:highlight w:val="none"/>
        </w:rPr>
        <w:t>7、不与采购人、采购代理机构政府采购评审专家或其它供应商恶意串通，进行质疑和投诉，维护政府采购市场秩序。</w:t>
      </w:r>
      <w:r>
        <w:rPr>
          <w:rFonts w:hint="eastAsia" w:hAnsi="宋体" w:cs="宋体"/>
          <w:color w:val="auto"/>
          <w:highlight w:val="none"/>
        </w:rPr>
        <w:br w:type="textWrapping"/>
      </w:r>
      <w:r>
        <w:rPr>
          <w:rFonts w:hint="eastAsia" w:hAnsi="宋体" w:cs="宋体"/>
          <w:color w:val="auto"/>
          <w:highlight w:val="none"/>
        </w:rPr>
        <w:t>8、尊重和接受政府采购监督管理部门的监督和政府采购代理机构招标采购要求，承担因违约行为给采购人造成的损失。</w:t>
      </w:r>
      <w:r>
        <w:rPr>
          <w:rFonts w:hint="eastAsia" w:hAnsi="宋体" w:cs="宋体"/>
          <w:color w:val="auto"/>
          <w:highlight w:val="none"/>
        </w:rPr>
        <w:br w:type="textWrapping"/>
      </w:r>
      <w:r>
        <w:rPr>
          <w:rFonts w:hint="eastAsia" w:hAnsi="宋体" w:cs="宋体"/>
          <w:color w:val="auto"/>
          <w:highlight w:val="none"/>
        </w:rPr>
        <w:t>9、不发生其他有悖于政府采购公开、公平、公正和诚信原则的行为。</w:t>
      </w:r>
      <w:r>
        <w:rPr>
          <w:rFonts w:hint="eastAsia" w:hAnsi="宋体" w:cs="宋体"/>
          <w:color w:val="auto"/>
          <w:highlight w:val="none"/>
        </w:rPr>
        <w:br w:type="textWrapping"/>
      </w:r>
    </w:p>
    <w:p>
      <w:pPr>
        <w:widowControl/>
        <w:spacing w:line="408" w:lineRule="auto"/>
        <w:ind w:left="274" w:leftChars="114"/>
        <w:jc w:val="left"/>
        <w:rPr>
          <w:rFonts w:hAnsi="宋体" w:cs="宋体"/>
          <w:color w:val="auto"/>
          <w:highlight w:val="none"/>
        </w:rPr>
      </w:pPr>
      <w:r>
        <w:rPr>
          <w:rFonts w:hint="eastAsia" w:hAnsi="宋体" w:cs="宋体"/>
          <w:color w:val="auto"/>
          <w:highlight w:val="none"/>
        </w:rPr>
        <w:t>承诺单位：（盖章）</w:t>
      </w:r>
      <w:r>
        <w:rPr>
          <w:rFonts w:hint="eastAsia" w:hAnsi="宋体" w:cs="宋体"/>
          <w:color w:val="auto"/>
          <w:highlight w:val="none"/>
        </w:rPr>
        <w:br w:type="textWrapping"/>
      </w:r>
      <w:r>
        <w:rPr>
          <w:rFonts w:hint="eastAsia" w:hAnsi="宋体" w:cs="宋体"/>
          <w:color w:val="auto"/>
          <w:highlight w:val="none"/>
        </w:rPr>
        <w:t>全权代表：（</w:t>
      </w:r>
      <w:r>
        <w:rPr>
          <w:rFonts w:hint="eastAsia" w:hAnsi="宋体" w:cs="宋体"/>
          <w:color w:val="auto"/>
          <w:szCs w:val="24"/>
          <w:highlight w:val="none"/>
        </w:rPr>
        <w:t>签字</w:t>
      </w:r>
      <w:r>
        <w:rPr>
          <w:rFonts w:hint="eastAsia" w:hAnsi="宋体" w:cs="宋体"/>
          <w:color w:val="auto"/>
          <w:highlight w:val="none"/>
        </w:rPr>
        <w:t>）：</w:t>
      </w:r>
      <w:r>
        <w:rPr>
          <w:rFonts w:hint="eastAsia" w:hAnsi="宋体" w:cs="宋体"/>
          <w:color w:val="auto"/>
          <w:highlight w:val="none"/>
        </w:rPr>
        <w:br w:type="textWrapping"/>
      </w:r>
      <w:r>
        <w:rPr>
          <w:rFonts w:hint="eastAsia" w:hAnsi="宋体" w:cs="宋体"/>
          <w:color w:val="auto"/>
          <w:highlight w:val="none"/>
        </w:rPr>
        <w:t>地  址：                        </w:t>
      </w:r>
    </w:p>
    <w:p>
      <w:pPr>
        <w:widowControl/>
        <w:spacing w:line="408" w:lineRule="auto"/>
        <w:ind w:left="274" w:leftChars="114"/>
        <w:jc w:val="left"/>
        <w:rPr>
          <w:rFonts w:hAnsi="宋体" w:cs="宋体"/>
          <w:color w:val="auto"/>
          <w:highlight w:val="none"/>
        </w:rPr>
      </w:pPr>
      <w:r>
        <w:rPr>
          <w:rFonts w:hint="eastAsia" w:hAnsi="宋体" w:cs="宋体"/>
          <w:color w:val="auto"/>
          <w:highlight w:val="none"/>
        </w:rPr>
        <w:t>邮  编：</w:t>
      </w:r>
      <w:r>
        <w:rPr>
          <w:rFonts w:hint="eastAsia" w:hAnsi="宋体" w:cs="宋体"/>
          <w:color w:val="auto"/>
          <w:highlight w:val="none"/>
        </w:rPr>
        <w:br w:type="textWrapping"/>
      </w:r>
      <w:r>
        <w:rPr>
          <w:rFonts w:hint="eastAsia" w:hAnsi="宋体" w:cs="宋体"/>
          <w:color w:val="auto"/>
          <w:highlight w:val="none"/>
        </w:rPr>
        <w:t>电  话：                                                                   年  月  日</w:t>
      </w:r>
    </w:p>
    <w:p>
      <w:pPr>
        <w:pStyle w:val="5"/>
        <w:spacing w:before="333" w:beforeLines="100"/>
        <w:rPr>
          <w:rFonts w:ascii="宋体" w:hAnsi="宋体" w:cs="宋体"/>
          <w:color w:val="auto"/>
          <w:sz w:val="32"/>
          <w:szCs w:val="32"/>
          <w:highlight w:val="none"/>
        </w:rPr>
      </w:pPr>
      <w:bookmarkStart w:id="237" w:name="_Toc28113"/>
      <w:bookmarkStart w:id="238" w:name="_Toc363474034"/>
      <w:bookmarkStart w:id="239" w:name="_Toc20139"/>
      <w:bookmarkStart w:id="240" w:name="_Toc8066"/>
      <w:bookmarkStart w:id="241" w:name="_Toc155"/>
      <w:bookmarkStart w:id="242" w:name="_Toc7550"/>
      <w:bookmarkStart w:id="243" w:name="_Toc3206"/>
      <w:bookmarkStart w:id="244" w:name="_Toc27947"/>
      <w:bookmarkStart w:id="245" w:name="_Toc403077657"/>
      <w:bookmarkStart w:id="246" w:name="_Toc426457715"/>
      <w:bookmarkStart w:id="247" w:name="_Toc5679"/>
      <w:bookmarkStart w:id="248" w:name="_Toc491"/>
      <w:r>
        <w:rPr>
          <w:rFonts w:hint="eastAsia" w:ascii="宋体" w:hAnsi="宋体" w:cs="宋体"/>
          <w:color w:val="auto"/>
          <w:sz w:val="32"/>
          <w:szCs w:val="32"/>
          <w:highlight w:val="none"/>
        </w:rPr>
        <w:t>六、资格证明文件</w:t>
      </w:r>
      <w:bookmarkEnd w:id="237"/>
      <w:bookmarkEnd w:id="238"/>
      <w:bookmarkEnd w:id="239"/>
      <w:bookmarkEnd w:id="240"/>
      <w:bookmarkEnd w:id="241"/>
      <w:bookmarkEnd w:id="242"/>
      <w:bookmarkEnd w:id="243"/>
      <w:bookmarkEnd w:id="244"/>
      <w:bookmarkEnd w:id="245"/>
      <w:bookmarkEnd w:id="246"/>
      <w:bookmarkEnd w:id="247"/>
      <w:bookmarkEnd w:id="248"/>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（1）提供合格有效的法人或者其他组织的营业执照等证明文件，自然人的身份证明；</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（2）提供法定代表人授权书（附法定代表人、被授权人身份证复印件）及被授权人身份证原件（法定代表人直接参加投标，须提供法定代表人身份证明及身份证原件）；</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3）财务状况报告：提供2020或2021年度的财务审计报告（至少包括资产负债表和利润表，成立时间至提交投标响应文件截止时间不足一年的可提供成立后任意时段的资产负债表），或开标时间前六个月内银行出具的资信证明；</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（4）税收缴纳证明：提供投标截止日前近一年内任意一个月的纳税证明或完税证明（任意税种），依法免税的单位应提供相关证明材料；</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（5）社会保障资金缴纳证明：提供投标截止日前近一年内任意一个月的社会保障资金缴存单据或社保机构开具的社会保险参保缴费情况证明，依法不需要缴纳社会保障资金的单位应提供相关证明材料；</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（6）供应商应通过“信用中国”网站(www.creditchina.gov.cn)、中国政府采购网(www.ccgp.gov.cn)查询相关主体信用记录；</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（7）参加政府采购活动前3年内，在经营活动中没有重大违法记录的书面声明；</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 xml:space="preserve">（8）提供具有履行本合同所必需的设备和专业技术能力的声明； </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（9）投标保证金缴纳凭证或担保机构出具的保函；</w:t>
      </w:r>
    </w:p>
    <w:p>
      <w:pPr>
        <w:pStyle w:val="17"/>
        <w:keepNext w:val="0"/>
        <w:keepLines w:val="0"/>
        <w:pageBreakBefore w:val="0"/>
        <w:widowControl/>
        <w:shd w:val="clear" w:color="auto" w:fill="FFFFFF"/>
        <w:kinsoku/>
        <w:wordWrap/>
        <w:overflowPunct/>
        <w:topLinePunct w:val="0"/>
        <w:autoSpaceDE/>
        <w:autoSpaceDN/>
        <w:bidi w:val="0"/>
        <w:adjustRightInd/>
        <w:snapToGrid/>
        <w:spacing w:beforeLines="0" w:beforeAutospacing="0" w:afterLines="0" w:afterAutospacing="0" w:line="360" w:lineRule="auto"/>
        <w:ind w:firstLine="480" w:firstLineChars="200"/>
        <w:textAlignment w:val="auto"/>
        <w:rPr>
          <w:rFonts w:hint="eastAsia" w:eastAsia="宋体" w:cs="宋体"/>
          <w:color w:val="auto"/>
          <w:highlight w:val="none"/>
          <w:shd w:val="clear" w:color="auto" w:fill="FFFFFF"/>
        </w:rPr>
      </w:pPr>
      <w:r>
        <w:rPr>
          <w:rFonts w:hint="eastAsia" w:eastAsia="宋体" w:cs="宋体"/>
          <w:color w:val="auto"/>
          <w:highlight w:val="none"/>
          <w:shd w:val="clear" w:color="auto" w:fill="FFFFFF"/>
        </w:rPr>
        <w:t>（10）本项目不接受联合体投标。</w:t>
      </w:r>
    </w:p>
    <w:p>
      <w:pPr>
        <w:spacing w:line="560" w:lineRule="exact"/>
        <w:rPr>
          <w:rFonts w:hAnsi="宋体" w:cs="宋体"/>
          <w:b/>
          <w:bCs/>
          <w:color w:val="auto"/>
          <w:sz w:val="28"/>
          <w:szCs w:val="28"/>
          <w:highlight w:val="none"/>
        </w:rPr>
      </w:pPr>
      <w:r>
        <w:rPr>
          <w:rFonts w:hint="eastAsia" w:hAnsi="宋体" w:cs="宋体"/>
          <w:b/>
          <w:bCs/>
          <w:color w:val="auto"/>
          <w:sz w:val="28"/>
          <w:szCs w:val="28"/>
          <w:highlight w:val="none"/>
        </w:rPr>
        <w:t>后附相关格式：</w:t>
      </w:r>
    </w:p>
    <w:p>
      <w:pPr>
        <w:pStyle w:val="2"/>
        <w:rPr>
          <w:rFonts w:ascii="宋体" w:hAnsi="宋体" w:cs="宋体"/>
          <w:color w:val="auto"/>
          <w:szCs w:val="24"/>
          <w:highlight w:val="none"/>
        </w:rPr>
      </w:pPr>
    </w:p>
    <w:p>
      <w:pPr>
        <w:pStyle w:val="2"/>
        <w:rPr>
          <w:rFonts w:ascii="宋体" w:hAnsi="宋体" w:cs="宋体"/>
          <w:b/>
          <w:bCs/>
          <w:color w:val="auto"/>
          <w:sz w:val="30"/>
          <w:szCs w:val="30"/>
          <w:highlight w:val="none"/>
        </w:rPr>
        <w:sectPr>
          <w:pgSz w:w="11906" w:h="16838"/>
          <w:pgMar w:top="1417" w:right="1134" w:bottom="1417" w:left="1417" w:header="1134" w:footer="992" w:gutter="0"/>
          <w:cols w:space="720" w:num="1"/>
          <w:docGrid w:type="lines" w:linePitch="333" w:charSpace="0"/>
        </w:sectPr>
      </w:pPr>
      <w:bookmarkStart w:id="249" w:name="_Toc25348"/>
      <w:bookmarkStart w:id="250" w:name="_Toc426457701"/>
      <w:bookmarkStart w:id="251" w:name="_Toc4867"/>
      <w:bookmarkStart w:id="252" w:name="_Toc19075"/>
      <w:bookmarkStart w:id="253" w:name="_Toc30210"/>
      <w:bookmarkStart w:id="254" w:name="_Toc403077649"/>
      <w:bookmarkStart w:id="255" w:name="_Toc363474028"/>
      <w:bookmarkStart w:id="256" w:name="_Toc16097"/>
    </w:p>
    <w:bookmarkEnd w:id="249"/>
    <w:bookmarkEnd w:id="250"/>
    <w:bookmarkEnd w:id="251"/>
    <w:bookmarkEnd w:id="252"/>
    <w:bookmarkEnd w:id="253"/>
    <w:bookmarkEnd w:id="254"/>
    <w:bookmarkEnd w:id="255"/>
    <w:bookmarkEnd w:id="256"/>
    <w:p>
      <w:pPr>
        <w:jc w:val="center"/>
        <w:outlineLvl w:val="2"/>
        <w:rPr>
          <w:rFonts w:hint="eastAsia" w:ascii="宋体" w:hAnsi="宋体" w:eastAsia="宋体" w:cs="宋体"/>
          <w:b/>
          <w:bCs/>
          <w:color w:val="auto"/>
          <w:sz w:val="30"/>
          <w:szCs w:val="30"/>
          <w:highlight w:val="none"/>
        </w:rPr>
      </w:pPr>
      <w:bookmarkStart w:id="257" w:name="_Toc30099"/>
      <w:bookmarkStart w:id="258" w:name="_Toc25505"/>
      <w:r>
        <w:rPr>
          <w:rFonts w:hint="eastAsia" w:ascii="宋体" w:hAnsi="宋体" w:eastAsia="宋体" w:cs="宋体"/>
          <w:b/>
          <w:bCs/>
          <w:color w:val="auto"/>
          <w:sz w:val="30"/>
          <w:szCs w:val="30"/>
          <w:highlight w:val="none"/>
        </w:rPr>
        <w:t>七、其他</w:t>
      </w:r>
      <w:bookmarkEnd w:id="257"/>
      <w:bookmarkEnd w:id="258"/>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1、依据招标文件要求，供应商认为有必要说明的其他内容</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2、其他可以证明供应商实力的文件。</w:t>
      </w:r>
    </w:p>
    <w:p>
      <w:pPr>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br w:type="page"/>
      </w:r>
    </w:p>
    <w:p>
      <w:pPr>
        <w:pStyle w:val="2"/>
        <w:rPr>
          <w:rFonts w:hint="eastAsia" w:ascii="宋体" w:hAnsi="宋体" w:eastAsia="宋体" w:cs="宋体"/>
          <w:b/>
          <w:bCs/>
          <w:color w:val="auto"/>
          <w:sz w:val="28"/>
          <w:szCs w:val="28"/>
          <w:highlight w:val="none"/>
        </w:rPr>
      </w:pPr>
      <w:r>
        <w:rPr>
          <w:rFonts w:hint="eastAsia" w:ascii="宋体" w:hAnsi="宋体" w:eastAsia="宋体" w:cs="宋体"/>
          <w:b/>
          <w:bCs/>
          <w:color w:val="auto"/>
          <w:sz w:val="28"/>
          <w:szCs w:val="28"/>
          <w:highlight w:val="none"/>
        </w:rPr>
        <w:t>附件1：</w:t>
      </w:r>
    </w:p>
    <w:p>
      <w:pPr>
        <w:spacing w:before="333" w:beforeLines="100"/>
        <w:jc w:val="center"/>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法定代表人身份证明/法定代表人授权书</w:t>
      </w:r>
    </w:p>
    <w:p>
      <w:pPr>
        <w:pStyle w:val="2"/>
        <w:spacing w:before="166" w:beforeLines="50"/>
        <w:jc w:val="center"/>
        <w:rPr>
          <w:rFonts w:hint="eastAsia" w:ascii="宋体" w:hAnsi="宋体" w:eastAsia="宋体" w:cs="宋体"/>
          <w:b/>
          <w:bCs/>
          <w:color w:val="auto"/>
          <w:sz w:val="30"/>
          <w:szCs w:val="30"/>
          <w:highlight w:val="none"/>
        </w:rPr>
      </w:pPr>
      <w:r>
        <w:rPr>
          <w:rFonts w:hint="eastAsia" w:ascii="宋体" w:hAnsi="宋体" w:eastAsia="宋体" w:cs="宋体"/>
          <w:b/>
          <w:bCs/>
          <w:color w:val="auto"/>
          <w:sz w:val="30"/>
          <w:szCs w:val="30"/>
          <w:highlight w:val="none"/>
        </w:rPr>
        <w:t>法定代表人身份证明</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统一社会信用代码：</w:t>
      </w:r>
      <w:r>
        <w:rPr>
          <w:rFonts w:hint="eastAsia" w:ascii="宋体" w:hAnsi="宋体" w:eastAsia="宋体" w:cs="宋体"/>
          <w:color w:val="auto"/>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注册地址：</w:t>
      </w:r>
      <w:r>
        <w:rPr>
          <w:rFonts w:hint="eastAsia" w:ascii="宋体" w:hAnsi="宋体" w:eastAsia="宋体" w:cs="宋体"/>
          <w:color w:val="auto"/>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成立时间：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年 </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u w:val="single"/>
        </w:rPr>
      </w:pPr>
      <w:r>
        <w:rPr>
          <w:rFonts w:hint="eastAsia" w:ascii="宋体" w:hAnsi="宋体" w:eastAsia="宋体" w:cs="宋体"/>
          <w:color w:val="auto"/>
          <w:highlight w:val="none"/>
        </w:rPr>
        <w:t>经营期限：</w:t>
      </w:r>
      <w:r>
        <w:rPr>
          <w:rFonts w:hint="eastAsia" w:ascii="宋体" w:hAnsi="宋体" w:eastAsia="宋体" w:cs="宋体"/>
          <w:color w:val="auto"/>
          <w:highlight w:val="none"/>
          <w:u w:val="single"/>
        </w:rPr>
        <w:t xml:space="preserve">                  </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姓名：</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性别：</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年龄：</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 xml:space="preserve"> 系</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（投标人名称）的法定代表人。</w:t>
      </w:r>
    </w:p>
    <w:p>
      <w:pPr>
        <w:autoSpaceDE w:val="0"/>
        <w:autoSpaceDN w:val="0"/>
        <w:adjustRightInd w:val="0"/>
        <w:snapToGrid w:val="0"/>
        <w:spacing w:before="166" w:beforeLines="50" w:line="360" w:lineRule="auto"/>
        <w:jc w:val="left"/>
        <w:rPr>
          <w:rFonts w:hint="eastAsia" w:ascii="宋体" w:hAnsi="宋体" w:eastAsia="宋体" w:cs="宋体"/>
          <w:color w:val="auto"/>
          <w:highlight w:val="none"/>
        </w:rPr>
      </w:pPr>
      <w:r>
        <w:rPr>
          <w:rFonts w:hint="eastAsia" w:ascii="宋体" w:hAnsi="宋体" w:eastAsia="宋体" w:cs="宋体"/>
          <w:color w:val="auto"/>
          <w:highlight w:val="none"/>
        </w:rPr>
        <w:t>特此证明。</w:t>
      </w:r>
    </w:p>
    <w:p>
      <w:pPr>
        <w:autoSpaceDE w:val="0"/>
        <w:autoSpaceDN w:val="0"/>
        <w:adjustRightInd w:val="0"/>
        <w:snapToGrid w:val="0"/>
        <w:spacing w:before="166" w:beforeLines="50" w:line="360" w:lineRule="auto"/>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附：法定代表人身份证复印件</w:t>
      </w:r>
    </w:p>
    <w:tbl>
      <w:tblPr>
        <w:tblStyle w:val="20"/>
        <w:tblpPr w:leftFromText="180" w:rightFromText="180" w:vertAnchor="text" w:horzAnchor="margin" w:tblpXSpec="center" w:tblpY="104"/>
        <w:tblW w:w="58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5" w:hRule="atLeast"/>
        </w:trPr>
        <w:tc>
          <w:tcPr>
            <w:tcW w:w="5868" w:type="dxa"/>
            <w:vAlign w:val="center"/>
          </w:tcPr>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p>
            <w:pPr>
              <w:autoSpaceDE w:val="0"/>
              <w:autoSpaceDN w:val="0"/>
              <w:adjustRightInd w:val="0"/>
              <w:snapToGrid w:val="0"/>
              <w:spacing w:before="166" w:beforeLines="5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法定代表人身份证复印件粘贴处</w:t>
            </w:r>
          </w:p>
          <w:p>
            <w:pPr>
              <w:pStyle w:val="2"/>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（正反面）</w:t>
            </w:r>
          </w:p>
          <w:p>
            <w:pPr>
              <w:snapToGrid w:val="0"/>
              <w:spacing w:line="480" w:lineRule="auto"/>
              <w:jc w:val="center"/>
              <w:rPr>
                <w:rFonts w:hint="eastAsia" w:ascii="宋体" w:hAnsi="宋体" w:eastAsia="宋体" w:cs="宋体"/>
                <w:color w:val="auto"/>
                <w:szCs w:val="21"/>
                <w:highlight w:val="none"/>
              </w:rPr>
            </w:pPr>
          </w:p>
          <w:p>
            <w:pPr>
              <w:snapToGrid w:val="0"/>
              <w:spacing w:line="480" w:lineRule="auto"/>
              <w:jc w:val="center"/>
              <w:rPr>
                <w:rFonts w:hint="eastAsia" w:ascii="宋体" w:hAnsi="宋体" w:eastAsia="宋体" w:cs="宋体"/>
                <w:color w:val="auto"/>
                <w:szCs w:val="21"/>
                <w:highlight w:val="none"/>
              </w:rPr>
            </w:pPr>
          </w:p>
        </w:tc>
      </w:tr>
    </w:tbl>
    <w:p>
      <w:pPr>
        <w:snapToGrid w:val="0"/>
        <w:spacing w:line="480" w:lineRule="auto"/>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snapToGrid w:val="0"/>
        <w:rPr>
          <w:rFonts w:hint="eastAsia" w:ascii="宋体" w:hAnsi="宋体" w:eastAsia="宋体" w:cs="宋体"/>
          <w:color w:val="auto"/>
          <w:szCs w:val="21"/>
          <w:highlight w:val="none"/>
        </w:rPr>
      </w:pPr>
    </w:p>
    <w:p>
      <w:pPr>
        <w:adjustRightInd w:val="0"/>
        <w:snapToGrid w:val="0"/>
        <w:spacing w:line="360" w:lineRule="auto"/>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p>
    <w:p>
      <w:pPr>
        <w:adjustRightInd w:val="0"/>
        <w:snapToGrid w:val="0"/>
        <w:spacing w:line="360" w:lineRule="auto"/>
        <w:ind w:right="420"/>
        <w:rPr>
          <w:rFonts w:hint="eastAsia" w:ascii="宋体" w:hAnsi="宋体" w:eastAsia="宋体" w:cs="宋体"/>
          <w:color w:val="auto"/>
          <w:highlight w:val="none"/>
        </w:rPr>
      </w:pPr>
      <w:r>
        <w:rPr>
          <w:rFonts w:hint="eastAsia" w:ascii="宋体" w:hAnsi="宋体" w:eastAsia="宋体" w:cs="宋体"/>
          <w:color w:val="auto"/>
          <w:highlight w:val="none"/>
        </w:rPr>
        <w:t>投标人名称（公章）：</w:t>
      </w:r>
    </w:p>
    <w:p>
      <w:pPr>
        <w:adjustRightInd w:val="0"/>
        <w:snapToGrid w:val="0"/>
        <w:spacing w:line="360" w:lineRule="auto"/>
        <w:ind w:right="420"/>
        <w:rPr>
          <w:rFonts w:hint="eastAsia" w:ascii="宋体" w:hAnsi="宋体" w:eastAsia="宋体" w:cs="宋体"/>
          <w:color w:val="auto"/>
          <w:highlight w:val="none"/>
        </w:rPr>
      </w:pPr>
      <w:r>
        <w:rPr>
          <w:rFonts w:hint="eastAsia" w:ascii="宋体" w:hAnsi="宋体" w:eastAsia="宋体" w:cs="宋体"/>
          <w:color w:val="auto"/>
          <w:highlight w:val="none"/>
        </w:rPr>
        <w:t>日期：    年  月  日</w:t>
      </w:r>
    </w:p>
    <w:p>
      <w:pPr>
        <w:adjustRightInd w:val="0"/>
        <w:snapToGrid w:val="0"/>
        <w:spacing w:line="360" w:lineRule="auto"/>
        <w:ind w:right="420"/>
        <w:rPr>
          <w:rFonts w:hint="eastAsia" w:ascii="宋体" w:hAnsi="宋体" w:eastAsia="宋体" w:cs="宋体"/>
          <w:color w:val="auto"/>
          <w:highlight w:val="none"/>
        </w:rPr>
      </w:pPr>
    </w:p>
    <w:p>
      <w:pP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br w:type="page"/>
      </w:r>
    </w:p>
    <w:p>
      <w:pPr>
        <w:keepNext/>
        <w:spacing w:before="333" w:beforeLines="100"/>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法定代表人授权书</w:t>
      </w:r>
    </w:p>
    <w:p>
      <w:pPr>
        <w:rPr>
          <w:rFonts w:hint="eastAsia" w:ascii="宋体" w:hAnsi="宋体" w:eastAsia="宋体" w:cs="宋体"/>
          <w:b/>
          <w:bCs/>
          <w:color w:val="auto"/>
          <w:szCs w:val="32"/>
          <w:highlight w:val="none"/>
        </w:rPr>
      </w:pPr>
      <w:r>
        <w:rPr>
          <w:rFonts w:hint="eastAsia" w:ascii="宋体" w:hAnsi="宋体" w:eastAsia="宋体" w:cs="宋体"/>
          <w:color w:val="auto"/>
          <w:highlight w:val="none"/>
        </w:rPr>
        <w:t xml:space="preserve">      </w:t>
      </w:r>
      <w:r>
        <w:rPr>
          <w:rFonts w:hint="eastAsia" w:ascii="宋体" w:hAnsi="宋体" w:eastAsia="宋体" w:cs="宋体"/>
          <w:color w:val="auto"/>
          <w:szCs w:val="32"/>
          <w:highlight w:val="none"/>
        </w:rPr>
        <w:t xml:space="preserve"> </w:t>
      </w:r>
    </w:p>
    <w:p>
      <w:pPr>
        <w:spacing w:line="560" w:lineRule="exact"/>
        <w:jc w:val="left"/>
        <w:rPr>
          <w:rFonts w:hint="eastAsia" w:ascii="宋体" w:hAnsi="宋体" w:eastAsia="宋体" w:cs="宋体"/>
          <w:color w:val="auto"/>
          <w:spacing w:val="4"/>
          <w:szCs w:val="24"/>
          <w:highlight w:val="none"/>
        </w:rPr>
      </w:pPr>
      <w:r>
        <w:rPr>
          <w:rFonts w:hint="eastAsia" w:ascii="宋体" w:hAnsi="宋体" w:eastAsia="宋体" w:cs="宋体"/>
          <w:b/>
          <w:color w:val="auto"/>
          <w:spacing w:val="4"/>
          <w:szCs w:val="24"/>
          <w:highlight w:val="none"/>
        </w:rPr>
        <w:t>致：</w:t>
      </w:r>
      <w:r>
        <w:rPr>
          <w:rFonts w:hint="eastAsia" w:hAnsi="宋体" w:cs="宋体"/>
          <w:b/>
          <w:color w:val="auto"/>
          <w:spacing w:val="4"/>
          <w:szCs w:val="24"/>
          <w:highlight w:val="none"/>
          <w:u w:val="single"/>
        </w:rPr>
        <w:t>采购人名称/陕西至诚招标咨询有限公司</w:t>
      </w:r>
    </w:p>
    <w:p>
      <w:pPr>
        <w:spacing w:line="560" w:lineRule="exact"/>
        <w:ind w:firstLine="496" w:firstLineChars="200"/>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u w:val="single"/>
        </w:rPr>
        <w:t xml:space="preserve">(投标人名称)   </w:t>
      </w:r>
      <w:r>
        <w:rPr>
          <w:rFonts w:hint="eastAsia" w:ascii="宋体" w:hAnsi="宋体" w:eastAsia="宋体" w:cs="宋体"/>
          <w:color w:val="auto"/>
          <w:spacing w:val="4"/>
          <w:szCs w:val="24"/>
          <w:highlight w:val="none"/>
        </w:rPr>
        <w:t>按中华人民共和国法律于</w:t>
      </w:r>
      <w:r>
        <w:rPr>
          <w:rFonts w:hint="eastAsia" w:ascii="宋体" w:hAnsi="宋体" w:eastAsia="宋体" w:cs="宋体"/>
          <w:color w:val="auto"/>
          <w:spacing w:val="4"/>
          <w:szCs w:val="24"/>
          <w:highlight w:val="none"/>
          <w:u w:val="single"/>
        </w:rPr>
        <w:t xml:space="preserve">（  年  月  日 ）  </w:t>
      </w:r>
      <w:r>
        <w:rPr>
          <w:rFonts w:hint="eastAsia" w:ascii="宋体" w:hAnsi="宋体" w:eastAsia="宋体" w:cs="宋体"/>
          <w:color w:val="auto"/>
          <w:spacing w:val="4"/>
          <w:szCs w:val="24"/>
          <w:highlight w:val="none"/>
        </w:rPr>
        <w:t>成立。</w:t>
      </w:r>
      <w:r>
        <w:rPr>
          <w:rFonts w:hint="eastAsia" w:ascii="宋体" w:hAnsi="宋体" w:eastAsia="宋体" w:cs="宋体"/>
          <w:color w:val="auto"/>
          <w:spacing w:val="4"/>
          <w:szCs w:val="24"/>
          <w:highlight w:val="none"/>
          <w:u w:val="single"/>
        </w:rPr>
        <w:t>(</w:t>
      </w:r>
      <w:r>
        <w:rPr>
          <w:rFonts w:hint="eastAsia" w:ascii="宋体" w:hAnsi="宋体" w:eastAsia="宋体" w:cs="宋体"/>
          <w:color w:val="auto"/>
          <w:szCs w:val="24"/>
          <w:highlight w:val="none"/>
          <w:u w:val="single"/>
        </w:rPr>
        <w:t>法定代表人</w:t>
      </w:r>
      <w:r>
        <w:rPr>
          <w:rFonts w:hint="eastAsia" w:ascii="宋体" w:hAnsi="宋体" w:eastAsia="宋体" w:cs="宋体"/>
          <w:color w:val="auto"/>
          <w:spacing w:val="4"/>
          <w:szCs w:val="24"/>
          <w:highlight w:val="none"/>
          <w:u w:val="single"/>
        </w:rPr>
        <w:t>姓名)</w:t>
      </w:r>
      <w:r>
        <w:rPr>
          <w:rFonts w:hint="eastAsia" w:ascii="宋体" w:hAnsi="宋体" w:eastAsia="宋体" w:cs="宋体"/>
          <w:color w:val="auto"/>
          <w:spacing w:val="4"/>
          <w:szCs w:val="24"/>
          <w:highlight w:val="none"/>
        </w:rPr>
        <w:t>特授权</w:t>
      </w:r>
      <w:r>
        <w:rPr>
          <w:rFonts w:hint="eastAsia" w:ascii="宋体" w:hAnsi="宋体" w:eastAsia="宋体" w:cs="宋体"/>
          <w:color w:val="auto"/>
          <w:spacing w:val="4"/>
          <w:szCs w:val="24"/>
          <w:highlight w:val="none"/>
          <w:u w:val="single"/>
        </w:rPr>
        <w:t xml:space="preserve">（ </w:t>
      </w:r>
      <w:r>
        <w:rPr>
          <w:rFonts w:hint="eastAsia" w:ascii="宋体" w:hAnsi="宋体" w:eastAsia="宋体" w:cs="宋体"/>
          <w:color w:val="auto"/>
          <w:szCs w:val="24"/>
          <w:highlight w:val="none"/>
          <w:u w:val="single"/>
        </w:rPr>
        <w:t>授权代表</w:t>
      </w:r>
      <w:r>
        <w:rPr>
          <w:rFonts w:hint="eastAsia" w:ascii="宋体" w:hAnsi="宋体" w:eastAsia="宋体" w:cs="宋体"/>
          <w:color w:val="auto"/>
          <w:spacing w:val="4"/>
          <w:szCs w:val="24"/>
          <w:highlight w:val="none"/>
          <w:u w:val="single"/>
        </w:rPr>
        <w:t>姓名 ）</w:t>
      </w:r>
      <w:r>
        <w:rPr>
          <w:rFonts w:hint="eastAsia" w:ascii="宋体" w:hAnsi="宋体" w:eastAsia="宋体" w:cs="宋体"/>
          <w:color w:val="auto"/>
          <w:spacing w:val="4"/>
          <w:szCs w:val="24"/>
          <w:highlight w:val="none"/>
        </w:rPr>
        <w:t xml:space="preserve">代表我公司全权办理针对本次 </w:t>
      </w:r>
      <w:r>
        <w:rPr>
          <w:rFonts w:hint="eastAsia" w:ascii="宋体" w:hAnsi="宋体" w:eastAsia="宋体" w:cs="宋体"/>
          <w:color w:val="auto"/>
          <w:spacing w:val="4"/>
          <w:szCs w:val="24"/>
          <w:highlight w:val="none"/>
          <w:u w:val="single"/>
        </w:rPr>
        <w:t xml:space="preserve">（项目名称、项目编号）    </w:t>
      </w:r>
      <w:r>
        <w:rPr>
          <w:rFonts w:hint="eastAsia" w:ascii="宋体" w:hAnsi="宋体" w:eastAsia="宋体" w:cs="宋体"/>
          <w:color w:val="auto"/>
          <w:spacing w:val="4"/>
          <w:szCs w:val="24"/>
          <w:highlight w:val="none"/>
        </w:rPr>
        <w:t>投标、谈判、签约等具体工作，并签署全部有关的文件、协议及合同。</w:t>
      </w:r>
    </w:p>
    <w:p>
      <w:pPr>
        <w:spacing w:line="560" w:lineRule="exact"/>
        <w:ind w:firstLine="496" w:firstLineChars="200"/>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我公司对</w:t>
      </w:r>
      <w:r>
        <w:rPr>
          <w:rFonts w:hint="eastAsia" w:ascii="宋体" w:hAnsi="宋体" w:eastAsia="宋体" w:cs="宋体"/>
          <w:color w:val="auto"/>
          <w:szCs w:val="24"/>
          <w:highlight w:val="none"/>
        </w:rPr>
        <w:t>授权代表</w:t>
      </w:r>
      <w:r>
        <w:rPr>
          <w:rFonts w:hint="eastAsia" w:ascii="宋体" w:hAnsi="宋体" w:eastAsia="宋体" w:cs="宋体"/>
          <w:color w:val="auto"/>
          <w:spacing w:val="4"/>
          <w:szCs w:val="24"/>
          <w:highlight w:val="none"/>
        </w:rPr>
        <w:t>的签名负全部责任。</w:t>
      </w:r>
    </w:p>
    <w:p>
      <w:pPr>
        <w:spacing w:line="560" w:lineRule="exact"/>
        <w:ind w:right="617" w:rightChars="257" w:firstLine="480" w:firstLineChars="200"/>
        <w:jc w:val="left"/>
        <w:rPr>
          <w:rFonts w:hint="eastAsia" w:ascii="宋体" w:hAnsi="宋体" w:eastAsia="宋体" w:cs="宋体"/>
          <w:color w:val="auto"/>
          <w:szCs w:val="24"/>
          <w:highlight w:val="none"/>
        </w:rPr>
      </w:pPr>
      <w:r>
        <w:rPr>
          <w:rFonts w:hint="eastAsia" w:ascii="宋体" w:hAnsi="宋体" w:eastAsia="宋体" w:cs="宋体"/>
          <w:color w:val="auto"/>
          <w:szCs w:val="24"/>
          <w:highlight w:val="none"/>
        </w:rPr>
        <w:t>委托期限：</w:t>
      </w:r>
      <w:r>
        <w:rPr>
          <w:rFonts w:hint="eastAsia" w:ascii="宋体" w:hAnsi="宋体" w:eastAsia="宋体" w:cs="宋体"/>
          <w:color w:val="auto"/>
          <w:highlight w:val="none"/>
          <w:lang w:val="zh-CN"/>
        </w:rPr>
        <w:t>自开标之日起</w:t>
      </w:r>
      <w:r>
        <w:rPr>
          <w:rFonts w:hint="eastAsia" w:ascii="宋体" w:hAnsi="宋体" w:eastAsia="宋体" w:cs="宋体"/>
          <w:color w:val="auto"/>
          <w:highlight w:val="none"/>
        </w:rPr>
        <w:t>90</w:t>
      </w:r>
      <w:r>
        <w:rPr>
          <w:rFonts w:hint="eastAsia" w:ascii="宋体" w:hAnsi="宋体" w:eastAsia="宋体" w:cs="宋体"/>
          <w:color w:val="auto"/>
          <w:highlight w:val="none"/>
          <w:lang w:val="zh-CN"/>
        </w:rPr>
        <w:t>天。</w:t>
      </w:r>
    </w:p>
    <w:p>
      <w:pPr>
        <w:spacing w:line="560" w:lineRule="exact"/>
        <w:ind w:firstLine="496" w:firstLineChars="200"/>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本授权书于</w:t>
      </w:r>
      <w:r>
        <w:rPr>
          <w:rFonts w:hint="eastAsia" w:ascii="宋体" w:hAnsi="宋体" w:eastAsia="宋体" w:cs="宋体"/>
          <w:color w:val="auto"/>
          <w:spacing w:val="4"/>
          <w:szCs w:val="24"/>
          <w:highlight w:val="none"/>
          <w:u w:val="single"/>
        </w:rPr>
        <w:t xml:space="preserve">      年   月   日</w:t>
      </w:r>
      <w:r>
        <w:rPr>
          <w:rFonts w:hint="eastAsia" w:ascii="宋体" w:hAnsi="宋体" w:eastAsia="宋体" w:cs="宋体"/>
          <w:color w:val="auto"/>
          <w:spacing w:val="4"/>
          <w:szCs w:val="24"/>
          <w:highlight w:val="none"/>
          <w:lang w:eastAsia="zh-CN"/>
        </w:rPr>
        <w:t>签章</w:t>
      </w:r>
      <w:r>
        <w:rPr>
          <w:rFonts w:hint="eastAsia" w:ascii="宋体" w:hAnsi="宋体" w:eastAsia="宋体" w:cs="宋体"/>
          <w:color w:val="auto"/>
          <w:spacing w:val="4"/>
          <w:szCs w:val="24"/>
          <w:highlight w:val="none"/>
        </w:rPr>
        <w:t>生效，特此证明。</w:t>
      </w:r>
    </w:p>
    <w:tbl>
      <w:tblPr>
        <w:tblStyle w:val="19"/>
        <w:tblW w:w="8190" w:type="dxa"/>
        <w:tblInd w:w="633" w:type="dxa"/>
        <w:tblLayout w:type="fixed"/>
        <w:tblCellMar>
          <w:top w:w="0" w:type="dxa"/>
          <w:left w:w="108" w:type="dxa"/>
          <w:bottom w:w="0" w:type="dxa"/>
          <w:right w:w="108" w:type="dxa"/>
        </w:tblCellMar>
      </w:tblPr>
      <w:tblGrid>
        <w:gridCol w:w="4200"/>
        <w:gridCol w:w="3990"/>
      </w:tblGrid>
      <w:tr>
        <w:tblPrEx>
          <w:tblCellMar>
            <w:top w:w="0" w:type="dxa"/>
            <w:left w:w="108" w:type="dxa"/>
            <w:bottom w:w="0" w:type="dxa"/>
            <w:right w:w="108" w:type="dxa"/>
          </w:tblCellMar>
        </w:tblPrEx>
        <w:trPr>
          <w:trHeight w:val="600" w:hRule="atLeast"/>
        </w:trPr>
        <w:tc>
          <w:tcPr>
            <w:tcW w:w="420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被授权人签字或盖章：</w:t>
            </w:r>
          </w:p>
        </w:tc>
        <w:tc>
          <w:tcPr>
            <w:tcW w:w="399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zCs w:val="24"/>
                <w:highlight w:val="none"/>
              </w:rPr>
              <w:t>法定代表人</w:t>
            </w:r>
            <w:r>
              <w:rPr>
                <w:rFonts w:hint="eastAsia" w:ascii="宋体" w:hAnsi="宋体" w:eastAsia="宋体" w:cs="宋体"/>
                <w:color w:val="auto"/>
                <w:spacing w:val="4"/>
                <w:szCs w:val="24"/>
                <w:highlight w:val="none"/>
              </w:rPr>
              <w:t>签字或盖章：</w:t>
            </w:r>
          </w:p>
        </w:tc>
      </w:tr>
      <w:tr>
        <w:tblPrEx>
          <w:tblCellMar>
            <w:top w:w="0" w:type="dxa"/>
            <w:left w:w="108" w:type="dxa"/>
            <w:bottom w:w="0" w:type="dxa"/>
            <w:right w:w="108" w:type="dxa"/>
          </w:tblCellMar>
        </w:tblPrEx>
        <w:trPr>
          <w:trHeight w:val="600" w:hRule="atLeast"/>
        </w:trPr>
        <w:tc>
          <w:tcPr>
            <w:tcW w:w="420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职务：</w:t>
            </w:r>
          </w:p>
        </w:tc>
        <w:tc>
          <w:tcPr>
            <w:tcW w:w="399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职务：</w:t>
            </w:r>
          </w:p>
        </w:tc>
      </w:tr>
      <w:tr>
        <w:tblPrEx>
          <w:tblCellMar>
            <w:top w:w="0" w:type="dxa"/>
            <w:left w:w="108" w:type="dxa"/>
            <w:bottom w:w="0" w:type="dxa"/>
            <w:right w:w="108" w:type="dxa"/>
          </w:tblCellMar>
        </w:tblPrEx>
        <w:trPr>
          <w:trHeight w:val="600" w:hRule="atLeast"/>
        </w:trPr>
        <w:tc>
          <w:tcPr>
            <w:tcW w:w="420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身份证号：</w:t>
            </w:r>
          </w:p>
        </w:tc>
        <w:tc>
          <w:tcPr>
            <w:tcW w:w="399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身份证号：</w:t>
            </w:r>
          </w:p>
        </w:tc>
      </w:tr>
      <w:tr>
        <w:tblPrEx>
          <w:tblCellMar>
            <w:top w:w="0" w:type="dxa"/>
            <w:left w:w="108" w:type="dxa"/>
            <w:bottom w:w="0" w:type="dxa"/>
            <w:right w:w="108" w:type="dxa"/>
          </w:tblCellMar>
        </w:tblPrEx>
        <w:trPr>
          <w:trHeight w:val="600" w:hRule="atLeast"/>
        </w:trPr>
        <w:tc>
          <w:tcPr>
            <w:tcW w:w="4200" w:type="dxa"/>
          </w:tcPr>
          <w:p>
            <w:pPr>
              <w:spacing w:line="520" w:lineRule="exact"/>
              <w:jc w:val="left"/>
              <w:rPr>
                <w:rFonts w:hint="eastAsia" w:ascii="宋体" w:hAnsi="宋体" w:eastAsia="宋体" w:cs="宋体"/>
                <w:color w:val="auto"/>
                <w:spacing w:val="4"/>
                <w:szCs w:val="24"/>
                <w:highlight w:val="none"/>
              </w:rPr>
            </w:pPr>
            <w:r>
              <w:rPr>
                <w:rFonts w:hint="eastAsia" w:ascii="宋体" w:hAnsi="宋体" w:eastAsia="宋体" w:cs="宋体"/>
                <w:color w:val="auto"/>
                <w:spacing w:val="4"/>
                <w:szCs w:val="24"/>
                <w:highlight w:val="none"/>
              </w:rPr>
              <w:t>所在部门：</w:t>
            </w:r>
          </w:p>
        </w:tc>
        <w:tc>
          <w:tcPr>
            <w:tcW w:w="3990" w:type="dxa"/>
          </w:tcPr>
          <w:p>
            <w:pPr>
              <w:spacing w:line="520" w:lineRule="exact"/>
              <w:jc w:val="left"/>
              <w:rPr>
                <w:rFonts w:hint="eastAsia" w:ascii="宋体" w:hAnsi="宋体" w:eastAsia="宋体" w:cs="宋体"/>
                <w:color w:val="auto"/>
                <w:spacing w:val="4"/>
                <w:szCs w:val="24"/>
                <w:highlight w:val="none"/>
              </w:rPr>
            </w:pPr>
          </w:p>
        </w:tc>
      </w:tr>
    </w:tbl>
    <w:p>
      <w:pPr>
        <w:spacing w:line="520" w:lineRule="exact"/>
        <w:ind w:firstLine="496" w:firstLineChars="200"/>
        <w:jc w:val="left"/>
        <w:rPr>
          <w:rFonts w:hint="eastAsia" w:ascii="宋体" w:hAnsi="宋体" w:eastAsia="宋体" w:cs="宋体"/>
          <w:color w:val="auto"/>
          <w:spacing w:val="4"/>
          <w:szCs w:val="24"/>
          <w:highlight w:val="none"/>
        </w:rPr>
      </w:pPr>
    </w:p>
    <w:p>
      <w:pPr>
        <w:spacing w:before="240" w:line="360" w:lineRule="auto"/>
        <w:ind w:firstLine="960" w:firstLineChars="400"/>
        <w:rPr>
          <w:rFonts w:hint="eastAsia" w:ascii="宋体" w:hAnsi="宋体" w:eastAsia="宋体" w:cs="宋体"/>
          <w:color w:val="auto"/>
          <w:highlight w:val="none"/>
          <w:u w:val="single"/>
        </w:rPr>
      </w:pPr>
      <w:r>
        <w:rPr>
          <w:rFonts w:hint="eastAsia" w:ascii="宋体" w:hAnsi="宋体" w:eastAsia="宋体" w:cs="宋体"/>
          <w:color w:val="auto"/>
          <w:highlight w:val="none"/>
          <w:lang w:val="zh-CN"/>
        </w:rPr>
        <w:t>附法定代表人</w:t>
      </w:r>
      <w:r>
        <w:rPr>
          <w:rFonts w:hint="eastAsia" w:ascii="宋体" w:hAnsi="宋体" w:eastAsia="宋体" w:cs="宋体"/>
          <w:color w:val="auto"/>
          <w:highlight w:val="none"/>
        </w:rPr>
        <w:t>、</w:t>
      </w:r>
      <w:r>
        <w:rPr>
          <w:rFonts w:hint="eastAsia" w:ascii="宋体" w:hAnsi="宋体" w:eastAsia="宋体" w:cs="宋体"/>
          <w:color w:val="auto"/>
          <w:highlight w:val="none"/>
          <w:lang w:val="zh-CN"/>
        </w:rPr>
        <w:t>授权代表身份证复印件</w:t>
      </w:r>
    </w:p>
    <w:tbl>
      <w:tblPr>
        <w:tblStyle w:val="19"/>
        <w:tblW w:w="8357" w:type="dxa"/>
        <w:tblInd w:w="540" w:type="dxa"/>
        <w:tblLayout w:type="fixed"/>
        <w:tblCellMar>
          <w:top w:w="0" w:type="dxa"/>
          <w:left w:w="108" w:type="dxa"/>
          <w:bottom w:w="0" w:type="dxa"/>
          <w:right w:w="108" w:type="dxa"/>
        </w:tblCellMar>
      </w:tblPr>
      <w:tblGrid>
        <w:gridCol w:w="4246"/>
        <w:gridCol w:w="4111"/>
      </w:tblGrid>
      <w:tr>
        <w:tblPrEx>
          <w:tblCellMar>
            <w:top w:w="0" w:type="dxa"/>
            <w:left w:w="108" w:type="dxa"/>
            <w:bottom w:w="0" w:type="dxa"/>
            <w:right w:w="108" w:type="dxa"/>
          </w:tblCellMar>
        </w:tblPrEx>
        <w:trPr>
          <w:trHeight w:val="2818" w:hRule="atLeast"/>
        </w:trPr>
        <w:tc>
          <w:tcPr>
            <w:tcW w:w="4246"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hint="eastAsia" w:ascii="宋体" w:hAnsi="宋体" w:eastAsia="宋体" w:cs="宋体"/>
                <w:color w:val="auto"/>
                <w:szCs w:val="21"/>
                <w:highlight w:val="none"/>
                <w:lang w:val="zh-CN"/>
              </w:rPr>
            </w:pPr>
            <w:r>
              <w:rPr>
                <w:rFonts w:hint="eastAsia" w:ascii="宋体" w:hAnsi="宋体" w:eastAsia="宋体" w:cs="宋体"/>
                <w:color w:val="auto"/>
                <w:szCs w:val="21"/>
                <w:highlight w:val="none"/>
                <w:lang w:val="zh-CN"/>
              </w:rPr>
              <w:t>法定代表人身份证复印件粘贴处</w:t>
            </w:r>
          </w:p>
          <w:p>
            <w:pPr>
              <w:spacing w:line="360" w:lineRule="auto"/>
              <w:jc w:val="center"/>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lang w:val="zh-CN"/>
              </w:rPr>
              <w:t>（正反面）</w:t>
            </w:r>
          </w:p>
        </w:tc>
        <w:tc>
          <w:tcPr>
            <w:tcW w:w="411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napToGrid w:val="0"/>
              <w:spacing w:before="166" w:beforeLines="50"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4"/>
                <w:highlight w:val="none"/>
              </w:rPr>
              <w:t>授权代表</w:t>
            </w:r>
            <w:r>
              <w:rPr>
                <w:rFonts w:hint="eastAsia" w:ascii="宋体" w:hAnsi="宋体" w:eastAsia="宋体" w:cs="宋体"/>
                <w:color w:val="auto"/>
                <w:szCs w:val="21"/>
                <w:highlight w:val="none"/>
              </w:rPr>
              <w:t>身份证复印件粘贴处</w:t>
            </w:r>
          </w:p>
          <w:p>
            <w:pPr>
              <w:autoSpaceDE w:val="0"/>
              <w:autoSpaceDN w:val="0"/>
              <w:adjustRightInd w:val="0"/>
              <w:snapToGrid w:val="0"/>
              <w:spacing w:before="166" w:beforeLines="50" w:line="360" w:lineRule="auto"/>
              <w:jc w:val="center"/>
              <w:rPr>
                <w:rFonts w:hint="eastAsia" w:ascii="宋体" w:hAnsi="宋体" w:eastAsia="宋体" w:cs="宋体"/>
                <w:color w:val="auto"/>
                <w:highlight w:val="none"/>
                <w:u w:val="single"/>
              </w:rPr>
            </w:pPr>
            <w:r>
              <w:rPr>
                <w:rFonts w:hint="eastAsia" w:ascii="宋体" w:hAnsi="宋体" w:eastAsia="宋体" w:cs="宋体"/>
                <w:color w:val="auto"/>
                <w:szCs w:val="21"/>
                <w:highlight w:val="none"/>
              </w:rPr>
              <w:t>（正反面）</w:t>
            </w:r>
          </w:p>
        </w:tc>
      </w:tr>
    </w:tbl>
    <w:p>
      <w:pPr>
        <w:spacing w:line="480" w:lineRule="auto"/>
        <w:ind w:left="485" w:leftChars="202" w:right="617" w:rightChars="257"/>
        <w:jc w:val="left"/>
        <w:rPr>
          <w:rFonts w:hint="eastAsia" w:ascii="宋体" w:hAnsi="宋体" w:eastAsia="宋体" w:cs="宋体"/>
          <w:color w:val="auto"/>
          <w:highlight w:val="none"/>
        </w:rPr>
      </w:pPr>
      <w:r>
        <w:rPr>
          <w:rFonts w:hint="eastAsia" w:ascii="宋体" w:hAnsi="宋体" w:eastAsia="宋体" w:cs="宋体"/>
          <w:color w:val="auto"/>
          <w:highlight w:val="none"/>
        </w:rPr>
        <w:t>投标人名称：</w:t>
      </w:r>
      <w:r>
        <w:rPr>
          <w:rFonts w:hint="eastAsia" w:ascii="宋体" w:hAnsi="宋体" w:eastAsia="宋体" w:cs="宋体"/>
          <w:color w:val="auto"/>
          <w:highlight w:val="none"/>
          <w:u w:val="single"/>
        </w:rPr>
        <w:t xml:space="preserve">      （加盖单位公章）      </w:t>
      </w:r>
    </w:p>
    <w:p>
      <w:pPr>
        <w:spacing w:line="440" w:lineRule="exact"/>
        <w:ind w:left="485" w:leftChars="202"/>
        <w:rPr>
          <w:rFonts w:hint="eastAsia" w:ascii="宋体" w:hAnsi="宋体" w:eastAsia="宋体" w:cs="宋体"/>
          <w:color w:val="auto"/>
          <w:spacing w:val="4"/>
          <w:szCs w:val="30"/>
          <w:highlight w:val="none"/>
        </w:rPr>
      </w:pPr>
      <w:r>
        <w:rPr>
          <w:rFonts w:hint="eastAsia" w:ascii="宋体" w:hAnsi="宋体" w:eastAsia="宋体" w:cs="宋体"/>
          <w:color w:val="auto"/>
          <w:spacing w:val="4"/>
          <w:szCs w:val="30"/>
          <w:highlight w:val="none"/>
        </w:rPr>
        <w:t>日   期：</w:t>
      </w:r>
    </w:p>
    <w:p>
      <w:pPr>
        <w:ind w:firstLine="482" w:firstLineChars="200"/>
        <w:rPr>
          <w:rFonts w:hint="eastAsia" w:ascii="宋体" w:hAnsi="宋体" w:eastAsia="宋体" w:cs="宋体"/>
          <w:b/>
          <w:bCs/>
          <w:color w:val="auto"/>
          <w:highlight w:val="none"/>
          <w:lang w:val="zh-CN"/>
        </w:rPr>
      </w:pPr>
    </w:p>
    <w:p>
      <w:pPr>
        <w:bidi w:val="0"/>
        <w:ind w:firstLine="496" w:firstLineChars="200"/>
        <w:rPr>
          <w:rFonts w:hint="eastAsia" w:ascii="宋体" w:hAnsi="宋体" w:eastAsia="宋体" w:cs="宋体"/>
          <w:color w:val="auto"/>
          <w:highlight w:val="none"/>
        </w:rPr>
      </w:pPr>
      <w:bookmarkStart w:id="259" w:name="_Toc25905"/>
      <w:r>
        <w:rPr>
          <w:rFonts w:hint="eastAsia" w:ascii="宋体" w:hAnsi="宋体" w:eastAsia="宋体" w:cs="宋体"/>
          <w:color w:val="auto"/>
          <w:spacing w:val="4"/>
          <w:szCs w:val="30"/>
          <w:highlight w:val="none"/>
        </w:rPr>
        <w:br w:type="page"/>
      </w:r>
      <w:bookmarkEnd w:id="259"/>
    </w:p>
    <w:p>
      <w:pPr>
        <w:spacing w:line="240" w:lineRule="auto"/>
        <w:jc w:val="both"/>
        <w:rPr>
          <w:rFonts w:hint="default" w:ascii="宋体" w:hAnsi="宋体" w:eastAsia="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lang w:eastAsia="zh-CN"/>
        </w:rPr>
        <w:t>附件</w:t>
      </w:r>
      <w:r>
        <w:rPr>
          <w:rFonts w:hint="eastAsia" w:ascii="宋体" w:hAnsi="宋体" w:eastAsia="宋体" w:cs="宋体"/>
          <w:b/>
          <w:bCs/>
          <w:i w:val="0"/>
          <w:iCs w:val="0"/>
          <w:caps w:val="0"/>
          <w:color w:val="auto"/>
          <w:spacing w:val="0"/>
          <w:sz w:val="32"/>
          <w:szCs w:val="32"/>
          <w:highlight w:val="none"/>
          <w:shd w:val="clear" w:fill="FFFFFF"/>
          <w:lang w:val="en-US" w:eastAsia="zh-CN"/>
        </w:rPr>
        <w:t>2：</w:t>
      </w:r>
    </w:p>
    <w:p>
      <w:pPr>
        <w:spacing w:line="240" w:lineRule="auto"/>
        <w:jc w:val="center"/>
        <w:rPr>
          <w:rFonts w:hint="eastAsia" w:ascii="宋体" w:hAnsi="宋体" w:cs="宋体"/>
          <w:b/>
          <w:bCs/>
          <w:i w:val="0"/>
          <w:iCs w:val="0"/>
          <w:caps w:val="0"/>
          <w:color w:val="auto"/>
          <w:spacing w:val="0"/>
          <w:sz w:val="32"/>
          <w:szCs w:val="32"/>
          <w:highlight w:val="none"/>
          <w:shd w:val="clear" w:fill="FFFFFF"/>
          <w:lang w:val="en-US" w:eastAsia="zh-CN"/>
        </w:rPr>
      </w:pPr>
      <w:r>
        <w:rPr>
          <w:rFonts w:hint="eastAsia" w:ascii="宋体" w:hAnsi="宋体" w:eastAsia="宋体" w:cs="宋体"/>
          <w:b/>
          <w:bCs/>
          <w:i w:val="0"/>
          <w:iCs w:val="0"/>
          <w:caps w:val="0"/>
          <w:color w:val="auto"/>
          <w:spacing w:val="0"/>
          <w:sz w:val="32"/>
          <w:szCs w:val="32"/>
          <w:highlight w:val="none"/>
          <w:shd w:val="clear" w:fill="FFFFFF"/>
        </w:rPr>
        <w:t>保证金缴纳凭证</w:t>
      </w:r>
    </w:p>
    <w:p>
      <w:pPr>
        <w:spacing w:line="240" w:lineRule="auto"/>
        <w:jc w:val="center"/>
        <w:rPr>
          <w:rFonts w:hint="eastAsia" w:ascii="宋体" w:hAnsi="宋体" w:cs="宋体"/>
          <w:b/>
          <w:bCs/>
          <w:i w:val="0"/>
          <w:iCs w:val="0"/>
          <w:caps w:val="0"/>
          <w:color w:val="auto"/>
          <w:spacing w:val="0"/>
          <w:sz w:val="32"/>
          <w:szCs w:val="32"/>
          <w:highlight w:val="none"/>
          <w:shd w:val="clear" w:fill="FFFFFF"/>
          <w:lang w:val="en-US" w:eastAsia="zh-CN"/>
        </w:rPr>
      </w:pPr>
    </w:p>
    <w:tbl>
      <w:tblPr>
        <w:tblStyle w:val="19"/>
        <w:tblW w:w="8700" w:type="dxa"/>
        <w:tblInd w:w="96" w:type="dxa"/>
        <w:shd w:val="clear" w:color="auto" w:fill="auto"/>
        <w:tblLayout w:type="fixed"/>
        <w:tblCellMar>
          <w:top w:w="0" w:type="dxa"/>
          <w:left w:w="108" w:type="dxa"/>
          <w:bottom w:w="0" w:type="dxa"/>
          <w:right w:w="108" w:type="dxa"/>
        </w:tblCellMar>
      </w:tblPr>
      <w:tblGrid>
        <w:gridCol w:w="2055"/>
        <w:gridCol w:w="6645"/>
      </w:tblGrid>
      <w:tr>
        <w:tblPrEx>
          <w:shd w:val="clear" w:color="auto" w:fill="auto"/>
          <w:tblCellMar>
            <w:top w:w="0" w:type="dxa"/>
            <w:left w:w="108" w:type="dxa"/>
            <w:bottom w:w="0" w:type="dxa"/>
            <w:right w:w="108" w:type="dxa"/>
          </w:tblCellMar>
        </w:tblPrEx>
        <w:trPr>
          <w:trHeight w:val="720"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投标保证金</w:t>
            </w:r>
          </w:p>
        </w:tc>
      </w:tr>
      <w:tr>
        <w:tblPrEx>
          <w:shd w:val="clear" w:color="auto" w:fill="auto"/>
          <w:tblCellMar>
            <w:top w:w="0" w:type="dxa"/>
            <w:left w:w="108" w:type="dxa"/>
            <w:bottom w:w="0" w:type="dxa"/>
            <w:right w:w="108" w:type="dxa"/>
          </w:tblCellMar>
        </w:tblPrEx>
        <w:trPr>
          <w:trHeight w:val="424"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项目名称：</w:t>
            </w:r>
          </w:p>
        </w:tc>
      </w:tr>
      <w:tr>
        <w:tblPrEx>
          <w:shd w:val="clear" w:color="auto" w:fill="auto"/>
          <w:tblCellMar>
            <w:top w:w="0" w:type="dxa"/>
            <w:left w:w="108" w:type="dxa"/>
            <w:bottom w:w="0" w:type="dxa"/>
            <w:right w:w="108" w:type="dxa"/>
          </w:tblCellMar>
        </w:tblPrEx>
        <w:trPr>
          <w:trHeight w:val="472"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auto"/>
                <w:kern w:val="0"/>
                <w:sz w:val="22"/>
                <w:szCs w:val="22"/>
                <w:highlight w:val="none"/>
                <w:u w:val="none"/>
                <w:lang w:val="en-US" w:eastAsia="zh-CN" w:bidi="ar"/>
              </w:rPr>
            </w:pPr>
            <w:r>
              <w:rPr>
                <w:rFonts w:hint="eastAsia" w:ascii="宋体" w:hAnsi="宋体" w:eastAsia="宋体" w:cs="宋体"/>
                <w:i w:val="0"/>
                <w:iCs w:val="0"/>
                <w:color w:val="auto"/>
                <w:kern w:val="0"/>
                <w:sz w:val="22"/>
                <w:szCs w:val="22"/>
                <w:highlight w:val="none"/>
                <w:u w:val="none"/>
                <w:lang w:val="en-US" w:eastAsia="zh-CN" w:bidi="ar"/>
              </w:rPr>
              <w:t>项目编号：</w:t>
            </w:r>
          </w:p>
        </w:tc>
      </w:tr>
      <w:tr>
        <w:tblPrEx>
          <w:shd w:val="clear" w:color="auto" w:fill="auto"/>
          <w:tblCellMar>
            <w:top w:w="0" w:type="dxa"/>
            <w:left w:w="108" w:type="dxa"/>
            <w:bottom w:w="0" w:type="dxa"/>
            <w:right w:w="108" w:type="dxa"/>
          </w:tblCellMar>
        </w:tblPrEx>
        <w:trPr>
          <w:trHeight w:val="386"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保证金缴纳金额</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开户行名称</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53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开户行账号</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470" w:hRule="atLeast"/>
        </w:trPr>
        <w:tc>
          <w:tcPr>
            <w:tcW w:w="2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缴纳日期</w:t>
            </w:r>
          </w:p>
        </w:tc>
        <w:tc>
          <w:tcPr>
            <w:tcW w:w="664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auto"/>
                <w:sz w:val="22"/>
                <w:szCs w:val="22"/>
                <w:highlight w:val="none"/>
                <w:u w:val="none"/>
              </w:rPr>
            </w:pPr>
          </w:p>
        </w:tc>
      </w:tr>
      <w:tr>
        <w:tblPrEx>
          <w:shd w:val="clear" w:color="auto" w:fill="auto"/>
          <w:tblCellMar>
            <w:top w:w="0" w:type="dxa"/>
            <w:left w:w="108" w:type="dxa"/>
            <w:bottom w:w="0" w:type="dxa"/>
            <w:right w:w="108" w:type="dxa"/>
          </w:tblCellMar>
        </w:tblPrEx>
        <w:trPr>
          <w:trHeight w:val="451"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auto"/>
                <w:sz w:val="22"/>
                <w:szCs w:val="22"/>
                <w:highlight w:val="none"/>
                <w:u w:val="none"/>
              </w:rPr>
            </w:pPr>
            <w:r>
              <w:rPr>
                <w:rFonts w:hint="eastAsia" w:ascii="宋体" w:hAnsi="宋体" w:eastAsia="宋体" w:cs="宋体"/>
                <w:i w:val="0"/>
                <w:iCs w:val="0"/>
                <w:color w:val="auto"/>
                <w:kern w:val="0"/>
                <w:sz w:val="22"/>
                <w:szCs w:val="22"/>
                <w:highlight w:val="none"/>
                <w:u w:val="none"/>
                <w:lang w:val="en-US" w:eastAsia="zh-CN" w:bidi="ar"/>
              </w:rPr>
              <w:t>附件：保证金缴纳凭证</w:t>
            </w:r>
          </w:p>
        </w:tc>
      </w:tr>
      <w:tr>
        <w:tblPrEx>
          <w:shd w:val="clear" w:color="auto" w:fill="auto"/>
          <w:tblCellMar>
            <w:top w:w="0" w:type="dxa"/>
            <w:left w:w="108" w:type="dxa"/>
            <w:bottom w:w="0" w:type="dxa"/>
            <w:right w:w="108" w:type="dxa"/>
          </w:tblCellMar>
        </w:tblPrEx>
        <w:trPr>
          <w:trHeight w:val="7475" w:hRule="atLeast"/>
        </w:trPr>
        <w:tc>
          <w:tcPr>
            <w:tcW w:w="87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auto"/>
                <w:sz w:val="22"/>
                <w:szCs w:val="22"/>
                <w:highlight w:val="none"/>
                <w:u w:val="none"/>
              </w:rPr>
            </w:pPr>
          </w:p>
        </w:tc>
      </w:tr>
    </w:tbl>
    <w:p>
      <w:pPr>
        <w:rPr>
          <w:rFonts w:hint="eastAsia" w:hAnsi="宋体" w:cs="宋体"/>
          <w:color w:val="auto"/>
          <w:spacing w:val="4"/>
          <w:szCs w:val="30"/>
          <w:highlight w:val="none"/>
        </w:rPr>
      </w:pPr>
      <w:r>
        <w:rPr>
          <w:rFonts w:hint="eastAsia" w:hAnsi="宋体" w:cs="宋体"/>
          <w:color w:val="auto"/>
          <w:spacing w:val="4"/>
          <w:szCs w:val="30"/>
          <w:highlight w:val="none"/>
        </w:rPr>
        <w:br w:type="page"/>
      </w:r>
    </w:p>
    <w:p>
      <w:pPr>
        <w:widowControl/>
        <w:spacing w:line="360" w:lineRule="auto"/>
        <w:ind w:left="1" w:firstLine="281" w:firstLineChars="100"/>
        <w:rPr>
          <w:rFonts w:hint="eastAsia" w:ascii="宋体" w:hAnsi="宋体" w:eastAsia="宋体" w:cs="宋体"/>
          <w:b/>
          <w:color w:val="auto"/>
          <w:kern w:val="0"/>
          <w:sz w:val="28"/>
          <w:szCs w:val="28"/>
          <w:highlight w:val="none"/>
        </w:rPr>
      </w:pPr>
    </w:p>
    <w:p>
      <w:pPr>
        <w:widowControl/>
        <w:spacing w:line="360" w:lineRule="auto"/>
        <w:ind w:left="1" w:firstLine="281" w:firstLineChars="100"/>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参加政府采购活动前3年内在经营活动中没有重大违法纪录的书面声明</w:t>
      </w:r>
    </w:p>
    <w:p>
      <w:pPr>
        <w:widowControl/>
        <w:spacing w:line="360" w:lineRule="auto"/>
        <w:ind w:left="1"/>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（格式）</w:t>
      </w:r>
    </w:p>
    <w:p>
      <w:pPr>
        <w:pStyle w:val="17"/>
        <w:wordWrap w:val="0"/>
        <w:spacing w:beforeAutospacing="0" w:afterAutospacing="0" w:line="560" w:lineRule="exact"/>
        <w:rPr>
          <w:rFonts w:hint="eastAsia" w:ascii="宋体" w:hAnsi="宋体" w:eastAsia="宋体" w:cs="宋体"/>
          <w:color w:val="auto"/>
          <w:highlight w:val="none"/>
          <w:u w:val="single"/>
          <w:shd w:val="clear" w:color="auto" w:fill="FFFFFF"/>
        </w:rPr>
      </w:pPr>
      <w:r>
        <w:rPr>
          <w:rFonts w:hint="eastAsia" w:ascii="宋体" w:hAnsi="宋体" w:eastAsia="宋体" w:cs="宋体"/>
          <w:color w:val="auto"/>
          <w:highlight w:val="none"/>
          <w:u w:val="single"/>
          <w:shd w:val="clear" w:color="auto" w:fill="FFFFFF"/>
        </w:rPr>
        <w:t xml:space="preserve">      （采购人）           ：</w:t>
      </w:r>
    </w:p>
    <w:p>
      <w:pPr>
        <w:pStyle w:val="17"/>
        <w:wordWrap w:val="0"/>
        <w:spacing w:beforeAutospacing="0" w:afterAutospacing="0" w:line="560" w:lineRule="exact"/>
        <w:ind w:firstLine="64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我方作为项目名称</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（项目编号：</w:t>
      </w:r>
      <w:r>
        <w:rPr>
          <w:rFonts w:hint="eastAsia" w:ascii="宋体" w:hAnsi="宋体" w:eastAsia="宋体" w:cs="宋体"/>
          <w:i/>
          <w:iCs/>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 xml:space="preserve">）的供应商，在此郑重声明： </w:t>
      </w:r>
    </w:p>
    <w:p>
      <w:pPr>
        <w:pStyle w:val="17"/>
        <w:wordWrap w:val="0"/>
        <w:spacing w:beforeAutospacing="0" w:afterAutospacing="0" w:line="5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在参加本次政府采购活动前3年内的经营活动中</w:t>
      </w:r>
      <w:r>
        <w:rPr>
          <w:rFonts w:hint="eastAsia" w:ascii="宋体" w:hAnsi="宋体" w:eastAsia="宋体" w:cs="宋体"/>
          <w:color w:val="auto"/>
          <w:highlight w:val="none"/>
          <w:u w:val="single"/>
          <w:shd w:val="clear" w:color="auto" w:fill="FFFFFF"/>
        </w:rPr>
        <w:t xml:space="preserve">          </w:t>
      </w:r>
      <w:r>
        <w:rPr>
          <w:rFonts w:hint="eastAsia" w:ascii="宋体" w:hAnsi="宋体" w:eastAsia="宋体" w:cs="宋体"/>
          <w:color w:val="auto"/>
          <w:highlight w:val="none"/>
          <w:shd w:val="clear" w:color="auto" w:fill="FFFFFF"/>
        </w:rPr>
        <w:t xml:space="preserve">（填“没有”或“有”）重大违法记录。供应商在参加政府采购活动前3年内因违法经营被禁止在一定期限内参加政府采购活动，期限届满的，可以参加政府采购活动，但应提供期限届满的证明材料。 </w:t>
      </w:r>
    </w:p>
    <w:p>
      <w:pPr>
        <w:pStyle w:val="17"/>
        <w:wordWrap w:val="0"/>
        <w:spacing w:beforeAutospacing="0" w:afterAutospacing="0" w:line="560" w:lineRule="exact"/>
        <w:ind w:firstLine="420"/>
        <w:rPr>
          <w:rFonts w:hint="eastAsia" w:ascii="宋体" w:hAnsi="宋体" w:eastAsia="宋体" w:cs="宋体"/>
          <w:color w:val="auto"/>
          <w:highlight w:val="none"/>
        </w:rPr>
      </w:pPr>
      <w:r>
        <w:rPr>
          <w:rFonts w:hint="eastAsia" w:ascii="宋体" w:hAnsi="宋体" w:eastAsia="宋体" w:cs="宋体"/>
          <w:color w:val="auto"/>
          <w:highlight w:val="none"/>
          <w:shd w:val="clear" w:color="auto" w:fill="FFFFFF"/>
        </w:rPr>
        <w:t xml:space="preserve">如有不实，我方将无条件地退出本项目的采购活动，并遵照《政府采购法》有关“提供虚假材料的规定”接受处罚。 </w:t>
      </w:r>
    </w:p>
    <w:p>
      <w:pPr>
        <w:pStyle w:val="17"/>
        <w:wordWrap w:val="0"/>
        <w:spacing w:beforeAutospacing="0" w:afterAutospacing="0" w:line="560" w:lineRule="exact"/>
        <w:ind w:firstLine="420"/>
        <w:rPr>
          <w:rFonts w:hint="eastAsia" w:ascii="宋体" w:hAnsi="宋体" w:eastAsia="宋体" w:cs="宋体"/>
          <w:color w:val="auto"/>
          <w:highlight w:val="none"/>
          <w:shd w:val="clear" w:color="auto" w:fill="FFFFFF"/>
        </w:rPr>
      </w:pPr>
      <w:r>
        <w:rPr>
          <w:rFonts w:hint="eastAsia" w:ascii="宋体" w:hAnsi="宋体" w:eastAsia="宋体" w:cs="宋体"/>
          <w:color w:val="auto"/>
          <w:highlight w:val="none"/>
          <w:shd w:val="clear" w:color="auto" w:fill="FFFFFF"/>
        </w:rPr>
        <w:t>特此声明！</w:t>
      </w:r>
    </w:p>
    <w:p>
      <w:pPr>
        <w:pStyle w:val="17"/>
        <w:wordWrap w:val="0"/>
        <w:spacing w:beforeAutospacing="0" w:afterAutospacing="0" w:line="560" w:lineRule="exact"/>
        <w:ind w:firstLine="420"/>
        <w:rPr>
          <w:rFonts w:hint="eastAsia" w:ascii="宋体" w:hAnsi="宋体" w:eastAsia="宋体" w:cs="宋体"/>
          <w:color w:val="auto"/>
          <w:highlight w:val="none"/>
          <w:shd w:val="clear" w:color="auto" w:fill="FFFFFF"/>
        </w:rPr>
      </w:pPr>
    </w:p>
    <w:p>
      <w:pPr>
        <w:spacing w:line="480" w:lineRule="auto"/>
        <w:ind w:firstLine="3360" w:firstLineChars="1400"/>
        <w:rPr>
          <w:rFonts w:hint="eastAsia" w:ascii="宋体" w:hAnsi="宋体" w:eastAsia="宋体" w:cs="宋体"/>
          <w:color w:val="auto"/>
          <w:sz w:val="24"/>
          <w:highlight w:val="none"/>
        </w:rPr>
      </w:pPr>
      <w:r>
        <w:rPr>
          <w:rFonts w:hint="eastAsia" w:ascii="宋体" w:hAnsi="宋体" w:cs="宋体"/>
          <w:color w:val="auto"/>
          <w:sz w:val="24"/>
          <w:highlight w:val="none"/>
          <w:lang w:val="en-US" w:eastAsia="zh-CN"/>
        </w:rPr>
        <w:t>投标人</w:t>
      </w:r>
      <w:r>
        <w:rPr>
          <w:rFonts w:hint="eastAsia" w:ascii="宋体" w:hAnsi="宋体" w:eastAsia="宋体" w:cs="宋体"/>
          <w:color w:val="auto"/>
          <w:sz w:val="24"/>
          <w:highlight w:val="none"/>
        </w:rPr>
        <w:t>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pStyle w:val="47"/>
        <w:spacing w:before="156" w:beforeLines="50"/>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r>
        <w:rPr>
          <w:rFonts w:hint="eastAsia" w:asciiTheme="minorEastAsia" w:hAnsiTheme="minorEastAsia" w:eastAsiaTheme="minorEastAsia" w:cstheme="minorEastAsia"/>
          <w:b/>
          <w:color w:val="auto"/>
          <w:sz w:val="28"/>
          <w:szCs w:val="28"/>
          <w:highlight w:val="none"/>
        </w:rPr>
        <w:br w:type="page"/>
      </w:r>
    </w:p>
    <w:p>
      <w:pPr>
        <w:adjustRightInd w:val="0"/>
        <w:snapToGrid w:val="0"/>
        <w:spacing w:line="360" w:lineRule="auto"/>
        <w:jc w:val="center"/>
        <w:rPr>
          <w:rFonts w:hint="eastAsia" w:asciiTheme="minorEastAsia" w:hAnsiTheme="minorEastAsia" w:eastAsiaTheme="minorEastAsia" w:cstheme="minorEastAsia"/>
          <w:b/>
          <w:color w:val="auto"/>
          <w:sz w:val="28"/>
          <w:szCs w:val="28"/>
          <w:highlight w:val="none"/>
        </w:rPr>
      </w:pPr>
    </w:p>
    <w:p>
      <w:pPr>
        <w:adjustRightInd w:val="0"/>
        <w:snapToGrid w:val="0"/>
        <w:spacing w:line="360" w:lineRule="auto"/>
        <w:jc w:val="cente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具有履行本合同所必需的设备和专业技术能力的书面声明</w:t>
      </w:r>
    </w:p>
    <w:p>
      <w:pPr>
        <w:widowControl/>
        <w:spacing w:line="360" w:lineRule="auto"/>
        <w:ind w:left="1"/>
        <w:jc w:val="center"/>
        <w:rPr>
          <w:rFonts w:hint="eastAsia" w:ascii="宋体" w:hAnsi="宋体" w:eastAsia="宋体" w:cs="宋体"/>
          <w:b/>
          <w:color w:val="auto"/>
          <w:kern w:val="0"/>
          <w:sz w:val="28"/>
          <w:szCs w:val="28"/>
          <w:highlight w:val="none"/>
        </w:rPr>
      </w:pPr>
      <w:r>
        <w:rPr>
          <w:rFonts w:hint="eastAsia" w:ascii="宋体" w:hAnsi="宋体" w:eastAsia="宋体" w:cs="宋体"/>
          <w:b/>
          <w:color w:val="auto"/>
          <w:kern w:val="0"/>
          <w:sz w:val="28"/>
          <w:szCs w:val="28"/>
          <w:highlight w:val="none"/>
        </w:rPr>
        <w:t>（格式）</w:t>
      </w:r>
    </w:p>
    <w:p>
      <w:pPr>
        <w:bidi w:val="0"/>
        <w:rPr>
          <w:rFonts w:hint="eastAsia"/>
          <w:color w:val="auto"/>
          <w:highlight w:val="none"/>
        </w:rPr>
      </w:pPr>
    </w:p>
    <w:p>
      <w:pPr>
        <w:pStyle w:val="12"/>
        <w:adjustRightInd w:val="0"/>
        <w:snapToGrid w:val="0"/>
        <w:spacing w:line="720" w:lineRule="exact"/>
        <w:jc w:val="center"/>
        <w:rPr>
          <w:rFonts w:hint="eastAsia" w:ascii="宋体" w:hAnsi="宋体" w:eastAsia="宋体" w:cs="宋体"/>
          <w:b/>
          <w:color w:val="auto"/>
          <w:sz w:val="28"/>
          <w:szCs w:val="28"/>
          <w:highlight w:val="none"/>
        </w:rPr>
      </w:pPr>
    </w:p>
    <w:p>
      <w:pPr>
        <w:spacing w:line="720" w:lineRule="exact"/>
        <w:rPr>
          <w:rFonts w:hint="eastAsia" w:ascii="宋体" w:hAnsi="宋体" w:eastAsia="宋体" w:cs="宋体"/>
          <w:color w:val="auto"/>
          <w:spacing w:val="4"/>
          <w:sz w:val="24"/>
          <w:highlight w:val="none"/>
          <w:u w:val="single"/>
        </w:rPr>
      </w:pPr>
      <w:r>
        <w:rPr>
          <w:rFonts w:hint="eastAsia" w:ascii="宋体" w:hAnsi="宋体" w:eastAsia="宋体" w:cs="宋体"/>
          <w:color w:val="auto"/>
          <w:spacing w:val="4"/>
          <w:sz w:val="24"/>
          <w:highlight w:val="none"/>
          <w:u w:val="single"/>
        </w:rPr>
        <w:t xml:space="preserve">     （采购人名称）    ：</w:t>
      </w:r>
    </w:p>
    <w:p>
      <w:pPr>
        <w:pStyle w:val="12"/>
        <w:adjustRightInd w:val="0"/>
        <w:snapToGrid w:val="0"/>
        <w:spacing w:line="720" w:lineRule="exact"/>
        <w:rPr>
          <w:rFonts w:hint="eastAsia" w:ascii="宋体" w:hAnsi="宋体" w:eastAsia="宋体" w:cs="宋体"/>
          <w:color w:val="auto"/>
          <w:spacing w:val="4"/>
          <w:sz w:val="24"/>
          <w:szCs w:val="24"/>
          <w:highlight w:val="none"/>
          <w:lang w:eastAsia="zh-CN"/>
        </w:rPr>
      </w:pPr>
      <w:r>
        <w:rPr>
          <w:rFonts w:hint="eastAsia" w:ascii="宋体" w:hAnsi="宋体" w:eastAsia="宋体" w:cs="宋体"/>
          <w:color w:val="auto"/>
          <w:spacing w:val="4"/>
          <w:sz w:val="24"/>
          <w:szCs w:val="24"/>
          <w:highlight w:val="none"/>
        </w:rPr>
        <w:t xml:space="preserve">   </w:t>
      </w:r>
      <w:r>
        <w:rPr>
          <w:rFonts w:hint="eastAsia" w:ascii="宋体" w:hAnsi="宋体" w:eastAsia="宋体" w:cs="宋体"/>
          <w:color w:val="auto"/>
          <w:spacing w:val="4"/>
          <w:sz w:val="24"/>
          <w:szCs w:val="24"/>
          <w:highlight w:val="none"/>
          <w:u w:val="single"/>
        </w:rPr>
        <w:t xml:space="preserve">      （供应商名称）    </w:t>
      </w:r>
      <w:r>
        <w:rPr>
          <w:rFonts w:hint="eastAsia" w:ascii="宋体" w:hAnsi="宋体" w:eastAsia="宋体" w:cs="宋体"/>
          <w:color w:val="auto"/>
          <w:spacing w:val="4"/>
          <w:sz w:val="24"/>
          <w:szCs w:val="24"/>
          <w:highlight w:val="none"/>
        </w:rPr>
        <w:t xml:space="preserve"> 于</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年</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月</w:t>
      </w:r>
      <w:r>
        <w:rPr>
          <w:rFonts w:hint="eastAsia" w:ascii="宋体" w:hAnsi="宋体" w:eastAsia="宋体" w:cs="宋体"/>
          <w:color w:val="auto"/>
          <w:spacing w:val="4"/>
          <w:sz w:val="24"/>
          <w:szCs w:val="24"/>
          <w:highlight w:val="none"/>
          <w:u w:val="single"/>
        </w:rPr>
        <w:t xml:space="preserve">   </w:t>
      </w:r>
      <w:r>
        <w:rPr>
          <w:rFonts w:hint="eastAsia" w:ascii="宋体" w:hAnsi="宋体" w:eastAsia="宋体" w:cs="宋体"/>
          <w:color w:val="auto"/>
          <w:spacing w:val="4"/>
          <w:sz w:val="24"/>
          <w:szCs w:val="24"/>
          <w:highlight w:val="none"/>
        </w:rPr>
        <w:t>日在中华人民共和国境内</w:t>
      </w:r>
      <w:r>
        <w:rPr>
          <w:rFonts w:hint="eastAsia" w:ascii="宋体" w:hAnsi="宋体" w:eastAsia="宋体" w:cs="宋体"/>
          <w:color w:val="auto"/>
          <w:spacing w:val="4"/>
          <w:sz w:val="24"/>
          <w:szCs w:val="24"/>
          <w:highlight w:val="none"/>
          <w:u w:val="single"/>
        </w:rPr>
        <w:t xml:space="preserve">               （详细注册地址）     </w:t>
      </w:r>
      <w:r>
        <w:rPr>
          <w:rFonts w:hint="eastAsia" w:ascii="宋体" w:hAnsi="宋体" w:eastAsia="宋体" w:cs="宋体"/>
          <w:color w:val="auto"/>
          <w:spacing w:val="4"/>
          <w:sz w:val="24"/>
          <w:szCs w:val="24"/>
          <w:highlight w:val="none"/>
        </w:rPr>
        <w:t>合法注册并经营，公司主营业务为</w:t>
      </w:r>
      <w:r>
        <w:rPr>
          <w:rFonts w:hint="eastAsia" w:ascii="宋体" w:hAnsi="宋体" w:eastAsia="宋体" w:cs="宋体"/>
          <w:color w:val="auto"/>
          <w:spacing w:val="4"/>
          <w:sz w:val="24"/>
          <w:szCs w:val="24"/>
          <w:highlight w:val="none"/>
          <w:u w:val="single"/>
        </w:rPr>
        <w:t xml:space="preserve">                        </w:t>
      </w:r>
      <w:r>
        <w:rPr>
          <w:rFonts w:hint="eastAsia" w:hAnsi="宋体" w:cs="宋体"/>
          <w:color w:val="auto"/>
          <w:spacing w:val="4"/>
          <w:sz w:val="24"/>
          <w:szCs w:val="24"/>
          <w:highlight w:val="none"/>
          <w:u w:val="none"/>
          <w:lang w:eastAsia="zh-CN"/>
        </w:rPr>
        <w:t>。</w:t>
      </w:r>
    </w:p>
    <w:p>
      <w:pPr>
        <w:pStyle w:val="12"/>
        <w:adjustRightInd w:val="0"/>
        <w:snapToGrid w:val="0"/>
        <w:spacing w:line="720" w:lineRule="exact"/>
        <w:ind w:firstLine="550" w:firstLineChars="222"/>
        <w:rPr>
          <w:rFonts w:hint="eastAsia" w:ascii="宋体" w:hAnsi="宋体" w:eastAsia="宋体" w:cs="宋体"/>
          <w:color w:val="auto"/>
          <w:spacing w:val="4"/>
          <w:sz w:val="24"/>
          <w:szCs w:val="24"/>
          <w:highlight w:val="none"/>
        </w:rPr>
      </w:pPr>
      <w:r>
        <w:rPr>
          <w:rFonts w:hint="eastAsia" w:ascii="宋体" w:hAnsi="宋体" w:eastAsia="宋体" w:cs="宋体"/>
          <w:color w:val="auto"/>
          <w:spacing w:val="4"/>
          <w:sz w:val="24"/>
          <w:szCs w:val="24"/>
          <w:highlight w:val="none"/>
        </w:rPr>
        <w:t>我公司郑重承诺，我公司具有履行本合同所必需的设备和专业技术能力，合同履约中将无条件增加相关设备、人员，直至满足项目需求。</w:t>
      </w:r>
    </w:p>
    <w:p>
      <w:pPr>
        <w:pStyle w:val="12"/>
        <w:adjustRightInd w:val="0"/>
        <w:snapToGrid w:val="0"/>
        <w:spacing w:line="720" w:lineRule="exact"/>
        <w:rPr>
          <w:rFonts w:hint="eastAsia" w:ascii="宋体" w:hAnsi="宋体" w:eastAsia="宋体" w:cs="宋体"/>
          <w:color w:val="auto"/>
          <w:spacing w:val="4"/>
          <w:sz w:val="24"/>
          <w:szCs w:val="24"/>
          <w:highlight w:val="none"/>
        </w:rPr>
      </w:pPr>
    </w:p>
    <w:p>
      <w:pPr>
        <w:pStyle w:val="12"/>
        <w:adjustRightInd w:val="0"/>
        <w:snapToGrid w:val="0"/>
        <w:spacing w:line="720" w:lineRule="exact"/>
        <w:rPr>
          <w:rFonts w:hint="eastAsia" w:ascii="宋体" w:hAnsi="宋体" w:eastAsia="宋体" w:cs="宋体"/>
          <w:color w:val="auto"/>
          <w:spacing w:val="4"/>
          <w:sz w:val="24"/>
          <w:szCs w:val="24"/>
          <w:highlight w:val="none"/>
        </w:rPr>
      </w:pPr>
    </w:p>
    <w:p>
      <w:pPr>
        <w:pStyle w:val="12"/>
        <w:adjustRightInd w:val="0"/>
        <w:snapToGrid w:val="0"/>
        <w:spacing w:line="720" w:lineRule="exact"/>
        <w:rPr>
          <w:rFonts w:hint="eastAsia" w:ascii="宋体" w:hAnsi="宋体" w:eastAsia="宋体" w:cs="宋体"/>
          <w:color w:val="auto"/>
          <w:spacing w:val="4"/>
          <w:sz w:val="24"/>
          <w:szCs w:val="24"/>
          <w:highlight w:val="none"/>
        </w:rPr>
      </w:pPr>
    </w:p>
    <w:p>
      <w:pPr>
        <w:spacing w:line="480" w:lineRule="auto"/>
        <w:ind w:firstLine="3360" w:firstLineChars="140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供应商名称：</w:t>
      </w:r>
      <w:r>
        <w:rPr>
          <w:rFonts w:hint="eastAsia" w:ascii="宋体" w:hAnsi="宋体" w:eastAsia="宋体" w:cs="宋体"/>
          <w:color w:val="auto"/>
          <w:sz w:val="24"/>
          <w:highlight w:val="none"/>
          <w:u w:val="single"/>
        </w:rPr>
        <w:t xml:space="preserve">               </w:t>
      </w:r>
      <w:r>
        <w:rPr>
          <w:rFonts w:hint="eastAsia" w:ascii="宋体" w:hAnsi="宋体" w:eastAsia="宋体" w:cs="宋体"/>
          <w:color w:val="auto"/>
          <w:sz w:val="24"/>
          <w:highlight w:val="none"/>
        </w:rPr>
        <w:t>（盖章）</w:t>
      </w:r>
    </w:p>
    <w:p>
      <w:pPr>
        <w:pStyle w:val="47"/>
        <w:spacing w:before="156" w:beforeLines="50"/>
        <w:ind w:firstLine="3360" w:firstLineChars="14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        期：</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月</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日</w:t>
      </w:r>
    </w:p>
    <w:p>
      <w:pPr>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br w:type="page"/>
      </w:r>
    </w:p>
    <w:p>
      <w:pPr>
        <w:ind w:firstLine="562" w:firstLineChars="200"/>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附件</w:t>
      </w:r>
      <w:r>
        <w:rPr>
          <w:rFonts w:hint="eastAsia" w:hAnsi="宋体" w:cs="宋体"/>
          <w:b/>
          <w:color w:val="auto"/>
          <w:sz w:val="28"/>
          <w:szCs w:val="28"/>
          <w:highlight w:val="none"/>
          <w:lang w:val="en-US" w:eastAsia="zh-CN"/>
        </w:rPr>
        <w:t>3</w:t>
      </w:r>
      <w:r>
        <w:rPr>
          <w:rFonts w:hint="eastAsia" w:ascii="宋体" w:hAnsi="宋体" w:eastAsia="宋体" w:cs="宋体"/>
          <w:b/>
          <w:color w:val="auto"/>
          <w:sz w:val="28"/>
          <w:szCs w:val="28"/>
          <w:highlight w:val="none"/>
        </w:rPr>
        <w:t>：</w:t>
      </w:r>
    </w:p>
    <w:p>
      <w:pPr>
        <w:spacing w:before="100" w:beforeAutospacing="1" w:after="166" w:afterLines="50" w:line="360" w:lineRule="auto"/>
        <w:jc w:val="center"/>
        <w:rPr>
          <w:rFonts w:hint="eastAsia" w:ascii="宋体" w:hAnsi="宋体" w:eastAsia="宋体" w:cs="宋体"/>
          <w:b/>
          <w:color w:val="auto"/>
          <w:sz w:val="28"/>
          <w:szCs w:val="28"/>
          <w:highlight w:val="none"/>
        </w:rPr>
      </w:pPr>
    </w:p>
    <w:p>
      <w:pPr>
        <w:spacing w:line="588" w:lineRule="exact"/>
        <w:jc w:val="center"/>
        <w:rPr>
          <w:rFonts w:hAnsi="宋体" w:cs="宋体"/>
          <w:b/>
          <w:color w:val="auto"/>
          <w:spacing w:val="6"/>
          <w:sz w:val="32"/>
          <w:szCs w:val="32"/>
          <w:highlight w:val="none"/>
        </w:rPr>
      </w:pPr>
      <w:r>
        <w:rPr>
          <w:rFonts w:hint="eastAsia" w:hAnsi="宋体" w:cs="宋体"/>
          <w:b/>
          <w:color w:val="auto"/>
          <w:spacing w:val="6"/>
          <w:sz w:val="32"/>
          <w:szCs w:val="32"/>
          <w:highlight w:val="none"/>
        </w:rPr>
        <w:t>中小企业声明函</w:t>
      </w:r>
    </w:p>
    <w:p>
      <w:pPr>
        <w:pStyle w:val="2"/>
        <w:spacing w:before="2"/>
        <w:rPr>
          <w:rFonts w:ascii="宋体"/>
          <w:b/>
          <w:color w:val="auto"/>
          <w:sz w:val="24"/>
          <w:highlight w:val="none"/>
        </w:rPr>
      </w:pP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本公司（联合体）郑重声明，根据《政府采购促进中小企业发展管理办法》（财库﹝2020﹞46 号）的规定，本公司（联合体）参加（</w:t>
      </w:r>
      <w:r>
        <w:rPr>
          <w:rFonts w:hint="eastAsia" w:ascii="宋体" w:hAnsi="宋体" w:eastAsia="宋体" w:cs="宋体"/>
          <w:color w:val="auto"/>
          <w:spacing w:val="6"/>
          <w:sz w:val="24"/>
          <w:szCs w:val="24"/>
          <w:highlight w:val="none"/>
          <w:u w:val="single"/>
        </w:rPr>
        <w:t xml:space="preserve">单位名称   </w:t>
      </w:r>
      <w:r>
        <w:rPr>
          <w:rFonts w:hint="eastAsia" w:ascii="宋体" w:hAnsi="宋体" w:eastAsia="宋体" w:cs="宋体"/>
          <w:color w:val="auto"/>
          <w:spacing w:val="6"/>
          <w:sz w:val="24"/>
          <w:szCs w:val="24"/>
          <w:highlight w:val="none"/>
        </w:rPr>
        <w:t>）的（</w:t>
      </w:r>
      <w:r>
        <w:rPr>
          <w:rFonts w:hint="eastAsia" w:ascii="宋体" w:hAnsi="宋体" w:eastAsia="宋体" w:cs="宋体"/>
          <w:color w:val="auto"/>
          <w:spacing w:val="6"/>
          <w:sz w:val="24"/>
          <w:szCs w:val="24"/>
          <w:highlight w:val="none"/>
          <w:u w:val="single"/>
        </w:rPr>
        <w:t>项目名称</w:t>
      </w:r>
      <w:r>
        <w:rPr>
          <w:rFonts w:hint="eastAsia" w:ascii="宋体" w:hAnsi="宋体" w:eastAsia="宋体" w:cs="宋体"/>
          <w:color w:val="auto"/>
          <w:spacing w:val="6"/>
          <w:sz w:val="24"/>
          <w:szCs w:val="24"/>
          <w:highlight w:val="none"/>
        </w:rPr>
        <w:t>）采购活动，提供的货物全部由符合政策要求的中小企业制造。相关企业（含联合体中的中小企业、签订分包意向协议的中小企业）的具体情况如下：</w:t>
      </w:r>
    </w:p>
    <w:p>
      <w:pPr>
        <w:pStyle w:val="25"/>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none"/>
        </w:rPr>
      </w:pPr>
      <w:r>
        <w:rPr>
          <w:rFonts w:hint="eastAsia" w:ascii="宋体" w:hAnsi="宋体" w:eastAsia="宋体" w:cs="宋体"/>
          <w:color w:val="auto"/>
          <w:spacing w:val="6"/>
          <w:kern w:val="2"/>
          <w:sz w:val="24"/>
          <w:szCs w:val="24"/>
          <w:highlight w:val="none"/>
          <w:u w:val="none"/>
        </w:rPr>
        <w:t>1.</w:t>
      </w:r>
      <w:r>
        <w:rPr>
          <w:rFonts w:hint="eastAsia" w:ascii="宋体" w:hAnsi="宋体" w:eastAsia="宋体" w:cs="宋体"/>
          <w:color w:val="auto"/>
          <w:spacing w:val="6"/>
          <w:kern w:val="2"/>
          <w:sz w:val="24"/>
          <w:szCs w:val="24"/>
          <w:highlight w:val="none"/>
          <w:u w:val="single"/>
        </w:rPr>
        <w:t>（ 标 的 名 称 ）</w:t>
      </w:r>
      <w:r>
        <w:rPr>
          <w:rFonts w:hint="eastAsia" w:ascii="宋体" w:hAnsi="宋体" w:eastAsia="宋体" w:cs="宋体"/>
          <w:color w:val="auto"/>
          <w:spacing w:val="6"/>
          <w:kern w:val="2"/>
          <w:sz w:val="24"/>
          <w:szCs w:val="24"/>
          <w:highlight w:val="none"/>
          <w:u w:val="none"/>
        </w:rPr>
        <w:t>，属于</w:t>
      </w:r>
      <w:r>
        <w:rPr>
          <w:rFonts w:hint="eastAsia" w:ascii="宋体" w:hAnsi="宋体" w:eastAsia="宋体" w:cs="宋体"/>
          <w:color w:val="auto"/>
          <w:spacing w:val="6"/>
          <w:kern w:val="2"/>
          <w:sz w:val="24"/>
          <w:szCs w:val="24"/>
          <w:highlight w:val="none"/>
          <w:u w:val="single"/>
        </w:rPr>
        <w:t>（ 采 购 文 件 中 明 确 的 所 属 行 业 ）行业</w:t>
      </w:r>
      <w:r>
        <w:rPr>
          <w:rFonts w:hint="eastAsia" w:ascii="宋体" w:hAnsi="宋体" w:eastAsia="宋体" w:cs="宋体"/>
          <w:color w:val="auto"/>
          <w:spacing w:val="6"/>
          <w:kern w:val="2"/>
          <w:sz w:val="24"/>
          <w:szCs w:val="24"/>
          <w:highlight w:val="none"/>
          <w:u w:val="none"/>
        </w:rPr>
        <w:t>；制造商为</w:t>
      </w:r>
      <w:r>
        <w:rPr>
          <w:rFonts w:hint="eastAsia" w:ascii="宋体" w:hAnsi="宋体" w:eastAsia="宋体" w:cs="宋体"/>
          <w:color w:val="auto"/>
          <w:spacing w:val="6"/>
          <w:kern w:val="2"/>
          <w:sz w:val="24"/>
          <w:szCs w:val="24"/>
          <w:highlight w:val="none"/>
          <w:u w:val="single"/>
        </w:rPr>
        <w:t>（企业名称）</w:t>
      </w:r>
      <w:r>
        <w:rPr>
          <w:rFonts w:hint="eastAsia" w:ascii="宋体" w:hAnsi="宋体" w:eastAsia="宋体" w:cs="宋体"/>
          <w:color w:val="auto"/>
          <w:spacing w:val="6"/>
          <w:kern w:val="2"/>
          <w:sz w:val="24"/>
          <w:szCs w:val="24"/>
          <w:highlight w:val="none"/>
          <w:u w:val="none"/>
        </w:rPr>
        <w:t>，从业人员</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人，营业收入为</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万元，资产总额为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w:t>
      </w:r>
      <w:r>
        <w:rPr>
          <w:rFonts w:hint="eastAsia" w:ascii="宋体" w:hAnsi="宋体" w:eastAsia="宋体" w:cs="宋体"/>
          <w:color w:val="auto"/>
          <w:spacing w:val="6"/>
          <w:kern w:val="2"/>
          <w:sz w:val="24"/>
          <w:szCs w:val="24"/>
          <w:highlight w:val="none"/>
          <w:u w:val="single"/>
        </w:rPr>
        <w:t>属于（中型企业、小型企业、微型企业）</w:t>
      </w:r>
      <w:r>
        <w:rPr>
          <w:rFonts w:hint="eastAsia" w:ascii="宋体" w:hAnsi="宋体" w:eastAsia="宋体" w:cs="宋体"/>
          <w:color w:val="auto"/>
          <w:spacing w:val="6"/>
          <w:kern w:val="2"/>
          <w:sz w:val="24"/>
          <w:szCs w:val="24"/>
          <w:highlight w:val="none"/>
          <w:u w:val="none"/>
        </w:rPr>
        <w:t>；</w:t>
      </w:r>
    </w:p>
    <w:p>
      <w:pPr>
        <w:pStyle w:val="25"/>
        <w:tabs>
          <w:tab w:val="left" w:pos="1183"/>
          <w:tab w:val="left" w:pos="1484"/>
          <w:tab w:val="left" w:pos="4662"/>
          <w:tab w:val="left" w:pos="6903"/>
        </w:tabs>
        <w:spacing w:line="360" w:lineRule="auto"/>
        <w:ind w:firstLine="444"/>
        <w:jc w:val="left"/>
        <w:rPr>
          <w:rFonts w:hint="eastAsia" w:ascii="宋体" w:hAnsi="宋体" w:eastAsia="宋体" w:cs="宋体"/>
          <w:color w:val="auto"/>
          <w:spacing w:val="6"/>
          <w:kern w:val="2"/>
          <w:sz w:val="24"/>
          <w:szCs w:val="24"/>
          <w:highlight w:val="none"/>
          <w:u w:val="none"/>
        </w:rPr>
      </w:pPr>
      <w:r>
        <w:rPr>
          <w:rFonts w:hint="eastAsia" w:ascii="宋体" w:hAnsi="宋体" w:eastAsia="宋体" w:cs="宋体"/>
          <w:color w:val="auto"/>
          <w:spacing w:val="6"/>
          <w:kern w:val="2"/>
          <w:sz w:val="24"/>
          <w:szCs w:val="24"/>
          <w:highlight w:val="none"/>
          <w:u w:val="none"/>
          <w:lang w:val="en-US" w:eastAsia="zh-CN"/>
        </w:rPr>
        <w:t>2.</w:t>
      </w:r>
      <w:r>
        <w:rPr>
          <w:rFonts w:hint="eastAsia" w:ascii="宋体" w:hAnsi="宋体" w:eastAsia="宋体" w:cs="宋体"/>
          <w:color w:val="auto"/>
          <w:spacing w:val="6"/>
          <w:kern w:val="2"/>
          <w:sz w:val="24"/>
          <w:szCs w:val="24"/>
          <w:highlight w:val="none"/>
          <w:u w:val="single"/>
        </w:rPr>
        <w:t>（ 标 的 名 称 ）</w:t>
      </w:r>
      <w:r>
        <w:rPr>
          <w:rFonts w:hint="eastAsia" w:ascii="宋体" w:hAnsi="宋体" w:eastAsia="宋体" w:cs="宋体"/>
          <w:color w:val="auto"/>
          <w:spacing w:val="6"/>
          <w:kern w:val="2"/>
          <w:sz w:val="24"/>
          <w:szCs w:val="24"/>
          <w:highlight w:val="none"/>
          <w:u w:val="none"/>
        </w:rPr>
        <w:t>，属于</w:t>
      </w:r>
      <w:r>
        <w:rPr>
          <w:rFonts w:hint="eastAsia" w:ascii="宋体" w:hAnsi="宋体" w:eastAsia="宋体" w:cs="宋体"/>
          <w:color w:val="auto"/>
          <w:spacing w:val="6"/>
          <w:kern w:val="2"/>
          <w:sz w:val="24"/>
          <w:szCs w:val="24"/>
          <w:highlight w:val="none"/>
          <w:u w:val="single"/>
        </w:rPr>
        <w:t>（ 采 购 文 件 中 明 确 的 所 属 行 业 ）行业</w:t>
      </w:r>
      <w:r>
        <w:rPr>
          <w:rFonts w:hint="eastAsia" w:ascii="宋体" w:hAnsi="宋体" w:eastAsia="宋体" w:cs="宋体"/>
          <w:color w:val="auto"/>
          <w:spacing w:val="6"/>
          <w:kern w:val="2"/>
          <w:sz w:val="24"/>
          <w:szCs w:val="24"/>
          <w:highlight w:val="none"/>
          <w:u w:val="none"/>
        </w:rPr>
        <w:t>；制造商为</w:t>
      </w:r>
      <w:r>
        <w:rPr>
          <w:rFonts w:hint="eastAsia" w:ascii="宋体" w:hAnsi="宋体" w:eastAsia="宋体" w:cs="宋体"/>
          <w:color w:val="auto"/>
          <w:spacing w:val="6"/>
          <w:kern w:val="2"/>
          <w:sz w:val="24"/>
          <w:szCs w:val="24"/>
          <w:highlight w:val="none"/>
          <w:u w:val="single"/>
        </w:rPr>
        <w:t>（企业名称）</w:t>
      </w:r>
      <w:r>
        <w:rPr>
          <w:rFonts w:hint="eastAsia" w:ascii="宋体" w:hAnsi="宋体" w:eastAsia="宋体" w:cs="宋体"/>
          <w:color w:val="auto"/>
          <w:spacing w:val="6"/>
          <w:kern w:val="2"/>
          <w:sz w:val="24"/>
          <w:szCs w:val="24"/>
          <w:highlight w:val="none"/>
          <w:u w:val="none"/>
        </w:rPr>
        <w:t>，从业人员</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人，营业收入为</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万元，资产总额为</w:t>
      </w:r>
      <w:r>
        <w:rPr>
          <w:rFonts w:hint="eastAsia" w:ascii="宋体" w:hAnsi="宋体" w:eastAsia="宋体" w:cs="宋体"/>
          <w:color w:val="auto"/>
          <w:spacing w:val="6"/>
          <w:kern w:val="2"/>
          <w:sz w:val="24"/>
          <w:szCs w:val="24"/>
          <w:highlight w:val="none"/>
          <w:u w:val="single"/>
        </w:rPr>
        <w:t xml:space="preserve"> </w:t>
      </w:r>
      <w:r>
        <w:rPr>
          <w:rFonts w:hint="eastAsia" w:ascii="宋体" w:hAnsi="宋体" w:eastAsia="宋体" w:cs="宋体"/>
          <w:color w:val="auto"/>
          <w:spacing w:val="6"/>
          <w:kern w:val="2"/>
          <w:sz w:val="24"/>
          <w:szCs w:val="24"/>
          <w:highlight w:val="none"/>
          <w:u w:val="single"/>
          <w:lang w:val="en-US" w:eastAsia="zh-CN"/>
        </w:rPr>
        <w:t xml:space="preserve">    </w:t>
      </w:r>
      <w:r>
        <w:rPr>
          <w:rFonts w:hint="eastAsia" w:ascii="宋体" w:hAnsi="宋体" w:eastAsia="宋体" w:cs="宋体"/>
          <w:color w:val="auto"/>
          <w:spacing w:val="6"/>
          <w:kern w:val="2"/>
          <w:sz w:val="24"/>
          <w:szCs w:val="24"/>
          <w:highlight w:val="none"/>
          <w:u w:val="none"/>
        </w:rPr>
        <w:t>万元，</w:t>
      </w:r>
      <w:r>
        <w:rPr>
          <w:rFonts w:hint="eastAsia" w:ascii="宋体" w:hAnsi="宋体" w:eastAsia="宋体" w:cs="宋体"/>
          <w:color w:val="auto"/>
          <w:spacing w:val="6"/>
          <w:kern w:val="2"/>
          <w:sz w:val="24"/>
          <w:szCs w:val="24"/>
          <w:highlight w:val="none"/>
          <w:u w:val="single"/>
        </w:rPr>
        <w:t>属于（中型企业、小型企业、微型企业）</w:t>
      </w:r>
      <w:r>
        <w:rPr>
          <w:rFonts w:hint="eastAsia" w:ascii="宋体" w:hAnsi="宋体" w:eastAsia="宋体" w:cs="宋体"/>
          <w:color w:val="auto"/>
          <w:spacing w:val="6"/>
          <w:kern w:val="2"/>
          <w:sz w:val="24"/>
          <w:szCs w:val="24"/>
          <w:highlight w:val="none"/>
          <w:u w:val="none"/>
        </w:rPr>
        <w:t>；</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以上企业，不属于大企业的分支机构，不存在控股股东为大企业的情形，也不存在与大企业的负责人为同一人的情形。</w:t>
      </w:r>
    </w:p>
    <w:p>
      <w:pPr>
        <w:pStyle w:val="2"/>
        <w:spacing w:line="360" w:lineRule="auto"/>
        <w:ind w:firstLine="504" w:firstLineChars="200"/>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本企业对上述声明内容的真实性负责。如有虚假，将依法承担相应责任。</w:t>
      </w:r>
    </w:p>
    <w:p>
      <w:pPr>
        <w:pStyle w:val="2"/>
        <w:spacing w:before="35" w:line="316" w:lineRule="auto"/>
        <w:ind w:left="4060" w:right="2166"/>
        <w:rPr>
          <w:rFonts w:hint="eastAsia" w:ascii="宋体" w:hAnsi="宋体" w:eastAsia="宋体" w:cs="宋体"/>
          <w:color w:val="auto"/>
          <w:spacing w:val="6"/>
          <w:sz w:val="24"/>
          <w:szCs w:val="24"/>
          <w:highlight w:val="none"/>
        </w:rPr>
      </w:pPr>
    </w:p>
    <w:p>
      <w:pPr>
        <w:pStyle w:val="2"/>
        <w:spacing w:before="35" w:line="316"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企业名称（盖章）：</w:t>
      </w:r>
    </w:p>
    <w:p>
      <w:pPr>
        <w:pStyle w:val="2"/>
        <w:spacing w:before="35" w:line="316" w:lineRule="auto"/>
        <w:ind w:left="4060" w:right="2166"/>
        <w:rPr>
          <w:rFonts w:hint="eastAsia" w:ascii="宋体" w:hAnsi="宋体" w:eastAsia="宋体" w:cs="宋体"/>
          <w:color w:val="auto"/>
          <w:spacing w:val="6"/>
          <w:sz w:val="24"/>
          <w:szCs w:val="24"/>
          <w:highlight w:val="none"/>
        </w:rPr>
      </w:pPr>
      <w:r>
        <w:rPr>
          <w:rFonts w:hint="eastAsia" w:ascii="宋体" w:hAnsi="宋体" w:eastAsia="宋体" w:cs="宋体"/>
          <w:color w:val="auto"/>
          <w:spacing w:val="6"/>
          <w:sz w:val="24"/>
          <w:szCs w:val="24"/>
          <w:highlight w:val="none"/>
        </w:rPr>
        <w:t>日期：</w:t>
      </w:r>
    </w:p>
    <w:p>
      <w:pPr>
        <w:rPr>
          <w:rFonts w:hint="eastAsia" w:ascii="宋体" w:hAnsi="宋体" w:eastAsia="宋体" w:cs="宋体"/>
          <w:b/>
          <w:color w:val="auto"/>
          <w:sz w:val="28"/>
          <w:szCs w:val="28"/>
          <w:highlight w:val="none"/>
          <w:lang w:eastAsia="zh-CN"/>
        </w:rPr>
      </w:pPr>
      <w:r>
        <w:rPr>
          <w:rFonts w:hint="eastAsia" w:ascii="宋体" w:hAnsi="宋体" w:eastAsia="宋体" w:cs="宋体"/>
          <w:b/>
          <w:color w:val="auto"/>
          <w:sz w:val="28"/>
          <w:szCs w:val="28"/>
          <w:highlight w:val="none"/>
          <w:lang w:eastAsia="zh-CN"/>
        </w:rPr>
        <w:br w:type="page"/>
      </w:r>
    </w:p>
    <w:p>
      <w:pPr>
        <w:spacing w:before="312" w:beforeLines="100" w:after="156" w:afterLines="50"/>
        <w:rPr>
          <w:rFonts w:hAnsi="宋体" w:cs="宋体"/>
          <w:b/>
          <w:color w:val="auto"/>
          <w:sz w:val="28"/>
          <w:szCs w:val="28"/>
          <w:highlight w:val="none"/>
        </w:rPr>
      </w:pPr>
      <w:r>
        <w:rPr>
          <w:rFonts w:hint="eastAsia" w:hAnsi="宋体" w:cs="宋体"/>
          <w:b/>
          <w:color w:val="auto"/>
          <w:sz w:val="28"/>
          <w:szCs w:val="28"/>
          <w:highlight w:val="none"/>
        </w:rPr>
        <w:t>附件</w:t>
      </w:r>
      <w:r>
        <w:rPr>
          <w:rFonts w:hint="eastAsia" w:hAnsi="宋体" w:cs="宋体"/>
          <w:b/>
          <w:color w:val="auto"/>
          <w:sz w:val="28"/>
          <w:szCs w:val="28"/>
          <w:highlight w:val="none"/>
          <w:lang w:val="en-US" w:eastAsia="zh-CN"/>
        </w:rPr>
        <w:t>4</w:t>
      </w:r>
      <w:r>
        <w:rPr>
          <w:rFonts w:hint="eastAsia" w:hAnsi="宋体" w:cs="宋体"/>
          <w:b/>
          <w:color w:val="auto"/>
          <w:sz w:val="28"/>
          <w:szCs w:val="28"/>
          <w:highlight w:val="none"/>
        </w:rPr>
        <w:t>（如有）：</w:t>
      </w:r>
    </w:p>
    <w:p>
      <w:pPr>
        <w:spacing w:before="312" w:beforeLines="100" w:after="156" w:afterLines="50"/>
        <w:jc w:val="center"/>
        <w:rPr>
          <w:rFonts w:hAnsi="宋体" w:cs="宋体"/>
          <w:b/>
          <w:color w:val="auto"/>
          <w:sz w:val="28"/>
          <w:szCs w:val="28"/>
          <w:highlight w:val="none"/>
        </w:rPr>
      </w:pPr>
      <w:r>
        <w:rPr>
          <w:rFonts w:hint="eastAsia" w:hAnsi="宋体" w:cs="宋体"/>
          <w:b/>
          <w:color w:val="auto"/>
          <w:sz w:val="28"/>
          <w:szCs w:val="28"/>
          <w:highlight w:val="none"/>
        </w:rPr>
        <w:t>磋商产品属节能、环境标志产品列表</w:t>
      </w:r>
    </w:p>
    <w:p>
      <w:pPr>
        <w:spacing w:line="360" w:lineRule="auto"/>
        <w:rPr>
          <w:rFonts w:hAnsi="宋体" w:cs="宋体"/>
          <w:bCs/>
          <w:color w:val="auto"/>
          <w:szCs w:val="24"/>
          <w:highlight w:val="none"/>
        </w:rPr>
      </w:pPr>
      <w:r>
        <w:rPr>
          <w:rFonts w:hint="eastAsia" w:hAnsi="宋体" w:cs="宋体"/>
          <w:bCs/>
          <w:color w:val="auto"/>
          <w:szCs w:val="24"/>
          <w:highlight w:val="none"/>
        </w:rPr>
        <w:t>项目名称：</w:t>
      </w:r>
    </w:p>
    <w:p>
      <w:pPr>
        <w:spacing w:line="360" w:lineRule="auto"/>
        <w:rPr>
          <w:rFonts w:hAnsi="宋体" w:cs="宋体"/>
          <w:bCs/>
          <w:color w:val="auto"/>
          <w:szCs w:val="24"/>
          <w:highlight w:val="none"/>
        </w:rPr>
      </w:pPr>
      <w:r>
        <w:rPr>
          <w:rFonts w:hint="eastAsia" w:hAnsi="宋体" w:cs="宋体"/>
          <w:bCs/>
          <w:color w:val="auto"/>
          <w:szCs w:val="24"/>
          <w:highlight w:val="none"/>
        </w:rPr>
        <w:t>项目编号：</w:t>
      </w:r>
    </w:p>
    <w:tbl>
      <w:tblPr>
        <w:tblStyle w:val="19"/>
        <w:tblW w:w="0" w:type="auto"/>
        <w:tblInd w:w="0" w:type="dxa"/>
        <w:tblLayout w:type="fixed"/>
        <w:tblCellMar>
          <w:top w:w="0" w:type="dxa"/>
          <w:left w:w="28" w:type="dxa"/>
          <w:bottom w:w="0" w:type="dxa"/>
          <w:right w:w="28" w:type="dxa"/>
        </w:tblCellMar>
      </w:tblPr>
      <w:tblGrid>
        <w:gridCol w:w="886"/>
        <w:gridCol w:w="1863"/>
        <w:gridCol w:w="2250"/>
        <w:gridCol w:w="1311"/>
        <w:gridCol w:w="1307"/>
        <w:gridCol w:w="1313"/>
      </w:tblGrid>
      <w:tr>
        <w:tblPrEx>
          <w:tblCellMar>
            <w:top w:w="0" w:type="dxa"/>
            <w:left w:w="28" w:type="dxa"/>
            <w:bottom w:w="0" w:type="dxa"/>
            <w:right w:w="28" w:type="dxa"/>
          </w:tblCellMar>
        </w:tblPrEx>
        <w:trPr>
          <w:trHeight w:val="911" w:hRule="atLeast"/>
        </w:trPr>
        <w:tc>
          <w:tcPr>
            <w:tcW w:w="886" w:type="dxa"/>
            <w:tcBorders>
              <w:top w:val="single" w:color="auto" w:sz="6" w:space="0"/>
              <w:left w:val="single" w:color="auto" w:sz="4" w:space="0"/>
              <w:bottom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序号</w:t>
            </w:r>
          </w:p>
        </w:tc>
        <w:tc>
          <w:tcPr>
            <w:tcW w:w="186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名称</w:t>
            </w:r>
          </w:p>
        </w:tc>
        <w:tc>
          <w:tcPr>
            <w:tcW w:w="2250" w:type="dxa"/>
            <w:tcBorders>
              <w:top w:val="single" w:color="auto" w:sz="6" w:space="0"/>
              <w:left w:val="single" w:color="auto" w:sz="6" w:space="0"/>
              <w:bottom w:val="single" w:color="auto" w:sz="6" w:space="0"/>
              <w:right w:val="single" w:color="auto" w:sz="6" w:space="0"/>
            </w:tcBorders>
            <w:vAlign w:val="center"/>
          </w:tcPr>
          <w:p>
            <w:pPr>
              <w:spacing w:before="156" w:beforeLines="50" w:after="120"/>
              <w:jc w:val="center"/>
              <w:rPr>
                <w:rFonts w:hAnsi="宋体" w:cs="宋体"/>
                <w:color w:val="auto"/>
                <w:highlight w:val="none"/>
              </w:rPr>
            </w:pPr>
            <w:r>
              <w:rPr>
                <w:rFonts w:hint="eastAsia" w:hAnsi="宋体" w:cs="宋体"/>
                <w:color w:val="auto"/>
                <w:highlight w:val="none"/>
              </w:rPr>
              <w:t>型号和规格</w:t>
            </w:r>
          </w:p>
        </w:tc>
        <w:tc>
          <w:tcPr>
            <w:tcW w:w="1311"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数量</w:t>
            </w:r>
          </w:p>
        </w:tc>
        <w:tc>
          <w:tcPr>
            <w:tcW w:w="1307"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color w:val="auto"/>
                <w:highlight w:val="none"/>
              </w:rPr>
            </w:pPr>
            <w:r>
              <w:rPr>
                <w:rFonts w:hint="eastAsia" w:hAnsi="宋体" w:cs="宋体"/>
                <w:color w:val="auto"/>
                <w:highlight w:val="none"/>
              </w:rPr>
              <w:t>单价</w:t>
            </w:r>
          </w:p>
          <w:p>
            <w:pPr>
              <w:spacing w:after="120"/>
              <w:jc w:val="center"/>
              <w:rPr>
                <w:rFonts w:hAnsi="宋体" w:cs="宋体"/>
                <w:bCs/>
                <w:color w:val="auto"/>
                <w:highlight w:val="none"/>
              </w:rPr>
            </w:pPr>
            <w:r>
              <w:rPr>
                <w:rFonts w:hint="eastAsia" w:hAnsi="宋体" w:cs="宋体"/>
                <w:color w:val="auto"/>
                <w:highlight w:val="none"/>
              </w:rPr>
              <w:t>（元）</w:t>
            </w:r>
          </w:p>
        </w:tc>
        <w:tc>
          <w:tcPr>
            <w:tcW w:w="1313" w:type="dxa"/>
            <w:tcBorders>
              <w:top w:val="single" w:color="auto" w:sz="6" w:space="0"/>
              <w:left w:val="single" w:color="auto" w:sz="6" w:space="0"/>
              <w:bottom w:val="single" w:color="auto" w:sz="6" w:space="0"/>
              <w:right w:val="single" w:color="auto" w:sz="6" w:space="0"/>
            </w:tcBorders>
            <w:vAlign w:val="center"/>
          </w:tcPr>
          <w:p>
            <w:pPr>
              <w:spacing w:after="120"/>
              <w:jc w:val="center"/>
              <w:rPr>
                <w:rFonts w:hAnsi="宋体" w:cs="宋体"/>
                <w:bCs/>
                <w:color w:val="auto"/>
                <w:highlight w:val="none"/>
              </w:rPr>
            </w:pPr>
            <w:r>
              <w:rPr>
                <w:rFonts w:hint="eastAsia" w:hAnsi="宋体" w:cs="宋体"/>
                <w:bCs/>
                <w:color w:val="auto"/>
                <w:highlight w:val="none"/>
              </w:rPr>
              <w:t>总价</w:t>
            </w:r>
          </w:p>
          <w:p>
            <w:pPr>
              <w:spacing w:after="120"/>
              <w:jc w:val="center"/>
              <w:rPr>
                <w:rFonts w:hAnsi="宋体" w:cs="宋体"/>
                <w:bCs/>
                <w:color w:val="auto"/>
                <w:highlight w:val="none"/>
              </w:rPr>
            </w:pPr>
            <w:r>
              <w:rPr>
                <w:rFonts w:hint="eastAsia" w:hAnsi="宋体" w:cs="宋体"/>
                <w:bCs/>
                <w:color w:val="auto"/>
                <w:highlight w:val="none"/>
              </w:rPr>
              <w:t>（元）</w:t>
            </w:r>
          </w:p>
        </w:tc>
      </w:tr>
      <w:tr>
        <w:tblPrEx>
          <w:tblCellMar>
            <w:top w:w="0" w:type="dxa"/>
            <w:left w:w="28" w:type="dxa"/>
            <w:bottom w:w="0" w:type="dxa"/>
            <w:right w:w="28" w:type="dxa"/>
          </w:tblCellMar>
        </w:tblPrEx>
        <w:trPr>
          <w:trHeight w:val="808" w:hRule="atLeast"/>
        </w:trPr>
        <w:tc>
          <w:tcPr>
            <w:tcW w:w="886" w:type="dxa"/>
            <w:tcBorders>
              <w:top w:val="single" w:color="auto" w:sz="6" w:space="0"/>
              <w:left w:val="single" w:color="auto" w:sz="4" w:space="0"/>
              <w:bottom w:val="single" w:color="auto" w:sz="4"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1</w:t>
            </w:r>
          </w:p>
        </w:tc>
        <w:tc>
          <w:tcPr>
            <w:tcW w:w="186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2250"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311"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307"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c>
          <w:tcPr>
            <w:tcW w:w="1313" w:type="dxa"/>
            <w:tcBorders>
              <w:top w:val="single" w:color="auto" w:sz="6" w:space="0"/>
              <w:left w:val="single" w:color="auto" w:sz="6" w:space="0"/>
              <w:bottom w:val="single" w:color="auto" w:sz="4"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2</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highlight w:val="none"/>
              </w:rPr>
              <w:t>3</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312" w:beforeLines="10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color w:val="auto"/>
                <w:highlight w:val="none"/>
              </w:rPr>
            </w:pPr>
            <w:r>
              <w:rPr>
                <w:rFonts w:hint="eastAsia" w:hAnsi="宋体" w:cs="宋体"/>
                <w:color w:val="auto"/>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4" w:space="0"/>
              <w:bottom w:val="single" w:color="auto" w:sz="6" w:space="0"/>
            </w:tcBorders>
            <w:vAlign w:val="center"/>
          </w:tcPr>
          <w:p>
            <w:pPr>
              <w:spacing w:before="312" w:beforeLines="100"/>
              <w:jc w:val="center"/>
              <w:rPr>
                <w:rFonts w:hAnsi="宋体" w:cs="宋体"/>
                <w:b/>
                <w:color w:val="auto"/>
                <w:highlight w:val="none"/>
              </w:rPr>
            </w:pPr>
            <w:r>
              <w:rPr>
                <w:rFonts w:hint="eastAsia" w:hAnsi="宋体" w:cs="宋体"/>
                <w:color w:val="auto"/>
                <w:szCs w:val="24"/>
                <w:highlight w:val="none"/>
              </w:rPr>
              <w:t>……</w:t>
            </w:r>
          </w:p>
        </w:tc>
        <w:tc>
          <w:tcPr>
            <w:tcW w:w="186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2250"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1"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07"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c>
          <w:tcPr>
            <w:tcW w:w="1313" w:type="dxa"/>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color w:val="auto"/>
                <w:highlight w:val="none"/>
              </w:rPr>
            </w:pPr>
            <w:r>
              <w:rPr>
                <w:rFonts w:hint="eastAsia" w:hAnsi="宋体" w:cs="宋体"/>
                <w:color w:val="auto"/>
                <w:highlight w:val="none"/>
              </w:rPr>
              <w:t>合计：</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left"/>
              <w:rPr>
                <w:rFonts w:hAnsi="宋体" w:cs="宋体"/>
                <w:color w:val="auto"/>
                <w:highlight w:val="none"/>
              </w:rPr>
            </w:pPr>
            <w:r>
              <w:rPr>
                <w:rFonts w:hint="eastAsia" w:hAnsi="宋体" w:cs="宋体"/>
                <w:color w:val="auto"/>
                <w:highlight w:val="none"/>
              </w:rPr>
              <w:t>大写：                                小写：</w:t>
            </w:r>
          </w:p>
        </w:tc>
      </w:tr>
      <w:tr>
        <w:tblPrEx>
          <w:tblCellMar>
            <w:top w:w="0" w:type="dxa"/>
            <w:left w:w="28" w:type="dxa"/>
            <w:bottom w:w="0" w:type="dxa"/>
            <w:right w:w="28" w:type="dxa"/>
          </w:tblCellMar>
        </w:tblPrEx>
        <w:trPr>
          <w:trHeight w:val="808" w:hRule="atLeast"/>
        </w:trPr>
        <w:tc>
          <w:tcPr>
            <w:tcW w:w="886" w:type="dxa"/>
            <w:tcBorders>
              <w:top w:val="single" w:color="auto" w:sz="4" w:space="0"/>
              <w:left w:val="single" w:color="auto" w:sz="6" w:space="0"/>
              <w:bottom w:val="single" w:color="auto" w:sz="6" w:space="0"/>
            </w:tcBorders>
            <w:vAlign w:val="center"/>
          </w:tcPr>
          <w:p>
            <w:pPr>
              <w:jc w:val="center"/>
              <w:rPr>
                <w:rFonts w:hAnsi="宋体" w:cs="宋体"/>
                <w:color w:val="auto"/>
                <w:highlight w:val="none"/>
              </w:rPr>
            </w:pPr>
            <w:r>
              <w:rPr>
                <w:rFonts w:hint="eastAsia" w:hAnsi="宋体" w:cs="宋体"/>
                <w:color w:val="auto"/>
                <w:highlight w:val="none"/>
              </w:rPr>
              <w:t>备注</w:t>
            </w:r>
          </w:p>
        </w:tc>
        <w:tc>
          <w:tcPr>
            <w:tcW w:w="8044" w:type="dxa"/>
            <w:gridSpan w:val="5"/>
            <w:tcBorders>
              <w:top w:val="single" w:color="auto" w:sz="4" w:space="0"/>
              <w:left w:val="single" w:color="auto" w:sz="6" w:space="0"/>
              <w:bottom w:val="single" w:color="auto" w:sz="6" w:space="0"/>
              <w:right w:val="single" w:color="auto" w:sz="6" w:space="0"/>
            </w:tcBorders>
            <w:vAlign w:val="center"/>
          </w:tcPr>
          <w:p>
            <w:pPr>
              <w:spacing w:before="156" w:beforeLines="50"/>
              <w:jc w:val="center"/>
              <w:rPr>
                <w:rFonts w:hAnsi="宋体" w:cs="宋体"/>
                <w:color w:val="auto"/>
                <w:highlight w:val="none"/>
              </w:rPr>
            </w:pPr>
            <w:r>
              <w:rPr>
                <w:rFonts w:hint="eastAsia" w:hAnsi="宋体" w:cs="宋体"/>
                <w:color w:val="auto"/>
                <w:spacing w:val="-6"/>
                <w:highlight w:val="none"/>
              </w:rPr>
              <w:t>保留小数点后两位。</w:t>
            </w:r>
          </w:p>
        </w:tc>
      </w:tr>
    </w:tbl>
    <w:p>
      <w:pPr>
        <w:adjustRightInd w:val="0"/>
        <w:snapToGrid w:val="0"/>
        <w:spacing w:line="360" w:lineRule="auto"/>
        <w:rPr>
          <w:rFonts w:hAnsi="宋体" w:cs="宋体"/>
          <w:color w:val="auto"/>
          <w:szCs w:val="21"/>
          <w:highlight w:val="none"/>
        </w:rPr>
      </w:pPr>
    </w:p>
    <w:p>
      <w:pPr>
        <w:adjustRightInd w:val="0"/>
        <w:snapToGrid w:val="0"/>
        <w:spacing w:line="360" w:lineRule="auto"/>
        <w:rPr>
          <w:rFonts w:hAnsi="宋体" w:cs="宋体"/>
          <w:bCs/>
          <w:color w:val="auto"/>
          <w:szCs w:val="21"/>
          <w:highlight w:val="none"/>
        </w:rPr>
      </w:pPr>
      <w:r>
        <w:rPr>
          <w:rFonts w:hint="eastAsia" w:hAnsi="宋体" w:cs="宋体"/>
          <w:color w:val="auto"/>
          <w:szCs w:val="21"/>
          <w:highlight w:val="none"/>
        </w:rPr>
        <w:t>说明：</w:t>
      </w:r>
      <w:r>
        <w:rPr>
          <w:rFonts w:hint="eastAsia" w:hAnsi="宋体" w:cs="宋体"/>
          <w:bCs/>
          <w:color w:val="auto"/>
          <w:szCs w:val="21"/>
          <w:highlight w:val="none"/>
        </w:rPr>
        <w:t>1、</w:t>
      </w:r>
      <w:r>
        <w:rPr>
          <w:rFonts w:hint="eastAsia" w:hAnsi="宋体" w:cs="宋体"/>
          <w:color w:val="auto"/>
          <w:szCs w:val="21"/>
          <w:highlight w:val="none"/>
        </w:rPr>
        <w:t>供应商提供的属于节能、环境标志产品品目清单中优先采购的产品，须按磋商文件要求提供相关证明材料。</w:t>
      </w:r>
    </w:p>
    <w:p>
      <w:pPr>
        <w:pStyle w:val="46"/>
        <w:spacing w:line="400" w:lineRule="exact"/>
        <w:ind w:left="480" w:leftChars="200" w:firstLine="240" w:firstLineChars="100"/>
        <w:rPr>
          <w:rFonts w:hAnsi="宋体" w:cs="宋体"/>
          <w:color w:val="auto"/>
          <w:sz w:val="28"/>
          <w:szCs w:val="28"/>
          <w:highlight w:val="none"/>
        </w:rPr>
      </w:pPr>
      <w:r>
        <w:rPr>
          <w:rFonts w:hint="eastAsia" w:hAnsi="宋体" w:cs="宋体"/>
          <w:bCs/>
          <w:color w:val="auto"/>
          <w:highlight w:val="none"/>
        </w:rPr>
        <w:t>2、未按上述要求提供、</w:t>
      </w:r>
      <w:r>
        <w:rPr>
          <w:rFonts w:hint="eastAsia" w:hAnsi="宋体" w:cs="宋体"/>
          <w:color w:val="auto"/>
          <w:highlight w:val="none"/>
        </w:rPr>
        <w:t>填写</w:t>
      </w:r>
      <w:r>
        <w:rPr>
          <w:rFonts w:hint="eastAsia" w:hAnsi="宋体" w:cs="宋体"/>
          <w:bCs/>
          <w:color w:val="auto"/>
          <w:highlight w:val="none"/>
        </w:rPr>
        <w:t>的，评审时不予以考虑。</w:t>
      </w:r>
    </w:p>
    <w:p>
      <w:pPr>
        <w:spacing w:before="100" w:beforeAutospacing="1" w:after="156" w:afterLines="50" w:line="360" w:lineRule="auto"/>
        <w:rPr>
          <w:rFonts w:hAnsi="宋体" w:cs="宋体"/>
          <w:b/>
          <w:bCs/>
          <w:color w:val="auto"/>
          <w:spacing w:val="6"/>
          <w:sz w:val="30"/>
          <w:szCs w:val="30"/>
          <w:highlight w:val="none"/>
        </w:rPr>
      </w:pPr>
      <w:r>
        <w:rPr>
          <w:rFonts w:hint="eastAsia" w:hAnsi="宋体" w:cs="宋体"/>
          <w:color w:val="auto"/>
          <w:szCs w:val="24"/>
          <w:highlight w:val="none"/>
        </w:rPr>
        <w:br w:type="page"/>
      </w:r>
      <w:r>
        <w:rPr>
          <w:rFonts w:hint="eastAsia" w:hAnsi="宋体" w:cs="宋体"/>
          <w:b/>
          <w:bCs/>
          <w:color w:val="auto"/>
          <w:spacing w:val="6"/>
          <w:sz w:val="30"/>
          <w:szCs w:val="30"/>
          <w:highlight w:val="none"/>
        </w:rPr>
        <w:t>附件</w:t>
      </w:r>
      <w:r>
        <w:rPr>
          <w:rFonts w:hint="eastAsia" w:hAnsi="宋体" w:cs="宋体"/>
          <w:b/>
          <w:bCs/>
          <w:color w:val="auto"/>
          <w:spacing w:val="6"/>
          <w:sz w:val="30"/>
          <w:szCs w:val="30"/>
          <w:highlight w:val="none"/>
          <w:lang w:val="en-US" w:eastAsia="zh-CN"/>
        </w:rPr>
        <w:t>5</w:t>
      </w:r>
      <w:r>
        <w:rPr>
          <w:rFonts w:hint="eastAsia" w:hAnsi="宋体" w:cs="宋体"/>
          <w:b/>
          <w:bCs/>
          <w:color w:val="auto"/>
          <w:spacing w:val="6"/>
          <w:sz w:val="30"/>
          <w:szCs w:val="30"/>
          <w:highlight w:val="none"/>
        </w:rPr>
        <w:t>（如有）：</w:t>
      </w:r>
    </w:p>
    <w:p>
      <w:pPr>
        <w:spacing w:line="588" w:lineRule="exact"/>
        <w:jc w:val="center"/>
        <w:rPr>
          <w:rFonts w:hAnsi="宋体" w:cs="宋体"/>
          <w:b/>
          <w:color w:val="auto"/>
          <w:spacing w:val="6"/>
          <w:sz w:val="32"/>
          <w:szCs w:val="32"/>
          <w:highlight w:val="none"/>
        </w:rPr>
      </w:pPr>
      <w:bookmarkStart w:id="260" w:name="OLE_LINK14"/>
      <w:bookmarkStart w:id="261" w:name="OLE_LINK13"/>
      <w:r>
        <w:rPr>
          <w:rFonts w:hint="eastAsia" w:hAnsi="宋体" w:cs="宋体"/>
          <w:b/>
          <w:color w:val="auto"/>
          <w:spacing w:val="6"/>
          <w:sz w:val="32"/>
          <w:szCs w:val="32"/>
          <w:highlight w:val="none"/>
        </w:rPr>
        <w:t>残疾人福利性单位声明函</w:t>
      </w:r>
    </w:p>
    <w:bookmarkEnd w:id="260"/>
    <w:bookmarkEnd w:id="261"/>
    <w:p>
      <w:pPr>
        <w:spacing w:line="588" w:lineRule="exact"/>
        <w:rPr>
          <w:rFonts w:hAnsi="宋体" w:cs="宋体"/>
          <w:b/>
          <w:color w:val="auto"/>
          <w:spacing w:val="6"/>
          <w:sz w:val="30"/>
          <w:szCs w:val="30"/>
          <w:highlight w:val="none"/>
        </w:rPr>
      </w:pP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本单位郑重声明，根据《财政部 民政部 中国残疾人联合会关于促进残疾人就业政府采购政策的通知》（财库</w:t>
      </w:r>
      <w:r>
        <w:rPr>
          <w:rFonts w:hint="eastAsia" w:hAnsi="宋体" w:cs="宋体"/>
          <w:color w:val="auto"/>
          <w:szCs w:val="24"/>
          <w:highlight w:val="none"/>
        </w:rPr>
        <w:t>〔2017〕 141</w:t>
      </w:r>
      <w:r>
        <w:rPr>
          <w:rFonts w:hint="eastAsia" w:hAnsi="宋体" w:cs="宋体"/>
          <w:color w:val="auto"/>
          <w:spacing w:val="6"/>
          <w:szCs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Ansi="宋体" w:cs="宋体"/>
          <w:color w:val="auto"/>
          <w:spacing w:val="6"/>
          <w:szCs w:val="24"/>
          <w:highlight w:val="none"/>
        </w:rPr>
      </w:pPr>
      <w:r>
        <w:rPr>
          <w:rFonts w:hint="eastAsia" w:hAnsi="宋体" w:cs="宋体"/>
          <w:color w:val="auto"/>
          <w:spacing w:val="6"/>
          <w:szCs w:val="24"/>
          <w:highlight w:val="none"/>
        </w:rPr>
        <w:t>本单位对上述声明的真实性负责。如有虚假，将依法承担相应责任。</w:t>
      </w: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spacing w:line="588" w:lineRule="exact"/>
        <w:ind w:firstLine="504" w:firstLineChars="200"/>
        <w:rPr>
          <w:rFonts w:hAnsi="宋体" w:cs="宋体"/>
          <w:color w:val="auto"/>
          <w:spacing w:val="6"/>
          <w:szCs w:val="24"/>
          <w:highlight w:val="none"/>
        </w:rPr>
      </w:pPr>
    </w:p>
    <w:p>
      <w:pPr>
        <w:tabs>
          <w:tab w:val="left" w:pos="4860"/>
        </w:tabs>
        <w:spacing w:line="588" w:lineRule="exact"/>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单位名称（盖章）：</w:t>
      </w:r>
    </w:p>
    <w:p>
      <w:pPr>
        <w:tabs>
          <w:tab w:val="left" w:pos="4860"/>
        </w:tabs>
        <w:spacing w:line="588" w:lineRule="exact"/>
        <w:ind w:right="1560" w:firstLine="504" w:firstLineChars="200"/>
        <w:jc w:val="center"/>
        <w:rPr>
          <w:rFonts w:hAnsi="宋体" w:cs="宋体"/>
          <w:color w:val="auto"/>
          <w:spacing w:val="6"/>
          <w:szCs w:val="24"/>
          <w:highlight w:val="none"/>
        </w:rPr>
      </w:pPr>
      <w:r>
        <w:rPr>
          <w:rFonts w:hint="eastAsia" w:hAnsi="宋体" w:cs="宋体"/>
          <w:color w:val="auto"/>
          <w:spacing w:val="6"/>
          <w:szCs w:val="24"/>
          <w:highlight w:val="none"/>
        </w:rPr>
        <w:t xml:space="preserve">       日    期：</w:t>
      </w:r>
    </w:p>
    <w:p>
      <w:pPr>
        <w:tabs>
          <w:tab w:val="left" w:pos="2488"/>
        </w:tabs>
        <w:jc w:val="left"/>
        <w:rPr>
          <w:rFonts w:hAnsi="宋体" w:cs="宋体"/>
          <w:b/>
          <w:color w:val="auto"/>
          <w:sz w:val="28"/>
          <w:szCs w:val="28"/>
          <w:highlight w:val="none"/>
        </w:rPr>
      </w:pPr>
      <w:r>
        <w:rPr>
          <w:rFonts w:hint="eastAsia" w:hAnsi="宋体" w:cs="宋体"/>
          <w:color w:val="auto"/>
          <w:highlight w:val="none"/>
        </w:rPr>
        <w:br w:type="page"/>
      </w:r>
      <w:r>
        <w:rPr>
          <w:rFonts w:hint="eastAsia" w:hAnsi="宋体" w:cs="宋体"/>
          <w:b/>
          <w:color w:val="auto"/>
          <w:sz w:val="28"/>
          <w:szCs w:val="28"/>
          <w:highlight w:val="none"/>
        </w:rPr>
        <w:t>附件</w:t>
      </w:r>
      <w:r>
        <w:rPr>
          <w:rFonts w:hint="eastAsia" w:hAnsi="宋体" w:cs="宋体"/>
          <w:b/>
          <w:color w:val="auto"/>
          <w:sz w:val="28"/>
          <w:szCs w:val="28"/>
          <w:highlight w:val="none"/>
          <w:lang w:val="en-US" w:eastAsia="zh-CN"/>
        </w:rPr>
        <w:t>6</w:t>
      </w:r>
      <w:r>
        <w:rPr>
          <w:rFonts w:hint="eastAsia" w:hAnsi="宋体" w:cs="宋体"/>
          <w:b/>
          <w:color w:val="auto"/>
          <w:sz w:val="28"/>
          <w:szCs w:val="28"/>
          <w:highlight w:val="none"/>
        </w:rPr>
        <w:t>：（参考格式）</w:t>
      </w:r>
    </w:p>
    <w:p>
      <w:pPr>
        <w:spacing w:line="550" w:lineRule="exact"/>
        <w:jc w:val="center"/>
        <w:rPr>
          <w:rFonts w:hAnsi="宋体" w:cs="宋体"/>
          <w:b/>
          <w:bCs/>
          <w:color w:val="auto"/>
          <w:sz w:val="32"/>
          <w:szCs w:val="32"/>
          <w:highlight w:val="none"/>
        </w:rPr>
      </w:pPr>
      <w:r>
        <w:rPr>
          <w:rFonts w:hint="eastAsia" w:hAnsi="宋体" w:cs="宋体"/>
          <w:b/>
          <w:bCs/>
          <w:color w:val="auto"/>
          <w:sz w:val="32"/>
          <w:szCs w:val="32"/>
          <w:highlight w:val="none"/>
        </w:rPr>
        <w:t>磋商担保函</w:t>
      </w:r>
    </w:p>
    <w:p>
      <w:pPr>
        <w:rPr>
          <w:rFonts w:hAnsi="宋体" w:cs="宋体"/>
          <w:color w:val="auto"/>
          <w:szCs w:val="32"/>
          <w:highlight w:val="none"/>
        </w:rPr>
      </w:pPr>
      <w:r>
        <w:rPr>
          <w:rFonts w:hint="eastAsia" w:hAnsi="宋体" w:cs="宋体"/>
          <w:color w:val="auto"/>
          <w:szCs w:val="32"/>
          <w:highlight w:val="none"/>
        </w:rPr>
        <w:t xml:space="preserve">                                         </w:t>
      </w:r>
    </w:p>
    <w:p>
      <w:pPr>
        <w:jc w:val="center"/>
        <w:rPr>
          <w:rFonts w:hAnsi="宋体" w:cs="宋体"/>
          <w:color w:val="auto"/>
          <w:szCs w:val="32"/>
          <w:highlight w:val="none"/>
        </w:rPr>
      </w:pPr>
      <w:r>
        <w:rPr>
          <w:rFonts w:hint="eastAsia" w:hAnsi="宋体" w:cs="宋体"/>
          <w:color w:val="auto"/>
          <w:szCs w:val="32"/>
          <w:highlight w:val="none"/>
        </w:rPr>
        <w:t xml:space="preserve">                     </w:t>
      </w:r>
      <w:r>
        <w:rPr>
          <w:rFonts w:hint="eastAsia" w:hAnsi="宋体" w:cs="宋体"/>
          <w:color w:val="auto"/>
          <w:szCs w:val="24"/>
          <w:highlight w:val="none"/>
        </w:rPr>
        <w:t xml:space="preserve">         编号： </w:t>
      </w:r>
    </w:p>
    <w:p>
      <w:pPr>
        <w:rPr>
          <w:rFonts w:hAnsi="宋体" w:cs="宋体"/>
          <w:color w:val="auto"/>
          <w:szCs w:val="32"/>
          <w:highlight w:val="none"/>
          <w:u w:val="single"/>
        </w:rPr>
      </w:pPr>
    </w:p>
    <w:p>
      <w:pPr>
        <w:spacing w:line="360" w:lineRule="auto"/>
        <w:rPr>
          <w:rFonts w:hAnsi="宋体" w:cs="宋体"/>
          <w:color w:val="auto"/>
          <w:szCs w:val="24"/>
          <w:highlight w:val="none"/>
        </w:rPr>
      </w:pPr>
      <w:r>
        <w:rPr>
          <w:rFonts w:hint="eastAsia" w:hAnsi="宋体" w:cs="宋体"/>
          <w:color w:val="auto"/>
          <w:szCs w:val="24"/>
          <w:highlight w:val="none"/>
        </w:rPr>
        <w:t xml:space="preserve">___________________（采购人或采购代理机构）： </w:t>
      </w:r>
    </w:p>
    <w:p>
      <w:pPr>
        <w:spacing w:line="360" w:lineRule="auto"/>
        <w:ind w:firstLine="480" w:firstLineChars="200"/>
        <w:rPr>
          <w:rFonts w:hAnsi="宋体" w:cs="宋体"/>
          <w:color w:val="auto"/>
          <w:szCs w:val="24"/>
          <w:highlight w:val="none"/>
        </w:rPr>
      </w:pPr>
      <w:r>
        <w:rPr>
          <w:rFonts w:hint="eastAsia" w:hAnsi="宋体" w:cs="宋体"/>
          <w:color w:val="auto"/>
          <w:szCs w:val="24"/>
          <w:highlight w:val="none"/>
        </w:rPr>
        <w:t xml:space="preserve">鉴于_______________（以下简称“供应商”）拟参加编号为___________的________________________项目（以下简称“本项目”）磋商，根据本项目竞争性磋商文件，供应商参加磋商时应向你方交纳磋商保证金，且可以磋商担保函的形式交纳磋商保证金。应供应商的申请，我方以保证的方式向你方提供如下磋商保证金担保：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一、保证责任的情形及保证金额 </w:t>
      </w:r>
    </w:p>
    <w:p>
      <w:pPr>
        <w:spacing w:line="360" w:lineRule="auto"/>
        <w:rPr>
          <w:rFonts w:hAnsi="宋体" w:cs="宋体"/>
          <w:color w:val="auto"/>
          <w:szCs w:val="24"/>
          <w:highlight w:val="none"/>
        </w:rPr>
      </w:pPr>
      <w:r>
        <w:rPr>
          <w:rFonts w:hint="eastAsia" w:hAnsi="宋体" w:cs="宋体"/>
          <w:color w:val="auto"/>
          <w:szCs w:val="24"/>
          <w:highlight w:val="none"/>
        </w:rPr>
        <w:t xml:space="preserve">   （一）在供应商出现下列情形之一时，我方承担保证责任：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1．成交后供应商无正当理由不与采购人或者采购代理机构签订《政府采购合同》； </w:t>
      </w:r>
    </w:p>
    <w:p>
      <w:pPr>
        <w:spacing w:line="360" w:lineRule="auto"/>
        <w:rPr>
          <w:rFonts w:hAnsi="宋体" w:cs="宋体"/>
          <w:color w:val="auto"/>
          <w:szCs w:val="24"/>
          <w:highlight w:val="none"/>
        </w:rPr>
      </w:pPr>
      <w:r>
        <w:rPr>
          <w:rFonts w:hint="eastAsia" w:hAnsi="宋体" w:cs="宋体"/>
          <w:color w:val="auto"/>
          <w:szCs w:val="24"/>
          <w:highlight w:val="none"/>
        </w:rPr>
        <w:t xml:space="preserve">    2．竞争性磋商文件规定的供应商应当缴纳保证金的其他情形。 </w:t>
      </w:r>
    </w:p>
    <w:p>
      <w:pPr>
        <w:spacing w:line="360" w:lineRule="auto"/>
        <w:ind w:firstLine="480" w:firstLineChars="200"/>
        <w:jc w:val="left"/>
        <w:rPr>
          <w:rFonts w:hAnsi="宋体" w:cs="宋体"/>
          <w:color w:val="auto"/>
          <w:szCs w:val="24"/>
          <w:highlight w:val="none"/>
        </w:rPr>
      </w:pPr>
      <w:r>
        <w:rPr>
          <w:rFonts w:hint="eastAsia" w:hAnsi="宋体" w:cs="宋体"/>
          <w:color w:val="auto"/>
          <w:szCs w:val="24"/>
          <w:highlight w:val="none"/>
        </w:rPr>
        <w:t xml:space="preserve">  （二）我方承担保证责任的最高金额为人民币______元（大写_____________），即本项目的磋商保证金金额。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二、保证的方式及保证期间 </w:t>
      </w:r>
    </w:p>
    <w:p>
      <w:pPr>
        <w:spacing w:line="360" w:lineRule="auto"/>
        <w:rPr>
          <w:rFonts w:hAnsi="宋体" w:cs="宋体"/>
          <w:color w:val="auto"/>
          <w:szCs w:val="24"/>
          <w:highlight w:val="none"/>
        </w:rPr>
      </w:pPr>
      <w:r>
        <w:rPr>
          <w:rFonts w:hint="eastAsia" w:hAnsi="宋体" w:cs="宋体"/>
          <w:color w:val="auto"/>
          <w:szCs w:val="24"/>
          <w:highlight w:val="none"/>
        </w:rPr>
        <w:t xml:space="preserve">    我方保证的方式为：连带责任保证。 </w:t>
      </w:r>
    </w:p>
    <w:p>
      <w:pPr>
        <w:spacing w:line="360" w:lineRule="auto"/>
        <w:rPr>
          <w:rFonts w:hAnsi="宋体" w:cs="宋体"/>
          <w:color w:val="auto"/>
          <w:szCs w:val="24"/>
          <w:highlight w:val="none"/>
        </w:rPr>
      </w:pPr>
      <w:r>
        <w:rPr>
          <w:rFonts w:hint="eastAsia" w:hAnsi="宋体" w:cs="宋体"/>
          <w:color w:val="auto"/>
          <w:szCs w:val="24"/>
          <w:highlight w:val="none"/>
        </w:rPr>
        <w:t xml:space="preserve">    我方的保证期间为：自本保函生效之日起______个月止。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三、承担保证责任的程序 </w:t>
      </w:r>
    </w:p>
    <w:p>
      <w:pPr>
        <w:spacing w:line="360" w:lineRule="auto"/>
        <w:rPr>
          <w:rFonts w:hAnsi="宋体" w:cs="宋体"/>
          <w:color w:val="auto"/>
          <w:szCs w:val="24"/>
          <w:highlight w:val="none"/>
        </w:rPr>
      </w:pPr>
      <w:r>
        <w:rPr>
          <w:rFonts w:hint="eastAsia" w:hAnsi="宋体" w:cs="宋体"/>
          <w:color w:val="auto"/>
          <w:szCs w:val="24"/>
          <w:highlight w:val="none"/>
        </w:rPr>
        <w:t xml:space="preserve">    1．你方要求我方承担保证责任的，应在本保函保证期间内向我方发出书面索赔通知。索赔通知应写明要求索赔的金额，支付款项应到达的账号，并附有证明供应商发生我方应承担保证责任情形的事实材料。 </w:t>
      </w:r>
    </w:p>
    <w:p>
      <w:pPr>
        <w:spacing w:line="360" w:lineRule="auto"/>
        <w:rPr>
          <w:rFonts w:hAnsi="宋体" w:cs="宋体"/>
          <w:color w:val="auto"/>
          <w:szCs w:val="24"/>
          <w:highlight w:val="none"/>
        </w:rPr>
      </w:pPr>
      <w:r>
        <w:rPr>
          <w:rFonts w:hint="eastAsia" w:hAnsi="宋体" w:cs="宋体"/>
          <w:color w:val="auto"/>
          <w:szCs w:val="24"/>
          <w:highlight w:val="none"/>
        </w:rPr>
        <w:t xml:space="preserve">    2．我方在收到索赔通知及相关证明材料后，在_____个工作日内进行审查，符合应承担保证责任情形的，我方应按照你方的要求代供应商向你方支付磋商保证金。 </w:t>
      </w:r>
    </w:p>
    <w:p>
      <w:pPr>
        <w:spacing w:line="360" w:lineRule="auto"/>
        <w:rPr>
          <w:rFonts w:hAnsi="宋体" w:cs="宋体"/>
          <w:b/>
          <w:color w:val="auto"/>
          <w:szCs w:val="24"/>
          <w:highlight w:val="none"/>
        </w:rPr>
      </w:pPr>
      <w:r>
        <w:rPr>
          <w:rFonts w:hint="eastAsia" w:hAnsi="宋体" w:cs="宋体"/>
          <w:b/>
          <w:color w:val="auto"/>
          <w:szCs w:val="24"/>
          <w:highlight w:val="none"/>
        </w:rPr>
        <w:t xml:space="preserve">    四、保证责任的终止 </w:t>
      </w:r>
    </w:p>
    <w:p>
      <w:pPr>
        <w:spacing w:line="360" w:lineRule="auto"/>
        <w:rPr>
          <w:rFonts w:hAnsi="宋体" w:cs="宋体"/>
          <w:color w:val="auto"/>
          <w:szCs w:val="24"/>
          <w:highlight w:val="none"/>
        </w:rPr>
      </w:pPr>
      <w:r>
        <w:rPr>
          <w:rFonts w:hint="eastAsia" w:hAnsi="宋体" w:cs="宋体"/>
          <w:color w:val="auto"/>
          <w:szCs w:val="24"/>
          <w:highlight w:val="none"/>
        </w:rPr>
        <w:t xml:space="preserve">    1．保证期间届满你方未向我方书面主张保证责任的，自保证期间届满次日起，我方保证责任自动终止。 </w:t>
      </w:r>
    </w:p>
    <w:p>
      <w:pPr>
        <w:spacing w:line="360" w:lineRule="auto"/>
        <w:rPr>
          <w:rFonts w:hAnsi="宋体" w:cs="宋体"/>
          <w:color w:val="auto"/>
          <w:szCs w:val="24"/>
          <w:highlight w:val="none"/>
        </w:rPr>
      </w:pPr>
      <w:r>
        <w:rPr>
          <w:rFonts w:hint="eastAsia" w:hAnsi="宋体" w:cs="宋体"/>
          <w:color w:val="auto"/>
          <w:szCs w:val="24"/>
          <w:highlight w:val="none"/>
        </w:rPr>
        <w:t xml:space="preserve">    2．我方按照本保函向你方履行了保证责任后，自我方向你方支付款项（支付款项从我方账户划出）之日起，保证责任终止。 </w:t>
      </w:r>
    </w:p>
    <w:p>
      <w:pPr>
        <w:spacing w:line="360" w:lineRule="auto"/>
        <w:rPr>
          <w:rFonts w:hAnsi="宋体" w:cs="宋体"/>
          <w:color w:val="auto"/>
          <w:szCs w:val="24"/>
          <w:highlight w:val="none"/>
        </w:rPr>
      </w:pPr>
      <w:r>
        <w:rPr>
          <w:rFonts w:hint="eastAsia" w:hAnsi="宋体" w:cs="宋体"/>
          <w:color w:val="auto"/>
          <w:szCs w:val="24"/>
          <w:highlight w:val="none"/>
        </w:rPr>
        <w:t xml:space="preserve">    3．按照法律法规的规定或出现我方保证责任终止的其它情形的，我方在本保函项下的保证责任亦终止。 </w:t>
      </w:r>
    </w:p>
    <w:p>
      <w:pPr>
        <w:spacing w:line="360" w:lineRule="auto"/>
        <w:rPr>
          <w:rFonts w:hAnsi="宋体" w:cs="宋体"/>
          <w:b/>
          <w:color w:val="auto"/>
          <w:szCs w:val="24"/>
          <w:highlight w:val="none"/>
        </w:rPr>
      </w:pPr>
      <w:r>
        <w:rPr>
          <w:rFonts w:hint="eastAsia" w:hAnsi="宋体" w:cs="宋体"/>
          <w:b/>
          <w:color w:val="auto"/>
          <w:szCs w:val="24"/>
          <w:highlight w:val="none"/>
        </w:rPr>
        <w:t xml:space="preserve">    五、免责条款 </w:t>
      </w:r>
    </w:p>
    <w:p>
      <w:pPr>
        <w:spacing w:line="360" w:lineRule="auto"/>
        <w:rPr>
          <w:rFonts w:hAnsi="宋体" w:cs="宋体"/>
          <w:color w:val="auto"/>
          <w:szCs w:val="24"/>
          <w:highlight w:val="none"/>
        </w:rPr>
      </w:pPr>
      <w:r>
        <w:rPr>
          <w:rFonts w:hint="eastAsia" w:hAnsi="宋体" w:cs="宋体"/>
          <w:color w:val="auto"/>
          <w:szCs w:val="24"/>
          <w:highlight w:val="none"/>
        </w:rPr>
        <w:t xml:space="preserve">    1．依照法律规定或你方与供应商的另行约定，全部或者部分免除供应商磋商保证金义务时，我方亦免除相应的保证责任。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2．因你方原因致使供应商发生本保函第一条第（一）款约定情形的，我方不承担保证责任。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3．因不可抗力造成供应商发生本保函第一条约定情形的，我方不承担保证责任。 </w:t>
      </w:r>
    </w:p>
    <w:p>
      <w:pPr>
        <w:spacing w:line="360" w:lineRule="auto"/>
        <w:rPr>
          <w:rFonts w:hAnsi="宋体" w:cs="宋体"/>
          <w:color w:val="auto"/>
          <w:szCs w:val="24"/>
          <w:highlight w:val="none"/>
        </w:rPr>
      </w:pPr>
      <w:r>
        <w:rPr>
          <w:rFonts w:hint="eastAsia" w:hAnsi="宋体" w:cs="宋体"/>
          <w:color w:val="auto"/>
          <w:szCs w:val="24"/>
          <w:highlight w:val="none"/>
        </w:rPr>
        <w:t xml:space="preserve">    4．你方或其他有权机关对竞争性磋商文件进行任何澄清或修改，加重我方保证责任的，我方对加重部分不承担保证责任，但该澄清或修改经我方事先书面同意的除外。 </w:t>
      </w:r>
    </w:p>
    <w:p>
      <w:pPr>
        <w:spacing w:line="360" w:lineRule="auto"/>
        <w:rPr>
          <w:rFonts w:hAnsi="宋体" w:cs="宋体"/>
          <w:b/>
          <w:color w:val="auto"/>
          <w:szCs w:val="24"/>
          <w:highlight w:val="none"/>
        </w:rPr>
      </w:pPr>
      <w:r>
        <w:rPr>
          <w:rFonts w:hint="eastAsia" w:hAnsi="宋体" w:cs="宋体"/>
          <w:color w:val="auto"/>
          <w:szCs w:val="24"/>
          <w:highlight w:val="none"/>
        </w:rPr>
        <w:t xml:space="preserve">   </w:t>
      </w:r>
      <w:r>
        <w:rPr>
          <w:rFonts w:hint="eastAsia" w:hAnsi="宋体" w:cs="宋体"/>
          <w:b/>
          <w:color w:val="auto"/>
          <w:szCs w:val="24"/>
          <w:highlight w:val="none"/>
        </w:rPr>
        <w:t xml:space="preserve"> 六、争议的解决 </w:t>
      </w:r>
    </w:p>
    <w:p>
      <w:pPr>
        <w:spacing w:line="360" w:lineRule="auto"/>
        <w:rPr>
          <w:rFonts w:hAnsi="宋体" w:cs="宋体"/>
          <w:color w:val="auto"/>
          <w:szCs w:val="24"/>
          <w:highlight w:val="none"/>
        </w:rPr>
      </w:pPr>
      <w:r>
        <w:rPr>
          <w:rFonts w:hint="eastAsia" w:hAnsi="宋体" w:cs="宋体"/>
          <w:color w:val="auto"/>
          <w:szCs w:val="24"/>
          <w:highlight w:val="none"/>
        </w:rPr>
        <w:t xml:space="preserve">    因本保函发生的纠纷，由你我双方协商解决，协商不成的，通过诉讼程序解决，诉讼管辖地法院为________________法院。 </w:t>
      </w:r>
    </w:p>
    <w:p>
      <w:pPr>
        <w:spacing w:line="360" w:lineRule="auto"/>
        <w:rPr>
          <w:rFonts w:hAnsi="宋体" w:cs="宋体"/>
          <w:b/>
          <w:color w:val="auto"/>
          <w:szCs w:val="24"/>
          <w:highlight w:val="none"/>
        </w:rPr>
      </w:pPr>
      <w:r>
        <w:rPr>
          <w:rFonts w:hint="eastAsia" w:hAnsi="宋体" w:cs="宋体"/>
          <w:b/>
          <w:color w:val="auto"/>
          <w:szCs w:val="24"/>
          <w:highlight w:val="none"/>
        </w:rPr>
        <w:t xml:space="preserve">    七、保函的生效 </w:t>
      </w:r>
    </w:p>
    <w:p>
      <w:pPr>
        <w:spacing w:line="360" w:lineRule="auto"/>
        <w:rPr>
          <w:rFonts w:hAnsi="宋体" w:cs="宋体"/>
          <w:color w:val="auto"/>
          <w:szCs w:val="24"/>
          <w:highlight w:val="none"/>
        </w:rPr>
      </w:pPr>
      <w:r>
        <w:rPr>
          <w:rFonts w:hint="eastAsia" w:hAnsi="宋体" w:cs="宋体"/>
          <w:color w:val="auto"/>
          <w:szCs w:val="24"/>
          <w:highlight w:val="none"/>
        </w:rPr>
        <w:t xml:space="preserve">    本保函自我方加盖公章之日起生效。 </w:t>
      </w:r>
    </w:p>
    <w:p>
      <w:pPr>
        <w:spacing w:line="360" w:lineRule="auto"/>
        <w:rPr>
          <w:rFonts w:hAnsi="宋体" w:cs="宋体"/>
          <w:color w:val="auto"/>
          <w:szCs w:val="24"/>
          <w:highlight w:val="none"/>
        </w:rPr>
      </w:pPr>
      <w:r>
        <w:rPr>
          <w:rFonts w:hint="eastAsia" w:hAnsi="宋体" w:cs="宋体"/>
          <w:color w:val="auto"/>
          <w:szCs w:val="24"/>
          <w:highlight w:val="none"/>
        </w:rPr>
        <w:t xml:space="preserve"> </w:t>
      </w:r>
    </w:p>
    <w:p>
      <w:pPr>
        <w:spacing w:line="360" w:lineRule="auto"/>
        <w:rPr>
          <w:rFonts w:hAnsi="宋体" w:cs="宋体"/>
          <w:color w:val="auto"/>
          <w:szCs w:val="24"/>
          <w:highlight w:val="none"/>
        </w:rPr>
      </w:pPr>
    </w:p>
    <w:p>
      <w:pPr>
        <w:spacing w:line="360" w:lineRule="auto"/>
        <w:ind w:right="640" w:firstLine="3840" w:firstLineChars="1600"/>
        <w:rPr>
          <w:rFonts w:hAnsi="宋体" w:cs="宋体"/>
          <w:color w:val="auto"/>
          <w:szCs w:val="24"/>
          <w:highlight w:val="none"/>
        </w:rPr>
      </w:pPr>
      <w:r>
        <w:rPr>
          <w:rFonts w:hint="eastAsia" w:hAnsi="宋体" w:cs="宋体"/>
          <w:color w:val="auto"/>
          <w:szCs w:val="24"/>
          <w:highlight w:val="none"/>
        </w:rPr>
        <w:t>保证人：（公章）</w:t>
      </w:r>
    </w:p>
    <w:p>
      <w:pPr>
        <w:spacing w:line="360" w:lineRule="auto"/>
        <w:ind w:right="640"/>
        <w:rPr>
          <w:rFonts w:hAnsi="宋体" w:cs="宋体"/>
          <w:color w:val="auto"/>
          <w:szCs w:val="24"/>
          <w:highlight w:val="none"/>
        </w:rPr>
      </w:pPr>
      <w:r>
        <w:rPr>
          <w:rFonts w:hint="eastAsia" w:hAnsi="宋体" w:cs="宋体"/>
          <w:color w:val="auto"/>
          <w:szCs w:val="24"/>
          <w:highlight w:val="none"/>
        </w:rPr>
        <w:t xml:space="preserve">                              年     月      日</w:t>
      </w: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color w:val="auto"/>
          <w:szCs w:val="24"/>
          <w:highlight w:val="none"/>
        </w:rPr>
      </w:pPr>
    </w:p>
    <w:p>
      <w:pPr>
        <w:spacing w:line="360" w:lineRule="auto"/>
        <w:rPr>
          <w:rFonts w:hAnsi="宋体" w:cs="宋体"/>
          <w:b/>
          <w:color w:val="auto"/>
          <w:sz w:val="28"/>
          <w:szCs w:val="28"/>
          <w:highlight w:val="none"/>
        </w:rPr>
      </w:pPr>
      <w:r>
        <w:rPr>
          <w:rFonts w:hint="eastAsia" w:hAnsi="宋体" w:cs="宋体"/>
          <w:color w:val="auto"/>
          <w:szCs w:val="24"/>
          <w:highlight w:val="none"/>
        </w:rPr>
        <w:t xml:space="preserve"> </w:t>
      </w:r>
      <w:r>
        <w:rPr>
          <w:rFonts w:hint="eastAsia" w:hAnsi="宋体" w:cs="宋体"/>
          <w:b/>
          <w:color w:val="auto"/>
          <w:sz w:val="28"/>
          <w:szCs w:val="28"/>
          <w:highlight w:val="none"/>
        </w:rPr>
        <w:t>附件</w:t>
      </w:r>
      <w:r>
        <w:rPr>
          <w:rFonts w:hint="eastAsia" w:hAnsi="宋体" w:cs="宋体"/>
          <w:b/>
          <w:color w:val="auto"/>
          <w:sz w:val="28"/>
          <w:szCs w:val="28"/>
          <w:highlight w:val="none"/>
          <w:lang w:val="en-US" w:eastAsia="zh-CN"/>
        </w:rPr>
        <w:t>7</w:t>
      </w:r>
      <w:r>
        <w:rPr>
          <w:rFonts w:hint="eastAsia" w:hAnsi="宋体" w:cs="宋体"/>
          <w:b/>
          <w:color w:val="auto"/>
          <w:sz w:val="28"/>
          <w:szCs w:val="28"/>
          <w:highlight w:val="none"/>
        </w:rPr>
        <w:t>：</w:t>
      </w:r>
    </w:p>
    <w:p>
      <w:pPr>
        <w:jc w:val="center"/>
        <w:rPr>
          <w:rFonts w:hAnsi="宋体" w:cs="宋体"/>
          <w:b/>
          <w:bCs/>
          <w:color w:val="auto"/>
          <w:sz w:val="44"/>
          <w:szCs w:val="44"/>
          <w:highlight w:val="none"/>
        </w:rPr>
      </w:pPr>
      <w:r>
        <w:rPr>
          <w:rFonts w:hint="eastAsia" w:hAnsi="宋体" w:cs="宋体"/>
          <w:b/>
          <w:bCs/>
          <w:color w:val="auto"/>
          <w:sz w:val="44"/>
          <w:szCs w:val="44"/>
          <w:highlight w:val="none"/>
        </w:rPr>
        <w:t>质疑函范本</w:t>
      </w:r>
    </w:p>
    <w:p>
      <w:pPr>
        <w:adjustRightInd w:val="0"/>
        <w:snapToGrid w:val="0"/>
        <w:spacing w:before="312" w:beforeLines="100" w:line="360" w:lineRule="auto"/>
        <w:rPr>
          <w:rFonts w:hAnsi="宋体" w:cs="宋体"/>
          <w:bCs/>
          <w:color w:val="auto"/>
          <w:szCs w:val="24"/>
          <w:highlight w:val="none"/>
        </w:rPr>
      </w:pPr>
      <w:r>
        <w:rPr>
          <w:rFonts w:hint="eastAsia" w:hAnsi="宋体" w:cs="宋体"/>
          <w:bCs/>
          <w:color w:val="auto"/>
          <w:szCs w:val="24"/>
          <w:highlight w:val="none"/>
        </w:rPr>
        <w:t>一、质疑供应商基本信息</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质疑供应商：</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地址：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授权代表：</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 xml:space="preserve">地址： </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二、质疑项目基本情况</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质疑项目的名称：</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质疑项目的编号：</w:t>
      </w:r>
      <w:r>
        <w:rPr>
          <w:rFonts w:hint="eastAsia" w:hAnsi="宋体" w:cs="宋体"/>
          <w:color w:val="auto"/>
          <w:szCs w:val="24"/>
          <w:highlight w:val="none"/>
          <w:u w:val="dotted"/>
        </w:rPr>
        <w:t xml:space="preserve">               </w:t>
      </w:r>
      <w:r>
        <w:rPr>
          <w:rFonts w:hint="eastAsia" w:hAnsi="宋体" w:cs="宋体"/>
          <w:color w:val="auto"/>
          <w:szCs w:val="24"/>
          <w:highlight w:val="none"/>
        </w:rPr>
        <w:t>包号：</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采购人名称：</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采购文件获取日期：</w:t>
      </w:r>
      <w:r>
        <w:rPr>
          <w:rFonts w:hint="eastAsia" w:hAnsi="宋体" w:cs="宋体"/>
          <w:color w:val="auto"/>
          <w:szCs w:val="24"/>
          <w:highlight w:val="none"/>
          <w:u w:val="dotted"/>
        </w:rPr>
        <w:t xml:space="preserve">                                           </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三、质疑事项具体内容</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质疑事项1：</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事实依据：</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法律依据：</w:t>
      </w: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u w:val="dotted"/>
        </w:rPr>
        <w:t xml:space="preserve">                                                     </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质疑事项2</w:t>
      </w:r>
    </w:p>
    <w:p>
      <w:pPr>
        <w:adjustRightInd w:val="0"/>
        <w:snapToGrid w:val="0"/>
        <w:spacing w:line="360" w:lineRule="auto"/>
        <w:rPr>
          <w:rFonts w:hAnsi="宋体" w:cs="宋体"/>
          <w:color w:val="auto"/>
          <w:szCs w:val="24"/>
          <w:highlight w:val="none"/>
        </w:rPr>
      </w:pPr>
      <w:r>
        <w:rPr>
          <w:rFonts w:hint="eastAsia" w:hAnsi="宋体" w:cs="宋体"/>
          <w:color w:val="auto"/>
          <w:szCs w:val="24"/>
          <w:highlight w:val="none"/>
        </w:rPr>
        <w:t>……</w:t>
      </w:r>
    </w:p>
    <w:p>
      <w:pPr>
        <w:adjustRightInd w:val="0"/>
        <w:snapToGrid w:val="0"/>
        <w:spacing w:line="360" w:lineRule="auto"/>
        <w:rPr>
          <w:rFonts w:hAnsi="宋体" w:cs="宋体"/>
          <w:bCs/>
          <w:color w:val="auto"/>
          <w:szCs w:val="24"/>
          <w:highlight w:val="none"/>
        </w:rPr>
      </w:pPr>
      <w:r>
        <w:rPr>
          <w:rFonts w:hint="eastAsia" w:hAnsi="宋体" w:cs="宋体"/>
          <w:bCs/>
          <w:color w:val="auto"/>
          <w:szCs w:val="24"/>
          <w:highlight w:val="none"/>
        </w:rPr>
        <w:t>四、与质疑事项相关的质疑请求</w:t>
      </w:r>
    </w:p>
    <w:p>
      <w:pPr>
        <w:adjustRightInd w:val="0"/>
        <w:snapToGrid w:val="0"/>
        <w:spacing w:line="360" w:lineRule="auto"/>
        <w:rPr>
          <w:rFonts w:hAnsi="宋体" w:cs="宋体"/>
          <w:color w:val="auto"/>
          <w:szCs w:val="24"/>
          <w:highlight w:val="none"/>
          <w:u w:val="dotted"/>
        </w:rPr>
      </w:pPr>
      <w:r>
        <w:rPr>
          <w:rFonts w:hint="eastAsia" w:hAnsi="宋体" w:cs="宋体"/>
          <w:color w:val="auto"/>
          <w:szCs w:val="24"/>
          <w:highlight w:val="none"/>
        </w:rPr>
        <w:t>请求：</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 xml:space="preserve">签字(签章)：                   公章：                      </w:t>
      </w:r>
    </w:p>
    <w:p>
      <w:pPr>
        <w:rPr>
          <w:rFonts w:hAnsi="宋体" w:cs="宋体"/>
          <w:color w:val="auto"/>
          <w:szCs w:val="24"/>
          <w:highlight w:val="none"/>
        </w:rPr>
      </w:pPr>
      <w:r>
        <w:rPr>
          <w:rFonts w:hint="eastAsia" w:hAnsi="宋体" w:cs="宋体"/>
          <w:color w:val="auto"/>
          <w:szCs w:val="24"/>
          <w:highlight w:val="none"/>
        </w:rPr>
        <w:t xml:space="preserve">日期：    </w:t>
      </w:r>
    </w:p>
    <w:p>
      <w:pPr>
        <w:jc w:val="center"/>
        <w:rPr>
          <w:rFonts w:hAnsi="宋体" w:cs="宋体"/>
          <w:b/>
          <w:color w:val="auto"/>
          <w:sz w:val="44"/>
          <w:szCs w:val="44"/>
          <w:highlight w:val="none"/>
        </w:rPr>
      </w:pPr>
    </w:p>
    <w:p>
      <w:pPr>
        <w:rPr>
          <w:rFonts w:hint="eastAsia" w:hAnsi="宋体" w:cs="宋体"/>
          <w:b/>
          <w:color w:val="auto"/>
          <w:sz w:val="44"/>
          <w:szCs w:val="44"/>
          <w:highlight w:val="none"/>
        </w:rPr>
      </w:pPr>
      <w:r>
        <w:rPr>
          <w:rFonts w:hint="eastAsia" w:hAnsi="宋体" w:cs="宋体"/>
          <w:b/>
          <w:color w:val="auto"/>
          <w:sz w:val="44"/>
          <w:szCs w:val="44"/>
          <w:highlight w:val="none"/>
        </w:rPr>
        <w:br w:type="page"/>
      </w:r>
    </w:p>
    <w:p>
      <w:pPr>
        <w:jc w:val="center"/>
        <w:rPr>
          <w:rFonts w:hAnsi="宋体" w:cs="宋体"/>
          <w:b/>
          <w:color w:val="auto"/>
          <w:sz w:val="44"/>
          <w:szCs w:val="44"/>
          <w:highlight w:val="none"/>
        </w:rPr>
      </w:pPr>
      <w:r>
        <w:rPr>
          <w:rFonts w:hint="eastAsia" w:hAnsi="宋体" w:cs="宋体"/>
          <w:b/>
          <w:color w:val="auto"/>
          <w:sz w:val="44"/>
          <w:szCs w:val="44"/>
          <w:highlight w:val="none"/>
        </w:rPr>
        <w:t>投诉书范本</w:t>
      </w:r>
    </w:p>
    <w:p>
      <w:pPr>
        <w:rPr>
          <w:rFonts w:hAnsi="宋体" w:cs="宋体"/>
          <w:color w:val="auto"/>
          <w:szCs w:val="24"/>
          <w:highlight w:val="none"/>
        </w:rPr>
      </w:pPr>
      <w:r>
        <w:rPr>
          <w:rFonts w:hint="eastAsia" w:hAnsi="宋体" w:cs="宋体"/>
          <w:color w:val="auto"/>
          <w:szCs w:val="24"/>
          <w:highlight w:val="none"/>
        </w:rPr>
        <w:t>一、投诉相关主体基本情况</w:t>
      </w:r>
    </w:p>
    <w:p>
      <w:pPr>
        <w:rPr>
          <w:rFonts w:hAnsi="宋体" w:cs="宋体"/>
          <w:color w:val="auto"/>
          <w:szCs w:val="24"/>
          <w:highlight w:val="none"/>
          <w:u w:val="dotted"/>
        </w:rPr>
      </w:pPr>
      <w:r>
        <w:rPr>
          <w:rFonts w:hint="eastAsia" w:hAnsi="宋体" w:cs="宋体"/>
          <w:color w:val="auto"/>
          <w:szCs w:val="24"/>
          <w:highlight w:val="none"/>
        </w:rPr>
        <w:t>投诉人：</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tabs>
          <w:tab w:val="left" w:pos="6510"/>
        </w:tabs>
        <w:jc w:val="left"/>
        <w:rPr>
          <w:rFonts w:hAnsi="宋体" w:cs="宋体"/>
          <w:color w:val="auto"/>
          <w:szCs w:val="24"/>
          <w:highlight w:val="none"/>
        </w:rPr>
      </w:pPr>
      <w:r>
        <w:rPr>
          <w:rFonts w:hint="eastAsia" w:hAnsi="宋体" w:cs="宋体"/>
          <w:color w:val="auto"/>
          <w:szCs w:val="24"/>
          <w:highlight w:val="none"/>
        </w:rPr>
        <w:t>法定代表人/主要负责人：</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tabs>
          <w:tab w:val="left" w:pos="6510"/>
        </w:tabs>
        <w:rPr>
          <w:rFonts w:hAnsi="宋体" w:cs="宋体"/>
          <w:color w:val="auto"/>
          <w:szCs w:val="24"/>
          <w:highlight w:val="none"/>
          <w:u w:val="dotted"/>
        </w:rPr>
      </w:pP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授权代表：</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被投诉人1：</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rPr>
      </w:pPr>
      <w:r>
        <w:rPr>
          <w:rFonts w:hint="eastAsia" w:hAnsi="宋体" w:cs="宋体"/>
          <w:color w:val="auto"/>
          <w:szCs w:val="24"/>
          <w:highlight w:val="none"/>
        </w:rPr>
        <w:t>被投诉人2</w:t>
      </w:r>
    </w:p>
    <w:p>
      <w:pPr>
        <w:rPr>
          <w:rFonts w:hAnsi="宋体" w:cs="宋体"/>
          <w:color w:val="auto"/>
          <w:szCs w:val="24"/>
          <w:highlight w:val="none"/>
          <w:u w:val="dotted"/>
        </w:rPr>
      </w:pPr>
      <w:r>
        <w:rPr>
          <w:rFonts w:hint="eastAsia" w:hAnsi="宋体" w:cs="宋体"/>
          <w:color w:val="auto"/>
          <w:szCs w:val="24"/>
          <w:highlight w:val="none"/>
        </w:rPr>
        <w:t>……</w:t>
      </w:r>
    </w:p>
    <w:p>
      <w:pPr>
        <w:rPr>
          <w:rFonts w:hAnsi="宋体" w:cs="宋体"/>
          <w:color w:val="auto"/>
          <w:szCs w:val="24"/>
          <w:highlight w:val="none"/>
          <w:u w:val="single"/>
        </w:rPr>
      </w:pPr>
      <w:r>
        <w:rPr>
          <w:rFonts w:hint="eastAsia" w:hAnsi="宋体" w:cs="宋体"/>
          <w:color w:val="auto"/>
          <w:szCs w:val="24"/>
          <w:highlight w:val="none"/>
        </w:rPr>
        <w:t>相关供应商：</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地     址：</w:t>
      </w:r>
      <w:r>
        <w:rPr>
          <w:rFonts w:hint="eastAsia" w:hAnsi="宋体" w:cs="宋体"/>
          <w:color w:val="auto"/>
          <w:szCs w:val="24"/>
          <w:highlight w:val="none"/>
          <w:u w:val="dotted"/>
        </w:rPr>
        <w:t xml:space="preserve">                             </w:t>
      </w:r>
      <w:r>
        <w:rPr>
          <w:rFonts w:hint="eastAsia" w:hAnsi="宋体" w:cs="宋体"/>
          <w:color w:val="auto"/>
          <w:szCs w:val="24"/>
          <w:highlight w:val="none"/>
        </w:rPr>
        <w:t>邮编：</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联系人：</w:t>
      </w:r>
      <w:r>
        <w:rPr>
          <w:rFonts w:hint="eastAsia" w:hAnsi="宋体" w:cs="宋体"/>
          <w:color w:val="auto"/>
          <w:szCs w:val="24"/>
          <w:highlight w:val="none"/>
          <w:u w:val="dotted"/>
        </w:rPr>
        <w:t xml:space="preserve">               </w:t>
      </w:r>
      <w:r>
        <w:rPr>
          <w:rFonts w:hint="eastAsia" w:hAnsi="宋体" w:cs="宋体"/>
          <w:color w:val="auto"/>
          <w:szCs w:val="24"/>
          <w:highlight w:val="none"/>
        </w:rPr>
        <w:t>联系电话：</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rPr>
      </w:pPr>
      <w:r>
        <w:rPr>
          <w:rFonts w:hint="eastAsia" w:hAnsi="宋体" w:cs="宋体"/>
          <w:color w:val="auto"/>
          <w:szCs w:val="24"/>
          <w:highlight w:val="none"/>
        </w:rPr>
        <w:t>二、投诉项目基本情况</w:t>
      </w:r>
    </w:p>
    <w:p>
      <w:pPr>
        <w:rPr>
          <w:rFonts w:hAnsi="宋体" w:cs="宋体"/>
          <w:color w:val="auto"/>
          <w:szCs w:val="24"/>
          <w:highlight w:val="none"/>
          <w:u w:val="dotted"/>
        </w:rPr>
      </w:pPr>
      <w:r>
        <w:rPr>
          <w:rFonts w:hint="eastAsia" w:hAnsi="宋体" w:cs="宋体"/>
          <w:color w:val="auto"/>
          <w:szCs w:val="24"/>
          <w:highlight w:val="none"/>
        </w:rPr>
        <w:t>采购项目名称：</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采购项目编号：</w:t>
      </w:r>
      <w:r>
        <w:rPr>
          <w:rFonts w:hint="eastAsia" w:hAnsi="宋体" w:cs="宋体"/>
          <w:color w:val="auto"/>
          <w:szCs w:val="24"/>
          <w:highlight w:val="none"/>
          <w:u w:val="dotted"/>
        </w:rPr>
        <w:t xml:space="preserve">                 </w:t>
      </w:r>
      <w:r>
        <w:rPr>
          <w:rFonts w:hint="eastAsia" w:hAnsi="宋体" w:cs="宋体"/>
          <w:color w:val="auto"/>
          <w:szCs w:val="24"/>
          <w:highlight w:val="none"/>
        </w:rPr>
        <w:t>包号：</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采购人名称：</w:t>
      </w:r>
      <w:r>
        <w:rPr>
          <w:rFonts w:hint="eastAsia" w:hAnsi="宋体" w:cs="宋体"/>
          <w:color w:val="auto"/>
          <w:szCs w:val="24"/>
          <w:highlight w:val="none"/>
          <w:u w:val="dotted"/>
        </w:rPr>
        <w:t xml:space="preserve">                                           </w:t>
      </w:r>
      <w:r>
        <w:rPr>
          <w:rFonts w:hint="eastAsia" w:hAnsi="宋体" w:cs="宋体"/>
          <w:color w:val="auto"/>
          <w:szCs w:val="24"/>
          <w:highlight w:val="none"/>
          <w:u w:val="single"/>
        </w:rPr>
        <w:t xml:space="preserve">  </w:t>
      </w:r>
    </w:p>
    <w:p>
      <w:pPr>
        <w:rPr>
          <w:rFonts w:hAnsi="宋体" w:cs="宋体"/>
          <w:color w:val="auto"/>
          <w:szCs w:val="24"/>
          <w:highlight w:val="none"/>
          <w:u w:val="single"/>
        </w:rPr>
      </w:pPr>
      <w:r>
        <w:rPr>
          <w:rFonts w:hint="eastAsia" w:hAnsi="宋体" w:cs="宋体"/>
          <w:color w:val="auto"/>
          <w:szCs w:val="24"/>
          <w:highlight w:val="none"/>
        </w:rPr>
        <w:t>代理机构名称：</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rPr>
        <w:t>采购文件公告:</w:t>
      </w:r>
      <w:r>
        <w:rPr>
          <w:rFonts w:hint="eastAsia" w:hAnsi="宋体" w:cs="宋体"/>
          <w:color w:val="auto"/>
          <w:szCs w:val="24"/>
          <w:highlight w:val="none"/>
          <w:u w:val="dotted"/>
        </w:rPr>
        <w:t xml:space="preserve">是/否 </w:t>
      </w:r>
      <w:r>
        <w:rPr>
          <w:rFonts w:hint="eastAsia" w:hAnsi="宋体" w:cs="宋体"/>
          <w:color w:val="auto"/>
          <w:szCs w:val="24"/>
          <w:highlight w:val="none"/>
        </w:rPr>
        <w:t>公告期限：</w:t>
      </w: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采购结果公告:</w:t>
      </w:r>
      <w:r>
        <w:rPr>
          <w:rFonts w:hint="eastAsia" w:hAnsi="宋体" w:cs="宋体"/>
          <w:color w:val="auto"/>
          <w:szCs w:val="24"/>
          <w:highlight w:val="none"/>
          <w:u w:val="dotted"/>
        </w:rPr>
        <w:t xml:space="preserve">是/否 </w:t>
      </w:r>
      <w:r>
        <w:rPr>
          <w:rFonts w:hint="eastAsia" w:hAnsi="宋体" w:cs="宋体"/>
          <w:color w:val="auto"/>
          <w:szCs w:val="24"/>
          <w:highlight w:val="none"/>
        </w:rPr>
        <w:t>公告期限：</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三、质疑基本情况</w:t>
      </w:r>
    </w:p>
    <w:p>
      <w:pPr>
        <w:ind w:firstLine="480" w:firstLineChars="200"/>
        <w:rPr>
          <w:rFonts w:hAnsi="宋体" w:cs="宋体"/>
          <w:color w:val="auto"/>
          <w:szCs w:val="24"/>
          <w:highlight w:val="none"/>
          <w:u w:val="dotted"/>
        </w:rPr>
      </w:pPr>
      <w:r>
        <w:rPr>
          <w:rFonts w:hint="eastAsia" w:hAnsi="宋体" w:cs="宋体"/>
          <w:color w:val="auto"/>
          <w:szCs w:val="24"/>
          <w:highlight w:val="none"/>
        </w:rPr>
        <w:t>投诉人于</w:t>
      </w:r>
      <w:r>
        <w:rPr>
          <w:rFonts w:hint="eastAsia" w:hAnsi="宋体" w:cs="宋体"/>
          <w:color w:val="auto"/>
          <w:szCs w:val="24"/>
          <w:highlight w:val="none"/>
          <w:u w:val="dotted"/>
        </w:rPr>
        <w:t xml:space="preserve">   </w:t>
      </w:r>
      <w:r>
        <w:rPr>
          <w:rFonts w:hint="eastAsia" w:hAnsi="宋体" w:cs="宋体"/>
          <w:color w:val="auto"/>
          <w:szCs w:val="24"/>
          <w:highlight w:val="none"/>
        </w:rPr>
        <w:t>年</w:t>
      </w:r>
      <w:r>
        <w:rPr>
          <w:rFonts w:hint="eastAsia" w:hAnsi="宋体" w:cs="宋体"/>
          <w:color w:val="auto"/>
          <w:szCs w:val="24"/>
          <w:highlight w:val="none"/>
          <w:u w:val="dotted"/>
        </w:rPr>
        <w:t xml:space="preserve">   </w:t>
      </w:r>
      <w:r>
        <w:rPr>
          <w:rFonts w:hint="eastAsia" w:hAnsi="宋体" w:cs="宋体"/>
          <w:color w:val="auto"/>
          <w:szCs w:val="24"/>
          <w:highlight w:val="none"/>
        </w:rPr>
        <w:t>月</w:t>
      </w:r>
      <w:r>
        <w:rPr>
          <w:rFonts w:hint="eastAsia" w:hAnsi="宋体" w:cs="宋体"/>
          <w:color w:val="auto"/>
          <w:szCs w:val="24"/>
          <w:highlight w:val="none"/>
          <w:u w:val="dotted"/>
        </w:rPr>
        <w:t xml:space="preserve">  </w:t>
      </w:r>
      <w:r>
        <w:rPr>
          <w:rFonts w:hint="eastAsia" w:hAnsi="宋体" w:cs="宋体"/>
          <w:color w:val="auto"/>
          <w:szCs w:val="24"/>
          <w:highlight w:val="none"/>
        </w:rPr>
        <w:t>日,向</w:t>
      </w:r>
      <w:r>
        <w:rPr>
          <w:rFonts w:hint="eastAsia" w:hAnsi="宋体" w:cs="宋体"/>
          <w:color w:val="auto"/>
          <w:szCs w:val="24"/>
          <w:highlight w:val="none"/>
          <w:u w:val="dotted"/>
        </w:rPr>
        <w:t xml:space="preserve">                   </w:t>
      </w:r>
      <w:r>
        <w:rPr>
          <w:rFonts w:hint="eastAsia" w:hAnsi="宋体" w:cs="宋体"/>
          <w:color w:val="auto"/>
          <w:szCs w:val="24"/>
          <w:highlight w:val="none"/>
        </w:rPr>
        <w:t>提出质疑，质疑事项为：</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ind w:firstLine="360" w:firstLineChars="150"/>
        <w:rPr>
          <w:rFonts w:hAnsi="宋体" w:cs="宋体"/>
          <w:color w:val="auto"/>
          <w:szCs w:val="24"/>
          <w:highlight w:val="none"/>
        </w:rPr>
      </w:pPr>
      <w:r>
        <w:rPr>
          <w:rFonts w:hint="eastAsia" w:hAnsi="宋体" w:cs="宋体"/>
          <w:color w:val="auto"/>
          <w:szCs w:val="24"/>
          <w:highlight w:val="none"/>
          <w:u w:val="dotted"/>
        </w:rPr>
        <w:t>采购人/代理机构</w:t>
      </w:r>
      <w:r>
        <w:rPr>
          <w:rFonts w:hint="eastAsia" w:hAnsi="宋体" w:cs="宋体"/>
          <w:color w:val="auto"/>
          <w:szCs w:val="24"/>
          <w:highlight w:val="none"/>
        </w:rPr>
        <w:t>于</w:t>
      </w:r>
      <w:r>
        <w:rPr>
          <w:rFonts w:hint="eastAsia" w:hAnsi="宋体" w:cs="宋体"/>
          <w:color w:val="auto"/>
          <w:szCs w:val="24"/>
          <w:highlight w:val="none"/>
          <w:u w:val="dotted"/>
        </w:rPr>
        <w:t xml:space="preserve">   </w:t>
      </w:r>
      <w:r>
        <w:rPr>
          <w:rFonts w:hint="eastAsia" w:hAnsi="宋体" w:cs="宋体"/>
          <w:color w:val="auto"/>
          <w:szCs w:val="24"/>
          <w:highlight w:val="none"/>
        </w:rPr>
        <w:t>年</w:t>
      </w:r>
      <w:r>
        <w:rPr>
          <w:rFonts w:hint="eastAsia" w:hAnsi="宋体" w:cs="宋体"/>
          <w:color w:val="auto"/>
          <w:szCs w:val="24"/>
          <w:highlight w:val="none"/>
          <w:u w:val="dotted"/>
        </w:rPr>
        <w:t xml:space="preserve">   </w:t>
      </w:r>
      <w:r>
        <w:rPr>
          <w:rFonts w:hint="eastAsia" w:hAnsi="宋体" w:cs="宋体"/>
          <w:color w:val="auto"/>
          <w:szCs w:val="24"/>
          <w:highlight w:val="none"/>
        </w:rPr>
        <w:t>月</w:t>
      </w:r>
      <w:r>
        <w:rPr>
          <w:rFonts w:hint="eastAsia" w:hAnsi="宋体" w:cs="宋体"/>
          <w:color w:val="auto"/>
          <w:szCs w:val="24"/>
          <w:highlight w:val="none"/>
          <w:u w:val="dotted"/>
        </w:rPr>
        <w:t xml:space="preserve">   </w:t>
      </w:r>
      <w:r>
        <w:rPr>
          <w:rFonts w:hint="eastAsia" w:hAnsi="宋体" w:cs="宋体"/>
          <w:color w:val="auto"/>
          <w:szCs w:val="24"/>
          <w:highlight w:val="none"/>
        </w:rPr>
        <w:t>日,就质疑事项作出了答复/没有在法定期限内作出答复。</w:t>
      </w:r>
    </w:p>
    <w:p>
      <w:pPr>
        <w:rPr>
          <w:rFonts w:hAnsi="宋体" w:cs="宋体"/>
          <w:color w:val="auto"/>
          <w:szCs w:val="24"/>
          <w:highlight w:val="none"/>
        </w:rPr>
      </w:pPr>
      <w:r>
        <w:rPr>
          <w:rFonts w:hint="eastAsia" w:hAnsi="宋体" w:cs="宋体"/>
          <w:color w:val="auto"/>
          <w:szCs w:val="24"/>
          <w:highlight w:val="none"/>
        </w:rPr>
        <w:t>四、投诉事项具体内容</w:t>
      </w:r>
    </w:p>
    <w:p>
      <w:pPr>
        <w:rPr>
          <w:rFonts w:hAnsi="宋体" w:cs="宋体"/>
          <w:color w:val="auto"/>
          <w:szCs w:val="24"/>
          <w:highlight w:val="none"/>
          <w:u w:val="single"/>
        </w:rPr>
      </w:pPr>
      <w:r>
        <w:rPr>
          <w:rFonts w:hint="eastAsia" w:hAnsi="宋体" w:cs="宋体"/>
          <w:color w:val="auto"/>
          <w:szCs w:val="24"/>
          <w:highlight w:val="none"/>
        </w:rPr>
        <w:t>投诉事项 1：</w:t>
      </w: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事实依据：</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p>
    <w:p>
      <w:pPr>
        <w:rPr>
          <w:rFonts w:hAnsi="宋体" w:cs="宋体"/>
          <w:color w:val="auto"/>
          <w:szCs w:val="24"/>
          <w:highlight w:val="none"/>
          <w:u w:val="single"/>
        </w:rPr>
      </w:pPr>
      <w:r>
        <w:rPr>
          <w:rFonts w:hint="eastAsia" w:hAnsi="宋体" w:cs="宋体"/>
          <w:color w:val="auto"/>
          <w:szCs w:val="24"/>
          <w:highlight w:val="none"/>
        </w:rPr>
        <w:t>法律依据：</w:t>
      </w:r>
      <w:r>
        <w:rPr>
          <w:rFonts w:hint="eastAsia" w:hAnsi="宋体" w:cs="宋体"/>
          <w:color w:val="auto"/>
          <w:szCs w:val="24"/>
          <w:highlight w:val="none"/>
          <w:u w:val="dotted"/>
        </w:rPr>
        <w:t xml:space="preserve">                                          </w:t>
      </w:r>
    </w:p>
    <w:p>
      <w:pPr>
        <w:rPr>
          <w:rFonts w:hAnsi="宋体" w:cs="宋体"/>
          <w:color w:val="auto"/>
          <w:szCs w:val="24"/>
          <w:highlight w:val="none"/>
          <w:u w:val="dotted"/>
        </w:rPr>
      </w:pPr>
      <w:r>
        <w:rPr>
          <w:rFonts w:hint="eastAsia" w:hAnsi="宋体" w:cs="宋体"/>
          <w:color w:val="auto"/>
          <w:szCs w:val="24"/>
          <w:highlight w:val="none"/>
          <w:u w:val="dotted"/>
        </w:rPr>
        <w:t xml:space="preserve">                                                      </w:t>
      </w:r>
    </w:p>
    <w:p>
      <w:pPr>
        <w:rPr>
          <w:rFonts w:hAnsi="宋体" w:cs="宋体"/>
          <w:color w:val="auto"/>
          <w:szCs w:val="24"/>
          <w:highlight w:val="none"/>
        </w:rPr>
      </w:pPr>
      <w:r>
        <w:rPr>
          <w:rFonts w:hint="eastAsia" w:hAnsi="宋体" w:cs="宋体"/>
          <w:color w:val="auto"/>
          <w:szCs w:val="24"/>
          <w:highlight w:val="none"/>
        </w:rPr>
        <w:t>投诉事项2</w:t>
      </w:r>
    </w:p>
    <w:p>
      <w:pPr>
        <w:rPr>
          <w:rFonts w:hAnsi="宋体" w:cs="宋体"/>
          <w:color w:val="auto"/>
          <w:szCs w:val="24"/>
          <w:highlight w:val="none"/>
          <w:u w:val="dotted"/>
        </w:rPr>
      </w:pPr>
      <w:r>
        <w:rPr>
          <w:rFonts w:hint="eastAsia" w:hAnsi="宋体" w:cs="宋体"/>
          <w:color w:val="auto"/>
          <w:szCs w:val="24"/>
          <w:highlight w:val="none"/>
        </w:rPr>
        <w:t>……</w:t>
      </w:r>
    </w:p>
    <w:p>
      <w:pPr>
        <w:rPr>
          <w:rFonts w:hAnsi="宋体" w:cs="宋体"/>
          <w:color w:val="auto"/>
          <w:szCs w:val="24"/>
          <w:highlight w:val="none"/>
        </w:rPr>
      </w:pPr>
      <w:r>
        <w:rPr>
          <w:rFonts w:hint="eastAsia" w:hAnsi="宋体" w:cs="宋体"/>
          <w:color w:val="auto"/>
          <w:szCs w:val="24"/>
          <w:highlight w:val="none"/>
        </w:rPr>
        <w:t>五、与投诉事项相关的投诉请求</w:t>
      </w:r>
    </w:p>
    <w:p>
      <w:pPr>
        <w:rPr>
          <w:rFonts w:hAnsi="宋体" w:cs="宋体"/>
          <w:color w:val="auto"/>
          <w:szCs w:val="24"/>
          <w:highlight w:val="none"/>
        </w:rPr>
      </w:pPr>
      <w:r>
        <w:rPr>
          <w:rFonts w:hint="eastAsia" w:hAnsi="宋体" w:cs="宋体"/>
          <w:color w:val="auto"/>
          <w:szCs w:val="24"/>
          <w:highlight w:val="none"/>
        </w:rPr>
        <w:t>请求：</w:t>
      </w:r>
      <w:r>
        <w:rPr>
          <w:rFonts w:hint="eastAsia" w:hAnsi="宋体" w:cs="宋体"/>
          <w:color w:val="auto"/>
          <w:szCs w:val="24"/>
          <w:highlight w:val="none"/>
          <w:u w:val="dotted"/>
        </w:rPr>
        <w:t xml:space="preserve">                                              </w:t>
      </w:r>
      <w:r>
        <w:rPr>
          <w:rFonts w:hint="eastAsia" w:hAnsi="宋体" w:cs="宋体"/>
          <w:color w:val="auto"/>
          <w:szCs w:val="24"/>
          <w:highlight w:val="none"/>
        </w:rPr>
        <w:t xml:space="preserve"> </w:t>
      </w:r>
    </w:p>
    <w:p>
      <w:pPr>
        <w:rPr>
          <w:rFonts w:hAnsi="宋体" w:cs="宋体"/>
          <w:color w:val="auto"/>
          <w:szCs w:val="24"/>
          <w:highlight w:val="none"/>
          <w:u w:val="single"/>
        </w:rPr>
      </w:pPr>
      <w:r>
        <w:rPr>
          <w:rFonts w:hint="eastAsia" w:hAnsi="宋体" w:cs="宋体"/>
          <w:color w:val="auto"/>
          <w:szCs w:val="24"/>
          <w:highlight w:val="none"/>
        </w:rPr>
        <w:t xml:space="preserve">                                                                                                    </w:t>
      </w:r>
    </w:p>
    <w:p>
      <w:pPr>
        <w:rPr>
          <w:rFonts w:hAnsi="宋体" w:cs="宋体"/>
          <w:color w:val="auto"/>
          <w:szCs w:val="24"/>
          <w:highlight w:val="none"/>
        </w:rPr>
      </w:pPr>
      <w:r>
        <w:rPr>
          <w:rFonts w:hint="eastAsia" w:hAnsi="宋体" w:cs="宋体"/>
          <w:color w:val="auto"/>
          <w:szCs w:val="24"/>
          <w:highlight w:val="none"/>
        </w:rPr>
        <w:t xml:space="preserve">签字(签章)：                   公章：                      </w:t>
      </w:r>
    </w:p>
    <w:p>
      <w:pPr>
        <w:rPr>
          <w:rFonts w:hAnsi="宋体" w:cs="宋体"/>
          <w:color w:val="auto"/>
          <w:szCs w:val="24"/>
          <w:highlight w:val="none"/>
        </w:rPr>
      </w:pPr>
      <w:r>
        <w:rPr>
          <w:rFonts w:hint="eastAsia" w:hAnsi="宋体" w:cs="宋体"/>
          <w:color w:val="auto"/>
          <w:szCs w:val="24"/>
          <w:highlight w:val="none"/>
        </w:rPr>
        <w:t xml:space="preserve">日期：                      </w:t>
      </w:r>
      <w:r>
        <w:rPr>
          <w:rFonts w:hint="eastAsia" w:hAnsi="宋体" w:cs="宋体"/>
          <w:color w:val="auto"/>
          <w:szCs w:val="24"/>
          <w:highlight w:val="none"/>
        </w:rPr>
        <w:tab/>
      </w:r>
    </w:p>
    <w:p>
      <w:pPr>
        <w:bidi w:val="0"/>
        <w:rPr>
          <w:rFonts w:hint="eastAsia"/>
          <w:color w:val="auto"/>
          <w:highlight w:val="none"/>
          <w:lang w:eastAsia="zh-CN"/>
        </w:rPr>
      </w:pPr>
    </w:p>
    <w:p>
      <w:pPr>
        <w:bidi w:val="0"/>
        <w:rPr>
          <w:rFonts w:hint="eastAsia"/>
          <w:color w:val="auto"/>
          <w:highlight w:val="none"/>
          <w:lang w:eastAsia="zh-CN"/>
        </w:rPr>
      </w:pPr>
    </w:p>
    <w:sectPr>
      <w:pgSz w:w="11906" w:h="16838"/>
      <w:pgMar w:top="1417" w:right="1134" w:bottom="1417" w:left="141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swiss"/>
    <w:pitch w:val="default"/>
    <w:sig w:usb0="A00002EF" w:usb1="4000207B" w:usb2="00000000" w:usb3="00000000" w:csb0="2000019F" w:csb1="00000000"/>
  </w:font>
  <w:font w:name="华文仿宋">
    <w:altName w:val="仿宋"/>
    <w:panose1 w:val="02010600040101010101"/>
    <w:charset w:val="7A"/>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szCs w:val="18"/>
      </w:rPr>
      <mc:AlternateContent>
        <mc:Choice Requires="wps">
          <w:drawing>
            <wp:anchor distT="0" distB="0" distL="114300" distR="114300" simplePos="0" relativeHeight="25166438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438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BsFYq3GAQAAmw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 xml:space="preserve"> </w:t>
    </w:r>
    <w:r>
      <w:rPr>
        <w:rFonts w:hint="eastAsia" w:cs="宋体"/>
        <w:color w:val="333333"/>
        <w:sz w:val="18"/>
        <w:szCs w:val="18"/>
        <w:shd w:val="clear" w:color="auto" w:fill="FFFFFF"/>
      </w:rPr>
      <w:t>陕西至诚招标咨询有限公司</w:t>
    </w:r>
    <w:r>
      <w:rPr>
        <w:rFonts w:hint="eastAsia"/>
        <w:sz w:val="18"/>
        <w:szCs w:val="18"/>
      </w:rPr>
      <w:t xml:space="preserve">                                   地址：</w:t>
    </w:r>
    <w:r>
      <w:rPr>
        <w:sz w:val="18"/>
        <w:szCs w:val="18"/>
      </w:rPr>
      <mc:AlternateContent>
        <mc:Choice Requires="wps">
          <w:drawing>
            <wp:anchor distT="0" distB="0" distL="114300" distR="114300" simplePos="0" relativeHeight="25166336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336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Kx2gwrGAQAAmw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2336"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2336;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Mtk7rrGAQAAmw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1312"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1312;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CNUKLHGAQAAmw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M6pebnPAAAABQEAAA8AAAAAAAAAAQAgAAAAIgAAAGRycy9kb3ducmV2LnhtbFBL&#10;AQIUABQAAAAIAIdO4kBERkUBxgEAAJsDAAAOAAAAAAAAAAEAIAAAAB4BAABkcnMvZTJvRG9jLnht&#10;bFBLBQYAAAAABgAGAFkBAABW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西安市高新区高新路瑞欣大厦6楼A室</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szCs w:val="18"/>
      </w:rPr>
      <mc:AlternateContent>
        <mc:Choice Requires="wps">
          <w:drawing>
            <wp:anchor distT="0" distB="0" distL="114300" distR="114300" simplePos="0" relativeHeight="251667456"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7456;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hALhidQAAAAIAQAADwAAAAAAAAABACAAAAAiAAAAZHJzL2Rvd25yZXYu&#10;eG1sUEsBAhQAFAAAAAgAh07iQFuS7ALGAQAAnQMAAA4AAAAAAAAAAQAgAAAAIwEAAGRycy9lMm9E&#10;b2MueG1sUEsFBgAAAAAGAAYAWQEAAFsFA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98</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D+ExAgAAZQ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w/hMQIAAGU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rPr>
                        <w:rFonts w:hint="eastAsia"/>
                      </w:rPr>
                      <w:t>98</w:t>
                    </w:r>
                    <w:r>
                      <w:fldChar w:fldCharType="end"/>
                    </w:r>
                    <w:r>
                      <w:rPr>
                        <w:rFonts w:hint="eastAsia"/>
                      </w:rPr>
                      <w:t xml:space="preserve"> 页</w:t>
                    </w:r>
                  </w:p>
                </w:txbxContent>
              </v:textbox>
            </v:shape>
          </w:pict>
        </mc:Fallback>
      </mc:AlternateContent>
    </w:r>
    <w:r>
      <w:rPr>
        <w:sz w:val="18"/>
        <w:szCs w:val="18"/>
      </w:rPr>
      <mc:AlternateContent>
        <mc:Choice Requires="wps">
          <w:drawing>
            <wp:anchor distT="0" distB="0" distL="114300" distR="114300" simplePos="0" relativeHeight="251672576"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72576;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CLuTer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 xml:space="preserve"> </w:t>
    </w:r>
    <w:r>
      <w:rPr>
        <w:rFonts w:hint="eastAsia" w:cs="宋体"/>
        <w:color w:val="333333"/>
        <w:sz w:val="18"/>
        <w:szCs w:val="18"/>
        <w:shd w:val="clear" w:color="auto" w:fill="FFFFFF"/>
      </w:rPr>
      <w:t>陕西至诚招标咨询有限公司</w:t>
    </w:r>
    <w:r>
      <w:rPr>
        <w:rFonts w:hint="eastAsia"/>
        <w:sz w:val="18"/>
        <w:szCs w:val="18"/>
      </w:rPr>
      <w:t xml:space="preserve">                                   地址：</w:t>
    </w:r>
    <w:r>
      <w:rPr>
        <w:sz w:val="18"/>
        <w:szCs w:val="18"/>
      </w:rPr>
      <mc:AlternateContent>
        <mc:Choice Requires="wps">
          <w:drawing>
            <wp:anchor distT="0" distB="0" distL="114300" distR="114300" simplePos="0" relativeHeight="251671552"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71552;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BNblIZ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70528"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70528;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Bq6PAj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9504"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69504;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CsP5WR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sz w:val="18"/>
        <w:szCs w:val="18"/>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0NWJ8cBAACdAwAADgAAAAAAAAABACAAAAAe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西安市高新区高新路瑞欣大厦6楼A室</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jp6UzAgAAZQQAAA4AAABkcnMvZTJvRG9jLnhtbK1UzY7TMBC+I/EO&#10;lu80aRGrUj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Ozjp6UzAgAAZQQAAA4AAAAAAAAAAQAgAAAAHwEAAGRycy9lMm9Eb2MueG1sUEsF&#10;BgAAAAAGAAYAWQEAAMQFA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95</w:t>
                    </w:r>
                    <w:r>
                      <w:fldChar w:fldCharType="end"/>
                    </w:r>
                    <w:r>
                      <w:rPr>
                        <w:rFonts w:hint="eastAsia"/>
                      </w:rPr>
                      <w:t xml:space="preserve"> 页</w:t>
                    </w:r>
                  </w:p>
                </w:txbxContent>
              </v:textbox>
            </v:shape>
          </w:pict>
        </mc:Fallback>
      </mc:AlternateContent>
    </w:r>
    <w:r>
      <w:rPr>
        <w:sz w:val="18"/>
        <w:szCs w:val="18"/>
      </w:rPr>
      <mc:AlternateContent>
        <mc:Choice Requires="wps">
          <w:drawing>
            <wp:anchor distT="0" distB="0" distL="114300" distR="114300" simplePos="0" relativeHeight="251673600" behindDoc="0" locked="0" layoutInCell="1" allowOverlap="1">
              <wp:simplePos x="0" y="0"/>
              <wp:positionH relativeFrom="margin">
                <wp:posOffset>2912745</wp:posOffset>
              </wp:positionH>
              <wp:positionV relativeFrom="paragraph">
                <wp:posOffset>0</wp:posOffset>
              </wp:positionV>
              <wp:extent cx="1828800" cy="1828800"/>
              <wp:effectExtent l="0" t="0" r="0" b="0"/>
              <wp:wrapNone/>
              <wp:docPr id="21" name="文本框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left:229.35pt;margin-top:0pt;height:144pt;width:144pt;mso-position-horizontal-relative:margin;mso-wrap-style:none;z-index:251673600;mso-width-relative:page;mso-height-relative:page;" filled="f" stroked="f" coordsize="21600,21600" o:gfxdata="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IQC4YnUAAAACAEAAA8AAAAAAAAAAQAgAAAAIgAAAGRycy9kb3ducmV2&#10;LnhtbFBLAQIUABQAAAAIAIdO4kCtlDOVxwEAAJ0DAAAOAAAAAAAAAAEAIAAAACMBAABkcnMvZTJv&#10;RG9jLnhtbFBLBQYAAAAABgAGAFkBAABcBQAAAAA=&#10;">
              <v:fill on="f" focussize="0,0"/>
              <v:stroke on="f"/>
              <v:imagedata o:title=""/>
              <o:lock v:ext="edit" aspectratio="f"/>
              <v:textbox inset="0mm,0mm,0mm,0mm" style="mso-fit-shape-to-text:t;">
                <w:txbxContent>
                  <w:p>
                    <w:pPr>
                      <w:snapToGrid w:val="0"/>
                      <w:rPr>
                        <w:sz w:val="18"/>
                      </w:rPr>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rPr>
        <w:sz w:val="18"/>
        <w:szCs w:val="18"/>
      </w:rPr>
    </w:pPr>
    <w:r>
      <w:rPr>
        <w:sz w:val="1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86" name="文本框 8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6kk6wyAgAAZQ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qSTrDICAABlBAAADgAAAAAAAAABACAAAAAfAQAAZHJzL2Uyb0RvYy54bWxQSwUG&#10;AAAAAAYABgBZAQAAww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r>
                      <w:rPr>
                        <w:rFonts w:hint="eastAsia"/>
                      </w:rPr>
                      <w:t xml:space="preserve"> 页 共 </w:t>
                    </w:r>
                    <w:r>
                      <w:fldChar w:fldCharType="begin"/>
                    </w:r>
                    <w:r>
                      <w:instrText xml:space="preserve"> NUMPAGES  \* MERGEFORMAT </w:instrText>
                    </w:r>
                    <w:r>
                      <w:fldChar w:fldCharType="separate"/>
                    </w:r>
                    <w:r>
                      <w:t>95</w:t>
                    </w:r>
                    <w:r>
                      <w:fldChar w:fldCharType="end"/>
                    </w:r>
                    <w:r>
                      <w:rPr>
                        <w:rFonts w:hint="eastAsia"/>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646"/>
      </w:tabs>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r>
                            <w:rPr>
                              <w:rFonts w:hint="eastAsia"/>
                            </w:rP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ql5uc8AAAAFAQAADwAAAAAAAAABACAAAAAiAAAAZHJzL2Rvd25yZXYueG1sUEsB&#10;AhQAFAAAAAgAh07iQAy1myXFAQAAmwMAAA4AAAAAAAAAAQAgAAAAHgEAAGRycy9lMm9Eb2MueG1s&#10;UEsFBgAAAAAGAAYAWQEAAFUFAAAAAA==&#10;">
              <v:fill on="f" focussize="0,0"/>
              <v:stroke on="f"/>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r>
                      <w:rPr>
                        <w:rFonts w:hint="eastAsia"/>
                      </w:rPr>
                      <w:t xml:space="preserve"> 页</w:t>
                    </w:r>
                  </w:p>
                </w:txbxContent>
              </v:textbox>
            </v:shape>
          </w:pict>
        </mc:Fallback>
      </mc:AlternateContent>
    </w:r>
    <w:r>
      <w:rPr>
        <w:sz w:val="18"/>
        <w:szCs w:val="18"/>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a6f2lccBAACbAwAADgAAAAAAAAABACAAAAAeAQAAZHJzL2Uyb0RvYy54&#10;bWxQSwUGAAAAAAYABgBZAQAAVwUAAAAA&#10;">
              <v:fill on="f" focussize="0,0"/>
              <v:stroke on="f"/>
              <v:imagedata o:title=""/>
              <o:lock v:ext="edit" aspectratio="f"/>
              <v:textbox inset="0mm,0mm,0mm,0mm" style="mso-fit-shape-to-text:t;">
                <w:txbxContent>
                  <w:p>
                    <w:pPr>
                      <w:snapToGrid w:val="0"/>
                      <w:rPr>
                        <w:sz w:val="18"/>
                      </w:rPr>
                    </w:pPr>
                  </w:p>
                </w:txbxContent>
              </v:textbox>
            </v:shape>
          </w:pict>
        </mc:Fallback>
      </mc:AlternateContent>
    </w:r>
    <w:r>
      <w:rPr>
        <w:rFonts w:hint="eastAsia"/>
        <w:sz w:val="18"/>
        <w:szCs w:val="18"/>
      </w:rPr>
      <w:t>陕西至诚招标咨询有限公司                                     地址：西安市高新区高新路瑞欣大厦6楼A室</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13"/>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2307"/>
        <w:tab w:val="clear" w:pos="4153"/>
      </w:tabs>
      <w:jc w:val="left"/>
      <w:rPr>
        <w:sz w:val="16"/>
        <w:szCs w:val="16"/>
      </w:rPr>
    </w:pPr>
    <w:r>
      <w:rPr>
        <w:rFonts w:hint="eastAsia" w:hAnsi="宋体"/>
        <w:sz w:val="16"/>
        <w:szCs w:val="16"/>
        <w:lang w:eastAsia="zh-CN"/>
      </w:rPr>
      <w:t>检察业务装备采购项目</w:t>
    </w:r>
    <w:r>
      <w:rPr>
        <w:rFonts w:hint="eastAsia" w:hAnsi="宋体"/>
        <w:sz w:val="16"/>
        <w:szCs w:val="16"/>
      </w:rPr>
      <w:t xml:space="preserve">                                                  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tabs>
        <w:tab w:val="left" w:pos="2307"/>
        <w:tab w:val="clear" w:pos="4153"/>
      </w:tabs>
      <w:jc w:val="left"/>
      <w:rPr>
        <w:rFonts w:hint="eastAsia" w:eastAsia="宋体"/>
        <w:sz w:val="16"/>
        <w:szCs w:val="16"/>
        <w:lang w:eastAsia="zh-CN"/>
      </w:rPr>
    </w:pPr>
    <w:r>
      <w:rPr>
        <w:rFonts w:hint="eastAsia" w:hAnsi="宋体"/>
        <w:sz w:val="18"/>
        <w:szCs w:val="18"/>
        <w:lang w:eastAsia="zh-CN"/>
      </w:rPr>
      <w:t>检察业务装备采购项目</w:t>
    </w:r>
    <w:r>
      <w:rPr>
        <w:rFonts w:hint="eastAsia" w:hAnsi="宋体"/>
        <w:sz w:val="18"/>
        <w:szCs w:val="18"/>
      </w:rPr>
      <w:t xml:space="preserve">                                                </w:t>
    </w:r>
    <w:r>
      <w:rPr>
        <w:rFonts w:hint="eastAsia" w:hAnsi="宋体"/>
        <w:sz w:val="18"/>
        <w:szCs w:val="18"/>
        <w:lang w:val="en-US" w:eastAsia="zh-CN"/>
      </w:rPr>
      <w:t xml:space="preserve">                           </w:t>
    </w:r>
    <w:r>
      <w:rPr>
        <w:rFonts w:hint="eastAsia" w:hAnsi="宋体"/>
        <w:sz w:val="18"/>
        <w:szCs w:val="18"/>
        <w:lang w:eastAsia="zh-CN"/>
      </w:rPr>
      <w:t>招标文件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4" w:space="1"/>
      </w:pBdr>
      <w:jc w:val="left"/>
      <w:rPr>
        <w:sz w:val="16"/>
        <w:szCs w:val="16"/>
      </w:rPr>
    </w:pPr>
    <w:r>
      <w:rPr>
        <w:rFonts w:hint="eastAsia"/>
        <w:sz w:val="16"/>
        <w:szCs w:val="16"/>
        <w:lang w:eastAsia="zh-CN"/>
      </w:rPr>
      <w:t>检察业务装备采购项目</w:t>
    </w:r>
    <w:r>
      <w:rPr>
        <w:rFonts w:hint="eastAsia"/>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lowerLetter"/>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14B66CD3"/>
    <w:multiLevelType w:val="singleLevel"/>
    <w:tmpl w:val="14B66CD3"/>
    <w:lvl w:ilvl="0" w:tentative="0">
      <w:start w:val="1"/>
      <w:numFmt w:val="chineseCounting"/>
      <w:suff w:val="nothing"/>
      <w:lvlText w:val="%1、"/>
      <w:lvlJc w:val="left"/>
      <w:rPr>
        <w:rFonts w:hint="eastAsia"/>
      </w:rPr>
    </w:lvl>
  </w:abstractNum>
  <w:abstractNum w:abstractNumId="2">
    <w:nsid w:val="53EC41AD"/>
    <w:multiLevelType w:val="singleLevel"/>
    <w:tmpl w:val="53EC41AD"/>
    <w:lvl w:ilvl="0" w:tentative="0">
      <w:start w:val="1"/>
      <w:numFmt w:val="decimal"/>
      <w:lvlText w:val="（%1）"/>
      <w:lvlJc w:val="left"/>
      <w:pPr>
        <w:tabs>
          <w:tab w:val="left" w:pos="720"/>
        </w:tabs>
        <w:ind w:left="720" w:hanging="720"/>
      </w:pPr>
      <w:rPr>
        <w:rFonts w:hint="eastAsia"/>
      </w:rPr>
    </w:lvl>
  </w:abstractNum>
  <w:abstractNum w:abstractNumId="3">
    <w:nsid w:val="59B2460E"/>
    <w:multiLevelType w:val="singleLevel"/>
    <w:tmpl w:val="59B2460E"/>
    <w:lvl w:ilvl="0" w:tentative="0">
      <w:start w:val="2"/>
      <w:numFmt w:val="decimal"/>
      <w:suff w:val="nothing"/>
      <w:lvlText w:val="%1."/>
      <w:lvlJc w:val="left"/>
    </w:lvl>
  </w:abstractNum>
  <w:abstractNum w:abstractNumId="4">
    <w:nsid w:val="59B25AF4"/>
    <w:multiLevelType w:val="singleLevel"/>
    <w:tmpl w:val="59B25AF4"/>
    <w:lvl w:ilvl="0" w:tentative="0">
      <w:start w:val="1"/>
      <w:numFmt w:val="decimal"/>
      <w:suff w:val="nothing"/>
      <w:lvlText w:val="（%1）"/>
      <w:lvlJc w:val="left"/>
    </w:lvl>
  </w:abstractNum>
  <w:abstractNum w:abstractNumId="5">
    <w:nsid w:val="59B64AF0"/>
    <w:multiLevelType w:val="singleLevel"/>
    <w:tmpl w:val="59B64AF0"/>
    <w:lvl w:ilvl="0" w:tentative="0">
      <w:start w:val="16"/>
      <w:numFmt w:val="decimal"/>
      <w:suff w:val="nothing"/>
      <w:lvlText w:val="%1."/>
      <w:lvlJc w:val="left"/>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ZTk2MTQyODg0ZDk5MTI0YWY4MGUzOGFjOTBhYWIifQ=="/>
  </w:docVars>
  <w:rsids>
    <w:rsidRoot w:val="00000000"/>
    <w:rsid w:val="007A011C"/>
    <w:rsid w:val="00833EAA"/>
    <w:rsid w:val="00FE2086"/>
    <w:rsid w:val="02C8184E"/>
    <w:rsid w:val="03196F07"/>
    <w:rsid w:val="03AF6B8E"/>
    <w:rsid w:val="03E76A39"/>
    <w:rsid w:val="0427397A"/>
    <w:rsid w:val="05A5167E"/>
    <w:rsid w:val="07A10909"/>
    <w:rsid w:val="07F96640"/>
    <w:rsid w:val="08F057C4"/>
    <w:rsid w:val="09336D4E"/>
    <w:rsid w:val="096E7DFA"/>
    <w:rsid w:val="09FF17A0"/>
    <w:rsid w:val="0B9758D5"/>
    <w:rsid w:val="0BDF2EA6"/>
    <w:rsid w:val="0D0A0CEC"/>
    <w:rsid w:val="0FEC5B35"/>
    <w:rsid w:val="100C4220"/>
    <w:rsid w:val="100D3063"/>
    <w:rsid w:val="10BC45ED"/>
    <w:rsid w:val="11811206"/>
    <w:rsid w:val="123C27D6"/>
    <w:rsid w:val="132E39D9"/>
    <w:rsid w:val="135C18B6"/>
    <w:rsid w:val="14706074"/>
    <w:rsid w:val="14F45C8B"/>
    <w:rsid w:val="15011606"/>
    <w:rsid w:val="15474266"/>
    <w:rsid w:val="15DE2A1A"/>
    <w:rsid w:val="1717535E"/>
    <w:rsid w:val="186124D8"/>
    <w:rsid w:val="1A624883"/>
    <w:rsid w:val="1ADB272C"/>
    <w:rsid w:val="2000428E"/>
    <w:rsid w:val="20A65DE2"/>
    <w:rsid w:val="217E2260"/>
    <w:rsid w:val="219C6B91"/>
    <w:rsid w:val="21E67460"/>
    <w:rsid w:val="236E435E"/>
    <w:rsid w:val="26D12AD5"/>
    <w:rsid w:val="26EC12B4"/>
    <w:rsid w:val="2C6E0B1A"/>
    <w:rsid w:val="2D4773DF"/>
    <w:rsid w:val="2D766B20"/>
    <w:rsid w:val="2F18040C"/>
    <w:rsid w:val="2FB6157B"/>
    <w:rsid w:val="2FE70202"/>
    <w:rsid w:val="2FFC5506"/>
    <w:rsid w:val="33952634"/>
    <w:rsid w:val="34194BD6"/>
    <w:rsid w:val="342D401A"/>
    <w:rsid w:val="35704857"/>
    <w:rsid w:val="35BF4E53"/>
    <w:rsid w:val="36A95A89"/>
    <w:rsid w:val="3A250283"/>
    <w:rsid w:val="3A8C13F3"/>
    <w:rsid w:val="3ACC03BC"/>
    <w:rsid w:val="3D9A0976"/>
    <w:rsid w:val="3F2A76F6"/>
    <w:rsid w:val="42B63602"/>
    <w:rsid w:val="43A6077E"/>
    <w:rsid w:val="459B6123"/>
    <w:rsid w:val="45CE3A2F"/>
    <w:rsid w:val="48703163"/>
    <w:rsid w:val="49AA5E96"/>
    <w:rsid w:val="4A674BED"/>
    <w:rsid w:val="4D73094E"/>
    <w:rsid w:val="4E515D0F"/>
    <w:rsid w:val="4F521282"/>
    <w:rsid w:val="51025AC7"/>
    <w:rsid w:val="511D22EA"/>
    <w:rsid w:val="544E464E"/>
    <w:rsid w:val="54B177CA"/>
    <w:rsid w:val="55191910"/>
    <w:rsid w:val="56994394"/>
    <w:rsid w:val="56F54B4E"/>
    <w:rsid w:val="57B57D5F"/>
    <w:rsid w:val="589F0348"/>
    <w:rsid w:val="5A7A12B0"/>
    <w:rsid w:val="5AA40B4D"/>
    <w:rsid w:val="5B7A6807"/>
    <w:rsid w:val="5C890377"/>
    <w:rsid w:val="5CC56111"/>
    <w:rsid w:val="5CDE15D9"/>
    <w:rsid w:val="5DBA3C42"/>
    <w:rsid w:val="5E197DBD"/>
    <w:rsid w:val="5EA155B4"/>
    <w:rsid w:val="605300FC"/>
    <w:rsid w:val="63744110"/>
    <w:rsid w:val="64451080"/>
    <w:rsid w:val="645B4167"/>
    <w:rsid w:val="66422180"/>
    <w:rsid w:val="66725207"/>
    <w:rsid w:val="6888711C"/>
    <w:rsid w:val="69CD366B"/>
    <w:rsid w:val="69D928B9"/>
    <w:rsid w:val="6B545C62"/>
    <w:rsid w:val="6BB30BA5"/>
    <w:rsid w:val="6BB754F0"/>
    <w:rsid w:val="6CA0199D"/>
    <w:rsid w:val="6E027A67"/>
    <w:rsid w:val="71C85D8B"/>
    <w:rsid w:val="769161F9"/>
    <w:rsid w:val="771C6239"/>
    <w:rsid w:val="77417215"/>
    <w:rsid w:val="77E44C5F"/>
    <w:rsid w:val="793D3979"/>
    <w:rsid w:val="7DF61FF1"/>
    <w:rsid w:val="7F0855EA"/>
    <w:rsid w:val="7F6F0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24"/>
      <w:lang w:val="en-US" w:eastAsia="zh-CN" w:bidi="ar-SA"/>
    </w:rPr>
  </w:style>
  <w:style w:type="paragraph" w:styleId="3">
    <w:name w:val="heading 1"/>
    <w:basedOn w:val="1"/>
    <w:next w:val="1"/>
    <w:link w:val="24"/>
    <w:qFormat/>
    <w:uiPriority w:val="0"/>
    <w:pPr>
      <w:keepNext/>
      <w:outlineLvl w:val="0"/>
    </w:pPr>
    <w:rPr>
      <w:rFonts w:ascii="仿宋_GB2312" w:hAnsi="宋体" w:eastAsia="仿宋_GB2312"/>
      <w:b/>
      <w:kern w:val="2"/>
      <w:sz w:val="32"/>
    </w:rPr>
  </w:style>
  <w:style w:type="paragraph" w:styleId="4">
    <w:name w:val="heading 2"/>
    <w:basedOn w:val="1"/>
    <w:next w:val="1"/>
    <w:qFormat/>
    <w:uiPriority w:val="9"/>
    <w:pPr>
      <w:keepNext/>
      <w:keepLines/>
      <w:widowControl/>
      <w:spacing w:before="260" w:after="260"/>
      <w:ind w:left="284"/>
      <w:jc w:val="left"/>
      <w:outlineLvl w:val="1"/>
    </w:pPr>
    <w:rPr>
      <w:rFonts w:ascii="Arial" w:hAnsi="Arial"/>
      <w:b/>
      <w:bCs/>
      <w:sz w:val="28"/>
      <w:szCs w:val="32"/>
    </w:rPr>
  </w:style>
  <w:style w:type="paragraph" w:styleId="5">
    <w:name w:val="heading 3"/>
    <w:basedOn w:val="1"/>
    <w:next w:val="1"/>
    <w:link w:val="38"/>
    <w:qFormat/>
    <w:uiPriority w:val="0"/>
    <w:pPr>
      <w:keepNext/>
      <w:spacing w:before="624" w:beforeLines="200" w:line="400" w:lineRule="exact"/>
      <w:jc w:val="center"/>
      <w:outlineLvl w:val="2"/>
    </w:pPr>
    <w:rPr>
      <w:rFonts w:ascii="Times New Roman"/>
      <w:b/>
      <w:bCs/>
      <w:kern w:val="2"/>
      <w:szCs w:val="24"/>
    </w:rPr>
  </w:style>
  <w:style w:type="paragraph" w:styleId="6">
    <w:name w:val="heading 4"/>
    <w:basedOn w:val="1"/>
    <w:next w:val="1"/>
    <w:qFormat/>
    <w:uiPriority w:val="0"/>
    <w:pPr>
      <w:keepNext/>
      <w:keepLines/>
      <w:widowControl/>
      <w:spacing w:before="280" w:after="290" w:line="376" w:lineRule="auto"/>
      <w:jc w:val="left"/>
      <w:outlineLvl w:val="3"/>
    </w:pPr>
    <w:rPr>
      <w:rFonts w:ascii="Arial" w:hAnsi="Arial" w:eastAsia="黑体"/>
      <w:b/>
      <w:bCs/>
      <w:kern w:val="0"/>
      <w:sz w:val="28"/>
      <w:szCs w:val="28"/>
    </w:rPr>
  </w:style>
  <w:style w:type="paragraph" w:styleId="7">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21">
    <w:name w:val="Default Paragraph Font"/>
    <w:semiHidden/>
    <w:qFormat/>
    <w:uiPriority w:val="0"/>
  </w:style>
  <w:style w:type="table" w:default="1" w:styleId="1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kern w:val="2"/>
      <w:sz w:val="21"/>
    </w:rPr>
  </w:style>
  <w:style w:type="paragraph" w:styleId="8">
    <w:name w:val="Normal Indent"/>
    <w:basedOn w:val="1"/>
    <w:qFormat/>
    <w:uiPriority w:val="0"/>
    <w:pPr>
      <w:spacing w:line="300" w:lineRule="auto"/>
      <w:ind w:firstLine="420" w:firstLineChars="200"/>
    </w:pPr>
    <w:rPr>
      <w:rFonts w:ascii="Calibri" w:hAnsi="Calibri Light" w:eastAsia="华文仿宋" w:cs="Times New Roman"/>
      <w:kern w:val="2"/>
      <w:sz w:val="21"/>
      <w:szCs w:val="24"/>
    </w:rPr>
  </w:style>
  <w:style w:type="paragraph" w:styleId="9">
    <w:name w:val="Body Text Indent"/>
    <w:basedOn w:val="1"/>
    <w:next w:val="1"/>
    <w:qFormat/>
    <w:uiPriority w:val="0"/>
    <w:pPr>
      <w:widowControl/>
      <w:ind w:firstLine="652" w:firstLineChars="233"/>
    </w:pPr>
    <w:rPr>
      <w:rFonts w:ascii="Times New Roman"/>
      <w:sz w:val="28"/>
    </w:rPr>
  </w:style>
  <w:style w:type="paragraph" w:styleId="10">
    <w:name w:val="index 4"/>
    <w:basedOn w:val="1"/>
    <w:next w:val="1"/>
    <w:unhideWhenUsed/>
    <w:qFormat/>
    <w:uiPriority w:val="99"/>
    <w:pPr>
      <w:ind w:left="428" w:firstLine="140"/>
    </w:pPr>
  </w:style>
  <w:style w:type="paragraph" w:styleId="11">
    <w:name w:val="toc 3"/>
    <w:basedOn w:val="1"/>
    <w:next w:val="1"/>
    <w:qFormat/>
    <w:uiPriority w:val="0"/>
    <w:pPr>
      <w:ind w:left="840" w:leftChars="400"/>
    </w:pPr>
  </w:style>
  <w:style w:type="paragraph" w:styleId="12">
    <w:name w:val="Plain Text"/>
    <w:basedOn w:val="1"/>
    <w:qFormat/>
    <w:uiPriority w:val="0"/>
    <w:rPr>
      <w:rFonts w:hAnsi="Courier New"/>
      <w:kern w:val="2"/>
      <w:sz w:val="21"/>
    </w:rPr>
  </w:style>
  <w:style w:type="paragraph" w:styleId="13">
    <w:name w:val="footer"/>
    <w:basedOn w:val="1"/>
    <w:next w:val="2"/>
    <w:qFormat/>
    <w:uiPriority w:val="99"/>
    <w:pPr>
      <w:tabs>
        <w:tab w:val="center" w:pos="4153"/>
        <w:tab w:val="right" w:pos="8306"/>
      </w:tabs>
      <w:snapToGrid w:val="0"/>
      <w:jc w:val="left"/>
    </w:pPr>
    <w:rPr>
      <w:rFonts w:ascii="Times New Roman"/>
      <w:kern w:val="2"/>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rFonts w:ascii="Times New Roman"/>
      <w:kern w:val="2"/>
      <w:sz w:val="18"/>
      <w:szCs w:val="18"/>
    </w:rPr>
  </w:style>
  <w:style w:type="paragraph" w:styleId="15">
    <w:name w:val="toc 1"/>
    <w:basedOn w:val="1"/>
    <w:next w:val="1"/>
    <w:unhideWhenUsed/>
    <w:qFormat/>
    <w:uiPriority w:val="39"/>
    <w:pPr>
      <w:tabs>
        <w:tab w:val="left" w:pos="1418"/>
        <w:tab w:val="right" w:leader="dot" w:pos="8302"/>
      </w:tabs>
      <w:spacing w:line="960" w:lineRule="auto"/>
    </w:pPr>
  </w:style>
  <w:style w:type="paragraph" w:styleId="16">
    <w:name w:val="toc 2"/>
    <w:basedOn w:val="1"/>
    <w:next w:val="1"/>
    <w:unhideWhenUsed/>
    <w:qFormat/>
    <w:uiPriority w:val="39"/>
    <w:pPr>
      <w:tabs>
        <w:tab w:val="right" w:leader="dot" w:pos="8302"/>
      </w:tabs>
      <w:spacing w:line="960" w:lineRule="auto"/>
      <w:ind w:left="420" w:leftChars="200"/>
    </w:pPr>
  </w:style>
  <w:style w:type="paragraph" w:styleId="17">
    <w:name w:val="Normal (Web)"/>
    <w:basedOn w:val="1"/>
    <w:qFormat/>
    <w:uiPriority w:val="99"/>
    <w:pPr>
      <w:widowControl/>
      <w:spacing w:before="100" w:beforeAutospacing="1" w:after="100" w:afterAutospacing="1"/>
      <w:jc w:val="left"/>
    </w:pPr>
    <w:rPr>
      <w:rFonts w:hAnsi="宋体"/>
      <w:szCs w:val="24"/>
    </w:rPr>
  </w:style>
  <w:style w:type="paragraph" w:styleId="18">
    <w:name w:val="Body Text First Indent 2"/>
    <w:basedOn w:val="9"/>
    <w:qFormat/>
    <w:uiPriority w:val="99"/>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basedOn w:val="21"/>
    <w:qFormat/>
    <w:uiPriority w:val="22"/>
    <w:rPr>
      <w:b/>
      <w:bCs/>
    </w:rPr>
  </w:style>
  <w:style w:type="character" w:styleId="23">
    <w:name w:val="Hyperlink"/>
    <w:basedOn w:val="21"/>
    <w:qFormat/>
    <w:uiPriority w:val="99"/>
    <w:rPr>
      <w:rFonts w:hint="eastAsia" w:ascii="宋体" w:hAnsi="宋体" w:eastAsia="宋体" w:cs="宋体"/>
      <w:color w:val="000000"/>
      <w:sz w:val="18"/>
      <w:szCs w:val="18"/>
      <w:u w:val="none"/>
    </w:rPr>
  </w:style>
  <w:style w:type="character" w:customStyle="1" w:styleId="24">
    <w:name w:val="标题 1 Char"/>
    <w:link w:val="3"/>
    <w:qFormat/>
    <w:uiPriority w:val="0"/>
    <w:rPr>
      <w:rFonts w:ascii="仿宋_GB2312" w:hAnsi="宋体" w:eastAsia="仿宋_GB2312"/>
      <w:b/>
      <w:kern w:val="2"/>
      <w:sz w:val="32"/>
    </w:rPr>
  </w:style>
  <w:style w:type="paragraph" w:customStyle="1" w:styleId="25">
    <w:name w:val="列出段落1"/>
    <w:basedOn w:val="1"/>
    <w:qFormat/>
    <w:uiPriority w:val="34"/>
    <w:pPr>
      <w:ind w:firstLine="420" w:firstLineChars="200"/>
    </w:pPr>
  </w:style>
  <w:style w:type="character" w:customStyle="1" w:styleId="26">
    <w:name w:val="font41"/>
    <w:basedOn w:val="21"/>
    <w:qFormat/>
    <w:uiPriority w:val="0"/>
    <w:rPr>
      <w:rFonts w:hint="eastAsia" w:ascii="宋体" w:hAnsi="宋体" w:eastAsia="宋体" w:cs="宋体"/>
      <w:b/>
      <w:color w:val="000000"/>
      <w:sz w:val="22"/>
      <w:szCs w:val="22"/>
      <w:u w:val="none"/>
    </w:rPr>
  </w:style>
  <w:style w:type="character" w:customStyle="1" w:styleId="27">
    <w:name w:val="font51"/>
    <w:basedOn w:val="21"/>
    <w:qFormat/>
    <w:uiPriority w:val="0"/>
    <w:rPr>
      <w:rFonts w:hint="eastAsia" w:ascii="宋体" w:hAnsi="宋体" w:eastAsia="宋体" w:cs="宋体"/>
      <w:color w:val="000000"/>
      <w:sz w:val="22"/>
      <w:szCs w:val="22"/>
      <w:u w:val="none"/>
    </w:rPr>
  </w:style>
  <w:style w:type="character" w:customStyle="1" w:styleId="28">
    <w:name w:val="font01"/>
    <w:basedOn w:val="21"/>
    <w:qFormat/>
    <w:uiPriority w:val="0"/>
    <w:rPr>
      <w:rFonts w:hint="eastAsia" w:ascii="宋体" w:hAnsi="宋体" w:eastAsia="宋体" w:cs="宋体"/>
      <w:color w:val="000000"/>
      <w:sz w:val="20"/>
      <w:szCs w:val="20"/>
      <w:u w:val="none"/>
    </w:rPr>
  </w:style>
  <w:style w:type="character" w:customStyle="1" w:styleId="29">
    <w:name w:val="font21"/>
    <w:basedOn w:val="21"/>
    <w:qFormat/>
    <w:uiPriority w:val="0"/>
    <w:rPr>
      <w:rFonts w:hint="eastAsia" w:ascii="宋体" w:hAnsi="宋体" w:eastAsia="宋体" w:cs="宋体"/>
      <w:color w:val="000000"/>
      <w:sz w:val="20"/>
      <w:szCs w:val="20"/>
      <w:u w:val="none"/>
      <w:vertAlign w:val="superscript"/>
    </w:rPr>
  </w:style>
  <w:style w:type="character" w:customStyle="1" w:styleId="30">
    <w:name w:val="font11"/>
    <w:basedOn w:val="21"/>
    <w:qFormat/>
    <w:uiPriority w:val="0"/>
    <w:rPr>
      <w:rFonts w:hint="eastAsia" w:ascii="宋体" w:hAnsi="宋体" w:eastAsia="宋体" w:cs="宋体"/>
      <w:color w:val="000000"/>
      <w:sz w:val="22"/>
      <w:szCs w:val="22"/>
      <w:u w:val="none"/>
    </w:rPr>
  </w:style>
  <w:style w:type="character" w:customStyle="1" w:styleId="31">
    <w:name w:val="font81"/>
    <w:basedOn w:val="21"/>
    <w:qFormat/>
    <w:uiPriority w:val="0"/>
    <w:rPr>
      <w:rFonts w:ascii="仿宋" w:hAnsi="仿宋" w:eastAsia="仿宋" w:cs="仿宋"/>
      <w:color w:val="000000"/>
      <w:sz w:val="22"/>
      <w:szCs w:val="22"/>
      <w:u w:val="none"/>
    </w:rPr>
  </w:style>
  <w:style w:type="character" w:customStyle="1" w:styleId="32">
    <w:name w:val="font61"/>
    <w:basedOn w:val="21"/>
    <w:qFormat/>
    <w:uiPriority w:val="0"/>
    <w:rPr>
      <w:rFonts w:hint="eastAsia" w:ascii="宋体" w:hAnsi="宋体" w:eastAsia="宋体" w:cs="宋体"/>
      <w:color w:val="000000"/>
      <w:sz w:val="18"/>
      <w:szCs w:val="18"/>
      <w:u w:val="none"/>
    </w:rPr>
  </w:style>
  <w:style w:type="character" w:customStyle="1" w:styleId="33">
    <w:name w:val="font91"/>
    <w:basedOn w:val="21"/>
    <w:qFormat/>
    <w:uiPriority w:val="0"/>
    <w:rPr>
      <w:rFonts w:ascii="Arial" w:hAnsi="Arial" w:cs="Arial"/>
      <w:color w:val="000000"/>
      <w:sz w:val="18"/>
      <w:szCs w:val="18"/>
      <w:u w:val="none"/>
    </w:rPr>
  </w:style>
  <w:style w:type="paragraph" w:customStyle="1" w:styleId="34">
    <w:name w:val="Table Paragraph"/>
    <w:basedOn w:val="1"/>
    <w:qFormat/>
    <w:uiPriority w:val="1"/>
    <w:rPr>
      <w:rFonts w:ascii="宋体" w:hAnsi="宋体" w:cs="宋体"/>
      <w:lang w:val="zh-CN" w:bidi="zh-CN"/>
    </w:rPr>
  </w:style>
  <w:style w:type="paragraph" w:customStyle="1" w:styleId="35">
    <w:name w:val="表格文字中"/>
    <w:basedOn w:val="1"/>
    <w:qFormat/>
    <w:uiPriority w:val="0"/>
    <w:pPr>
      <w:adjustRightInd w:val="0"/>
      <w:snapToGrid w:val="0"/>
      <w:ind w:left="22" w:leftChars="8"/>
      <w:jc w:val="center"/>
    </w:pPr>
    <w:rPr>
      <w:szCs w:val="24"/>
    </w:rPr>
  </w:style>
  <w:style w:type="paragraph" w:customStyle="1" w:styleId="36">
    <w:name w:val="表注1"/>
    <w:basedOn w:val="1"/>
    <w:qFormat/>
    <w:uiPriority w:val="0"/>
    <w:pPr>
      <w:adjustRightInd w:val="0"/>
      <w:snapToGrid w:val="0"/>
      <w:spacing w:beforeLines="50" w:line="300" w:lineRule="auto"/>
      <w:ind w:left="350" w:hanging="350" w:hangingChars="350"/>
    </w:pPr>
    <w:rPr>
      <w:rFonts w:eastAsia="仿宋_GB2312"/>
      <w:bCs/>
      <w:color w:val="000000"/>
      <w:szCs w:val="24"/>
    </w:rPr>
  </w:style>
  <w:style w:type="paragraph" w:customStyle="1" w:styleId="37">
    <w:name w:val="表格标题"/>
    <w:basedOn w:val="1"/>
    <w:qFormat/>
    <w:uiPriority w:val="0"/>
    <w:pPr>
      <w:adjustRightInd w:val="0"/>
      <w:snapToGrid w:val="0"/>
      <w:spacing w:before="50" w:beforeLines="50" w:after="50" w:afterLines="50"/>
      <w:ind w:left="22" w:leftChars="8"/>
      <w:jc w:val="center"/>
    </w:pPr>
    <w:rPr>
      <w:b/>
      <w:bCs/>
      <w:color w:val="000000"/>
      <w:sz w:val="32"/>
      <w:szCs w:val="32"/>
    </w:rPr>
  </w:style>
  <w:style w:type="character" w:customStyle="1" w:styleId="38">
    <w:name w:val="标题 3 Char"/>
    <w:link w:val="5"/>
    <w:qFormat/>
    <w:uiPriority w:val="0"/>
    <w:rPr>
      <w:rFonts w:ascii="Times New Roman"/>
      <w:b/>
      <w:bCs/>
      <w:kern w:val="2"/>
      <w:szCs w:val="24"/>
    </w:rPr>
  </w:style>
  <w:style w:type="character" w:customStyle="1" w:styleId="39">
    <w:name w:val="font31"/>
    <w:basedOn w:val="21"/>
    <w:qFormat/>
    <w:uiPriority w:val="0"/>
    <w:rPr>
      <w:rFonts w:hint="eastAsia" w:ascii="宋体" w:hAnsi="宋体" w:eastAsia="宋体" w:cs="宋体"/>
      <w:color w:val="000000"/>
      <w:sz w:val="18"/>
      <w:szCs w:val="18"/>
      <w:u w:val="none"/>
    </w:rPr>
  </w:style>
  <w:style w:type="character" w:customStyle="1" w:styleId="40">
    <w:name w:val="font101"/>
    <w:basedOn w:val="21"/>
    <w:qFormat/>
    <w:uiPriority w:val="0"/>
    <w:rPr>
      <w:rFonts w:hint="default" w:ascii="Times New Roman" w:hAnsi="Times New Roman" w:cs="Times New Roman"/>
      <w:color w:val="000000"/>
      <w:sz w:val="18"/>
      <w:szCs w:val="18"/>
      <w:u w:val="none"/>
    </w:rPr>
  </w:style>
  <w:style w:type="character" w:customStyle="1" w:styleId="41">
    <w:name w:val="font71"/>
    <w:basedOn w:val="21"/>
    <w:qFormat/>
    <w:uiPriority w:val="0"/>
    <w:rPr>
      <w:rFonts w:hint="eastAsia" w:ascii="宋体" w:hAnsi="宋体" w:eastAsia="宋体" w:cs="宋体"/>
      <w:b/>
      <w:bCs/>
      <w:color w:val="000000"/>
      <w:sz w:val="19"/>
      <w:szCs w:val="19"/>
      <w:u w:val="none"/>
    </w:rPr>
  </w:style>
  <w:style w:type="character" w:customStyle="1" w:styleId="42">
    <w:name w:val="font112"/>
    <w:basedOn w:val="21"/>
    <w:qFormat/>
    <w:uiPriority w:val="0"/>
    <w:rPr>
      <w:rFonts w:hint="eastAsia" w:ascii="宋体" w:hAnsi="宋体" w:eastAsia="宋体" w:cs="宋体"/>
      <w:color w:val="000000"/>
      <w:sz w:val="18"/>
      <w:szCs w:val="18"/>
      <w:u w:val="none"/>
      <w:vertAlign w:val="superscript"/>
    </w:rPr>
  </w:style>
  <w:style w:type="character" w:customStyle="1" w:styleId="43">
    <w:name w:val="font121"/>
    <w:basedOn w:val="21"/>
    <w:qFormat/>
    <w:uiPriority w:val="0"/>
    <w:rPr>
      <w:rFonts w:ascii="微软雅黑" w:hAnsi="微软雅黑" w:eastAsia="微软雅黑" w:cs="微软雅黑"/>
      <w:color w:val="000000"/>
      <w:sz w:val="16"/>
      <w:szCs w:val="16"/>
      <w:u w:val="none"/>
    </w:rPr>
  </w:style>
  <w:style w:type="character" w:customStyle="1" w:styleId="44">
    <w:name w:val="font131"/>
    <w:basedOn w:val="21"/>
    <w:qFormat/>
    <w:uiPriority w:val="0"/>
    <w:rPr>
      <w:rFonts w:hint="default" w:ascii="Times New Roman" w:hAnsi="Times New Roman" w:cs="Times New Roman"/>
      <w:color w:val="000000"/>
      <w:sz w:val="18"/>
      <w:szCs w:val="18"/>
      <w:u w:val="none"/>
      <w:vertAlign w:val="superscript"/>
    </w:rPr>
  </w:style>
  <w:style w:type="character" w:customStyle="1" w:styleId="45">
    <w:name w:val="font141"/>
    <w:basedOn w:val="21"/>
    <w:qFormat/>
    <w:uiPriority w:val="0"/>
    <w:rPr>
      <w:rFonts w:hint="eastAsia" w:ascii="宋体" w:hAnsi="宋体" w:eastAsia="宋体" w:cs="宋体"/>
      <w:color w:val="000000"/>
      <w:sz w:val="16"/>
      <w:szCs w:val="16"/>
      <w:u w:val="none"/>
      <w:vertAlign w:val="superscript"/>
    </w:rPr>
  </w:style>
  <w:style w:type="paragraph" w:customStyle="1" w:styleId="46">
    <w:name w:val="Char1"/>
    <w:basedOn w:val="1"/>
    <w:qFormat/>
    <w:uiPriority w:val="0"/>
    <w:pPr>
      <w:tabs>
        <w:tab w:val="left" w:pos="360"/>
      </w:tabs>
      <w:ind w:left="360" w:hanging="360" w:hangingChars="200"/>
    </w:pPr>
    <w:rPr>
      <w:szCs w:val="24"/>
    </w:rPr>
  </w:style>
  <w:style w:type="paragraph" w:customStyle="1" w:styleId="47">
    <w:name w:val="列出段落11"/>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header" Target="head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75</Pages>
  <Words>32769</Words>
  <Characters>34922</Characters>
  <Lines>0</Lines>
  <Paragraphs>0</Paragraphs>
  <TotalTime>5</TotalTime>
  <ScaleCrop>false</ScaleCrop>
  <LinksUpToDate>false</LinksUpToDate>
  <CharactersWithSpaces>39147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文档存本地丢失不负责</cp:lastModifiedBy>
  <dcterms:modified xsi:type="dcterms:W3CDTF">2022-10-21T07:00:45Z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CFFD35CC602E4F9E92E8EF417CB92103</vt:lpwstr>
  </property>
</Properties>
</file>