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Theme="minorEastAsia" w:hAnsiTheme="minorEastAsia" w:eastAsiaTheme="minorEastAsia" w:cstheme="minorEastAsia"/>
          <w:b/>
          <w:bCs/>
          <w:sz w:val="28"/>
          <w:szCs w:val="28"/>
          <w:highlight w:val="none"/>
          <w:lang w:eastAsia="zh-CN"/>
        </w:rPr>
      </w:pPr>
      <w:bookmarkStart w:id="0" w:name="OLE_LINK9"/>
      <w:r>
        <w:rPr>
          <w:rFonts w:hint="eastAsia" w:asciiTheme="minorEastAsia" w:hAnsiTheme="minorEastAsia" w:eastAsiaTheme="minorEastAsia" w:cstheme="minorEastAsia"/>
          <w:b/>
          <w:bCs/>
          <w:sz w:val="28"/>
          <w:szCs w:val="28"/>
          <w:highlight w:val="none"/>
          <w:lang w:eastAsia="zh-CN"/>
        </w:rPr>
        <w:t>政府采购项目</w:t>
      </w:r>
    </w:p>
    <w:p>
      <w:pPr>
        <w:adjustRightInd w:val="0"/>
        <w:snapToGrid w:val="0"/>
        <w:spacing w:line="360" w:lineRule="auto"/>
        <w:jc w:val="left"/>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rPr>
        <w:t>项目编号：</w:t>
      </w:r>
      <w:r>
        <w:rPr>
          <w:rFonts w:hint="eastAsia" w:asciiTheme="minorEastAsia" w:hAnsiTheme="minorEastAsia" w:eastAsiaTheme="minorEastAsia" w:cstheme="minorEastAsia"/>
          <w:b/>
          <w:bCs/>
          <w:sz w:val="28"/>
          <w:szCs w:val="28"/>
          <w:highlight w:val="none"/>
          <w:lang w:eastAsia="zh-CN"/>
        </w:rPr>
        <w:t>SXWZ2022ZB-SZEY-199</w:t>
      </w:r>
    </w:p>
    <w:p>
      <w:pPr>
        <w:adjustRightInd w:val="0"/>
        <w:snapToGrid w:val="0"/>
        <w:spacing w:line="360" w:lineRule="auto"/>
        <w:rPr>
          <w:rFonts w:asciiTheme="minorEastAsia" w:hAnsiTheme="minorEastAsia" w:eastAsiaTheme="minorEastAsia" w:cstheme="minorEastAsia"/>
          <w:b/>
          <w:bCs/>
          <w:sz w:val="56"/>
          <w:szCs w:val="56"/>
          <w:highlight w:val="none"/>
        </w:rPr>
      </w:pPr>
    </w:p>
    <w:p>
      <w:pPr>
        <w:adjustRightInd w:val="0"/>
        <w:snapToGrid w:val="0"/>
        <w:spacing w:line="360" w:lineRule="auto"/>
        <w:jc w:val="center"/>
        <w:rPr>
          <w:rFonts w:hint="eastAsia" w:ascii="宋体" w:eastAsia="宋体" w:cs="Times New Roman"/>
          <w:b/>
          <w:bCs/>
          <w:sz w:val="40"/>
          <w:szCs w:val="40"/>
          <w:highlight w:val="none"/>
          <w:lang w:eastAsia="zh-CN"/>
        </w:rPr>
      </w:pPr>
      <w:r>
        <w:rPr>
          <w:rFonts w:hint="eastAsia" w:ascii="宋体" w:eastAsia="宋体" w:cs="Times New Roman"/>
          <w:b/>
          <w:bCs/>
          <w:sz w:val="40"/>
          <w:szCs w:val="40"/>
          <w:highlight w:val="none"/>
          <w:lang w:eastAsia="zh-CN"/>
        </w:rPr>
        <w:t>陕西中医药大学第二附属医院</w:t>
      </w:r>
    </w:p>
    <w:p>
      <w:pPr>
        <w:adjustRightInd w:val="0"/>
        <w:snapToGrid w:val="0"/>
        <w:spacing w:line="360" w:lineRule="auto"/>
        <w:jc w:val="center"/>
        <w:rPr>
          <w:rFonts w:hint="eastAsia" w:ascii="宋体" w:eastAsia="宋体" w:cs="Times New Roman"/>
          <w:b/>
          <w:bCs/>
          <w:sz w:val="40"/>
          <w:szCs w:val="40"/>
          <w:highlight w:val="none"/>
          <w:lang w:eastAsia="zh-CN"/>
        </w:rPr>
      </w:pPr>
      <w:r>
        <w:rPr>
          <w:rFonts w:hint="eastAsia" w:ascii="宋体" w:eastAsia="宋体" w:cs="Times New Roman"/>
          <w:b/>
          <w:bCs/>
          <w:sz w:val="40"/>
          <w:szCs w:val="40"/>
          <w:highlight w:val="none"/>
          <w:lang w:eastAsia="zh-CN"/>
        </w:rPr>
        <w:t>床旁血滤机、神经中央监护分析系统、诱发电位仪医疗设备采购项目</w:t>
      </w:r>
    </w:p>
    <w:p>
      <w:pPr>
        <w:adjustRightInd w:val="0"/>
        <w:snapToGrid w:val="0"/>
        <w:spacing w:line="360" w:lineRule="auto"/>
        <w:jc w:val="center"/>
        <w:rPr>
          <w:rFonts w:asciiTheme="minorEastAsia" w:hAnsiTheme="minorEastAsia" w:eastAsiaTheme="minorEastAsia" w:cstheme="minorEastAsia"/>
          <w:b/>
          <w:bCs/>
          <w:sz w:val="56"/>
          <w:szCs w:val="56"/>
          <w:highlight w:val="none"/>
        </w:rPr>
      </w:pPr>
      <w:r>
        <w:rPr>
          <w:rFonts w:hint="eastAsia" w:asciiTheme="minorEastAsia" w:hAnsiTheme="minorEastAsia" w:eastAsiaTheme="minorEastAsia" w:cstheme="minorEastAsia"/>
          <w:highlight w:val="none"/>
        </w:rPr>
        <w:drawing>
          <wp:anchor distT="0" distB="0" distL="114300" distR="114300" simplePos="0" relativeHeight="251664384" behindDoc="1" locked="0" layoutInCell="1" allowOverlap="1">
            <wp:simplePos x="0" y="0"/>
            <wp:positionH relativeFrom="column">
              <wp:posOffset>1831975</wp:posOffset>
            </wp:positionH>
            <wp:positionV relativeFrom="paragraph">
              <wp:posOffset>472440</wp:posOffset>
            </wp:positionV>
            <wp:extent cx="2312670" cy="1447800"/>
            <wp:effectExtent l="0" t="0" r="11430" b="0"/>
            <wp:wrapTight wrapText="bothSides">
              <wp:wrapPolygon>
                <wp:start x="0" y="0"/>
                <wp:lineTo x="0" y="21316"/>
                <wp:lineTo x="21351" y="21316"/>
                <wp:lineTo x="21351" y="0"/>
                <wp:lineTo x="0" y="0"/>
              </wp:wrapPolygon>
            </wp:wrapTight>
            <wp:docPr id="5" name="Picture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图标"/>
                    <pic:cNvPicPr>
                      <a:picLocks noChangeAspect="1"/>
                    </pic:cNvPicPr>
                  </pic:nvPicPr>
                  <pic:blipFill>
                    <a:blip r:embed="rId20"/>
                    <a:stretch>
                      <a:fillRect/>
                    </a:stretch>
                  </pic:blipFill>
                  <pic:spPr>
                    <a:xfrm>
                      <a:off x="0" y="0"/>
                      <a:ext cx="2312670" cy="1447800"/>
                    </a:xfrm>
                    <a:prstGeom prst="rect">
                      <a:avLst/>
                    </a:prstGeom>
                    <a:noFill/>
                    <a:ln w="9525">
                      <a:noFill/>
                    </a:ln>
                  </pic:spPr>
                </pic:pic>
              </a:graphicData>
            </a:graphic>
          </wp:anchor>
        </w:drawing>
      </w:r>
    </w:p>
    <w:p>
      <w:pPr>
        <w:adjustRightInd w:val="0"/>
        <w:snapToGrid w:val="0"/>
        <w:spacing w:line="360" w:lineRule="auto"/>
        <w:jc w:val="left"/>
        <w:rPr>
          <w:rFonts w:asciiTheme="minorEastAsia" w:hAnsiTheme="minorEastAsia" w:eastAsiaTheme="minorEastAsia" w:cstheme="minorEastAsia"/>
          <w:b/>
          <w:bCs/>
          <w:sz w:val="18"/>
          <w:szCs w:val="18"/>
          <w:highlight w:val="none"/>
        </w:rPr>
      </w:pPr>
    </w:p>
    <w:p>
      <w:pPr>
        <w:adjustRightInd w:val="0"/>
        <w:snapToGrid w:val="0"/>
        <w:spacing w:line="360" w:lineRule="auto"/>
        <w:jc w:val="left"/>
        <w:rPr>
          <w:rFonts w:asciiTheme="minorEastAsia" w:hAnsiTheme="minorEastAsia" w:eastAsiaTheme="minorEastAsia" w:cstheme="minorEastAsia"/>
          <w:b/>
          <w:bCs/>
          <w:sz w:val="18"/>
          <w:szCs w:val="18"/>
          <w:highlight w:val="none"/>
        </w:rPr>
      </w:pPr>
    </w:p>
    <w:p>
      <w:pPr>
        <w:adjustRightInd w:val="0"/>
        <w:snapToGrid w:val="0"/>
        <w:spacing w:line="360" w:lineRule="auto"/>
        <w:jc w:val="left"/>
        <w:rPr>
          <w:rFonts w:asciiTheme="minorEastAsia" w:hAnsiTheme="minorEastAsia" w:eastAsiaTheme="minorEastAsia" w:cstheme="minorEastAsia"/>
          <w:b/>
          <w:bCs/>
          <w:sz w:val="18"/>
          <w:szCs w:val="18"/>
          <w:highlight w:val="none"/>
        </w:rPr>
      </w:pPr>
    </w:p>
    <w:p>
      <w:pPr>
        <w:adjustRightInd w:val="0"/>
        <w:snapToGrid w:val="0"/>
        <w:spacing w:line="360" w:lineRule="auto"/>
        <w:jc w:val="left"/>
        <w:rPr>
          <w:rFonts w:asciiTheme="minorEastAsia" w:hAnsiTheme="minorEastAsia" w:eastAsiaTheme="minorEastAsia" w:cstheme="minorEastAsia"/>
          <w:b/>
          <w:bCs/>
          <w:sz w:val="18"/>
          <w:szCs w:val="18"/>
          <w:highlight w:val="none"/>
        </w:rPr>
      </w:pPr>
    </w:p>
    <w:p>
      <w:pPr>
        <w:tabs>
          <w:tab w:val="left" w:pos="0"/>
        </w:tabs>
        <w:adjustRightInd w:val="0"/>
        <w:snapToGrid w:val="0"/>
        <w:spacing w:line="360" w:lineRule="auto"/>
        <w:rPr>
          <w:rFonts w:asciiTheme="minorEastAsia" w:hAnsiTheme="minorEastAsia" w:eastAsiaTheme="minorEastAsia" w:cstheme="minorEastAsia"/>
          <w:b/>
          <w:bCs/>
          <w:sz w:val="84"/>
          <w:szCs w:val="84"/>
          <w:highlight w:val="none"/>
        </w:rPr>
      </w:pPr>
    </w:p>
    <w:p>
      <w:pPr>
        <w:tabs>
          <w:tab w:val="left" w:pos="0"/>
        </w:tabs>
        <w:adjustRightInd w:val="0"/>
        <w:snapToGrid w:val="0"/>
        <w:spacing w:line="360" w:lineRule="auto"/>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84"/>
          <w:szCs w:val="84"/>
          <w:highlight w:val="none"/>
        </w:rPr>
        <w:t>招标文件</w:t>
      </w:r>
    </w:p>
    <w:p>
      <w:pPr>
        <w:adjustRightInd w:val="0"/>
        <w:snapToGrid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rPr>
        <w:t>采 购 人：</w:t>
      </w:r>
      <w:r>
        <w:rPr>
          <w:rFonts w:hint="eastAsia" w:asciiTheme="minorEastAsia" w:hAnsiTheme="minorEastAsia" w:eastAsiaTheme="minorEastAsia" w:cstheme="minorEastAsia"/>
          <w:b/>
          <w:bCs/>
          <w:sz w:val="28"/>
          <w:szCs w:val="28"/>
          <w:highlight w:val="none"/>
          <w:lang w:eastAsia="zh-CN"/>
        </w:rPr>
        <w:t>陕西中医药大学第二附属医院</w:t>
      </w:r>
    </w:p>
    <w:p>
      <w:pPr>
        <w:adjustRightInd w:val="0"/>
        <w:snapToGrid w:val="0"/>
        <w:spacing w:line="360" w:lineRule="auto"/>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代理机构：陕西万泽招标有限公司</w:t>
      </w:r>
    </w:p>
    <w:p>
      <w:pPr>
        <w:adjustRightInd w:val="0"/>
        <w:snapToGrid w:val="0"/>
        <w:spacing w:line="600" w:lineRule="auto"/>
        <w:jc w:val="center"/>
        <w:rPr>
          <w:rFonts w:asciiTheme="minorEastAsia" w:hAnsiTheme="minorEastAsia" w:eastAsiaTheme="minorEastAsia" w:cstheme="minorEastAsia"/>
          <w:b/>
          <w:bCs/>
          <w:sz w:val="36"/>
          <w:szCs w:val="36"/>
          <w:highlight w:val="none"/>
        </w:rPr>
        <w:sectPr>
          <w:headerReference r:id="rId3" w:type="default"/>
          <w:footerReference r:id="rId4" w:type="default"/>
          <w:pgSz w:w="11906" w:h="16838"/>
          <w:pgMar w:top="1440" w:right="1202" w:bottom="1440" w:left="1406" w:header="851" w:footer="992" w:gutter="0"/>
          <w:cols w:space="0" w:num="1"/>
          <w:docGrid w:type="lines" w:linePitch="312" w:charSpace="0"/>
        </w:sectPr>
      </w:pPr>
      <w:r>
        <w:rPr>
          <w:rFonts w:hint="eastAsia" w:ascii="宋体" w:hAnsi="宋体" w:cs="宋体"/>
          <w:b/>
          <w:bCs/>
          <w:sz w:val="28"/>
          <w:szCs w:val="28"/>
          <w:highlight w:val="none"/>
        </w:rPr>
        <w:t>二〇二二年</w:t>
      </w:r>
      <w:r>
        <w:rPr>
          <w:rFonts w:hint="eastAsia" w:ascii="宋体" w:hAnsi="宋体" w:cs="宋体"/>
          <w:b/>
          <w:bCs/>
          <w:sz w:val="28"/>
          <w:szCs w:val="28"/>
          <w:highlight w:val="none"/>
          <w:lang w:val="en-US" w:eastAsia="zh-CN"/>
        </w:rPr>
        <w:t>九</w:t>
      </w:r>
      <w:r>
        <w:rPr>
          <w:rFonts w:hint="eastAsia" w:ascii="宋体" w:hAnsi="宋体" w:cs="宋体"/>
          <w:b/>
          <w:bCs/>
          <w:sz w:val="28"/>
          <w:szCs w:val="28"/>
          <w:highlight w:val="none"/>
        </w:rPr>
        <w:t>月</w:t>
      </w:r>
    </w:p>
    <w:p>
      <w:pPr>
        <w:pStyle w:val="19"/>
        <w:tabs>
          <w:tab w:val="right" w:leader="dot" w:pos="8306"/>
        </w:tabs>
        <w:spacing w:line="360" w:lineRule="auto"/>
        <w:jc w:val="center"/>
        <w:rPr>
          <w:rFonts w:asciiTheme="minorEastAsia" w:hAnsiTheme="minorEastAsia" w:eastAsiaTheme="minorEastAsia" w:cstheme="minorEastAsia"/>
          <w:b/>
          <w:bCs/>
          <w:sz w:val="36"/>
          <w:szCs w:val="36"/>
          <w:highlight w:val="none"/>
        </w:rPr>
      </w:pPr>
      <w:r>
        <w:rPr>
          <w:rFonts w:hint="eastAsia" w:asciiTheme="minorEastAsia" w:hAnsiTheme="minorEastAsia" w:eastAsiaTheme="minorEastAsia" w:cstheme="minorEastAsia"/>
          <w:b/>
          <w:bCs/>
          <w:sz w:val="36"/>
          <w:szCs w:val="36"/>
          <w:highlight w:val="none"/>
        </w:rPr>
        <w:t>目 录</w:t>
      </w:r>
    </w:p>
    <w:p>
      <w:pPr>
        <w:pStyle w:val="19"/>
        <w:tabs>
          <w:tab w:val="right" w:leader="dot" w:pos="8306"/>
        </w:tabs>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_Toc3110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第一部分  公开招标公告</w:t>
      </w:r>
      <w:r>
        <w:tab/>
      </w:r>
      <w:r>
        <w:fldChar w:fldCharType="begin"/>
      </w:r>
      <w:r>
        <w:instrText xml:space="preserve"> PAGEREF _Toc3110 \h </w:instrText>
      </w:r>
      <w:r>
        <w:fldChar w:fldCharType="separate"/>
      </w:r>
      <w:r>
        <w:t>2</w:t>
      </w:r>
      <w:r>
        <w:fldChar w:fldCharType="end"/>
      </w:r>
      <w:r>
        <w:rPr>
          <w:rFonts w:hint="eastAsia" w:ascii="宋体" w:hAnsi="宋体" w:eastAsia="宋体" w:cs="宋体"/>
          <w:szCs w:val="24"/>
          <w:highlight w:val="none"/>
        </w:rPr>
        <w:fldChar w:fldCharType="end"/>
      </w:r>
    </w:p>
    <w:p>
      <w:pPr>
        <w:pStyle w:val="19"/>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_Toc20732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第二部分  供应商须知前附表</w:t>
      </w:r>
      <w:r>
        <w:tab/>
      </w:r>
      <w:r>
        <w:fldChar w:fldCharType="begin"/>
      </w:r>
      <w:r>
        <w:instrText xml:space="preserve"> PAGEREF _Toc20732 \h </w:instrText>
      </w:r>
      <w:r>
        <w:fldChar w:fldCharType="separate"/>
      </w:r>
      <w:r>
        <w:t>5</w:t>
      </w:r>
      <w:r>
        <w:fldChar w:fldCharType="end"/>
      </w:r>
      <w:r>
        <w:rPr>
          <w:rFonts w:hint="eastAsia" w:ascii="宋体" w:hAnsi="宋体" w:eastAsia="宋体" w:cs="宋体"/>
          <w:szCs w:val="24"/>
          <w:highlight w:val="none"/>
        </w:rPr>
        <w:fldChar w:fldCharType="end"/>
      </w:r>
    </w:p>
    <w:p>
      <w:pPr>
        <w:pStyle w:val="19"/>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_Toc9576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第三部分  供应商须知</w:t>
      </w:r>
      <w:r>
        <w:tab/>
      </w:r>
      <w:r>
        <w:fldChar w:fldCharType="begin"/>
      </w:r>
      <w:r>
        <w:instrText xml:space="preserve"> PAGEREF _Toc9576 \h </w:instrText>
      </w:r>
      <w:r>
        <w:fldChar w:fldCharType="separate"/>
      </w:r>
      <w:r>
        <w:t>10</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_Toc17164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一、 </w:t>
      </w:r>
      <w:r>
        <w:rPr>
          <w:rFonts w:hint="eastAsia" w:asciiTheme="minorEastAsia" w:hAnsiTheme="minorEastAsia" w:eastAsiaTheme="minorEastAsia" w:cstheme="minorEastAsia"/>
          <w:bCs/>
          <w:kern w:val="0"/>
          <w:szCs w:val="32"/>
          <w:highlight w:val="none"/>
        </w:rPr>
        <w:t>总 则</w:t>
      </w:r>
      <w:r>
        <w:tab/>
      </w:r>
      <w:r>
        <w:fldChar w:fldCharType="begin"/>
      </w:r>
      <w:r>
        <w:instrText xml:space="preserve"> PAGEREF _Toc17164 \h </w:instrText>
      </w:r>
      <w:r>
        <w:fldChar w:fldCharType="separate"/>
      </w:r>
      <w:r>
        <w:t>10</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_Toc20055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二、 </w:t>
      </w:r>
      <w:r>
        <w:rPr>
          <w:rFonts w:hint="eastAsia" w:asciiTheme="minorEastAsia" w:hAnsiTheme="minorEastAsia" w:eastAsiaTheme="minorEastAsia" w:cstheme="minorEastAsia"/>
          <w:bCs/>
          <w:kern w:val="0"/>
          <w:szCs w:val="32"/>
          <w:highlight w:val="none"/>
        </w:rPr>
        <w:t>招标文件</w:t>
      </w:r>
      <w:r>
        <w:tab/>
      </w:r>
      <w:r>
        <w:fldChar w:fldCharType="begin"/>
      </w:r>
      <w:r>
        <w:instrText xml:space="preserve"> PAGEREF _Toc20055 \h </w:instrText>
      </w:r>
      <w:r>
        <w:fldChar w:fldCharType="separate"/>
      </w:r>
      <w:r>
        <w:t>13</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_Toc10191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三、 </w:t>
      </w:r>
      <w:r>
        <w:rPr>
          <w:rFonts w:hint="eastAsia" w:asciiTheme="minorEastAsia" w:hAnsiTheme="minorEastAsia" w:eastAsiaTheme="minorEastAsia" w:cstheme="minorEastAsia"/>
          <w:bCs/>
          <w:kern w:val="0"/>
          <w:szCs w:val="32"/>
          <w:highlight w:val="none"/>
        </w:rPr>
        <w:t>投标文件</w:t>
      </w:r>
      <w:r>
        <w:tab/>
      </w:r>
      <w:r>
        <w:fldChar w:fldCharType="begin"/>
      </w:r>
      <w:r>
        <w:instrText xml:space="preserve"> PAGEREF _Toc10191 \h </w:instrText>
      </w:r>
      <w:r>
        <w:fldChar w:fldCharType="separate"/>
      </w:r>
      <w:r>
        <w:t>15</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_Toc10506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四、 </w:t>
      </w:r>
      <w:r>
        <w:rPr>
          <w:rFonts w:hint="eastAsia" w:asciiTheme="minorEastAsia" w:hAnsiTheme="minorEastAsia" w:eastAsiaTheme="minorEastAsia" w:cstheme="minorEastAsia"/>
          <w:bCs/>
          <w:kern w:val="0"/>
          <w:szCs w:val="32"/>
          <w:highlight w:val="none"/>
        </w:rPr>
        <w:t>投标文件的递交</w:t>
      </w:r>
      <w:r>
        <w:tab/>
      </w:r>
      <w:r>
        <w:fldChar w:fldCharType="begin"/>
      </w:r>
      <w:r>
        <w:instrText xml:space="preserve"> PAGEREF _Toc10506 \h </w:instrText>
      </w:r>
      <w:r>
        <w:fldChar w:fldCharType="separate"/>
      </w:r>
      <w:r>
        <w:t>18</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_Toc21551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五、 </w:t>
      </w:r>
      <w:r>
        <w:rPr>
          <w:rFonts w:hint="eastAsia" w:asciiTheme="minorEastAsia" w:hAnsiTheme="minorEastAsia" w:eastAsiaTheme="minorEastAsia" w:cstheme="minorEastAsia"/>
          <w:bCs/>
          <w:kern w:val="0"/>
          <w:szCs w:val="32"/>
          <w:highlight w:val="none"/>
        </w:rPr>
        <w:t>开标、评审、定标</w:t>
      </w:r>
      <w:r>
        <w:tab/>
      </w:r>
      <w:r>
        <w:fldChar w:fldCharType="begin"/>
      </w:r>
      <w:r>
        <w:instrText xml:space="preserve"> PAGEREF _Toc21551 \h </w:instrText>
      </w:r>
      <w:r>
        <w:fldChar w:fldCharType="separate"/>
      </w:r>
      <w:r>
        <w:t>18</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_Toc28340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六、 </w:t>
      </w:r>
      <w:r>
        <w:rPr>
          <w:rFonts w:hint="eastAsia" w:asciiTheme="minorEastAsia" w:hAnsiTheme="minorEastAsia" w:eastAsiaTheme="minorEastAsia" w:cstheme="minorEastAsia"/>
          <w:bCs/>
          <w:kern w:val="0"/>
          <w:szCs w:val="32"/>
          <w:highlight w:val="none"/>
        </w:rPr>
        <w:t>签订合同</w:t>
      </w:r>
      <w:r>
        <w:tab/>
      </w:r>
      <w:r>
        <w:fldChar w:fldCharType="begin"/>
      </w:r>
      <w:r>
        <w:instrText xml:space="preserve"> PAGEREF _Toc28340 \h </w:instrText>
      </w:r>
      <w:r>
        <w:fldChar w:fldCharType="separate"/>
      </w:r>
      <w:r>
        <w:t>24</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_Toc19703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七、 </w:t>
      </w:r>
      <w:r>
        <w:rPr>
          <w:rFonts w:hint="eastAsia" w:asciiTheme="minorEastAsia" w:hAnsiTheme="minorEastAsia" w:eastAsiaTheme="minorEastAsia" w:cstheme="minorEastAsia"/>
          <w:bCs/>
          <w:kern w:val="0"/>
          <w:szCs w:val="32"/>
          <w:highlight w:val="none"/>
        </w:rPr>
        <w:t>代理服务费</w:t>
      </w:r>
      <w:r>
        <w:tab/>
      </w:r>
      <w:r>
        <w:fldChar w:fldCharType="begin"/>
      </w:r>
      <w:r>
        <w:instrText xml:space="preserve"> PAGEREF _Toc19703 \h </w:instrText>
      </w:r>
      <w:r>
        <w:fldChar w:fldCharType="separate"/>
      </w:r>
      <w:r>
        <w:t>24</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_Toc25512 </w:instrText>
      </w:r>
      <w:r>
        <w:rPr>
          <w:rFonts w:hint="eastAsia" w:ascii="宋体" w:hAnsi="宋体" w:eastAsia="宋体" w:cs="宋体"/>
          <w:szCs w:val="24"/>
          <w:highlight w:val="none"/>
        </w:rPr>
        <w:fldChar w:fldCharType="separate"/>
      </w:r>
      <w:r>
        <w:rPr>
          <w:rFonts w:hint="eastAsia" w:ascii="宋体" w:hAnsi="宋体" w:cs="宋体"/>
          <w:bCs/>
          <w:szCs w:val="32"/>
        </w:rPr>
        <w:t xml:space="preserve">八、 </w:t>
      </w:r>
      <w:r>
        <w:rPr>
          <w:rFonts w:hint="eastAsia" w:ascii="宋体" w:hAnsi="宋体" w:cs="宋体"/>
          <w:bCs/>
          <w:szCs w:val="32"/>
          <w:highlight w:val="none"/>
        </w:rPr>
        <w:t>履约验收</w:t>
      </w:r>
      <w:r>
        <w:tab/>
      </w:r>
      <w:r>
        <w:fldChar w:fldCharType="begin"/>
      </w:r>
      <w:r>
        <w:instrText xml:space="preserve"> PAGEREF _Toc25512 \h </w:instrText>
      </w:r>
      <w:r>
        <w:fldChar w:fldCharType="separate"/>
      </w:r>
      <w:r>
        <w:t>24</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_Toc6744 </w:instrText>
      </w:r>
      <w:r>
        <w:rPr>
          <w:rFonts w:hint="eastAsia" w:ascii="宋体" w:hAnsi="宋体" w:eastAsia="宋体" w:cs="宋体"/>
          <w:szCs w:val="24"/>
          <w:highlight w:val="none"/>
        </w:rPr>
        <w:fldChar w:fldCharType="separate"/>
      </w:r>
      <w:r>
        <w:rPr>
          <w:rFonts w:hint="eastAsia" w:ascii="宋体" w:hAnsi="宋体" w:cs="宋体"/>
          <w:bCs/>
          <w:szCs w:val="32"/>
        </w:rPr>
        <w:t xml:space="preserve">九、 </w:t>
      </w:r>
      <w:r>
        <w:rPr>
          <w:rFonts w:hint="eastAsia" w:ascii="宋体" w:hAnsi="宋体" w:cs="宋体"/>
          <w:bCs/>
          <w:szCs w:val="32"/>
          <w:highlight w:val="none"/>
        </w:rPr>
        <w:t>质疑和投诉</w:t>
      </w:r>
      <w:r>
        <w:tab/>
      </w:r>
      <w:r>
        <w:fldChar w:fldCharType="begin"/>
      </w:r>
      <w:r>
        <w:instrText xml:space="preserve"> PAGEREF _Toc6744 \h </w:instrText>
      </w:r>
      <w:r>
        <w:fldChar w:fldCharType="separate"/>
      </w:r>
      <w:r>
        <w:t>24</w:t>
      </w:r>
      <w:r>
        <w:fldChar w:fldCharType="end"/>
      </w:r>
      <w:r>
        <w:rPr>
          <w:rFonts w:hint="eastAsia" w:ascii="宋体" w:hAnsi="宋体" w:eastAsia="宋体" w:cs="宋体"/>
          <w:szCs w:val="24"/>
          <w:highlight w:val="none"/>
        </w:rPr>
        <w:fldChar w:fldCharType="end"/>
      </w:r>
    </w:p>
    <w:p>
      <w:pPr>
        <w:pStyle w:val="19"/>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_Toc6259 </w:instrText>
      </w:r>
      <w:r>
        <w:rPr>
          <w:rFonts w:hint="eastAsia" w:ascii="宋体" w:hAnsi="宋体" w:eastAsia="宋体" w:cs="宋体"/>
          <w:szCs w:val="24"/>
          <w:highlight w:val="none"/>
        </w:rPr>
        <w:fldChar w:fldCharType="separate"/>
      </w:r>
      <w:r>
        <w:rPr>
          <w:rFonts w:asciiTheme="minorEastAsia" w:hAnsiTheme="minorEastAsia" w:eastAsiaTheme="minorEastAsia" w:cstheme="minorEastAsia"/>
          <w:szCs w:val="36"/>
        </w:rPr>
        <w:t xml:space="preserve">第四部分 </w:t>
      </w:r>
      <w:r>
        <w:rPr>
          <w:rFonts w:hint="eastAsia" w:asciiTheme="minorEastAsia" w:hAnsiTheme="minorEastAsia" w:eastAsiaTheme="minorEastAsia" w:cstheme="minorEastAsia"/>
          <w:szCs w:val="36"/>
          <w:highlight w:val="none"/>
        </w:rPr>
        <w:t>评分标准</w:t>
      </w:r>
      <w:r>
        <w:tab/>
      </w:r>
      <w:r>
        <w:fldChar w:fldCharType="begin"/>
      </w:r>
      <w:r>
        <w:instrText xml:space="preserve"> PAGEREF _Toc6259 \h </w:instrText>
      </w:r>
      <w:r>
        <w:fldChar w:fldCharType="separate"/>
      </w:r>
      <w:r>
        <w:t>27</w:t>
      </w:r>
      <w:r>
        <w:fldChar w:fldCharType="end"/>
      </w:r>
      <w:r>
        <w:rPr>
          <w:rFonts w:hint="eastAsia" w:ascii="宋体" w:hAnsi="宋体" w:eastAsia="宋体" w:cs="宋体"/>
          <w:szCs w:val="24"/>
          <w:highlight w:val="none"/>
        </w:rPr>
        <w:fldChar w:fldCharType="end"/>
      </w:r>
    </w:p>
    <w:p>
      <w:pPr>
        <w:pStyle w:val="19"/>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_Toc16466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第五部分  商务条款与采购要求</w:t>
      </w:r>
      <w:r>
        <w:tab/>
      </w:r>
      <w:r>
        <w:fldChar w:fldCharType="begin"/>
      </w:r>
      <w:r>
        <w:instrText xml:space="preserve"> PAGEREF _Toc16466 \h </w:instrText>
      </w:r>
      <w:r>
        <w:fldChar w:fldCharType="separate"/>
      </w:r>
      <w:r>
        <w:t>31</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_Toc2065 </w:instrText>
      </w:r>
      <w:r>
        <w:rPr>
          <w:rFonts w:hint="eastAsia" w:ascii="宋体" w:hAnsi="宋体" w:eastAsia="宋体" w:cs="宋体"/>
          <w:szCs w:val="24"/>
          <w:highlight w:val="none"/>
        </w:rPr>
        <w:fldChar w:fldCharType="separate"/>
      </w:r>
      <w:r>
        <w:rPr>
          <w:rFonts w:hint="eastAsia" w:ascii="宋体" w:hAnsi="宋体" w:cs="宋体"/>
          <w:szCs w:val="24"/>
          <w:highlight w:val="none"/>
        </w:rPr>
        <w:t>一、商务</w:t>
      </w:r>
      <w:r>
        <w:rPr>
          <w:rFonts w:hint="eastAsia" w:ascii="宋体" w:hAnsi="宋体" w:cs="宋体"/>
          <w:szCs w:val="24"/>
          <w:highlight w:val="none"/>
          <w:lang w:val="en-US" w:eastAsia="zh-CN"/>
        </w:rPr>
        <w:t>条款</w:t>
      </w:r>
      <w:r>
        <w:tab/>
      </w:r>
      <w:r>
        <w:fldChar w:fldCharType="begin"/>
      </w:r>
      <w:r>
        <w:instrText xml:space="preserve"> PAGEREF _Toc2065 \h </w:instrText>
      </w:r>
      <w:r>
        <w:fldChar w:fldCharType="separate"/>
      </w:r>
      <w:r>
        <w:t>31</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_Toc16620 </w:instrText>
      </w:r>
      <w:r>
        <w:rPr>
          <w:rFonts w:hint="eastAsia" w:ascii="宋体" w:hAnsi="宋体" w:eastAsia="宋体" w:cs="宋体"/>
          <w:szCs w:val="24"/>
          <w:highlight w:val="none"/>
        </w:rPr>
        <w:fldChar w:fldCharType="separate"/>
      </w:r>
      <w:r>
        <w:rPr>
          <w:rFonts w:hint="eastAsia" w:ascii="宋体" w:hAnsi="宋体" w:cs="宋体"/>
          <w:szCs w:val="24"/>
          <w:highlight w:val="none"/>
          <w:lang w:val="en-US" w:eastAsia="zh-CN"/>
        </w:rPr>
        <w:t>二、</w:t>
      </w:r>
      <w:r>
        <w:rPr>
          <w:rFonts w:hint="eastAsia" w:ascii="宋体" w:hAnsi="宋体" w:eastAsia="宋体" w:cs="宋体"/>
          <w:szCs w:val="24"/>
          <w:highlight w:val="none"/>
          <w:lang w:val="en-US" w:eastAsia="zh-CN"/>
        </w:rPr>
        <w:t>采购要求</w:t>
      </w:r>
      <w:r>
        <w:tab/>
      </w:r>
      <w:r>
        <w:fldChar w:fldCharType="begin"/>
      </w:r>
      <w:r>
        <w:instrText xml:space="preserve"> PAGEREF _Toc16620 \h </w:instrText>
      </w:r>
      <w:r>
        <w:fldChar w:fldCharType="separate"/>
      </w:r>
      <w:r>
        <w:t>31</w:t>
      </w:r>
      <w:r>
        <w:fldChar w:fldCharType="end"/>
      </w:r>
      <w:r>
        <w:rPr>
          <w:rFonts w:hint="eastAsia" w:ascii="宋体" w:hAnsi="宋体" w:eastAsia="宋体" w:cs="宋体"/>
          <w:szCs w:val="24"/>
          <w:highlight w:val="none"/>
        </w:rPr>
        <w:fldChar w:fldCharType="end"/>
      </w:r>
    </w:p>
    <w:p>
      <w:pPr>
        <w:pStyle w:val="19"/>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_Toc15239 </w:instrText>
      </w:r>
      <w:r>
        <w:rPr>
          <w:rFonts w:hint="eastAsia" w:ascii="宋体" w:hAnsi="宋体" w:eastAsia="宋体" w:cs="宋体"/>
          <w:szCs w:val="24"/>
          <w:highlight w:val="none"/>
        </w:rPr>
        <w:fldChar w:fldCharType="separate"/>
      </w:r>
      <w:r>
        <w:rPr>
          <w:rFonts w:hint="eastAsia" w:ascii="宋体" w:hAnsi="宋体" w:cs="宋体"/>
          <w:bCs/>
          <w:kern w:val="44"/>
          <w:szCs w:val="44"/>
          <w:highlight w:val="none"/>
        </w:rPr>
        <w:t>第六部分  合同条款</w:t>
      </w:r>
      <w:r>
        <w:tab/>
      </w:r>
      <w:r>
        <w:fldChar w:fldCharType="begin"/>
      </w:r>
      <w:r>
        <w:instrText xml:space="preserve"> PAGEREF _Toc15239 \h </w:instrText>
      </w:r>
      <w:r>
        <w:fldChar w:fldCharType="separate"/>
      </w:r>
      <w:r>
        <w:t>37</w:t>
      </w:r>
      <w:r>
        <w:fldChar w:fldCharType="end"/>
      </w:r>
      <w:r>
        <w:rPr>
          <w:rFonts w:hint="eastAsia" w:ascii="宋体" w:hAnsi="宋体" w:eastAsia="宋体" w:cs="宋体"/>
          <w:szCs w:val="24"/>
          <w:highlight w:val="none"/>
        </w:rPr>
        <w:fldChar w:fldCharType="end"/>
      </w:r>
    </w:p>
    <w:p>
      <w:pPr>
        <w:pStyle w:val="19"/>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_Toc7138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bCs/>
          <w:szCs w:val="36"/>
          <w:highlight w:val="none"/>
        </w:rPr>
        <w:t>第七部分  投标文件格式</w:t>
      </w:r>
      <w:r>
        <w:tab/>
      </w:r>
      <w:r>
        <w:fldChar w:fldCharType="begin"/>
      </w:r>
      <w:r>
        <w:instrText xml:space="preserve"> PAGEREF _Toc7138 \h </w:instrText>
      </w:r>
      <w:r>
        <w:fldChar w:fldCharType="separate"/>
      </w:r>
      <w:r>
        <w:t>43</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_Toc2878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第一章  报价函</w:t>
      </w:r>
      <w:r>
        <w:tab/>
      </w:r>
      <w:r>
        <w:fldChar w:fldCharType="begin"/>
      </w:r>
      <w:r>
        <w:instrText xml:space="preserve"> PAGEREF _Toc2878 \h </w:instrText>
      </w:r>
      <w:r>
        <w:fldChar w:fldCharType="separate"/>
      </w:r>
      <w:r>
        <w:t>45</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_Toc18706 </w:instrText>
      </w:r>
      <w:r>
        <w:rPr>
          <w:rFonts w:hint="eastAsia" w:ascii="宋体" w:hAnsi="宋体" w:eastAsia="宋体" w:cs="宋体"/>
          <w:szCs w:val="24"/>
          <w:highlight w:val="none"/>
        </w:rPr>
        <w:fldChar w:fldCharType="separate"/>
      </w:r>
      <w:r>
        <w:rPr>
          <w:rFonts w:hint="eastAsia" w:ascii="宋体" w:hAnsi="宋体" w:cs="宋体"/>
          <w:szCs w:val="36"/>
          <w:highlight w:val="none"/>
        </w:rPr>
        <w:t>第二章</w:t>
      </w:r>
      <w:r>
        <w:rPr>
          <w:rFonts w:hint="eastAsia" w:ascii="宋体" w:hAnsi="宋体" w:cs="宋体"/>
          <w:szCs w:val="36"/>
          <w:highlight w:val="none"/>
          <w:lang w:val="en-US" w:eastAsia="zh-CN"/>
        </w:rPr>
        <w:t xml:space="preserve">  </w:t>
      </w:r>
      <w:r>
        <w:rPr>
          <w:rFonts w:hint="eastAsia" w:ascii="宋体" w:hAnsi="宋体" w:cs="宋体"/>
          <w:szCs w:val="36"/>
          <w:highlight w:val="none"/>
        </w:rPr>
        <w:t>报价一览表</w:t>
      </w:r>
      <w:r>
        <w:tab/>
      </w:r>
      <w:r>
        <w:fldChar w:fldCharType="begin"/>
      </w:r>
      <w:r>
        <w:instrText xml:space="preserve"> PAGEREF _Toc18706 \h </w:instrText>
      </w:r>
      <w:r>
        <w:fldChar w:fldCharType="separate"/>
      </w:r>
      <w:r>
        <w:t>46</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_Toc29775 </w:instrText>
      </w:r>
      <w:r>
        <w:rPr>
          <w:rFonts w:hint="eastAsia" w:ascii="宋体" w:hAnsi="宋体" w:eastAsia="宋体" w:cs="宋体"/>
          <w:szCs w:val="24"/>
          <w:highlight w:val="none"/>
        </w:rPr>
        <w:fldChar w:fldCharType="separate"/>
      </w:r>
      <w:r>
        <w:rPr>
          <w:rFonts w:hint="eastAsia" w:hAnsi="宋体" w:cs="宋体"/>
          <w:bCs/>
          <w:szCs w:val="32"/>
          <w:highlight w:val="none"/>
        </w:rPr>
        <w:t>第三章</w:t>
      </w:r>
      <w:r>
        <w:rPr>
          <w:rFonts w:hint="eastAsia"/>
          <w:bCs/>
          <w:szCs w:val="32"/>
          <w:highlight w:val="none"/>
        </w:rPr>
        <w:t xml:space="preserve">  分项报价表</w:t>
      </w:r>
      <w:r>
        <w:tab/>
      </w:r>
      <w:r>
        <w:fldChar w:fldCharType="begin"/>
      </w:r>
      <w:r>
        <w:instrText xml:space="preserve"> PAGEREF _Toc29775 \h </w:instrText>
      </w:r>
      <w:r>
        <w:fldChar w:fldCharType="separate"/>
      </w:r>
      <w:r>
        <w:t>47</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_Toc27417 </w:instrText>
      </w:r>
      <w:r>
        <w:rPr>
          <w:rFonts w:hint="eastAsia" w:ascii="宋体" w:hAnsi="宋体" w:eastAsia="宋体" w:cs="宋体"/>
          <w:szCs w:val="24"/>
          <w:highlight w:val="none"/>
        </w:rPr>
        <w:fldChar w:fldCharType="separate"/>
      </w:r>
      <w:r>
        <w:rPr>
          <w:rFonts w:hint="eastAsia"/>
          <w:highlight w:val="none"/>
          <w:lang w:val="en-US" w:eastAsia="zh-CN"/>
        </w:rPr>
        <w:t xml:space="preserve">第四章  </w:t>
      </w:r>
      <w:r>
        <w:rPr>
          <w:rFonts w:hint="eastAsia"/>
          <w:highlight w:val="none"/>
        </w:rPr>
        <w:t>投标保证金</w:t>
      </w:r>
      <w:r>
        <w:tab/>
      </w:r>
      <w:r>
        <w:fldChar w:fldCharType="begin"/>
      </w:r>
      <w:r>
        <w:instrText xml:space="preserve"> PAGEREF _Toc27417 \h </w:instrText>
      </w:r>
      <w:r>
        <w:fldChar w:fldCharType="separate"/>
      </w:r>
      <w:r>
        <w:t>48</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_Toc26917 </w:instrText>
      </w:r>
      <w:r>
        <w:rPr>
          <w:rFonts w:hint="eastAsia" w:ascii="宋体" w:hAnsi="宋体" w:eastAsia="宋体" w:cs="宋体"/>
          <w:szCs w:val="24"/>
          <w:highlight w:val="none"/>
        </w:rPr>
        <w:fldChar w:fldCharType="separate"/>
      </w:r>
      <w:r>
        <w:rPr>
          <w:rFonts w:hint="eastAsia"/>
          <w:highlight w:val="none"/>
          <w:lang w:val="en-US" w:eastAsia="zh-CN"/>
        </w:rPr>
        <w:t xml:space="preserve">第五章  </w:t>
      </w:r>
      <w:r>
        <w:rPr>
          <w:rFonts w:hint="eastAsia"/>
          <w:highlight w:val="none"/>
        </w:rPr>
        <w:t>供应商资质证明资料</w:t>
      </w:r>
      <w:r>
        <w:tab/>
      </w:r>
      <w:r>
        <w:fldChar w:fldCharType="begin"/>
      </w:r>
      <w:r>
        <w:instrText xml:space="preserve"> PAGEREF _Toc26917 \h </w:instrText>
      </w:r>
      <w:r>
        <w:fldChar w:fldCharType="separate"/>
      </w:r>
      <w:r>
        <w:t>49</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_Toc9207 </w:instrText>
      </w:r>
      <w:r>
        <w:rPr>
          <w:rFonts w:hint="eastAsia" w:ascii="宋体" w:hAnsi="宋体" w:eastAsia="宋体" w:cs="宋体"/>
          <w:szCs w:val="24"/>
          <w:highlight w:val="none"/>
        </w:rPr>
        <w:fldChar w:fldCharType="separate"/>
      </w:r>
      <w:r>
        <w:rPr>
          <w:rFonts w:hint="eastAsia"/>
          <w:highlight w:val="none"/>
        </w:rPr>
        <w:t>第</w:t>
      </w:r>
      <w:r>
        <w:rPr>
          <w:rFonts w:hint="eastAsia"/>
          <w:highlight w:val="none"/>
          <w:lang w:val="en-US" w:eastAsia="zh-CN"/>
        </w:rPr>
        <w:t>六</w:t>
      </w:r>
      <w:r>
        <w:rPr>
          <w:rFonts w:hint="eastAsia"/>
          <w:highlight w:val="none"/>
        </w:rPr>
        <w:t>章  商务和需求响应偏离表</w:t>
      </w:r>
      <w:r>
        <w:tab/>
      </w:r>
      <w:r>
        <w:fldChar w:fldCharType="begin"/>
      </w:r>
      <w:r>
        <w:instrText xml:space="preserve"> PAGEREF _Toc9207 \h </w:instrText>
      </w:r>
      <w:r>
        <w:fldChar w:fldCharType="separate"/>
      </w:r>
      <w:r>
        <w:t>56</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_Toc18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第七章  技术支持资料</w:t>
      </w:r>
      <w:r>
        <w:tab/>
      </w:r>
      <w:r>
        <w:fldChar w:fldCharType="begin"/>
      </w:r>
      <w:r>
        <w:instrText xml:space="preserve"> PAGEREF _Toc18 \h </w:instrText>
      </w:r>
      <w:r>
        <w:fldChar w:fldCharType="separate"/>
      </w:r>
      <w:r>
        <w:t>58</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_Toc950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bCs/>
          <w:kern w:val="0"/>
          <w:szCs w:val="36"/>
          <w:highlight w:val="none"/>
          <w:lang w:val="en-US" w:eastAsia="zh-CN" w:bidi="ar-SA"/>
        </w:rPr>
        <w:t>第八章  实施方案及服务保障</w:t>
      </w:r>
      <w:r>
        <w:tab/>
      </w:r>
      <w:r>
        <w:fldChar w:fldCharType="begin"/>
      </w:r>
      <w:r>
        <w:instrText xml:space="preserve"> PAGEREF _Toc950 \h </w:instrText>
      </w:r>
      <w:r>
        <w:fldChar w:fldCharType="separate"/>
      </w:r>
      <w:r>
        <w:t>59</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_Toc14300 </w:instrText>
      </w:r>
      <w:r>
        <w:rPr>
          <w:rFonts w:hint="eastAsia" w:ascii="宋体" w:hAnsi="宋体" w:eastAsia="宋体" w:cs="宋体"/>
          <w:szCs w:val="24"/>
          <w:highlight w:val="none"/>
        </w:rPr>
        <w:fldChar w:fldCharType="separate"/>
      </w:r>
      <w:r>
        <w:rPr>
          <w:rFonts w:hint="eastAsia"/>
          <w:highlight w:val="none"/>
        </w:rPr>
        <w:t>第</w:t>
      </w:r>
      <w:r>
        <w:rPr>
          <w:rFonts w:hint="eastAsia"/>
          <w:highlight w:val="none"/>
          <w:lang w:val="en-US" w:eastAsia="zh-CN"/>
        </w:rPr>
        <w:t>九</w:t>
      </w:r>
      <w:r>
        <w:rPr>
          <w:rFonts w:hint="eastAsia"/>
          <w:highlight w:val="none"/>
        </w:rPr>
        <w:t xml:space="preserve">章  </w:t>
      </w:r>
      <w:r>
        <w:rPr>
          <w:rFonts w:hint="eastAsia"/>
          <w:highlight w:val="none"/>
          <w:lang w:eastAsia="zh-CN"/>
        </w:rPr>
        <w:t>供应商</w:t>
      </w:r>
      <w:r>
        <w:rPr>
          <w:rFonts w:hint="eastAsia"/>
          <w:highlight w:val="none"/>
        </w:rPr>
        <w:t>业绩一览表</w:t>
      </w:r>
      <w:r>
        <w:tab/>
      </w:r>
      <w:r>
        <w:fldChar w:fldCharType="begin"/>
      </w:r>
      <w:r>
        <w:instrText xml:space="preserve"> PAGEREF _Toc14300 \h </w:instrText>
      </w:r>
      <w:r>
        <w:fldChar w:fldCharType="separate"/>
      </w:r>
      <w:r>
        <w:t>60</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_Toc2406 </w:instrText>
      </w:r>
      <w:r>
        <w:rPr>
          <w:rFonts w:hint="eastAsia" w:ascii="宋体" w:hAnsi="宋体" w:eastAsia="宋体" w:cs="宋体"/>
          <w:szCs w:val="24"/>
          <w:highlight w:val="none"/>
        </w:rPr>
        <w:fldChar w:fldCharType="separate"/>
      </w:r>
      <w:r>
        <w:rPr>
          <w:rFonts w:hint="eastAsia"/>
          <w:highlight w:val="none"/>
        </w:rPr>
        <w:t>第</w:t>
      </w:r>
      <w:r>
        <w:rPr>
          <w:rFonts w:hint="eastAsia"/>
          <w:highlight w:val="none"/>
          <w:lang w:val="en-US" w:eastAsia="zh-CN"/>
        </w:rPr>
        <w:t>十</w:t>
      </w:r>
      <w:r>
        <w:rPr>
          <w:rFonts w:hint="eastAsia"/>
          <w:highlight w:val="none"/>
        </w:rPr>
        <w:t xml:space="preserve">章  </w:t>
      </w:r>
      <w:r>
        <w:rPr>
          <w:rFonts w:hint="eastAsia"/>
          <w:highlight w:val="none"/>
          <w:lang w:eastAsia="zh-CN"/>
        </w:rPr>
        <w:t>供应商</w:t>
      </w:r>
      <w:r>
        <w:rPr>
          <w:rFonts w:hint="eastAsia"/>
          <w:highlight w:val="none"/>
        </w:rPr>
        <w:t>认为有必要说明的其他问题</w:t>
      </w:r>
      <w:r>
        <w:tab/>
      </w:r>
      <w:r>
        <w:fldChar w:fldCharType="begin"/>
      </w:r>
      <w:r>
        <w:instrText xml:space="preserve"> PAGEREF _Toc2406 \h </w:instrText>
      </w:r>
      <w:r>
        <w:fldChar w:fldCharType="separate"/>
      </w:r>
      <w:r>
        <w:t>61</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_Toc2370 </w:instrText>
      </w:r>
      <w:r>
        <w:rPr>
          <w:rFonts w:hint="eastAsia" w:ascii="宋体" w:hAnsi="宋体" w:eastAsia="宋体" w:cs="宋体"/>
          <w:szCs w:val="24"/>
          <w:highlight w:val="none"/>
        </w:rPr>
        <w:fldChar w:fldCharType="separate"/>
      </w:r>
      <w:r>
        <w:rPr>
          <w:rFonts w:hint="eastAsia" w:ascii="宋体" w:hAnsi="宋体" w:cs="宋体"/>
          <w:szCs w:val="36"/>
          <w:lang w:val="en-US" w:eastAsia="zh-CN"/>
        </w:rPr>
        <w:t xml:space="preserve">第十一章  </w:t>
      </w:r>
      <w:r>
        <w:rPr>
          <w:rFonts w:hint="eastAsia" w:ascii="宋体" w:hAnsi="宋体" w:cs="宋体"/>
          <w:szCs w:val="36"/>
        </w:rPr>
        <w:t>供应商承诺书</w:t>
      </w:r>
      <w:r>
        <w:tab/>
      </w:r>
      <w:r>
        <w:fldChar w:fldCharType="begin"/>
      </w:r>
      <w:r>
        <w:instrText xml:space="preserve"> PAGEREF _Toc2370 \h </w:instrText>
      </w:r>
      <w:r>
        <w:fldChar w:fldCharType="separate"/>
      </w:r>
      <w:r>
        <w:t>62</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_Toc12532 </w:instrText>
      </w:r>
      <w:r>
        <w:rPr>
          <w:rFonts w:hint="eastAsia" w:ascii="宋体" w:hAnsi="宋体" w:eastAsia="宋体" w:cs="宋体"/>
          <w:szCs w:val="24"/>
          <w:highlight w:val="none"/>
        </w:rPr>
        <w:fldChar w:fldCharType="separate"/>
      </w:r>
      <w:r>
        <w:rPr>
          <w:rFonts w:hint="eastAsia"/>
          <w:highlight w:val="none"/>
        </w:rPr>
        <w:t>附件一、封袋正面标识式样</w:t>
      </w:r>
      <w:r>
        <w:tab/>
      </w:r>
      <w:r>
        <w:fldChar w:fldCharType="begin"/>
      </w:r>
      <w:r>
        <w:instrText xml:space="preserve"> PAGEREF _Toc12532 \h </w:instrText>
      </w:r>
      <w:r>
        <w:fldChar w:fldCharType="separate"/>
      </w:r>
      <w:r>
        <w:t>65</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_Toc30210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highlight w:val="none"/>
        </w:rPr>
        <w:t>附件二、中小企业申明</w:t>
      </w:r>
      <w:r>
        <w:tab/>
      </w:r>
      <w:r>
        <w:fldChar w:fldCharType="begin"/>
      </w:r>
      <w:r>
        <w:instrText xml:space="preserve"> PAGEREF _Toc30210 \h </w:instrText>
      </w:r>
      <w:r>
        <w:fldChar w:fldCharType="separate"/>
      </w:r>
      <w:r>
        <w:t>69</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_Toc7322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highlight w:val="none"/>
        </w:rPr>
        <w:t>附件三、残疾人福利性单位声明</w:t>
      </w:r>
      <w:r>
        <w:tab/>
      </w:r>
      <w:r>
        <w:fldChar w:fldCharType="begin"/>
      </w:r>
      <w:r>
        <w:instrText xml:space="preserve"> PAGEREF _Toc7322 \h </w:instrText>
      </w:r>
      <w:r>
        <w:fldChar w:fldCharType="separate"/>
      </w:r>
      <w:r>
        <w:t>70</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_Toc2301 </w:instrText>
      </w:r>
      <w:r>
        <w:rPr>
          <w:rFonts w:hint="eastAsia" w:ascii="宋体" w:hAnsi="宋体" w:eastAsia="宋体" w:cs="宋体"/>
          <w:szCs w:val="24"/>
          <w:highlight w:val="none"/>
        </w:rPr>
        <w:fldChar w:fldCharType="separate"/>
      </w:r>
      <w:r>
        <w:rPr>
          <w:rFonts w:hint="eastAsia"/>
          <w:highlight w:val="none"/>
        </w:rPr>
        <w:t>附件四、监狱企业证明文件</w:t>
      </w:r>
      <w:r>
        <w:tab/>
      </w:r>
      <w:r>
        <w:fldChar w:fldCharType="begin"/>
      </w:r>
      <w:r>
        <w:instrText xml:space="preserve"> PAGEREF _Toc2301 \h </w:instrText>
      </w:r>
      <w:r>
        <w:fldChar w:fldCharType="separate"/>
      </w:r>
      <w:r>
        <w:t>70</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_Toc7937 </w:instrText>
      </w:r>
      <w:r>
        <w:rPr>
          <w:rFonts w:hint="eastAsia" w:ascii="宋体" w:hAnsi="宋体" w:eastAsia="宋体" w:cs="宋体"/>
          <w:szCs w:val="24"/>
          <w:highlight w:val="none"/>
        </w:rPr>
        <w:fldChar w:fldCharType="separate"/>
      </w:r>
      <w:r>
        <w:rPr>
          <w:rFonts w:hint="eastAsia" w:ascii="宋体" w:hAnsi="宋体" w:cs="宋体"/>
          <w:highlight w:val="none"/>
        </w:rPr>
        <w:t>附件五、“节能产品”，“环境标志产品”证明材料</w:t>
      </w:r>
      <w:r>
        <w:tab/>
      </w:r>
      <w:r>
        <w:fldChar w:fldCharType="begin"/>
      </w:r>
      <w:r>
        <w:instrText xml:space="preserve"> PAGEREF _Toc7937 \h </w:instrText>
      </w:r>
      <w:r>
        <w:fldChar w:fldCharType="separate"/>
      </w:r>
      <w:r>
        <w:t>70</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_Toc6235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highlight w:val="none"/>
        </w:rPr>
        <w:t>附件六、质疑函样本</w:t>
      </w:r>
      <w:r>
        <w:tab/>
      </w:r>
      <w:r>
        <w:fldChar w:fldCharType="begin"/>
      </w:r>
      <w:r>
        <w:instrText xml:space="preserve"> PAGEREF _Toc6235 \h </w:instrText>
      </w:r>
      <w:r>
        <w:fldChar w:fldCharType="separate"/>
      </w:r>
      <w:r>
        <w:t>71</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_Toc21328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highlight w:val="none"/>
        </w:rPr>
        <w:t>附件七、保证金退还账户信息确认表</w:t>
      </w:r>
      <w:r>
        <w:tab/>
      </w:r>
      <w:r>
        <w:fldChar w:fldCharType="begin"/>
      </w:r>
      <w:r>
        <w:instrText xml:space="preserve"> PAGEREF _Toc21328 \h </w:instrText>
      </w:r>
      <w:r>
        <w:fldChar w:fldCharType="separate"/>
      </w:r>
      <w:r>
        <w:t>72</w:t>
      </w:r>
      <w:r>
        <w:fldChar w:fldCharType="end"/>
      </w:r>
      <w:r>
        <w:rPr>
          <w:rFonts w:hint="eastAsia" w:ascii="宋体" w:hAnsi="宋体" w:eastAsia="宋体" w:cs="宋体"/>
          <w:szCs w:val="24"/>
          <w:highlight w:val="none"/>
        </w:rPr>
        <w:fldChar w:fldCharType="end"/>
      </w:r>
    </w:p>
    <w:p>
      <w:pPr>
        <w:pStyle w:val="3"/>
        <w:spacing w:line="300" w:lineRule="auto"/>
        <w:rPr>
          <w:rFonts w:asciiTheme="minorEastAsia" w:hAnsiTheme="minorEastAsia" w:eastAsiaTheme="minorEastAsia" w:cstheme="minorEastAsia"/>
          <w:szCs w:val="24"/>
          <w:highlight w:val="none"/>
        </w:rPr>
        <w:sectPr>
          <w:headerReference r:id="rId5" w:type="default"/>
          <w:footerReference r:id="rId6"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eastAsia="宋体" w:cs="宋体"/>
          <w:szCs w:val="24"/>
          <w:highlight w:val="none"/>
        </w:rPr>
        <w:fldChar w:fldCharType="end"/>
      </w:r>
    </w:p>
    <w:p>
      <w:pPr>
        <w:pStyle w:val="3"/>
        <w:spacing w:beforeLines="50" w:afterLines="50" w:line="240" w:lineRule="auto"/>
        <w:rPr>
          <w:rFonts w:asciiTheme="minorEastAsia" w:hAnsiTheme="minorEastAsia" w:eastAsiaTheme="minorEastAsia" w:cstheme="minorEastAsia"/>
          <w:sz w:val="36"/>
          <w:szCs w:val="36"/>
          <w:highlight w:val="none"/>
        </w:rPr>
      </w:pPr>
      <w:bookmarkStart w:id="1" w:name="_Toc26575"/>
      <w:bookmarkStart w:id="2" w:name="_Toc19428"/>
      <w:bookmarkStart w:id="3" w:name="_Toc22714"/>
      <w:bookmarkStart w:id="4" w:name="_Toc3711"/>
      <w:bookmarkStart w:id="5" w:name="_Toc3110"/>
      <w:bookmarkStart w:id="6" w:name="_Toc9001"/>
      <w:r>
        <w:rPr>
          <w:rFonts w:hint="eastAsia" w:asciiTheme="minorEastAsia" w:hAnsiTheme="minorEastAsia" w:eastAsiaTheme="minorEastAsia" w:cstheme="minorEastAsia"/>
          <w:sz w:val="36"/>
          <w:szCs w:val="36"/>
          <w:highlight w:val="none"/>
        </w:rPr>
        <w:t>第一部分  公开招标公告</w:t>
      </w:r>
      <w:bookmarkEnd w:id="1"/>
      <w:bookmarkEnd w:id="2"/>
      <w:bookmarkEnd w:id="3"/>
      <w:bookmarkEnd w:id="4"/>
      <w:bookmarkEnd w:id="5"/>
      <w:bookmarkEnd w:id="6"/>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kern w:val="0"/>
          <w:sz w:val="24"/>
          <w:szCs w:val="24"/>
          <w:highlight w:val="none"/>
        </w:rPr>
        <w:t>陕西万泽招标有限公司受</w:t>
      </w:r>
      <w:r>
        <w:rPr>
          <w:rFonts w:hint="eastAsia" w:asciiTheme="minorEastAsia" w:hAnsiTheme="minorEastAsia" w:eastAsiaTheme="minorEastAsia" w:cstheme="minorEastAsia"/>
          <w:kern w:val="0"/>
          <w:sz w:val="24"/>
          <w:szCs w:val="24"/>
          <w:highlight w:val="none"/>
          <w:lang w:eastAsia="zh-CN"/>
        </w:rPr>
        <w:t>陕西中医药大学第二附属医院</w:t>
      </w:r>
      <w:r>
        <w:rPr>
          <w:rFonts w:hint="eastAsia" w:asciiTheme="minorEastAsia" w:hAnsiTheme="minorEastAsia" w:eastAsiaTheme="minorEastAsia" w:cstheme="minorEastAsia"/>
          <w:kern w:val="0"/>
          <w:sz w:val="24"/>
          <w:szCs w:val="24"/>
          <w:highlight w:val="none"/>
        </w:rPr>
        <w:t>的委托，按照政府采购程序，就</w:t>
      </w:r>
      <w:r>
        <w:rPr>
          <w:rFonts w:hint="eastAsia" w:ascii="宋体" w:hAnsi="宋体" w:cs="宋体" w:eastAsiaTheme="minorEastAsia"/>
          <w:kern w:val="0"/>
          <w:sz w:val="24"/>
          <w:szCs w:val="24"/>
          <w:highlight w:val="none"/>
          <w:lang w:eastAsia="zh-CN"/>
        </w:rPr>
        <w:t>陕西中医药大学第二附属医院床旁血滤机、神经中央监护分析系统、诱发电位仪医疗设备采购项目</w:t>
      </w:r>
      <w:r>
        <w:rPr>
          <w:rFonts w:hint="eastAsia" w:asciiTheme="minorEastAsia" w:hAnsiTheme="minorEastAsia" w:eastAsiaTheme="minorEastAsia" w:cstheme="minorEastAsia"/>
          <w:kern w:val="0"/>
          <w:sz w:val="24"/>
          <w:szCs w:val="24"/>
          <w:highlight w:val="none"/>
        </w:rPr>
        <w:t>进行公开招标，欢迎符合资格条件的、有能力提供本次项目所需货物、服务或工程的供货商参加投标。</w:t>
      </w:r>
    </w:p>
    <w:p>
      <w:pPr>
        <w:widowControl/>
        <w:numPr>
          <w:ilvl w:val="0"/>
          <w:numId w:val="0"/>
        </w:numPr>
        <w:wordWrap w:val="0"/>
        <w:snapToGrid w:val="0"/>
        <w:spacing w:line="360" w:lineRule="auto"/>
        <w:ind w:firstLine="480" w:firstLineChars="200"/>
        <w:jc w:val="left"/>
        <w:rPr>
          <w:rFonts w:asciiTheme="minorEastAsia" w:hAnsiTheme="minorEastAsia" w:eastAsiaTheme="minorEastAsia" w:cstheme="minorEastAsia"/>
          <w:kern w:val="0"/>
          <w:sz w:val="24"/>
          <w:szCs w:val="24"/>
          <w:highlight w:val="yellow"/>
        </w:rPr>
      </w:pPr>
      <w:r>
        <w:rPr>
          <w:rFonts w:hint="eastAsia" w:asciiTheme="minorEastAsia" w:hAnsiTheme="minorEastAsia" w:eastAsiaTheme="minorEastAsia" w:cstheme="minorEastAsia"/>
          <w:kern w:val="0"/>
          <w:sz w:val="24"/>
          <w:szCs w:val="24"/>
          <w:highlight w:val="none"/>
          <w:lang w:val="en-US" w:eastAsia="zh-CN"/>
        </w:rPr>
        <w:t>一、</w:t>
      </w:r>
      <w:r>
        <w:rPr>
          <w:rFonts w:hint="eastAsia" w:asciiTheme="minorEastAsia" w:hAnsiTheme="minorEastAsia" w:eastAsiaTheme="minorEastAsia" w:cstheme="minorEastAsia"/>
          <w:kern w:val="0"/>
          <w:sz w:val="24"/>
          <w:szCs w:val="24"/>
          <w:highlight w:val="none"/>
        </w:rPr>
        <w:t>项目名称：</w:t>
      </w:r>
      <w:r>
        <w:rPr>
          <w:rFonts w:hint="eastAsia" w:asciiTheme="minorEastAsia" w:hAnsiTheme="minorEastAsia" w:eastAsiaTheme="minorEastAsia" w:cstheme="minorEastAsia"/>
          <w:kern w:val="0"/>
          <w:sz w:val="24"/>
          <w:szCs w:val="24"/>
          <w:highlight w:val="none"/>
          <w:lang w:eastAsia="zh-CN"/>
        </w:rPr>
        <w:t>陕西中医药大学第二附属医院床旁血滤机、神经中央监护分析系统、诱发电位仪医疗设备采购项目</w:t>
      </w:r>
    </w:p>
    <w:p>
      <w:pPr>
        <w:widowControl/>
        <w:numPr>
          <w:ilvl w:val="0"/>
          <w:numId w:val="0"/>
        </w:numPr>
        <w:wordWrap w:val="0"/>
        <w:snapToGrid w:val="0"/>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二、</w:t>
      </w:r>
      <w:r>
        <w:rPr>
          <w:rFonts w:hint="eastAsia" w:asciiTheme="minorEastAsia" w:hAnsiTheme="minorEastAsia" w:eastAsiaTheme="minorEastAsia" w:cstheme="minorEastAsia"/>
          <w:kern w:val="0"/>
          <w:sz w:val="24"/>
          <w:szCs w:val="24"/>
          <w:highlight w:val="none"/>
        </w:rPr>
        <w:t>项目编号：</w:t>
      </w:r>
      <w:r>
        <w:rPr>
          <w:rFonts w:hint="eastAsia" w:asciiTheme="minorEastAsia" w:hAnsiTheme="minorEastAsia" w:eastAsiaTheme="minorEastAsia" w:cstheme="minorEastAsia"/>
          <w:kern w:val="0"/>
          <w:sz w:val="24"/>
          <w:szCs w:val="24"/>
          <w:highlight w:val="none"/>
          <w:lang w:eastAsia="zh-CN"/>
        </w:rPr>
        <w:t>SXWZ2022ZB-SZEY-199</w:t>
      </w:r>
    </w:p>
    <w:p>
      <w:pPr>
        <w:widowControl/>
        <w:numPr>
          <w:ilvl w:val="0"/>
          <w:numId w:val="0"/>
        </w:numPr>
        <w:wordWrap w:val="0"/>
        <w:snapToGrid w:val="0"/>
        <w:spacing w:line="360" w:lineRule="auto"/>
        <w:ind w:firstLine="480" w:firstLineChars="200"/>
        <w:jc w:val="left"/>
        <w:rPr>
          <w:rFonts w:asciiTheme="minorEastAsia" w:hAnsiTheme="minorEastAsia" w:eastAsiaTheme="minorEastAsia" w:cstheme="minorEastAsia"/>
          <w:kern w:val="0"/>
          <w:sz w:val="24"/>
          <w:szCs w:val="24"/>
          <w:highlight w:val="none"/>
        </w:rPr>
      </w:pPr>
      <w:bookmarkStart w:id="7" w:name="OLE_LINK2"/>
      <w:r>
        <w:rPr>
          <w:rFonts w:hint="eastAsia" w:asciiTheme="minorEastAsia" w:hAnsiTheme="minorEastAsia" w:eastAsiaTheme="minorEastAsia" w:cstheme="minorEastAsia"/>
          <w:kern w:val="0"/>
          <w:sz w:val="24"/>
          <w:szCs w:val="24"/>
          <w:highlight w:val="none"/>
          <w:lang w:val="en-US" w:eastAsia="zh-CN"/>
        </w:rPr>
        <w:t>三、</w:t>
      </w:r>
      <w:r>
        <w:rPr>
          <w:rFonts w:hint="eastAsia" w:asciiTheme="minorEastAsia" w:hAnsiTheme="minorEastAsia" w:eastAsiaTheme="minorEastAsia" w:cstheme="minorEastAsia"/>
          <w:kern w:val="0"/>
          <w:sz w:val="24"/>
          <w:szCs w:val="24"/>
          <w:highlight w:val="none"/>
        </w:rPr>
        <w:t>采购人名称：</w:t>
      </w:r>
      <w:r>
        <w:rPr>
          <w:rFonts w:hint="eastAsia" w:asciiTheme="minorEastAsia" w:hAnsiTheme="minorEastAsia" w:eastAsiaTheme="minorEastAsia" w:cstheme="minorEastAsia"/>
          <w:kern w:val="0"/>
          <w:sz w:val="24"/>
          <w:szCs w:val="24"/>
          <w:highlight w:val="none"/>
          <w:lang w:eastAsia="zh-CN"/>
        </w:rPr>
        <w:t>陕西中医药大学第二附属医院</w:t>
      </w:r>
    </w:p>
    <w:p>
      <w:pPr>
        <w:widowControl/>
        <w:wordWrap w:val="0"/>
        <w:snapToGrid w:val="0"/>
        <w:spacing w:line="360" w:lineRule="auto"/>
        <w:ind w:firstLine="960" w:firstLineChars="400"/>
        <w:jc w:val="left"/>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地址：</w:t>
      </w:r>
      <w:r>
        <w:rPr>
          <w:rFonts w:hint="eastAsia" w:asciiTheme="minorEastAsia" w:hAnsiTheme="minorEastAsia" w:eastAsiaTheme="minorEastAsia" w:cstheme="minorEastAsia"/>
          <w:kern w:val="0"/>
          <w:sz w:val="24"/>
          <w:szCs w:val="24"/>
          <w:highlight w:val="none"/>
          <w:lang w:eastAsia="zh-CN"/>
        </w:rPr>
        <w:t>咸阳市秦都区渭阳西路5号</w:t>
      </w:r>
    </w:p>
    <w:p>
      <w:pPr>
        <w:pStyle w:val="21"/>
        <w:spacing w:line="360" w:lineRule="auto"/>
        <w:ind w:firstLine="960" w:firstLineChars="400"/>
        <w:jc w:val="left"/>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val="en-US" w:eastAsia="zh-CN"/>
        </w:rPr>
        <w:t>联系人：刘</w:t>
      </w:r>
      <w:r>
        <w:rPr>
          <w:rFonts w:hint="eastAsia" w:asciiTheme="minorEastAsia" w:hAnsiTheme="minorEastAsia" w:eastAsiaTheme="minorEastAsia" w:cstheme="minorEastAsia"/>
          <w:kern w:val="0"/>
          <w:sz w:val="24"/>
          <w:szCs w:val="24"/>
          <w:highlight w:val="none"/>
          <w:lang w:eastAsia="zh-CN"/>
        </w:rPr>
        <w:t>老师</w:t>
      </w:r>
    </w:p>
    <w:p>
      <w:pPr>
        <w:pStyle w:val="21"/>
        <w:spacing w:line="360" w:lineRule="auto"/>
        <w:ind w:firstLine="960" w:firstLineChars="400"/>
        <w:jc w:val="left"/>
        <w:rPr>
          <w:rFonts w:hint="default" w:asciiTheme="minorEastAsia" w:hAnsiTheme="minorEastAsia" w:eastAsiaTheme="minorEastAsia" w:cstheme="minorEastAsia"/>
          <w:kern w:val="0"/>
          <w:sz w:val="24"/>
          <w:szCs w:val="24"/>
          <w:highlight w:val="none"/>
          <w:lang w:val="en-US" w:eastAsia="zh-CN"/>
        </w:rPr>
      </w:pPr>
      <w:r>
        <w:rPr>
          <w:rFonts w:hint="eastAsia" w:ascii="宋体" w:hAnsi="宋体" w:cs="宋体"/>
          <w:kern w:val="0"/>
          <w:sz w:val="24"/>
          <w:szCs w:val="24"/>
          <w:highlight w:val="none"/>
        </w:rPr>
        <w:t>联系方式：029-</w:t>
      </w:r>
      <w:r>
        <w:rPr>
          <w:rFonts w:hint="eastAsia" w:ascii="宋体" w:hAnsi="宋体" w:cs="宋体"/>
          <w:kern w:val="0"/>
          <w:sz w:val="24"/>
          <w:szCs w:val="24"/>
          <w:highlight w:val="none"/>
          <w:lang w:val="en-US" w:eastAsia="zh-CN"/>
        </w:rPr>
        <w:t>33572698</w:t>
      </w:r>
    </w:p>
    <w:bookmarkEnd w:id="7"/>
    <w:p>
      <w:pPr>
        <w:widowControl/>
        <w:numPr>
          <w:ilvl w:val="0"/>
          <w:numId w:val="0"/>
        </w:numPr>
        <w:tabs>
          <w:tab w:val="left" w:pos="1620"/>
        </w:tabs>
        <w:wordWrap w:val="0"/>
        <w:snapToGrid w:val="0"/>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四、</w:t>
      </w:r>
      <w:r>
        <w:rPr>
          <w:rFonts w:hint="eastAsia" w:asciiTheme="minorEastAsia" w:hAnsiTheme="minorEastAsia" w:eastAsiaTheme="minorEastAsia" w:cstheme="minorEastAsia"/>
          <w:kern w:val="0"/>
          <w:sz w:val="24"/>
          <w:szCs w:val="24"/>
          <w:highlight w:val="none"/>
        </w:rPr>
        <w:t>采购代理机构名称：陕西万泽招标有限公司</w:t>
      </w:r>
    </w:p>
    <w:p>
      <w:pPr>
        <w:widowControl/>
        <w:wordWrap w:val="0"/>
        <w:snapToGrid w:val="0"/>
        <w:spacing w:line="360" w:lineRule="auto"/>
        <w:ind w:firstLine="960" w:firstLineChars="4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地址：西安市莲湖区西关正街英达大厦1507室</w:t>
      </w:r>
    </w:p>
    <w:p>
      <w:pPr>
        <w:widowControl/>
        <w:wordWrap w:val="0"/>
        <w:snapToGrid w:val="0"/>
        <w:spacing w:line="360" w:lineRule="auto"/>
        <w:ind w:firstLine="960" w:firstLineChars="400"/>
        <w:jc w:val="left"/>
        <w:rPr>
          <w:rFonts w:hint="default"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rPr>
        <w:t>联系方式：029-88319689</w:t>
      </w:r>
      <w:r>
        <w:rPr>
          <w:rFonts w:hint="eastAsia" w:asciiTheme="minorEastAsia" w:hAnsiTheme="minorEastAsia" w:eastAsiaTheme="minorEastAsia" w:cstheme="minorEastAsia"/>
          <w:kern w:val="0"/>
          <w:sz w:val="24"/>
          <w:szCs w:val="24"/>
          <w:highlight w:val="none"/>
          <w:lang w:val="en-US" w:eastAsia="zh-CN"/>
        </w:rPr>
        <w:t>-807</w:t>
      </w:r>
    </w:p>
    <w:p>
      <w:pPr>
        <w:widowControl/>
        <w:numPr>
          <w:ilvl w:val="0"/>
          <w:numId w:val="0"/>
        </w:numPr>
        <w:tabs>
          <w:tab w:val="left" w:pos="1620"/>
        </w:tabs>
        <w:wordWrap w:val="0"/>
        <w:snapToGrid w:val="0"/>
        <w:spacing w:line="360" w:lineRule="auto"/>
        <w:ind w:firstLine="480" w:firstLineChars="200"/>
        <w:jc w:val="left"/>
        <w:rPr>
          <w:rFonts w:asciiTheme="minorEastAsia" w:hAnsiTheme="minorEastAsia" w:eastAsiaTheme="minorEastAsia" w:cstheme="minorEastAsia"/>
          <w:kern w:val="0"/>
          <w:sz w:val="24"/>
          <w:szCs w:val="24"/>
          <w:highlight w:val="none"/>
          <w:vertAlign w:val="baseline"/>
        </w:rPr>
      </w:pPr>
      <w:r>
        <w:rPr>
          <w:rFonts w:hint="eastAsia" w:asciiTheme="minorEastAsia" w:hAnsiTheme="minorEastAsia" w:eastAsiaTheme="minorEastAsia" w:cstheme="minorEastAsia"/>
          <w:kern w:val="0"/>
          <w:sz w:val="24"/>
          <w:szCs w:val="24"/>
          <w:highlight w:val="none"/>
          <w:lang w:val="en-US" w:eastAsia="zh-CN"/>
        </w:rPr>
        <w:t>五、</w:t>
      </w:r>
      <w:r>
        <w:rPr>
          <w:rFonts w:hint="eastAsia" w:asciiTheme="minorEastAsia" w:hAnsiTheme="minorEastAsia" w:eastAsiaTheme="minorEastAsia" w:cstheme="minorEastAsia"/>
          <w:kern w:val="0"/>
          <w:sz w:val="24"/>
          <w:szCs w:val="24"/>
          <w:highlight w:val="none"/>
        </w:rPr>
        <w:t>采购内容和要求：</w:t>
      </w:r>
    </w:p>
    <w:tbl>
      <w:tblPr>
        <w:tblStyle w:val="26"/>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564"/>
        <w:gridCol w:w="1742"/>
        <w:gridCol w:w="1569"/>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1" w:type="dxa"/>
            <w:vAlign w:val="center"/>
          </w:tcPr>
          <w:p>
            <w:pPr>
              <w:widowControl/>
              <w:wordWrap w:val="0"/>
              <w:spacing w:line="360" w:lineRule="auto"/>
              <w:jc w:val="center"/>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eastAsia="zh-CN"/>
              </w:rPr>
              <w:t>包号</w:t>
            </w:r>
          </w:p>
        </w:tc>
        <w:tc>
          <w:tcPr>
            <w:tcW w:w="3564" w:type="dxa"/>
            <w:vAlign w:val="center"/>
          </w:tcPr>
          <w:p>
            <w:pPr>
              <w:widowControl/>
              <w:wordWrap w:val="0"/>
              <w:spacing w:line="360" w:lineRule="auto"/>
              <w:jc w:val="center"/>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rPr>
              <w:t>名称</w:t>
            </w:r>
          </w:p>
        </w:tc>
        <w:tc>
          <w:tcPr>
            <w:tcW w:w="1742" w:type="dxa"/>
            <w:vAlign w:val="center"/>
          </w:tcPr>
          <w:p>
            <w:pPr>
              <w:widowControl/>
              <w:wordWrap w:val="0"/>
              <w:spacing w:line="360" w:lineRule="auto"/>
              <w:jc w:val="center"/>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rPr>
              <w:t>预算</w:t>
            </w:r>
            <w:r>
              <w:rPr>
                <w:rFonts w:hint="eastAsia" w:ascii="宋体" w:hAnsi="宋体" w:eastAsia="宋体" w:cs="宋体"/>
                <w:bCs/>
                <w:kern w:val="0"/>
                <w:sz w:val="24"/>
                <w:szCs w:val="24"/>
                <w:highlight w:val="none"/>
                <w:lang w:eastAsia="zh-CN"/>
              </w:rPr>
              <w:t>（元）</w:t>
            </w:r>
          </w:p>
        </w:tc>
        <w:tc>
          <w:tcPr>
            <w:tcW w:w="1569" w:type="dxa"/>
            <w:vAlign w:val="center"/>
          </w:tcPr>
          <w:p>
            <w:pPr>
              <w:widowControl/>
              <w:wordWrap w:val="0"/>
              <w:spacing w:line="360" w:lineRule="auto"/>
              <w:jc w:val="center"/>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eastAsia="zh-CN"/>
              </w:rPr>
              <w:t>项目性质</w:t>
            </w:r>
          </w:p>
        </w:tc>
        <w:tc>
          <w:tcPr>
            <w:tcW w:w="1212" w:type="dxa"/>
            <w:vAlign w:val="center"/>
          </w:tcPr>
          <w:p>
            <w:pPr>
              <w:widowControl/>
              <w:wordWrap w:val="0"/>
              <w:spacing w:line="360" w:lineRule="auto"/>
              <w:jc w:val="center"/>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eastAsia="zh-CN"/>
              </w:rPr>
              <w:t>项目用途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1" w:type="dxa"/>
            <w:vAlign w:val="center"/>
          </w:tcPr>
          <w:p>
            <w:pPr>
              <w:widowControl/>
              <w:wordWrap w:val="0"/>
              <w:spacing w:line="240" w:lineRule="auto"/>
              <w:jc w:val="center"/>
              <w:rPr>
                <w:rFonts w:hint="eastAsia" w:ascii="宋体" w:hAnsi="宋体" w:eastAsia="宋体" w:cs="宋体"/>
                <w:kern w:val="0"/>
                <w:sz w:val="24"/>
                <w:szCs w:val="24"/>
                <w:highlight w:val="none"/>
                <w:vertAlign w:val="baseline"/>
                <w:lang w:val="en-US" w:eastAsia="zh-CN" w:bidi="ar-SA"/>
              </w:rPr>
            </w:pPr>
            <w:r>
              <w:rPr>
                <w:rFonts w:hint="eastAsia" w:ascii="宋体" w:hAnsi="宋体" w:eastAsia="宋体" w:cs="宋体"/>
                <w:bCs/>
                <w:kern w:val="0"/>
                <w:sz w:val="24"/>
                <w:szCs w:val="24"/>
                <w:highlight w:val="none"/>
              </w:rPr>
              <w:t>第一包</w:t>
            </w:r>
          </w:p>
        </w:tc>
        <w:tc>
          <w:tcPr>
            <w:tcW w:w="3564" w:type="dxa"/>
            <w:vAlign w:val="center"/>
          </w:tcPr>
          <w:p>
            <w:pPr>
              <w:widowControl/>
              <w:numPr>
                <w:ilvl w:val="0"/>
                <w:numId w:val="0"/>
              </w:numPr>
              <w:tabs>
                <w:tab w:val="left" w:pos="1620"/>
              </w:tabs>
              <w:wordWrap w:val="0"/>
              <w:snapToGrid w:val="0"/>
              <w:spacing w:line="360" w:lineRule="auto"/>
              <w:jc w:val="center"/>
              <w:rPr>
                <w:rFonts w:asciiTheme="minorEastAsia" w:hAnsiTheme="minorEastAsia" w:eastAsiaTheme="minorEastAsia" w:cstheme="minorEastAsia"/>
                <w:kern w:val="0"/>
                <w:sz w:val="24"/>
                <w:szCs w:val="24"/>
                <w:highlight w:val="none"/>
                <w:vertAlign w:val="baseline"/>
              </w:rPr>
            </w:pPr>
            <w:r>
              <w:rPr>
                <w:rFonts w:hint="eastAsia" w:asciiTheme="minorEastAsia" w:hAnsiTheme="minorEastAsia" w:eastAsiaTheme="minorEastAsia" w:cstheme="minorEastAsia"/>
                <w:kern w:val="0"/>
                <w:sz w:val="24"/>
                <w:szCs w:val="24"/>
                <w:highlight w:val="none"/>
                <w:vertAlign w:val="baseline"/>
              </w:rPr>
              <w:t>床旁血滤机</w:t>
            </w:r>
          </w:p>
        </w:tc>
        <w:tc>
          <w:tcPr>
            <w:tcW w:w="1742" w:type="dxa"/>
            <w:vAlign w:val="center"/>
          </w:tcPr>
          <w:p>
            <w:pPr>
              <w:widowControl/>
              <w:numPr>
                <w:ilvl w:val="0"/>
                <w:numId w:val="0"/>
              </w:numPr>
              <w:tabs>
                <w:tab w:val="left" w:pos="1620"/>
              </w:tabs>
              <w:wordWrap w:val="0"/>
              <w:snapToGrid w:val="0"/>
              <w:spacing w:line="360" w:lineRule="auto"/>
              <w:jc w:val="center"/>
              <w:rPr>
                <w:rFonts w:asciiTheme="minorEastAsia" w:hAnsiTheme="minorEastAsia" w:eastAsiaTheme="minorEastAsia" w:cstheme="minorEastAsia"/>
                <w:kern w:val="0"/>
                <w:sz w:val="24"/>
                <w:szCs w:val="24"/>
                <w:highlight w:val="none"/>
                <w:vertAlign w:val="baseline"/>
              </w:rPr>
            </w:pPr>
            <w:r>
              <w:rPr>
                <w:rFonts w:hint="eastAsia" w:asciiTheme="minorEastAsia" w:hAnsiTheme="minorEastAsia" w:eastAsiaTheme="minorEastAsia" w:cstheme="minorEastAsia"/>
                <w:kern w:val="0"/>
                <w:sz w:val="24"/>
                <w:szCs w:val="24"/>
                <w:highlight w:val="none"/>
                <w:vertAlign w:val="baseline"/>
                <w:lang w:val="en-US" w:eastAsia="zh-CN"/>
              </w:rPr>
              <w:t>2700</w:t>
            </w:r>
            <w:r>
              <w:rPr>
                <w:rFonts w:asciiTheme="minorEastAsia" w:hAnsiTheme="minorEastAsia" w:eastAsiaTheme="minorEastAsia" w:cstheme="minorEastAsia"/>
                <w:kern w:val="0"/>
                <w:sz w:val="24"/>
                <w:szCs w:val="24"/>
                <w:highlight w:val="none"/>
                <w:vertAlign w:val="baseline"/>
              </w:rPr>
              <w:t>00.00</w:t>
            </w:r>
          </w:p>
        </w:tc>
        <w:tc>
          <w:tcPr>
            <w:tcW w:w="1569" w:type="dxa"/>
            <w:vMerge w:val="restart"/>
            <w:vAlign w:val="center"/>
          </w:tcPr>
          <w:p>
            <w:pPr>
              <w:widowControl/>
              <w:numPr>
                <w:ilvl w:val="0"/>
                <w:numId w:val="0"/>
              </w:numPr>
              <w:tabs>
                <w:tab w:val="left" w:pos="1620"/>
              </w:tabs>
              <w:wordWrap w:val="0"/>
              <w:snapToGrid w:val="0"/>
              <w:spacing w:line="360" w:lineRule="auto"/>
              <w:jc w:val="center"/>
              <w:rPr>
                <w:rFonts w:hint="eastAsia" w:asciiTheme="minorEastAsia" w:hAnsiTheme="minorEastAsia" w:eastAsiaTheme="minorEastAsia" w:cstheme="minorEastAsia"/>
                <w:kern w:val="0"/>
                <w:sz w:val="24"/>
                <w:szCs w:val="24"/>
                <w:highlight w:val="none"/>
                <w:vertAlign w:val="baseline"/>
                <w:lang w:eastAsia="zh-CN"/>
              </w:rPr>
            </w:pPr>
            <w:r>
              <w:rPr>
                <w:rFonts w:hint="eastAsia" w:asciiTheme="minorEastAsia" w:hAnsiTheme="minorEastAsia" w:eastAsiaTheme="minorEastAsia" w:cstheme="minorEastAsia"/>
                <w:kern w:val="0"/>
                <w:sz w:val="24"/>
                <w:szCs w:val="24"/>
                <w:highlight w:val="none"/>
                <w:vertAlign w:val="baseline"/>
                <w:lang w:eastAsia="zh-CN"/>
              </w:rPr>
              <w:t>财政资金</w:t>
            </w:r>
          </w:p>
        </w:tc>
        <w:tc>
          <w:tcPr>
            <w:tcW w:w="1212" w:type="dxa"/>
            <w:vMerge w:val="restart"/>
            <w:vAlign w:val="center"/>
          </w:tcPr>
          <w:p>
            <w:pPr>
              <w:widowControl/>
              <w:numPr>
                <w:ilvl w:val="0"/>
                <w:numId w:val="0"/>
              </w:numPr>
              <w:tabs>
                <w:tab w:val="left" w:pos="1620"/>
              </w:tabs>
              <w:wordWrap w:val="0"/>
              <w:snapToGrid w:val="0"/>
              <w:spacing w:line="360" w:lineRule="auto"/>
              <w:jc w:val="center"/>
              <w:rPr>
                <w:rFonts w:hint="eastAsia" w:asciiTheme="minorEastAsia" w:hAnsiTheme="minorEastAsia" w:eastAsiaTheme="minorEastAsia" w:cstheme="minorEastAsia"/>
                <w:kern w:val="0"/>
                <w:sz w:val="24"/>
                <w:szCs w:val="24"/>
                <w:highlight w:val="none"/>
                <w:vertAlign w:val="baseline"/>
                <w:lang w:eastAsia="zh-CN"/>
              </w:rPr>
            </w:pPr>
            <w:r>
              <w:rPr>
                <w:rFonts w:hint="eastAsia" w:asciiTheme="minorEastAsia" w:hAnsiTheme="minorEastAsia" w:eastAsiaTheme="minorEastAsia" w:cstheme="minorEastAsia"/>
                <w:kern w:val="0"/>
                <w:sz w:val="24"/>
                <w:szCs w:val="24"/>
                <w:highlight w:val="none"/>
                <w:vertAlign w:val="baseline"/>
                <w:lang w:eastAsia="zh-CN"/>
              </w:rPr>
              <w:t>自用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1" w:type="dxa"/>
            <w:vAlign w:val="center"/>
          </w:tcPr>
          <w:p>
            <w:pPr>
              <w:widowControl/>
              <w:wordWrap w:val="0"/>
              <w:spacing w:line="240" w:lineRule="auto"/>
              <w:jc w:val="center"/>
              <w:rPr>
                <w:rFonts w:hint="eastAsia" w:ascii="宋体" w:hAnsi="宋体" w:eastAsia="宋体" w:cs="宋体"/>
                <w:kern w:val="0"/>
                <w:sz w:val="24"/>
                <w:szCs w:val="24"/>
                <w:highlight w:val="none"/>
                <w:vertAlign w:val="baseline"/>
                <w:lang w:val="en-US" w:eastAsia="zh-CN" w:bidi="ar-SA"/>
              </w:rPr>
            </w:pPr>
            <w:r>
              <w:rPr>
                <w:rFonts w:hint="eastAsia" w:ascii="宋体" w:hAnsi="宋体" w:eastAsia="宋体" w:cs="宋体"/>
                <w:bCs/>
                <w:kern w:val="0"/>
                <w:sz w:val="24"/>
                <w:szCs w:val="24"/>
                <w:highlight w:val="none"/>
              </w:rPr>
              <w:t>第二包</w:t>
            </w:r>
          </w:p>
        </w:tc>
        <w:tc>
          <w:tcPr>
            <w:tcW w:w="3564" w:type="dxa"/>
            <w:vAlign w:val="center"/>
          </w:tcPr>
          <w:p>
            <w:pPr>
              <w:widowControl/>
              <w:numPr>
                <w:ilvl w:val="0"/>
                <w:numId w:val="0"/>
              </w:numPr>
              <w:tabs>
                <w:tab w:val="left" w:pos="1620"/>
              </w:tabs>
              <w:wordWrap w:val="0"/>
              <w:snapToGrid w:val="0"/>
              <w:spacing w:line="360" w:lineRule="auto"/>
              <w:jc w:val="center"/>
              <w:rPr>
                <w:rFonts w:asciiTheme="minorEastAsia" w:hAnsiTheme="minorEastAsia" w:eastAsiaTheme="minorEastAsia" w:cstheme="minorEastAsia"/>
                <w:kern w:val="0"/>
                <w:sz w:val="24"/>
                <w:szCs w:val="24"/>
                <w:highlight w:val="none"/>
                <w:vertAlign w:val="baseline"/>
              </w:rPr>
            </w:pPr>
            <w:r>
              <w:rPr>
                <w:rFonts w:hint="eastAsia" w:asciiTheme="minorEastAsia" w:hAnsiTheme="minorEastAsia" w:eastAsiaTheme="minorEastAsia" w:cstheme="minorEastAsia"/>
                <w:kern w:val="0"/>
                <w:sz w:val="24"/>
                <w:szCs w:val="24"/>
                <w:highlight w:val="none"/>
                <w:vertAlign w:val="baseline"/>
              </w:rPr>
              <w:t>神经中央监护分析系统</w:t>
            </w:r>
          </w:p>
        </w:tc>
        <w:tc>
          <w:tcPr>
            <w:tcW w:w="1742" w:type="dxa"/>
            <w:vAlign w:val="center"/>
          </w:tcPr>
          <w:p>
            <w:pPr>
              <w:widowControl/>
              <w:numPr>
                <w:ilvl w:val="0"/>
                <w:numId w:val="0"/>
              </w:numPr>
              <w:tabs>
                <w:tab w:val="left" w:pos="1620"/>
              </w:tabs>
              <w:wordWrap w:val="0"/>
              <w:snapToGrid w:val="0"/>
              <w:spacing w:line="360" w:lineRule="auto"/>
              <w:jc w:val="center"/>
              <w:rPr>
                <w:rFonts w:hint="default" w:asciiTheme="minorEastAsia" w:hAnsiTheme="minorEastAsia" w:eastAsiaTheme="minorEastAsia" w:cstheme="minorEastAsia"/>
                <w:kern w:val="0"/>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vertAlign w:val="baseline"/>
                <w:lang w:val="en-US" w:eastAsia="zh-CN"/>
              </w:rPr>
              <w:t>2800</w:t>
            </w:r>
            <w:r>
              <w:rPr>
                <w:rFonts w:asciiTheme="minorEastAsia" w:hAnsiTheme="minorEastAsia" w:eastAsiaTheme="minorEastAsia" w:cstheme="minorEastAsia"/>
                <w:kern w:val="0"/>
                <w:sz w:val="24"/>
                <w:szCs w:val="24"/>
                <w:highlight w:val="none"/>
                <w:vertAlign w:val="baseline"/>
              </w:rPr>
              <w:t>00.00</w:t>
            </w:r>
          </w:p>
        </w:tc>
        <w:tc>
          <w:tcPr>
            <w:tcW w:w="1569" w:type="dxa"/>
            <w:vMerge w:val="continue"/>
          </w:tcPr>
          <w:p>
            <w:pPr>
              <w:widowControl/>
              <w:numPr>
                <w:ilvl w:val="0"/>
                <w:numId w:val="0"/>
              </w:numPr>
              <w:tabs>
                <w:tab w:val="left" w:pos="1620"/>
              </w:tabs>
              <w:wordWrap w:val="0"/>
              <w:snapToGrid w:val="0"/>
              <w:spacing w:line="360" w:lineRule="auto"/>
              <w:jc w:val="left"/>
              <w:rPr>
                <w:rFonts w:asciiTheme="minorEastAsia" w:hAnsiTheme="minorEastAsia" w:eastAsiaTheme="minorEastAsia" w:cstheme="minorEastAsia"/>
                <w:kern w:val="0"/>
                <w:sz w:val="24"/>
                <w:szCs w:val="24"/>
                <w:highlight w:val="none"/>
                <w:vertAlign w:val="baseline"/>
              </w:rPr>
            </w:pPr>
          </w:p>
        </w:tc>
        <w:tc>
          <w:tcPr>
            <w:tcW w:w="1212" w:type="dxa"/>
            <w:vMerge w:val="continue"/>
          </w:tcPr>
          <w:p>
            <w:pPr>
              <w:widowControl/>
              <w:numPr>
                <w:ilvl w:val="0"/>
                <w:numId w:val="0"/>
              </w:numPr>
              <w:tabs>
                <w:tab w:val="left" w:pos="1620"/>
              </w:tabs>
              <w:wordWrap w:val="0"/>
              <w:snapToGrid w:val="0"/>
              <w:spacing w:line="360" w:lineRule="auto"/>
              <w:jc w:val="left"/>
              <w:rPr>
                <w:rFonts w:asciiTheme="minorEastAsia" w:hAnsiTheme="minorEastAsia" w:eastAsiaTheme="minorEastAsia" w:cstheme="minorEastAsia"/>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1" w:type="dxa"/>
            <w:vAlign w:val="center"/>
          </w:tcPr>
          <w:p>
            <w:pPr>
              <w:widowControl/>
              <w:wordWrap w:val="0"/>
              <w:spacing w:line="240" w:lineRule="auto"/>
              <w:jc w:val="center"/>
              <w:rPr>
                <w:rFonts w:hint="eastAsia" w:ascii="宋体" w:hAnsi="宋体" w:eastAsia="宋体" w:cs="宋体"/>
                <w:kern w:val="0"/>
                <w:sz w:val="24"/>
                <w:szCs w:val="24"/>
                <w:highlight w:val="none"/>
                <w:vertAlign w:val="baseline"/>
                <w:lang w:val="en-US" w:eastAsia="zh-CN" w:bidi="ar-SA"/>
              </w:rPr>
            </w:pPr>
            <w:r>
              <w:rPr>
                <w:rFonts w:hint="eastAsia" w:ascii="宋体" w:hAnsi="宋体" w:eastAsia="宋体" w:cs="宋体"/>
                <w:kern w:val="0"/>
                <w:sz w:val="24"/>
                <w:szCs w:val="24"/>
                <w:highlight w:val="none"/>
                <w:vertAlign w:val="baseline"/>
              </w:rPr>
              <w:t>第</w:t>
            </w:r>
            <w:r>
              <w:rPr>
                <w:rFonts w:hint="eastAsia" w:ascii="宋体" w:hAnsi="宋体" w:eastAsia="宋体" w:cs="宋体"/>
                <w:kern w:val="0"/>
                <w:sz w:val="24"/>
                <w:szCs w:val="24"/>
                <w:highlight w:val="none"/>
                <w:vertAlign w:val="baseline"/>
                <w:lang w:eastAsia="zh-CN"/>
              </w:rPr>
              <w:t>三</w:t>
            </w:r>
            <w:r>
              <w:rPr>
                <w:rFonts w:hint="eastAsia" w:ascii="宋体" w:hAnsi="宋体" w:eastAsia="宋体" w:cs="宋体"/>
                <w:kern w:val="0"/>
                <w:sz w:val="24"/>
                <w:szCs w:val="24"/>
                <w:highlight w:val="none"/>
                <w:vertAlign w:val="baseline"/>
              </w:rPr>
              <w:t>包</w:t>
            </w:r>
          </w:p>
        </w:tc>
        <w:tc>
          <w:tcPr>
            <w:tcW w:w="3564" w:type="dxa"/>
            <w:vAlign w:val="center"/>
          </w:tcPr>
          <w:p>
            <w:pPr>
              <w:widowControl/>
              <w:numPr>
                <w:ilvl w:val="0"/>
                <w:numId w:val="0"/>
              </w:numPr>
              <w:tabs>
                <w:tab w:val="left" w:pos="1620"/>
              </w:tabs>
              <w:wordWrap w:val="0"/>
              <w:snapToGrid w:val="0"/>
              <w:spacing w:line="360" w:lineRule="auto"/>
              <w:jc w:val="center"/>
              <w:rPr>
                <w:rFonts w:asciiTheme="minorEastAsia" w:hAnsiTheme="minorEastAsia" w:eastAsiaTheme="minorEastAsia" w:cstheme="minorEastAsia"/>
                <w:kern w:val="0"/>
                <w:sz w:val="24"/>
                <w:szCs w:val="24"/>
                <w:highlight w:val="none"/>
                <w:vertAlign w:val="baseline"/>
              </w:rPr>
            </w:pPr>
            <w:r>
              <w:rPr>
                <w:rFonts w:hint="eastAsia" w:asciiTheme="minorEastAsia" w:hAnsiTheme="minorEastAsia" w:eastAsiaTheme="minorEastAsia" w:cstheme="minorEastAsia"/>
                <w:kern w:val="0"/>
                <w:sz w:val="24"/>
                <w:szCs w:val="24"/>
                <w:highlight w:val="none"/>
                <w:vertAlign w:val="baseline"/>
              </w:rPr>
              <w:t>诱发电位仪</w:t>
            </w:r>
          </w:p>
        </w:tc>
        <w:tc>
          <w:tcPr>
            <w:tcW w:w="1742" w:type="dxa"/>
            <w:vAlign w:val="center"/>
          </w:tcPr>
          <w:p>
            <w:pPr>
              <w:widowControl/>
              <w:numPr>
                <w:ilvl w:val="0"/>
                <w:numId w:val="0"/>
              </w:numPr>
              <w:tabs>
                <w:tab w:val="left" w:pos="1620"/>
              </w:tabs>
              <w:wordWrap w:val="0"/>
              <w:snapToGrid w:val="0"/>
              <w:spacing w:line="360" w:lineRule="auto"/>
              <w:jc w:val="center"/>
              <w:rPr>
                <w:rFonts w:hint="default" w:asciiTheme="minorEastAsia" w:hAnsiTheme="minorEastAsia" w:eastAsiaTheme="minorEastAsia" w:cstheme="minorEastAsia"/>
                <w:kern w:val="0"/>
                <w:sz w:val="24"/>
                <w:szCs w:val="24"/>
                <w:highlight w:val="none"/>
                <w:vertAlign w:val="baseline"/>
                <w:lang w:val="en-US" w:eastAsia="zh-CN"/>
              </w:rPr>
            </w:pPr>
            <w:r>
              <w:rPr>
                <w:rFonts w:hint="eastAsia" w:asciiTheme="minorEastAsia" w:hAnsiTheme="minorEastAsia" w:eastAsiaTheme="minorEastAsia" w:cstheme="minorEastAsia"/>
                <w:kern w:val="0"/>
                <w:sz w:val="24"/>
                <w:szCs w:val="24"/>
                <w:highlight w:val="none"/>
                <w:vertAlign w:val="baseline"/>
                <w:lang w:val="en-US" w:eastAsia="zh-CN"/>
              </w:rPr>
              <w:t>3000</w:t>
            </w:r>
            <w:r>
              <w:rPr>
                <w:rFonts w:asciiTheme="minorEastAsia" w:hAnsiTheme="minorEastAsia" w:eastAsiaTheme="minorEastAsia" w:cstheme="minorEastAsia"/>
                <w:kern w:val="0"/>
                <w:sz w:val="24"/>
                <w:szCs w:val="24"/>
                <w:highlight w:val="none"/>
                <w:vertAlign w:val="baseline"/>
              </w:rPr>
              <w:t>00.00</w:t>
            </w:r>
          </w:p>
        </w:tc>
        <w:tc>
          <w:tcPr>
            <w:tcW w:w="1569" w:type="dxa"/>
            <w:vMerge w:val="continue"/>
          </w:tcPr>
          <w:p>
            <w:pPr>
              <w:widowControl/>
              <w:numPr>
                <w:ilvl w:val="0"/>
                <w:numId w:val="0"/>
              </w:numPr>
              <w:tabs>
                <w:tab w:val="left" w:pos="1620"/>
              </w:tabs>
              <w:wordWrap w:val="0"/>
              <w:snapToGrid w:val="0"/>
              <w:spacing w:line="360" w:lineRule="auto"/>
              <w:jc w:val="left"/>
              <w:rPr>
                <w:rFonts w:asciiTheme="minorEastAsia" w:hAnsiTheme="minorEastAsia" w:eastAsiaTheme="minorEastAsia" w:cstheme="minorEastAsia"/>
                <w:kern w:val="0"/>
                <w:sz w:val="24"/>
                <w:szCs w:val="24"/>
                <w:highlight w:val="none"/>
                <w:vertAlign w:val="baseline"/>
              </w:rPr>
            </w:pPr>
          </w:p>
        </w:tc>
        <w:tc>
          <w:tcPr>
            <w:tcW w:w="1212" w:type="dxa"/>
            <w:vMerge w:val="continue"/>
          </w:tcPr>
          <w:p>
            <w:pPr>
              <w:widowControl/>
              <w:numPr>
                <w:ilvl w:val="0"/>
                <w:numId w:val="0"/>
              </w:numPr>
              <w:tabs>
                <w:tab w:val="left" w:pos="1620"/>
              </w:tabs>
              <w:wordWrap w:val="0"/>
              <w:snapToGrid w:val="0"/>
              <w:spacing w:line="360" w:lineRule="auto"/>
              <w:jc w:val="left"/>
              <w:rPr>
                <w:rFonts w:asciiTheme="minorEastAsia" w:hAnsiTheme="minorEastAsia" w:eastAsiaTheme="minorEastAsia" w:cstheme="minorEastAsia"/>
                <w:kern w:val="0"/>
                <w:sz w:val="24"/>
                <w:szCs w:val="24"/>
                <w:highlight w:val="none"/>
                <w:vertAlign w:val="baseline"/>
              </w:rPr>
            </w:pPr>
          </w:p>
        </w:tc>
      </w:tr>
    </w:tbl>
    <w:p>
      <w:pPr>
        <w:widowControl/>
        <w:numPr>
          <w:ilvl w:val="0"/>
          <w:numId w:val="0"/>
        </w:numPr>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六、</w:t>
      </w:r>
      <w:r>
        <w:rPr>
          <w:rFonts w:hint="eastAsia" w:asciiTheme="minorEastAsia" w:hAnsiTheme="minorEastAsia" w:eastAsiaTheme="minorEastAsia" w:cstheme="minorEastAsia"/>
          <w:kern w:val="0"/>
          <w:sz w:val="24"/>
          <w:szCs w:val="24"/>
          <w:highlight w:val="none"/>
        </w:rPr>
        <w:t>供应商资质要求：</w:t>
      </w:r>
    </w:p>
    <w:p>
      <w:pPr>
        <w:snapToGrid w:val="0"/>
        <w:spacing w:line="300" w:lineRule="auto"/>
        <w:ind w:left="567"/>
        <w:jc w:val="left"/>
        <w:rPr>
          <w:color w:val="000000"/>
          <w:highlight w:val="none"/>
        </w:rPr>
      </w:pPr>
      <w:r>
        <w:rPr>
          <w:rFonts w:hint="eastAsia" w:ascii="宋体" w:hAnsi="宋体" w:cs="宋体"/>
          <w:bCs/>
          <w:color w:val="000000"/>
          <w:kern w:val="0"/>
          <w:sz w:val="24"/>
          <w:szCs w:val="24"/>
          <w:highlight w:val="none"/>
        </w:rPr>
        <w:t>符合《中华人民共和国政府采购法》第二十二条规定，并提供以下材料：</w:t>
      </w:r>
    </w:p>
    <w:p>
      <w:pPr>
        <w:numPr>
          <w:ilvl w:val="0"/>
          <w:numId w:val="1"/>
        </w:num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具有独立承担民事责任能力的法人、其他组织或自然人，并出具合法有效的营业执照或事业单位法人证书等国家规定的相关证明，自然人参与的提供其身份证明；</w:t>
      </w:r>
    </w:p>
    <w:p>
      <w:p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2、社会保障资金缴纳证明：202</w:t>
      </w:r>
      <w:r>
        <w:rPr>
          <w:rFonts w:hint="eastAsia" w:ascii="宋体" w:hAnsi="宋体" w:cs="宋体"/>
          <w:bCs/>
          <w:kern w:val="0"/>
          <w:sz w:val="24"/>
          <w:szCs w:val="24"/>
          <w:highlight w:val="none"/>
          <w:lang w:val="en-US" w:eastAsia="zh-CN"/>
        </w:rPr>
        <w:t>2</w:t>
      </w:r>
      <w:r>
        <w:rPr>
          <w:rFonts w:hint="eastAsia" w:ascii="宋体" w:hAnsi="宋体" w:cs="宋体"/>
          <w:bCs/>
          <w:kern w:val="0"/>
          <w:sz w:val="24"/>
          <w:szCs w:val="24"/>
          <w:highlight w:val="none"/>
        </w:rPr>
        <w:t>年1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3、税收缴纳证明：202</w:t>
      </w:r>
      <w:r>
        <w:rPr>
          <w:rFonts w:hint="eastAsia" w:ascii="宋体" w:hAnsi="宋体" w:cs="宋体"/>
          <w:bCs/>
          <w:kern w:val="0"/>
          <w:sz w:val="24"/>
          <w:szCs w:val="24"/>
          <w:highlight w:val="none"/>
          <w:lang w:val="en-US" w:eastAsia="zh-CN"/>
        </w:rPr>
        <w:t>2</w:t>
      </w:r>
      <w:r>
        <w:rPr>
          <w:rFonts w:hint="eastAsia" w:ascii="宋体" w:hAnsi="宋体" w:cs="宋体"/>
          <w:bCs/>
          <w:kern w:val="0"/>
          <w:sz w:val="24"/>
          <w:szCs w:val="24"/>
          <w:highlight w:val="none"/>
        </w:rPr>
        <w:t>年1月至今已缴纳的至少一个月纳税证明或完税证明，依法免税的单位应提供相关证明材料； </w:t>
      </w:r>
    </w:p>
    <w:p>
      <w:p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4、财务状况证明：</w:t>
      </w:r>
      <w:bookmarkStart w:id="359" w:name="_GoBack"/>
      <w:bookmarkEnd w:id="359"/>
      <w:r>
        <w:rPr>
          <w:rFonts w:hint="eastAsia" w:ascii="宋体" w:hAnsi="宋体" w:cs="宋体"/>
          <w:bCs/>
          <w:kern w:val="0"/>
          <w:sz w:val="24"/>
          <w:szCs w:val="24"/>
          <w:highlight w:val="none"/>
        </w:rPr>
        <w:t>提供经会计师事务所审计的近三年（201</w:t>
      </w:r>
      <w:r>
        <w:rPr>
          <w:rFonts w:hint="eastAsia" w:ascii="宋体" w:hAnsi="宋体" w:cs="宋体"/>
          <w:bCs/>
          <w:kern w:val="0"/>
          <w:sz w:val="24"/>
          <w:szCs w:val="24"/>
          <w:highlight w:val="none"/>
          <w:lang w:val="en-US" w:eastAsia="zh-CN"/>
        </w:rPr>
        <w:t>9</w:t>
      </w:r>
      <w:r>
        <w:rPr>
          <w:rFonts w:hint="eastAsia" w:ascii="宋体" w:hAnsi="宋体" w:cs="宋体"/>
          <w:bCs/>
          <w:kern w:val="0"/>
          <w:sz w:val="24"/>
          <w:szCs w:val="24"/>
          <w:highlight w:val="none"/>
        </w:rPr>
        <w:t>-202</w:t>
      </w:r>
      <w:r>
        <w:rPr>
          <w:rFonts w:hint="eastAsia" w:ascii="宋体" w:hAnsi="宋体" w:cs="宋体"/>
          <w:bCs/>
          <w:kern w:val="0"/>
          <w:sz w:val="24"/>
          <w:szCs w:val="24"/>
          <w:highlight w:val="none"/>
          <w:lang w:val="en-US" w:eastAsia="zh-CN"/>
        </w:rPr>
        <w:t>1</w:t>
      </w:r>
      <w:r>
        <w:rPr>
          <w:rFonts w:hint="eastAsia" w:ascii="宋体" w:hAnsi="宋体" w:cs="宋体"/>
          <w:bCs/>
          <w:kern w:val="0"/>
          <w:sz w:val="24"/>
          <w:szCs w:val="24"/>
          <w:highlight w:val="none"/>
        </w:rPr>
        <w:t xml:space="preserve">年）任意一年的财务审计报告或在开标日期前六个月内其基本开户银行出具的资信证明；  </w:t>
      </w:r>
    </w:p>
    <w:p>
      <w:p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5、供应商应出具参加本次政府采购活动前3年内在经营活动中没有重大违法违纪，以及未被列入失信被执行人、重大税收违法案件当事人名单、政府采购严重违法失信行为记录名单的书面声明；</w:t>
      </w:r>
    </w:p>
    <w:p>
      <w:pPr>
        <w:snapToGrid w:val="0"/>
        <w:spacing w:line="360" w:lineRule="auto"/>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6、非法定代表人参加投标，须提供法定代表人授权委托书及被授权人身份证原件；法定代表人参加投标时,只须提供法定代表人身份证原件；</w:t>
      </w:r>
    </w:p>
    <w:p>
      <w:pPr>
        <w:pStyle w:val="7"/>
        <w:ind w:left="0" w:leftChars="0" w:firstLine="480" w:firstLineChars="200"/>
        <w:rPr>
          <w:highlight w:val="none"/>
        </w:rPr>
      </w:pPr>
      <w:r>
        <w:rPr>
          <w:rFonts w:hint="eastAsia" w:ascii="宋体" w:hAnsi="宋体" w:cs="宋体"/>
          <w:bCs/>
          <w:kern w:val="0"/>
          <w:sz w:val="24"/>
          <w:szCs w:val="24"/>
          <w:highlight w:val="none"/>
        </w:rPr>
        <w:t>7、供应商须提供投标保证金汇款凭证或担保机构出具的保函；</w:t>
      </w:r>
    </w:p>
    <w:p>
      <w:pPr>
        <w:pStyle w:val="11"/>
        <w:spacing w:line="360" w:lineRule="auto"/>
        <w:ind w:firstLine="480" w:firstLineChars="200"/>
        <w:rPr>
          <w:rFonts w:hint="default" w:ascii="宋体" w:hAnsi="宋体" w:eastAsia="宋体" w:cs="宋体"/>
          <w:bCs/>
          <w:sz w:val="24"/>
          <w:szCs w:val="24"/>
          <w:highlight w:val="yellow"/>
          <w:lang w:val="en-US" w:eastAsia="zh-CN"/>
        </w:rPr>
      </w:pPr>
      <w:r>
        <w:rPr>
          <w:rFonts w:hint="eastAsia" w:ascii="宋体" w:hAnsi="宋体" w:cs="宋体"/>
          <w:bCs/>
          <w:sz w:val="24"/>
          <w:szCs w:val="24"/>
          <w:highlight w:val="none"/>
        </w:rPr>
        <w:t>8、</w:t>
      </w:r>
      <w:r>
        <w:rPr>
          <w:rFonts w:hint="eastAsia" w:ascii="宋体" w:hAnsi="宋体" w:cs="宋体"/>
          <w:bCs/>
          <w:sz w:val="24"/>
          <w:szCs w:val="24"/>
          <w:highlight w:val="none"/>
          <w:lang w:val="en-US" w:eastAsia="zh-CN"/>
        </w:rPr>
        <w:t>供应商为经销商须提供医疗器械经营许可证或备案凭证（所投产品须在其经营范围内）和所投产品的医疗器械产品注册证及其附件或备案凭证；制造厂家直接参与投标的应出具医疗器械生产许可证（所投产品须在其生产范围内）及医疗器械经营许可证和医疗器械注册证及其附件或备案凭证；</w:t>
      </w:r>
    </w:p>
    <w:p>
      <w:pPr>
        <w:pStyle w:val="11"/>
        <w:spacing w:line="360" w:lineRule="auto"/>
        <w:ind w:left="420"/>
        <w:rPr>
          <w:rFonts w:ascii="宋体" w:hAnsi="宋体" w:cs="宋体"/>
          <w:bCs/>
          <w:sz w:val="24"/>
          <w:szCs w:val="24"/>
          <w:highlight w:val="none"/>
        </w:rPr>
      </w:pPr>
      <w:r>
        <w:rPr>
          <w:rFonts w:hint="eastAsia" w:ascii="宋体" w:hAnsi="宋体" w:cs="宋体"/>
          <w:bCs/>
          <w:sz w:val="24"/>
          <w:szCs w:val="24"/>
          <w:highlight w:val="none"/>
          <w:lang w:val="en-US" w:eastAsia="zh-CN"/>
        </w:rPr>
        <w:t>9、</w:t>
      </w:r>
      <w:r>
        <w:rPr>
          <w:rFonts w:hint="eastAsia" w:ascii="宋体" w:hAnsi="宋体" w:cs="宋体"/>
          <w:bCs/>
          <w:sz w:val="24"/>
          <w:szCs w:val="24"/>
          <w:highlight w:val="none"/>
        </w:rPr>
        <w:t>本项目不接受联合体投标。</w:t>
      </w:r>
    </w:p>
    <w:p>
      <w:pPr>
        <w:widowControl/>
        <w:numPr>
          <w:ilvl w:val="0"/>
          <w:numId w:val="0"/>
        </w:numPr>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七、</w:t>
      </w:r>
      <w:r>
        <w:rPr>
          <w:rFonts w:hint="eastAsia" w:asciiTheme="minorEastAsia" w:hAnsiTheme="minorEastAsia" w:eastAsiaTheme="minorEastAsia" w:cstheme="minorEastAsia"/>
          <w:kern w:val="0"/>
          <w:sz w:val="24"/>
          <w:szCs w:val="24"/>
          <w:highlight w:val="none"/>
        </w:rPr>
        <w:t>采购项目需要落实的政府采购政策：</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依据《中华人民共和国政府采购法》和《中华人民共和国政府采购法实施条例》的有关规定，落实政府采购“优先购买节能环保产品、扶持小微企业、监狱企业、福利企业” 等相关政策。</w:t>
      </w:r>
    </w:p>
    <w:p>
      <w:pPr>
        <w:snapToGrid w:val="0"/>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color w:val="000000"/>
          <w:sz w:val="24"/>
          <w:szCs w:val="24"/>
          <w:highlight w:val="none"/>
        </w:rPr>
        <w:t>《政府采购促进中小企业发展管理办法》（财库〔2020〕46号）</w:t>
      </w:r>
      <w:r>
        <w:rPr>
          <w:rFonts w:hint="eastAsia" w:ascii="宋体" w:hAnsi="宋体" w:cs="宋体"/>
          <w:sz w:val="24"/>
          <w:szCs w:val="24"/>
          <w:highlight w:val="none"/>
        </w:rPr>
        <w:t>；</w:t>
      </w:r>
    </w:p>
    <w:p>
      <w:pPr>
        <w:snapToGrid w:val="0"/>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2、《财政部 司法部关于政府采购支持监狱企业发展有关问题的通知》（财库〔2014〕68号）； </w:t>
      </w:r>
    </w:p>
    <w:p>
      <w:pPr>
        <w:snapToGrid w:val="0"/>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3、《国务院办公厅关于建立政府强制采购节能产品制度的通知》（国办发〔2007〕51号）； </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4、《财政部发展改革委生态环境部市场监督总局关于调整优化节能产品、环境标志产品政府采购执行机制的通知》（财库[2019]9号）；</w:t>
      </w:r>
    </w:p>
    <w:p>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5、《市场监督总局关于发布参与实施政府采购节能产品、环境标志产品认证机构名录的公告》（2019年第16号）；</w:t>
      </w:r>
    </w:p>
    <w:p>
      <w:pPr>
        <w:snapToGrid w:val="0"/>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6、《三部门联合发布关于促进残疾人就业政府采购政策的通知》（财库〔2017〕141号）。</w:t>
      </w:r>
    </w:p>
    <w:p>
      <w:pPr>
        <w:snapToGrid w:val="0"/>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7、陕西省财政厅关于印发《陕西省中小企业政府采购信用融资办法》（陕财办采〔2018〕23号）。</w:t>
      </w:r>
    </w:p>
    <w:p>
      <w:pPr>
        <w:widowControl/>
        <w:numPr>
          <w:ilvl w:val="0"/>
          <w:numId w:val="0"/>
        </w:numPr>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八、</w:t>
      </w:r>
      <w:r>
        <w:rPr>
          <w:rFonts w:hint="eastAsia" w:asciiTheme="minorEastAsia" w:hAnsiTheme="minorEastAsia" w:eastAsiaTheme="minorEastAsia" w:cstheme="minorEastAsia"/>
          <w:kern w:val="0"/>
          <w:sz w:val="24"/>
          <w:szCs w:val="24"/>
          <w:highlight w:val="none"/>
        </w:rPr>
        <w:t>公开招标文件发售：</w:t>
      </w:r>
    </w:p>
    <w:p>
      <w:pPr>
        <w:widowControl/>
        <w:wordWrap w:val="0"/>
        <w:snapToGrid w:val="0"/>
        <w:spacing w:line="288" w:lineRule="auto"/>
        <w:ind w:firstLine="480" w:firstLineChars="200"/>
        <w:jc w:val="left"/>
        <w:rPr>
          <w:rFonts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kern w:val="0"/>
          <w:sz w:val="24"/>
          <w:szCs w:val="24"/>
          <w:highlight w:val="none"/>
        </w:rPr>
        <w:t>1、发售时间：</w:t>
      </w:r>
      <w:r>
        <w:rPr>
          <w:rFonts w:hint="eastAsia" w:asciiTheme="minorEastAsia" w:hAnsiTheme="minorEastAsia" w:eastAsiaTheme="minorEastAsia" w:cstheme="minorEastAsia"/>
          <w:sz w:val="24"/>
          <w:szCs w:val="24"/>
          <w:highlight w:val="none"/>
        </w:rPr>
        <w:t>2022年</w:t>
      </w:r>
      <w:r>
        <w:rPr>
          <w:rFonts w:hint="eastAsia" w:asciiTheme="minorEastAsia" w:hAnsiTheme="minorEastAsia" w:eastAsiaTheme="minorEastAsia" w:cstheme="minorEastAsia"/>
          <w:sz w:val="24"/>
          <w:szCs w:val="24"/>
          <w:highlight w:val="none"/>
          <w:lang w:val="en-US" w:eastAsia="zh-CN"/>
        </w:rPr>
        <w:t>09</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23</w:t>
      </w:r>
      <w:r>
        <w:rPr>
          <w:rFonts w:hint="eastAsia" w:asciiTheme="minorEastAsia" w:hAnsiTheme="minorEastAsia" w:eastAsiaTheme="minorEastAsia" w:cstheme="minorEastAsia"/>
          <w:sz w:val="24"/>
          <w:szCs w:val="24"/>
          <w:highlight w:val="none"/>
        </w:rPr>
        <w:t>日起至2022年</w:t>
      </w:r>
      <w:r>
        <w:rPr>
          <w:rFonts w:hint="eastAsia" w:asciiTheme="minorEastAsia" w:hAnsiTheme="minorEastAsia" w:eastAsiaTheme="minorEastAsia" w:cstheme="minorEastAsia"/>
          <w:sz w:val="24"/>
          <w:szCs w:val="24"/>
          <w:highlight w:val="none"/>
          <w:lang w:val="en-US" w:eastAsia="zh-CN"/>
        </w:rPr>
        <w:t>09</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rPr>
        <w:t>日止</w:t>
      </w:r>
    </w:p>
    <w:p>
      <w:pPr>
        <w:widowControl/>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（上午09:00～12:00，下午14:00～17:00发售,法定节假日除外）</w:t>
      </w:r>
    </w:p>
    <w:p>
      <w:pPr>
        <w:widowControl/>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2、发售地点：西安市莲湖区西关正街英达大厦1507室</w:t>
      </w:r>
    </w:p>
    <w:p>
      <w:pPr>
        <w:widowControl/>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3、文件售价：</w:t>
      </w:r>
      <w:r>
        <w:rPr>
          <w:rFonts w:hint="eastAsia" w:asciiTheme="minorEastAsia" w:hAnsiTheme="minorEastAsia" w:eastAsia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00元/</w:t>
      </w:r>
      <w:r>
        <w:rPr>
          <w:rFonts w:hint="eastAsia" w:asciiTheme="minorEastAsia" w:hAnsiTheme="minorEastAsia" w:eastAsiaTheme="minorEastAsia" w:cstheme="minorEastAsia"/>
          <w:kern w:val="0"/>
          <w:sz w:val="24"/>
          <w:szCs w:val="24"/>
          <w:highlight w:val="none"/>
          <w:lang w:eastAsia="zh-CN"/>
        </w:rPr>
        <w:t>包</w:t>
      </w:r>
      <w:r>
        <w:rPr>
          <w:rFonts w:hint="eastAsia" w:asciiTheme="minorEastAsia" w:hAnsiTheme="minorEastAsia" w:eastAsiaTheme="minorEastAsia" w:cstheme="minorEastAsia"/>
          <w:kern w:val="0"/>
          <w:sz w:val="24"/>
          <w:szCs w:val="24"/>
          <w:highlight w:val="none"/>
        </w:rPr>
        <w:t>。售后不退，谢绝邮寄。</w:t>
      </w:r>
    </w:p>
    <w:p>
      <w:pPr>
        <w:widowControl/>
        <w:wordWrap w:val="0"/>
        <w:snapToGrid w:val="0"/>
        <w:spacing w:line="300" w:lineRule="auto"/>
        <w:ind w:right="-199" w:rightChars="-95"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注：</w:t>
      </w:r>
      <w:r>
        <w:rPr>
          <w:rFonts w:hint="eastAsia" w:asciiTheme="minorEastAsia" w:hAnsiTheme="minorEastAsia" w:cstheme="minorEastAsia"/>
          <w:kern w:val="0"/>
          <w:sz w:val="24"/>
          <w:szCs w:val="24"/>
          <w:highlight w:val="none"/>
        </w:rPr>
        <w:t>（1）供应商购买标书时，请携带单位介绍信及经办人身份证原件及复印件加盖公章，现金购买；</w:t>
      </w:r>
      <w:r>
        <w:rPr>
          <w:rFonts w:hint="eastAsia" w:ascii="宋体" w:hAnsi="宋体" w:cs="宋体"/>
          <w:kern w:val="0"/>
          <w:sz w:val="24"/>
          <w:szCs w:val="24"/>
          <w:highlight w:val="none"/>
        </w:rPr>
        <w:t>（2）提示：请供应商按照陕西省财政厅关于政府采购供应商注册登记有关事项的通知中的要求，通过陕西省政府采购网（http://www.ccgp-shaanxi.gov.cn/）注册登记加入陕西省政府采购供应商库。</w:t>
      </w:r>
    </w:p>
    <w:p>
      <w:pPr>
        <w:widowControl/>
        <w:numPr>
          <w:ilvl w:val="0"/>
          <w:numId w:val="0"/>
        </w:numPr>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九、</w:t>
      </w:r>
      <w:r>
        <w:rPr>
          <w:rFonts w:hint="eastAsia" w:asciiTheme="minorEastAsia" w:hAnsiTheme="minorEastAsia" w:eastAsiaTheme="minorEastAsia" w:cstheme="minorEastAsia"/>
          <w:kern w:val="0"/>
          <w:sz w:val="24"/>
          <w:szCs w:val="24"/>
          <w:highlight w:val="none"/>
        </w:rPr>
        <w:t>投标文件递交截止时间及开标时间和地点：</w:t>
      </w:r>
    </w:p>
    <w:p>
      <w:pPr>
        <w:widowControl/>
        <w:tabs>
          <w:tab w:val="left" w:pos="0"/>
        </w:tabs>
        <w:wordWrap w:val="0"/>
        <w:snapToGrid w:val="0"/>
        <w:spacing w:line="288" w:lineRule="auto"/>
        <w:ind w:firstLine="480" w:firstLineChars="200"/>
        <w:jc w:val="left"/>
        <w:rPr>
          <w:rFonts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kern w:val="0"/>
          <w:sz w:val="24"/>
          <w:szCs w:val="24"/>
          <w:highlight w:val="none"/>
        </w:rPr>
        <w:t>1、投标文件递交截止时间：2022年</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17</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kern w:val="0"/>
          <w:sz w:val="24"/>
          <w:szCs w:val="24"/>
          <w:highlight w:val="none"/>
        </w:rPr>
        <w:t>（北京时间）；</w:t>
      </w:r>
    </w:p>
    <w:p>
      <w:pPr>
        <w:widowControl/>
        <w:tabs>
          <w:tab w:val="left" w:pos="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2、开标时间：2022年</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17</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kern w:val="0"/>
          <w:sz w:val="24"/>
          <w:szCs w:val="24"/>
          <w:highlight w:val="none"/>
        </w:rPr>
        <w:t>北京时间）；</w:t>
      </w:r>
    </w:p>
    <w:p>
      <w:pPr>
        <w:widowControl/>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3、开标地点：西安市莲湖区西关正街英达大厦1503会议室</w:t>
      </w:r>
    </w:p>
    <w:p>
      <w:pPr>
        <w:widowControl/>
        <w:numPr>
          <w:ilvl w:val="0"/>
          <w:numId w:val="0"/>
        </w:numPr>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十、</w:t>
      </w:r>
      <w:r>
        <w:rPr>
          <w:rFonts w:hint="eastAsia" w:asciiTheme="minorEastAsia" w:hAnsiTheme="minorEastAsia" w:eastAsiaTheme="minorEastAsia" w:cstheme="minorEastAsia"/>
          <w:kern w:val="0"/>
          <w:sz w:val="24"/>
          <w:szCs w:val="24"/>
          <w:highlight w:val="none"/>
        </w:rPr>
        <w:t>其它应说明的事项：</w:t>
      </w:r>
    </w:p>
    <w:p>
      <w:pPr>
        <w:widowControl/>
        <w:numPr>
          <w:ilvl w:val="0"/>
          <w:numId w:val="2"/>
        </w:numPr>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采购项目联系人：张刘艳   郝思思  于晓晶</w:t>
      </w:r>
    </w:p>
    <w:p>
      <w:pPr>
        <w:widowControl/>
        <w:wordWrap w:val="0"/>
        <w:snapToGrid w:val="0"/>
        <w:spacing w:line="288" w:lineRule="auto"/>
        <w:ind w:firstLine="960" w:firstLineChars="4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联系方式（电话/传真）：029-88319689-806</w:t>
      </w:r>
    </w:p>
    <w:p>
      <w:pPr>
        <w:widowControl/>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2、采购代理机构开户名称：陕西万泽招标有限公司</w:t>
      </w:r>
    </w:p>
    <w:p>
      <w:pPr>
        <w:widowControl/>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3、开户行名称：西安银行朝阳门支行</w:t>
      </w:r>
    </w:p>
    <w:p>
      <w:pPr>
        <w:widowControl/>
        <w:tabs>
          <w:tab w:val="left" w:pos="0"/>
        </w:tabs>
        <w:wordWrap w:val="0"/>
        <w:snapToGrid w:val="0"/>
        <w:spacing w:line="288" w:lineRule="auto"/>
        <w:ind w:firstLine="960" w:firstLineChars="4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账      号：211011580000015489</w:t>
      </w:r>
    </w:p>
    <w:p>
      <w:pPr>
        <w:pStyle w:val="22"/>
        <w:snapToGrid w:val="0"/>
        <w:spacing w:before="0" w:beforeAutospacing="0" w:after="0" w:afterAutospacing="0" w:line="288" w:lineRule="auto"/>
        <w:ind w:firstLine="420" w:firstLineChars="175"/>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十一、公告期自发布起五个工作日。</w:t>
      </w:r>
    </w:p>
    <w:p>
      <w:pPr>
        <w:widowControl/>
        <w:tabs>
          <w:tab w:val="left" w:pos="1620"/>
        </w:tabs>
        <w:snapToGrid w:val="0"/>
        <w:spacing w:line="288" w:lineRule="auto"/>
        <w:ind w:firstLine="420" w:firstLineChars="175"/>
        <w:jc w:val="righ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陕西万泽招标有限公司</w:t>
      </w:r>
    </w:p>
    <w:p>
      <w:pPr>
        <w:widowControl/>
        <w:tabs>
          <w:tab w:val="left" w:pos="1620"/>
        </w:tabs>
        <w:snapToGrid w:val="0"/>
        <w:spacing w:line="288" w:lineRule="auto"/>
        <w:ind w:firstLine="420" w:firstLineChars="175"/>
        <w:jc w:val="righ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2022年</w:t>
      </w:r>
      <w:r>
        <w:rPr>
          <w:rFonts w:hint="eastAsia" w:asciiTheme="minorEastAsia" w:hAnsiTheme="minorEastAsia" w:eastAsiaTheme="minorEastAsia" w:cstheme="minorEastAsia"/>
          <w:sz w:val="24"/>
          <w:szCs w:val="24"/>
          <w:highlight w:val="none"/>
          <w:lang w:val="en-US" w:eastAsia="zh-CN"/>
        </w:rPr>
        <w:t>09</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23</w:t>
      </w:r>
      <w:r>
        <w:rPr>
          <w:rFonts w:hint="eastAsia" w:asciiTheme="minorEastAsia" w:hAnsiTheme="minorEastAsia" w:eastAsiaTheme="minorEastAsia" w:cstheme="minorEastAsia"/>
          <w:sz w:val="24"/>
          <w:szCs w:val="24"/>
          <w:highlight w:val="none"/>
        </w:rPr>
        <w:t>日</w:t>
      </w:r>
    </w:p>
    <w:p>
      <w:pPr>
        <w:spacing w:beforeLines="100" w:afterLines="50" w:line="600" w:lineRule="exact"/>
        <w:rPr>
          <w:rFonts w:asciiTheme="minorEastAsia" w:hAnsiTheme="minorEastAsia" w:eastAsiaTheme="minorEastAsia" w:cstheme="minorEastAsia"/>
          <w:sz w:val="36"/>
          <w:szCs w:val="36"/>
          <w:highlight w:val="none"/>
        </w:rPr>
      </w:pPr>
      <w:bookmarkStart w:id="8" w:name="_Toc438048787"/>
      <w:bookmarkStart w:id="9" w:name="_Toc10977"/>
      <w:bookmarkStart w:id="10" w:name="_Toc3710"/>
      <w:bookmarkStart w:id="11" w:name="_Toc11268"/>
      <w:bookmarkStart w:id="12" w:name="_Toc11512"/>
      <w:bookmarkStart w:id="13" w:name="_Toc30089"/>
    </w:p>
    <w:p>
      <w:pPr>
        <w:rPr>
          <w:rFonts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br w:type="page"/>
      </w:r>
    </w:p>
    <w:p>
      <w:pPr>
        <w:pStyle w:val="3"/>
        <w:spacing w:beforeLines="100" w:afterLines="50" w:line="600" w:lineRule="exact"/>
        <w:rPr>
          <w:rFonts w:asciiTheme="minorEastAsia" w:hAnsiTheme="minorEastAsia" w:eastAsiaTheme="minorEastAsia" w:cstheme="minorEastAsia"/>
          <w:sz w:val="36"/>
          <w:szCs w:val="36"/>
          <w:highlight w:val="none"/>
        </w:rPr>
      </w:pPr>
      <w:bookmarkStart w:id="14" w:name="_Toc20732"/>
      <w:r>
        <w:rPr>
          <w:rFonts w:hint="eastAsia" w:asciiTheme="minorEastAsia" w:hAnsiTheme="minorEastAsia" w:eastAsiaTheme="minorEastAsia" w:cstheme="minorEastAsia"/>
          <w:sz w:val="36"/>
          <w:szCs w:val="36"/>
          <w:highlight w:val="none"/>
        </w:rPr>
        <w:t>第二部分  供应商须知前附表</w:t>
      </w:r>
      <w:bookmarkEnd w:id="8"/>
      <w:bookmarkEnd w:id="9"/>
      <w:bookmarkEnd w:id="10"/>
      <w:bookmarkEnd w:id="11"/>
      <w:bookmarkEnd w:id="12"/>
      <w:bookmarkEnd w:id="13"/>
      <w:bookmarkEnd w:id="14"/>
    </w:p>
    <w:tbl>
      <w:tblPr>
        <w:tblStyle w:val="25"/>
        <w:tblpPr w:leftFromText="180" w:rightFromText="180" w:vertAnchor="text" w:horzAnchor="page" w:tblpX="1717" w:tblpY="527"/>
        <w:tblOverlap w:val="never"/>
        <w:tblW w:w="914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49"/>
        <w:gridCol w:w="897"/>
        <w:gridCol w:w="78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90" w:hRule="atLeast"/>
        </w:trPr>
        <w:tc>
          <w:tcPr>
            <w:tcW w:w="349" w:type="dxa"/>
          </w:tcPr>
          <w:p>
            <w:pPr>
              <w:spacing w:beforeLines="50"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897" w:type="dxa"/>
            <w:vAlign w:val="center"/>
          </w:tcPr>
          <w:p>
            <w:pPr>
              <w:spacing w:beforeLines="50"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w:t>
            </w:r>
          </w:p>
        </w:tc>
        <w:tc>
          <w:tcPr>
            <w:tcW w:w="7894" w:type="dxa"/>
          </w:tcPr>
          <w:p>
            <w:pPr>
              <w:spacing w:beforeLines="50"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trPr>
        <w:tc>
          <w:tcPr>
            <w:tcW w:w="349" w:type="dxa"/>
            <w:vAlign w:val="center"/>
          </w:tcPr>
          <w:p>
            <w:pPr>
              <w:spacing w:beforeLines="50" w:line="360" w:lineRule="auto"/>
              <w:jc w:val="center"/>
              <w:rPr>
                <w:rFonts w:hint="eastAsia" w:ascii="宋体" w:hAnsi="宋体" w:eastAsia="宋体" w:cs="宋体"/>
                <w:b/>
                <w:bCs/>
                <w:sz w:val="21"/>
                <w:szCs w:val="21"/>
                <w:highlight w:val="none"/>
              </w:rPr>
            </w:pPr>
            <w:r>
              <w:rPr>
                <w:rFonts w:hint="eastAsia" w:ascii="宋体" w:hAnsi="宋体" w:eastAsia="宋体" w:cs="宋体"/>
                <w:sz w:val="21"/>
                <w:szCs w:val="21"/>
                <w:highlight w:val="none"/>
              </w:rPr>
              <w:t>1</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7894" w:type="dxa"/>
            <w:vAlign w:val="center"/>
          </w:tcPr>
          <w:p>
            <w:pPr>
              <w:spacing w:line="360" w:lineRule="auto"/>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rPr>
              <w:t>陕西中医药大学第二附属医院床旁血滤机、神经中央监护分析系统、诱发电位仪医疗设备采购项目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2" w:hRule="atLeast"/>
        </w:trPr>
        <w:tc>
          <w:tcPr>
            <w:tcW w:w="349" w:type="dxa"/>
            <w:vAlign w:val="center"/>
          </w:tcPr>
          <w:p>
            <w:pPr>
              <w:spacing w:beforeLines="50" w:line="360" w:lineRule="auto"/>
              <w:jc w:val="center"/>
              <w:rPr>
                <w:rFonts w:hint="eastAsia" w:ascii="宋体" w:hAnsi="宋体" w:eastAsia="宋体" w:cs="宋体"/>
                <w:b/>
                <w:bCs/>
                <w:sz w:val="21"/>
                <w:szCs w:val="21"/>
                <w:highlight w:val="none"/>
              </w:rPr>
            </w:pPr>
            <w:r>
              <w:rPr>
                <w:rFonts w:hint="eastAsia" w:ascii="宋体" w:hAnsi="宋体" w:eastAsia="宋体" w:cs="宋体"/>
                <w:sz w:val="21"/>
                <w:szCs w:val="21"/>
                <w:highlight w:val="none"/>
              </w:rPr>
              <w:t>2</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p>
        </w:tc>
        <w:tc>
          <w:tcPr>
            <w:tcW w:w="7894" w:type="dxa"/>
            <w:vAlign w:val="center"/>
          </w:tcPr>
          <w:p>
            <w:pPr>
              <w:spacing w:line="360" w:lineRule="auto"/>
              <w:jc w:val="left"/>
              <w:rPr>
                <w:rFonts w:hint="eastAsia"/>
              </w:rPr>
            </w:pPr>
            <w:r>
              <w:rPr>
                <w:rFonts w:hint="eastAsia"/>
              </w:rPr>
              <w:t>采购人名称：</w:t>
            </w:r>
            <w:r>
              <w:rPr>
                <w:rFonts w:hint="eastAsia"/>
                <w:lang w:eastAsia="zh-CN"/>
              </w:rPr>
              <w:t>陕西中医药大学第二附属医院</w:t>
            </w:r>
          </w:p>
          <w:p>
            <w:pPr>
              <w:spacing w:line="360" w:lineRule="auto"/>
              <w:jc w:val="left"/>
              <w:rPr>
                <w:rFonts w:hint="eastAsia"/>
                <w:lang w:eastAsia="zh-CN"/>
              </w:rPr>
            </w:pPr>
            <w:r>
              <w:rPr>
                <w:rFonts w:hint="eastAsia"/>
              </w:rPr>
              <w:t>地址：</w:t>
            </w:r>
            <w:r>
              <w:rPr>
                <w:rFonts w:hint="eastAsia"/>
                <w:lang w:eastAsia="zh-CN"/>
              </w:rPr>
              <w:t>咸阳市秦都区渭阳西路5号</w:t>
            </w:r>
          </w:p>
          <w:p>
            <w:pPr>
              <w:pStyle w:val="21"/>
              <w:spacing w:line="360" w:lineRule="auto"/>
              <w:jc w:val="left"/>
              <w:rPr>
                <w:rFonts w:hint="default" w:ascii="Calibri" w:hAnsi="Calibri" w:eastAsia="宋体" w:cs="Calibri"/>
                <w:kern w:val="2"/>
                <w:sz w:val="21"/>
                <w:szCs w:val="21"/>
                <w:lang w:val="en-US" w:eastAsia="zh-CN" w:bidi="ar-SA"/>
              </w:rPr>
            </w:pPr>
            <w:r>
              <w:rPr>
                <w:rFonts w:hint="default" w:ascii="Calibri" w:hAnsi="Calibri" w:eastAsia="宋体" w:cs="Calibri"/>
                <w:kern w:val="2"/>
                <w:sz w:val="21"/>
                <w:szCs w:val="21"/>
                <w:lang w:val="en-US" w:eastAsia="zh-CN" w:bidi="ar-SA"/>
              </w:rPr>
              <w:t>联系人：刘老师</w:t>
            </w:r>
          </w:p>
          <w:p>
            <w:pPr>
              <w:pStyle w:val="21"/>
              <w:spacing w:line="360" w:lineRule="auto"/>
              <w:jc w:val="left"/>
              <w:rPr>
                <w:rFonts w:hint="default"/>
                <w:lang w:val="en-US"/>
              </w:rPr>
            </w:pPr>
            <w:r>
              <w:rPr>
                <w:rFonts w:hint="default" w:ascii="Calibri" w:hAnsi="Calibri" w:eastAsia="宋体" w:cs="Calibri"/>
                <w:kern w:val="2"/>
                <w:sz w:val="21"/>
                <w:szCs w:val="21"/>
                <w:lang w:val="en-US" w:eastAsia="zh-CN" w:bidi="ar-SA"/>
              </w:rPr>
              <w:t>联系方式：029-33572698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60" w:hRule="atLeast"/>
        </w:trPr>
        <w:tc>
          <w:tcPr>
            <w:tcW w:w="349" w:type="dxa"/>
            <w:tcBorders>
              <w:top w:val="single" w:color="auto" w:sz="4" w:space="0"/>
              <w:bottom w:val="single" w:color="auto" w:sz="4" w:space="0"/>
            </w:tcBorders>
            <w:vAlign w:val="center"/>
          </w:tcPr>
          <w:p>
            <w:pPr>
              <w:spacing w:beforeLines="50" w:line="360" w:lineRule="auto"/>
              <w:jc w:val="center"/>
              <w:rPr>
                <w:rFonts w:hint="eastAsia" w:ascii="宋体" w:hAnsi="宋体" w:eastAsia="宋体" w:cs="宋体"/>
                <w:b/>
                <w:bCs/>
                <w:sz w:val="21"/>
                <w:szCs w:val="21"/>
                <w:highlight w:val="none"/>
              </w:rPr>
            </w:pPr>
            <w:r>
              <w:rPr>
                <w:rFonts w:hint="eastAsia" w:ascii="宋体" w:hAnsi="宋体" w:eastAsia="宋体" w:cs="宋体"/>
                <w:sz w:val="21"/>
                <w:szCs w:val="21"/>
                <w:highlight w:val="none"/>
              </w:rPr>
              <w:t>3</w:t>
            </w:r>
          </w:p>
        </w:tc>
        <w:tc>
          <w:tcPr>
            <w:tcW w:w="897" w:type="dxa"/>
            <w:tcBorders>
              <w:top w:val="single" w:color="auto" w:sz="4" w:space="0"/>
              <w:bottom w:val="single" w:color="auto" w:sz="4" w:space="0"/>
            </w:tcBorders>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w:t>
            </w:r>
          </w:p>
        </w:tc>
        <w:tc>
          <w:tcPr>
            <w:tcW w:w="7894" w:type="dxa"/>
            <w:tcBorders>
              <w:top w:val="single" w:color="auto" w:sz="4" w:space="0"/>
              <w:bottom w:val="single" w:color="auto" w:sz="4" w:space="0"/>
            </w:tcBorders>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采购代理机构：陕西万泽招标有限公司</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地        址：西安市莲湖区西关正街英达大厦1507室</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联   系   人：</w:t>
            </w:r>
            <w:r>
              <w:rPr>
                <w:rFonts w:hint="eastAsia" w:ascii="宋体" w:hAnsi="宋体" w:eastAsia="宋体" w:cs="宋体"/>
                <w:color w:val="000000"/>
                <w:sz w:val="21"/>
                <w:szCs w:val="21"/>
                <w:highlight w:val="none"/>
              </w:rPr>
              <w:t>张刘艳  郝思思  于晓晶</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电        话：029-88319689</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邮        箱：</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"mailto:sxwzzb123@163.com" </w:instrText>
            </w:r>
            <w:r>
              <w:rPr>
                <w:rFonts w:hint="eastAsia" w:ascii="宋体" w:hAnsi="宋体" w:eastAsia="宋体" w:cs="宋体"/>
                <w:sz w:val="21"/>
                <w:szCs w:val="21"/>
                <w:highlight w:val="none"/>
              </w:rPr>
              <w:fldChar w:fldCharType="separate"/>
            </w:r>
            <w:r>
              <w:rPr>
                <w:rStyle w:val="32"/>
                <w:rFonts w:hint="eastAsia" w:ascii="宋体" w:hAnsi="宋体" w:eastAsia="宋体" w:cs="宋体"/>
                <w:color w:val="auto"/>
                <w:sz w:val="21"/>
                <w:szCs w:val="21"/>
                <w:highlight w:val="none"/>
              </w:rPr>
              <w:t>sxwzzb123@163.com</w:t>
            </w:r>
            <w:r>
              <w:rPr>
                <w:rStyle w:val="32"/>
                <w:rFonts w:hint="eastAsia" w:ascii="宋体" w:hAnsi="宋体" w:eastAsia="宋体" w:cs="宋体"/>
                <w:color w:val="auto"/>
                <w:sz w:val="21"/>
                <w:szCs w:val="21"/>
                <w:highlight w:val="none"/>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trPr>
        <w:tc>
          <w:tcPr>
            <w:tcW w:w="349" w:type="dxa"/>
            <w:vAlign w:val="center"/>
          </w:tcPr>
          <w:p>
            <w:pPr>
              <w:spacing w:beforeLines="5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联合体形式</w:t>
            </w:r>
          </w:p>
        </w:tc>
        <w:tc>
          <w:tcPr>
            <w:tcW w:w="7894"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97"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备选方案</w:t>
            </w:r>
          </w:p>
        </w:tc>
        <w:tc>
          <w:tcPr>
            <w:tcW w:w="7894"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2"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标  段</w:t>
            </w:r>
          </w:p>
        </w:tc>
        <w:tc>
          <w:tcPr>
            <w:tcW w:w="7894" w:type="dxa"/>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本次采购采用</w:t>
            </w:r>
            <w:r>
              <w:rPr>
                <w:rFonts w:hint="eastAsia" w:ascii="宋体" w:hAnsi="宋体" w:eastAsia="宋体" w:cs="宋体"/>
                <w:sz w:val="21"/>
                <w:szCs w:val="21"/>
                <w:highlight w:val="none"/>
                <w:lang w:eastAsia="zh-CN"/>
              </w:rPr>
              <w:t>分</w:t>
            </w:r>
            <w:r>
              <w:rPr>
                <w:rFonts w:hint="eastAsia" w:ascii="宋体" w:hAnsi="宋体" w:eastAsia="宋体" w:cs="宋体"/>
                <w:sz w:val="21"/>
                <w:szCs w:val="21"/>
                <w:highlight w:val="none"/>
              </w:rPr>
              <w:t>包方式,供应商可根据自身的资质情况和经营范围对本项目进行投标，不得将其自行分解或只对本次项目中的品目进行不完全投标，任何不完全的投标将按无效投标处理。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有效期</w:t>
            </w:r>
          </w:p>
        </w:tc>
        <w:tc>
          <w:tcPr>
            <w:tcW w:w="7894"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投标文件及法定代表人授权书自递交截止之日起有效期为90日历日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4"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897"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资格要求</w:t>
            </w:r>
          </w:p>
        </w:tc>
        <w:tc>
          <w:tcPr>
            <w:tcW w:w="7894" w:type="dxa"/>
          </w:tcPr>
          <w:p>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符合《中华人民共和国政府采购法》第二十二条规定，并提供以下材料：</w:t>
            </w:r>
          </w:p>
          <w:p>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具有独立承担民事责任能力的法人、其他组织或自然人，并出具合法有效的营业执照或事业单位法人证书等国家规定的相关证明，自然人参与的提供其身份证明；</w:t>
            </w:r>
          </w:p>
          <w:p>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社会保障资金缴纳证明：2022年1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3、税收缴纳证明：2022年1月至今已缴纳的至少一个月纳税证明或完税证明，依法免税的单位应提供相关证明材料；</w:t>
            </w:r>
          </w:p>
          <w:p>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4、财务状况证明：财务状况证明：提供经会计师事务所审计的近三年（201</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 xml:space="preserve">年）任意一年的财务审计报告或在开标日期前六个月内其基本开户银行出具的资信证明；  </w:t>
            </w:r>
          </w:p>
          <w:p>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5、供应商应出具参加本次政府采购活动前3年内在经营活动中没有重大违法违纪，以及未被列入失信被执行人、重大税收违法案件当事人名单、政府采购严重违法失信行为记录名单的书面声明；</w:t>
            </w:r>
          </w:p>
          <w:p>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6、非法定代表人参加投标，须提供法定代表人授权委托书及被授权人身份证原件；法定代表人参加投标时,只须提供法定代表人身份证原件；</w:t>
            </w:r>
          </w:p>
          <w:p>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7、供应商须提供投标保证金汇款凭证或担保机构出具的保函；</w:t>
            </w:r>
          </w:p>
          <w:p>
            <w:pPr>
              <w:spacing w:line="360" w:lineRule="auto"/>
              <w:ind w:firstLine="367" w:firstLineChars="175"/>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val="en-US" w:eastAsia="zh-CN"/>
              </w:rPr>
              <w:t>供应商为经销商须提供医疗器械经营许可证或备案凭证（所投产品须在其经营范围内）和所投产品的医疗器械产品注册证及其附件或备案凭证；制造厂家直接参与投标的应出具医疗器械生产许可证（所投产品须在其生产范围内）及医疗器械经营许可证和医疗器械注册证及其附件或备案凭证；</w:t>
            </w:r>
          </w:p>
          <w:p>
            <w:pPr>
              <w:spacing w:line="360" w:lineRule="auto"/>
              <w:ind w:firstLine="367" w:firstLineChars="175"/>
              <w:jc w:val="left"/>
              <w:rPr>
                <w:rFonts w:hint="eastAsia" w:ascii="宋体" w:hAnsi="宋体" w:eastAsia="宋体" w:cs="宋体"/>
                <w:b/>
                <w:bCs/>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本项目不接受联合体投</w:t>
            </w:r>
            <w:r>
              <w:rPr>
                <w:rFonts w:hint="eastAsia" w:ascii="宋体" w:hAnsi="宋体" w:eastAsia="宋体" w:cs="宋体"/>
                <w:sz w:val="21"/>
                <w:szCs w:val="21"/>
                <w:highlight w:val="none"/>
                <w:lang w:val="en-US" w:eastAsia="zh-CN"/>
              </w:rPr>
              <w:t>标。</w:t>
            </w:r>
          </w:p>
          <w:p>
            <w:pPr>
              <w:spacing w:line="360" w:lineRule="auto"/>
              <w:ind w:firstLine="369" w:firstLineChars="175"/>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以上项为资格审查必备资质。评审时，根据供应商</w:t>
            </w:r>
            <w:r>
              <w:rPr>
                <w:rFonts w:hint="eastAsia" w:ascii="宋体" w:hAnsi="宋体" w:eastAsia="宋体" w:cs="宋体"/>
                <w:b/>
                <w:bCs/>
                <w:sz w:val="21"/>
                <w:szCs w:val="21"/>
                <w:highlight w:val="none"/>
                <w:lang w:eastAsia="zh-CN"/>
              </w:rPr>
              <w:t>投标文件</w:t>
            </w:r>
            <w:r>
              <w:rPr>
                <w:rFonts w:hint="eastAsia" w:ascii="宋体" w:hAnsi="宋体" w:eastAsia="宋体" w:cs="宋体"/>
                <w:b/>
                <w:bCs/>
                <w:sz w:val="21"/>
                <w:szCs w:val="21"/>
                <w:highlight w:val="none"/>
              </w:rPr>
              <w:t>中提供的上述资格证明文件（复印件加盖公章，原件备查）进行资格审查，未通过资格审查的，其</w:t>
            </w:r>
            <w:r>
              <w:rPr>
                <w:rFonts w:hint="eastAsia" w:ascii="宋体" w:hAnsi="宋体" w:eastAsia="宋体" w:cs="宋体"/>
                <w:b/>
                <w:bCs/>
                <w:sz w:val="21"/>
                <w:szCs w:val="21"/>
                <w:highlight w:val="none"/>
                <w:lang w:eastAsia="zh-CN"/>
              </w:rPr>
              <w:t>投标文件</w:t>
            </w:r>
            <w:r>
              <w:rPr>
                <w:rFonts w:hint="eastAsia" w:ascii="宋体" w:hAnsi="宋体" w:eastAsia="宋体" w:cs="宋体"/>
                <w:b/>
                <w:bCs/>
                <w:sz w:val="21"/>
                <w:szCs w:val="21"/>
                <w:highlight w:val="none"/>
              </w:rPr>
              <w:t>将按无效响应处理。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4"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897" w:type="dxa"/>
            <w:vAlign w:val="center"/>
          </w:tcPr>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投标保证金缴纳</w:t>
            </w:r>
          </w:p>
        </w:tc>
        <w:tc>
          <w:tcPr>
            <w:tcW w:w="7894" w:type="dxa"/>
            <w:vAlign w:val="top"/>
          </w:tcPr>
          <w:p>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投标保证金：</w:t>
            </w:r>
          </w:p>
          <w:p>
            <w:pPr>
              <w:spacing w:line="360" w:lineRule="auto"/>
              <w:jc w:val="left"/>
              <w:rPr>
                <w:rFonts w:hint="eastAsia" w:ascii="宋体" w:hAnsi="宋体" w:eastAsia="宋体" w:cs="宋体"/>
                <w:b/>
                <w:bCs/>
                <w:color w:val="000000"/>
                <w:sz w:val="21"/>
                <w:szCs w:val="21"/>
                <w:highlight w:val="none"/>
              </w:rPr>
            </w:pPr>
            <w:r>
              <w:rPr>
                <w:rFonts w:hint="eastAsia" w:ascii="宋体" w:hAnsi="宋体" w:eastAsia="宋体" w:cs="宋体"/>
                <w:b/>
                <w:bCs/>
                <w:sz w:val="21"/>
                <w:szCs w:val="21"/>
                <w:highlight w:val="none"/>
                <w:lang w:eastAsia="zh-CN"/>
              </w:rPr>
              <w:t>第一包：</w:t>
            </w:r>
            <w:r>
              <w:rPr>
                <w:rFonts w:hint="eastAsia" w:ascii="宋体" w:hAnsi="宋体" w:eastAsia="宋体" w:cs="宋体"/>
                <w:b/>
                <w:bCs/>
                <w:color w:val="000000"/>
                <w:sz w:val="21"/>
                <w:szCs w:val="21"/>
                <w:highlight w:val="none"/>
              </w:rPr>
              <w:t>人民币</w:t>
            </w:r>
            <w:r>
              <w:rPr>
                <w:rFonts w:hint="eastAsia" w:ascii="宋体" w:hAnsi="宋体" w:cs="宋体"/>
                <w:b/>
                <w:bCs/>
                <w:color w:val="000000"/>
                <w:sz w:val="21"/>
                <w:szCs w:val="21"/>
                <w:highlight w:val="none"/>
                <w:lang w:val="en-US" w:eastAsia="zh-CN"/>
              </w:rPr>
              <w:t>伍仟</w:t>
            </w:r>
            <w:r>
              <w:rPr>
                <w:rFonts w:hint="eastAsia" w:ascii="宋体" w:hAnsi="宋体" w:eastAsia="宋体" w:cs="宋体"/>
                <w:b/>
                <w:bCs/>
                <w:color w:val="000000"/>
                <w:sz w:val="21"/>
                <w:szCs w:val="21"/>
                <w:highlight w:val="none"/>
              </w:rPr>
              <w:t>元整（¥</w:t>
            </w:r>
            <w:r>
              <w:rPr>
                <w:rFonts w:hint="eastAsia" w:ascii="宋体" w:hAnsi="宋体" w:cs="宋体"/>
                <w:b/>
                <w:bCs/>
                <w:color w:val="000000"/>
                <w:sz w:val="21"/>
                <w:szCs w:val="21"/>
                <w:highlight w:val="none"/>
                <w:lang w:val="en-US" w:eastAsia="zh-CN"/>
              </w:rPr>
              <w:t>5</w:t>
            </w:r>
            <w:r>
              <w:rPr>
                <w:rFonts w:hint="eastAsia" w:ascii="宋体" w:hAnsi="宋体" w:eastAsia="宋体" w:cs="宋体"/>
                <w:b/>
                <w:bCs/>
                <w:color w:val="000000"/>
                <w:sz w:val="21"/>
                <w:szCs w:val="21"/>
                <w:highlight w:val="none"/>
                <w:lang w:val="en-US" w:eastAsia="zh-CN"/>
              </w:rPr>
              <w:t>000.00</w:t>
            </w:r>
            <w:r>
              <w:rPr>
                <w:rFonts w:hint="eastAsia" w:ascii="宋体" w:hAnsi="宋体" w:eastAsia="宋体" w:cs="宋体"/>
                <w:b/>
                <w:bCs/>
                <w:color w:val="000000"/>
                <w:sz w:val="21"/>
                <w:szCs w:val="21"/>
                <w:highlight w:val="none"/>
              </w:rPr>
              <w:t>元）</w:t>
            </w:r>
          </w:p>
          <w:p>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第二包：</w:t>
            </w:r>
            <w:r>
              <w:rPr>
                <w:rFonts w:hint="eastAsia" w:ascii="宋体" w:hAnsi="宋体" w:eastAsia="宋体" w:cs="宋体"/>
                <w:b/>
                <w:bCs/>
                <w:color w:val="000000"/>
                <w:sz w:val="21"/>
                <w:szCs w:val="21"/>
                <w:highlight w:val="none"/>
              </w:rPr>
              <w:t>人民币</w:t>
            </w:r>
            <w:r>
              <w:rPr>
                <w:rFonts w:hint="eastAsia" w:ascii="宋体" w:hAnsi="宋体" w:cs="宋体"/>
                <w:b/>
                <w:bCs/>
                <w:color w:val="000000"/>
                <w:sz w:val="21"/>
                <w:szCs w:val="21"/>
                <w:highlight w:val="none"/>
                <w:lang w:val="en-US" w:eastAsia="zh-CN"/>
              </w:rPr>
              <w:t>伍仟</w:t>
            </w:r>
            <w:r>
              <w:rPr>
                <w:rFonts w:hint="eastAsia" w:ascii="宋体" w:hAnsi="宋体" w:eastAsia="宋体" w:cs="宋体"/>
                <w:b/>
                <w:bCs/>
                <w:color w:val="000000"/>
                <w:sz w:val="21"/>
                <w:szCs w:val="21"/>
                <w:highlight w:val="none"/>
              </w:rPr>
              <w:t>元整（¥</w:t>
            </w:r>
            <w:r>
              <w:rPr>
                <w:rFonts w:hint="eastAsia" w:ascii="宋体" w:hAnsi="宋体" w:cs="宋体"/>
                <w:b/>
                <w:bCs/>
                <w:color w:val="000000"/>
                <w:sz w:val="21"/>
                <w:szCs w:val="21"/>
                <w:highlight w:val="none"/>
                <w:lang w:val="en-US" w:eastAsia="zh-CN"/>
              </w:rPr>
              <w:t>50</w:t>
            </w:r>
            <w:r>
              <w:rPr>
                <w:rFonts w:hint="eastAsia" w:ascii="宋体" w:hAnsi="宋体" w:eastAsia="宋体" w:cs="宋体"/>
                <w:b/>
                <w:bCs/>
                <w:color w:val="000000"/>
                <w:sz w:val="21"/>
                <w:szCs w:val="21"/>
                <w:highlight w:val="none"/>
                <w:lang w:val="en-US" w:eastAsia="zh-CN"/>
              </w:rPr>
              <w:t>00.00</w:t>
            </w:r>
            <w:r>
              <w:rPr>
                <w:rFonts w:hint="eastAsia" w:ascii="宋体" w:hAnsi="宋体" w:eastAsia="宋体" w:cs="宋体"/>
                <w:b/>
                <w:bCs/>
                <w:color w:val="000000"/>
                <w:sz w:val="21"/>
                <w:szCs w:val="21"/>
                <w:highlight w:val="none"/>
              </w:rPr>
              <w:t>元）</w:t>
            </w:r>
          </w:p>
          <w:p>
            <w:pPr>
              <w:spacing w:line="360" w:lineRule="auto"/>
              <w:jc w:val="left"/>
              <w:rPr>
                <w:rFonts w:hint="eastAsia" w:ascii="宋体" w:hAnsi="宋体" w:eastAsia="宋体" w:cs="宋体"/>
                <w:b/>
                <w:bCs/>
                <w:color w:val="000000"/>
                <w:sz w:val="21"/>
                <w:szCs w:val="21"/>
                <w:highlight w:val="none"/>
              </w:rPr>
            </w:pPr>
            <w:r>
              <w:rPr>
                <w:rFonts w:hint="eastAsia" w:ascii="宋体" w:hAnsi="宋体" w:eastAsia="宋体" w:cs="宋体"/>
                <w:b/>
                <w:bCs/>
                <w:sz w:val="21"/>
                <w:szCs w:val="21"/>
                <w:highlight w:val="none"/>
                <w:lang w:eastAsia="zh-CN"/>
              </w:rPr>
              <w:t>第三包：</w:t>
            </w:r>
            <w:r>
              <w:rPr>
                <w:rFonts w:hint="eastAsia" w:ascii="宋体" w:hAnsi="宋体" w:eastAsia="宋体" w:cs="宋体"/>
                <w:b/>
                <w:bCs/>
                <w:color w:val="000000"/>
                <w:sz w:val="21"/>
                <w:szCs w:val="21"/>
                <w:highlight w:val="none"/>
              </w:rPr>
              <w:t>人民币</w:t>
            </w:r>
            <w:r>
              <w:rPr>
                <w:rFonts w:hint="eastAsia" w:ascii="宋体" w:hAnsi="宋体" w:cs="宋体"/>
                <w:b/>
                <w:bCs/>
                <w:color w:val="000000"/>
                <w:sz w:val="21"/>
                <w:szCs w:val="21"/>
                <w:highlight w:val="none"/>
                <w:lang w:val="en-US" w:eastAsia="zh-CN"/>
              </w:rPr>
              <w:t>陆仟</w:t>
            </w:r>
            <w:r>
              <w:rPr>
                <w:rFonts w:hint="eastAsia" w:ascii="宋体" w:hAnsi="宋体" w:eastAsia="宋体" w:cs="宋体"/>
                <w:b/>
                <w:bCs/>
                <w:color w:val="000000"/>
                <w:sz w:val="21"/>
                <w:szCs w:val="21"/>
                <w:highlight w:val="none"/>
              </w:rPr>
              <w:t>元整（¥</w:t>
            </w:r>
            <w:r>
              <w:rPr>
                <w:rFonts w:hint="eastAsia" w:ascii="宋体" w:hAnsi="宋体" w:cs="宋体"/>
                <w:b/>
                <w:bCs/>
                <w:color w:val="000000"/>
                <w:sz w:val="21"/>
                <w:szCs w:val="21"/>
                <w:highlight w:val="none"/>
                <w:lang w:val="en-US" w:eastAsia="zh-CN"/>
              </w:rPr>
              <w:t>6</w:t>
            </w:r>
            <w:r>
              <w:rPr>
                <w:rFonts w:hint="eastAsia" w:ascii="宋体" w:hAnsi="宋体" w:eastAsia="宋体" w:cs="宋体"/>
                <w:b/>
                <w:bCs/>
                <w:color w:val="000000"/>
                <w:sz w:val="21"/>
                <w:szCs w:val="21"/>
                <w:highlight w:val="none"/>
                <w:lang w:val="en-US" w:eastAsia="zh-CN"/>
              </w:rPr>
              <w:t>000.00</w:t>
            </w:r>
            <w:r>
              <w:rPr>
                <w:rFonts w:hint="eastAsia" w:ascii="宋体" w:hAnsi="宋体" w:eastAsia="宋体" w:cs="宋体"/>
                <w:b/>
                <w:bCs/>
                <w:color w:val="000000"/>
                <w:sz w:val="21"/>
                <w:szCs w:val="21"/>
                <w:highlight w:val="none"/>
              </w:rPr>
              <w:t>元）</w:t>
            </w:r>
          </w:p>
          <w:p>
            <w:pPr>
              <w:spacing w:line="360" w:lineRule="auto"/>
              <w:ind w:firstLine="369" w:firstLineChars="175"/>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投标保证金应当以银行转账（公户）、支票、汇票、本票或者金融机构、担保机构出具的保函等非现金形式提交（注投标保证金须以供应商名称汇款），且应在开标前致电代理机构财务部门确认投标保证金到账情况。</w:t>
            </w:r>
          </w:p>
          <w:p>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户名：陕西万泽招标有限公司</w:t>
            </w:r>
          </w:p>
          <w:p>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开户行名称：西安银行朝阳门支行</w:t>
            </w:r>
          </w:p>
          <w:p>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账号：211011580000015489</w:t>
            </w:r>
          </w:p>
          <w:p>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咨询电话：苏老师 029-88319689-808</w:t>
            </w:r>
          </w:p>
          <w:p>
            <w:pPr>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b/>
                <w:bCs/>
                <w:color w:val="000000"/>
                <w:sz w:val="21"/>
                <w:szCs w:val="21"/>
                <w:highlight w:val="none"/>
              </w:rPr>
              <w:t>转账事由：</w:t>
            </w:r>
            <w:r>
              <w:rPr>
                <w:rFonts w:hint="eastAsia" w:ascii="宋体" w:hAnsi="宋体" w:eastAsia="宋体" w:cs="宋体"/>
                <w:b/>
                <w:bCs/>
                <w:color w:val="000000"/>
                <w:sz w:val="21"/>
                <w:szCs w:val="21"/>
                <w:highlight w:val="none"/>
                <w:lang w:eastAsia="zh-CN"/>
              </w:rPr>
              <w:t>陕西中医药大学第二附属医院</w:t>
            </w:r>
            <w:r>
              <w:rPr>
                <w:rFonts w:hint="eastAsia" w:ascii="宋体" w:hAnsi="宋体" w:eastAsia="宋体" w:cs="宋体"/>
                <w:b/>
                <w:bCs/>
                <w:color w:val="000000"/>
                <w:sz w:val="21"/>
                <w:szCs w:val="21"/>
                <w:highlight w:val="none"/>
              </w:rPr>
              <w:t>-</w:t>
            </w:r>
            <w:r>
              <w:rPr>
                <w:rFonts w:hint="eastAsia" w:ascii="宋体" w:hAnsi="宋体" w:cs="宋体"/>
                <w:b/>
                <w:bCs/>
                <w:color w:val="000000"/>
                <w:sz w:val="21"/>
                <w:szCs w:val="21"/>
                <w:highlight w:val="none"/>
                <w:lang w:val="en-US" w:eastAsia="zh-CN"/>
              </w:rPr>
              <w:t>199</w:t>
            </w:r>
            <w:r>
              <w:rPr>
                <w:rFonts w:hint="eastAsia" w:ascii="宋体" w:hAnsi="宋体" w:eastAsia="宋体" w:cs="宋体"/>
                <w:b/>
                <w:bCs/>
                <w:color w:val="000000"/>
                <w:sz w:val="21"/>
                <w:szCs w:val="21"/>
                <w:highlight w:val="none"/>
                <w:lang w:val="en-US" w:eastAsia="zh-CN"/>
              </w:rPr>
              <w:t>第X包</w:t>
            </w:r>
            <w:r>
              <w:rPr>
                <w:rFonts w:hint="eastAsia" w:ascii="宋体" w:hAnsi="宋体" w:eastAsia="宋体" w:cs="宋体"/>
                <w:b/>
                <w:bCs/>
                <w:color w:val="000000"/>
                <w:sz w:val="21"/>
                <w:szCs w:val="21"/>
                <w:highlight w:val="none"/>
              </w:rPr>
              <w:t>投标保证金（按照要求填写转账事由）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6"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w:t>
            </w:r>
          </w:p>
        </w:tc>
        <w:tc>
          <w:tcPr>
            <w:tcW w:w="897"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w:t>
            </w:r>
          </w:p>
          <w:p>
            <w:pPr>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文件</w:t>
            </w:r>
          </w:p>
        </w:tc>
        <w:tc>
          <w:tcPr>
            <w:tcW w:w="7894" w:type="dxa"/>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投标文</w:t>
            </w:r>
            <w:r>
              <w:rPr>
                <w:rFonts w:hint="eastAsia" w:ascii="宋体" w:hAnsi="宋体" w:eastAsia="宋体" w:cs="宋体"/>
                <w:color w:val="000000" w:themeColor="text1"/>
                <w:sz w:val="21"/>
                <w:szCs w:val="21"/>
                <w:highlight w:val="none"/>
                <w14:textFill>
                  <w14:solidFill>
                    <w14:schemeClr w14:val="tx1"/>
                  </w14:solidFill>
                </w14:textFill>
              </w:rPr>
              <w:t>件</w:t>
            </w:r>
            <w:r>
              <w:rPr>
                <w:rFonts w:hint="eastAsia" w:ascii="宋体" w:hAnsi="宋体" w:eastAsia="宋体" w:cs="宋体"/>
                <w:b/>
                <w:bCs/>
                <w:color w:val="000000" w:themeColor="text1"/>
                <w:sz w:val="21"/>
                <w:szCs w:val="21"/>
                <w:highlight w:val="none"/>
                <w14:textFill>
                  <w14:solidFill>
                    <w14:schemeClr w14:val="tx1"/>
                  </w14:solidFill>
                </w14:textFill>
              </w:rPr>
              <w:t>正本壹份、副本肆份</w:t>
            </w:r>
            <w:r>
              <w:rPr>
                <w:rFonts w:hint="eastAsia" w:ascii="宋体" w:hAnsi="宋体" w:eastAsia="宋体" w:cs="宋体"/>
                <w:sz w:val="21"/>
                <w:szCs w:val="21"/>
                <w:highlight w:val="none"/>
              </w:rPr>
              <w:t>，分别胶装装订成册，且封面须清楚地标明“正本”或“副本”；若正本和副本不符，以正本书面文件为准；同时提供与正本内容一致的电子版（U盘、</w:t>
            </w:r>
            <w:r>
              <w:rPr>
                <w:rFonts w:hint="eastAsia" w:ascii="宋体" w:hAnsi="宋体" w:eastAsia="宋体" w:cs="宋体"/>
                <w:b/>
                <w:bCs/>
                <w:sz w:val="21"/>
                <w:szCs w:val="21"/>
                <w:highlight w:val="none"/>
              </w:rPr>
              <w:t>电子文档应为PDF与WORD格式各一份</w:t>
            </w:r>
            <w:r>
              <w:rPr>
                <w:rFonts w:hint="eastAsia" w:ascii="宋体" w:hAnsi="宋体" w:eastAsia="宋体" w:cs="宋体"/>
                <w:sz w:val="21"/>
                <w:szCs w:val="21"/>
                <w:highlight w:val="none"/>
              </w:rPr>
              <w:t>）、开标一览表一份</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用于开标唱标单独提交的“开标一览表”须为原件）。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349"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897"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文件的签署盖章</w:t>
            </w:r>
          </w:p>
        </w:tc>
        <w:tc>
          <w:tcPr>
            <w:tcW w:w="7894" w:type="dxa"/>
            <w:vAlign w:val="center"/>
          </w:tcPr>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1、供应商在投标文件中指定的页面的落款处，按招标文件要求由供应商的法定代表人或其授权代表在规定的签章处签字或盖章。</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2、供应商应按照招标文件要求，在每一份投标文件的正本和副本封面下方以及其他招标文件要求的位置填写供应商全称并加盖公章。</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3、投标文件应字迹清楚、内容齐全、不得涂改或增删。如有修改和增删，必须有供应商公章及法定代表人或其授权代表签字。</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4、因投标文件字迹潦草或表达不清所引起的不利后果由供应商承担。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897"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包装</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密封</w:t>
            </w:r>
          </w:p>
        </w:tc>
        <w:tc>
          <w:tcPr>
            <w:tcW w:w="7894" w:type="dxa"/>
            <w:vAlign w:val="center"/>
          </w:tcPr>
          <w:p>
            <w:pPr>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投标文件正本、所有的副本、电子版、开标一览表需分开密封装在单独的封袋中（封袋不得有破损），且在封袋正面标明“正本”“副本”“电子版”“开标一览表”字样。封袋应密封，并在封线处加盖供应商鲜章，封袋正面要粘贴供应商全称、项目名称、编号、</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号等标识，且</w:t>
            </w:r>
            <w:r>
              <w:rPr>
                <w:rFonts w:hint="eastAsia" w:ascii="宋体" w:hAnsi="宋体" w:eastAsia="宋体" w:cs="宋体"/>
                <w:kern w:val="0"/>
                <w:sz w:val="21"/>
                <w:szCs w:val="21"/>
                <w:highlight w:val="none"/>
              </w:rPr>
              <w:t>投标文件袋上应加盖供应商公章（</w:t>
            </w:r>
            <w:r>
              <w:rPr>
                <w:rFonts w:hint="eastAsia" w:ascii="宋体" w:hAnsi="宋体" w:eastAsia="宋体" w:cs="宋体"/>
                <w:sz w:val="21"/>
                <w:szCs w:val="21"/>
                <w:highlight w:val="none"/>
              </w:rPr>
              <w:t>封面标识见招标文件</w:t>
            </w:r>
            <w:r>
              <w:rPr>
                <w:rFonts w:hint="eastAsia" w:ascii="宋体" w:hAnsi="宋体" w:eastAsia="宋体" w:cs="宋体"/>
                <w:b/>
                <w:bCs/>
                <w:sz w:val="21"/>
                <w:szCs w:val="21"/>
                <w:highlight w:val="none"/>
              </w:rPr>
              <w:t>附件一</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如果未按上述规定进行密封，供应商的投标文件有权被拒绝</w:t>
            </w:r>
            <w:r>
              <w:rPr>
                <w:rFonts w:hint="eastAsia" w:ascii="宋体" w:hAnsi="宋体" w:eastAsia="宋体" w:cs="宋体"/>
                <w:sz w:val="21"/>
                <w:szCs w:val="21"/>
                <w:highlight w:val="none"/>
              </w:rPr>
              <w:t>。</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如果供应商未按上述要求密封及加写标记，误投或过早启封的投标文件，将自行承担其投标文件被视为无效投标文件的风险。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3</w:t>
            </w:r>
          </w:p>
        </w:tc>
        <w:tc>
          <w:tcPr>
            <w:tcW w:w="897"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评</w:t>
            </w:r>
            <w:r>
              <w:rPr>
                <w:rFonts w:hint="eastAsia" w:ascii="宋体" w:hAnsi="宋体" w:eastAsia="宋体" w:cs="宋体"/>
                <w:color w:val="000000"/>
                <w:sz w:val="21"/>
                <w:szCs w:val="21"/>
                <w:highlight w:val="none"/>
                <w:lang w:val="en-US" w:eastAsia="zh-CN"/>
              </w:rPr>
              <w:t>分标准</w:t>
            </w:r>
          </w:p>
        </w:tc>
        <w:tc>
          <w:tcPr>
            <w:tcW w:w="7894"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综合评分法（详见第四部分）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349"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897" w:type="dxa"/>
            <w:vAlign w:val="center"/>
          </w:tcPr>
          <w:p>
            <w:pPr>
              <w:spacing w:line="360" w:lineRule="auto"/>
              <w:jc w:val="left"/>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履约保</w:t>
            </w:r>
          </w:p>
          <w:p>
            <w:pPr>
              <w:spacing w:line="360" w:lineRule="auto"/>
              <w:jc w:val="left"/>
              <w:rPr>
                <w:rFonts w:hint="eastAsia" w:ascii="宋体" w:hAnsi="宋体" w:eastAsia="宋体" w:cs="宋体"/>
                <w:sz w:val="21"/>
                <w:szCs w:val="21"/>
                <w:highlight w:val="none"/>
              </w:rPr>
            </w:pPr>
            <w:r>
              <w:rPr>
                <w:rFonts w:hint="eastAsia" w:ascii="宋体" w:hAnsi="宋体" w:eastAsia="宋体" w:cs="宋体"/>
                <w:b w:val="0"/>
                <w:bCs w:val="0"/>
                <w:kern w:val="0"/>
                <w:sz w:val="21"/>
                <w:szCs w:val="21"/>
                <w:highlight w:val="none"/>
                <w:lang w:val="en-US" w:eastAsia="zh-CN"/>
              </w:rPr>
              <w:t>证金</w:t>
            </w:r>
          </w:p>
        </w:tc>
        <w:tc>
          <w:tcPr>
            <w:tcW w:w="7894" w:type="dxa"/>
            <w:vAlign w:val="center"/>
          </w:tcPr>
          <w:p>
            <w:pPr>
              <w:pStyle w:val="24"/>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rPr>
              <w:t>☑</w:t>
            </w:r>
            <w:r>
              <w:rPr>
                <w:rFonts w:hint="eastAsia" w:ascii="宋体" w:hAnsi="宋体" w:eastAsia="宋体" w:cs="宋体"/>
                <w:sz w:val="21"/>
                <w:szCs w:val="21"/>
                <w:highlight w:val="none"/>
              </w:rPr>
              <w:t>无</w:t>
            </w:r>
          </w:p>
          <w:p>
            <w:pPr>
              <w:pStyle w:val="24"/>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2、□有</w:t>
            </w:r>
          </w:p>
          <w:p>
            <w:pPr>
              <w:pStyle w:val="24"/>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占政府采购合同金额的</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5</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pStyle w:val="24"/>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履约保证金的数额不得超过政府采购合同金额的</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％；对于单价合同，其数额不得超过采购预算的</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w:t>
            </w:r>
          </w:p>
          <w:p>
            <w:pPr>
              <w:pStyle w:val="24"/>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□由采购单位自行收退</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□由代理机构负责收退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2" w:hRule="atLeast"/>
        </w:trPr>
        <w:tc>
          <w:tcPr>
            <w:tcW w:w="349"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897"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项目性质</w:t>
            </w:r>
          </w:p>
        </w:tc>
        <w:tc>
          <w:tcPr>
            <w:tcW w:w="7894" w:type="dxa"/>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☑非专门面向中小企业采购</w:t>
            </w:r>
          </w:p>
          <w:p>
            <w:pPr>
              <w:spacing w:line="360" w:lineRule="auto"/>
              <w:rPr>
                <w:rFonts w:hint="eastAsia" w:ascii="宋体" w:hAnsi="宋体" w:eastAsia="宋体" w:cs="宋体"/>
                <w:sz w:val="21"/>
                <w:szCs w:val="21"/>
              </w:rPr>
            </w:pPr>
            <w:r>
              <w:rPr>
                <w:rFonts w:hint="eastAsia" w:ascii="宋体" w:hAnsi="宋体" w:eastAsia="宋体" w:cs="宋体"/>
                <w:sz w:val="21"/>
                <w:szCs w:val="21"/>
              </w:rPr>
              <w:t>对符合《政府采购促进中小企业发展管理办法》(财库{2020}46号)规定的小微企业(监狱企业视同小型、微型企业)的报价给予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10</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0％)的扣除,用扣除后的价格参加评审。</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根据《政府采购促进中小企业发展暂行办法》，投标人提供的《中小企业声明函》</w:t>
            </w:r>
            <w:r>
              <w:rPr>
                <w:rFonts w:hint="eastAsia" w:ascii="宋体" w:hAnsi="宋体" w:eastAsia="宋体" w:cs="宋体"/>
                <w:b/>
                <w:bCs/>
                <w:sz w:val="21"/>
                <w:szCs w:val="21"/>
              </w:rPr>
              <w:t>（附件二）</w:t>
            </w:r>
            <w:r>
              <w:rPr>
                <w:rFonts w:hint="eastAsia" w:ascii="宋体" w:hAnsi="宋体" w:eastAsia="宋体" w:cs="宋体"/>
                <w:sz w:val="21"/>
                <w:szCs w:val="21"/>
              </w:rPr>
              <w:t>。其划型标准严格按照国家工信部、国家统计局、国家发改委、财政部出台的《中小企业划型标准规定》（工信部联企业[2011]300号）执行。投标人提供的《中小企业声明函》资料必须真实，否则，按照有关规定予以处理。</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□专门面向中小企业采购</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rPr>
              <w:t>仅允许中小企业或小型、微型企业参与投标。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897" w:type="dxa"/>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招标代理服务费</w:t>
            </w:r>
          </w:p>
        </w:tc>
        <w:tc>
          <w:tcPr>
            <w:tcW w:w="7894" w:type="dxa"/>
            <w:vAlign w:val="center"/>
          </w:tcPr>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1、采购代理服务费按以下标准计取：</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参照（计价格[2002]1980号）文件规定收费标准</w:t>
            </w:r>
            <w:r>
              <w:rPr>
                <w:rFonts w:hint="eastAsia" w:ascii="宋体" w:hAnsi="宋体" w:cs="宋体"/>
                <w:sz w:val="21"/>
                <w:szCs w:val="21"/>
                <w:highlight w:val="none"/>
                <w:lang w:eastAsia="zh-CN"/>
              </w:rPr>
              <w:t>下浮</w:t>
            </w:r>
            <w:r>
              <w:rPr>
                <w:rFonts w:hint="eastAsia" w:ascii="宋体" w:hAnsi="宋体" w:cs="宋体"/>
                <w:sz w:val="21"/>
                <w:szCs w:val="21"/>
                <w:highlight w:val="none"/>
                <w:lang w:val="en-US" w:eastAsia="zh-CN"/>
              </w:rPr>
              <w:t>45%</w:t>
            </w:r>
            <w:r>
              <w:rPr>
                <w:rFonts w:hint="eastAsia" w:ascii="宋体" w:hAnsi="宋体" w:eastAsia="宋体" w:cs="宋体"/>
                <w:sz w:val="21"/>
                <w:szCs w:val="21"/>
                <w:highlight w:val="none"/>
              </w:rPr>
              <w:t>收费，由中标人在领取中标通知书时向代理机构缴纳代理服务费。</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2、支付方式：中标人应在领取通知书的同时，向陕西万泽招标有限公司交纳本项目招标代理服务费。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2"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897" w:type="dxa"/>
            <w:vAlign w:val="center"/>
          </w:tcPr>
          <w:p>
            <w:pPr>
              <w:pStyle w:val="13"/>
              <w:spacing w:line="33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供应商信用查询</w:t>
            </w:r>
          </w:p>
        </w:tc>
        <w:tc>
          <w:tcPr>
            <w:tcW w:w="7894" w:type="dxa"/>
            <w:vAlign w:val="center"/>
          </w:tcPr>
          <w:p>
            <w:pPr>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1、“信用中国”（www.creditchina.gov.cn）和“中国政府采购”（ccgp.gov.cn）为供应商信用信息查询渠道。</w:t>
            </w:r>
          </w:p>
          <w:p>
            <w:pPr>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2、供应商自行查询上述记录；</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3、如果供应商在开标截止时间前已列入失信被执行人、重大税收违法案件当事人名单、政府采购严重违法失信行为记录名单，其响应无效。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是否允许采购进口产品</w:t>
            </w:r>
          </w:p>
        </w:tc>
        <w:tc>
          <w:tcPr>
            <w:tcW w:w="7894" w:type="dxa"/>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所投产品为进口产品时，将被视为无效投标。</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□允许</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第五部分采购要求标注为“允许采购进口产品”的可采购进口产品</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政府采购进口产品管理办法》（财库【2007】119号）的规定，采购人采购进口产品市，必须在采购活动开始前向财政部门提出申请并获得财政部门审核同意后，才能开展采购活动。且不得因此排斥国产产品，满足需求的国产产品依然可以参与竞争。“进口产品的认定”参见《关于政府采购进口产品管理有关问题的通知》（财办库【2008】248号）文件有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是否组织踏勘或答疑会</w:t>
            </w:r>
          </w:p>
        </w:tc>
        <w:tc>
          <w:tcPr>
            <w:tcW w:w="7894" w:type="dxa"/>
            <w:vAlign w:val="center"/>
          </w:tcPr>
          <w:p>
            <w:pPr>
              <w:pStyle w:val="11"/>
              <w:spacing w:line="360" w:lineRule="auto"/>
              <w:rPr>
                <w:rFonts w:hint="eastAsia" w:ascii="宋体" w:hAnsi="宋体" w:eastAsia="宋体" w:cs="宋体"/>
                <w:sz w:val="21"/>
                <w:szCs w:val="21"/>
                <w:u w:val="single"/>
              </w:rPr>
            </w:pPr>
            <w:r>
              <w:rPr>
                <w:rFonts w:hint="eastAsia" w:ascii="宋体" w:hAnsi="宋体" w:eastAsia="宋体" w:cs="宋体"/>
                <w:sz w:val="21"/>
                <w:szCs w:val="21"/>
              </w:rPr>
              <w:t>□组织,集结地点为:</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6"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政府采购融资政策</w:t>
            </w:r>
          </w:p>
        </w:tc>
        <w:tc>
          <w:tcPr>
            <w:tcW w:w="7894" w:type="dxa"/>
            <w:vAlign w:val="center"/>
          </w:tcPr>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陕西省政府采购信用担保及信用融资政策：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t>
            </w:r>
            <w:r>
              <w:rPr>
                <w:rFonts w:hint="eastAsia" w:ascii="宋体" w:hAnsi="宋体" w:eastAsia="宋体" w:cs="宋体"/>
                <w:sz w:val="21"/>
                <w:szCs w:val="21"/>
                <w:highlight w:val="none"/>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21"/>
                          <a:stretch>
                            <a:fillRect/>
                          </a:stretch>
                        </pic:blipFill>
                        <pic:spPr>
                          <a:xfrm>
                            <a:off x="0" y="0"/>
                            <a:ext cx="190500" cy="142875"/>
                          </a:xfrm>
                          <a:prstGeom prst="rect">
                            <a:avLst/>
                          </a:prstGeom>
                          <a:noFill/>
                          <a:ln w="9525">
                            <a:noFill/>
                          </a:ln>
                        </pic:spPr>
                      </pic:pic>
                    </a:graphicData>
                  </a:graphic>
                </wp:inline>
              </w:drawing>
            </w:r>
            <w:r>
              <w:rPr>
                <w:rFonts w:hint="eastAsia" w:ascii="宋体" w:hAnsi="宋体" w:eastAsia="宋体" w:cs="宋体"/>
                <w:sz w:val="21"/>
                <w:szCs w:val="21"/>
                <w:highlight w:val="none"/>
              </w:rPr>
              <w:t>www.ccgp-shaanxi.gov.cn/)重要通知专栏中查询了解。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6" w:hRule="atLeast"/>
        </w:trPr>
        <w:tc>
          <w:tcPr>
            <w:tcW w:w="349" w:type="dxa"/>
            <w:vAlign w:val="center"/>
          </w:tcPr>
          <w:p>
            <w:pPr>
              <w:spacing w:line="360" w:lineRule="auto"/>
              <w:jc w:val="center"/>
              <w:rPr>
                <w:rFonts w:hint="eastAsia" w:ascii="宋体" w:hAnsi="宋体" w:eastAsia="宋体" w:cs="宋体"/>
                <w:kern w:val="2"/>
                <w:sz w:val="21"/>
                <w:szCs w:val="21"/>
                <w:highlight w:val="none"/>
                <w:lang w:val="en-US" w:eastAsia="zh-CN" w:bidi="ar-SA"/>
              </w:rPr>
            </w:pPr>
            <w:bookmarkStart w:id="15" w:name="_Toc19272"/>
            <w:r>
              <w:rPr>
                <w:rFonts w:hint="eastAsia" w:ascii="宋体" w:hAnsi="宋体" w:eastAsia="宋体" w:cs="宋体"/>
                <w:sz w:val="21"/>
                <w:szCs w:val="21"/>
                <w:highlight w:val="none"/>
              </w:rPr>
              <w:t>21</w:t>
            </w:r>
          </w:p>
        </w:tc>
        <w:tc>
          <w:tcPr>
            <w:tcW w:w="897" w:type="dxa"/>
            <w:vAlign w:val="center"/>
          </w:tcPr>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所属行业</w:t>
            </w:r>
          </w:p>
        </w:tc>
        <w:tc>
          <w:tcPr>
            <w:tcW w:w="7894" w:type="dxa"/>
            <w:vAlign w:val="center"/>
          </w:tcPr>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工业</w:t>
            </w:r>
          </w:p>
        </w:tc>
      </w:tr>
    </w:tbl>
    <w:p>
      <w:pPr>
        <w:pStyle w:val="3"/>
        <w:keepLines w:val="0"/>
        <w:spacing w:afterLines="100" w:line="240" w:lineRule="auto"/>
        <w:rPr>
          <w:rFonts w:asciiTheme="minorEastAsia" w:hAnsiTheme="minorEastAsia" w:eastAsiaTheme="minorEastAsia" w:cstheme="minorEastAsia"/>
          <w:sz w:val="36"/>
          <w:szCs w:val="36"/>
          <w:highlight w:val="none"/>
        </w:rPr>
        <w:sectPr>
          <w:headerReference r:id="rId7" w:type="default"/>
          <w:footerReference r:id="rId8" w:type="default"/>
          <w:pgSz w:w="11906" w:h="16838"/>
          <w:pgMar w:top="1440" w:right="1366" w:bottom="1440" w:left="1463" w:header="851" w:footer="992" w:gutter="0"/>
          <w:pgNumType w:fmt="decimal"/>
          <w:cols w:space="0" w:num="1"/>
          <w:docGrid w:type="lines" w:linePitch="312" w:charSpace="0"/>
        </w:sectPr>
      </w:pPr>
    </w:p>
    <w:p>
      <w:pPr>
        <w:pStyle w:val="3"/>
        <w:keepLines w:val="0"/>
        <w:spacing w:afterLines="100" w:line="240" w:lineRule="auto"/>
        <w:rPr>
          <w:rFonts w:asciiTheme="minorEastAsia" w:hAnsiTheme="minorEastAsia" w:eastAsiaTheme="minorEastAsia" w:cstheme="minorEastAsia"/>
          <w:sz w:val="36"/>
          <w:szCs w:val="36"/>
          <w:highlight w:val="none"/>
        </w:rPr>
      </w:pPr>
      <w:bookmarkStart w:id="16" w:name="_Toc4695"/>
      <w:bookmarkStart w:id="17" w:name="_Toc16173"/>
      <w:bookmarkStart w:id="18" w:name="_Toc24776"/>
      <w:bookmarkStart w:id="19" w:name="_Toc16519"/>
      <w:bookmarkStart w:id="20" w:name="_Toc9576"/>
      <w:r>
        <w:rPr>
          <w:rFonts w:hint="eastAsia" w:asciiTheme="minorEastAsia" w:hAnsiTheme="minorEastAsia" w:eastAsiaTheme="minorEastAsia" w:cstheme="minorEastAsia"/>
          <w:sz w:val="36"/>
          <w:szCs w:val="36"/>
          <w:highlight w:val="none"/>
        </w:rPr>
        <w:t>第三部分  供应商须知</w:t>
      </w:r>
      <w:bookmarkEnd w:id="15"/>
      <w:bookmarkEnd w:id="16"/>
      <w:bookmarkEnd w:id="17"/>
      <w:bookmarkEnd w:id="18"/>
      <w:bookmarkEnd w:id="19"/>
      <w:bookmarkEnd w:id="20"/>
    </w:p>
    <w:p>
      <w:pPr>
        <w:widowControl/>
        <w:numPr>
          <w:ilvl w:val="0"/>
          <w:numId w:val="3"/>
        </w:numPr>
        <w:spacing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21" w:name="_Toc26739"/>
      <w:bookmarkStart w:id="22" w:name="_Toc10272"/>
      <w:bookmarkStart w:id="23" w:name="_Toc17164"/>
      <w:bookmarkStart w:id="24" w:name="_Toc17085"/>
      <w:bookmarkStart w:id="25" w:name="_Toc24547"/>
      <w:bookmarkStart w:id="26" w:name="_Toc31751"/>
      <w:r>
        <w:rPr>
          <w:rFonts w:hint="eastAsia" w:asciiTheme="minorEastAsia" w:hAnsiTheme="minorEastAsia" w:eastAsiaTheme="minorEastAsia" w:cstheme="minorEastAsia"/>
          <w:b/>
          <w:bCs/>
          <w:kern w:val="0"/>
          <w:sz w:val="32"/>
          <w:szCs w:val="32"/>
          <w:highlight w:val="none"/>
        </w:rPr>
        <w:t>总 则</w:t>
      </w:r>
      <w:bookmarkEnd w:id="21"/>
      <w:bookmarkEnd w:id="22"/>
      <w:bookmarkEnd w:id="23"/>
      <w:bookmarkEnd w:id="24"/>
      <w:bookmarkEnd w:id="25"/>
      <w:bookmarkEnd w:id="26"/>
    </w:p>
    <w:p>
      <w:pPr>
        <w:pStyle w:val="5"/>
        <w:numPr>
          <w:ilvl w:val="0"/>
          <w:numId w:val="4"/>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27" w:name="_Toc358364319"/>
      <w:bookmarkStart w:id="28" w:name="_Toc6742"/>
      <w:bookmarkStart w:id="29" w:name="_Toc9257"/>
      <w:bookmarkStart w:id="30" w:name="_Toc380336725"/>
      <w:r>
        <w:rPr>
          <w:rFonts w:hint="eastAsia" w:asciiTheme="minorEastAsia" w:hAnsiTheme="minorEastAsia" w:eastAsiaTheme="minorEastAsia" w:cstheme="minorEastAsia"/>
          <w:sz w:val="24"/>
          <w:szCs w:val="24"/>
          <w:highlight w:val="none"/>
        </w:rPr>
        <w:t>适用范围</w:t>
      </w:r>
      <w:bookmarkEnd w:id="27"/>
      <w:bookmarkEnd w:id="28"/>
      <w:bookmarkEnd w:id="29"/>
      <w:bookmarkEnd w:id="30"/>
    </w:p>
    <w:p>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1.1本招标文件适用于本次招标活动的全过程。</w:t>
      </w:r>
    </w:p>
    <w:p>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1.2本次采购属政府采购，采购人、采购代理机构、供应商、评标委员会的相关行为均受《中华人民共和国政府采购法》及实施条例、财政部规章及政府采购项目所在地有关法规、规章的约束，其权利受到上述法律法规的保护。</w:t>
      </w:r>
    </w:p>
    <w:p>
      <w:pPr>
        <w:pStyle w:val="5"/>
        <w:numPr>
          <w:ilvl w:val="0"/>
          <w:numId w:val="4"/>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31" w:name="_Toc7922"/>
      <w:bookmarkStart w:id="32" w:name="_Toc11287"/>
      <w:bookmarkStart w:id="33" w:name="_Toc358364320"/>
      <w:bookmarkStart w:id="34" w:name="_Toc380336726"/>
      <w:r>
        <w:rPr>
          <w:rFonts w:hint="eastAsia" w:asciiTheme="minorEastAsia" w:hAnsiTheme="minorEastAsia" w:eastAsiaTheme="minorEastAsia" w:cstheme="minorEastAsia"/>
          <w:sz w:val="24"/>
          <w:szCs w:val="24"/>
          <w:highlight w:val="none"/>
        </w:rPr>
        <w:t>定义</w:t>
      </w:r>
      <w:bookmarkEnd w:id="31"/>
      <w:bookmarkEnd w:id="32"/>
      <w:bookmarkEnd w:id="33"/>
      <w:bookmarkEnd w:id="34"/>
    </w:p>
    <w:p>
      <w:pPr>
        <w:widowControl/>
        <w:spacing w:line="500" w:lineRule="exact"/>
        <w:ind w:firstLine="480" w:firstLineChars="200"/>
        <w:rPr>
          <w:rFonts w:asciiTheme="minorEastAsia" w:hAnsiTheme="minorEastAsia" w:eastAsiaTheme="minorEastAsia" w:cstheme="minorEastAsia"/>
          <w:kern w:val="0"/>
          <w:sz w:val="24"/>
          <w:szCs w:val="24"/>
          <w:highlight w:val="none"/>
        </w:rPr>
      </w:pPr>
      <w:bookmarkStart w:id="35" w:name="_Toc380336727"/>
      <w:bookmarkStart w:id="36" w:name="_Toc17676"/>
      <w:bookmarkStart w:id="37" w:name="_Toc23781"/>
      <w:bookmarkStart w:id="38" w:name="_Toc358364321"/>
      <w:r>
        <w:rPr>
          <w:rFonts w:hint="eastAsia" w:asciiTheme="minorEastAsia" w:hAnsiTheme="minorEastAsia" w:eastAsiaTheme="minorEastAsia" w:cstheme="minorEastAsia"/>
          <w:kern w:val="0"/>
          <w:sz w:val="24"/>
          <w:szCs w:val="24"/>
          <w:highlight w:val="none"/>
        </w:rPr>
        <w:t>2.1“采购人”是指依法进行政府采购的国家机关、事业单位、团体组织。本次政府采购的采购人名称、地址、电话见供应商须知前附表。</w:t>
      </w:r>
    </w:p>
    <w:p>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2.2“采购代理机构”是指接受采购人委托，代理采购项目的集中采购机构和其他采购代理机构。本次采购代理机构名称、地址、电话见供应商须知前附表。</w:t>
      </w:r>
    </w:p>
    <w:p>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2.3“供应商”是指向采购人提供货物、工程或服务的法人、其他组织或自然人。</w:t>
      </w:r>
    </w:p>
    <w:p>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2.4“货物”是指各种形态和种类的物品，包括原材料、燃料、设备、产品等。按照财政部《政府采购进口产品管理办法》（财库[2007]119号）的有关规定，本招标文件涉及的所有采购内容除特别标注为“进口产品”外，均必须采购国产产品。进口产品特指“通过中国海关报关验放进入中国境内且产自关境外的产品”。</w:t>
      </w:r>
    </w:p>
    <w:p>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2.5“服务”指除了货物和工程外的其他政府采购对象。包含除货物以外规定由供应商承担的与货物有关的辅助服务。</w:t>
      </w:r>
    </w:p>
    <w:p>
      <w:pPr>
        <w:widowControl/>
        <w:spacing w:line="50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0"/>
          <w:sz w:val="24"/>
          <w:szCs w:val="24"/>
          <w:highlight w:val="none"/>
        </w:rPr>
        <w:t xml:space="preserve">    2.6“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pStyle w:val="5"/>
        <w:numPr>
          <w:ilvl w:val="0"/>
          <w:numId w:val="4"/>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合格的</w:t>
      </w:r>
      <w:bookmarkEnd w:id="35"/>
      <w:bookmarkEnd w:id="36"/>
      <w:bookmarkEnd w:id="37"/>
      <w:bookmarkEnd w:id="38"/>
      <w:r>
        <w:rPr>
          <w:rFonts w:hint="eastAsia" w:asciiTheme="minorEastAsia" w:hAnsiTheme="minorEastAsia" w:eastAsiaTheme="minorEastAsia" w:cstheme="minorEastAsia"/>
          <w:sz w:val="24"/>
          <w:szCs w:val="24"/>
          <w:highlight w:val="none"/>
        </w:rPr>
        <w:t>供应商</w:t>
      </w:r>
    </w:p>
    <w:p>
      <w:pPr>
        <w:numPr>
          <w:ilvl w:val="0"/>
          <w:numId w:val="5"/>
        </w:numPr>
        <w:spacing w:line="500" w:lineRule="exact"/>
        <w:ind w:left="6"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具有本项目生产、制造、加工、供应或实施能力，符合、承认并承诺履行本招标文件各项规定的国内供应商。</w:t>
      </w:r>
    </w:p>
    <w:p>
      <w:pPr>
        <w:numPr>
          <w:ilvl w:val="0"/>
          <w:numId w:val="5"/>
        </w:numPr>
        <w:spacing w:line="500" w:lineRule="exact"/>
        <w:ind w:left="6"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供应商应遵守有关的国家法律、法规和条例，具备《中华人民共和国政府采购法》和本文件中规定的条件：</w:t>
      </w:r>
    </w:p>
    <w:p>
      <w:pPr>
        <w:numPr>
          <w:ilvl w:val="0"/>
          <w:numId w:val="6"/>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具有独立承担民事责任的能力；</w:t>
      </w:r>
    </w:p>
    <w:p>
      <w:pPr>
        <w:numPr>
          <w:ilvl w:val="0"/>
          <w:numId w:val="6"/>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具有良好的商业信誉和健全的财务会计制度；</w:t>
      </w:r>
    </w:p>
    <w:p>
      <w:pPr>
        <w:numPr>
          <w:ilvl w:val="0"/>
          <w:numId w:val="6"/>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具有履行合同所必需的设备和专业技术能力；</w:t>
      </w:r>
    </w:p>
    <w:p>
      <w:pPr>
        <w:numPr>
          <w:ilvl w:val="0"/>
          <w:numId w:val="6"/>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具有依法缴纳税收和社会保障资金的良好记录；</w:t>
      </w:r>
    </w:p>
    <w:p>
      <w:pPr>
        <w:numPr>
          <w:ilvl w:val="0"/>
          <w:numId w:val="6"/>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参加此项采购活动前三年内，在经营活动中没有重大违法记录；</w:t>
      </w:r>
    </w:p>
    <w:p>
      <w:pPr>
        <w:numPr>
          <w:ilvl w:val="0"/>
          <w:numId w:val="6"/>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法律、行政法规规定的其他条件；</w:t>
      </w:r>
    </w:p>
    <w:p>
      <w:pPr>
        <w:numPr>
          <w:ilvl w:val="0"/>
          <w:numId w:val="5"/>
        </w:numPr>
        <w:spacing w:line="500" w:lineRule="exact"/>
        <w:ind w:left="6"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供应商购买招标文件时应登记备案，并提供有效联系方式。</w:t>
      </w:r>
    </w:p>
    <w:p>
      <w:pPr>
        <w:numPr>
          <w:ilvl w:val="0"/>
          <w:numId w:val="5"/>
        </w:numPr>
        <w:spacing w:line="500" w:lineRule="exact"/>
        <w:ind w:left="6"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供应商应独立于采购人，不得直接或间接地与采购人为采购本次招标的货物进行设计、编制技术规格和其它文件所委托的咨询公司或其附属机构有任何关联。</w:t>
      </w:r>
    </w:p>
    <w:p>
      <w:pPr>
        <w:numPr>
          <w:ilvl w:val="0"/>
          <w:numId w:val="5"/>
        </w:numPr>
        <w:spacing w:line="500" w:lineRule="exact"/>
        <w:ind w:left="6"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供应商不得存在下列情形之一：</w:t>
      </w:r>
    </w:p>
    <w:p>
      <w:pPr>
        <w:tabs>
          <w:tab w:val="left" w:pos="0"/>
        </w:tabs>
        <w:spacing w:line="500" w:lineRule="exact"/>
        <w:ind w:left="6"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（1）与采购人采购代理机构存在隶属关系或者其他利害关系。</w:t>
      </w:r>
    </w:p>
    <w:p>
      <w:pPr>
        <w:tabs>
          <w:tab w:val="left" w:pos="0"/>
        </w:tabs>
        <w:spacing w:line="500" w:lineRule="exact"/>
        <w:ind w:left="6"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（2）与其他供应商的法定代表人（或者负责人）为同一人，或者与其他供应商存在直接控股、管理关系。</w:t>
      </w:r>
    </w:p>
    <w:p>
      <w:pPr>
        <w:tabs>
          <w:tab w:val="left" w:pos="0"/>
        </w:tabs>
        <w:spacing w:line="500" w:lineRule="exact"/>
        <w:ind w:left="6" w:firstLine="480" w:firstLineChars="200"/>
        <w:rPr>
          <w:rFonts w:ascii="宋体" w:hAnsi="宋体" w:cs="宋体"/>
          <w:kern w:val="0"/>
          <w:sz w:val="24"/>
          <w:szCs w:val="24"/>
          <w:highlight w:val="none"/>
        </w:rPr>
      </w:pPr>
      <w:r>
        <w:rPr>
          <w:rFonts w:hint="eastAsia" w:asciiTheme="minorEastAsia" w:hAnsiTheme="minorEastAsia" w:eastAsiaTheme="minorEastAsia" w:cstheme="minorEastAsia"/>
          <w:kern w:val="0"/>
          <w:sz w:val="24"/>
          <w:szCs w:val="24"/>
          <w:highlight w:val="none"/>
        </w:rPr>
        <w:t>（3）</w:t>
      </w:r>
      <w:r>
        <w:rPr>
          <w:rFonts w:hint="eastAsia" w:ascii="宋体" w:hAnsi="宋体" w:cs="宋体"/>
          <w:kern w:val="0"/>
          <w:sz w:val="24"/>
          <w:szCs w:val="24"/>
          <w:highlight w:val="none"/>
        </w:rPr>
        <w:t>受到刑事处罚，或者受较大数额罚款，责令停产停业、在一年至三年内禁止参加政府采购活动、暂扣或吊销许可证、暂扣或吊销执照等情形之一的行政处罚，或者存在财政部门认定的其他重大违法记录。</w:t>
      </w:r>
    </w:p>
    <w:p>
      <w:pPr>
        <w:tabs>
          <w:tab w:val="left" w:pos="0"/>
        </w:tabs>
        <w:spacing w:line="500" w:lineRule="exact"/>
        <w:ind w:left="6"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w:t>
      </w:r>
      <w:r>
        <w:rPr>
          <w:rFonts w:hint="eastAsia" w:asciiTheme="minorEastAsia" w:hAnsiTheme="minorEastAsia" w:eastAsiaTheme="minorEastAsia" w:cstheme="minorEastAsia"/>
          <w:b/>
          <w:bCs/>
          <w:sz w:val="24"/>
          <w:szCs w:val="24"/>
          <w:highlight w:val="none"/>
        </w:rPr>
        <w:t>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w:t>
      </w:r>
    </w:p>
    <w:p>
      <w:pPr>
        <w:pStyle w:val="5"/>
        <w:numPr>
          <w:ilvl w:val="0"/>
          <w:numId w:val="4"/>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39" w:name="_Toc358364322"/>
      <w:bookmarkStart w:id="40" w:name="_Toc540"/>
      <w:bookmarkStart w:id="41" w:name="_Toc22444"/>
      <w:bookmarkStart w:id="42" w:name="_Toc380336728"/>
      <w:r>
        <w:rPr>
          <w:rFonts w:hint="eastAsia" w:asciiTheme="minorEastAsia" w:hAnsiTheme="minorEastAsia" w:eastAsiaTheme="minorEastAsia" w:cstheme="minorEastAsia"/>
          <w:sz w:val="24"/>
          <w:szCs w:val="24"/>
          <w:highlight w:val="none"/>
        </w:rPr>
        <w:t>费用</w:t>
      </w:r>
      <w:bookmarkEnd w:id="39"/>
      <w:bookmarkEnd w:id="40"/>
      <w:bookmarkEnd w:id="41"/>
      <w:bookmarkEnd w:id="42"/>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kern w:val="0"/>
          <w:sz w:val="24"/>
          <w:szCs w:val="24"/>
          <w:highlight w:val="none"/>
        </w:rPr>
        <w:t>应承担所有与准备和参加投标有关的费用，采购代理机构（或采购人）在任何情况下均无义务和责任承担这些费用。</w:t>
      </w:r>
    </w:p>
    <w:p>
      <w:pPr>
        <w:pStyle w:val="5"/>
        <w:numPr>
          <w:ilvl w:val="0"/>
          <w:numId w:val="4"/>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采购进口产品</w:t>
      </w:r>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5.1 除供应商须知前附表另有规定外，本项目拒绝进口产品参加采购活动。</w:t>
      </w:r>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5.2 本项目第五部分采购要求中同意购买进口产品的，采购活动不限制满足招标文件要求的国产产品参与本次采购。</w:t>
      </w:r>
    </w:p>
    <w:p>
      <w:pPr>
        <w:pStyle w:val="5"/>
        <w:numPr>
          <w:ilvl w:val="0"/>
          <w:numId w:val="4"/>
        </w:numPr>
        <w:spacing w:before="0" w:afterLines="10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政府采购政策支持</w:t>
      </w:r>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6.1对列入财政部、国家发改委发布的《节能产品品目清单》且属于应当“强制采购的节能产品”，按照规定实行强制采购。</w:t>
      </w:r>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6.2对列入财政部、国家发展改革委员会发布的《节能产品品目清单》的“非强制采购节能产品”，财政部、环境保护部发布的《环境标志产品品目清单》的“环境标志产品”以及中小企业（监狱企业视同小型、微型企业），实行优先采购，按照省级以上财政部门有关政策规定，评审时进行价格扣除或者加分。</w:t>
      </w:r>
    </w:p>
    <w:p>
      <w:pPr>
        <w:widowControl/>
        <w:wordWrap w:val="0"/>
        <w:snapToGrid w:val="0"/>
        <w:spacing w:line="360" w:lineRule="auto"/>
        <w:ind w:right="-90" w:rightChars="-43"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6.3产品同时属于“非强制采购节能产品”、环境标志产品的，评审时只有其中一项能享受优先待遇（供应商自行选择，并在报价文件中填写相关信息及数据）</w:t>
      </w:r>
    </w:p>
    <w:p>
      <w:pPr>
        <w:widowControl/>
        <w:wordWrap w:val="0"/>
        <w:snapToGrid w:val="0"/>
        <w:spacing w:line="360" w:lineRule="auto"/>
        <w:ind w:right="-90" w:rightChars="-43"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6.4供应商有融资、担保需求的，具体办理流程按照财政厅及相关政策执行。</w:t>
      </w:r>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sectPr>
          <w:headerReference r:id="rId9" w:type="default"/>
          <w:pgSz w:w="11906" w:h="16838"/>
          <w:pgMar w:top="1440" w:right="1706" w:bottom="1440" w:left="1800" w:header="851" w:footer="992" w:gutter="0"/>
          <w:pgNumType w:fmt="decimal"/>
          <w:cols w:space="720" w:num="1"/>
          <w:docGrid w:type="lines" w:linePitch="312" w:charSpace="0"/>
        </w:sectPr>
      </w:pPr>
    </w:p>
    <w:p>
      <w:pPr>
        <w:widowControl/>
        <w:numPr>
          <w:ilvl w:val="0"/>
          <w:numId w:val="3"/>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43" w:name="_Toc5442"/>
      <w:bookmarkStart w:id="44" w:name="_Toc21097"/>
      <w:bookmarkStart w:id="45" w:name="_Toc4435"/>
      <w:bookmarkStart w:id="46" w:name="_Toc22364"/>
      <w:bookmarkStart w:id="47" w:name="_Toc20055"/>
      <w:bookmarkStart w:id="48" w:name="_Toc7144"/>
      <w:r>
        <w:rPr>
          <w:rFonts w:hint="eastAsia" w:asciiTheme="minorEastAsia" w:hAnsiTheme="minorEastAsia" w:eastAsiaTheme="minorEastAsia" w:cstheme="minorEastAsia"/>
          <w:b/>
          <w:bCs/>
          <w:kern w:val="0"/>
          <w:sz w:val="32"/>
          <w:szCs w:val="32"/>
          <w:highlight w:val="none"/>
        </w:rPr>
        <w:t>招标文件</w:t>
      </w:r>
      <w:bookmarkEnd w:id="43"/>
      <w:bookmarkEnd w:id="44"/>
      <w:bookmarkEnd w:id="45"/>
      <w:bookmarkEnd w:id="46"/>
      <w:bookmarkEnd w:id="47"/>
      <w:bookmarkEnd w:id="48"/>
    </w:p>
    <w:p>
      <w:pPr>
        <w:pStyle w:val="5"/>
        <w:keepNext w:val="0"/>
        <w:keepLines w:val="0"/>
        <w:numPr>
          <w:ilvl w:val="0"/>
          <w:numId w:val="7"/>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49" w:name="_Toc17817"/>
      <w:bookmarkStart w:id="50" w:name="_Toc5801"/>
      <w:r>
        <w:rPr>
          <w:rFonts w:hint="eastAsia" w:asciiTheme="minorEastAsia" w:hAnsiTheme="minorEastAsia" w:eastAsiaTheme="minorEastAsia" w:cstheme="minorEastAsia"/>
          <w:sz w:val="24"/>
          <w:szCs w:val="24"/>
          <w:highlight w:val="none"/>
        </w:rPr>
        <w:t>招标文件</w:t>
      </w:r>
      <w:bookmarkEnd w:id="49"/>
      <w:r>
        <w:rPr>
          <w:rFonts w:hint="eastAsia" w:asciiTheme="minorEastAsia" w:hAnsiTheme="minorEastAsia" w:eastAsiaTheme="minorEastAsia" w:cstheme="minorEastAsia"/>
          <w:sz w:val="24"/>
          <w:szCs w:val="24"/>
          <w:highlight w:val="none"/>
        </w:rPr>
        <w:t>的构成</w:t>
      </w:r>
      <w:bookmarkEnd w:id="50"/>
    </w:p>
    <w:p>
      <w:p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招标文件是供应商准备投标文件和参加投标的依据，同时也是评标的重要依据，具有准法律文件性质。本招标文件包括以下内容：</w:t>
      </w:r>
    </w:p>
    <w:p>
      <w:pPr>
        <w:numPr>
          <w:ilvl w:val="0"/>
          <w:numId w:val="8"/>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公开招标公告；</w:t>
      </w:r>
    </w:p>
    <w:p>
      <w:pPr>
        <w:numPr>
          <w:ilvl w:val="0"/>
          <w:numId w:val="8"/>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供应商须知前附表；</w:t>
      </w:r>
    </w:p>
    <w:p>
      <w:pPr>
        <w:numPr>
          <w:ilvl w:val="0"/>
          <w:numId w:val="8"/>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供应商须知；</w:t>
      </w:r>
    </w:p>
    <w:p>
      <w:pPr>
        <w:numPr>
          <w:ilvl w:val="0"/>
          <w:numId w:val="8"/>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评分标准；</w:t>
      </w:r>
    </w:p>
    <w:p>
      <w:pPr>
        <w:numPr>
          <w:ilvl w:val="0"/>
          <w:numId w:val="8"/>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商务条款与采购要求；</w:t>
      </w:r>
    </w:p>
    <w:p>
      <w:pPr>
        <w:numPr>
          <w:ilvl w:val="0"/>
          <w:numId w:val="8"/>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合同条款；</w:t>
      </w:r>
    </w:p>
    <w:p>
      <w:pPr>
        <w:numPr>
          <w:ilvl w:val="0"/>
          <w:numId w:val="8"/>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投标文件格式。</w:t>
      </w:r>
    </w:p>
    <w:p>
      <w:p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 供应商应认真阅读采购文件中所有的条款、事项、格式和技术规范、参数及要求等。供应商没有按照采购文件要求提交全部资料，或者没有对采购文件在各方面都做出实质性响应是供应商的风险，有可能导致其投标被拒绝或被认定为无效投标。</w:t>
      </w:r>
    </w:p>
    <w:p>
      <w:pPr>
        <w:pStyle w:val="5"/>
        <w:keepNext w:val="0"/>
        <w:keepLines w:val="0"/>
        <w:numPr>
          <w:ilvl w:val="0"/>
          <w:numId w:val="7"/>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51" w:name="_Toc19797"/>
      <w:r>
        <w:rPr>
          <w:rFonts w:hint="eastAsia" w:asciiTheme="minorEastAsia" w:hAnsiTheme="minorEastAsia" w:eastAsiaTheme="minorEastAsia" w:cstheme="minorEastAsia"/>
          <w:sz w:val="24"/>
          <w:szCs w:val="24"/>
          <w:highlight w:val="none"/>
        </w:rPr>
        <w:t>招标文件的澄清</w:t>
      </w:r>
      <w:bookmarkEnd w:id="51"/>
    </w:p>
    <w:p>
      <w:pPr>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 供应商应认真阅读和充分理解招标文件中所有的事项，如有问题或疑议请及时函告。否则，视为同意招标文件的一切条款和要求并承担由此引起的一切法律责任。凡因供应商对公开招标文件阅读不深、理解不透、误解、疏漏、或因市场行情了解不清造成的后果和风险均由供应商自负。</w:t>
      </w:r>
    </w:p>
    <w:p>
      <w:p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 任何对公开招标文件进行询问或要求进行澄清的供应商，均应在收到招标文件后七个工作日内按公开招标文件中的通讯地址以书面形式递交代理机构，采购人或代理机构对收到的任何询问或澄清要求将在三个工作日内作出书面答复。</w:t>
      </w:r>
    </w:p>
    <w:p>
      <w:pPr>
        <w:pStyle w:val="5"/>
        <w:keepNext w:val="0"/>
        <w:keepLines w:val="0"/>
        <w:numPr>
          <w:ilvl w:val="0"/>
          <w:numId w:val="7"/>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52" w:name="_Toc6390"/>
      <w:r>
        <w:rPr>
          <w:rFonts w:hint="eastAsia" w:asciiTheme="minorEastAsia" w:hAnsiTheme="minorEastAsia" w:eastAsiaTheme="minorEastAsia" w:cstheme="minorEastAsia"/>
          <w:sz w:val="24"/>
          <w:szCs w:val="24"/>
          <w:highlight w:val="none"/>
        </w:rPr>
        <w:t>招标文件的修改</w:t>
      </w:r>
      <w:bookmarkEnd w:id="52"/>
    </w:p>
    <w:p>
      <w:p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 在投标截止时间十五日前，无论出于何种原因，代理机构可主动地或在解答供应商提出的澄清问题时，对公开招标文件进行修改。公开招标文件的澄清和修改将以书面形式通知所有供应商，并作为公开招标文件的补充，与其具有同等法律效力。</w:t>
      </w:r>
    </w:p>
    <w:p>
      <w:pPr>
        <w:tabs>
          <w:tab w:val="left" w:pos="0"/>
        </w:tabs>
        <w:adjustRightInd w:val="0"/>
        <w:snapToGrid w:val="0"/>
        <w:spacing w:line="500" w:lineRule="exact"/>
        <w:ind w:firstLine="480"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3.2 为方便供应商对公开招标文件修改或澄清内容有充分的时间进行补充修改，代理机构可适当延长投标截止时间和开标时间，将变更时间书面通知所有购买招标文件的供应商。</w:t>
      </w:r>
    </w:p>
    <w:p>
      <w:pPr>
        <w:pStyle w:val="5"/>
        <w:keepNext w:val="0"/>
        <w:keepLines w:val="0"/>
        <w:numPr>
          <w:ilvl w:val="0"/>
          <w:numId w:val="7"/>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53" w:name="_Toc31188"/>
      <w:r>
        <w:rPr>
          <w:rFonts w:hint="eastAsia" w:asciiTheme="minorEastAsia" w:hAnsiTheme="minorEastAsia" w:eastAsiaTheme="minorEastAsia" w:cstheme="minorEastAsia"/>
          <w:sz w:val="24"/>
          <w:szCs w:val="24"/>
          <w:highlight w:val="none"/>
        </w:rPr>
        <w:t>招标文件的获取</w:t>
      </w:r>
      <w:bookmarkEnd w:id="53"/>
    </w:p>
    <w:p>
      <w:pPr>
        <w:widowControl/>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供应商必须从代理机构购买招标文件，供应商自行转让或复制招标文件视为无效。招标文件一经售出，一律不退，仅作为本次公开招标使用。</w:t>
      </w:r>
    </w:p>
    <w:p>
      <w:pPr>
        <w:pStyle w:val="5"/>
        <w:numPr>
          <w:ilvl w:val="0"/>
          <w:numId w:val="7"/>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54" w:name="_Toc5095"/>
      <w:r>
        <w:rPr>
          <w:rFonts w:hint="eastAsia" w:asciiTheme="minorEastAsia" w:hAnsiTheme="minorEastAsia" w:eastAsiaTheme="minorEastAsia" w:cstheme="minorEastAsia"/>
          <w:sz w:val="24"/>
          <w:szCs w:val="24"/>
          <w:highlight w:val="none"/>
        </w:rPr>
        <w:t>招标文件的解释权归代理机构</w:t>
      </w:r>
      <w:bookmarkEnd w:id="54"/>
    </w:p>
    <w:p>
      <w:pPr>
        <w:widowControl/>
        <w:numPr>
          <w:ilvl w:val="0"/>
          <w:numId w:val="3"/>
        </w:numPr>
        <w:spacing w:line="360" w:lineRule="auto"/>
        <w:ind w:firstLine="482" w:firstLineChars="200"/>
        <w:jc w:val="center"/>
        <w:outlineLvl w:val="1"/>
        <w:rPr>
          <w:rFonts w:asciiTheme="minorEastAsia" w:hAnsiTheme="minorEastAsia" w:eastAsiaTheme="minorEastAsia" w:cstheme="minorEastAsia"/>
          <w:b/>
          <w:bCs/>
          <w:kern w:val="0"/>
          <w:sz w:val="24"/>
          <w:szCs w:val="24"/>
          <w:highlight w:val="none"/>
        </w:rPr>
        <w:sectPr>
          <w:pgSz w:w="11906" w:h="16838"/>
          <w:pgMar w:top="1440" w:right="1706" w:bottom="1440" w:left="1800" w:header="851" w:footer="992" w:gutter="0"/>
          <w:pgNumType w:fmt="decimal"/>
          <w:cols w:space="720" w:num="1"/>
          <w:docGrid w:type="lines" w:linePitch="312" w:charSpace="0"/>
        </w:sectPr>
      </w:pPr>
    </w:p>
    <w:p>
      <w:pPr>
        <w:widowControl/>
        <w:numPr>
          <w:ilvl w:val="0"/>
          <w:numId w:val="3"/>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55" w:name="_Toc23605"/>
      <w:bookmarkStart w:id="56" w:name="_Toc24897"/>
      <w:bookmarkStart w:id="57" w:name="_Toc16243"/>
      <w:bookmarkStart w:id="58" w:name="_Toc10191"/>
      <w:bookmarkStart w:id="59" w:name="_Toc15601"/>
      <w:bookmarkStart w:id="60" w:name="_Toc25168"/>
      <w:r>
        <w:rPr>
          <w:rFonts w:hint="eastAsia" w:asciiTheme="minorEastAsia" w:hAnsiTheme="minorEastAsia" w:eastAsiaTheme="minorEastAsia" w:cstheme="minorEastAsia"/>
          <w:b/>
          <w:bCs/>
          <w:kern w:val="0"/>
          <w:sz w:val="32"/>
          <w:szCs w:val="32"/>
          <w:highlight w:val="none"/>
        </w:rPr>
        <w:t>投标文件</w:t>
      </w:r>
      <w:bookmarkEnd w:id="55"/>
      <w:bookmarkEnd w:id="56"/>
      <w:bookmarkEnd w:id="57"/>
      <w:bookmarkEnd w:id="58"/>
      <w:bookmarkEnd w:id="59"/>
      <w:bookmarkEnd w:id="60"/>
    </w:p>
    <w:p>
      <w:pPr>
        <w:pStyle w:val="5"/>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61" w:name="_Toc17549"/>
      <w:r>
        <w:rPr>
          <w:rFonts w:hint="eastAsia" w:asciiTheme="minorEastAsia" w:hAnsiTheme="minorEastAsia" w:eastAsiaTheme="minorEastAsia" w:cstheme="minorEastAsia"/>
          <w:sz w:val="24"/>
          <w:szCs w:val="24"/>
          <w:highlight w:val="none"/>
        </w:rPr>
        <w:t>投标文件的编制</w:t>
      </w:r>
      <w:bookmarkEnd w:id="61"/>
    </w:p>
    <w:p>
      <w:pPr>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投标文件应根据代理机构发售的招标文件格式和顺序认真编制。具体内容包括：</w:t>
      </w:r>
    </w:p>
    <w:p>
      <w:pPr>
        <w:numPr>
          <w:ilvl w:val="0"/>
          <w:numId w:val="10"/>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报价函；</w:t>
      </w:r>
    </w:p>
    <w:p>
      <w:pPr>
        <w:numPr>
          <w:ilvl w:val="0"/>
          <w:numId w:val="10"/>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报价一览表；</w:t>
      </w:r>
    </w:p>
    <w:p>
      <w:pPr>
        <w:numPr>
          <w:ilvl w:val="0"/>
          <w:numId w:val="10"/>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宋体" w:hAnsi="宋体" w:cs="宋体"/>
          <w:sz w:val="24"/>
          <w:szCs w:val="24"/>
          <w:highlight w:val="none"/>
        </w:rPr>
        <w:t>分项报价表；</w:t>
      </w:r>
    </w:p>
    <w:p>
      <w:pPr>
        <w:numPr>
          <w:ilvl w:val="0"/>
          <w:numId w:val="10"/>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投标保证金</w:t>
      </w:r>
    </w:p>
    <w:p>
      <w:pPr>
        <w:numPr>
          <w:ilvl w:val="0"/>
          <w:numId w:val="10"/>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供应商资质证明资料；</w:t>
      </w:r>
    </w:p>
    <w:p>
      <w:pPr>
        <w:numPr>
          <w:ilvl w:val="0"/>
          <w:numId w:val="10"/>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商务和需求响应偏离表；</w:t>
      </w:r>
    </w:p>
    <w:p>
      <w:pPr>
        <w:numPr>
          <w:ilvl w:val="0"/>
          <w:numId w:val="10"/>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宋体" w:hAnsi="宋体" w:cs="宋体"/>
          <w:sz w:val="24"/>
          <w:szCs w:val="24"/>
          <w:highlight w:val="none"/>
        </w:rPr>
        <w:t>技术支持资料</w:t>
      </w:r>
      <w:r>
        <w:rPr>
          <w:rFonts w:hint="eastAsia" w:asciiTheme="minorEastAsia" w:hAnsiTheme="minorEastAsia" w:eastAsiaTheme="minorEastAsia" w:cstheme="minorEastAsia"/>
          <w:sz w:val="24"/>
          <w:szCs w:val="24"/>
          <w:highlight w:val="none"/>
        </w:rPr>
        <w:t>；</w:t>
      </w:r>
    </w:p>
    <w:p>
      <w:pPr>
        <w:numPr>
          <w:ilvl w:val="0"/>
          <w:numId w:val="10"/>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实施方案及服务保障</w:t>
      </w:r>
      <w:r>
        <w:rPr>
          <w:rFonts w:hint="eastAsia" w:asciiTheme="minorEastAsia" w:hAnsiTheme="minorEastAsia" w:eastAsiaTheme="minorEastAsia" w:cstheme="minorEastAsia"/>
          <w:sz w:val="24"/>
          <w:szCs w:val="24"/>
          <w:highlight w:val="none"/>
        </w:rPr>
        <w:t>；</w:t>
      </w:r>
    </w:p>
    <w:p>
      <w:pPr>
        <w:numPr>
          <w:ilvl w:val="0"/>
          <w:numId w:val="10"/>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供应商</w:t>
      </w:r>
      <w:r>
        <w:rPr>
          <w:rFonts w:hint="eastAsia" w:asciiTheme="minorEastAsia" w:hAnsiTheme="minorEastAsia" w:eastAsiaTheme="minorEastAsia" w:cstheme="minorEastAsia"/>
          <w:sz w:val="24"/>
          <w:szCs w:val="24"/>
          <w:highlight w:val="none"/>
        </w:rPr>
        <w:t>业绩一览表；</w:t>
      </w:r>
    </w:p>
    <w:p>
      <w:pPr>
        <w:numPr>
          <w:ilvl w:val="0"/>
          <w:numId w:val="10"/>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供应商认为有必要说明的其他问题；</w:t>
      </w:r>
    </w:p>
    <w:p>
      <w:pPr>
        <w:numPr>
          <w:ilvl w:val="0"/>
          <w:numId w:val="10"/>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供应商承诺书；</w:t>
      </w:r>
    </w:p>
    <w:p>
      <w:pPr>
        <w:widowControl/>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 供应商须依据招标文件内容和投标文件格式的要求编制投标文件；投标文件规格幅面（A4）</w:t>
      </w:r>
      <w:r>
        <w:rPr>
          <w:rFonts w:hint="eastAsia" w:asciiTheme="minorEastAsia" w:hAnsiTheme="minorEastAsia" w:eastAsiaTheme="minorEastAsia" w:cstheme="minorEastAsia"/>
          <w:b/>
          <w:bCs/>
          <w:sz w:val="24"/>
          <w:szCs w:val="24"/>
          <w:highlight w:val="none"/>
        </w:rPr>
        <w:t>（推荐双面打印）</w:t>
      </w:r>
      <w:r>
        <w:rPr>
          <w:rFonts w:hint="eastAsia" w:asciiTheme="minorEastAsia" w:hAnsiTheme="minorEastAsia" w:eastAsiaTheme="minorEastAsia" w:cstheme="minorEastAsia"/>
          <w:sz w:val="24"/>
          <w:szCs w:val="24"/>
          <w:highlight w:val="none"/>
        </w:rPr>
        <w:t>，按照采购文件所规定的内容顺序，统一编目、编页码装订，技术文件中的各项表格须按照招标文件第七部分投标文件格式要求制作。由于编排混乱导致投标文件被误读或查找不到，其责任应当由供应商承担。装订必须采用胶订形式，不得采用活页装订，必须标注页码。</w:t>
      </w:r>
    </w:p>
    <w:p>
      <w:pPr>
        <w:pStyle w:val="5"/>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62" w:name="_Toc27646"/>
      <w:r>
        <w:rPr>
          <w:rFonts w:hint="eastAsia" w:asciiTheme="minorEastAsia" w:hAnsiTheme="minorEastAsia" w:eastAsiaTheme="minorEastAsia" w:cstheme="minorEastAsia"/>
          <w:sz w:val="24"/>
          <w:szCs w:val="24"/>
          <w:highlight w:val="none"/>
        </w:rPr>
        <w:t>投标报价</w:t>
      </w:r>
      <w:bookmarkEnd w:id="62"/>
    </w:p>
    <w:p>
      <w:pPr>
        <w:spacing w:line="360" w:lineRule="auto"/>
        <w:rPr>
          <w:rFonts w:eastAsiaTheme="minorEastAsia"/>
          <w:highlight w:val="none"/>
        </w:rPr>
      </w:pPr>
      <w:r>
        <w:rPr>
          <w:rFonts w:hint="eastAsia" w:asciiTheme="minorEastAsia" w:hAnsiTheme="minorEastAsia" w:eastAsiaTheme="minorEastAsia" w:cstheme="minorEastAsia"/>
          <w:b/>
          <w:bCs/>
          <w:sz w:val="24"/>
          <w:szCs w:val="24"/>
          <w:highlight w:val="none"/>
        </w:rPr>
        <w:t xml:space="preserve"> 详见供应商须知前附表。</w:t>
      </w:r>
    </w:p>
    <w:p>
      <w:pPr>
        <w:pStyle w:val="5"/>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63" w:name="_Toc29200"/>
      <w:bookmarkStart w:id="64" w:name="_Toc1311"/>
      <w:r>
        <w:rPr>
          <w:rFonts w:hint="eastAsia" w:asciiTheme="minorEastAsia" w:hAnsiTheme="minorEastAsia" w:eastAsiaTheme="minorEastAsia" w:cstheme="minorEastAsia"/>
          <w:sz w:val="24"/>
          <w:szCs w:val="24"/>
          <w:highlight w:val="none"/>
        </w:rPr>
        <w:t>投标货币</w:t>
      </w:r>
      <w:bookmarkEnd w:id="63"/>
    </w:p>
    <w:p>
      <w:pPr>
        <w:spacing w:line="360" w:lineRule="auto"/>
        <w:rPr>
          <w:rFonts w:eastAsiaTheme="minorEastAsia"/>
          <w:highlight w:val="none"/>
        </w:rPr>
      </w:pPr>
      <w:r>
        <w:rPr>
          <w:rFonts w:hint="eastAsia" w:asciiTheme="minorEastAsia" w:hAnsiTheme="minorEastAsia" w:eastAsiaTheme="minorEastAsia" w:cstheme="minorEastAsia"/>
          <w:b/>
          <w:bCs/>
          <w:sz w:val="24"/>
          <w:szCs w:val="24"/>
          <w:highlight w:val="none"/>
        </w:rPr>
        <w:t xml:space="preserve">  详见供应商须知前附表。</w:t>
      </w:r>
    </w:p>
    <w:p>
      <w:pPr>
        <w:pStyle w:val="5"/>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投标保证金</w:t>
      </w:r>
      <w:bookmarkEnd w:id="64"/>
    </w:p>
    <w:p>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 投标保证金按照供应商须知前附表要求缴纳。</w:t>
      </w:r>
    </w:p>
    <w:p>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 供应商未按照招标文件要求交纳投标保证金的或投标保证金的交付单位和供应商的名称必须一致，视为无效投标。</w:t>
      </w:r>
    </w:p>
    <w:p>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 未中标供应商的投标保证金，在中标通知书发出后5个工作日内无息退还；中标供应商的投标保证金在合同签订后5个工作日内无息退还。</w:t>
      </w:r>
    </w:p>
    <w:p>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 发生下列情形之一的，代理机构将不予退还供应商交纳的投标保证金：</w:t>
      </w:r>
    </w:p>
    <w:p>
      <w:pPr>
        <w:numPr>
          <w:ilvl w:val="0"/>
          <w:numId w:val="11"/>
        </w:numPr>
        <w:tabs>
          <w:tab w:val="left" w:pos="0"/>
        </w:tabs>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开标后在招标文件规定的投标有效期间，供应商撤回其所投投标文件；</w:t>
      </w:r>
    </w:p>
    <w:p>
      <w:pPr>
        <w:numPr>
          <w:ilvl w:val="0"/>
          <w:numId w:val="11"/>
        </w:numPr>
        <w:tabs>
          <w:tab w:val="left" w:pos="0"/>
        </w:tabs>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在采购人确定中标供应商以前放弃中标候选资格的；</w:t>
      </w:r>
    </w:p>
    <w:p>
      <w:pPr>
        <w:numPr>
          <w:ilvl w:val="0"/>
          <w:numId w:val="11"/>
        </w:numPr>
        <w:tabs>
          <w:tab w:val="left" w:pos="0"/>
        </w:tabs>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在评标期间，供应商企图影响采购机构或评标委员会的任何活动，将导致投标被拒绝，并由其承担相应的法律责任；</w:t>
      </w:r>
    </w:p>
    <w:p>
      <w:pPr>
        <w:numPr>
          <w:ilvl w:val="0"/>
          <w:numId w:val="11"/>
        </w:num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由于中标供应商原因未能按照招标文件的规定与采购人签订合同；</w:t>
      </w:r>
    </w:p>
    <w:p>
      <w:pPr>
        <w:numPr>
          <w:ilvl w:val="0"/>
          <w:numId w:val="11"/>
        </w:num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由于中标供应商原因未能按照招标文件的规定交纳履约保证金；</w:t>
      </w:r>
    </w:p>
    <w:p>
      <w:pPr>
        <w:numPr>
          <w:ilvl w:val="0"/>
          <w:numId w:val="11"/>
        </w:num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投标有效期内，供应商在政府采购活动中有违法、违规、违纪行为。</w:t>
      </w:r>
    </w:p>
    <w:p>
      <w:pPr>
        <w:numPr>
          <w:ilvl w:val="0"/>
          <w:numId w:val="11"/>
        </w:num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中标供应商与采购人订立背离合同实质性内容的其它协议；</w:t>
      </w:r>
    </w:p>
    <w:p>
      <w:pPr>
        <w:numPr>
          <w:ilvl w:val="0"/>
          <w:numId w:val="11"/>
        </w:num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供应商未按招标文件规定和合同约定履行义务的。</w:t>
      </w:r>
    </w:p>
    <w:p>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 未中标的供应商在退取投标保证金时，须携带以下资料办理到代理机构的财务部门办理：</w:t>
      </w:r>
    </w:p>
    <w:p>
      <w:pPr>
        <w:numPr>
          <w:ilvl w:val="0"/>
          <w:numId w:val="12"/>
        </w:num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保证金汇款凭证复印件加盖公章；</w:t>
      </w:r>
    </w:p>
    <w:p>
      <w:pPr>
        <w:numPr>
          <w:ilvl w:val="0"/>
          <w:numId w:val="12"/>
        </w:num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供应商对公银行账户信息（加盖公章）见</w:t>
      </w:r>
      <w:r>
        <w:rPr>
          <w:rFonts w:hint="eastAsia" w:asciiTheme="minorEastAsia" w:hAnsiTheme="minorEastAsia" w:eastAsiaTheme="minorEastAsia" w:cstheme="minorEastAsia"/>
          <w:b/>
          <w:bCs/>
          <w:sz w:val="24"/>
          <w:szCs w:val="24"/>
          <w:highlight w:val="none"/>
        </w:rPr>
        <w:t>附件七</w:t>
      </w:r>
      <w:r>
        <w:rPr>
          <w:rFonts w:hint="eastAsia" w:asciiTheme="minorEastAsia" w:hAnsiTheme="minorEastAsia" w:eastAsiaTheme="minorEastAsia" w:cstheme="minorEastAsia"/>
          <w:sz w:val="24"/>
          <w:szCs w:val="24"/>
          <w:highlight w:val="none"/>
        </w:rPr>
        <w:t>。</w:t>
      </w:r>
    </w:p>
    <w:p>
      <w:pPr>
        <w:numPr>
          <w:ilvl w:val="0"/>
          <w:numId w:val="13"/>
        </w:numPr>
        <w:adjustRightInd w:val="0"/>
        <w:snapToGrid w:val="0"/>
        <w:spacing w:line="360" w:lineRule="auto"/>
        <w:ind w:left="0"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供应商可在投标当天将保证金退还账户信息确认表与投标保证金汇款凭证（复印件加盖公章）一并交给工作人员，当天未提交保证金退还账户信息确认表与投标保证金汇款凭证（复印件加盖公章）的供应商，在投标后将以上资料加盖公章的扫描件发送至邮箱sxwzzb123@163.com；并致电告知。</w:t>
      </w:r>
    </w:p>
    <w:p>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4.6 中标供应商在退取投标保证金时，除携带上述资料外还需递交与采购人签订的采购合同一份。</w:t>
      </w:r>
    </w:p>
    <w:p>
      <w:pPr>
        <w:pStyle w:val="5"/>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65" w:name="_Toc19668"/>
      <w:r>
        <w:rPr>
          <w:rFonts w:hint="eastAsia" w:asciiTheme="minorEastAsia" w:hAnsiTheme="minorEastAsia" w:eastAsiaTheme="minorEastAsia" w:cstheme="minorEastAsia"/>
          <w:sz w:val="24"/>
          <w:szCs w:val="24"/>
          <w:highlight w:val="none"/>
        </w:rPr>
        <w:t>投标有效期</w:t>
      </w:r>
      <w:bookmarkEnd w:id="65"/>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bookmarkStart w:id="66" w:name="_Toc24827"/>
      <w:r>
        <w:rPr>
          <w:rFonts w:hint="eastAsia" w:asciiTheme="minorEastAsia" w:hAnsiTheme="minorEastAsia" w:eastAsiaTheme="minorEastAsia" w:cstheme="minorEastAsia"/>
          <w:sz w:val="24"/>
          <w:szCs w:val="24"/>
          <w:highlight w:val="none"/>
        </w:rPr>
        <w:t>投标有效期见供应商须知前附表，无投标有效期或投标有效期短于此规定期限的投标文件，视为无效文件，其投标将被拒绝。</w:t>
      </w:r>
      <w:r>
        <w:rPr>
          <w:rFonts w:hint="eastAsia" w:ascii="宋体" w:hAnsi="宋体" w:cs="宋体" w:eastAsiaTheme="minorEastAsia"/>
          <w:sz w:val="24"/>
          <w:szCs w:val="24"/>
          <w:highlight w:val="none"/>
          <w:lang w:val="en-US" w:eastAsia="zh-CN"/>
        </w:rPr>
        <w:t>中标</w:t>
      </w:r>
      <w:r>
        <w:rPr>
          <w:rFonts w:hint="eastAsia" w:ascii="宋体" w:hAnsi="宋体" w:cs="宋体"/>
          <w:sz w:val="24"/>
          <w:szCs w:val="24"/>
          <w:highlight w:val="none"/>
        </w:rPr>
        <w:t>单位的</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文件有效期延长至合同执行完毕。</w:t>
      </w:r>
    </w:p>
    <w:p>
      <w:pPr>
        <w:pStyle w:val="5"/>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投标文件的装订、密封和签署</w:t>
      </w:r>
      <w:bookmarkEnd w:id="66"/>
    </w:p>
    <w:p>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 投标文件的装订</w:t>
      </w:r>
    </w:p>
    <w:p>
      <w:pPr>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详见供应商须知前附表。</w:t>
      </w:r>
    </w:p>
    <w:p>
      <w:pPr>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 投标文件的签署</w:t>
      </w:r>
    </w:p>
    <w:p>
      <w:pPr>
        <w:spacing w:line="500" w:lineRule="exact"/>
        <w:ind w:firstLine="482"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sz w:val="24"/>
          <w:szCs w:val="24"/>
          <w:highlight w:val="none"/>
        </w:rPr>
        <w:t>详见供应商须知前附表。</w:t>
      </w:r>
    </w:p>
    <w:p>
      <w:pPr>
        <w:spacing w:line="5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6.3 投标文件的密封</w:t>
      </w:r>
    </w:p>
    <w:p>
      <w:pPr>
        <w:spacing w:line="500" w:lineRule="exact"/>
        <w:ind w:firstLine="482" w:firstLineChars="200"/>
        <w:jc w:val="left"/>
        <w:rPr>
          <w:highlight w:val="none"/>
        </w:rPr>
      </w:pPr>
      <w:r>
        <w:rPr>
          <w:rFonts w:hint="eastAsia" w:asciiTheme="minorEastAsia" w:hAnsiTheme="minorEastAsia" w:eastAsiaTheme="minorEastAsia" w:cstheme="minorEastAsia"/>
          <w:b/>
          <w:bCs/>
          <w:sz w:val="24"/>
          <w:szCs w:val="24"/>
          <w:highlight w:val="none"/>
        </w:rPr>
        <w:t>详见供应商须知前附表。</w:t>
      </w:r>
    </w:p>
    <w:p>
      <w:pPr>
        <w:pStyle w:val="5"/>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67" w:name="_Toc22752"/>
      <w:r>
        <w:rPr>
          <w:rFonts w:hint="eastAsia" w:asciiTheme="minorEastAsia" w:hAnsiTheme="minorEastAsia" w:eastAsiaTheme="minorEastAsia" w:cstheme="minorEastAsia"/>
          <w:sz w:val="24"/>
          <w:szCs w:val="24"/>
          <w:highlight w:val="none"/>
        </w:rPr>
        <w:t>知识产权</w:t>
      </w:r>
      <w:bookmarkEnd w:id="67"/>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 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 采购人享有本项目在实施过程中产生的知识成果及知识产权。</w:t>
      </w:r>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 供应商如欲在项目实施过程中采用自有知识成果，需在投标文件中声明，并提供相关知识产权证明文件。使用该知识成果后，供应商须提供开发接口和开发手册等技术文档，并承诺提供无限期技术支持，采购人享有永久使用权。</w:t>
      </w:r>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7.4 如供应商所不拥有的知识产权，则在投标报价中必须包括合法获取该知识产权的相关费用。</w:t>
      </w:r>
    </w:p>
    <w:p>
      <w:pPr>
        <w:widowControl/>
        <w:numPr>
          <w:ilvl w:val="0"/>
          <w:numId w:val="3"/>
        </w:numPr>
        <w:spacing w:line="500" w:lineRule="exact"/>
        <w:ind w:firstLine="482" w:firstLineChars="200"/>
        <w:jc w:val="center"/>
        <w:outlineLvl w:val="1"/>
        <w:rPr>
          <w:rFonts w:asciiTheme="minorEastAsia" w:hAnsiTheme="minorEastAsia" w:eastAsiaTheme="minorEastAsia" w:cstheme="minorEastAsia"/>
          <w:b/>
          <w:bCs/>
          <w:kern w:val="0"/>
          <w:sz w:val="24"/>
          <w:szCs w:val="24"/>
          <w:highlight w:val="none"/>
        </w:rPr>
        <w:sectPr>
          <w:pgSz w:w="11906" w:h="16838"/>
          <w:pgMar w:top="1440" w:right="1706" w:bottom="1440" w:left="1800" w:header="851" w:footer="992" w:gutter="0"/>
          <w:pgNumType w:fmt="decimal"/>
          <w:cols w:space="720" w:num="1"/>
          <w:docGrid w:type="lines" w:linePitch="312" w:charSpace="0"/>
        </w:sectPr>
      </w:pPr>
      <w:bookmarkStart w:id="68" w:name="_Toc3736"/>
    </w:p>
    <w:p>
      <w:pPr>
        <w:widowControl/>
        <w:numPr>
          <w:ilvl w:val="0"/>
          <w:numId w:val="3"/>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69" w:name="_Toc10506"/>
      <w:bookmarkStart w:id="70" w:name="_Toc3565"/>
      <w:bookmarkStart w:id="71" w:name="_Toc32547"/>
      <w:bookmarkStart w:id="72" w:name="_Toc16722"/>
      <w:bookmarkStart w:id="73" w:name="_Toc25743"/>
      <w:bookmarkStart w:id="74" w:name="_Toc21101"/>
      <w:r>
        <w:rPr>
          <w:rFonts w:hint="eastAsia" w:asciiTheme="minorEastAsia" w:hAnsiTheme="minorEastAsia" w:eastAsiaTheme="minorEastAsia" w:cstheme="minorEastAsia"/>
          <w:b/>
          <w:bCs/>
          <w:kern w:val="0"/>
          <w:sz w:val="32"/>
          <w:szCs w:val="32"/>
          <w:highlight w:val="none"/>
        </w:rPr>
        <w:t>投标文件的递交</w:t>
      </w:r>
      <w:bookmarkEnd w:id="69"/>
      <w:bookmarkEnd w:id="70"/>
      <w:bookmarkEnd w:id="71"/>
      <w:bookmarkEnd w:id="72"/>
      <w:bookmarkEnd w:id="73"/>
      <w:bookmarkEnd w:id="74"/>
    </w:p>
    <w:bookmarkEnd w:id="68"/>
    <w:p>
      <w:pPr>
        <w:pStyle w:val="5"/>
        <w:keepNext w:val="0"/>
        <w:keepLines w:val="0"/>
        <w:numPr>
          <w:ilvl w:val="0"/>
          <w:numId w:val="14"/>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75" w:name="_Toc3685"/>
      <w:r>
        <w:rPr>
          <w:rFonts w:hint="eastAsia" w:asciiTheme="minorEastAsia" w:hAnsiTheme="minorEastAsia" w:eastAsiaTheme="minorEastAsia" w:cstheme="minorEastAsia"/>
          <w:sz w:val="24"/>
          <w:szCs w:val="24"/>
          <w:highlight w:val="none"/>
        </w:rPr>
        <w:t>投标文件递交</w:t>
      </w:r>
      <w:bookmarkEnd w:id="75"/>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bookmarkStart w:id="76" w:name="_Toc12741"/>
      <w:r>
        <w:rPr>
          <w:rFonts w:hint="eastAsia" w:asciiTheme="minorEastAsia" w:hAnsiTheme="minorEastAsia" w:eastAsiaTheme="minorEastAsia" w:cstheme="minorEastAsia"/>
          <w:sz w:val="24"/>
          <w:szCs w:val="24"/>
          <w:highlight w:val="none"/>
        </w:rPr>
        <w:t xml:space="preserve"> 1.1供应商应当在招标文件要求提交投标文件的截止时间前，将投标文件密封送达投标地点。采购代理机构收到投标文件后，应当如实记载投标文件的送达时间和密封情况，签收保存，并向供应商出具签收回执。任何单位和个人不得在开标前开启投标文件。代理机构项目承办人在招标文件规定的投标文件递交截止时间前，只负责投标文件的接收、清点、造册登记工作，并请供应商代表签字确认，对其有效性不负任何责任。</w:t>
      </w:r>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1.2逾期送达或者未按照招标文件要求密封的投标文件，采购代理机构应当拒收。</w:t>
      </w:r>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1.3代理机构不接受邮寄的投标文件。</w:t>
      </w:r>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 无论供应商中标与否，其投标文件恕不退还。</w:t>
      </w:r>
    </w:p>
    <w:p>
      <w:pPr>
        <w:pStyle w:val="5"/>
        <w:keepNext w:val="0"/>
        <w:keepLines w:val="0"/>
        <w:numPr>
          <w:ilvl w:val="0"/>
          <w:numId w:val="14"/>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投标文件的修改和撤回</w:t>
      </w:r>
      <w:bookmarkEnd w:id="76"/>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2.1投标</w:t>
      </w:r>
      <w:r>
        <w:rPr>
          <w:rFonts w:hint="eastAsia" w:ascii="宋体" w:hAnsi="宋体"/>
          <w:sz w:val="24"/>
          <w:highlight w:val="none"/>
        </w:rPr>
        <w:t>文件递交后，如果</w:t>
      </w:r>
      <w:r>
        <w:rPr>
          <w:rFonts w:hint="eastAsia" w:ascii="宋体" w:hAnsi="宋体" w:cs="宋体"/>
          <w:sz w:val="24"/>
          <w:szCs w:val="24"/>
          <w:highlight w:val="none"/>
          <w:lang w:val="en-US" w:eastAsia="zh-CN"/>
        </w:rPr>
        <w:t>供应商</w:t>
      </w:r>
      <w:r>
        <w:rPr>
          <w:rFonts w:hint="eastAsia" w:ascii="宋体" w:hAnsi="宋体"/>
          <w:sz w:val="24"/>
          <w:highlight w:val="none"/>
        </w:rPr>
        <w:t>提出书面修改、补充和撤回</w:t>
      </w:r>
      <w:r>
        <w:rPr>
          <w:rFonts w:hint="eastAsia" w:ascii="宋体" w:hAnsi="宋体"/>
          <w:sz w:val="24"/>
          <w:highlight w:val="none"/>
          <w:lang w:val="en-US" w:eastAsia="zh-CN"/>
        </w:rPr>
        <w:t>投标</w:t>
      </w:r>
      <w:r>
        <w:rPr>
          <w:rFonts w:hint="eastAsia" w:ascii="宋体" w:hAnsi="宋体"/>
          <w:sz w:val="24"/>
          <w:highlight w:val="none"/>
        </w:rPr>
        <w:t>文件要求，在投标截止时间前以书面形式送达采购代理机构；</w:t>
      </w:r>
    </w:p>
    <w:p>
      <w:pPr>
        <w:spacing w:line="500" w:lineRule="exact"/>
        <w:ind w:firstLine="480" w:firstLineChars="200"/>
        <w:jc w:val="left"/>
        <w:rPr>
          <w:rFonts w:hint="eastAsia" w:ascii="宋体" w:hAnsi="宋体"/>
          <w:sz w:val="24"/>
          <w:highlight w:val="none"/>
        </w:rPr>
      </w:pPr>
      <w:r>
        <w:rPr>
          <w:rFonts w:hint="eastAsia" w:ascii="宋体" w:hAnsi="宋体"/>
          <w:sz w:val="24"/>
          <w:highlight w:val="none"/>
          <w:lang w:val="en-US" w:eastAsia="zh-CN"/>
        </w:rPr>
        <w:t>2.2供应商</w:t>
      </w:r>
      <w:r>
        <w:rPr>
          <w:rFonts w:hint="eastAsia" w:ascii="宋体" w:hAnsi="宋体"/>
          <w:sz w:val="24"/>
          <w:highlight w:val="none"/>
        </w:rPr>
        <w:t>修改</w:t>
      </w:r>
      <w:r>
        <w:rPr>
          <w:rFonts w:hint="eastAsia" w:ascii="宋体" w:hAnsi="宋体"/>
          <w:sz w:val="24"/>
          <w:highlight w:val="none"/>
          <w:lang w:val="en-US" w:eastAsia="zh-CN"/>
        </w:rPr>
        <w:t>投标</w:t>
      </w:r>
      <w:r>
        <w:rPr>
          <w:rFonts w:hint="eastAsia" w:ascii="宋体" w:hAnsi="宋体"/>
          <w:sz w:val="24"/>
          <w:highlight w:val="none"/>
        </w:rPr>
        <w:t>文件的书面材料，须密封送达采购代理机构，修改或补充的内容应按</w:t>
      </w:r>
      <w:r>
        <w:rPr>
          <w:rFonts w:hint="eastAsia" w:ascii="宋体" w:hAnsi="宋体"/>
          <w:sz w:val="24"/>
          <w:highlight w:val="none"/>
          <w:lang w:val="en-US" w:eastAsia="zh-CN"/>
        </w:rPr>
        <w:t>招标</w:t>
      </w:r>
      <w:r>
        <w:rPr>
          <w:rFonts w:hint="eastAsia" w:ascii="宋体" w:hAnsi="宋体"/>
          <w:sz w:val="24"/>
          <w:highlight w:val="none"/>
        </w:rPr>
        <w:t>文件要求签署、盖章、密封、</w:t>
      </w:r>
      <w:r>
        <w:rPr>
          <w:rFonts w:hint="eastAsia" w:ascii="宋体" w:hAnsi="宋体"/>
          <w:sz w:val="24"/>
          <w:highlight w:val="none"/>
          <w:lang w:eastAsia="zh-CN"/>
        </w:rPr>
        <w:t>标记，</w:t>
      </w:r>
      <w:r>
        <w:rPr>
          <w:rFonts w:hint="eastAsia" w:asciiTheme="minorEastAsia" w:hAnsiTheme="minorEastAsia" w:cstheme="minorEastAsia"/>
          <w:sz w:val="24"/>
          <w:szCs w:val="24"/>
          <w:highlight w:val="none"/>
        </w:rPr>
        <w:t>同时应在封套上标明“修改投标文件(并注明项目编号)”和“开标时启封”字样</w:t>
      </w:r>
      <w:r>
        <w:rPr>
          <w:rFonts w:hint="eastAsia" w:ascii="宋体" w:hAnsi="宋体"/>
          <w:sz w:val="24"/>
          <w:highlight w:val="none"/>
        </w:rPr>
        <w:t>，并作为</w:t>
      </w:r>
      <w:r>
        <w:rPr>
          <w:rFonts w:hint="eastAsia" w:ascii="宋体" w:hAnsi="宋体"/>
          <w:sz w:val="24"/>
          <w:highlight w:val="none"/>
          <w:lang w:val="en-US" w:eastAsia="zh-CN"/>
        </w:rPr>
        <w:t>投标</w:t>
      </w:r>
      <w:r>
        <w:rPr>
          <w:rFonts w:hint="eastAsia" w:ascii="宋体" w:hAnsi="宋体"/>
          <w:sz w:val="24"/>
          <w:highlight w:val="none"/>
        </w:rPr>
        <w:t>文件的组成部分；</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2.3</w:t>
      </w:r>
      <w:r>
        <w:rPr>
          <w:rFonts w:hint="eastAsia" w:ascii="宋体" w:hAnsi="宋体"/>
          <w:sz w:val="24"/>
          <w:highlight w:val="none"/>
        </w:rPr>
        <w:t>撤回</w:t>
      </w:r>
      <w:r>
        <w:rPr>
          <w:rFonts w:hint="eastAsia" w:ascii="宋体" w:hAnsi="宋体"/>
          <w:sz w:val="24"/>
          <w:highlight w:val="none"/>
          <w:lang w:val="en-US" w:eastAsia="zh-CN"/>
        </w:rPr>
        <w:t>投标</w:t>
      </w:r>
      <w:r>
        <w:rPr>
          <w:rFonts w:hint="eastAsia" w:ascii="宋体" w:hAnsi="宋体"/>
          <w:sz w:val="24"/>
          <w:highlight w:val="none"/>
        </w:rPr>
        <w:t>文件应以书面的形式通知采购代理机构。采取书面形式撤回</w:t>
      </w:r>
      <w:r>
        <w:rPr>
          <w:rFonts w:hint="eastAsia" w:ascii="宋体" w:hAnsi="宋体"/>
          <w:sz w:val="24"/>
          <w:highlight w:val="none"/>
          <w:lang w:val="en-US" w:eastAsia="zh-CN"/>
        </w:rPr>
        <w:t>投标</w:t>
      </w:r>
      <w:r>
        <w:rPr>
          <w:rFonts w:hint="eastAsia" w:ascii="宋体" w:hAnsi="宋体"/>
          <w:sz w:val="24"/>
          <w:highlight w:val="none"/>
        </w:rPr>
        <w:t>文件，随后必须补充有法定代表人或被授权人签署的要求撤回</w:t>
      </w:r>
      <w:r>
        <w:rPr>
          <w:rFonts w:hint="eastAsia" w:ascii="宋体" w:hAnsi="宋体"/>
          <w:sz w:val="24"/>
          <w:highlight w:val="none"/>
          <w:lang w:val="en-US" w:eastAsia="zh-CN"/>
        </w:rPr>
        <w:t>投标</w:t>
      </w:r>
      <w:r>
        <w:rPr>
          <w:rFonts w:hint="eastAsia" w:ascii="宋体" w:hAnsi="宋体"/>
          <w:sz w:val="24"/>
          <w:highlight w:val="none"/>
        </w:rPr>
        <w:t>文件的正式文件；撤回</w:t>
      </w:r>
      <w:r>
        <w:rPr>
          <w:rFonts w:hint="eastAsia" w:ascii="宋体" w:hAnsi="宋体"/>
          <w:sz w:val="24"/>
          <w:highlight w:val="none"/>
          <w:lang w:val="en-US" w:eastAsia="zh-CN"/>
        </w:rPr>
        <w:t>投标</w:t>
      </w:r>
      <w:r>
        <w:rPr>
          <w:rFonts w:hint="eastAsia" w:ascii="宋体" w:hAnsi="宋体"/>
          <w:sz w:val="24"/>
          <w:highlight w:val="none"/>
        </w:rPr>
        <w:t>文件的时间以送达采购代理机构到达日期为准；</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2.4</w:t>
      </w:r>
      <w:r>
        <w:rPr>
          <w:rFonts w:hint="eastAsia" w:ascii="宋体" w:hAnsi="宋体"/>
          <w:sz w:val="24"/>
          <w:highlight w:val="none"/>
        </w:rPr>
        <w:t>在投标截止时间后到</w:t>
      </w:r>
      <w:r>
        <w:rPr>
          <w:rFonts w:hint="eastAsia" w:ascii="宋体" w:hAnsi="宋体"/>
          <w:sz w:val="24"/>
          <w:highlight w:val="none"/>
          <w:lang w:val="en-US" w:eastAsia="zh-CN"/>
        </w:rPr>
        <w:t>招标</w:t>
      </w:r>
      <w:r>
        <w:rPr>
          <w:rFonts w:hint="eastAsia" w:ascii="宋体" w:hAnsi="宋体"/>
          <w:sz w:val="24"/>
          <w:highlight w:val="none"/>
        </w:rPr>
        <w:t>文件规定的投标有效期满之间的这段时间内，</w:t>
      </w:r>
      <w:r>
        <w:rPr>
          <w:rFonts w:hint="eastAsia" w:ascii="宋体" w:hAnsi="宋体"/>
          <w:sz w:val="24"/>
          <w:highlight w:val="none"/>
          <w:lang w:val="en-US" w:eastAsia="zh-CN"/>
        </w:rPr>
        <w:t>供应商</w:t>
      </w:r>
      <w:r>
        <w:rPr>
          <w:rFonts w:hint="eastAsia" w:ascii="宋体" w:hAnsi="宋体"/>
          <w:sz w:val="24"/>
          <w:highlight w:val="none"/>
        </w:rPr>
        <w:t>不得撤回其</w:t>
      </w:r>
      <w:r>
        <w:rPr>
          <w:rFonts w:hint="eastAsia" w:ascii="宋体" w:hAnsi="宋体"/>
          <w:sz w:val="24"/>
          <w:highlight w:val="none"/>
          <w:lang w:val="en-US" w:eastAsia="zh-CN"/>
        </w:rPr>
        <w:t>投标</w:t>
      </w:r>
      <w:r>
        <w:rPr>
          <w:rFonts w:hint="eastAsia" w:ascii="宋体" w:hAnsi="宋体"/>
          <w:sz w:val="24"/>
          <w:highlight w:val="none"/>
        </w:rPr>
        <w:t>文件；</w:t>
      </w:r>
    </w:p>
    <w:p>
      <w:pPr>
        <w:spacing w:line="500" w:lineRule="exact"/>
        <w:ind w:firstLine="480" w:firstLineChars="200"/>
        <w:jc w:val="left"/>
        <w:rPr>
          <w:rFonts w:asciiTheme="minorEastAsia" w:hAnsiTheme="minorEastAsia" w:eastAsiaTheme="minorEastAsia" w:cstheme="minorEastAsia"/>
          <w:sz w:val="24"/>
          <w:szCs w:val="24"/>
          <w:highlight w:val="none"/>
        </w:rPr>
      </w:pPr>
      <w:bookmarkStart w:id="77" w:name="_Toc14734"/>
      <w:r>
        <w:rPr>
          <w:rFonts w:hint="eastAsia" w:ascii="宋体" w:hAnsi="宋体"/>
          <w:sz w:val="24"/>
          <w:highlight w:val="none"/>
          <w:lang w:val="en-US" w:eastAsia="zh-CN"/>
        </w:rPr>
        <w:t>2.5</w:t>
      </w:r>
      <w:r>
        <w:rPr>
          <w:rFonts w:hint="eastAsia" w:ascii="宋体" w:hAnsi="宋体"/>
          <w:sz w:val="24"/>
          <w:highlight w:val="none"/>
        </w:rPr>
        <w:t>在</w:t>
      </w:r>
      <w:r>
        <w:rPr>
          <w:rFonts w:hint="eastAsia" w:ascii="宋体" w:hAnsi="宋体"/>
          <w:sz w:val="24"/>
          <w:highlight w:val="none"/>
          <w:lang w:val="en-US" w:eastAsia="zh-CN"/>
        </w:rPr>
        <w:t>招标</w:t>
      </w:r>
      <w:r>
        <w:rPr>
          <w:rFonts w:hint="eastAsia" w:ascii="宋体" w:hAnsi="宋体"/>
          <w:sz w:val="24"/>
          <w:highlight w:val="none"/>
        </w:rPr>
        <w:t>截止时间之后，</w:t>
      </w:r>
      <w:r>
        <w:rPr>
          <w:rFonts w:hint="eastAsia" w:ascii="宋体" w:hAnsi="宋体"/>
          <w:sz w:val="24"/>
          <w:highlight w:val="none"/>
          <w:lang w:val="en-US" w:eastAsia="zh-CN"/>
        </w:rPr>
        <w:t>供应商</w:t>
      </w:r>
      <w:r>
        <w:rPr>
          <w:rFonts w:hint="eastAsia" w:ascii="宋体" w:hAnsi="宋体"/>
          <w:sz w:val="24"/>
          <w:highlight w:val="none"/>
        </w:rPr>
        <w:t>不得对其递交的</w:t>
      </w:r>
      <w:r>
        <w:rPr>
          <w:rFonts w:hint="eastAsia" w:ascii="宋体" w:hAnsi="宋体"/>
          <w:sz w:val="24"/>
          <w:highlight w:val="none"/>
          <w:lang w:val="en-US" w:eastAsia="zh-CN"/>
        </w:rPr>
        <w:t>投标</w:t>
      </w:r>
      <w:r>
        <w:rPr>
          <w:rFonts w:hint="eastAsia" w:ascii="宋体" w:hAnsi="宋体"/>
          <w:sz w:val="24"/>
          <w:highlight w:val="none"/>
        </w:rPr>
        <w:t>文件做任何修改或撤回。</w:t>
      </w:r>
      <w:bookmarkEnd w:id="77"/>
    </w:p>
    <w:p>
      <w:pPr>
        <w:widowControl/>
        <w:numPr>
          <w:ilvl w:val="0"/>
          <w:numId w:val="3"/>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78" w:name="_Toc27066"/>
      <w:bookmarkStart w:id="79" w:name="_Toc14415"/>
      <w:bookmarkStart w:id="80" w:name="_Toc25178"/>
      <w:bookmarkStart w:id="81" w:name="_Toc23034"/>
      <w:bookmarkStart w:id="82" w:name="_Toc15135"/>
      <w:bookmarkStart w:id="83" w:name="_Toc30172"/>
      <w:bookmarkStart w:id="84" w:name="_Toc21551"/>
      <w:r>
        <w:rPr>
          <w:rFonts w:hint="eastAsia" w:asciiTheme="minorEastAsia" w:hAnsiTheme="minorEastAsia" w:eastAsiaTheme="minorEastAsia" w:cstheme="minorEastAsia"/>
          <w:b/>
          <w:bCs/>
          <w:kern w:val="0"/>
          <w:sz w:val="32"/>
          <w:szCs w:val="32"/>
          <w:highlight w:val="none"/>
        </w:rPr>
        <w:t>开标、评审、定标</w:t>
      </w:r>
      <w:bookmarkEnd w:id="78"/>
      <w:bookmarkEnd w:id="79"/>
      <w:bookmarkEnd w:id="80"/>
      <w:bookmarkEnd w:id="81"/>
      <w:bookmarkEnd w:id="82"/>
      <w:bookmarkEnd w:id="83"/>
      <w:bookmarkEnd w:id="84"/>
    </w:p>
    <w:p>
      <w:pPr>
        <w:pStyle w:val="5"/>
        <w:keepNext w:val="0"/>
        <w:keepLines w:val="0"/>
        <w:numPr>
          <w:ilvl w:val="0"/>
          <w:numId w:val="15"/>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85" w:name="_Toc27216"/>
      <w:r>
        <w:rPr>
          <w:rFonts w:hint="eastAsia" w:asciiTheme="minorEastAsia" w:hAnsiTheme="minorEastAsia" w:eastAsiaTheme="minorEastAsia" w:cstheme="minorEastAsia"/>
          <w:sz w:val="24"/>
          <w:szCs w:val="24"/>
          <w:highlight w:val="none"/>
        </w:rPr>
        <w:t>开标</w:t>
      </w:r>
      <w:bookmarkEnd w:id="85"/>
    </w:p>
    <w:p>
      <w:pPr>
        <w:widowControl/>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采购代理机构按招标公告中规定的时间和地点接收供应商递交的投标文件，主持开标会议，邀请供应商参加。</w:t>
      </w:r>
    </w:p>
    <w:p>
      <w:pPr>
        <w:widowControl/>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 开标时，供应商与监标人共同检查投标文件密封情况并签字确认。确认无误后方可拆封投标文件，以公开唱标的形式将唱标报告的内容公布，公开招标过程中公开代理机构指定专人负责将供应商的名称、投标项目名称、投标价格等进行记录，并存档备案；所有投标唱标完毕，如供应商代表对宣读的“投标报价一览表”上的内容有异议的，应在获得开标会议主持人同意后当场提出。如确实属于唱标人员宣读错误，经现供应商代表核实后，当场予以更正，不属于唱标人员宣读错误的，以单独密封的投标报价一览表为准。</w:t>
      </w:r>
    </w:p>
    <w:p>
      <w:pPr>
        <w:widowControl/>
        <w:tabs>
          <w:tab w:val="left" w:pos="0"/>
        </w:tabs>
        <w:spacing w:line="50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 xml:space="preserve">1.3 </w:t>
      </w:r>
      <w:r>
        <w:rPr>
          <w:rFonts w:asciiTheme="minorEastAsia" w:hAnsiTheme="minorEastAsia" w:cstheme="minorEastAsia"/>
          <w:sz w:val="24"/>
          <w:szCs w:val="24"/>
          <w:highlight w:val="none"/>
        </w:rPr>
        <w:t>代理机构指定专人负责将</w:t>
      </w:r>
      <w:r>
        <w:rPr>
          <w:rFonts w:hint="eastAsia" w:asciiTheme="minorEastAsia" w:hAnsiTheme="minorEastAsia" w:cstheme="minorEastAsia"/>
          <w:sz w:val="24"/>
          <w:szCs w:val="24"/>
          <w:highlight w:val="none"/>
          <w:lang w:eastAsia="zh-CN"/>
        </w:rPr>
        <w:t>供应商</w:t>
      </w:r>
      <w:r>
        <w:rPr>
          <w:rFonts w:asciiTheme="minorEastAsia" w:hAnsiTheme="minorEastAsia" w:cstheme="minorEastAsia"/>
          <w:sz w:val="24"/>
          <w:szCs w:val="24"/>
          <w:highlight w:val="none"/>
        </w:rPr>
        <w:t>的名称、投标项目名称、投标价格等</w:t>
      </w:r>
      <w:r>
        <w:rPr>
          <w:rFonts w:hint="eastAsia" w:asciiTheme="minorEastAsia" w:hAnsiTheme="minorEastAsia" w:cstheme="minorEastAsia"/>
          <w:sz w:val="24"/>
          <w:szCs w:val="24"/>
          <w:highlight w:val="none"/>
        </w:rPr>
        <w:t>开标过程</w:t>
      </w:r>
      <w:r>
        <w:rPr>
          <w:rFonts w:asciiTheme="minorEastAsia" w:hAnsiTheme="minorEastAsia" w:cstheme="minorEastAsia"/>
          <w:sz w:val="24"/>
          <w:szCs w:val="24"/>
          <w:highlight w:val="none"/>
        </w:rPr>
        <w:t>进行记录，</w:t>
      </w:r>
      <w:r>
        <w:rPr>
          <w:rFonts w:hint="eastAsia" w:asciiTheme="minorEastAsia" w:hAnsiTheme="minorEastAsia" w:cstheme="minorEastAsia"/>
          <w:sz w:val="24"/>
          <w:szCs w:val="24"/>
          <w:highlight w:val="none"/>
        </w:rPr>
        <w:t>由参加开标的各</w:t>
      </w:r>
      <w:r>
        <w:rPr>
          <w:rFonts w:hint="eastAsia" w:asciiTheme="minorEastAsia" w:hAnsiTheme="minorEastAsia" w:cstheme="minorEastAsia"/>
          <w:sz w:val="24"/>
          <w:szCs w:val="24"/>
          <w:highlight w:val="none"/>
          <w:lang w:eastAsia="zh-CN"/>
        </w:rPr>
        <w:t>供应商</w:t>
      </w:r>
      <w:r>
        <w:rPr>
          <w:rFonts w:hint="eastAsia" w:asciiTheme="minorEastAsia" w:hAnsiTheme="minorEastAsia" w:cstheme="minorEastAsia"/>
          <w:sz w:val="24"/>
          <w:szCs w:val="24"/>
          <w:highlight w:val="none"/>
        </w:rPr>
        <w:t>代表签字确认，</w:t>
      </w:r>
      <w:r>
        <w:rPr>
          <w:rFonts w:asciiTheme="minorEastAsia" w:hAnsiTheme="minorEastAsia" w:cstheme="minorEastAsia"/>
          <w:sz w:val="24"/>
          <w:szCs w:val="24"/>
          <w:highlight w:val="none"/>
        </w:rPr>
        <w:t>并存档备案</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eastAsia="zh-CN"/>
        </w:rPr>
        <w:t>供应商</w:t>
      </w:r>
      <w:r>
        <w:rPr>
          <w:rFonts w:hint="eastAsia" w:asciiTheme="minorEastAsia" w:hAnsiTheme="minorEastAsia" w:cstheme="minorEastAsia"/>
          <w:sz w:val="24"/>
          <w:szCs w:val="24"/>
          <w:highlight w:val="none"/>
        </w:rPr>
        <w:t>未参加开标或未签字确认的，视同认可开标结果。</w:t>
      </w:r>
    </w:p>
    <w:p>
      <w:pPr>
        <w:widowControl/>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1.4 </w:t>
      </w:r>
      <w:r>
        <w:rPr>
          <w:rFonts w:hint="eastAsia" w:asciiTheme="minorEastAsia" w:hAnsiTheme="minorEastAsia" w:eastAsiaTheme="minorEastAsia" w:cstheme="minorEastAsia"/>
          <w:sz w:val="24"/>
          <w:szCs w:val="24"/>
          <w:highlight w:val="none"/>
        </w:rPr>
        <w:t>开标时，投标文件中出现下列情况，修正原则为：</w:t>
      </w:r>
    </w:p>
    <w:p>
      <w:pPr>
        <w:numPr>
          <w:ilvl w:val="0"/>
          <w:numId w:val="16"/>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投标文件中投标报价一览表（报价表）内容与投标文件中相应内容不一致的，以投标报价一览表（报价表）为准；</w:t>
      </w:r>
    </w:p>
    <w:p>
      <w:pPr>
        <w:numPr>
          <w:ilvl w:val="0"/>
          <w:numId w:val="16"/>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大写金额和小写金额不一致的，以大写金额为准；</w:t>
      </w:r>
    </w:p>
    <w:p>
      <w:pPr>
        <w:numPr>
          <w:ilvl w:val="0"/>
          <w:numId w:val="16"/>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单价金额小数点或者百分比有明显错位的，以投标报价一览表的总价为准，并修改单价；</w:t>
      </w:r>
    </w:p>
    <w:p>
      <w:pPr>
        <w:numPr>
          <w:ilvl w:val="0"/>
          <w:numId w:val="16"/>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总价金额与按单价汇总金额不一致的，以单价金额计算结果为准； </w:t>
      </w:r>
    </w:p>
    <w:p>
      <w:pPr>
        <w:numPr>
          <w:ilvl w:val="0"/>
          <w:numId w:val="16"/>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投标文件正本与副本不一致的，以正本为准；</w:t>
      </w:r>
    </w:p>
    <w:p>
      <w:pPr>
        <w:numPr>
          <w:ilvl w:val="0"/>
          <w:numId w:val="16"/>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rPr>
        <w:t>报价金额精确到小数点后两位，不进行四舍五入；</w:t>
      </w:r>
    </w:p>
    <w:p>
      <w:pPr>
        <w:numPr>
          <w:ilvl w:val="0"/>
          <w:numId w:val="16"/>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投标文件单独密封递交的投标报价一览表与正本不一致的，以单独密封递交的投标报价一览表为准；</w:t>
      </w:r>
    </w:p>
    <w:p>
      <w:pPr>
        <w:spacing w:line="500" w:lineRule="exact"/>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同时出现两种以上不一致的，按照前款规定的顺序修正。修正后的报价按照《政府采购货物和服务招标投标管理办法》第五十一条第二款的规定经供应商确认后产生约束力，供应商不确认的，其投标无效。</w:t>
      </w:r>
    </w:p>
    <w:p>
      <w:pPr>
        <w:pStyle w:val="11"/>
        <w:rPr>
          <w:rFonts w:hint="eastAsia" w:asciiTheme="minorEastAsia" w:hAnsiTheme="minorEastAsia" w:eastAsiaTheme="minorEastAsia" w:cstheme="minorEastAsia"/>
          <w:kern w:val="0"/>
          <w:sz w:val="24"/>
          <w:szCs w:val="24"/>
          <w:highlight w:val="none"/>
        </w:rPr>
      </w:pPr>
    </w:p>
    <w:p>
      <w:pPr>
        <w:spacing w:line="500" w:lineRule="exact"/>
        <w:ind w:firstLine="480" w:firstLineChars="200"/>
        <w:jc w:val="left"/>
        <w:rPr>
          <w:highlight w:val="none"/>
        </w:rPr>
      </w:pPr>
      <w:r>
        <w:rPr>
          <w:rFonts w:hint="eastAsia" w:asciiTheme="minorEastAsia" w:hAnsiTheme="minorEastAsia" w:cstheme="minorEastAsia"/>
          <w:kern w:val="0"/>
          <w:sz w:val="24"/>
          <w:szCs w:val="24"/>
          <w:highlight w:val="none"/>
        </w:rPr>
        <w:t>1.5</w:t>
      </w:r>
      <w:r>
        <w:rPr>
          <w:rFonts w:hint="eastAsia" w:asciiTheme="minorEastAsia" w:hAnsiTheme="minorEastAsia" w:cstheme="minorEastAsia"/>
          <w:kern w:val="0"/>
          <w:sz w:val="24"/>
          <w:szCs w:val="24"/>
          <w:highlight w:val="none"/>
          <w:lang w:eastAsia="zh-CN"/>
        </w:rPr>
        <w:t>供应商</w:t>
      </w:r>
      <w:r>
        <w:rPr>
          <w:rFonts w:hint="eastAsia" w:asciiTheme="minorEastAsia" w:hAnsiTheme="minorEastAsia" w:cstheme="minorEastAsia"/>
          <w:kern w:val="0"/>
          <w:sz w:val="24"/>
          <w:szCs w:val="24"/>
          <w:highlight w:val="none"/>
        </w:rPr>
        <w:t>代表对开标过程和开标记录有疑义，以及认为采购人、采购代理机构相关工作人员有需要回避的情形的，应当场提出询问或者回避申请。</w:t>
      </w:r>
    </w:p>
    <w:p>
      <w:pPr>
        <w:pStyle w:val="5"/>
        <w:keepNext w:val="0"/>
        <w:keepLines w:val="0"/>
        <w:numPr>
          <w:ilvl w:val="0"/>
          <w:numId w:val="15"/>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86" w:name="_Toc20569"/>
      <w:bookmarkStart w:id="87" w:name="_Toc358364344"/>
      <w:bookmarkStart w:id="88" w:name="_Toc801"/>
      <w:bookmarkStart w:id="89" w:name="_Toc380336750"/>
      <w:r>
        <w:rPr>
          <w:rFonts w:hint="eastAsia" w:asciiTheme="minorEastAsia" w:hAnsiTheme="minorEastAsia" w:eastAsiaTheme="minorEastAsia" w:cstheme="minorEastAsia"/>
          <w:sz w:val="24"/>
          <w:szCs w:val="24"/>
          <w:highlight w:val="none"/>
        </w:rPr>
        <w:t>评标委员会</w:t>
      </w:r>
      <w:bookmarkEnd w:id="86"/>
      <w:bookmarkEnd w:id="87"/>
      <w:bookmarkEnd w:id="88"/>
      <w:bookmarkEnd w:id="89"/>
    </w:p>
    <w:p>
      <w:pPr>
        <w:widowControl/>
        <w:spacing w:line="460" w:lineRule="exact"/>
        <w:ind w:firstLine="420" w:firstLineChars="175"/>
        <w:jc w:val="left"/>
        <w:rPr>
          <w:rFonts w:asciiTheme="minorEastAsia" w:hAnsiTheme="minorEastAsia" w:eastAsiaTheme="minorEastAsia" w:cstheme="minorEastAsia"/>
          <w:sz w:val="24"/>
          <w:szCs w:val="24"/>
          <w:highlight w:val="none"/>
        </w:rPr>
      </w:pPr>
      <w:bookmarkStart w:id="90" w:name="_Toc28085"/>
      <w:bookmarkStart w:id="91" w:name="_Toc27940"/>
      <w:bookmarkStart w:id="92" w:name="_Toc385958808"/>
      <w:bookmarkStart w:id="93" w:name="_Toc386129876"/>
      <w:r>
        <w:rPr>
          <w:rFonts w:hint="eastAsia" w:asciiTheme="minorEastAsia" w:hAnsiTheme="minorEastAsia" w:eastAsiaTheme="minorEastAsia" w:cstheme="minorEastAsia"/>
          <w:kern w:val="0"/>
          <w:sz w:val="24"/>
          <w:szCs w:val="24"/>
          <w:highlight w:val="none"/>
        </w:rPr>
        <w:t>2.1</w:t>
      </w:r>
      <w:r>
        <w:rPr>
          <w:rFonts w:hint="eastAsia" w:asciiTheme="minorEastAsia" w:hAnsiTheme="minorEastAsia" w:eastAsiaTheme="minorEastAsia" w:cstheme="minorEastAsia"/>
          <w:sz w:val="24"/>
          <w:szCs w:val="24"/>
          <w:highlight w:val="none"/>
        </w:rPr>
        <w:t>为确保评标工作公开、公平、公正，依法成立评标委员会。 评标委员会由采购人代表和评审专家组成，成员人数应当为5人以上单数，其中评审专家不得少于成员总数的三分之二。评标委员会成员应当遵守并履行下列责任和义务：</w:t>
      </w:r>
    </w:p>
    <w:p>
      <w:pPr>
        <w:spacing w:line="500" w:lineRule="exact"/>
        <w:ind w:firstLine="720" w:firstLineChars="300"/>
        <w:jc w:val="left"/>
        <w:rPr>
          <w:rFonts w:ascii="宋体" w:hAnsi="宋体" w:cs="宋体"/>
          <w:sz w:val="24"/>
          <w:szCs w:val="24"/>
          <w:highlight w:val="none"/>
        </w:rPr>
      </w:pPr>
      <w:r>
        <w:rPr>
          <w:rFonts w:hint="eastAsia" w:asciiTheme="minorEastAsia" w:hAnsiTheme="minorEastAsia" w:cstheme="minorEastAsia"/>
          <w:kern w:val="0"/>
          <w:sz w:val="24"/>
          <w:szCs w:val="24"/>
          <w:highlight w:val="none"/>
        </w:rPr>
        <w:t>2.1.1遵纪守</w:t>
      </w:r>
      <w:r>
        <w:rPr>
          <w:rFonts w:hint="eastAsia" w:ascii="宋体" w:hAnsi="宋体" w:cs="宋体"/>
          <w:sz w:val="24"/>
          <w:szCs w:val="24"/>
          <w:highlight w:val="none"/>
        </w:rPr>
        <w:t>法，客</w:t>
      </w:r>
      <w:r>
        <w:rPr>
          <w:rFonts w:ascii="宋体" w:hAnsi="宋体" w:cs="宋体"/>
          <w:sz w:val="24"/>
          <w:szCs w:val="24"/>
          <w:highlight w:val="none"/>
        </w:rPr>
        <w:t>观</w:t>
      </w:r>
      <w:r>
        <w:rPr>
          <w:rFonts w:hint="eastAsia" w:ascii="宋体" w:hAnsi="宋体" w:cs="宋体"/>
          <w:sz w:val="24"/>
          <w:szCs w:val="24"/>
          <w:highlight w:val="none"/>
        </w:rPr>
        <w:t>、公正、</w:t>
      </w:r>
      <w:r>
        <w:rPr>
          <w:rFonts w:ascii="宋体" w:hAnsi="宋体" w:cs="宋体"/>
          <w:sz w:val="24"/>
          <w:szCs w:val="24"/>
          <w:highlight w:val="none"/>
        </w:rPr>
        <w:t>认</w:t>
      </w:r>
      <w:r>
        <w:rPr>
          <w:rFonts w:hint="eastAsia" w:ascii="宋体" w:hAnsi="宋体" w:cs="宋体"/>
          <w:sz w:val="24"/>
          <w:szCs w:val="24"/>
          <w:highlight w:val="none"/>
        </w:rPr>
        <w:t>真</w:t>
      </w:r>
      <w:r>
        <w:rPr>
          <w:rFonts w:ascii="宋体" w:hAnsi="宋体" w:cs="宋体"/>
          <w:sz w:val="24"/>
          <w:szCs w:val="24"/>
          <w:highlight w:val="none"/>
        </w:rPr>
        <w:t>负责</w:t>
      </w:r>
      <w:r>
        <w:rPr>
          <w:rFonts w:hint="eastAsia" w:ascii="宋体" w:hAnsi="宋体" w:cs="宋体"/>
          <w:sz w:val="24"/>
          <w:szCs w:val="24"/>
          <w:highlight w:val="none"/>
        </w:rPr>
        <w:t>地履行</w:t>
      </w:r>
      <w:r>
        <w:rPr>
          <w:rFonts w:ascii="宋体" w:hAnsi="宋体" w:cs="宋体"/>
          <w:sz w:val="24"/>
          <w:szCs w:val="24"/>
          <w:highlight w:val="none"/>
        </w:rPr>
        <w:t>职责，审</w:t>
      </w:r>
      <w:r>
        <w:rPr>
          <w:rFonts w:hint="eastAsia" w:ascii="宋体" w:hAnsi="宋体" w:cs="宋体"/>
          <w:sz w:val="24"/>
          <w:szCs w:val="24"/>
          <w:highlight w:val="none"/>
        </w:rPr>
        <w:t>查投</w:t>
      </w:r>
      <w:r>
        <w:rPr>
          <w:rFonts w:ascii="宋体" w:hAnsi="宋体" w:cs="宋体"/>
          <w:sz w:val="24"/>
          <w:szCs w:val="24"/>
          <w:highlight w:val="none"/>
        </w:rPr>
        <w:t>标</w:t>
      </w:r>
      <w:r>
        <w:rPr>
          <w:rFonts w:hint="eastAsia" w:ascii="宋体" w:hAnsi="宋体" w:cs="宋体"/>
          <w:sz w:val="24"/>
          <w:szCs w:val="24"/>
          <w:highlight w:val="none"/>
        </w:rPr>
        <w:t>文件是否符合</w:t>
      </w:r>
      <w:r>
        <w:rPr>
          <w:rFonts w:ascii="宋体" w:hAnsi="宋体" w:cs="宋体"/>
          <w:sz w:val="24"/>
          <w:szCs w:val="24"/>
          <w:highlight w:val="none"/>
        </w:rPr>
        <w:t>招标</w:t>
      </w:r>
      <w:r>
        <w:rPr>
          <w:rFonts w:hint="eastAsia" w:ascii="宋体" w:hAnsi="宋体" w:cs="宋体"/>
          <w:sz w:val="24"/>
          <w:szCs w:val="24"/>
          <w:highlight w:val="none"/>
        </w:rPr>
        <w:t>文件的要求，并做出</w:t>
      </w:r>
      <w:r>
        <w:rPr>
          <w:rFonts w:ascii="宋体" w:hAnsi="宋体" w:cs="宋体"/>
          <w:sz w:val="24"/>
          <w:szCs w:val="24"/>
          <w:highlight w:val="none"/>
        </w:rPr>
        <w:t>评</w:t>
      </w:r>
      <w:r>
        <w:rPr>
          <w:rFonts w:hint="eastAsia" w:ascii="宋体" w:hAnsi="宋体" w:cs="宋体"/>
          <w:sz w:val="24"/>
          <w:szCs w:val="24"/>
          <w:highlight w:val="none"/>
        </w:rPr>
        <w:t>价；</w:t>
      </w:r>
    </w:p>
    <w:p>
      <w:pPr>
        <w:spacing w:line="360" w:lineRule="auto"/>
        <w:ind w:left="420" w:firstLine="240" w:firstLineChars="100"/>
        <w:jc w:val="left"/>
        <w:rPr>
          <w:rFonts w:ascii="宋体" w:hAnsi="宋体" w:cs="宋体"/>
          <w:sz w:val="24"/>
          <w:szCs w:val="24"/>
          <w:highlight w:val="none"/>
        </w:rPr>
      </w:pPr>
      <w:r>
        <w:rPr>
          <w:rFonts w:hint="eastAsia" w:ascii="宋体" w:hAnsi="宋体" w:cs="宋体"/>
          <w:sz w:val="24"/>
          <w:szCs w:val="24"/>
          <w:highlight w:val="none"/>
        </w:rPr>
        <w:t>2.1.2审查、评价投标文件是否符合招标文件的商务、技术等实质性要求；</w:t>
      </w:r>
    </w:p>
    <w:p>
      <w:pPr>
        <w:spacing w:line="360" w:lineRule="auto"/>
        <w:ind w:left="420" w:firstLine="240" w:firstLineChars="100"/>
        <w:jc w:val="left"/>
        <w:rPr>
          <w:rFonts w:ascii="宋体" w:hAnsi="宋体" w:cs="宋体"/>
          <w:sz w:val="24"/>
          <w:szCs w:val="24"/>
          <w:highlight w:val="none"/>
        </w:rPr>
      </w:pPr>
      <w:r>
        <w:rPr>
          <w:rFonts w:hint="eastAsia" w:ascii="宋体" w:hAnsi="宋体" w:cs="宋体"/>
          <w:sz w:val="24"/>
          <w:szCs w:val="24"/>
          <w:highlight w:val="none"/>
        </w:rPr>
        <w:t>2.1.3要求</w:t>
      </w:r>
      <w:r>
        <w:rPr>
          <w:rFonts w:hint="eastAsia" w:ascii="宋体" w:hAnsi="宋体" w:cs="宋体"/>
          <w:sz w:val="24"/>
          <w:szCs w:val="24"/>
          <w:highlight w:val="none"/>
          <w:lang w:eastAsia="zh-CN"/>
        </w:rPr>
        <w:t>供应商</w:t>
      </w:r>
      <w:r>
        <w:rPr>
          <w:rFonts w:ascii="宋体" w:hAnsi="宋体" w:cs="宋体"/>
          <w:sz w:val="24"/>
          <w:szCs w:val="24"/>
          <w:highlight w:val="none"/>
        </w:rPr>
        <w:t>对</w:t>
      </w:r>
      <w:r>
        <w:rPr>
          <w:rFonts w:hint="eastAsia" w:ascii="宋体" w:hAnsi="宋体" w:cs="宋体"/>
          <w:sz w:val="24"/>
          <w:szCs w:val="24"/>
          <w:highlight w:val="none"/>
        </w:rPr>
        <w:t>投</w:t>
      </w:r>
      <w:r>
        <w:rPr>
          <w:rFonts w:ascii="宋体" w:hAnsi="宋体" w:cs="宋体"/>
          <w:sz w:val="24"/>
          <w:szCs w:val="24"/>
          <w:highlight w:val="none"/>
        </w:rPr>
        <w:t>标</w:t>
      </w:r>
      <w:r>
        <w:rPr>
          <w:rFonts w:hint="eastAsia" w:ascii="宋体" w:hAnsi="宋体" w:cs="宋体"/>
          <w:sz w:val="24"/>
          <w:szCs w:val="24"/>
          <w:highlight w:val="none"/>
        </w:rPr>
        <w:t>文件有</w:t>
      </w:r>
      <w:r>
        <w:rPr>
          <w:rFonts w:ascii="宋体" w:hAnsi="宋体" w:cs="宋体"/>
          <w:sz w:val="24"/>
          <w:szCs w:val="24"/>
          <w:highlight w:val="none"/>
        </w:rPr>
        <w:t>关</w:t>
      </w:r>
      <w:r>
        <w:rPr>
          <w:rFonts w:hint="eastAsia" w:ascii="宋体" w:hAnsi="宋体" w:cs="宋体"/>
          <w:sz w:val="24"/>
          <w:szCs w:val="24"/>
          <w:highlight w:val="none"/>
        </w:rPr>
        <w:t>事</w:t>
      </w:r>
      <w:r>
        <w:rPr>
          <w:rFonts w:ascii="宋体" w:hAnsi="宋体" w:cs="宋体"/>
          <w:sz w:val="24"/>
          <w:szCs w:val="24"/>
          <w:highlight w:val="none"/>
        </w:rPr>
        <w:t>项</w:t>
      </w:r>
      <w:r>
        <w:rPr>
          <w:rFonts w:hint="eastAsia" w:ascii="宋体" w:hAnsi="宋体" w:cs="宋体"/>
          <w:sz w:val="24"/>
          <w:szCs w:val="24"/>
          <w:highlight w:val="none"/>
        </w:rPr>
        <w:t>作出</w:t>
      </w:r>
      <w:r>
        <w:rPr>
          <w:rFonts w:ascii="宋体" w:hAnsi="宋体" w:cs="宋体"/>
          <w:sz w:val="24"/>
          <w:szCs w:val="24"/>
          <w:highlight w:val="none"/>
        </w:rPr>
        <w:t>解释</w:t>
      </w:r>
      <w:r>
        <w:rPr>
          <w:rFonts w:hint="eastAsia" w:ascii="宋体" w:hAnsi="宋体" w:cs="宋体"/>
          <w:sz w:val="24"/>
          <w:szCs w:val="24"/>
          <w:highlight w:val="none"/>
        </w:rPr>
        <w:t>或澄清；</w:t>
      </w:r>
    </w:p>
    <w:p>
      <w:pPr>
        <w:spacing w:line="360" w:lineRule="auto"/>
        <w:ind w:firstLine="660" w:firstLineChars="275"/>
        <w:jc w:val="left"/>
        <w:rPr>
          <w:rFonts w:ascii="宋体" w:hAnsi="宋体" w:cs="宋体"/>
          <w:sz w:val="24"/>
          <w:szCs w:val="24"/>
          <w:highlight w:val="none"/>
        </w:rPr>
      </w:pPr>
      <w:r>
        <w:rPr>
          <w:rFonts w:hint="eastAsia" w:ascii="宋体" w:hAnsi="宋体" w:cs="宋体"/>
          <w:sz w:val="24"/>
          <w:szCs w:val="24"/>
          <w:highlight w:val="none"/>
        </w:rPr>
        <w:t>2.1.4对投标文件进行比较和评价，确定中标候选人名单，</w:t>
      </w:r>
      <w:r>
        <w:rPr>
          <w:rFonts w:ascii="宋体" w:hAnsi="宋体" w:cs="宋体"/>
          <w:sz w:val="24"/>
          <w:szCs w:val="24"/>
          <w:highlight w:val="none"/>
        </w:rPr>
        <w:t>对评审</w:t>
      </w:r>
      <w:r>
        <w:rPr>
          <w:rFonts w:hint="eastAsia" w:ascii="宋体" w:hAnsi="宋体" w:cs="宋体"/>
          <w:sz w:val="24"/>
          <w:szCs w:val="24"/>
          <w:highlight w:val="none"/>
        </w:rPr>
        <w:t>意</w:t>
      </w:r>
      <w:r>
        <w:rPr>
          <w:rFonts w:ascii="宋体" w:hAnsi="宋体" w:cs="宋体"/>
          <w:sz w:val="24"/>
          <w:szCs w:val="24"/>
          <w:highlight w:val="none"/>
        </w:rPr>
        <w:t>见</w:t>
      </w:r>
      <w:r>
        <w:rPr>
          <w:rFonts w:hint="eastAsia" w:ascii="宋体" w:hAnsi="宋体" w:cs="宋体"/>
          <w:sz w:val="24"/>
          <w:szCs w:val="24"/>
          <w:highlight w:val="none"/>
        </w:rPr>
        <w:t>承</w:t>
      </w:r>
      <w:r>
        <w:rPr>
          <w:rFonts w:ascii="宋体" w:hAnsi="宋体" w:cs="宋体"/>
          <w:sz w:val="24"/>
          <w:szCs w:val="24"/>
          <w:highlight w:val="none"/>
        </w:rPr>
        <w:t>担个</w:t>
      </w:r>
      <w:r>
        <w:rPr>
          <w:rFonts w:hint="eastAsia" w:ascii="宋体" w:hAnsi="宋体" w:cs="宋体"/>
          <w:sz w:val="24"/>
          <w:szCs w:val="24"/>
          <w:highlight w:val="none"/>
        </w:rPr>
        <w:t>人</w:t>
      </w:r>
      <w:r>
        <w:rPr>
          <w:rFonts w:ascii="宋体" w:hAnsi="宋体" w:cs="宋体"/>
          <w:sz w:val="24"/>
          <w:szCs w:val="24"/>
          <w:highlight w:val="none"/>
        </w:rPr>
        <w:t>责</w:t>
      </w:r>
      <w:r>
        <w:rPr>
          <w:rFonts w:hint="eastAsia" w:ascii="宋体" w:hAnsi="宋体" w:cs="宋体"/>
          <w:sz w:val="24"/>
          <w:szCs w:val="24"/>
          <w:highlight w:val="none"/>
        </w:rPr>
        <w:t>任；</w:t>
      </w:r>
    </w:p>
    <w:p>
      <w:pPr>
        <w:spacing w:line="360" w:lineRule="auto"/>
        <w:ind w:left="420" w:firstLine="240" w:firstLineChars="100"/>
        <w:jc w:val="left"/>
        <w:rPr>
          <w:rFonts w:ascii="宋体" w:hAnsi="宋体" w:cs="宋体"/>
          <w:sz w:val="24"/>
          <w:szCs w:val="24"/>
          <w:highlight w:val="none"/>
        </w:rPr>
      </w:pPr>
      <w:r>
        <w:rPr>
          <w:rFonts w:hint="eastAsia" w:ascii="宋体" w:hAnsi="宋体" w:cs="宋体"/>
          <w:sz w:val="24"/>
          <w:szCs w:val="24"/>
          <w:highlight w:val="none"/>
        </w:rPr>
        <w:t>2.1.5</w:t>
      </w:r>
      <w:r>
        <w:rPr>
          <w:rFonts w:ascii="宋体" w:hAnsi="宋体" w:cs="宋体"/>
          <w:sz w:val="24"/>
          <w:szCs w:val="24"/>
          <w:highlight w:val="none"/>
        </w:rPr>
        <w:t>对评标过</w:t>
      </w:r>
      <w:r>
        <w:rPr>
          <w:rFonts w:hint="eastAsia" w:ascii="宋体" w:hAnsi="宋体" w:cs="宋体"/>
          <w:sz w:val="24"/>
          <w:szCs w:val="24"/>
          <w:highlight w:val="none"/>
        </w:rPr>
        <w:t>程和</w:t>
      </w:r>
      <w:r>
        <w:rPr>
          <w:rFonts w:ascii="宋体" w:hAnsi="宋体" w:cs="宋体"/>
          <w:sz w:val="24"/>
          <w:szCs w:val="24"/>
          <w:highlight w:val="none"/>
        </w:rPr>
        <w:t>结</w:t>
      </w:r>
      <w:r>
        <w:rPr>
          <w:rFonts w:hint="eastAsia" w:ascii="宋体" w:hAnsi="宋体" w:cs="宋体"/>
          <w:sz w:val="24"/>
          <w:szCs w:val="24"/>
          <w:highlight w:val="none"/>
        </w:rPr>
        <w:t>果以及</w:t>
      </w:r>
      <w:r>
        <w:rPr>
          <w:rFonts w:hint="eastAsia" w:ascii="宋体" w:hAnsi="宋体" w:cs="宋体"/>
          <w:sz w:val="24"/>
          <w:szCs w:val="24"/>
          <w:highlight w:val="none"/>
          <w:lang w:eastAsia="zh-CN"/>
        </w:rPr>
        <w:t>供应商</w:t>
      </w:r>
      <w:r>
        <w:rPr>
          <w:rFonts w:hint="eastAsia" w:ascii="宋体" w:hAnsi="宋体" w:cs="宋体"/>
          <w:sz w:val="24"/>
          <w:szCs w:val="24"/>
          <w:highlight w:val="none"/>
        </w:rPr>
        <w:t>的商</w:t>
      </w:r>
      <w:r>
        <w:rPr>
          <w:rFonts w:ascii="宋体" w:hAnsi="宋体" w:cs="宋体"/>
          <w:sz w:val="24"/>
          <w:szCs w:val="24"/>
          <w:highlight w:val="none"/>
        </w:rPr>
        <w:t>业</w:t>
      </w:r>
      <w:r>
        <w:rPr>
          <w:rFonts w:hint="eastAsia" w:ascii="宋体" w:hAnsi="宋体" w:cs="宋体"/>
          <w:sz w:val="24"/>
          <w:szCs w:val="24"/>
          <w:highlight w:val="none"/>
        </w:rPr>
        <w:t>秘密保密；</w:t>
      </w:r>
    </w:p>
    <w:p>
      <w:pPr>
        <w:spacing w:line="360" w:lineRule="auto"/>
        <w:ind w:left="420" w:firstLine="240" w:firstLineChars="100"/>
        <w:jc w:val="left"/>
        <w:rPr>
          <w:rFonts w:ascii="宋体" w:hAnsi="宋体" w:cs="宋体"/>
          <w:sz w:val="24"/>
          <w:szCs w:val="24"/>
          <w:highlight w:val="none"/>
        </w:rPr>
      </w:pPr>
      <w:r>
        <w:rPr>
          <w:rFonts w:hint="eastAsia" w:ascii="宋体" w:hAnsi="宋体" w:cs="宋体"/>
          <w:sz w:val="24"/>
          <w:szCs w:val="24"/>
          <w:highlight w:val="none"/>
        </w:rPr>
        <w:t>2.1.6</w:t>
      </w:r>
      <w:r>
        <w:rPr>
          <w:rFonts w:ascii="宋体" w:hAnsi="宋体" w:cs="宋体"/>
          <w:sz w:val="24"/>
          <w:szCs w:val="24"/>
          <w:highlight w:val="none"/>
        </w:rPr>
        <w:t>参</w:t>
      </w:r>
      <w:r>
        <w:rPr>
          <w:rFonts w:hint="eastAsia" w:ascii="宋体" w:hAnsi="宋体" w:cs="宋体"/>
          <w:sz w:val="24"/>
          <w:szCs w:val="24"/>
          <w:highlight w:val="none"/>
        </w:rPr>
        <w:t>与</w:t>
      </w:r>
      <w:r>
        <w:rPr>
          <w:rFonts w:ascii="宋体" w:hAnsi="宋体" w:cs="宋体"/>
          <w:sz w:val="24"/>
          <w:szCs w:val="24"/>
          <w:highlight w:val="none"/>
        </w:rPr>
        <w:t>评标结</w:t>
      </w:r>
      <w:r>
        <w:rPr>
          <w:rFonts w:hint="eastAsia" w:ascii="宋体" w:hAnsi="宋体" w:cs="宋体"/>
          <w:sz w:val="24"/>
          <w:szCs w:val="24"/>
          <w:highlight w:val="none"/>
        </w:rPr>
        <w:t>果</w:t>
      </w:r>
      <w:r>
        <w:rPr>
          <w:rFonts w:ascii="宋体" w:hAnsi="宋体" w:cs="宋体"/>
          <w:sz w:val="24"/>
          <w:szCs w:val="24"/>
          <w:highlight w:val="none"/>
        </w:rPr>
        <w:t>报</w:t>
      </w:r>
      <w:r>
        <w:rPr>
          <w:rFonts w:hint="eastAsia" w:ascii="宋体" w:hAnsi="宋体" w:cs="宋体"/>
          <w:sz w:val="24"/>
          <w:szCs w:val="24"/>
          <w:highlight w:val="none"/>
        </w:rPr>
        <w:t>告的起草；</w:t>
      </w:r>
    </w:p>
    <w:p>
      <w:pPr>
        <w:spacing w:line="360" w:lineRule="auto"/>
        <w:ind w:firstLine="720" w:firstLineChars="300"/>
        <w:jc w:val="left"/>
        <w:rPr>
          <w:rFonts w:eastAsia="宋体"/>
          <w:highlight w:val="none"/>
        </w:rPr>
      </w:pPr>
      <w:r>
        <w:rPr>
          <w:rFonts w:hint="eastAsia" w:ascii="宋体" w:hAnsi="宋体" w:cs="宋体"/>
          <w:sz w:val="24"/>
          <w:szCs w:val="24"/>
          <w:highlight w:val="none"/>
        </w:rPr>
        <w:t>2.1.7配合采</w:t>
      </w:r>
      <w:r>
        <w:rPr>
          <w:rFonts w:ascii="宋体" w:hAnsi="宋体" w:cs="宋体"/>
          <w:sz w:val="24"/>
          <w:szCs w:val="24"/>
          <w:highlight w:val="none"/>
        </w:rPr>
        <w:t>购</w:t>
      </w:r>
      <w:r>
        <w:rPr>
          <w:rFonts w:hint="eastAsia" w:ascii="宋体" w:hAnsi="宋体" w:cs="宋体"/>
          <w:sz w:val="24"/>
          <w:szCs w:val="24"/>
          <w:highlight w:val="none"/>
        </w:rPr>
        <w:t>人、代理机构答复</w:t>
      </w:r>
      <w:r>
        <w:rPr>
          <w:rFonts w:hint="eastAsia" w:ascii="宋体" w:hAnsi="宋体" w:cs="宋体"/>
          <w:sz w:val="24"/>
          <w:szCs w:val="24"/>
          <w:highlight w:val="none"/>
          <w:lang w:eastAsia="zh-CN"/>
        </w:rPr>
        <w:t>供应商</w:t>
      </w:r>
      <w:r>
        <w:rPr>
          <w:rFonts w:hint="eastAsia" w:ascii="宋体" w:hAnsi="宋体" w:cs="宋体"/>
          <w:sz w:val="24"/>
          <w:szCs w:val="24"/>
          <w:highlight w:val="none"/>
        </w:rPr>
        <w:t>提出的</w:t>
      </w:r>
      <w:r>
        <w:rPr>
          <w:rFonts w:ascii="宋体" w:hAnsi="宋体" w:cs="宋体"/>
          <w:sz w:val="24"/>
          <w:szCs w:val="24"/>
          <w:highlight w:val="none"/>
        </w:rPr>
        <w:t>质</w:t>
      </w:r>
      <w:r>
        <w:rPr>
          <w:rFonts w:hint="eastAsia" w:ascii="宋体" w:hAnsi="宋体" w:cs="宋体"/>
          <w:sz w:val="24"/>
          <w:szCs w:val="24"/>
          <w:highlight w:val="none"/>
        </w:rPr>
        <w:t>疑，配合</w:t>
      </w:r>
      <w:r>
        <w:rPr>
          <w:rFonts w:ascii="宋体" w:hAnsi="宋体" w:cs="宋体"/>
          <w:sz w:val="24"/>
          <w:szCs w:val="24"/>
          <w:highlight w:val="none"/>
        </w:rPr>
        <w:t>财</w:t>
      </w:r>
      <w:r>
        <w:rPr>
          <w:rFonts w:hint="eastAsia" w:ascii="宋体" w:hAnsi="宋体" w:cs="宋体"/>
          <w:sz w:val="24"/>
          <w:szCs w:val="24"/>
          <w:highlight w:val="none"/>
        </w:rPr>
        <w:t>政</w:t>
      </w:r>
      <w:r>
        <w:rPr>
          <w:rFonts w:ascii="宋体" w:hAnsi="宋体" w:cs="宋体"/>
          <w:sz w:val="24"/>
          <w:szCs w:val="24"/>
          <w:highlight w:val="none"/>
        </w:rPr>
        <w:t>部门处</w:t>
      </w:r>
      <w:r>
        <w:rPr>
          <w:rFonts w:hint="eastAsia" w:ascii="宋体" w:hAnsi="宋体" w:cs="宋体"/>
          <w:sz w:val="24"/>
          <w:szCs w:val="24"/>
          <w:highlight w:val="none"/>
        </w:rPr>
        <w:t>理投</w:t>
      </w:r>
      <w:r>
        <w:rPr>
          <w:rFonts w:ascii="宋体" w:hAnsi="宋体" w:cs="宋体"/>
          <w:sz w:val="24"/>
          <w:szCs w:val="24"/>
          <w:highlight w:val="none"/>
        </w:rPr>
        <w:t>诉</w:t>
      </w:r>
      <w:r>
        <w:rPr>
          <w:rFonts w:hint="eastAsia" w:ascii="宋体" w:hAnsi="宋体" w:cs="宋体"/>
          <w:sz w:val="24"/>
          <w:szCs w:val="24"/>
          <w:highlight w:val="none"/>
        </w:rPr>
        <w:t>工作；</w:t>
      </w:r>
    </w:p>
    <w:p>
      <w:pPr>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宋体" w:hAnsi="宋体" w:cs="宋体"/>
          <w:sz w:val="24"/>
          <w:szCs w:val="24"/>
          <w:highlight w:val="none"/>
        </w:rPr>
        <w:t>2.2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5"/>
        <w:numPr>
          <w:ilvl w:val="0"/>
          <w:numId w:val="15"/>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投标文件初审</w:t>
      </w:r>
      <w:bookmarkEnd w:id="90"/>
      <w:bookmarkEnd w:id="91"/>
      <w:bookmarkEnd w:id="92"/>
      <w:bookmarkEnd w:id="93"/>
    </w:p>
    <w:p>
      <w:pPr>
        <w:ind w:firstLine="480" w:firstLineChars="200"/>
        <w:rPr>
          <w:highlight w:val="none"/>
        </w:rPr>
      </w:pPr>
      <w:r>
        <w:rPr>
          <w:rFonts w:hint="eastAsia" w:asciiTheme="minorEastAsia" w:hAnsiTheme="minorEastAsia" w:eastAsiaTheme="minorEastAsia" w:cstheme="minorEastAsia"/>
          <w:kern w:val="0"/>
          <w:sz w:val="24"/>
          <w:szCs w:val="24"/>
          <w:highlight w:val="none"/>
        </w:rPr>
        <w:t>经过对供应商及投标文件审查，出现下列情况者（但不限于），按无效投标处理：</w:t>
      </w:r>
    </w:p>
    <w:p>
      <w:pPr>
        <w:overflowPunct w:val="0"/>
        <w:adjustRightInd w:val="0"/>
        <w:snapToGrid w:val="0"/>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3.1 投标文件的资格性审查</w:t>
      </w:r>
    </w:p>
    <w:p>
      <w:pPr>
        <w:overflowPunct w:val="0"/>
        <w:adjustRightInd w:val="0"/>
        <w:snapToGrid w:val="0"/>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依据法律法规和招标文件的规定，对投标文件中的资格证明文件、投标保证金等进行审查，以确保供应商是否具备相应资格。</w:t>
      </w:r>
    </w:p>
    <w:p>
      <w:pPr>
        <w:overflowPunct w:val="0"/>
        <w:adjustRightInd w:val="0"/>
        <w:snapToGrid w:val="0"/>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3.2 投标文件符合性审查</w:t>
      </w:r>
    </w:p>
    <w:p>
      <w:pPr>
        <w:overflowPunct w:val="0"/>
        <w:adjustRightInd w:val="0"/>
        <w:snapToGrid w:val="0"/>
        <w:spacing w:line="500" w:lineRule="exact"/>
        <w:ind w:firstLine="480" w:firstLineChars="200"/>
        <w:rPr>
          <w:rFonts w:hint="eastAsia"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依据法律法规和招标文件的规定，由评标委员会对符合资格要求的</w:t>
      </w:r>
      <w:r>
        <w:rPr>
          <w:rFonts w:hint="eastAsia" w:asciiTheme="minorEastAsia" w:hAnsiTheme="minorEastAsia" w:cstheme="minorEastAsia"/>
          <w:kern w:val="0"/>
          <w:sz w:val="24"/>
          <w:szCs w:val="24"/>
          <w:highlight w:val="none"/>
          <w:lang w:eastAsia="zh-CN"/>
        </w:rPr>
        <w:t>供应商</w:t>
      </w:r>
      <w:r>
        <w:rPr>
          <w:rFonts w:hint="eastAsia" w:asciiTheme="minorEastAsia" w:hAnsiTheme="minorEastAsia" w:cstheme="minorEastAsia"/>
          <w:kern w:val="0"/>
          <w:sz w:val="24"/>
          <w:szCs w:val="24"/>
          <w:highlight w:val="none"/>
        </w:rPr>
        <w:t>的投标文件有效性、完整性和对招标文件的响应程度进行符合性审查，以确定是否对招标文件的实质性内容作出响应，下列情况有一项不满足者（但不限于）不得进入下一轮评审：</w:t>
      </w:r>
    </w:p>
    <w:tbl>
      <w:tblPr>
        <w:tblStyle w:val="26"/>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333"/>
        <w:gridCol w:w="6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restart"/>
            <w:vAlign w:val="center"/>
          </w:tcPr>
          <w:p>
            <w:pPr>
              <w:overflowPunct w:val="0"/>
              <w:adjustRightInd w:val="0"/>
              <w:snapToGrid w:val="0"/>
              <w:spacing w:line="500" w:lineRule="exact"/>
              <w:rPr>
                <w:rFonts w:asciiTheme="minorEastAsia" w:hAnsiTheme="minorEastAsia" w:cstheme="minorEastAsia"/>
                <w:kern w:val="0"/>
                <w:sz w:val="22"/>
                <w:szCs w:val="22"/>
                <w:highlight w:val="none"/>
              </w:rPr>
            </w:pPr>
            <w:r>
              <w:rPr>
                <w:rFonts w:hint="eastAsia" w:asciiTheme="minorEastAsia" w:hAnsiTheme="minorEastAsia" w:cstheme="minorEastAsia"/>
                <w:kern w:val="0"/>
                <w:sz w:val="22"/>
                <w:szCs w:val="22"/>
                <w:highlight w:val="none"/>
              </w:rPr>
              <w:t>符合性</w:t>
            </w:r>
          </w:p>
          <w:p>
            <w:pPr>
              <w:overflowPunct w:val="0"/>
              <w:adjustRightInd w:val="0"/>
              <w:snapToGrid w:val="0"/>
              <w:spacing w:line="500" w:lineRule="exact"/>
              <w:rPr>
                <w:rFonts w:asciiTheme="minorEastAsia" w:hAnsiTheme="minorEastAsia" w:cstheme="minorEastAsia"/>
                <w:kern w:val="0"/>
                <w:sz w:val="22"/>
                <w:szCs w:val="22"/>
                <w:highlight w:val="none"/>
              </w:rPr>
            </w:pPr>
            <w:r>
              <w:rPr>
                <w:rFonts w:hint="eastAsia" w:asciiTheme="minorEastAsia" w:hAnsiTheme="minorEastAsia" w:cstheme="minorEastAsia"/>
                <w:kern w:val="0"/>
                <w:sz w:val="22"/>
                <w:szCs w:val="22"/>
                <w:highlight w:val="none"/>
              </w:rPr>
              <w:t>审查</w:t>
            </w:r>
          </w:p>
        </w:tc>
        <w:tc>
          <w:tcPr>
            <w:tcW w:w="333" w:type="dxa"/>
          </w:tcPr>
          <w:p>
            <w:pPr>
              <w:overflowPunct w:val="0"/>
              <w:adjustRightInd w:val="0"/>
              <w:snapToGrid w:val="0"/>
              <w:spacing w:line="500" w:lineRule="exact"/>
              <w:rPr>
                <w:rFonts w:asciiTheme="minorEastAsia" w:hAnsiTheme="minorEastAsia" w:cstheme="minorEastAsia"/>
                <w:kern w:val="0"/>
                <w:sz w:val="22"/>
                <w:szCs w:val="22"/>
                <w:highlight w:val="none"/>
              </w:rPr>
            </w:pPr>
            <w:r>
              <w:rPr>
                <w:rFonts w:hint="eastAsia" w:asciiTheme="minorEastAsia" w:hAnsiTheme="minorEastAsia" w:cstheme="minorEastAsia"/>
                <w:kern w:val="0"/>
                <w:sz w:val="22"/>
                <w:szCs w:val="22"/>
                <w:highlight w:val="none"/>
              </w:rPr>
              <w:t>1</w:t>
            </w:r>
          </w:p>
        </w:tc>
        <w:tc>
          <w:tcPr>
            <w:tcW w:w="6924" w:type="dxa"/>
            <w:vAlign w:val="top"/>
          </w:tcPr>
          <w:p>
            <w:pPr>
              <w:overflowPunct w:val="0"/>
              <w:adjustRightInd w:val="0"/>
              <w:snapToGrid w:val="0"/>
              <w:spacing w:line="500" w:lineRule="exact"/>
              <w:rPr>
                <w:rFonts w:eastAsia="宋体" w:asciiTheme="minorEastAsia" w:hAnsiTheme="minorEastAsia" w:cstheme="minorEastAsia"/>
                <w:kern w:val="0"/>
                <w:sz w:val="22"/>
                <w:szCs w:val="22"/>
                <w:highlight w:val="none"/>
                <w:lang w:val="en-US" w:eastAsia="zh-CN" w:bidi="ar-SA"/>
              </w:rPr>
            </w:pPr>
            <w:r>
              <w:rPr>
                <w:rFonts w:hint="eastAsia" w:asciiTheme="minorEastAsia" w:hAnsiTheme="minorEastAsia" w:cstheme="minorEastAsia"/>
                <w:kern w:val="0"/>
                <w:sz w:val="22"/>
                <w:szCs w:val="22"/>
                <w:highlight w:val="none"/>
                <w:lang w:val="en-US" w:eastAsia="zh-CN"/>
              </w:rPr>
              <w:t>投标</w:t>
            </w:r>
            <w:r>
              <w:rPr>
                <w:rFonts w:hint="eastAsia" w:asciiTheme="minorEastAsia" w:hAnsiTheme="minorEastAsia" w:cstheme="minorEastAsia"/>
                <w:kern w:val="0"/>
                <w:sz w:val="22"/>
                <w:szCs w:val="22"/>
                <w:highlight w:val="none"/>
              </w:rPr>
              <w:t>报价是否超过预算或最高限价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Theme="minorEastAsia" w:hAnsiTheme="minorEastAsia" w:cstheme="minorEastAsia"/>
                <w:kern w:val="0"/>
                <w:sz w:val="22"/>
                <w:szCs w:val="22"/>
                <w:highlight w:val="none"/>
              </w:rPr>
            </w:pPr>
          </w:p>
        </w:tc>
        <w:tc>
          <w:tcPr>
            <w:tcW w:w="333" w:type="dxa"/>
          </w:tcPr>
          <w:p>
            <w:pPr>
              <w:overflowPunct w:val="0"/>
              <w:adjustRightInd w:val="0"/>
              <w:snapToGrid w:val="0"/>
              <w:spacing w:line="500" w:lineRule="exact"/>
              <w:rPr>
                <w:rFonts w:asciiTheme="minorEastAsia" w:hAnsiTheme="minorEastAsia" w:cstheme="minorEastAsia"/>
                <w:kern w:val="0"/>
                <w:sz w:val="22"/>
                <w:szCs w:val="22"/>
                <w:highlight w:val="none"/>
              </w:rPr>
            </w:pPr>
            <w:r>
              <w:rPr>
                <w:rFonts w:hint="eastAsia" w:asciiTheme="minorEastAsia" w:hAnsiTheme="minorEastAsia" w:cstheme="minorEastAsia"/>
                <w:kern w:val="0"/>
                <w:sz w:val="22"/>
                <w:szCs w:val="22"/>
                <w:highlight w:val="none"/>
              </w:rPr>
              <w:t>2</w:t>
            </w:r>
          </w:p>
        </w:tc>
        <w:tc>
          <w:tcPr>
            <w:tcW w:w="6924" w:type="dxa"/>
            <w:vAlign w:val="top"/>
          </w:tcPr>
          <w:p>
            <w:pPr>
              <w:overflowPunct w:val="0"/>
              <w:adjustRightInd w:val="0"/>
              <w:snapToGrid w:val="0"/>
              <w:spacing w:line="500" w:lineRule="exact"/>
              <w:rPr>
                <w:rFonts w:eastAsia="宋体" w:asciiTheme="minorEastAsia" w:hAnsiTheme="minorEastAsia" w:cstheme="minorEastAsia"/>
                <w:kern w:val="0"/>
                <w:sz w:val="22"/>
                <w:szCs w:val="22"/>
                <w:highlight w:val="none"/>
                <w:lang w:val="en-US" w:eastAsia="zh-CN" w:bidi="ar-SA"/>
              </w:rPr>
            </w:pPr>
            <w:r>
              <w:rPr>
                <w:rFonts w:hint="eastAsia" w:asciiTheme="minorEastAsia" w:hAnsiTheme="minorEastAsia" w:cstheme="minorEastAsia"/>
                <w:kern w:val="0"/>
                <w:sz w:val="22"/>
                <w:szCs w:val="22"/>
                <w:highlight w:val="none"/>
                <w:lang w:val="en-US" w:eastAsia="zh-CN"/>
              </w:rPr>
              <w:t>投标</w:t>
            </w:r>
            <w:r>
              <w:rPr>
                <w:rFonts w:hint="eastAsia" w:asciiTheme="minorEastAsia" w:hAnsiTheme="minorEastAsia" w:cstheme="minorEastAsia"/>
                <w:kern w:val="0"/>
                <w:sz w:val="22"/>
                <w:szCs w:val="22"/>
                <w:highlight w:val="none"/>
              </w:rPr>
              <w:t>文件签字、盖章、装订是否满足</w:t>
            </w:r>
            <w:r>
              <w:rPr>
                <w:rFonts w:hint="eastAsia" w:asciiTheme="minorEastAsia" w:hAnsiTheme="minorEastAsia" w:cstheme="minorEastAsia"/>
                <w:kern w:val="0"/>
                <w:sz w:val="22"/>
                <w:szCs w:val="22"/>
                <w:highlight w:val="none"/>
                <w:lang w:val="en-US" w:eastAsia="zh-CN"/>
              </w:rPr>
              <w:t>招标</w:t>
            </w:r>
            <w:r>
              <w:rPr>
                <w:rFonts w:hint="eastAsia" w:asciiTheme="minorEastAsia" w:hAnsiTheme="minorEastAsia" w:cstheme="minorEastAsia"/>
                <w:kern w:val="0"/>
                <w:sz w:val="22"/>
                <w:szCs w:val="22"/>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Theme="minorEastAsia" w:hAnsiTheme="minorEastAsia" w:cstheme="minorEastAsia"/>
                <w:kern w:val="0"/>
                <w:sz w:val="22"/>
                <w:szCs w:val="22"/>
                <w:highlight w:val="none"/>
              </w:rPr>
            </w:pPr>
          </w:p>
        </w:tc>
        <w:tc>
          <w:tcPr>
            <w:tcW w:w="333" w:type="dxa"/>
          </w:tcPr>
          <w:p>
            <w:pPr>
              <w:overflowPunct w:val="0"/>
              <w:adjustRightInd w:val="0"/>
              <w:snapToGrid w:val="0"/>
              <w:spacing w:line="500" w:lineRule="exact"/>
              <w:rPr>
                <w:rFonts w:asciiTheme="minorEastAsia" w:hAnsiTheme="minorEastAsia" w:cstheme="minorEastAsia"/>
                <w:kern w:val="0"/>
                <w:sz w:val="22"/>
                <w:szCs w:val="22"/>
                <w:highlight w:val="none"/>
              </w:rPr>
            </w:pPr>
            <w:r>
              <w:rPr>
                <w:rFonts w:hint="eastAsia" w:asciiTheme="minorEastAsia" w:hAnsiTheme="minorEastAsia" w:cstheme="minorEastAsia"/>
                <w:kern w:val="0"/>
                <w:sz w:val="22"/>
                <w:szCs w:val="22"/>
                <w:highlight w:val="none"/>
              </w:rPr>
              <w:t>3</w:t>
            </w:r>
          </w:p>
        </w:tc>
        <w:tc>
          <w:tcPr>
            <w:tcW w:w="6924" w:type="dxa"/>
            <w:vAlign w:val="top"/>
          </w:tcPr>
          <w:p>
            <w:pPr>
              <w:overflowPunct w:val="0"/>
              <w:adjustRightInd w:val="0"/>
              <w:snapToGrid w:val="0"/>
              <w:spacing w:line="500" w:lineRule="exact"/>
              <w:rPr>
                <w:rFonts w:hint="eastAsia" w:eastAsia="宋体" w:asciiTheme="minorEastAsia" w:hAnsiTheme="minorEastAsia" w:cstheme="minorEastAsia"/>
                <w:kern w:val="0"/>
                <w:sz w:val="22"/>
                <w:szCs w:val="22"/>
                <w:highlight w:val="none"/>
                <w:lang w:val="en-US" w:eastAsia="zh-CN" w:bidi="ar-SA"/>
              </w:rPr>
            </w:pPr>
            <w:r>
              <w:rPr>
                <w:rFonts w:hint="eastAsia" w:asciiTheme="minorEastAsia" w:hAnsiTheme="minorEastAsia" w:cstheme="minorEastAsia"/>
                <w:kern w:val="0"/>
                <w:sz w:val="22"/>
                <w:szCs w:val="22"/>
                <w:highlight w:val="none"/>
                <w:lang w:eastAsia="zh-CN"/>
              </w:rPr>
              <w:t>交货期是否满足</w:t>
            </w:r>
            <w:r>
              <w:rPr>
                <w:rFonts w:hint="eastAsia" w:asciiTheme="minorEastAsia" w:hAnsiTheme="minorEastAsia" w:cstheme="minorEastAsia"/>
                <w:kern w:val="0"/>
                <w:sz w:val="22"/>
                <w:szCs w:val="22"/>
                <w:highlight w:val="none"/>
                <w:lang w:val="en-US" w:eastAsia="zh-CN"/>
              </w:rPr>
              <w:t>招标</w:t>
            </w:r>
            <w:r>
              <w:rPr>
                <w:rFonts w:hint="eastAsia" w:asciiTheme="minorEastAsia" w:hAnsiTheme="minorEastAsia" w:cstheme="minorEastAsia"/>
                <w:kern w:val="0"/>
                <w:sz w:val="22"/>
                <w:szCs w:val="22"/>
                <w:highlight w:val="none"/>
                <w:lang w:eastAsia="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Theme="minorEastAsia" w:hAnsiTheme="minorEastAsia" w:cstheme="minorEastAsia"/>
                <w:kern w:val="0"/>
                <w:sz w:val="22"/>
                <w:szCs w:val="22"/>
                <w:highlight w:val="none"/>
              </w:rPr>
            </w:pPr>
          </w:p>
        </w:tc>
        <w:tc>
          <w:tcPr>
            <w:tcW w:w="333" w:type="dxa"/>
            <w:vAlign w:val="top"/>
          </w:tcPr>
          <w:p>
            <w:pPr>
              <w:overflowPunct w:val="0"/>
              <w:adjustRightInd w:val="0"/>
              <w:snapToGrid w:val="0"/>
              <w:spacing w:line="500" w:lineRule="exact"/>
              <w:rPr>
                <w:rFonts w:hint="eastAsia" w:eastAsia="宋体" w:asciiTheme="minorEastAsia" w:hAnsiTheme="minorEastAsia" w:cstheme="minorEastAsia"/>
                <w:kern w:val="0"/>
                <w:sz w:val="22"/>
                <w:szCs w:val="22"/>
                <w:highlight w:val="none"/>
                <w:lang w:val="en-US" w:eastAsia="zh-CN"/>
              </w:rPr>
            </w:pPr>
            <w:r>
              <w:rPr>
                <w:rFonts w:hint="eastAsia" w:asciiTheme="minorEastAsia" w:hAnsiTheme="minorEastAsia" w:cstheme="minorEastAsia"/>
                <w:kern w:val="0"/>
                <w:sz w:val="22"/>
                <w:szCs w:val="22"/>
                <w:highlight w:val="none"/>
                <w:lang w:val="en-US" w:eastAsia="zh-CN"/>
              </w:rPr>
              <w:t>4</w:t>
            </w:r>
          </w:p>
        </w:tc>
        <w:tc>
          <w:tcPr>
            <w:tcW w:w="6924" w:type="dxa"/>
            <w:vAlign w:val="top"/>
          </w:tcPr>
          <w:p>
            <w:pPr>
              <w:overflowPunct w:val="0"/>
              <w:adjustRightInd w:val="0"/>
              <w:snapToGrid w:val="0"/>
              <w:spacing w:line="500" w:lineRule="exact"/>
              <w:rPr>
                <w:rFonts w:hint="eastAsia" w:eastAsia="宋体" w:asciiTheme="minorEastAsia" w:hAnsiTheme="minorEastAsia" w:cstheme="minorEastAsia"/>
                <w:kern w:val="0"/>
                <w:sz w:val="22"/>
                <w:szCs w:val="22"/>
                <w:highlight w:val="none"/>
                <w:lang w:val="en-US" w:eastAsia="zh-CN" w:bidi="ar-SA"/>
              </w:rPr>
            </w:pPr>
            <w:r>
              <w:rPr>
                <w:rFonts w:hint="eastAsia" w:asciiTheme="minorEastAsia" w:hAnsiTheme="minorEastAsia" w:cstheme="minorEastAsia"/>
                <w:kern w:val="0"/>
                <w:sz w:val="22"/>
                <w:szCs w:val="22"/>
                <w:highlight w:val="none"/>
                <w:lang w:eastAsia="zh-CN"/>
              </w:rPr>
              <w:t>质保期是否满足</w:t>
            </w:r>
            <w:r>
              <w:rPr>
                <w:rFonts w:hint="eastAsia" w:asciiTheme="minorEastAsia" w:hAnsiTheme="minorEastAsia" w:cstheme="minorEastAsia"/>
                <w:kern w:val="0"/>
                <w:sz w:val="22"/>
                <w:szCs w:val="22"/>
                <w:highlight w:val="none"/>
                <w:lang w:val="en-US" w:eastAsia="zh-CN"/>
              </w:rPr>
              <w:t>招标</w:t>
            </w:r>
            <w:r>
              <w:rPr>
                <w:rFonts w:hint="eastAsia" w:asciiTheme="minorEastAsia" w:hAnsiTheme="minorEastAsia" w:cstheme="minorEastAsia"/>
                <w:kern w:val="0"/>
                <w:sz w:val="22"/>
                <w:szCs w:val="22"/>
                <w:highlight w:val="none"/>
                <w:lang w:eastAsia="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Theme="minorEastAsia" w:hAnsiTheme="minorEastAsia" w:cstheme="minorEastAsia"/>
                <w:kern w:val="0"/>
                <w:sz w:val="22"/>
                <w:szCs w:val="22"/>
                <w:highlight w:val="none"/>
              </w:rPr>
            </w:pPr>
          </w:p>
        </w:tc>
        <w:tc>
          <w:tcPr>
            <w:tcW w:w="333" w:type="dxa"/>
            <w:vAlign w:val="top"/>
          </w:tcPr>
          <w:p>
            <w:pPr>
              <w:overflowPunct w:val="0"/>
              <w:adjustRightInd w:val="0"/>
              <w:snapToGrid w:val="0"/>
              <w:spacing w:line="500" w:lineRule="exact"/>
              <w:rPr>
                <w:rFonts w:hint="eastAsia" w:eastAsia="宋体" w:asciiTheme="minorEastAsia" w:hAnsiTheme="minorEastAsia" w:cstheme="minorEastAsia"/>
                <w:kern w:val="0"/>
                <w:sz w:val="22"/>
                <w:szCs w:val="22"/>
                <w:highlight w:val="none"/>
                <w:lang w:val="en-US" w:eastAsia="zh-CN"/>
              </w:rPr>
            </w:pPr>
            <w:r>
              <w:rPr>
                <w:rFonts w:hint="eastAsia" w:asciiTheme="minorEastAsia" w:hAnsiTheme="minorEastAsia" w:cstheme="minorEastAsia"/>
                <w:kern w:val="0"/>
                <w:sz w:val="22"/>
                <w:szCs w:val="22"/>
                <w:highlight w:val="none"/>
                <w:lang w:val="en-US" w:eastAsia="zh-CN"/>
              </w:rPr>
              <w:t>5</w:t>
            </w:r>
          </w:p>
        </w:tc>
        <w:tc>
          <w:tcPr>
            <w:tcW w:w="6924" w:type="dxa"/>
            <w:vAlign w:val="top"/>
          </w:tcPr>
          <w:p>
            <w:pPr>
              <w:overflowPunct w:val="0"/>
              <w:adjustRightInd w:val="0"/>
              <w:snapToGrid w:val="0"/>
              <w:spacing w:line="500" w:lineRule="exact"/>
              <w:rPr>
                <w:rFonts w:hint="eastAsia" w:eastAsia="宋体" w:asciiTheme="minorEastAsia" w:hAnsiTheme="minorEastAsia" w:cstheme="minorEastAsia"/>
                <w:kern w:val="0"/>
                <w:sz w:val="22"/>
                <w:szCs w:val="22"/>
                <w:highlight w:val="none"/>
                <w:lang w:val="en-US" w:eastAsia="zh-CN" w:bidi="ar-SA"/>
              </w:rPr>
            </w:pPr>
            <w:r>
              <w:rPr>
                <w:rFonts w:hint="eastAsia" w:asciiTheme="minorEastAsia" w:hAnsiTheme="minorEastAsia" w:cstheme="minorEastAsia"/>
                <w:kern w:val="0"/>
                <w:sz w:val="22"/>
                <w:szCs w:val="22"/>
                <w:highlight w:val="none"/>
                <w:lang w:val="en-US" w:eastAsia="zh-CN"/>
              </w:rPr>
              <w:t>投标</w:t>
            </w:r>
            <w:r>
              <w:rPr>
                <w:rFonts w:hint="eastAsia" w:asciiTheme="minorEastAsia" w:hAnsiTheme="minorEastAsia" w:cstheme="minorEastAsia"/>
                <w:kern w:val="0"/>
                <w:sz w:val="22"/>
                <w:szCs w:val="22"/>
                <w:highlight w:val="none"/>
              </w:rPr>
              <w:t>有效期是否满足</w:t>
            </w:r>
            <w:r>
              <w:rPr>
                <w:rFonts w:hint="eastAsia" w:asciiTheme="minorEastAsia" w:hAnsiTheme="minorEastAsia" w:cstheme="minorEastAsia"/>
                <w:kern w:val="0"/>
                <w:sz w:val="22"/>
                <w:szCs w:val="22"/>
                <w:highlight w:val="none"/>
                <w:lang w:val="en-US" w:eastAsia="zh-CN"/>
              </w:rPr>
              <w:t>招标</w:t>
            </w:r>
            <w:r>
              <w:rPr>
                <w:rFonts w:hint="eastAsia" w:asciiTheme="minorEastAsia" w:hAnsiTheme="minorEastAsia" w:cstheme="minorEastAsia"/>
                <w:kern w:val="0"/>
                <w:sz w:val="22"/>
                <w:szCs w:val="22"/>
                <w:highlight w:val="none"/>
              </w:rPr>
              <w:t>文件要求</w:t>
            </w:r>
          </w:p>
        </w:tc>
      </w:tr>
    </w:tbl>
    <w:p>
      <w:pPr>
        <w:overflowPunct w:val="0"/>
        <w:adjustRightInd w:val="0"/>
        <w:snapToGrid w:val="0"/>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3.3 经过对</w:t>
      </w:r>
      <w:r>
        <w:rPr>
          <w:rFonts w:hint="eastAsia" w:asciiTheme="minorEastAsia" w:hAnsiTheme="minorEastAsia" w:eastAsiaTheme="minorEastAsia" w:cstheme="minorEastAsia"/>
          <w:kern w:val="0"/>
          <w:sz w:val="24"/>
          <w:szCs w:val="24"/>
          <w:highlight w:val="none"/>
          <w:lang w:val="en-US" w:eastAsia="zh-CN"/>
        </w:rPr>
        <w:t>供应商</w:t>
      </w:r>
      <w:r>
        <w:rPr>
          <w:rFonts w:hint="eastAsia" w:asciiTheme="minorEastAsia" w:hAnsiTheme="minorEastAsia" w:eastAsiaTheme="minorEastAsia" w:cstheme="minorEastAsia"/>
          <w:kern w:val="0"/>
          <w:sz w:val="24"/>
          <w:szCs w:val="24"/>
          <w:highlight w:val="none"/>
        </w:rPr>
        <w:t>及投标文件审查，出现下列情况者（但不限于），按无效投标处理：</w:t>
      </w:r>
    </w:p>
    <w:p>
      <w:pPr>
        <w:numPr>
          <w:ilvl w:val="0"/>
          <w:numId w:val="17"/>
        </w:numPr>
        <w:spacing w:line="500" w:lineRule="exact"/>
        <w:rPr>
          <w:rFonts w:ascii="宋体" w:hAnsi="宋体" w:cs="宋体"/>
          <w:sz w:val="24"/>
          <w:szCs w:val="24"/>
          <w:highlight w:val="none"/>
        </w:rPr>
      </w:pPr>
      <w:r>
        <w:rPr>
          <w:rFonts w:hint="eastAsia" w:ascii="宋体" w:hAnsi="宋体" w:cs="宋体"/>
          <w:sz w:val="24"/>
          <w:szCs w:val="24"/>
          <w:highlight w:val="none"/>
        </w:rPr>
        <w:t>供应商未经过正常渠道购买招标文件，或供应商名称与购买招标文件时登记的供应商名称不符的；</w:t>
      </w:r>
    </w:p>
    <w:p>
      <w:pPr>
        <w:numPr>
          <w:ilvl w:val="0"/>
          <w:numId w:val="17"/>
        </w:numPr>
        <w:spacing w:line="500" w:lineRule="exact"/>
        <w:rPr>
          <w:rFonts w:ascii="宋体" w:hAnsi="宋体" w:cs="宋体"/>
          <w:sz w:val="24"/>
          <w:szCs w:val="24"/>
          <w:highlight w:val="none"/>
        </w:rPr>
      </w:pPr>
      <w:r>
        <w:rPr>
          <w:rFonts w:hint="eastAsia" w:ascii="宋体" w:hAnsi="宋体" w:cs="宋体"/>
          <w:sz w:val="24"/>
          <w:szCs w:val="24"/>
          <w:highlight w:val="none"/>
        </w:rPr>
        <w:t>供应商针对同一项目递交两份或多份内容不同的投标文件，未书面声明哪一份是有效的或出现选择性报价的；</w:t>
      </w:r>
    </w:p>
    <w:p>
      <w:pPr>
        <w:numPr>
          <w:ilvl w:val="0"/>
          <w:numId w:val="17"/>
        </w:numPr>
        <w:spacing w:line="500" w:lineRule="exact"/>
        <w:rPr>
          <w:rFonts w:ascii="宋体" w:hAnsi="宋体" w:cs="宋体"/>
          <w:sz w:val="24"/>
          <w:szCs w:val="24"/>
          <w:highlight w:val="none"/>
        </w:rPr>
      </w:pPr>
      <w:r>
        <w:rPr>
          <w:rFonts w:hint="eastAsia" w:ascii="宋体" w:hAnsi="宋体" w:cs="宋体"/>
          <w:sz w:val="24"/>
          <w:szCs w:val="24"/>
          <w:highlight w:val="none"/>
        </w:rPr>
        <w:t>供应商未按招标文件要求提供产品的技术参数及产品供货渠道不明确的；</w:t>
      </w:r>
    </w:p>
    <w:p>
      <w:pPr>
        <w:numPr>
          <w:ilvl w:val="0"/>
          <w:numId w:val="17"/>
        </w:numPr>
        <w:spacing w:line="500" w:lineRule="exact"/>
        <w:rPr>
          <w:rFonts w:ascii="宋体" w:hAnsi="宋体" w:cs="宋体"/>
          <w:sz w:val="24"/>
          <w:szCs w:val="24"/>
          <w:highlight w:val="none"/>
        </w:rPr>
      </w:pPr>
      <w:r>
        <w:rPr>
          <w:rFonts w:hint="eastAsia" w:ascii="宋体" w:hAnsi="宋体" w:cs="宋体"/>
          <w:sz w:val="24"/>
          <w:szCs w:val="24"/>
          <w:highlight w:val="none"/>
        </w:rPr>
        <w:t>供应商的报价明显低于其他通过符合性审查供应商的报价，有可能影响货物质量或者不能诚信履约的，不能按照评标委员会要求在评标现场合理的时间内提供书面说明及相关证明材料且证明其报价合理性的；</w:t>
      </w:r>
    </w:p>
    <w:p>
      <w:pPr>
        <w:numPr>
          <w:ilvl w:val="0"/>
          <w:numId w:val="17"/>
        </w:numPr>
        <w:spacing w:line="500" w:lineRule="exact"/>
        <w:rPr>
          <w:rFonts w:ascii="宋体" w:hAnsi="宋体" w:cs="宋体"/>
          <w:sz w:val="24"/>
          <w:szCs w:val="24"/>
          <w:highlight w:val="none"/>
        </w:rPr>
      </w:pPr>
      <w:r>
        <w:rPr>
          <w:rFonts w:hint="eastAsia" w:ascii="宋体" w:hAnsi="宋体" w:cs="宋体"/>
          <w:sz w:val="24"/>
          <w:szCs w:val="24"/>
          <w:highlight w:val="none"/>
        </w:rPr>
        <w:t>投标报价出现漏项或货物数量与要求不符的；</w:t>
      </w:r>
    </w:p>
    <w:p>
      <w:pPr>
        <w:numPr>
          <w:ilvl w:val="0"/>
          <w:numId w:val="17"/>
        </w:numPr>
        <w:spacing w:line="500" w:lineRule="exact"/>
        <w:rPr>
          <w:rFonts w:ascii="宋体" w:hAnsi="宋体" w:cs="宋体"/>
          <w:sz w:val="24"/>
          <w:szCs w:val="24"/>
          <w:highlight w:val="none"/>
        </w:rPr>
      </w:pPr>
      <w:r>
        <w:rPr>
          <w:rFonts w:hint="eastAsia" w:ascii="宋体" w:hAnsi="宋体" w:cs="宋体"/>
          <w:sz w:val="24"/>
          <w:szCs w:val="24"/>
          <w:highlight w:val="none"/>
        </w:rPr>
        <w:t>投标货物的技术参数、性能指标与招标文件要求出现重大负偏差的；或者提供虚假证明（包括第三方的虚假证明），除按无效文件处理外，还将按照政府采购法的有关规定进行处罚；</w:t>
      </w:r>
    </w:p>
    <w:p>
      <w:pPr>
        <w:numPr>
          <w:ilvl w:val="0"/>
          <w:numId w:val="17"/>
        </w:numPr>
        <w:spacing w:line="500" w:lineRule="exact"/>
        <w:rPr>
          <w:rFonts w:ascii="宋体" w:hAnsi="宋体" w:cs="宋体"/>
          <w:b/>
          <w:bCs/>
          <w:sz w:val="24"/>
          <w:szCs w:val="24"/>
          <w:highlight w:val="none"/>
        </w:rPr>
      </w:pPr>
      <w:r>
        <w:rPr>
          <w:rFonts w:hint="eastAsia" w:ascii="宋体" w:hAnsi="宋体" w:cs="宋体"/>
          <w:b/>
          <w:bCs/>
          <w:sz w:val="24"/>
          <w:szCs w:val="24"/>
          <w:highlight w:val="none"/>
        </w:rPr>
        <w:t>投标文件在商务响应方面（详见招标文件第五部分商务条款与采购要求）与招标文件要求不一致或附加了采购单位难以接受的条件或条款的；</w:t>
      </w:r>
    </w:p>
    <w:p>
      <w:pPr>
        <w:numPr>
          <w:ilvl w:val="0"/>
          <w:numId w:val="17"/>
        </w:numPr>
        <w:spacing w:line="500" w:lineRule="exact"/>
        <w:rPr>
          <w:rFonts w:ascii="宋体" w:hAnsi="宋体" w:cs="宋体"/>
          <w:sz w:val="24"/>
          <w:szCs w:val="24"/>
          <w:highlight w:val="none"/>
        </w:rPr>
      </w:pPr>
      <w:r>
        <w:rPr>
          <w:rFonts w:hint="eastAsia" w:ascii="宋体" w:hAnsi="宋体" w:cs="宋体"/>
          <w:sz w:val="24"/>
          <w:szCs w:val="24"/>
          <w:highlight w:val="none"/>
        </w:rPr>
        <w:t>如澄清、补正、说明的内容与投标文件内容有重大相悖或矛盾，将被认定为无效投标。</w:t>
      </w:r>
    </w:p>
    <w:p>
      <w:pPr>
        <w:overflowPunct w:val="0"/>
        <w:adjustRightInd w:val="0"/>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w:t>
      </w:r>
      <w:r>
        <w:rPr>
          <w:rFonts w:hint="eastAsia" w:ascii="宋体" w:hAnsi="宋体" w:cs="宋体"/>
          <w:sz w:val="24"/>
          <w:szCs w:val="24"/>
          <w:highlight w:val="none"/>
        </w:rPr>
        <w:t>招标文件规定的其他投标无效的情形。</w:t>
      </w:r>
    </w:p>
    <w:p>
      <w:pPr>
        <w:overflowPunct w:val="0"/>
        <w:adjustRightInd w:val="0"/>
        <w:snapToGrid w:val="0"/>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3.4 根据《政府采购货物和服务招标投标管理办法》相关规定，单一产品采购项目提供相同品牌产品或非单一产品采购项目多家供应商提供的核心产品品牌相同的且通过资格审查、符合性审查的不同供应商参加同一合同项下投标的，按一家供应商计算，评审后得分最高的同品牌供应商获得中标供应商推荐资格；评审得分相同的，由采购人或者采购人委托评标委员会按照报价得分最高的方式确定一个供应商获得中标供应商推荐资格。</w:t>
      </w:r>
    </w:p>
    <w:p>
      <w:pPr>
        <w:pStyle w:val="5"/>
        <w:numPr>
          <w:ilvl w:val="0"/>
          <w:numId w:val="15"/>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94" w:name="_Toc17705"/>
      <w:r>
        <w:rPr>
          <w:rFonts w:hint="eastAsia" w:asciiTheme="minorEastAsia" w:hAnsiTheme="minorEastAsia" w:eastAsiaTheme="minorEastAsia" w:cstheme="minorEastAsia"/>
          <w:sz w:val="24"/>
          <w:szCs w:val="24"/>
          <w:highlight w:val="none"/>
        </w:rPr>
        <w:t>投标文件澄清</w:t>
      </w:r>
      <w:bookmarkEnd w:id="94"/>
    </w:p>
    <w:p>
      <w:pPr>
        <w:overflowPunct w:val="0"/>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 在评标期间,采购代理机构可根据评标委员会对其投标文件有疑义不清楚的内容，要求供应商对其投标文件进行澄清。</w:t>
      </w:r>
    </w:p>
    <w:p>
      <w:pPr>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4.2 供应商必须按照评标委员会通知的内容和时间做出书面答复，该答复经法定代表人或供应商代表的签字认可，将作为投标文件内容的一部分。澄清、说明或者补正不得超出投标文件的范围或者改变投标文件的实质性内容。供应商拒不按照要求对投标文件进行澄清、说明或者补正的，供应商将自行承担评标委员会视其投标无效的风险。 </w:t>
      </w:r>
    </w:p>
    <w:p>
      <w:pPr>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4.3 如评标委员会一致认为某个供应商的报价明显不合理，有降低质量、不能诚信履行的可能时，评标委员会有权决定是否通知供应商限期进行书面解释或提供相关证明材料。若已要求，而该供应商在规定期限内未做出解释、做出的解释不合理或不能提供证明材料的，评标委员会有权拒绝该投标。</w:t>
      </w:r>
    </w:p>
    <w:p>
      <w:pPr>
        <w:pStyle w:val="5"/>
        <w:numPr>
          <w:ilvl w:val="0"/>
          <w:numId w:val="15"/>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95" w:name="_Toc8353"/>
      <w:r>
        <w:rPr>
          <w:rFonts w:hint="eastAsia" w:asciiTheme="minorEastAsia" w:hAnsiTheme="minorEastAsia" w:eastAsiaTheme="minorEastAsia" w:cstheme="minorEastAsia"/>
          <w:sz w:val="24"/>
          <w:szCs w:val="24"/>
          <w:highlight w:val="none"/>
        </w:rPr>
        <w:t>评标</w:t>
      </w:r>
      <w:bookmarkEnd w:id="95"/>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rPr>
        <w:t>评标委员会有权对在开标、评标过程中出现的一切问题，根据《中华人民共和国政府采购法》和《政府采购货物和服务招标投标管理办法》的条款，本着公开、公平、公正的原则进行处理。</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采用综合评分法：采取逐项分步评审方式，每一步评审不符合者，不进入下一步评审，全部评审合格的</w:t>
      </w:r>
      <w:r>
        <w:rPr>
          <w:rFonts w:hint="eastAsia" w:asciiTheme="minorEastAsia" w:hAnsiTheme="minorEastAsia" w:cstheme="minorEastAsia"/>
          <w:sz w:val="24"/>
          <w:szCs w:val="24"/>
          <w:highlight w:val="none"/>
          <w:lang w:eastAsia="zh-CN"/>
        </w:rPr>
        <w:t>供应商</w:t>
      </w:r>
      <w:r>
        <w:rPr>
          <w:rFonts w:hint="eastAsia" w:asciiTheme="minorEastAsia" w:hAnsiTheme="minorEastAsia" w:cstheme="minorEastAsia"/>
          <w:sz w:val="24"/>
          <w:szCs w:val="24"/>
          <w:highlight w:val="none"/>
        </w:rPr>
        <w:t>由评标委员会按照公开招标文件中第四部分评分标准规定的各项因素进行比较、自主打分、综合评审。评标委员会将评审得分汇总后，按评标总得分由高到低汇总排序，推荐3名中标候选人；若有两个或两个以上</w:t>
      </w:r>
      <w:r>
        <w:rPr>
          <w:rFonts w:hint="eastAsia" w:asciiTheme="minorEastAsia" w:hAnsiTheme="minorEastAsia" w:cstheme="minorEastAsia"/>
          <w:sz w:val="24"/>
          <w:szCs w:val="24"/>
          <w:highlight w:val="none"/>
          <w:lang w:eastAsia="zh-CN"/>
        </w:rPr>
        <w:t>供应商</w:t>
      </w:r>
      <w:r>
        <w:rPr>
          <w:rFonts w:hint="eastAsia" w:asciiTheme="minorEastAsia" w:hAnsiTheme="minorEastAsia" w:cstheme="minorEastAsia"/>
          <w:sz w:val="24"/>
          <w:szCs w:val="24"/>
          <w:highlight w:val="none"/>
        </w:rPr>
        <w:t>得分相同，</w:t>
      </w:r>
      <w:r>
        <w:rPr>
          <w:rFonts w:hint="eastAsia" w:asciiTheme="minorEastAsia" w:hAnsiTheme="minorEastAsia" w:cstheme="minorEastAsia"/>
          <w:sz w:val="24"/>
          <w:szCs w:val="24"/>
          <w:highlight w:val="none"/>
          <w:lang w:eastAsia="zh-CN"/>
        </w:rPr>
        <w:t>供应商</w:t>
      </w:r>
      <w:r>
        <w:rPr>
          <w:rFonts w:hint="eastAsia" w:asciiTheme="minorEastAsia" w:hAnsiTheme="minorEastAsia" w:cstheme="minorEastAsia"/>
          <w:sz w:val="24"/>
          <w:szCs w:val="24"/>
          <w:highlight w:val="none"/>
        </w:rPr>
        <w:t>名次按报价得分高低排序；得分且投标报价相同的，按技术指标优劣顺序排列，并填报评标报告。</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cstheme="minorEastAsia"/>
          <w:sz w:val="24"/>
          <w:szCs w:val="24"/>
          <w:highlight w:val="none"/>
        </w:rPr>
        <w:t>评标委员会只对实质上响应招标文件的投标进行评价和比较；评审应严格按照招标文件的要求和条件进行；具体评审原则和中标条件详见招标文件第四部分“评审办法”。</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4、</w:t>
      </w:r>
      <w:r>
        <w:rPr>
          <w:rFonts w:hint="eastAsia" w:asciiTheme="minorEastAsia" w:hAnsiTheme="minorEastAsia" w:cstheme="minorEastAsia"/>
          <w:sz w:val="24"/>
          <w:szCs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5、</w:t>
      </w:r>
      <w:r>
        <w:rPr>
          <w:rFonts w:hint="eastAsia" w:asciiTheme="minorEastAsia" w:hAnsiTheme="minorEastAsia" w:cstheme="minorEastAsia"/>
          <w:sz w:val="24"/>
          <w:szCs w:val="24"/>
          <w:highlight w:val="none"/>
        </w:rPr>
        <w:t>评标结果汇总完成后，除下列情形外，任何人不得修改评标结果：</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（一）分值汇总计算错误的；</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（二）分项评分超出评分标准范围的；</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（三）评标委员会成员对客观评审因素评分不一致的；</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（四）经评标委员会认定评分畸高、畸低的。</w:t>
      </w:r>
    </w:p>
    <w:p>
      <w:pPr>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5"/>
        <w:numPr>
          <w:ilvl w:val="0"/>
          <w:numId w:val="15"/>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96" w:name="_Toc12947"/>
      <w:r>
        <w:rPr>
          <w:rFonts w:hint="eastAsia" w:asciiTheme="minorEastAsia" w:hAnsiTheme="minorEastAsia" w:eastAsiaTheme="minorEastAsia" w:cstheme="minorEastAsia"/>
          <w:sz w:val="24"/>
          <w:szCs w:val="24"/>
          <w:highlight w:val="none"/>
        </w:rPr>
        <w:t>定标</w:t>
      </w:r>
      <w:bookmarkEnd w:id="96"/>
    </w:p>
    <w:p>
      <w:pPr>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6.1代理机构在评标结束后2个工作日内将评标报告送达采购单位，采购单位在收到评标报告后5个工作日内，按照评标报告中推荐的中标候选人顺序确认第一中标候选人为中标单位，同时书面复函代理机构；</w:t>
      </w:r>
    </w:p>
    <w:p>
      <w:pPr>
        <w:spacing w:line="50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6.2代理机构收到采购单位“定标复函”后2个工作日内，在财政部门指定的政府采购信息媒体上发布公告，并向中标供应商发出“中标通知书”。</w:t>
      </w:r>
    </w:p>
    <w:p>
      <w:pPr>
        <w:pStyle w:val="5"/>
        <w:numPr>
          <w:ilvl w:val="0"/>
          <w:numId w:val="15"/>
        </w:numPr>
        <w:spacing w:before="0" w:after="0" w:line="500" w:lineRule="exact"/>
        <w:ind w:firstLine="482"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信用担保</w:t>
      </w:r>
    </w:p>
    <w:p>
      <w:pPr>
        <w:pStyle w:val="11"/>
        <w:spacing w:line="360" w:lineRule="auto"/>
        <w:ind w:firstLine="480" w:firstLineChars="200"/>
        <w:rPr>
          <w:highlight w:val="none"/>
        </w:rPr>
      </w:pPr>
      <w:r>
        <w:rPr>
          <w:rFonts w:hint="eastAsia" w:asciiTheme="minorEastAsia" w:hAnsiTheme="minorEastAsia" w:eastAsiaTheme="minorEastAsia" w:cstheme="minorEastAsia"/>
          <w:kern w:val="2"/>
          <w:sz w:val="24"/>
          <w:szCs w:val="24"/>
          <w:highlight w:val="none"/>
          <w:lang w:val="en-US" w:eastAsia="zh-CN" w:bidi="ar-SA"/>
        </w:rPr>
        <w:t>陕西省政府采购信用担保及信用融资政策：为支持和促进中小企业发展，进一步发挥政府采购政策功能作用，有效缓解中小企业融资难等问题，根据陕财办采〔2018〕23号文件的精神，陕西省财政厅制订了《陕西省中小企业政府采购信用融资办法》，为参与陕西省政府采购项目的供应商提供政府采购信用担保，并按照程序确定了合作的担保机构。供应商在缴纳投标保证金及中标人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pStyle w:val="11"/>
        <w:rPr>
          <w:highlight w:val="none"/>
        </w:rPr>
      </w:pPr>
    </w:p>
    <w:p>
      <w:pPr>
        <w:widowControl/>
        <w:numPr>
          <w:ilvl w:val="0"/>
          <w:numId w:val="3"/>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97" w:name="_Toc19972"/>
      <w:bookmarkStart w:id="98" w:name="_Toc756"/>
      <w:bookmarkStart w:id="99" w:name="_Toc10158"/>
      <w:bookmarkStart w:id="100" w:name="_Toc28340"/>
      <w:bookmarkStart w:id="101" w:name="_Toc13042"/>
      <w:bookmarkStart w:id="102" w:name="_Toc25308"/>
      <w:bookmarkStart w:id="103" w:name="_Toc23812"/>
      <w:r>
        <w:rPr>
          <w:rFonts w:hint="eastAsia" w:asciiTheme="minorEastAsia" w:hAnsiTheme="minorEastAsia" w:eastAsiaTheme="minorEastAsia" w:cstheme="minorEastAsia"/>
          <w:b/>
          <w:bCs/>
          <w:kern w:val="0"/>
          <w:sz w:val="32"/>
          <w:szCs w:val="32"/>
          <w:highlight w:val="none"/>
        </w:rPr>
        <w:t>签订合同</w:t>
      </w:r>
      <w:bookmarkEnd w:id="97"/>
      <w:bookmarkEnd w:id="98"/>
      <w:bookmarkEnd w:id="99"/>
      <w:bookmarkEnd w:id="100"/>
      <w:bookmarkEnd w:id="101"/>
      <w:bookmarkEnd w:id="102"/>
      <w:bookmarkEnd w:id="103"/>
    </w:p>
    <w:p>
      <w:pPr>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1、中标供应商需在中标通知书发出之日起30个日历日内，与采购人洽谈合同条款，并签订供货合同，同时送代理机构归档。</w:t>
      </w:r>
    </w:p>
    <w:p>
      <w:pPr>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2、所签订的合同不得对招标文件和中标单位投标文件作实质性修改。</w:t>
      </w:r>
    </w:p>
    <w:p>
      <w:pPr>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3、招标文件、中标供应商的投标文件及澄清文件等，均作为合同的附件，是签订合同的依据。</w:t>
      </w:r>
    </w:p>
    <w:p>
      <w:pPr>
        <w:widowControl/>
        <w:numPr>
          <w:ilvl w:val="0"/>
          <w:numId w:val="3"/>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104" w:name="_Toc23592"/>
      <w:bookmarkStart w:id="105" w:name="_Toc9879"/>
      <w:bookmarkStart w:id="106" w:name="_Toc28110"/>
      <w:bookmarkStart w:id="107" w:name="_Toc2560"/>
      <w:bookmarkStart w:id="108" w:name="_Toc26132"/>
      <w:bookmarkStart w:id="109" w:name="_Toc7380"/>
      <w:bookmarkStart w:id="110" w:name="_Toc19703"/>
      <w:r>
        <w:rPr>
          <w:rFonts w:hint="eastAsia" w:asciiTheme="minorEastAsia" w:hAnsiTheme="minorEastAsia" w:eastAsiaTheme="minorEastAsia" w:cstheme="minorEastAsia"/>
          <w:b/>
          <w:bCs/>
          <w:kern w:val="0"/>
          <w:sz w:val="32"/>
          <w:szCs w:val="32"/>
          <w:highlight w:val="none"/>
        </w:rPr>
        <w:t>代理服务费</w:t>
      </w:r>
      <w:bookmarkEnd w:id="104"/>
      <w:bookmarkEnd w:id="105"/>
      <w:bookmarkEnd w:id="106"/>
      <w:bookmarkEnd w:id="107"/>
      <w:bookmarkEnd w:id="108"/>
      <w:bookmarkEnd w:id="109"/>
      <w:bookmarkEnd w:id="110"/>
    </w:p>
    <w:p>
      <w:pPr>
        <w:spacing w:line="560" w:lineRule="exact"/>
        <w:ind w:firstLine="480" w:firstLineChars="200"/>
        <w:jc w:val="left"/>
        <w:rPr>
          <w:rFonts w:ascii="宋体" w:hAnsi="宋体" w:cs="宋体"/>
          <w:sz w:val="24"/>
          <w:szCs w:val="24"/>
          <w:highlight w:val="none"/>
        </w:rPr>
      </w:pPr>
      <w:bookmarkStart w:id="111" w:name="_Toc7191"/>
      <w:bookmarkStart w:id="112" w:name="_Toc21950"/>
      <w:bookmarkStart w:id="113" w:name="_Toc32056"/>
      <w:bookmarkStart w:id="114" w:name="_Toc16019"/>
      <w:r>
        <w:rPr>
          <w:rFonts w:hint="eastAsia" w:ascii="宋体" w:hAnsi="宋体" w:cs="宋体"/>
          <w:sz w:val="24"/>
          <w:szCs w:val="24"/>
          <w:highlight w:val="none"/>
          <w:lang w:val="en-US" w:eastAsia="zh-CN"/>
        </w:rPr>
        <w:t>1、</w:t>
      </w:r>
      <w:r>
        <w:rPr>
          <w:rFonts w:hint="eastAsia" w:ascii="宋体" w:hAnsi="宋体" w:cs="宋体"/>
          <w:sz w:val="24"/>
          <w:szCs w:val="24"/>
        </w:rPr>
        <w:t>参照（计价格[2002]1980号）文件规定收费标准</w:t>
      </w:r>
      <w:r>
        <w:rPr>
          <w:rFonts w:hint="eastAsia" w:ascii="宋体" w:hAnsi="宋体" w:cs="宋体"/>
          <w:sz w:val="24"/>
          <w:szCs w:val="24"/>
          <w:lang w:eastAsia="zh-CN"/>
        </w:rPr>
        <w:t>下浮</w:t>
      </w:r>
      <w:r>
        <w:rPr>
          <w:rFonts w:hint="eastAsia" w:ascii="宋体" w:hAnsi="宋体" w:cs="宋体"/>
          <w:sz w:val="24"/>
          <w:szCs w:val="24"/>
          <w:lang w:val="en-US" w:eastAsia="zh-CN"/>
        </w:rPr>
        <w:t>45%</w:t>
      </w:r>
      <w:r>
        <w:rPr>
          <w:rFonts w:hint="eastAsia" w:ascii="宋体" w:hAnsi="宋体" w:cs="宋体"/>
          <w:sz w:val="24"/>
          <w:szCs w:val="24"/>
        </w:rPr>
        <w:t>收费，由中标人在领取中标通知书时向代理机构缴纳代理服务费。</w:t>
      </w:r>
      <w:r>
        <w:rPr>
          <w:rFonts w:hint="eastAsia" w:ascii="宋体" w:hAnsi="宋体" w:cs="宋体"/>
          <w:sz w:val="24"/>
          <w:szCs w:val="24"/>
          <w:highlight w:val="none"/>
        </w:rPr>
        <w:t xml:space="preserve"> </w:t>
      </w:r>
    </w:p>
    <w:p>
      <w:pPr>
        <w:spacing w:line="56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供应商将招标代理服务费计入</w:t>
      </w:r>
      <w:r>
        <w:rPr>
          <w:rFonts w:hint="eastAsia" w:ascii="宋体" w:hAnsi="宋体" w:cs="宋体"/>
          <w:sz w:val="24"/>
          <w:szCs w:val="24"/>
          <w:highlight w:val="none"/>
          <w:lang w:eastAsia="zh-CN"/>
        </w:rPr>
        <w:t>投标</w:t>
      </w:r>
      <w:r>
        <w:rPr>
          <w:rFonts w:hint="eastAsia" w:ascii="宋体" w:hAnsi="宋体" w:cs="宋体"/>
          <w:sz w:val="24"/>
          <w:szCs w:val="24"/>
          <w:highlight w:val="none"/>
        </w:rPr>
        <w:t>报价但不单独列明，成交单位在领取成交通知书前，须向采购代理机构一次性支付招标代理服务费；代理服务费以转账、电汇或现金等形式交纳。</w:t>
      </w:r>
    </w:p>
    <w:bookmarkEnd w:id="111"/>
    <w:bookmarkEnd w:id="112"/>
    <w:bookmarkEnd w:id="113"/>
    <w:bookmarkEnd w:id="114"/>
    <w:p>
      <w:pPr>
        <w:pStyle w:val="11"/>
        <w:numPr>
          <w:ilvl w:val="0"/>
          <w:numId w:val="18"/>
        </w:numPr>
        <w:jc w:val="center"/>
        <w:outlineLvl w:val="1"/>
        <w:rPr>
          <w:rFonts w:ascii="宋体" w:hAnsi="宋体" w:cs="宋体"/>
          <w:b/>
          <w:bCs/>
          <w:sz w:val="32"/>
          <w:szCs w:val="32"/>
          <w:highlight w:val="none"/>
        </w:rPr>
      </w:pPr>
      <w:bookmarkStart w:id="115" w:name="_Toc20242"/>
      <w:bookmarkStart w:id="116" w:name="_Toc25512"/>
      <w:bookmarkStart w:id="117" w:name="_Toc1322"/>
      <w:bookmarkStart w:id="118" w:name="_Toc11658"/>
      <w:bookmarkStart w:id="119" w:name="_Toc1429"/>
      <w:bookmarkStart w:id="120" w:name="_Toc2080"/>
      <w:bookmarkStart w:id="121" w:name="_Toc3298"/>
      <w:bookmarkStart w:id="122" w:name="_Toc2192"/>
      <w:bookmarkStart w:id="123" w:name="_Toc6082"/>
      <w:r>
        <w:rPr>
          <w:rFonts w:hint="eastAsia" w:ascii="宋体" w:hAnsi="宋体" w:cs="宋体"/>
          <w:b/>
          <w:bCs/>
          <w:sz w:val="32"/>
          <w:szCs w:val="32"/>
          <w:highlight w:val="none"/>
        </w:rPr>
        <w:t>履约验收</w:t>
      </w:r>
      <w:bookmarkEnd w:id="115"/>
      <w:bookmarkEnd w:id="116"/>
      <w:bookmarkEnd w:id="117"/>
      <w:bookmarkEnd w:id="118"/>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政府采购合同的履行、违约责任和解决争议的方法等适用《中华人民共和国民法典》。采购人按照政府采购合同规定的技术、服务、安全标准组织对供应商履约情况进行验收，并出具验收书，代理机构有义务协助验收。</w:t>
      </w:r>
    </w:p>
    <w:p>
      <w:pPr>
        <w:pStyle w:val="11"/>
        <w:numPr>
          <w:ilvl w:val="0"/>
          <w:numId w:val="18"/>
        </w:numPr>
        <w:jc w:val="center"/>
        <w:outlineLvl w:val="1"/>
        <w:rPr>
          <w:rFonts w:ascii="宋体" w:hAnsi="宋体" w:cs="宋体"/>
          <w:b/>
          <w:bCs/>
          <w:sz w:val="32"/>
          <w:szCs w:val="32"/>
          <w:highlight w:val="none"/>
        </w:rPr>
      </w:pPr>
      <w:bookmarkStart w:id="124" w:name="_Toc12124"/>
      <w:bookmarkStart w:id="125" w:name="_Toc6744"/>
      <w:bookmarkStart w:id="126" w:name="_Toc29943"/>
      <w:bookmarkStart w:id="127" w:name="_Toc30929"/>
      <w:bookmarkStart w:id="128" w:name="_Toc597"/>
      <w:r>
        <w:rPr>
          <w:rFonts w:hint="eastAsia" w:ascii="宋体" w:hAnsi="宋体" w:cs="宋体"/>
          <w:b/>
          <w:bCs/>
          <w:sz w:val="32"/>
          <w:szCs w:val="32"/>
          <w:highlight w:val="none"/>
        </w:rPr>
        <w:t>质疑和投诉</w:t>
      </w:r>
      <w:bookmarkEnd w:id="124"/>
      <w:bookmarkEnd w:id="125"/>
      <w:bookmarkEnd w:id="126"/>
      <w:bookmarkEnd w:id="127"/>
      <w:bookmarkEnd w:id="128"/>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质疑、投诉的接收和处理严格按照《中华人共和国政府采购法》、《政府采购质疑和投诉办法》财政部令第94号、《财政部关于加强政府采购供应商投诉受理审查工作的通知》等的相关规定办理。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9.1供应商认为招标文件、采购过程和中标结果使自己的权益受到损害的，可以在知道或者应知其权益受到损害之日起七个工作日内，以书面原件形式向采购人或采购代理机构提出质疑，供应商</w:t>
      </w:r>
      <w:r>
        <w:rPr>
          <w:rFonts w:hint="eastAsia" w:ascii="宋体" w:hAnsi="宋体" w:cs="宋体"/>
          <w:color w:val="333333"/>
          <w:sz w:val="24"/>
          <w:szCs w:val="24"/>
          <w:highlight w:val="none"/>
          <w:shd w:val="clear" w:color="auto" w:fill="FFFFFF"/>
        </w:rPr>
        <w:t>应该在法定质疑期内一次性提出针对同一采购程序环节的质疑，</w:t>
      </w:r>
      <w:r>
        <w:rPr>
          <w:rFonts w:hint="eastAsia" w:ascii="宋体" w:hAnsi="宋体" w:cs="宋体"/>
          <w:sz w:val="24"/>
          <w:szCs w:val="24"/>
          <w:highlight w:val="none"/>
        </w:rPr>
        <w:t>逾期质疑无效。</w:t>
      </w:r>
    </w:p>
    <w:p>
      <w:pPr>
        <w:spacing w:line="56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9.2 质疑文件应当包括下列主要内容：</w:t>
      </w:r>
    </w:p>
    <w:p>
      <w:pPr>
        <w:spacing w:line="56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1）质疑供应商和相关供应商的名称、地址、联系人及联系电话等；</w:t>
      </w:r>
    </w:p>
    <w:p>
      <w:pPr>
        <w:spacing w:line="56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2）质疑项目及编号、质疑事项；</w:t>
      </w:r>
    </w:p>
    <w:p>
      <w:pPr>
        <w:spacing w:line="56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3）认为采购文件、采购过程、中标和成交结果使自己的合法权益受到损害的法律依据、事实依据、相关证明材料及证据来源；</w:t>
      </w:r>
    </w:p>
    <w:p>
      <w:pPr>
        <w:tabs>
          <w:tab w:val="left" w:pos="84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4）提出质疑的日期。</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9.3 质疑函应当署名。质疑供应商为自然人的，应当由本人签字；质疑供应商为法人或者其他组织的，应当由法定代表人或者主要负责人签字盖章并加盖公章。</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9.4 供应商质疑应当有明确的请求和必要的证明材料。</w:t>
      </w:r>
      <w:r>
        <w:rPr>
          <w:rFonts w:hint="eastAsia" w:ascii="宋体" w:hAnsi="宋体" w:cs="宋体"/>
          <w:color w:val="000000" w:themeColor="text1"/>
          <w:sz w:val="24"/>
          <w:szCs w:val="24"/>
          <w:highlight w:val="none"/>
          <w14:textFill>
            <w14:solidFill>
              <w14:schemeClr w14:val="tx1"/>
            </w14:solidFill>
          </w14:textFill>
        </w:rPr>
        <w:t>质疑内容不得含有虚假、恶意成份。依照谁主张谁举证的原则，提出质疑者必须同时提交相关确凿的证据材料和注明证据的确切来源，证据来源必须合法，采购代理机构有权将质疑函转发质疑事项各关联方，请</w:t>
      </w:r>
      <w:r>
        <w:rPr>
          <w:rFonts w:hint="eastAsia" w:ascii="宋体" w:hAnsi="宋体" w:cs="宋体"/>
          <w:sz w:val="24"/>
          <w:szCs w:val="24"/>
          <w:highlight w:val="none"/>
        </w:rPr>
        <w:t>其作出解释说明。对捏造事实、滥用维权扰乱采购秩序的恶意质疑者，将依法处理。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9.5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 。 </w:t>
      </w:r>
    </w:p>
    <w:p>
      <w:pPr>
        <w:spacing w:line="360" w:lineRule="auto"/>
        <w:ind w:firstLine="48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9.6质疑供应商对采购人、采购代理机构的质疑答复不满意，或者采购人、采购代理机构未在规定期限内作出答复的，可以在答复期满后15个工作日内向采购人的同级政府采购监督管理部门提起投诉。</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9.7 质疑受理部门：陕西万泽招标有限公司。</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9.8 提交质疑文件地点：西安市西关正街英达大厦1507室。</w:t>
      </w:r>
    </w:p>
    <w:p>
      <w:pPr>
        <w:tabs>
          <w:tab w:val="left" w:pos="0"/>
          <w:tab w:val="left" w:pos="600"/>
          <w:tab w:val="left" w:pos="4700"/>
        </w:tabs>
        <w:autoSpaceDE w:val="0"/>
        <w:autoSpaceDN w:val="0"/>
        <w:spacing w:line="360" w:lineRule="auto"/>
        <w:ind w:firstLine="480" w:firstLineChars="200"/>
        <w:textAlignment w:val="bottom"/>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9.9 本次采购活动中，采购代理机构对质疑回复等文件的送达方式为现场取件。</w:t>
      </w:r>
    </w:p>
    <w:p>
      <w:pPr>
        <w:spacing w:line="560" w:lineRule="exact"/>
        <w:ind w:firstLine="480" w:firstLineChars="200"/>
        <w:jc w:val="left"/>
        <w:rPr>
          <w:rFonts w:asciiTheme="minorEastAsia" w:hAnsiTheme="minorEastAsia" w:eastAsiaTheme="minorEastAsia" w:cstheme="minorEastAsia"/>
          <w:sz w:val="24"/>
          <w:szCs w:val="24"/>
          <w:highlight w:val="none"/>
        </w:rPr>
      </w:pPr>
      <w:r>
        <w:rPr>
          <w:rFonts w:hint="eastAsia" w:ascii="宋体" w:hAnsi="宋体" w:cs="宋体"/>
          <w:color w:val="000000" w:themeColor="text1"/>
          <w:sz w:val="24"/>
          <w:szCs w:val="24"/>
          <w:highlight w:val="none"/>
          <w14:textFill>
            <w14:solidFill>
              <w14:schemeClr w14:val="tx1"/>
            </w14:solidFill>
          </w14:textFill>
        </w:rPr>
        <w:t>9.10 质疑函应当使用中文。质疑函范本详见财政部制定的范本即招标文件附件六。</w:t>
      </w:r>
    </w:p>
    <w:p>
      <w:pPr>
        <w:spacing w:line="560" w:lineRule="exact"/>
        <w:ind w:firstLine="723" w:firstLineChars="200"/>
        <w:jc w:val="center"/>
        <w:rPr>
          <w:rFonts w:asciiTheme="minorEastAsia" w:hAnsiTheme="minorEastAsia" w:eastAsiaTheme="minorEastAsia" w:cstheme="minorEastAsia"/>
          <w:b/>
          <w:bCs/>
          <w:sz w:val="36"/>
          <w:szCs w:val="36"/>
          <w:highlight w:val="none"/>
        </w:rPr>
        <w:sectPr>
          <w:headerReference r:id="rId10" w:type="default"/>
          <w:footerReference r:id="rId11" w:type="default"/>
          <w:pgSz w:w="11906" w:h="16838"/>
          <w:pgMar w:top="1440" w:right="1803" w:bottom="1440" w:left="1803" w:header="851" w:footer="992" w:gutter="0"/>
          <w:pgNumType w:fmt="decimal"/>
          <w:cols w:space="720" w:num="1"/>
          <w:docGrid w:type="lines" w:linePitch="319" w:charSpace="0"/>
        </w:sectPr>
      </w:pPr>
    </w:p>
    <w:p>
      <w:pPr>
        <w:pStyle w:val="3"/>
        <w:numPr>
          <w:ilvl w:val="0"/>
          <w:numId w:val="19"/>
        </w:numPr>
        <w:spacing w:beforeLines="100" w:afterLines="100" w:line="500" w:lineRule="exact"/>
        <w:rPr>
          <w:rFonts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lang w:val="en-US" w:eastAsia="zh-CN"/>
        </w:rPr>
        <w:t xml:space="preserve">  </w:t>
      </w:r>
      <w:bookmarkStart w:id="129" w:name="_Toc6259"/>
      <w:r>
        <w:rPr>
          <w:rFonts w:hint="eastAsia" w:asciiTheme="minorEastAsia" w:hAnsiTheme="minorEastAsia" w:eastAsiaTheme="minorEastAsia" w:cstheme="minorEastAsia"/>
          <w:sz w:val="36"/>
          <w:szCs w:val="36"/>
          <w:highlight w:val="none"/>
        </w:rPr>
        <w:t>评分标准</w:t>
      </w:r>
      <w:bookmarkEnd w:id="119"/>
      <w:bookmarkEnd w:id="120"/>
      <w:bookmarkEnd w:id="121"/>
      <w:bookmarkEnd w:id="122"/>
      <w:bookmarkEnd w:id="123"/>
      <w:bookmarkEnd w:id="129"/>
    </w:p>
    <w:p>
      <w:pPr>
        <w:spacing w:line="500" w:lineRule="exact"/>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本次评标采用综合评分法，综合评分的主要因素为价格、技术、业绩、服务等以及对</w:t>
      </w:r>
      <w:r>
        <w:rPr>
          <w:rFonts w:hint="eastAsia" w:asciiTheme="minorEastAsia" w:hAnsiTheme="minorEastAsia" w:cstheme="minorEastAsia"/>
          <w:sz w:val="24"/>
          <w:szCs w:val="24"/>
          <w:highlight w:val="none"/>
          <w:lang w:eastAsia="zh-CN"/>
        </w:rPr>
        <w:t>招标文件</w:t>
      </w:r>
      <w:r>
        <w:rPr>
          <w:rFonts w:hint="eastAsia" w:asciiTheme="minorEastAsia" w:hAnsiTheme="minorEastAsia" w:cstheme="minorEastAsia"/>
          <w:sz w:val="24"/>
          <w:szCs w:val="24"/>
          <w:highlight w:val="none"/>
        </w:rPr>
        <w:t>的响应程度。每一供应商的最终得分为所有评委评分的算数平均值。</w:t>
      </w:r>
    </w:p>
    <w:p>
      <w:pPr>
        <w:spacing w:line="360" w:lineRule="auto"/>
        <w:outlineLvl w:val="9"/>
        <w:rPr>
          <w:rFonts w:hint="eastAsia" w:ascii="宋体" w:hAnsi="宋体" w:cs="宋体"/>
          <w:b/>
          <w:bCs/>
          <w:color w:val="000000"/>
          <w:sz w:val="24"/>
          <w:highlight w:val="none"/>
        </w:rPr>
      </w:pPr>
      <w:bookmarkStart w:id="130" w:name="_Toc262"/>
      <w:bookmarkStart w:id="131" w:name="_Toc21716"/>
      <w:bookmarkStart w:id="132" w:name="_Toc17369"/>
      <w:bookmarkStart w:id="133" w:name="_Toc25445"/>
      <w:bookmarkStart w:id="134" w:name="_Toc3209"/>
      <w:bookmarkStart w:id="135" w:name="_Toc1330"/>
      <w:bookmarkStart w:id="136" w:name="_Toc4467"/>
      <w:bookmarkStart w:id="137" w:name="_Toc6835"/>
      <w:bookmarkStart w:id="138" w:name="_Toc7227"/>
      <w:bookmarkStart w:id="139" w:name="_Toc15647"/>
      <w:bookmarkStart w:id="140" w:name="_Toc12650"/>
    </w:p>
    <w:tbl>
      <w:tblPr>
        <w:tblStyle w:val="25"/>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854"/>
        <w:gridCol w:w="7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9"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评审项</w:t>
            </w:r>
          </w:p>
        </w:tc>
        <w:tc>
          <w:tcPr>
            <w:tcW w:w="854" w:type="dxa"/>
            <w:noWrap/>
            <w:vAlign w:val="center"/>
          </w:tcPr>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分值100分</w:t>
            </w:r>
          </w:p>
        </w:tc>
        <w:tc>
          <w:tcPr>
            <w:tcW w:w="7776" w:type="dxa"/>
            <w:noWrap/>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69"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报价</w:t>
            </w:r>
          </w:p>
        </w:tc>
        <w:tc>
          <w:tcPr>
            <w:tcW w:w="854"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30分</w:t>
            </w:r>
          </w:p>
        </w:tc>
        <w:tc>
          <w:tcPr>
            <w:tcW w:w="7776"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经初审合格的供应商，其投标报价为有效报价。</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评标基准价：即满足采购文件要求且报价最低的为评标基准价。</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其他供应商的价格分统一按照下列公式计算。</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69"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技术指标、功能及配置</w:t>
            </w:r>
          </w:p>
        </w:tc>
        <w:tc>
          <w:tcPr>
            <w:tcW w:w="854"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35分</w:t>
            </w:r>
          </w:p>
        </w:tc>
        <w:tc>
          <w:tcPr>
            <w:tcW w:w="7776"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投标产品的技术参数、配置和功能需求（35分）。评审依据为生产厂家出具的、相应的功能证明材料（包括但不限于测试报告、官网和功能截图等）及投标产品技术参数偏离表等；</w:t>
            </w:r>
          </w:p>
          <w:p>
            <w:pPr>
              <w:numPr>
                <w:ilvl w:val="0"/>
                <w:numId w:val="20"/>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基本分（30分），完全响应招标文件要求，满足采购需求、技术参数没有负偏离，计基本分</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0分；参数中每有一条</w:t>
            </w:r>
            <w:r>
              <w:rPr>
                <w:rFonts w:hint="eastAsia" w:ascii="宋体" w:hAnsi="宋体" w:eastAsia="宋体" w:cs="宋体"/>
                <w:sz w:val="24"/>
                <w:szCs w:val="24"/>
              </w:rPr>
              <w:t>★</w:t>
            </w:r>
            <w:r>
              <w:rPr>
                <w:rFonts w:hint="eastAsia" w:ascii="宋体" w:hAnsi="宋体" w:eastAsia="宋体" w:cs="宋体"/>
                <w:color w:val="000000"/>
                <w:sz w:val="24"/>
                <w:szCs w:val="24"/>
              </w:rPr>
              <w:t>技术指标负偏离扣</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每有一条</w:t>
            </w:r>
            <w:r>
              <w:rPr>
                <w:rFonts w:hint="eastAsia" w:ascii="宋体" w:hAnsi="宋体" w:eastAsia="宋体" w:cs="宋体"/>
                <w:color w:val="000000"/>
                <w:sz w:val="24"/>
                <w:szCs w:val="24"/>
                <w:lang w:val="en-US" w:eastAsia="zh-CN"/>
              </w:rPr>
              <w:t>非</w:t>
            </w:r>
            <w:r>
              <w:rPr>
                <w:rFonts w:hint="eastAsia" w:ascii="宋体" w:hAnsi="宋体" w:eastAsia="宋体" w:cs="宋体"/>
                <w:sz w:val="24"/>
                <w:szCs w:val="24"/>
              </w:rPr>
              <w:t>★</w:t>
            </w:r>
            <w:r>
              <w:rPr>
                <w:rFonts w:hint="eastAsia" w:ascii="宋体" w:hAnsi="宋体" w:eastAsia="宋体" w:cs="宋体"/>
                <w:color w:val="000000"/>
                <w:sz w:val="24"/>
                <w:szCs w:val="24"/>
              </w:rPr>
              <w:t>技术指标负偏离扣</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分</w:t>
            </w:r>
            <w:r>
              <w:rPr>
                <w:rFonts w:hint="eastAsia" w:ascii="宋体" w:hAnsi="宋体" w:eastAsia="宋体" w:cs="宋体"/>
                <w:color w:val="000000"/>
                <w:sz w:val="24"/>
                <w:szCs w:val="24"/>
                <w:lang w:val="en-US" w:eastAsia="zh-CN"/>
              </w:rPr>
              <w:t>扣完为止</w:t>
            </w:r>
            <w:r>
              <w:rPr>
                <w:rFonts w:hint="eastAsia" w:ascii="宋体" w:hAnsi="宋体" w:eastAsia="宋体" w:cs="宋体"/>
                <w:color w:val="000000"/>
                <w:sz w:val="24"/>
                <w:szCs w:val="24"/>
              </w:rPr>
              <w:t>；如出现技术参数复制情况，由专家视其情况给予1-5分的扣分；</w:t>
            </w:r>
          </w:p>
          <w:p>
            <w:pPr>
              <w:keepNext/>
              <w:keepLines/>
              <w:spacing w:line="360" w:lineRule="auto"/>
              <w:jc w:val="left"/>
              <w:outlineLvl w:val="3"/>
              <w:rPr>
                <w:rFonts w:hint="eastAsia" w:ascii="宋体" w:hAnsi="宋体" w:eastAsia="宋体" w:cs="宋体"/>
                <w:color w:val="000000"/>
                <w:sz w:val="24"/>
                <w:szCs w:val="24"/>
              </w:rPr>
            </w:pPr>
            <w:r>
              <w:rPr>
                <w:rFonts w:hint="eastAsia" w:ascii="宋体" w:hAnsi="宋体" w:eastAsia="宋体" w:cs="宋体"/>
                <w:color w:val="000000"/>
                <w:sz w:val="24"/>
                <w:szCs w:val="24"/>
              </w:rPr>
              <w:t>2、功能及配置分（5分）：所投产品功能、技术参数优于或完全满足招标文件要求，且所提供的检测报告、产品认证证书等资料齐全、产品彩页清晰，技术方案和设备功能描述详细，产品选型有充分的依据，配套设施完善，各类证明材料完整，计4.1-5分；</w:t>
            </w:r>
          </w:p>
          <w:p>
            <w:pPr>
              <w:keepNext/>
              <w:keepLines/>
              <w:spacing w:line="360" w:lineRule="auto"/>
              <w:ind w:firstLine="480" w:firstLineChars="200"/>
              <w:jc w:val="left"/>
              <w:outlineLvl w:val="3"/>
              <w:rPr>
                <w:rFonts w:hint="eastAsia" w:ascii="宋体" w:hAnsi="宋体" w:eastAsia="宋体" w:cs="宋体"/>
                <w:color w:val="000000"/>
                <w:sz w:val="24"/>
                <w:szCs w:val="24"/>
              </w:rPr>
            </w:pPr>
            <w:r>
              <w:rPr>
                <w:rFonts w:hint="eastAsia" w:ascii="宋体" w:hAnsi="宋体" w:eastAsia="宋体" w:cs="宋体"/>
                <w:color w:val="000000"/>
                <w:sz w:val="24"/>
                <w:szCs w:val="24"/>
              </w:rPr>
              <w:t>所投产品功能满足基本要求，技术参数佐证材料较完善，产品认证证书等资料较齐全，有技术方案和设备功能描述，产品选型合理，有产品配套内容，各类证明材料较为完整，计2.1-4分；</w:t>
            </w:r>
          </w:p>
          <w:p>
            <w:pPr>
              <w:pStyle w:val="2"/>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b w:val="0"/>
                <w:color w:val="000000"/>
                <w:sz w:val="24"/>
                <w:szCs w:val="24"/>
              </w:rPr>
              <w:t>所投产品功能不能完全满足要求（有负偏离），技术资料、检测报告、产品认证证书等资料不完整，产品功能描述一般，技术参数不明确，产品选型和配套不合理，各类证明材料不完整，计1-2分；未提供不计分；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69"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实施方案</w:t>
            </w:r>
          </w:p>
        </w:tc>
        <w:tc>
          <w:tcPr>
            <w:tcW w:w="854"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10分</w:t>
            </w:r>
          </w:p>
        </w:tc>
        <w:tc>
          <w:tcPr>
            <w:tcW w:w="7776" w:type="dxa"/>
            <w:noWrap/>
            <w:vAlign w:val="center"/>
          </w:tcPr>
          <w:p>
            <w:pPr>
              <w:keepNext/>
              <w:keepLines/>
              <w:spacing w:line="360" w:lineRule="auto"/>
              <w:ind w:firstLine="480" w:firstLineChars="200"/>
              <w:jc w:val="left"/>
              <w:outlineLvl w:val="3"/>
              <w:rPr>
                <w:rFonts w:hint="eastAsia" w:ascii="宋体" w:hAnsi="宋体" w:eastAsia="宋体" w:cs="宋体"/>
                <w:sz w:val="24"/>
                <w:szCs w:val="24"/>
              </w:rPr>
            </w:pPr>
            <w:r>
              <w:rPr>
                <w:rFonts w:hint="eastAsia" w:ascii="宋体" w:hAnsi="宋体" w:eastAsia="宋体" w:cs="宋体"/>
                <w:color w:val="000000"/>
                <w:sz w:val="24"/>
                <w:szCs w:val="24"/>
              </w:rPr>
              <w:t>供应商对本项目的供货、安装调试、验收组织、人员配备等方面制订具体的实施方案，做出合理计划及制订工作保障措施。方案完整、科学合理、操作性强，计7.1-10分；方案较完整，工作目标不明确、工作保障措施不到位， 4.1-7分；方案可执行性差，计1-4分，未提供不计分。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质量保证</w:t>
            </w:r>
          </w:p>
        </w:tc>
        <w:tc>
          <w:tcPr>
            <w:tcW w:w="854"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5分</w:t>
            </w:r>
          </w:p>
        </w:tc>
        <w:tc>
          <w:tcPr>
            <w:tcW w:w="7776" w:type="dxa"/>
            <w:noWrap/>
            <w:vAlign w:val="center"/>
          </w:tcPr>
          <w:p>
            <w:pPr>
              <w:keepNext/>
              <w:keepLines/>
              <w:spacing w:line="360" w:lineRule="auto"/>
              <w:ind w:firstLine="240" w:firstLineChars="100"/>
              <w:jc w:val="left"/>
              <w:outlineLvl w:val="3"/>
              <w:rPr>
                <w:rFonts w:hint="eastAsia" w:ascii="宋体" w:hAnsi="宋体" w:eastAsia="宋体" w:cs="宋体"/>
                <w:color w:val="000000"/>
                <w:sz w:val="24"/>
                <w:szCs w:val="24"/>
              </w:rPr>
            </w:pPr>
            <w:r>
              <w:rPr>
                <w:rFonts w:hint="eastAsia" w:ascii="宋体" w:hAnsi="宋体" w:eastAsia="宋体" w:cs="宋体"/>
                <w:color w:val="000000"/>
                <w:sz w:val="24"/>
                <w:szCs w:val="24"/>
              </w:rPr>
              <w:t>投标产品货源渠道正规，确保产品无假货、水货、翻新货且无产权纠纷，提供所投产品的合法来源渠道证明文件（包括但不限于产品授权书、</w:t>
            </w:r>
            <w:r>
              <w:rPr>
                <w:rFonts w:hint="eastAsia" w:ascii="宋体" w:hAnsi="宋体" w:eastAsia="宋体" w:cs="宋体"/>
                <w:color w:val="000000"/>
                <w:sz w:val="24"/>
                <w:szCs w:val="24"/>
                <w:lang w:eastAsia="zh-CN"/>
              </w:rPr>
              <w:t>代理证明、</w:t>
            </w:r>
            <w:r>
              <w:rPr>
                <w:rFonts w:hint="eastAsia" w:ascii="宋体" w:hAnsi="宋体" w:eastAsia="宋体" w:cs="宋体"/>
                <w:color w:val="000000"/>
                <w:sz w:val="24"/>
                <w:szCs w:val="24"/>
              </w:rPr>
              <w:t>销售协议等）</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合法来源渠道和生产厂家实力证明等材料种类齐全、详细、充分，计4.1-5分；合法来源渠道和生产厂家实力等证明材料较完整，计2.1-4分，一般计1-2分，未提供不计分。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69"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售后服务及培训方案</w:t>
            </w:r>
          </w:p>
        </w:tc>
        <w:tc>
          <w:tcPr>
            <w:tcW w:w="854"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10分</w:t>
            </w:r>
          </w:p>
        </w:tc>
        <w:tc>
          <w:tcPr>
            <w:tcW w:w="7776" w:type="dxa"/>
            <w:noWrap/>
            <w:vAlign w:val="center"/>
          </w:tcPr>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根据供应商提供的针对本项目特点的售后服务进行综合评分。方案完善、科学合理，针对性强、服务承诺明确，计4.1-5分，方案较完整、合理可行、特点和承诺不明确，计2.1-4分，方案较差，计1-2分，未提供不计分。</w:t>
            </w:r>
          </w:p>
          <w:p>
            <w:pPr>
              <w:pStyle w:val="2"/>
              <w:spacing w:line="360" w:lineRule="auto"/>
              <w:ind w:firstLine="240" w:firstLineChars="100"/>
              <w:rPr>
                <w:rFonts w:hint="eastAsia" w:ascii="宋体" w:hAnsi="宋体" w:eastAsia="宋体" w:cs="宋体"/>
                <w:color w:val="000000"/>
                <w:sz w:val="24"/>
                <w:szCs w:val="24"/>
              </w:rPr>
            </w:pPr>
            <w:r>
              <w:rPr>
                <w:rFonts w:hint="eastAsia" w:ascii="宋体" w:hAnsi="宋体" w:eastAsia="宋体" w:cs="宋体"/>
                <w:b w:val="0"/>
                <w:sz w:val="24"/>
                <w:szCs w:val="24"/>
              </w:rPr>
              <w:t>2、根据供应商提供的培训方案及培训效果保证措施等进行综合评分，方案完善、工作目标明确、科学合理、培训效果保证措施充分，计4.1-5分，有培训方案、可行、措施和各项工作目标、条理性不强，计2.1-4分，方案较差，计1-2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9"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业绩</w:t>
            </w:r>
          </w:p>
        </w:tc>
        <w:tc>
          <w:tcPr>
            <w:tcW w:w="854"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5分</w:t>
            </w:r>
          </w:p>
        </w:tc>
        <w:tc>
          <w:tcPr>
            <w:tcW w:w="7776"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提供供应商2019年1月1日至今的类似项目供货合同</w:t>
            </w:r>
            <w:r>
              <w:rPr>
                <w:rFonts w:hint="eastAsia" w:ascii="宋体" w:hAnsi="宋体" w:eastAsia="宋体" w:cs="宋体"/>
                <w:color w:val="000000"/>
                <w:sz w:val="24"/>
                <w:szCs w:val="24"/>
                <w:lang w:val="en-US" w:eastAsia="zh-CN"/>
              </w:rPr>
              <w:t>复印件加盖公章</w:t>
            </w:r>
            <w:r>
              <w:rPr>
                <w:rFonts w:hint="eastAsia" w:ascii="宋体" w:hAnsi="宋体" w:eastAsia="宋体" w:cs="宋体"/>
                <w:color w:val="000000"/>
                <w:sz w:val="24"/>
                <w:szCs w:val="24"/>
              </w:rPr>
              <w:t>，每份计1分，计满5分为止；（携带合同原件备查，以签订合同时间为准）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9"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商务</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条款</w:t>
            </w:r>
          </w:p>
        </w:tc>
        <w:tc>
          <w:tcPr>
            <w:tcW w:w="854"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4分</w:t>
            </w:r>
          </w:p>
        </w:tc>
        <w:tc>
          <w:tcPr>
            <w:tcW w:w="7776" w:type="dxa"/>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根据供应商的交货期、质保期等商务进行</w:t>
            </w:r>
            <w:r>
              <w:rPr>
                <w:rFonts w:hint="eastAsia" w:ascii="宋体" w:hAnsi="宋体" w:eastAsia="宋体" w:cs="宋体"/>
                <w:sz w:val="24"/>
                <w:szCs w:val="24"/>
                <w:lang w:val="en-US" w:eastAsia="zh-CN"/>
              </w:rPr>
              <w:t>评分</w:t>
            </w:r>
            <w:r>
              <w:rPr>
                <w:rFonts w:hint="eastAsia" w:ascii="宋体" w:hAnsi="宋体" w:eastAsia="宋体" w:cs="宋体"/>
                <w:sz w:val="24"/>
                <w:szCs w:val="24"/>
              </w:rPr>
              <w:t>，在商务响应都满足的前提下，根据商务</w:t>
            </w:r>
            <w:r>
              <w:rPr>
                <w:rFonts w:hint="eastAsia" w:ascii="宋体" w:hAnsi="宋体" w:cs="宋体"/>
                <w:sz w:val="24"/>
                <w:szCs w:val="24"/>
                <w:lang w:eastAsia="zh-CN"/>
              </w:rPr>
              <w:t>条款优于</w:t>
            </w:r>
            <w:r>
              <w:rPr>
                <w:rFonts w:hint="eastAsia" w:ascii="宋体" w:hAnsi="宋体" w:eastAsia="宋体" w:cs="宋体"/>
                <w:sz w:val="24"/>
                <w:szCs w:val="24"/>
              </w:rPr>
              <w:t>情况进行</w:t>
            </w:r>
            <w:r>
              <w:rPr>
                <w:rFonts w:hint="eastAsia" w:ascii="宋体" w:hAnsi="宋体" w:cs="宋体"/>
                <w:sz w:val="24"/>
                <w:szCs w:val="24"/>
                <w:lang w:eastAsia="zh-CN"/>
              </w:rPr>
              <w:t>评分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交货期每提前</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天加</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分，质保期每延长一年，加1</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r>
              <w:rPr>
                <w:rFonts w:hint="eastAsia" w:ascii="宋体" w:hAnsi="宋体" w:cs="宋体"/>
                <w:sz w:val="24"/>
                <w:szCs w:val="24"/>
                <w:lang w:val="en-US" w:eastAsia="zh-CN"/>
              </w:rPr>
              <w:t>本项</w:t>
            </w:r>
            <w:r>
              <w:rPr>
                <w:rFonts w:hint="eastAsia" w:ascii="宋体" w:hAnsi="宋体" w:eastAsia="宋体" w:cs="宋体"/>
                <w:sz w:val="24"/>
                <w:szCs w:val="24"/>
                <w:lang w:val="en-US" w:eastAsia="zh-CN"/>
              </w:rPr>
              <w:t>最高计</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69"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节能</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环保</w:t>
            </w:r>
          </w:p>
        </w:tc>
        <w:tc>
          <w:tcPr>
            <w:tcW w:w="854"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1分</w:t>
            </w:r>
          </w:p>
        </w:tc>
        <w:tc>
          <w:tcPr>
            <w:tcW w:w="7776"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供应商响应产品中每有一项为节能产品的得0.5分，每有一项为环境标志产品的得0.5分，供应商所投产品中每有一项产品同时为节能产品和环境标志产品的得1分，最多得1分。（须提供相应产品的国家确定的认证机构出具的、处于有效期内的节能产品、环境标志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69"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sz w:val="24"/>
                <w:szCs w:val="24"/>
              </w:rPr>
              <w:t>说明</w:t>
            </w:r>
          </w:p>
        </w:tc>
        <w:tc>
          <w:tcPr>
            <w:tcW w:w="8630" w:type="dxa"/>
            <w:gridSpan w:val="2"/>
            <w:noWrap/>
            <w:vAlign w:val="center"/>
          </w:tcPr>
          <w:p>
            <w:pPr>
              <w:pStyle w:val="103"/>
              <w:pBdr>
                <w:between w:val="single" w:color="auto" w:sz="4" w:space="1"/>
              </w:pBd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1、评标委员会成员必须按照本评审要素据实打分，各类数字计算均按“四舍五入”保留小数点后两位；</w:t>
            </w:r>
          </w:p>
          <w:p>
            <w:pPr>
              <w:pStyle w:val="103"/>
              <w:pBdr>
                <w:between w:val="single" w:color="auto" w:sz="4" w:space="1"/>
              </w:pBd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2、对小型和微型企业的报价给予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%的价格扣除，用扣除后的价格参与评审；未提供中小企业声明函的不享受价格折扣。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69" w:type="dxa"/>
            <w:vMerge w:val="restart"/>
            <w:noWrap/>
            <w:vAlign w:val="center"/>
          </w:tcPr>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政</w:t>
            </w:r>
          </w:p>
          <w:p>
            <w:pPr>
              <w:spacing w:line="360" w:lineRule="auto"/>
              <w:rPr>
                <w:rFonts w:hint="eastAsia" w:ascii="宋体" w:hAnsi="宋体" w:eastAsia="宋体" w:cs="宋体"/>
                <w:sz w:val="24"/>
                <w:szCs w:val="24"/>
              </w:rPr>
            </w:pPr>
            <w:r>
              <w:rPr>
                <w:rFonts w:hint="eastAsia" w:ascii="宋体" w:hAnsi="宋体" w:eastAsia="宋体" w:cs="宋体"/>
                <w:sz w:val="24"/>
                <w:szCs w:val="24"/>
              </w:rPr>
              <w:t>府</w:t>
            </w:r>
          </w:p>
          <w:p>
            <w:pPr>
              <w:spacing w:line="360" w:lineRule="auto"/>
              <w:rPr>
                <w:rFonts w:hint="eastAsia" w:ascii="宋体" w:hAnsi="宋体" w:eastAsia="宋体" w:cs="宋体"/>
                <w:sz w:val="24"/>
                <w:szCs w:val="24"/>
              </w:rPr>
            </w:pPr>
            <w:r>
              <w:rPr>
                <w:rFonts w:hint="eastAsia" w:ascii="宋体" w:hAnsi="宋体" w:eastAsia="宋体" w:cs="宋体"/>
                <w:sz w:val="24"/>
                <w:szCs w:val="24"/>
              </w:rPr>
              <w:t>采</w:t>
            </w:r>
          </w:p>
          <w:p>
            <w:pPr>
              <w:spacing w:line="360" w:lineRule="auto"/>
              <w:rPr>
                <w:rFonts w:hint="eastAsia" w:ascii="宋体" w:hAnsi="宋体" w:eastAsia="宋体" w:cs="宋体"/>
                <w:sz w:val="24"/>
                <w:szCs w:val="24"/>
              </w:rPr>
            </w:pPr>
            <w:r>
              <w:rPr>
                <w:rFonts w:hint="eastAsia" w:ascii="宋体" w:hAnsi="宋体" w:eastAsia="宋体" w:cs="宋体"/>
                <w:sz w:val="24"/>
                <w:szCs w:val="24"/>
              </w:rPr>
              <w:t>购</w:t>
            </w:r>
          </w:p>
          <w:p>
            <w:pPr>
              <w:spacing w:line="360" w:lineRule="auto"/>
              <w:rPr>
                <w:rFonts w:hint="eastAsia" w:ascii="宋体" w:hAnsi="宋体" w:eastAsia="宋体" w:cs="宋体"/>
                <w:sz w:val="24"/>
                <w:szCs w:val="24"/>
              </w:rPr>
            </w:pPr>
            <w:r>
              <w:rPr>
                <w:rFonts w:hint="eastAsia" w:ascii="宋体" w:hAnsi="宋体" w:eastAsia="宋体" w:cs="宋体"/>
                <w:sz w:val="24"/>
                <w:szCs w:val="24"/>
              </w:rPr>
              <w:t>政</w:t>
            </w:r>
          </w:p>
          <w:p>
            <w:pPr>
              <w:spacing w:line="360" w:lineRule="auto"/>
              <w:rPr>
                <w:rFonts w:hint="eastAsia" w:ascii="宋体" w:hAnsi="宋体" w:eastAsia="宋体" w:cs="宋体"/>
                <w:color w:val="000000"/>
                <w:sz w:val="24"/>
                <w:szCs w:val="24"/>
              </w:rPr>
            </w:pPr>
            <w:r>
              <w:rPr>
                <w:rFonts w:hint="eastAsia" w:ascii="宋体" w:hAnsi="宋体" w:eastAsia="宋体" w:cs="宋体"/>
                <w:sz w:val="24"/>
                <w:szCs w:val="24"/>
              </w:rPr>
              <w:t>策</w:t>
            </w:r>
          </w:p>
        </w:tc>
        <w:tc>
          <w:tcPr>
            <w:tcW w:w="8630" w:type="dxa"/>
            <w:gridSpan w:val="2"/>
            <w:noWrap/>
            <w:vAlign w:val="center"/>
          </w:tcPr>
          <w:p>
            <w:pPr>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对小型或微型企业参加政府采购投标的扶持：</w:t>
            </w:r>
          </w:p>
          <w:p>
            <w:pPr>
              <w:pStyle w:val="103"/>
              <w:pBdr>
                <w:between w:val="single" w:color="auto" w:sz="4" w:space="1"/>
              </w:pBdr>
              <w:spacing w:line="360" w:lineRule="auto"/>
              <w:rPr>
                <w:rFonts w:hint="eastAsia" w:ascii="宋体" w:hAnsi="宋体" w:eastAsia="宋体" w:cs="宋体"/>
                <w:color w:val="auto"/>
                <w:sz w:val="24"/>
                <w:szCs w:val="24"/>
              </w:rPr>
            </w:pPr>
            <w:r>
              <w:rPr>
                <w:rFonts w:hint="eastAsia" w:ascii="宋体" w:hAnsi="宋体" w:eastAsia="宋体" w:cs="宋体"/>
                <w:sz w:val="24"/>
                <w:szCs w:val="24"/>
              </w:rPr>
              <w:t>根据《政府采购促进中小企业发展管理办法》（财库[2020]46号）的规定，对于非专门面向中小企业的项目，对小型和微型企业产品的价格给予</w:t>
            </w:r>
            <w:r>
              <w:rPr>
                <w:rFonts w:hint="eastAsia" w:ascii="宋体" w:hAnsi="宋体" w:eastAsia="宋体" w:cs="宋体"/>
                <w:sz w:val="24"/>
                <w:szCs w:val="24"/>
                <w:lang w:val="en-US" w:eastAsia="zh-CN"/>
              </w:rPr>
              <w:t>10</w:t>
            </w:r>
            <w:r>
              <w:rPr>
                <w:rFonts w:hint="eastAsia" w:ascii="宋体" w:hAnsi="宋体" w:eastAsia="宋体" w:cs="宋体"/>
                <w:sz w:val="24"/>
                <w:szCs w:val="24"/>
              </w:rPr>
              <w:t>%的扣除，用扣除后的价格参与评审；供应商可在投标文件中提供小型和微型企业声明，具体格式详见附件。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69" w:type="dxa"/>
            <w:vMerge w:val="continue"/>
            <w:noWrap/>
            <w:vAlign w:val="center"/>
          </w:tcPr>
          <w:p>
            <w:pPr>
              <w:spacing w:line="360" w:lineRule="auto"/>
              <w:rPr>
                <w:rFonts w:hint="eastAsia" w:ascii="宋体" w:hAnsi="宋体" w:eastAsia="宋体" w:cs="宋体"/>
                <w:color w:val="000000"/>
                <w:sz w:val="24"/>
                <w:szCs w:val="24"/>
              </w:rPr>
            </w:pPr>
          </w:p>
        </w:tc>
        <w:tc>
          <w:tcPr>
            <w:tcW w:w="8630" w:type="dxa"/>
            <w:gridSpan w:val="2"/>
            <w:noWrap/>
            <w:vAlign w:val="center"/>
          </w:tcPr>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对监狱企业、残疾人福利企业的扶持</w:t>
            </w:r>
          </w:p>
          <w:p>
            <w:pPr>
              <w:pStyle w:val="103"/>
              <w:pBdr>
                <w:between w:val="single" w:color="auto" w:sz="4" w:space="1"/>
              </w:pBdr>
              <w:spacing w:line="360" w:lineRule="auto"/>
              <w:rPr>
                <w:rFonts w:hint="eastAsia" w:ascii="宋体" w:hAnsi="宋体" w:eastAsia="宋体" w:cs="宋体"/>
                <w:sz w:val="24"/>
                <w:szCs w:val="24"/>
              </w:rPr>
            </w:pPr>
            <w:r>
              <w:rPr>
                <w:rFonts w:hint="eastAsia" w:ascii="宋体" w:hAnsi="宋体" w:eastAsia="宋体" w:cs="宋体"/>
                <w:sz w:val="24"/>
                <w:szCs w:val="24"/>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w:t>
            </w:r>
            <w:r>
              <w:rPr>
                <w:rFonts w:hint="eastAsia" w:hAnsi="宋体" w:cs="宋体"/>
                <w:sz w:val="24"/>
                <w:szCs w:val="24"/>
                <w:lang w:val="en-US" w:eastAsia="zh-CN"/>
              </w:rPr>
              <w:t>10</w:t>
            </w:r>
            <w:r>
              <w:rPr>
                <w:rFonts w:hint="eastAsia" w:ascii="宋体" w:hAnsi="宋体" w:eastAsia="宋体" w:cs="宋体"/>
                <w:sz w:val="24"/>
                <w:szCs w:val="24"/>
              </w:rPr>
              <w:t>%的价格扣除，用扣除后的价格参与评审。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noWrap/>
            <w:vAlign w:val="center"/>
          </w:tcPr>
          <w:p>
            <w:pPr>
              <w:spacing w:line="360" w:lineRule="auto"/>
              <w:rPr>
                <w:rFonts w:hint="eastAsia" w:ascii="宋体" w:hAnsi="宋体" w:eastAsia="宋体" w:cs="宋体"/>
                <w:color w:val="000000"/>
                <w:sz w:val="24"/>
                <w:szCs w:val="24"/>
              </w:rPr>
            </w:pPr>
          </w:p>
        </w:tc>
        <w:tc>
          <w:tcPr>
            <w:tcW w:w="8630" w:type="dxa"/>
            <w:gridSpan w:val="2"/>
            <w:noWrap/>
            <w:vAlign w:val="center"/>
          </w:tcPr>
          <w:p>
            <w:pPr>
              <w:pStyle w:val="103"/>
              <w:pBdr>
                <w:between w:val="single" w:color="auto" w:sz="4" w:space="1"/>
              </w:pBd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对同时属于小微企业、监狱企业或残疾人福利性单位的， 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769" w:type="dxa"/>
            <w:vMerge w:val="continue"/>
            <w:noWrap/>
            <w:vAlign w:val="center"/>
          </w:tcPr>
          <w:p>
            <w:pPr>
              <w:spacing w:line="360" w:lineRule="auto"/>
              <w:rPr>
                <w:rFonts w:hint="eastAsia" w:ascii="宋体" w:hAnsi="宋体" w:eastAsia="宋体" w:cs="宋体"/>
                <w:color w:val="000000"/>
                <w:sz w:val="24"/>
                <w:szCs w:val="24"/>
              </w:rPr>
            </w:pPr>
          </w:p>
        </w:tc>
        <w:tc>
          <w:tcPr>
            <w:tcW w:w="8630" w:type="dxa"/>
            <w:gridSpan w:val="2"/>
            <w:noWrap/>
            <w:vAlign w:val="center"/>
          </w:tcPr>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对节能、环保政策的支持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103"/>
              <w:pBdr>
                <w:between w:val="single" w:color="auto" w:sz="4" w:space="1"/>
              </w:pBdr>
              <w:spacing w:line="360" w:lineRule="auto"/>
              <w:rPr>
                <w:rFonts w:hint="eastAsia" w:ascii="宋体" w:hAnsi="宋体" w:eastAsia="宋体" w:cs="宋体"/>
                <w:b/>
                <w:bCs/>
                <w:sz w:val="24"/>
                <w:szCs w:val="24"/>
              </w:rPr>
            </w:pPr>
            <w:r>
              <w:rPr>
                <w:rFonts w:hint="eastAsia" w:ascii="宋体" w:hAnsi="宋体" w:eastAsia="宋体" w:cs="宋体"/>
                <w:sz w:val="24"/>
                <w:szCs w:val="24"/>
              </w:rPr>
              <w:t>3、产品同时属于“非强制采购节能产品”、环境标志产品的，评审时只有其中一项能享受优先待遇（供应商自行选择，并在报价文件中填写相关信息及数据）。</w:t>
            </w:r>
          </w:p>
        </w:tc>
      </w:tr>
    </w:tbl>
    <w:p>
      <w:pPr>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br w:type="page"/>
      </w:r>
    </w:p>
    <w:p>
      <w:pPr>
        <w:pStyle w:val="3"/>
        <w:pageBreakBefore/>
        <w:spacing w:beforeLines="100" w:afterLines="100" w:line="500" w:lineRule="exact"/>
        <w:rPr>
          <w:rFonts w:asciiTheme="minorEastAsia" w:hAnsiTheme="minorEastAsia" w:eastAsiaTheme="minorEastAsia" w:cstheme="minorEastAsia"/>
          <w:sz w:val="36"/>
          <w:szCs w:val="36"/>
          <w:highlight w:val="none"/>
        </w:rPr>
      </w:pPr>
      <w:bookmarkStart w:id="141" w:name="_Toc16466"/>
      <w:r>
        <w:rPr>
          <w:rFonts w:hint="eastAsia" w:asciiTheme="minorEastAsia" w:hAnsiTheme="minorEastAsia" w:eastAsiaTheme="minorEastAsia" w:cstheme="minorEastAsia"/>
          <w:sz w:val="36"/>
          <w:szCs w:val="36"/>
          <w:highlight w:val="none"/>
        </w:rPr>
        <w:t>第五部分</w:t>
      </w:r>
      <w:bookmarkEnd w:id="130"/>
      <w:r>
        <w:rPr>
          <w:rFonts w:hint="eastAsia" w:asciiTheme="minorEastAsia" w:hAnsiTheme="minorEastAsia" w:eastAsiaTheme="minorEastAsia" w:cstheme="minorEastAsia"/>
          <w:sz w:val="36"/>
          <w:szCs w:val="36"/>
          <w:highlight w:val="none"/>
        </w:rPr>
        <w:t xml:space="preserve">  商务条款与采购要求</w:t>
      </w:r>
      <w:bookmarkEnd w:id="131"/>
      <w:bookmarkEnd w:id="132"/>
      <w:bookmarkEnd w:id="133"/>
      <w:bookmarkEnd w:id="134"/>
      <w:bookmarkEnd w:id="141"/>
    </w:p>
    <w:bookmarkEnd w:id="135"/>
    <w:bookmarkEnd w:id="136"/>
    <w:bookmarkEnd w:id="137"/>
    <w:bookmarkEnd w:id="138"/>
    <w:bookmarkEnd w:id="139"/>
    <w:bookmarkEnd w:id="140"/>
    <w:p>
      <w:pPr>
        <w:spacing w:line="360" w:lineRule="auto"/>
        <w:outlineLvl w:val="1"/>
        <w:rPr>
          <w:rFonts w:ascii="宋体" w:hAnsi="宋体" w:cs="宋体"/>
          <w:b/>
          <w:color w:val="000000"/>
          <w:sz w:val="24"/>
          <w:szCs w:val="24"/>
          <w:highlight w:val="none"/>
        </w:rPr>
      </w:pPr>
      <w:bookmarkStart w:id="142" w:name="_Toc2065"/>
      <w:bookmarkStart w:id="143" w:name="_Toc19835"/>
      <w:bookmarkStart w:id="144" w:name="_Toc22869"/>
      <w:bookmarkStart w:id="145" w:name="_Toc2234"/>
      <w:r>
        <w:rPr>
          <w:rFonts w:hint="eastAsia" w:ascii="宋体" w:hAnsi="宋体" w:cs="宋体"/>
          <w:b/>
          <w:color w:val="000000"/>
          <w:sz w:val="24"/>
          <w:szCs w:val="24"/>
          <w:highlight w:val="none"/>
        </w:rPr>
        <w:t>一、商务</w:t>
      </w:r>
      <w:r>
        <w:rPr>
          <w:rFonts w:hint="eastAsia" w:ascii="宋体" w:hAnsi="宋体" w:cs="宋体"/>
          <w:b/>
          <w:color w:val="000000"/>
          <w:sz w:val="24"/>
          <w:szCs w:val="24"/>
          <w:highlight w:val="none"/>
          <w:lang w:val="en-US" w:eastAsia="zh-CN"/>
        </w:rPr>
        <w:t>条款</w:t>
      </w:r>
      <w:bookmarkEnd w:id="142"/>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交货期：</w:t>
      </w:r>
      <w:r>
        <w:rPr>
          <w:rFonts w:hint="eastAsia" w:ascii="宋体" w:hAnsi="宋体" w:eastAsia="宋体" w:cs="宋体"/>
          <w:color w:val="auto"/>
          <w:sz w:val="24"/>
          <w:highlight w:val="none"/>
        </w:rPr>
        <w:t>合同签订后</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rPr>
        <w:t>个日历日</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质保期：</w:t>
      </w:r>
      <w:r>
        <w:rPr>
          <w:rFonts w:hint="eastAsia" w:ascii="宋体" w:hAnsi="宋体" w:eastAsia="宋体" w:cs="宋体"/>
          <w:color w:val="auto"/>
          <w:sz w:val="24"/>
          <w:szCs w:val="24"/>
          <w:highlight w:val="none"/>
        </w:rPr>
        <w:t>验收合格后</w:t>
      </w:r>
      <w:r>
        <w:rPr>
          <w:rFonts w:hint="eastAsia" w:ascii="宋体" w:hAnsi="宋体" w:cs="宋体"/>
          <w:color w:val="auto"/>
          <w:sz w:val="24"/>
          <w:szCs w:val="24"/>
          <w:highlight w:val="none"/>
          <w:lang w:val="en-US" w:eastAsia="zh-CN"/>
        </w:rPr>
        <w:t>不少于1年</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交货地点：</w:t>
      </w:r>
      <w:r>
        <w:rPr>
          <w:rFonts w:hint="eastAsia" w:ascii="宋体" w:hAnsi="宋体" w:cs="宋体"/>
          <w:color w:val="auto"/>
          <w:sz w:val="24"/>
          <w:szCs w:val="24"/>
          <w:highlight w:val="none"/>
          <w:lang w:eastAsia="zh-CN"/>
        </w:rPr>
        <w:t>陕西中医药大学第二附属医院指定地点</w:t>
      </w:r>
    </w:p>
    <w:p>
      <w:pPr>
        <w:spacing w:line="360" w:lineRule="auto"/>
        <w:ind w:firstLine="482" w:firstLineChars="200"/>
        <w:rPr>
          <w:rFonts w:hint="eastAsia" w:ascii="宋体" w:hAnsi="宋体" w:cs="宋体"/>
          <w:color w:val="auto"/>
          <w:sz w:val="24"/>
          <w:szCs w:val="24"/>
          <w:highlight w:val="none"/>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付款方式：</w:t>
      </w:r>
      <w:r>
        <w:rPr>
          <w:rFonts w:hint="eastAsia"/>
          <w:color w:val="auto"/>
          <w:sz w:val="24"/>
          <w:highlight w:val="none"/>
        </w:rPr>
        <w:t>货到安装调试验收合格后支付全部货款的</w:t>
      </w:r>
      <w:r>
        <w:rPr>
          <w:rFonts w:hint="eastAsia"/>
          <w:color w:val="auto"/>
          <w:sz w:val="24"/>
          <w:highlight w:val="none"/>
          <w:u w:val="single"/>
        </w:rPr>
        <w:t xml:space="preserve"> 65 </w:t>
      </w:r>
      <w:r>
        <w:rPr>
          <w:rFonts w:hint="eastAsia"/>
          <w:color w:val="auto"/>
          <w:sz w:val="24"/>
          <w:highlight w:val="none"/>
        </w:rPr>
        <w:t>%，设备验收合格并正常运行</w:t>
      </w:r>
      <w:r>
        <w:rPr>
          <w:rFonts w:hint="eastAsia"/>
          <w:color w:val="auto"/>
          <w:sz w:val="24"/>
          <w:highlight w:val="none"/>
          <w:u w:val="single"/>
        </w:rPr>
        <w:t xml:space="preserve"> 3</w:t>
      </w:r>
      <w:r>
        <w:rPr>
          <w:rFonts w:hint="eastAsia"/>
          <w:color w:val="auto"/>
          <w:sz w:val="24"/>
          <w:highlight w:val="none"/>
        </w:rPr>
        <w:t>个月后可支付全部货款的</w:t>
      </w:r>
      <w:r>
        <w:rPr>
          <w:rFonts w:hint="eastAsia"/>
          <w:color w:val="auto"/>
          <w:sz w:val="24"/>
          <w:highlight w:val="none"/>
          <w:u w:val="single"/>
        </w:rPr>
        <w:t xml:space="preserve"> 30 </w:t>
      </w:r>
      <w:r>
        <w:rPr>
          <w:rFonts w:hint="eastAsia"/>
          <w:color w:val="auto"/>
          <w:sz w:val="24"/>
          <w:highlight w:val="none"/>
        </w:rPr>
        <w:t>%，若设备因甲方施工等原因导致无法正常运行3个月的，则货到安装调试验收合格</w:t>
      </w:r>
      <w:r>
        <w:rPr>
          <w:rFonts w:hint="eastAsia"/>
          <w:color w:val="auto"/>
          <w:sz w:val="24"/>
          <w:highlight w:val="none"/>
          <w:u w:val="single"/>
        </w:rPr>
        <w:t xml:space="preserve"> 4</w:t>
      </w:r>
      <w:r>
        <w:rPr>
          <w:rFonts w:hint="eastAsia"/>
          <w:color w:val="auto"/>
          <w:sz w:val="24"/>
          <w:highlight w:val="none"/>
        </w:rPr>
        <w:t>个月后支付全部货款的</w:t>
      </w:r>
      <w:r>
        <w:rPr>
          <w:rFonts w:hint="eastAsia"/>
          <w:color w:val="auto"/>
          <w:sz w:val="24"/>
          <w:highlight w:val="none"/>
          <w:u w:val="single"/>
        </w:rPr>
        <w:t xml:space="preserve"> 30</w:t>
      </w:r>
      <w:r>
        <w:rPr>
          <w:rFonts w:hint="eastAsia"/>
          <w:color w:val="auto"/>
          <w:sz w:val="24"/>
          <w:highlight w:val="none"/>
        </w:rPr>
        <w:t xml:space="preserve"> %，剩余货款即全部货款的</w:t>
      </w:r>
      <w:r>
        <w:rPr>
          <w:rFonts w:hint="eastAsia"/>
          <w:color w:val="auto"/>
          <w:sz w:val="24"/>
          <w:highlight w:val="none"/>
          <w:u w:val="single"/>
        </w:rPr>
        <w:t xml:space="preserve"> 5 </w:t>
      </w:r>
      <w:r>
        <w:rPr>
          <w:rFonts w:hint="eastAsia"/>
          <w:color w:val="auto"/>
          <w:sz w:val="24"/>
          <w:highlight w:val="none"/>
        </w:rPr>
        <w:t>%，该笔款项自正式使用后开始计算质保期，待质保期满后无质量问题一次性付清。</w:t>
      </w:r>
    </w:p>
    <w:p>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支付方式：银行转账。</w:t>
      </w:r>
    </w:p>
    <w:p>
      <w:pPr>
        <w:numPr>
          <w:ilvl w:val="0"/>
          <w:numId w:val="0"/>
        </w:numPr>
        <w:spacing w:line="360" w:lineRule="auto"/>
        <w:jc w:val="left"/>
        <w:outlineLvl w:val="1"/>
        <w:rPr>
          <w:rFonts w:hint="eastAsia" w:ascii="宋体" w:hAnsi="宋体" w:eastAsia="宋体" w:cs="宋体"/>
          <w:b/>
          <w:color w:val="000000"/>
          <w:sz w:val="24"/>
          <w:szCs w:val="24"/>
          <w:highlight w:val="none"/>
          <w:lang w:val="en-US" w:eastAsia="zh-CN"/>
        </w:rPr>
      </w:pPr>
      <w:bookmarkStart w:id="146" w:name="_Toc16620"/>
      <w:r>
        <w:rPr>
          <w:rFonts w:hint="eastAsia" w:ascii="宋体" w:hAnsi="宋体" w:cs="宋体"/>
          <w:b/>
          <w:color w:val="000000"/>
          <w:sz w:val="24"/>
          <w:szCs w:val="24"/>
          <w:highlight w:val="none"/>
          <w:lang w:val="en-US" w:eastAsia="zh-CN"/>
        </w:rPr>
        <w:t>二、</w:t>
      </w:r>
      <w:r>
        <w:rPr>
          <w:rFonts w:hint="eastAsia" w:ascii="宋体" w:hAnsi="宋体" w:eastAsia="宋体" w:cs="宋体"/>
          <w:b/>
          <w:color w:val="000000"/>
          <w:sz w:val="24"/>
          <w:szCs w:val="24"/>
          <w:highlight w:val="none"/>
          <w:lang w:val="en-US" w:eastAsia="zh-CN"/>
        </w:rPr>
        <w:t>采购要求</w:t>
      </w:r>
      <w:bookmarkEnd w:id="146"/>
    </w:p>
    <w:p>
      <w:pPr>
        <w:numPr>
          <w:ilvl w:val="0"/>
          <w:numId w:val="0"/>
        </w:numPr>
        <w:spacing w:line="360" w:lineRule="auto"/>
        <w:outlineLvl w:val="2"/>
        <w:rPr>
          <w:rFonts w:hint="eastAsia" w:ascii="宋体" w:hAnsi="宋体" w:eastAsia="宋体" w:cs="宋体"/>
          <w:b/>
          <w:color w:val="000000"/>
          <w:sz w:val="24"/>
          <w:szCs w:val="24"/>
          <w:highlight w:val="yellow"/>
          <w:lang w:val="en-US" w:eastAsia="zh-CN"/>
        </w:rPr>
      </w:pPr>
      <w:r>
        <w:rPr>
          <w:rFonts w:hint="eastAsia" w:ascii="宋体" w:hAnsi="宋体" w:eastAsia="宋体" w:cs="宋体"/>
          <w:b/>
          <w:color w:val="000000"/>
          <w:sz w:val="24"/>
          <w:szCs w:val="24"/>
          <w:highlight w:val="none"/>
          <w:lang w:val="en-US" w:eastAsia="zh-CN"/>
        </w:rPr>
        <w:t>第一包：床旁血滤机</w:t>
      </w:r>
      <w:r>
        <w:rPr>
          <w:rFonts w:hint="eastAsia" w:ascii="宋体" w:hAnsi="宋体" w:cs="宋体"/>
          <w:b/>
          <w:color w:val="000000"/>
          <w:sz w:val="24"/>
          <w:szCs w:val="24"/>
          <w:highlight w:val="none"/>
          <w:lang w:val="en-US" w:eastAsia="zh-CN"/>
        </w:rPr>
        <w:t>（1套）</w:t>
      </w:r>
    </w:p>
    <w:p>
      <w:pPr>
        <w:wordWrap w:val="0"/>
        <w:adjustRightInd w:val="0"/>
        <w:snapToGrid w:val="0"/>
        <w:spacing w:line="360" w:lineRule="auto"/>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eastAsia="宋体" w:cs="宋体"/>
          <w:b/>
          <w:bCs/>
          <w:sz w:val="24"/>
          <w:szCs w:val="24"/>
        </w:rPr>
        <w:t>一</w:t>
      </w:r>
      <w:r>
        <w:rPr>
          <w:rFonts w:hint="eastAsia" w:ascii="宋体" w:hAnsi="宋体" w:cs="宋体"/>
          <w:b/>
          <w:bCs/>
          <w:sz w:val="24"/>
          <w:szCs w:val="24"/>
          <w:lang w:eastAsia="zh-CN"/>
        </w:rPr>
        <w:t>）</w:t>
      </w:r>
      <w:r>
        <w:rPr>
          <w:rFonts w:hint="eastAsia" w:ascii="宋体" w:hAnsi="宋体" w:eastAsia="宋体" w:cs="宋体"/>
          <w:b/>
          <w:bCs/>
          <w:sz w:val="24"/>
          <w:szCs w:val="24"/>
        </w:rPr>
        <w:t>用途：</w:t>
      </w:r>
    </w:p>
    <w:p>
      <w:pPr>
        <w:wordWrap w:val="0"/>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临床用于连续性血液净化治疗、血浆置换治疗、血浆吸附治疗、血液灌流治疗等。</w:t>
      </w:r>
    </w:p>
    <w:p>
      <w:pPr>
        <w:wordWrap w:val="0"/>
        <w:adjustRightInd w:val="0"/>
        <w:snapToGrid w:val="0"/>
        <w:spacing w:line="360" w:lineRule="auto"/>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eastAsia="宋体" w:cs="宋体"/>
          <w:b/>
          <w:bCs/>
          <w:sz w:val="24"/>
          <w:szCs w:val="24"/>
        </w:rPr>
        <w:t>二</w:t>
      </w:r>
      <w:r>
        <w:rPr>
          <w:rFonts w:hint="eastAsia" w:ascii="宋体" w:hAnsi="宋体" w:cs="宋体"/>
          <w:b/>
          <w:bCs/>
          <w:sz w:val="24"/>
          <w:szCs w:val="24"/>
          <w:lang w:eastAsia="zh-CN"/>
        </w:rPr>
        <w:t>）</w:t>
      </w:r>
      <w:r>
        <w:rPr>
          <w:rFonts w:hint="eastAsia" w:ascii="宋体" w:hAnsi="宋体" w:eastAsia="宋体" w:cs="宋体"/>
          <w:b/>
          <w:bCs/>
          <w:sz w:val="24"/>
          <w:szCs w:val="24"/>
        </w:rPr>
        <w:t>治疗模式：</w:t>
      </w:r>
    </w:p>
    <w:p>
      <w:pPr>
        <w:wordWrap w:val="0"/>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具备连续性静脉静脉血液透析（CVVHD）、连续性静脉静脉血液滤过（CVVH）、连续性静脉静脉血液透析滤过（CVVHDF）、缓慢性连续性超滤（SCUF）、血液灌流（HP）、单重血浆置换（PE）、血浆吸附（PA）等治疗功能。</w:t>
      </w:r>
    </w:p>
    <w:p>
      <w:pPr>
        <w:wordWrap w:val="0"/>
        <w:adjustRightInd w:val="0"/>
        <w:snapToGrid w:val="0"/>
        <w:spacing w:line="360" w:lineRule="auto"/>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eastAsia="宋体" w:cs="宋体"/>
          <w:b/>
          <w:bCs/>
          <w:sz w:val="24"/>
          <w:szCs w:val="24"/>
        </w:rPr>
        <w:t>三</w:t>
      </w:r>
      <w:r>
        <w:rPr>
          <w:rFonts w:hint="eastAsia" w:ascii="宋体" w:hAnsi="宋体" w:cs="宋体"/>
          <w:b/>
          <w:bCs/>
          <w:sz w:val="24"/>
          <w:szCs w:val="24"/>
          <w:lang w:eastAsia="zh-CN"/>
        </w:rPr>
        <w:t>）</w:t>
      </w:r>
      <w:r>
        <w:rPr>
          <w:rFonts w:hint="eastAsia" w:ascii="宋体" w:hAnsi="宋体" w:eastAsia="宋体" w:cs="宋体"/>
          <w:b/>
          <w:bCs/>
          <w:sz w:val="24"/>
          <w:szCs w:val="24"/>
        </w:rPr>
        <w:t>技术要求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1、≥10英寸液晶触摸显示屏，具中文操作界面。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2、设备配置有枸橼酸抗凝输入功能。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3、设备配置碳酸氢钠单独输入功能，防止出现钙镁离子沉淀。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4、管路的安装有图文引导。</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★5、管路和血液滤过器分离，兼容多种品牌的透析器、血浆分离器和灌流器等。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6、设备配置≥1个肝素泵，支持≥4规格的注射器。</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★7、设备配置≥4个流量泵（不包括肝素泵）。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8、流量控制范围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8.1血泵流量范围：30mL/min～220mL/min。</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8.2置换液流量范围：100～7200mL/h。</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8.3废液流量范围：100～7200mL/h。</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8.4透析液流量范围：100～3000mL/h。</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9、压力检测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9.1动脉压监测范围: -300mmHg～+300mmHg。</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9.2静脉压监测范围: -300mmHg～+300mmHg。</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9.3跨膜压监测范围: -300mmHg～+300mmHg。</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9.4滤前压监测范围：-300mmHg～+300mmHg。</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9.5一级膜外压监测范围：-300mmHg～+300mmHg。</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10、气泡检测器：可监测≤0.02ml的气泡。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11、具备漏血监测功能。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12、脱水范围为0～3000mL/h。</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13、加热系统：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直接控制置换液温度，温度范围：35～38℃ ，置换液温度控制精度：±1℃。</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14、设备≥2个高精度称重计，最大的称重范围：≥30kg。</w:t>
      </w:r>
    </w:p>
    <w:p>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15、设备配套耗材独立报价。</w:t>
      </w:r>
    </w:p>
    <w:p>
      <w:pPr>
        <w:spacing w:line="360" w:lineRule="auto"/>
        <w:outlineLvl w:val="2"/>
        <w:rPr>
          <w:rFonts w:hint="eastAsia"/>
          <w:b/>
          <w:bCs/>
          <w:sz w:val="24"/>
          <w:szCs w:val="24"/>
          <w:highlight w:val="none"/>
          <w:lang w:val="en-US" w:eastAsia="zh-CN"/>
        </w:rPr>
      </w:pPr>
      <w:r>
        <w:rPr>
          <w:rFonts w:hint="eastAsia"/>
          <w:b/>
          <w:bCs/>
          <w:sz w:val="24"/>
          <w:szCs w:val="24"/>
          <w:highlight w:val="none"/>
          <w:lang w:val="en-US" w:eastAsia="zh-CN"/>
        </w:rPr>
        <w:t>第二包：神经中央监护分析系统（1套）</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一</w:t>
      </w:r>
      <w:r>
        <w:rPr>
          <w:rFonts w:hint="eastAsia" w:ascii="宋体" w:hAnsi="宋体" w:cs="宋体"/>
          <w:sz w:val="24"/>
          <w:szCs w:val="24"/>
          <w:lang w:eastAsia="zh-CN"/>
        </w:rPr>
        <w:t>）</w:t>
      </w:r>
      <w:r>
        <w:rPr>
          <w:rFonts w:hint="eastAsia" w:ascii="宋体" w:hAnsi="宋体" w:eastAsia="宋体" w:cs="宋体"/>
          <w:sz w:val="24"/>
          <w:szCs w:val="24"/>
        </w:rPr>
        <w:t xml:space="preserve">系统配置：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1、中央主机：中央分析系统1套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1.1、电脑主机：i7</w:t>
      </w:r>
      <w:r>
        <w:rPr>
          <w:rFonts w:hint="eastAsia" w:ascii="宋体" w:hAnsi="宋体" w:eastAsia="宋体" w:cs="宋体"/>
          <w:sz w:val="24"/>
          <w:szCs w:val="24"/>
          <w:lang w:val="en-US" w:eastAsia="zh-CN"/>
        </w:rPr>
        <w:t>及以上，内存≥</w:t>
      </w:r>
      <w:r>
        <w:rPr>
          <w:rFonts w:hint="eastAsia" w:ascii="宋体" w:hAnsi="宋体" w:eastAsia="宋体" w:cs="宋体"/>
          <w:sz w:val="24"/>
          <w:szCs w:val="24"/>
        </w:rPr>
        <w:t>8G</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硬盘≥</w:t>
      </w:r>
      <w:r>
        <w:rPr>
          <w:rFonts w:hint="eastAsia" w:ascii="宋体" w:hAnsi="宋体" w:eastAsia="宋体" w:cs="宋体"/>
          <w:sz w:val="24"/>
          <w:szCs w:val="24"/>
        </w:rPr>
        <w:t>1T</w:t>
      </w:r>
      <w:r>
        <w:rPr>
          <w:rFonts w:hint="eastAsia" w:ascii="宋体" w:hAnsi="宋体" w:eastAsia="宋体" w:cs="宋体"/>
          <w:sz w:val="24"/>
          <w:szCs w:val="24"/>
          <w:lang w:eastAsia="zh-CN"/>
        </w:rPr>
        <w:t>，</w:t>
      </w:r>
      <w:r>
        <w:rPr>
          <w:rFonts w:hint="eastAsia" w:ascii="宋体" w:hAnsi="宋体" w:eastAsia="宋体" w:cs="宋体"/>
          <w:sz w:val="24"/>
          <w:szCs w:val="24"/>
        </w:rPr>
        <w:t>液晶显示器</w:t>
      </w:r>
      <w:r>
        <w:rPr>
          <w:rFonts w:hint="eastAsia" w:ascii="宋体" w:hAnsi="宋体" w:cs="宋体"/>
          <w:sz w:val="24"/>
          <w:szCs w:val="24"/>
          <w:lang w:eastAsia="zh-CN"/>
        </w:rPr>
        <w:t>≥</w:t>
      </w:r>
      <w:r>
        <w:rPr>
          <w:rFonts w:hint="eastAsia" w:ascii="宋体" w:hAnsi="宋体" w:cs="宋体"/>
          <w:sz w:val="24"/>
          <w:szCs w:val="24"/>
          <w:lang w:val="en-US" w:eastAsia="zh-CN"/>
        </w:rPr>
        <w:t>21英寸1台</w:t>
      </w:r>
      <w:r>
        <w:rPr>
          <w:rFonts w:hint="eastAsia" w:ascii="宋体" w:hAnsi="宋体" w:eastAsia="宋体" w:cs="宋体"/>
          <w:sz w:val="24"/>
          <w:szCs w:val="24"/>
        </w:rPr>
        <w:t>、彩色打印机1台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1.2、通过网络接收床旁神经监护仪的数据，完成数据采集、存储、调入、回放、实时趋势分析、后期分析、数据转存和报告编印。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2、床旁机系统 1套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★监测参数：通道数≥32通道：包括脑电≥20道（含4道中线电极）、2道独立蝶骨电极通道、多导生理通道（可设置为肌电通道、眼电通道、心电通道等）。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3、视频监测组件 1套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3.1、对病员进行视频监测，与所有监测参数同步记录并显示。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3.2、高清数字视频网络摄像系统，摄像头≥200万像素。</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3.3、具有图像局部放大、夜视功能</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4、睡眠监测参数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睡眠分析软件包括眼电、肌电、口鼻气流、鼻气流、胸式呼吸、腹式呼吸、鼾声、体位监测等。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5、移动分析工作站：配置台式电脑i5</w:t>
      </w:r>
      <w:r>
        <w:rPr>
          <w:rFonts w:hint="eastAsia" w:ascii="宋体" w:hAnsi="宋体" w:eastAsia="宋体" w:cs="宋体"/>
          <w:sz w:val="24"/>
          <w:szCs w:val="24"/>
          <w:lang w:val="en-US" w:eastAsia="zh-CN"/>
        </w:rPr>
        <w:t>及以上，内存≥</w:t>
      </w:r>
      <w:r>
        <w:rPr>
          <w:rFonts w:hint="eastAsia" w:ascii="宋体" w:hAnsi="宋体" w:eastAsia="宋体" w:cs="宋体"/>
          <w:sz w:val="24"/>
          <w:szCs w:val="24"/>
        </w:rPr>
        <w:t>16G</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硬盘≥</w:t>
      </w:r>
      <w:r>
        <w:rPr>
          <w:rFonts w:hint="eastAsia" w:ascii="宋体" w:hAnsi="宋体" w:eastAsia="宋体" w:cs="宋体"/>
          <w:sz w:val="24"/>
          <w:szCs w:val="24"/>
        </w:rPr>
        <w:t>1T</w:t>
      </w:r>
      <w:r>
        <w:rPr>
          <w:rFonts w:hint="eastAsia" w:ascii="宋体" w:hAnsi="宋体" w:eastAsia="宋体" w:cs="宋体"/>
          <w:sz w:val="24"/>
          <w:szCs w:val="24"/>
          <w:lang w:eastAsia="zh-CN"/>
        </w:rPr>
        <w:t>，</w:t>
      </w:r>
      <w:r>
        <w:rPr>
          <w:rFonts w:hint="eastAsia" w:ascii="宋体" w:hAnsi="宋体" w:eastAsia="宋体" w:cs="宋体"/>
          <w:sz w:val="24"/>
          <w:szCs w:val="24"/>
        </w:rPr>
        <w:t>液晶显示器</w:t>
      </w:r>
      <w:r>
        <w:rPr>
          <w:rFonts w:hint="eastAsia" w:ascii="宋体" w:hAnsi="宋体" w:cs="宋体"/>
          <w:sz w:val="24"/>
          <w:szCs w:val="24"/>
          <w:lang w:eastAsia="zh-CN"/>
        </w:rPr>
        <w:t>≥</w:t>
      </w:r>
      <w:r>
        <w:rPr>
          <w:rFonts w:hint="eastAsia" w:ascii="宋体" w:hAnsi="宋体" w:cs="宋体"/>
          <w:sz w:val="24"/>
          <w:szCs w:val="24"/>
          <w:lang w:val="en-US" w:eastAsia="zh-CN"/>
        </w:rPr>
        <w:t>13英寸1台</w:t>
      </w:r>
      <w:r>
        <w:rPr>
          <w:rFonts w:hint="eastAsia" w:ascii="宋体" w:hAnsi="宋体" w:eastAsia="宋体" w:cs="宋体"/>
          <w:sz w:val="24"/>
          <w:szCs w:val="24"/>
        </w:rPr>
        <w:t>、彩色打印机</w:t>
      </w:r>
      <w:r>
        <w:rPr>
          <w:rFonts w:hint="eastAsia" w:ascii="宋体" w:hAnsi="宋体" w:eastAsia="宋体" w:cs="宋体"/>
          <w:sz w:val="24"/>
          <w:szCs w:val="24"/>
          <w:lang w:val="en-US" w:eastAsia="zh-CN"/>
        </w:rPr>
        <w:t>1台</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5.1、配置台车一台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5.2、与床旁机具有数据通信能力，可以调取所有病员数据，进行分析、处理、出报告及打印等。</w:t>
      </w:r>
    </w:p>
    <w:p>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6、闪光刺激器1套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7、具备电极阻抗测试功能。</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二</w:t>
      </w:r>
      <w:r>
        <w:rPr>
          <w:rFonts w:hint="eastAsia" w:ascii="宋体" w:hAnsi="宋体" w:cs="宋体"/>
          <w:sz w:val="24"/>
          <w:szCs w:val="24"/>
          <w:lang w:eastAsia="zh-CN"/>
        </w:rPr>
        <w:t>）</w:t>
      </w:r>
      <w:r>
        <w:rPr>
          <w:rFonts w:hint="eastAsia" w:ascii="宋体" w:hAnsi="宋体" w:eastAsia="宋体" w:cs="宋体"/>
          <w:sz w:val="24"/>
          <w:szCs w:val="24"/>
        </w:rPr>
        <w:t>系统软件功能要求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1、加权趋势分析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2、脑电定量分析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3、睡眠分析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3.1、睡眠自动分析及手动调整，事件标记及编辑。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3.2、睡眠呼吸暂停综合征自动分型及手动调整，各项指标参数可调。</w:t>
      </w:r>
    </w:p>
    <w:p>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3.3、睡眠、呼吸多种分析数据自动统计，报告自动生成。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4、对称性指数分析</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★5、AEEG振幅整合分析</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★6、爆发抑制分析</w:t>
      </w:r>
    </w:p>
    <w:p>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7、功率谱分析，脑电地形图和动态地形图</w:t>
      </w:r>
      <w:r>
        <w:rPr>
          <w:rFonts w:hint="eastAsia" w:ascii="宋体" w:hAnsi="宋体" w:eastAsia="宋体" w:cs="宋体"/>
          <w:color w:val="FF0000"/>
          <w:sz w:val="24"/>
          <w:szCs w:val="24"/>
        </w:rPr>
        <w:t xml:space="preserve"> </w:t>
      </w:r>
    </w:p>
    <w:p>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8、多天、多段数据拼接</w:t>
      </w:r>
      <w:r>
        <w:rPr>
          <w:rFonts w:hint="eastAsia" w:ascii="宋体" w:hAnsi="宋体" w:eastAsia="宋体" w:cs="宋体"/>
          <w:color w:val="FF0000"/>
          <w:sz w:val="24"/>
          <w:szCs w:val="24"/>
        </w:rPr>
        <w:t xml:space="preserve"> </w:t>
      </w:r>
    </w:p>
    <w:p>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9、三维加权趋势分析、棘波提示和大数据快速阅图</w:t>
      </w:r>
    </w:p>
    <w:p>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10、分析结果与原始波形同屏同步显示</w:t>
      </w:r>
      <w:r>
        <w:rPr>
          <w:rFonts w:hint="eastAsia" w:ascii="宋体" w:hAnsi="宋体" w:eastAsia="宋体" w:cs="宋体"/>
          <w:color w:val="FF0000"/>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11、导联自由编辑，可调数字滤波器</w:t>
      </w:r>
    </w:p>
    <w:p>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12、快捷键快速回放，回放倍数任意设定</w:t>
      </w:r>
      <w:r>
        <w:rPr>
          <w:rFonts w:hint="eastAsia" w:ascii="宋体" w:hAnsi="宋体" w:eastAsia="宋体" w:cs="宋体"/>
          <w:color w:val="FF0000"/>
          <w:sz w:val="24"/>
          <w:szCs w:val="24"/>
        </w:rPr>
        <w:t xml:space="preserve"> </w:t>
      </w:r>
    </w:p>
    <w:p>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13、事件标记任意编辑及检索</w:t>
      </w:r>
      <w:r>
        <w:rPr>
          <w:rFonts w:hint="eastAsia" w:ascii="宋体" w:hAnsi="宋体" w:eastAsia="宋体" w:cs="宋体"/>
          <w:color w:val="FF0000"/>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14、伪迹自动/手动排除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三、具体技术参数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1、电压测量：误差±10%。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2、时间间隔：误差±5% </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★3、幅频特性：0.5Hz～100Hz</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★4、共模抑制比：≥100dB</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5、噪声电平：≤1.5μV</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6、心率监测：成人10bpm～300bpm；儿童和新生儿 10bpm～300bpm。</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7、血氧饱和度监护：测量范围：0%～100%</w:t>
      </w:r>
    </w:p>
    <w:p>
      <w:pPr>
        <w:bidi w:val="0"/>
        <w:spacing w:line="360" w:lineRule="auto"/>
        <w:ind w:firstLine="480" w:firstLineChars="200"/>
        <w:outlineLvl w:val="9"/>
        <w:rPr>
          <w:rFonts w:hint="eastAsia" w:ascii="宋体" w:hAnsi="宋体" w:eastAsia="宋体" w:cs="宋体"/>
          <w:sz w:val="24"/>
          <w:szCs w:val="24"/>
          <w:shd w:val="clear" w:color="auto" w:fill="FFFFFF"/>
        </w:rPr>
      </w:pPr>
      <w:r>
        <w:rPr>
          <w:rFonts w:hint="eastAsia" w:ascii="宋体" w:hAnsi="宋体" w:eastAsia="宋体" w:cs="宋体"/>
          <w:sz w:val="24"/>
          <w:szCs w:val="24"/>
        </w:rPr>
        <w:t>8、呼吸监测：测量范围为0rpm～150rpm</w:t>
      </w:r>
    </w:p>
    <w:p>
      <w:pPr>
        <w:bidi w:val="0"/>
        <w:spacing w:line="360" w:lineRule="auto"/>
        <w:outlineLvl w:val="2"/>
        <w:rPr>
          <w:rFonts w:hint="eastAsia"/>
          <w:b/>
          <w:bCs/>
          <w:sz w:val="24"/>
          <w:szCs w:val="24"/>
          <w:highlight w:val="none"/>
          <w:lang w:val="en-US" w:eastAsia="zh-CN"/>
        </w:rPr>
      </w:pPr>
      <w:r>
        <w:rPr>
          <w:rFonts w:hint="eastAsia"/>
          <w:b/>
          <w:bCs/>
          <w:sz w:val="24"/>
          <w:szCs w:val="24"/>
          <w:highlight w:val="none"/>
          <w:lang w:val="en-US" w:eastAsia="zh-CN"/>
        </w:rPr>
        <w:t>第三包：诱发电位仪 （1套）</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一</w:t>
      </w:r>
      <w:r>
        <w:rPr>
          <w:rFonts w:hint="eastAsia" w:ascii="宋体" w:hAnsi="宋体" w:cs="宋体"/>
          <w:sz w:val="24"/>
          <w:szCs w:val="24"/>
          <w:lang w:eastAsia="zh-CN"/>
        </w:rPr>
        <w:t>）</w:t>
      </w:r>
      <w:r>
        <w:rPr>
          <w:rFonts w:hint="eastAsia" w:ascii="宋体" w:hAnsi="宋体" w:eastAsia="宋体" w:cs="宋体"/>
          <w:sz w:val="24"/>
          <w:szCs w:val="24"/>
        </w:rPr>
        <w:t>信号通道技术要求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Cs/>
          <w:sz w:val="24"/>
          <w:szCs w:val="24"/>
        </w:rPr>
        <w:t>信号通道数</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通道；</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sz w:val="24"/>
          <w:szCs w:val="24"/>
        </w:rPr>
        <w:t>电压灵敏度：0.05uV/div到10mV/div分档控制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Cs/>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电压灵敏度误差：</w:t>
      </w:r>
      <w:r>
        <w:rPr>
          <w:rFonts w:hint="eastAsia" w:ascii="宋体" w:hAnsi="宋体" w:eastAsia="宋体" w:cs="宋体"/>
          <w:sz w:val="24"/>
          <w:szCs w:val="24"/>
        </w:rPr>
        <w:t>≤±5%</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4、频率范围：0.5Hz～10kHz，电压测量误差+5%～-15%</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5、扫描时程：1ms/div到200ms/div分档控制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6、共模信号抑制能力：</w:t>
      </w:r>
      <w:r>
        <w:rPr>
          <w:rFonts w:hint="eastAsia" w:ascii="宋体" w:hAnsi="宋体" w:eastAsia="宋体" w:cs="宋体"/>
          <w:sz w:val="24"/>
          <w:szCs w:val="24"/>
        </w:rPr>
        <w:sym w:font="Symbol" w:char="F0B3"/>
      </w:r>
      <w:r>
        <w:rPr>
          <w:rFonts w:hint="eastAsia" w:ascii="宋体" w:hAnsi="宋体" w:eastAsia="宋体" w:cs="宋体"/>
          <w:sz w:val="24"/>
          <w:szCs w:val="24"/>
        </w:rPr>
        <w:t>80dB（患者电缆输入端，50Hz）</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7、输入阻抗：≥300MΩ（患者电缆输入端，50Hz）</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8、噪声电压：</w:t>
      </w:r>
      <w:r>
        <w:rPr>
          <w:rFonts w:hint="eastAsia" w:ascii="宋体" w:hAnsi="宋体" w:eastAsia="宋体" w:cs="宋体"/>
          <w:sz w:val="24"/>
          <w:szCs w:val="24"/>
        </w:rPr>
        <w:t>≤</w:t>
      </w:r>
      <w:r>
        <w:rPr>
          <w:rFonts w:hint="eastAsia" w:ascii="宋体" w:hAnsi="宋体" w:eastAsia="宋体" w:cs="宋体"/>
          <w:color w:val="000000" w:themeColor="text1"/>
          <w:sz w:val="24"/>
          <w:szCs w:val="24"/>
          <w14:textFill>
            <w14:solidFill>
              <w14:schemeClr w14:val="tx1"/>
            </w14:solidFill>
          </w14:textFill>
        </w:rPr>
        <w:t>0.8μV（ms，1Hz～2kHz）</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sz w:val="24"/>
          <w:szCs w:val="24"/>
        </w:rPr>
        <w:t>A/D分辨率：24比特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10、采样率：≥200kHz</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11、定标测试：设备可以通过定标信号的输入和输出进行设备信号通路的硬件诊断检测。</w:t>
      </w:r>
    </w:p>
    <w:p>
      <w:pPr>
        <w:spacing w:line="360" w:lineRule="auto"/>
        <w:ind w:firstLine="480" w:firstLineChars="200"/>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二</w:t>
      </w:r>
      <w:r>
        <w:rPr>
          <w:rFonts w:hint="eastAsia" w:ascii="宋体" w:hAnsi="宋体" w:cs="宋体"/>
          <w:bCs/>
          <w:sz w:val="24"/>
          <w:szCs w:val="24"/>
          <w:lang w:eastAsia="zh-CN"/>
        </w:rPr>
        <w:t>）</w:t>
      </w:r>
      <w:r>
        <w:rPr>
          <w:rFonts w:hint="eastAsia" w:ascii="宋体" w:hAnsi="宋体" w:eastAsia="宋体" w:cs="宋体"/>
          <w:bCs/>
          <w:sz w:val="24"/>
          <w:szCs w:val="24"/>
        </w:rPr>
        <w:t>声刺激技术要求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1、最大Click声强:125dB-135dB(SPL峰值)，声音包括Click声、交替声、短纯音等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2、刺激极性：疏波、密波、疏密交替波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3、最大白噪声声强：105—115d</w:t>
      </w:r>
      <w:r>
        <w:rPr>
          <w:rFonts w:hint="eastAsia" w:ascii="宋体" w:hAnsi="宋体" w:eastAsia="宋体" w:cs="宋体"/>
          <w:sz w:val="24"/>
          <w:szCs w:val="24"/>
          <w:lang w:val="en-US" w:eastAsia="zh-CN"/>
        </w:rPr>
        <w:t>B</w:t>
      </w:r>
      <w:r>
        <w:rPr>
          <w:rFonts w:hint="eastAsia" w:ascii="宋体" w:hAnsi="宋体" w:eastAsia="宋体" w:cs="宋体"/>
          <w:sz w:val="24"/>
          <w:szCs w:val="24"/>
        </w:rPr>
        <w:t>(SPL峰值)</w:t>
      </w:r>
    </w:p>
    <w:p>
      <w:pPr>
        <w:spacing w:line="360" w:lineRule="auto"/>
        <w:ind w:firstLine="480" w:firstLineChars="200"/>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三</w:t>
      </w:r>
      <w:r>
        <w:rPr>
          <w:rFonts w:hint="eastAsia" w:ascii="宋体" w:hAnsi="宋体" w:cs="宋体"/>
          <w:bCs/>
          <w:sz w:val="24"/>
          <w:szCs w:val="24"/>
          <w:lang w:eastAsia="zh-CN"/>
        </w:rPr>
        <w:t>）</w:t>
      </w:r>
      <w:r>
        <w:rPr>
          <w:rFonts w:hint="eastAsia" w:ascii="宋体" w:hAnsi="宋体" w:eastAsia="宋体" w:cs="宋体"/>
          <w:bCs/>
          <w:sz w:val="24"/>
          <w:szCs w:val="24"/>
        </w:rPr>
        <w:t>电流刺激技术要求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1、最大电流脉冲强度：100mA±5%</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2、脉冲强度误差≤±5%</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3、最大脉冲宽度：1ms±5%。</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sz w:val="24"/>
          <w:szCs w:val="24"/>
        </w:rPr>
        <w:t>脉冲宽度误差≤±5%</w:t>
      </w:r>
    </w:p>
    <w:p>
      <w:pPr>
        <w:spacing w:line="360" w:lineRule="auto"/>
        <w:ind w:firstLine="480" w:firstLineChars="200"/>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四</w:t>
      </w:r>
      <w:r>
        <w:rPr>
          <w:rFonts w:hint="eastAsia" w:ascii="宋体" w:hAnsi="宋体" w:cs="宋体"/>
          <w:bCs/>
          <w:sz w:val="24"/>
          <w:szCs w:val="24"/>
          <w:lang w:eastAsia="zh-CN"/>
        </w:rPr>
        <w:t>）</w:t>
      </w:r>
      <w:r>
        <w:rPr>
          <w:rFonts w:hint="eastAsia" w:ascii="宋体" w:hAnsi="宋体" w:eastAsia="宋体" w:cs="宋体"/>
          <w:bCs/>
          <w:sz w:val="24"/>
          <w:szCs w:val="24"/>
        </w:rPr>
        <w:t>光刺激技术要求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1、LED闪光刺激照度：20Lux～55Lux</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2、可分别给予左、右和双眼刺激的LED闪光器</w:t>
      </w:r>
    </w:p>
    <w:p>
      <w:pPr>
        <w:spacing w:line="360" w:lineRule="auto"/>
        <w:ind w:firstLine="480" w:firstLineChars="200"/>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五</w:t>
      </w:r>
      <w:r>
        <w:rPr>
          <w:rFonts w:hint="eastAsia" w:ascii="宋体" w:hAnsi="宋体" w:cs="宋体"/>
          <w:bCs/>
          <w:sz w:val="24"/>
          <w:szCs w:val="24"/>
          <w:lang w:eastAsia="zh-CN"/>
        </w:rPr>
        <w:t>）</w:t>
      </w:r>
      <w:r>
        <w:rPr>
          <w:rFonts w:hint="eastAsia" w:ascii="宋体" w:hAnsi="宋体" w:eastAsia="宋体" w:cs="宋体"/>
          <w:bCs/>
          <w:sz w:val="24"/>
          <w:szCs w:val="24"/>
        </w:rPr>
        <w:t>刺激触发技术要求</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1、最高触发频率：</w:t>
      </w:r>
      <w:r>
        <w:rPr>
          <w:rFonts w:hint="eastAsia" w:ascii="宋体" w:hAnsi="宋体" w:eastAsia="宋体" w:cs="宋体"/>
          <w:color w:val="000000" w:themeColor="text1"/>
          <w:sz w:val="24"/>
          <w:szCs w:val="24"/>
          <w14:textFill>
            <w14:solidFill>
              <w14:schemeClr w14:val="tx1"/>
            </w14:solidFill>
          </w14:textFill>
        </w:rPr>
        <w:t>70Hz±5%</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触</w:t>
      </w:r>
      <w:r>
        <w:rPr>
          <w:rFonts w:hint="eastAsia" w:ascii="宋体" w:hAnsi="宋体" w:eastAsia="宋体" w:cs="宋体"/>
          <w:color w:val="000000" w:themeColor="text1"/>
          <w:sz w:val="24"/>
          <w:szCs w:val="24"/>
          <w14:textFill>
            <w14:solidFill>
              <w14:schemeClr w14:val="tx1"/>
            </w14:solidFill>
          </w14:textFill>
        </w:rPr>
        <w:t>发频率误差：≤±5%</w:t>
      </w:r>
    </w:p>
    <w:p>
      <w:pPr>
        <w:spacing w:line="360" w:lineRule="auto"/>
        <w:ind w:firstLine="480" w:firstLineChars="200"/>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六</w:t>
      </w:r>
      <w:r>
        <w:rPr>
          <w:rFonts w:hint="eastAsia" w:ascii="宋体" w:hAnsi="宋体" w:cs="宋体"/>
          <w:bCs/>
          <w:sz w:val="24"/>
          <w:szCs w:val="24"/>
          <w:lang w:eastAsia="zh-CN"/>
        </w:rPr>
        <w:t>）</w:t>
      </w:r>
      <w:r>
        <w:rPr>
          <w:rFonts w:hint="eastAsia" w:ascii="宋体" w:hAnsi="宋体" w:eastAsia="宋体" w:cs="宋体"/>
          <w:bCs/>
          <w:sz w:val="24"/>
          <w:szCs w:val="24"/>
        </w:rPr>
        <w:t>系统软件技术要求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1、听觉诱发项目：用于客观听力测试；耳蜗、听神经、脑干等通路的损伤诊断和评估；听觉大脑自动加工功能和认知功能评估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脑干听觉（BAEP）</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 脑干听阈（AEPT）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 40Hz听觉诱发（SSEP）</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 听觉长潜（LLAEP）</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 耳蜗电图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 微音器电位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 听觉P50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 听觉P300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1.9可自定义听觉诱发项目</w:t>
      </w:r>
    </w:p>
    <w:p>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★2、前庭诱发项目：用于评估前庭椭圆囊、球囊、前庭上神经、前庭下神经、脑干等通路的病损情况</w:t>
      </w:r>
      <w:r>
        <w:rPr>
          <w:rFonts w:hint="eastAsia" w:ascii="宋体" w:hAnsi="宋体" w:cs="宋体"/>
          <w:sz w:val="24"/>
          <w:szCs w:val="24"/>
          <w:lang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 颈肌前庭肌源性诱发电位（cVEMP）</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 眼肌前庭肌源性诱发电位（oVEMP）</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 咬肌前庭肌源性诱发电位（mVEMP）</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2.4可自定义检测项目</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★3、自动标记标注功能：所有诱发项目具有自动标记功能。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4、频谱分析功能：所有诱发项目具有频谱分析功能。</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★5、肌力监测功能：前庭诱发电位具有实时肌力RMS监测和肌力AEMG监测选择功能，并可进行设置肌力触发阈值。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6、项目导航功能：系统软件具备检测项目导航功能。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7、阻抗测试功能：系统软件具备阻抗测试功能。</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★8、优化叠加功能：听觉诱发在叠加结束后可对所有参与的波形再次进行不同算法的优化叠加功能。</w:t>
      </w:r>
    </w:p>
    <w:p>
      <w:pPr>
        <w:bidi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9、干扰波去除功能：听觉诱发项目在叠加完成后，可以调出所有参与叠加的单次波形，并可以选择任意单次波形不参与叠加计算。</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13"/>
        <w:rPr>
          <w:rFonts w:hint="eastAsia"/>
          <w:highlight w:val="none"/>
        </w:rPr>
      </w:pPr>
    </w:p>
    <w:p>
      <w:pPr>
        <w:kinsoku w:val="0"/>
        <w:ind w:firstLine="2209" w:firstLineChars="500"/>
        <w:outlineLvl w:val="0"/>
        <w:rPr>
          <w:rFonts w:ascii="宋体" w:hAnsi="宋体" w:cs="宋体"/>
          <w:b/>
          <w:bCs/>
          <w:kern w:val="44"/>
          <w:sz w:val="44"/>
          <w:szCs w:val="44"/>
          <w:highlight w:val="none"/>
        </w:rPr>
      </w:pPr>
      <w:bookmarkStart w:id="147" w:name="_Toc15239"/>
      <w:r>
        <w:rPr>
          <w:rFonts w:hint="eastAsia" w:ascii="宋体" w:hAnsi="宋体" w:cs="宋体"/>
          <w:b/>
          <w:bCs/>
          <w:kern w:val="44"/>
          <w:sz w:val="44"/>
          <w:szCs w:val="44"/>
          <w:highlight w:val="none"/>
        </w:rPr>
        <w:t>第六部分  合同条款</w:t>
      </w:r>
      <w:bookmarkEnd w:id="143"/>
      <w:bookmarkEnd w:id="144"/>
      <w:bookmarkEnd w:id="147"/>
    </w:p>
    <w:p>
      <w:pPr>
        <w:pStyle w:val="11"/>
        <w:rPr>
          <w:rFonts w:ascii="宋体" w:hAnsi="宋体" w:cs="宋体"/>
          <w:highlight w:val="none"/>
        </w:rPr>
      </w:pPr>
    </w:p>
    <w:p>
      <w:pPr>
        <w:rPr>
          <w:rFonts w:ascii="宋体" w:hAnsi="宋体" w:cs="宋体"/>
          <w:highlight w:val="none"/>
        </w:rPr>
      </w:pPr>
    </w:p>
    <w:p>
      <w:pPr>
        <w:bidi w:val="0"/>
      </w:pPr>
    </w:p>
    <w:p/>
    <w:p>
      <w:pPr>
        <w:pStyle w:val="11"/>
        <w:jc w:val="center"/>
      </w:pPr>
      <w:r>
        <w:object>
          <v:shape id="_x0000_i1025" o:spt="75" type="#_x0000_t75" style="height:146.1pt;width:158.2pt;" o:ole="t" filled="f" o:preferrelative="t" stroked="f" coordsize="21600,21600">
            <v:path/>
            <v:fill on="f" focussize="0,0"/>
            <v:stroke on="f"/>
            <v:imagedata r:id="rId23" o:title=""/>
            <o:lock v:ext="edit" aspectratio="t"/>
            <w10:wrap type="none"/>
            <w10:anchorlock/>
          </v:shape>
          <o:OLEObject Type="Embed" ProgID="CorelDRAW.Graphic.14" ShapeID="_x0000_i1025" DrawAspect="Content" ObjectID="_1468075725" r:id="rId22">
            <o:LockedField>false</o:LockedField>
          </o:OLEObject>
        </w:object>
      </w:r>
    </w:p>
    <w:p>
      <w:pPr>
        <w:jc w:val="center"/>
        <w:rPr>
          <w:rFonts w:hint="eastAsia"/>
          <w:sz w:val="32"/>
          <w:szCs w:val="32"/>
          <w:u w:val="single"/>
        </w:rPr>
      </w:pPr>
    </w:p>
    <w:p>
      <w:pPr>
        <w:ind w:firstLine="1044" w:firstLineChars="200"/>
        <w:rPr>
          <w:rFonts w:hint="eastAsia" w:ascii="华文中宋" w:hAnsi="华文中宋" w:eastAsia="华文中宋"/>
          <w:sz w:val="52"/>
          <w:szCs w:val="52"/>
        </w:rPr>
      </w:pPr>
      <w:r>
        <w:rPr>
          <w:rFonts w:hint="eastAsia" w:ascii="华文中宋" w:hAnsi="华文中宋" w:eastAsia="华文中宋"/>
          <w:b/>
          <w:sz w:val="52"/>
          <w:szCs w:val="52"/>
        </w:rPr>
        <w:t>陕西中医药大学第二附属医院</w:t>
      </w:r>
    </w:p>
    <w:p>
      <w:pPr>
        <w:jc w:val="center"/>
        <w:rPr>
          <w:rFonts w:hint="eastAsia"/>
          <w:b/>
          <w:sz w:val="48"/>
          <w:szCs w:val="48"/>
        </w:rPr>
      </w:pPr>
    </w:p>
    <w:p>
      <w:pPr>
        <w:jc w:val="center"/>
        <w:rPr>
          <w:rFonts w:hint="eastAsia" w:ascii="黑体" w:hAnsi="黑体" w:eastAsia="黑体"/>
          <w:b/>
          <w:sz w:val="52"/>
          <w:szCs w:val="52"/>
        </w:rPr>
      </w:pPr>
      <w:r>
        <w:rPr>
          <w:rFonts w:hint="eastAsia" w:ascii="黑体" w:hAnsi="黑体" w:eastAsia="黑体"/>
          <w:b/>
          <w:sz w:val="52"/>
          <w:szCs w:val="52"/>
          <w:lang w:val="en-US" w:eastAsia="zh-CN"/>
        </w:rPr>
        <w:t xml:space="preserve"> </w:t>
      </w:r>
      <w:r>
        <w:rPr>
          <w:rFonts w:hint="eastAsia" w:ascii="黑体" w:hAnsi="黑体" w:eastAsia="黑体"/>
          <w:b/>
          <w:sz w:val="52"/>
          <w:szCs w:val="52"/>
        </w:rPr>
        <w:t>医疗器械设备采购项目</w:t>
      </w:r>
    </w:p>
    <w:p>
      <w:pPr>
        <w:jc w:val="center"/>
        <w:rPr>
          <w:rFonts w:hint="eastAsia"/>
          <w:b/>
          <w:sz w:val="48"/>
          <w:szCs w:val="48"/>
        </w:rPr>
      </w:pPr>
    </w:p>
    <w:p>
      <w:pPr>
        <w:jc w:val="center"/>
        <w:rPr>
          <w:rFonts w:hint="eastAsia"/>
          <w:b/>
          <w:sz w:val="48"/>
          <w:szCs w:val="48"/>
        </w:rPr>
      </w:pPr>
      <w:r>
        <w:rPr>
          <w:rFonts w:hint="eastAsia"/>
          <w:b/>
          <w:sz w:val="48"/>
          <w:szCs w:val="48"/>
        </w:rPr>
        <w:t>订 货 合 同</w:t>
      </w:r>
    </w:p>
    <w:p>
      <w:pPr>
        <w:ind w:firstLine="2940" w:firstLineChars="1050"/>
        <w:rPr>
          <w:rFonts w:hint="eastAsia"/>
          <w:sz w:val="28"/>
          <w:szCs w:val="28"/>
        </w:rPr>
      </w:pPr>
    </w:p>
    <w:p>
      <w:pPr>
        <w:ind w:firstLine="2940" w:firstLineChars="1050"/>
        <w:rPr>
          <w:rFonts w:hint="eastAsia"/>
          <w:sz w:val="28"/>
          <w:szCs w:val="28"/>
        </w:rPr>
      </w:pPr>
      <w:r>
        <w:rPr>
          <w:rFonts w:hint="eastAsia"/>
          <w:sz w:val="28"/>
          <w:szCs w:val="28"/>
        </w:rPr>
        <w:t>合同编号：</w:t>
      </w: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left"/>
        <w:rPr>
          <w:rFonts w:hint="eastAsia"/>
          <w:b/>
          <w:sz w:val="28"/>
          <w:szCs w:val="28"/>
        </w:rPr>
      </w:pPr>
    </w:p>
    <w:p>
      <w:pPr>
        <w:jc w:val="left"/>
        <w:rPr>
          <w:rFonts w:hint="eastAsia"/>
          <w:b/>
          <w:sz w:val="28"/>
          <w:szCs w:val="28"/>
        </w:rPr>
      </w:pPr>
      <w:r>
        <w:rPr>
          <w:rFonts w:hint="eastAsia"/>
          <w:b/>
          <w:sz w:val="28"/>
          <w:szCs w:val="28"/>
        </w:rPr>
        <w:t>甲 方：</w:t>
      </w:r>
      <w:r>
        <w:rPr>
          <w:rFonts w:hint="eastAsia"/>
          <w:b/>
          <w:sz w:val="28"/>
          <w:szCs w:val="28"/>
          <w:u w:val="single"/>
        </w:rPr>
        <w:t>陕西中医药大学第二附属医院</w:t>
      </w:r>
    </w:p>
    <w:p>
      <w:pPr>
        <w:jc w:val="left"/>
        <w:rPr>
          <w:rFonts w:hint="eastAsia"/>
          <w:b/>
          <w:sz w:val="28"/>
          <w:szCs w:val="28"/>
          <w:u w:val="single"/>
        </w:rPr>
      </w:pPr>
      <w:r>
        <w:rPr>
          <w:rFonts w:hint="eastAsia"/>
          <w:b/>
          <w:sz w:val="28"/>
          <w:szCs w:val="28"/>
        </w:rPr>
        <w:t>乙 方：</w:t>
      </w:r>
      <w:r>
        <w:rPr>
          <w:rFonts w:hint="eastAsia"/>
          <w:sz w:val="28"/>
          <w:szCs w:val="28"/>
          <w:u w:val="single"/>
        </w:rPr>
        <w:t xml:space="preserve">                            </w:t>
      </w:r>
    </w:p>
    <w:p>
      <w:pPr>
        <w:spacing w:line="340" w:lineRule="exact"/>
        <w:ind w:firstLine="480" w:firstLineChars="200"/>
        <w:rPr>
          <w:rFonts w:hint="eastAsia"/>
          <w:sz w:val="24"/>
        </w:rPr>
      </w:pPr>
      <w:r>
        <w:rPr>
          <w:rFonts w:hint="eastAsia"/>
          <w:sz w:val="24"/>
        </w:rPr>
        <w:t>甲方：陕西中医药大学第二附属医院，其注册登记地址为：</w:t>
      </w:r>
      <w:r>
        <w:rPr>
          <w:rFonts w:hint="eastAsia"/>
          <w:sz w:val="24"/>
          <w:u w:val="single"/>
        </w:rPr>
        <w:t>陕西省咸阳市渭阳西路5号</w:t>
      </w:r>
      <w:r>
        <w:rPr>
          <w:rFonts w:hint="eastAsia"/>
          <w:sz w:val="24"/>
        </w:rPr>
        <w:t>，法定代表人为：</w:t>
      </w:r>
      <w:r>
        <w:rPr>
          <w:rFonts w:hint="eastAsia"/>
          <w:sz w:val="24"/>
          <w:u w:val="single"/>
        </w:rPr>
        <w:t xml:space="preserve">缪峰    </w:t>
      </w:r>
      <w:r>
        <w:rPr>
          <w:rFonts w:hint="eastAsia"/>
          <w:sz w:val="24"/>
        </w:rPr>
        <w:t>。</w:t>
      </w:r>
    </w:p>
    <w:p>
      <w:pPr>
        <w:spacing w:line="340" w:lineRule="exact"/>
        <w:rPr>
          <w:rFonts w:hint="eastAsia"/>
          <w:sz w:val="24"/>
        </w:rPr>
      </w:pPr>
      <w:r>
        <w:rPr>
          <w:rFonts w:hint="eastAsia"/>
          <w:sz w:val="24"/>
        </w:rPr>
        <w:t xml:space="preserve">    乙方：</w:t>
      </w:r>
      <w:r>
        <w:rPr>
          <w:rFonts w:hint="eastAsia"/>
          <w:sz w:val="24"/>
          <w:u w:val="single"/>
        </w:rPr>
        <w:t xml:space="preserve">                    </w:t>
      </w:r>
      <w:r>
        <w:rPr>
          <w:rFonts w:hint="eastAsia"/>
          <w:sz w:val="24"/>
        </w:rPr>
        <w:t>，其注册登记地址为：</w:t>
      </w:r>
      <w:r>
        <w:rPr>
          <w:rFonts w:hint="eastAsia"/>
          <w:sz w:val="24"/>
          <w:u w:val="single"/>
        </w:rPr>
        <w:t xml:space="preserve">                ，</w:t>
      </w:r>
      <w:r>
        <w:rPr>
          <w:rFonts w:hint="eastAsia"/>
          <w:sz w:val="24"/>
        </w:rPr>
        <w:t>法定代表人为：</w:t>
      </w:r>
      <w:r>
        <w:rPr>
          <w:rFonts w:hint="eastAsia"/>
          <w:sz w:val="24"/>
          <w:u w:val="single"/>
        </w:rPr>
        <w:t xml:space="preserve">        </w:t>
      </w:r>
      <w:r>
        <w:rPr>
          <w:rFonts w:hint="eastAsia"/>
          <w:sz w:val="24"/>
        </w:rPr>
        <w:t xml:space="preserve">。 </w:t>
      </w:r>
    </w:p>
    <w:p>
      <w:pPr>
        <w:spacing w:line="340" w:lineRule="exact"/>
        <w:ind w:firstLine="480" w:firstLineChars="200"/>
        <w:rPr>
          <w:rFonts w:hint="eastAsia"/>
          <w:sz w:val="24"/>
          <w:u w:val="single"/>
        </w:rPr>
      </w:pPr>
      <w:r>
        <w:rPr>
          <w:rFonts w:hint="eastAsia"/>
          <w:sz w:val="24"/>
        </w:rPr>
        <w:t>甲、乙双方基于公平、公正、平等的原则，依据《中华人民共和国合同法》、《中华人民共和国民法通则》之相关规定，现经甲、乙双方友好协商，就甲方购买乙方产品设备事宜，达成以下合同条款：</w:t>
      </w:r>
    </w:p>
    <w:p>
      <w:pPr>
        <w:spacing w:line="340" w:lineRule="exact"/>
        <w:ind w:firstLine="482" w:firstLineChars="200"/>
        <w:rPr>
          <w:rFonts w:hint="eastAsia"/>
          <w:b/>
          <w:sz w:val="24"/>
        </w:rPr>
      </w:pPr>
      <w:r>
        <w:rPr>
          <w:rFonts w:hint="eastAsia"/>
          <w:b/>
          <w:sz w:val="24"/>
        </w:rPr>
        <w:t>第一条：合同标的物：</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1360"/>
        <w:gridCol w:w="878"/>
        <w:gridCol w:w="750"/>
        <w:gridCol w:w="571"/>
        <w:gridCol w:w="1164"/>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620" w:type="dxa"/>
            <w:noWrap w:val="0"/>
            <w:vAlign w:val="top"/>
          </w:tcPr>
          <w:p>
            <w:pPr>
              <w:spacing w:line="340" w:lineRule="exact"/>
              <w:jc w:val="center"/>
              <w:rPr>
                <w:rFonts w:hint="eastAsia"/>
                <w:b/>
                <w:sz w:val="24"/>
              </w:rPr>
            </w:pPr>
            <w:r>
              <w:rPr>
                <w:rFonts w:hint="eastAsia"/>
                <w:b/>
                <w:sz w:val="24"/>
              </w:rPr>
              <w:t>产品名称</w:t>
            </w:r>
          </w:p>
        </w:tc>
        <w:tc>
          <w:tcPr>
            <w:tcW w:w="1620" w:type="dxa"/>
            <w:noWrap w:val="0"/>
            <w:vAlign w:val="top"/>
          </w:tcPr>
          <w:p>
            <w:pPr>
              <w:spacing w:line="340" w:lineRule="exact"/>
              <w:jc w:val="center"/>
              <w:rPr>
                <w:rFonts w:hint="eastAsia"/>
                <w:b/>
                <w:sz w:val="24"/>
              </w:rPr>
            </w:pPr>
            <w:r>
              <w:rPr>
                <w:rFonts w:hint="eastAsia"/>
                <w:b/>
                <w:sz w:val="24"/>
              </w:rPr>
              <w:t>注册证名称</w:t>
            </w:r>
          </w:p>
        </w:tc>
        <w:tc>
          <w:tcPr>
            <w:tcW w:w="1360" w:type="dxa"/>
            <w:noWrap w:val="0"/>
            <w:vAlign w:val="top"/>
          </w:tcPr>
          <w:p>
            <w:pPr>
              <w:spacing w:line="340" w:lineRule="exact"/>
              <w:jc w:val="center"/>
              <w:rPr>
                <w:rFonts w:hint="eastAsia"/>
                <w:b/>
                <w:sz w:val="24"/>
              </w:rPr>
            </w:pPr>
            <w:r>
              <w:rPr>
                <w:rFonts w:hint="eastAsia"/>
                <w:b/>
                <w:sz w:val="24"/>
              </w:rPr>
              <w:t>品牌型号</w:t>
            </w:r>
          </w:p>
        </w:tc>
        <w:tc>
          <w:tcPr>
            <w:tcW w:w="878" w:type="dxa"/>
            <w:noWrap w:val="0"/>
            <w:vAlign w:val="top"/>
          </w:tcPr>
          <w:p>
            <w:pPr>
              <w:spacing w:line="340" w:lineRule="exact"/>
              <w:jc w:val="center"/>
              <w:rPr>
                <w:rFonts w:hint="eastAsia"/>
                <w:b/>
                <w:sz w:val="24"/>
              </w:rPr>
            </w:pPr>
            <w:r>
              <w:rPr>
                <w:rFonts w:hint="eastAsia"/>
                <w:b/>
                <w:sz w:val="24"/>
              </w:rPr>
              <w:t>产地</w:t>
            </w:r>
          </w:p>
        </w:tc>
        <w:tc>
          <w:tcPr>
            <w:tcW w:w="750" w:type="dxa"/>
            <w:noWrap w:val="0"/>
            <w:vAlign w:val="top"/>
          </w:tcPr>
          <w:p>
            <w:pPr>
              <w:spacing w:line="340" w:lineRule="exact"/>
              <w:jc w:val="center"/>
              <w:rPr>
                <w:rFonts w:hint="eastAsia"/>
                <w:b/>
                <w:sz w:val="24"/>
              </w:rPr>
            </w:pPr>
            <w:r>
              <w:rPr>
                <w:rFonts w:hint="eastAsia"/>
                <w:b/>
                <w:sz w:val="24"/>
              </w:rPr>
              <w:t>单位</w:t>
            </w:r>
          </w:p>
        </w:tc>
        <w:tc>
          <w:tcPr>
            <w:tcW w:w="571" w:type="dxa"/>
            <w:noWrap w:val="0"/>
            <w:vAlign w:val="top"/>
          </w:tcPr>
          <w:p>
            <w:pPr>
              <w:spacing w:line="340" w:lineRule="exact"/>
              <w:jc w:val="center"/>
              <w:rPr>
                <w:rFonts w:hint="eastAsia"/>
                <w:b/>
                <w:sz w:val="24"/>
              </w:rPr>
            </w:pPr>
            <w:r>
              <w:rPr>
                <w:rFonts w:hint="eastAsia"/>
                <w:b/>
                <w:sz w:val="24"/>
              </w:rPr>
              <w:t>数量</w:t>
            </w:r>
          </w:p>
        </w:tc>
        <w:tc>
          <w:tcPr>
            <w:tcW w:w="1164" w:type="dxa"/>
            <w:noWrap w:val="0"/>
            <w:vAlign w:val="top"/>
          </w:tcPr>
          <w:p>
            <w:pPr>
              <w:spacing w:line="340" w:lineRule="exact"/>
              <w:jc w:val="center"/>
              <w:rPr>
                <w:rFonts w:hint="eastAsia"/>
                <w:b/>
                <w:sz w:val="24"/>
              </w:rPr>
            </w:pPr>
            <w:r>
              <w:rPr>
                <w:rFonts w:hint="eastAsia"/>
                <w:b/>
                <w:sz w:val="24"/>
              </w:rPr>
              <w:t>单价（人民币）</w:t>
            </w:r>
          </w:p>
        </w:tc>
        <w:tc>
          <w:tcPr>
            <w:tcW w:w="1348" w:type="dxa"/>
            <w:noWrap w:val="0"/>
            <w:vAlign w:val="top"/>
          </w:tcPr>
          <w:p>
            <w:pPr>
              <w:spacing w:line="340" w:lineRule="exact"/>
              <w:jc w:val="center"/>
              <w:rPr>
                <w:rFonts w:hint="eastAsia"/>
                <w:b/>
                <w:sz w:val="24"/>
              </w:rPr>
            </w:pPr>
            <w:r>
              <w:rPr>
                <w:rFonts w:hint="eastAsia"/>
                <w:b/>
                <w:sz w:val="24"/>
              </w:rPr>
              <w:t>总价（人民币）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20" w:type="dxa"/>
            <w:noWrap w:val="0"/>
            <w:vAlign w:val="top"/>
          </w:tcPr>
          <w:p>
            <w:pPr>
              <w:spacing w:line="340" w:lineRule="exact"/>
              <w:rPr>
                <w:rFonts w:hint="eastAsia"/>
                <w:sz w:val="24"/>
              </w:rPr>
            </w:pPr>
          </w:p>
        </w:tc>
        <w:tc>
          <w:tcPr>
            <w:tcW w:w="1620" w:type="dxa"/>
            <w:noWrap w:val="0"/>
            <w:vAlign w:val="top"/>
          </w:tcPr>
          <w:p>
            <w:pPr>
              <w:spacing w:line="340" w:lineRule="exact"/>
              <w:rPr>
                <w:rFonts w:hint="eastAsia"/>
                <w:sz w:val="24"/>
              </w:rPr>
            </w:pPr>
          </w:p>
        </w:tc>
        <w:tc>
          <w:tcPr>
            <w:tcW w:w="1360" w:type="dxa"/>
            <w:noWrap w:val="0"/>
            <w:vAlign w:val="top"/>
          </w:tcPr>
          <w:p>
            <w:pPr>
              <w:spacing w:line="340" w:lineRule="exact"/>
              <w:jc w:val="left"/>
              <w:rPr>
                <w:rFonts w:hint="eastAsia"/>
                <w:sz w:val="24"/>
              </w:rPr>
            </w:pPr>
          </w:p>
        </w:tc>
        <w:tc>
          <w:tcPr>
            <w:tcW w:w="878" w:type="dxa"/>
            <w:noWrap w:val="0"/>
            <w:vAlign w:val="top"/>
          </w:tcPr>
          <w:p>
            <w:pPr>
              <w:spacing w:line="340" w:lineRule="exact"/>
              <w:rPr>
                <w:rFonts w:hint="eastAsia"/>
                <w:sz w:val="24"/>
              </w:rPr>
            </w:pPr>
          </w:p>
        </w:tc>
        <w:tc>
          <w:tcPr>
            <w:tcW w:w="750" w:type="dxa"/>
            <w:noWrap w:val="0"/>
            <w:vAlign w:val="top"/>
          </w:tcPr>
          <w:p>
            <w:pPr>
              <w:spacing w:line="340" w:lineRule="exact"/>
              <w:rPr>
                <w:rFonts w:hint="eastAsia"/>
                <w:sz w:val="24"/>
              </w:rPr>
            </w:pPr>
            <w:r>
              <w:rPr>
                <w:rFonts w:hint="eastAsia"/>
                <w:sz w:val="24"/>
              </w:rPr>
              <w:t>台</w:t>
            </w:r>
          </w:p>
        </w:tc>
        <w:tc>
          <w:tcPr>
            <w:tcW w:w="571" w:type="dxa"/>
            <w:noWrap w:val="0"/>
            <w:vAlign w:val="top"/>
          </w:tcPr>
          <w:p>
            <w:pPr>
              <w:spacing w:line="340" w:lineRule="exact"/>
              <w:rPr>
                <w:rFonts w:hint="eastAsia"/>
                <w:sz w:val="24"/>
              </w:rPr>
            </w:pPr>
          </w:p>
        </w:tc>
        <w:tc>
          <w:tcPr>
            <w:tcW w:w="1164" w:type="dxa"/>
            <w:noWrap w:val="0"/>
            <w:vAlign w:val="center"/>
          </w:tcPr>
          <w:p>
            <w:pPr>
              <w:spacing w:line="340" w:lineRule="exact"/>
              <w:rPr>
                <w:rFonts w:hint="eastAsia"/>
                <w:sz w:val="24"/>
              </w:rPr>
            </w:pPr>
            <w:r>
              <w:rPr>
                <w:rFonts w:hint="eastAsia"/>
                <w:sz w:val="24"/>
              </w:rPr>
              <w:t>￥</w:t>
            </w:r>
          </w:p>
        </w:tc>
        <w:tc>
          <w:tcPr>
            <w:tcW w:w="1348" w:type="dxa"/>
            <w:noWrap w:val="0"/>
            <w:vAlign w:val="center"/>
          </w:tcPr>
          <w:p>
            <w:pPr>
              <w:spacing w:line="340" w:lineRule="exact"/>
              <w:ind w:right="960"/>
              <w:rPr>
                <w:rFonts w:hint="eastAsia"/>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11" w:type="dxa"/>
            <w:gridSpan w:val="8"/>
            <w:noWrap w:val="0"/>
            <w:vAlign w:val="top"/>
          </w:tcPr>
          <w:p>
            <w:pPr>
              <w:spacing w:line="340" w:lineRule="exact"/>
              <w:rPr>
                <w:rFonts w:hint="eastAsia"/>
                <w:sz w:val="24"/>
              </w:rPr>
            </w:pPr>
            <w:r>
              <w:rPr>
                <w:rFonts w:hint="eastAsia"/>
                <w:sz w:val="24"/>
              </w:rPr>
              <w:t>合计（大写）：人民币          元整；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311" w:type="dxa"/>
            <w:gridSpan w:val="8"/>
            <w:noWrap w:val="0"/>
            <w:vAlign w:val="top"/>
          </w:tcPr>
          <w:p>
            <w:pPr>
              <w:widowControl/>
              <w:spacing w:line="340" w:lineRule="exact"/>
              <w:jc w:val="left"/>
              <w:rPr>
                <w:rFonts w:hint="eastAsia"/>
                <w:sz w:val="24"/>
              </w:rPr>
            </w:pPr>
            <w:r>
              <w:rPr>
                <w:rFonts w:hint="eastAsia"/>
                <w:b/>
                <w:sz w:val="24"/>
              </w:rPr>
              <w:t xml:space="preserve"> 备注：      </w:t>
            </w:r>
            <w:r>
              <w:rPr>
                <w:rFonts w:hint="eastAsia"/>
                <w:sz w:val="24"/>
              </w:rPr>
              <w:t xml:space="preserve">                                                         </w:t>
            </w:r>
          </w:p>
          <w:p>
            <w:pPr>
              <w:widowControl/>
              <w:spacing w:line="340" w:lineRule="exact"/>
              <w:jc w:val="left"/>
              <w:rPr>
                <w:rFonts w:hint="eastAsia"/>
                <w:sz w:val="24"/>
              </w:rPr>
            </w:pPr>
            <w:r>
              <w:rPr>
                <w:rFonts w:hint="eastAsia"/>
                <w:sz w:val="24"/>
              </w:rPr>
              <w:t xml:space="preserve">                                                                      </w:t>
            </w:r>
          </w:p>
        </w:tc>
      </w:tr>
    </w:tbl>
    <w:p>
      <w:pPr>
        <w:spacing w:line="340" w:lineRule="exact"/>
        <w:ind w:firstLine="482" w:firstLineChars="200"/>
        <w:rPr>
          <w:rFonts w:hint="eastAsia"/>
          <w:b/>
          <w:sz w:val="24"/>
        </w:rPr>
      </w:pPr>
      <w:r>
        <w:rPr>
          <w:rFonts w:hint="eastAsia"/>
          <w:b/>
          <w:sz w:val="24"/>
        </w:rPr>
        <w:t>产品应当符合国家规范规定的标准及乙方投标文件所述和宣传的标准，设备配置详单附后。</w:t>
      </w:r>
    </w:p>
    <w:p>
      <w:pPr>
        <w:spacing w:line="340" w:lineRule="exact"/>
        <w:ind w:firstLine="482" w:firstLineChars="200"/>
        <w:rPr>
          <w:rFonts w:hint="eastAsia"/>
          <w:b/>
          <w:sz w:val="24"/>
        </w:rPr>
      </w:pPr>
      <w:r>
        <w:rPr>
          <w:rFonts w:hint="eastAsia"/>
          <w:b/>
          <w:sz w:val="24"/>
        </w:rPr>
        <w:t>第二条：合同价款：</w:t>
      </w:r>
    </w:p>
    <w:p>
      <w:pPr>
        <w:spacing w:line="340" w:lineRule="exact"/>
        <w:ind w:firstLine="480" w:firstLineChars="200"/>
        <w:rPr>
          <w:rFonts w:hint="eastAsia"/>
          <w:sz w:val="24"/>
        </w:rPr>
      </w:pPr>
      <w:r>
        <w:rPr>
          <w:rFonts w:hint="eastAsia"/>
          <w:sz w:val="24"/>
        </w:rPr>
        <w:t>1、合同总金额：</w:t>
      </w:r>
      <w:r>
        <w:rPr>
          <w:rFonts w:hint="eastAsia"/>
          <w:b/>
          <w:sz w:val="24"/>
          <w:u w:val="single"/>
        </w:rPr>
        <w:t>人民币          元整。</w:t>
      </w:r>
    </w:p>
    <w:p>
      <w:pPr>
        <w:spacing w:line="340" w:lineRule="exact"/>
        <w:ind w:firstLine="480" w:firstLineChars="200"/>
        <w:rPr>
          <w:rFonts w:hint="eastAsia" w:ascii="宋体" w:hAnsi="宋体"/>
          <w:color w:val="auto"/>
          <w:sz w:val="28"/>
          <w:szCs w:val="28"/>
        </w:rPr>
      </w:pPr>
      <w:r>
        <w:rPr>
          <w:rFonts w:hint="eastAsia"/>
          <w:sz w:val="24"/>
        </w:rPr>
        <w:t>2、合同总金额包含产品供应价、运杂费（含仓储费、装卸费、保险费）、安装调试费、</w:t>
      </w:r>
      <w:r>
        <w:rPr>
          <w:rFonts w:hint="eastAsia" w:ascii="宋体" w:hAnsi="宋体"/>
          <w:color w:val="000000"/>
          <w:sz w:val="24"/>
        </w:rPr>
        <w:t>设备</w:t>
      </w:r>
      <w:r>
        <w:rPr>
          <w:rFonts w:hint="eastAsia" w:ascii="宋体" w:hAnsi="宋体"/>
          <w:color w:val="auto"/>
          <w:sz w:val="24"/>
        </w:rPr>
        <w:t>零部件和备品备件（提供设备运行后一年所需）、易损件、专用工具的费用、</w:t>
      </w:r>
      <w:r>
        <w:rPr>
          <w:rFonts w:hint="eastAsia"/>
          <w:color w:val="auto"/>
          <w:sz w:val="24"/>
        </w:rPr>
        <w:t>培训费</w:t>
      </w:r>
      <w:r>
        <w:rPr>
          <w:rFonts w:hint="eastAsia"/>
          <w:b/>
          <w:bCs/>
          <w:color w:val="auto"/>
          <w:sz w:val="24"/>
        </w:rPr>
        <w:t>、税金</w:t>
      </w:r>
      <w:r>
        <w:rPr>
          <w:rFonts w:hint="eastAsia"/>
          <w:color w:val="auto"/>
          <w:sz w:val="24"/>
        </w:rPr>
        <w:t>及其它不可预见费用。</w:t>
      </w:r>
    </w:p>
    <w:p>
      <w:pPr>
        <w:spacing w:line="340" w:lineRule="exact"/>
        <w:ind w:firstLine="482" w:firstLineChars="200"/>
        <w:rPr>
          <w:rFonts w:hint="eastAsia"/>
          <w:b/>
          <w:color w:val="auto"/>
          <w:sz w:val="24"/>
        </w:rPr>
      </w:pPr>
      <w:r>
        <w:rPr>
          <w:rFonts w:hint="eastAsia"/>
          <w:b/>
          <w:color w:val="auto"/>
          <w:sz w:val="24"/>
        </w:rPr>
        <w:t>第三条：交货地点：</w:t>
      </w:r>
    </w:p>
    <w:p>
      <w:pPr>
        <w:spacing w:line="340" w:lineRule="exact"/>
        <w:ind w:firstLine="470" w:firstLineChars="196"/>
        <w:rPr>
          <w:rFonts w:hint="eastAsia"/>
          <w:color w:val="auto"/>
          <w:sz w:val="24"/>
        </w:rPr>
      </w:pPr>
      <w:r>
        <w:rPr>
          <w:rFonts w:hint="eastAsia"/>
          <w:color w:val="auto"/>
          <w:sz w:val="24"/>
        </w:rPr>
        <w:t>陕西中医药大学第二附属医院指定地点。</w:t>
      </w:r>
    </w:p>
    <w:p>
      <w:pPr>
        <w:spacing w:line="340" w:lineRule="exact"/>
        <w:ind w:firstLine="482" w:firstLineChars="200"/>
        <w:rPr>
          <w:rFonts w:hint="eastAsia"/>
          <w:b/>
          <w:color w:val="auto"/>
          <w:sz w:val="24"/>
        </w:rPr>
      </w:pPr>
      <w:r>
        <w:rPr>
          <w:rFonts w:hint="eastAsia"/>
          <w:b/>
          <w:color w:val="auto"/>
          <w:sz w:val="24"/>
        </w:rPr>
        <w:t>第四条：交货时间：</w:t>
      </w:r>
    </w:p>
    <w:p>
      <w:pPr>
        <w:spacing w:line="340" w:lineRule="exact"/>
        <w:ind w:firstLine="470" w:firstLineChars="196"/>
        <w:rPr>
          <w:rFonts w:hint="eastAsia"/>
          <w:color w:val="auto"/>
          <w:sz w:val="24"/>
        </w:rPr>
      </w:pPr>
      <w:r>
        <w:rPr>
          <w:rFonts w:hint="eastAsia"/>
          <w:color w:val="auto"/>
          <w:sz w:val="24"/>
        </w:rPr>
        <w:t>合同签订接采购人通知后</w:t>
      </w:r>
      <w:r>
        <w:rPr>
          <w:rFonts w:hint="eastAsia"/>
          <w:color w:val="auto"/>
          <w:sz w:val="24"/>
          <w:u w:val="single"/>
        </w:rPr>
        <w:t xml:space="preserve">     </w:t>
      </w:r>
      <w:r>
        <w:rPr>
          <w:rFonts w:hint="eastAsia"/>
          <w:color w:val="auto"/>
          <w:sz w:val="24"/>
        </w:rPr>
        <w:t>个日历日内。</w:t>
      </w:r>
    </w:p>
    <w:p>
      <w:pPr>
        <w:spacing w:line="340" w:lineRule="exact"/>
        <w:ind w:firstLine="482" w:firstLineChars="200"/>
        <w:rPr>
          <w:rFonts w:hint="eastAsia"/>
          <w:color w:val="auto"/>
          <w:sz w:val="24"/>
        </w:rPr>
      </w:pPr>
      <w:r>
        <w:rPr>
          <w:rFonts w:hint="eastAsia"/>
          <w:b/>
          <w:color w:val="auto"/>
          <w:sz w:val="24"/>
        </w:rPr>
        <w:t>第五条：甲方指定收件人为：</w:t>
      </w:r>
      <w:r>
        <w:rPr>
          <w:rFonts w:hint="eastAsia"/>
          <w:color w:val="auto"/>
          <w:sz w:val="24"/>
        </w:rPr>
        <w:t>刘文程，联系电话33572698。</w:t>
      </w:r>
    </w:p>
    <w:p>
      <w:pPr>
        <w:spacing w:line="340" w:lineRule="exact"/>
        <w:ind w:firstLine="480" w:firstLineChars="200"/>
        <w:rPr>
          <w:rFonts w:hint="eastAsia"/>
          <w:color w:val="auto"/>
          <w:sz w:val="24"/>
        </w:rPr>
      </w:pPr>
      <w:r>
        <w:rPr>
          <w:rFonts w:hint="eastAsia"/>
          <w:color w:val="auto"/>
          <w:sz w:val="24"/>
        </w:rPr>
        <w:t>根据使用需要，甲方如需提前或推迟收货，甲方应当</w:t>
      </w:r>
      <w:r>
        <w:rPr>
          <w:rFonts w:hint="eastAsia"/>
          <w:b/>
          <w:bCs/>
          <w:color w:val="auto"/>
          <w:sz w:val="24"/>
        </w:rPr>
        <w:t>提前电话或邮箱或其他任何在本合同约定的方式通知乙方</w:t>
      </w:r>
      <w:r>
        <w:rPr>
          <w:rFonts w:hint="eastAsia"/>
          <w:color w:val="auto"/>
          <w:sz w:val="24"/>
        </w:rPr>
        <w:t>，乙方应无条件配合，不得收取仓储费等任何费用。</w:t>
      </w:r>
    </w:p>
    <w:p>
      <w:pPr>
        <w:spacing w:line="340" w:lineRule="exact"/>
        <w:ind w:firstLine="482" w:firstLineChars="200"/>
        <w:rPr>
          <w:rFonts w:hint="eastAsia"/>
          <w:b/>
          <w:color w:val="auto"/>
          <w:sz w:val="24"/>
        </w:rPr>
      </w:pPr>
      <w:r>
        <w:rPr>
          <w:rFonts w:hint="eastAsia"/>
          <w:b/>
          <w:color w:val="auto"/>
          <w:sz w:val="24"/>
        </w:rPr>
        <w:t>第六条：货款结算方式：</w:t>
      </w:r>
    </w:p>
    <w:p>
      <w:pPr>
        <w:spacing w:line="340" w:lineRule="exact"/>
        <w:ind w:firstLine="480" w:firstLineChars="200"/>
        <w:rPr>
          <w:rFonts w:hint="eastAsia"/>
          <w:b/>
          <w:bCs/>
          <w:color w:val="auto"/>
          <w:sz w:val="24"/>
        </w:rPr>
      </w:pPr>
      <w:r>
        <w:rPr>
          <w:rFonts w:hint="eastAsia"/>
          <w:color w:val="auto"/>
          <w:sz w:val="24"/>
        </w:rPr>
        <w:t>1、分期付款方式：货到安装调试验收合格后支付全部货款的</w:t>
      </w:r>
      <w:r>
        <w:rPr>
          <w:rFonts w:hint="eastAsia"/>
          <w:color w:val="auto"/>
          <w:sz w:val="24"/>
          <w:u w:val="single"/>
        </w:rPr>
        <w:t xml:space="preserve"> 65 </w:t>
      </w:r>
      <w:r>
        <w:rPr>
          <w:rFonts w:hint="eastAsia"/>
          <w:color w:val="auto"/>
          <w:sz w:val="24"/>
        </w:rPr>
        <w:t>%，设备验收合格并正常运行</w:t>
      </w:r>
      <w:r>
        <w:rPr>
          <w:rFonts w:hint="eastAsia"/>
          <w:color w:val="auto"/>
          <w:sz w:val="24"/>
          <w:u w:val="single"/>
        </w:rPr>
        <w:t xml:space="preserve"> 3</w:t>
      </w:r>
      <w:r>
        <w:rPr>
          <w:rFonts w:hint="eastAsia"/>
          <w:color w:val="auto"/>
          <w:sz w:val="24"/>
        </w:rPr>
        <w:t>个月后可支付全部货款的</w:t>
      </w:r>
      <w:r>
        <w:rPr>
          <w:rFonts w:hint="eastAsia"/>
          <w:color w:val="auto"/>
          <w:sz w:val="24"/>
          <w:u w:val="single"/>
        </w:rPr>
        <w:t xml:space="preserve"> 30 </w:t>
      </w:r>
      <w:r>
        <w:rPr>
          <w:rFonts w:hint="eastAsia"/>
          <w:color w:val="auto"/>
          <w:sz w:val="24"/>
        </w:rPr>
        <w:t>%，若设备因甲方施工等原因导致无法正常运行3个月的，则货到安装调试验收合格</w:t>
      </w:r>
      <w:r>
        <w:rPr>
          <w:rFonts w:hint="eastAsia"/>
          <w:color w:val="auto"/>
          <w:sz w:val="24"/>
          <w:u w:val="single"/>
        </w:rPr>
        <w:t xml:space="preserve"> 4</w:t>
      </w:r>
      <w:r>
        <w:rPr>
          <w:rFonts w:hint="eastAsia"/>
          <w:color w:val="auto"/>
          <w:sz w:val="24"/>
        </w:rPr>
        <w:t>个月后支付全部货款的</w:t>
      </w:r>
      <w:r>
        <w:rPr>
          <w:rFonts w:hint="eastAsia"/>
          <w:color w:val="auto"/>
          <w:sz w:val="24"/>
          <w:u w:val="single"/>
        </w:rPr>
        <w:t xml:space="preserve"> 30</w:t>
      </w:r>
      <w:r>
        <w:rPr>
          <w:rFonts w:hint="eastAsia"/>
          <w:color w:val="auto"/>
          <w:sz w:val="24"/>
        </w:rPr>
        <w:t xml:space="preserve"> %，剩余货款即全部货款的</w:t>
      </w:r>
      <w:r>
        <w:rPr>
          <w:rFonts w:hint="eastAsia"/>
          <w:color w:val="auto"/>
          <w:sz w:val="24"/>
          <w:u w:val="single"/>
        </w:rPr>
        <w:t xml:space="preserve"> 5 </w:t>
      </w:r>
      <w:r>
        <w:rPr>
          <w:rFonts w:hint="eastAsia"/>
          <w:color w:val="auto"/>
          <w:sz w:val="24"/>
        </w:rPr>
        <w:t>%，该笔款项自正式使用后开始计算质保期，待质保期满后无质量问题一次性付清。</w:t>
      </w:r>
      <w:r>
        <w:rPr>
          <w:rFonts w:hint="eastAsia"/>
          <w:b/>
          <w:bCs/>
          <w:color w:val="auto"/>
          <w:sz w:val="24"/>
        </w:rPr>
        <w:t>每次付款前</w:t>
      </w:r>
      <w:r>
        <w:rPr>
          <w:rFonts w:hint="eastAsia"/>
          <w:b/>
          <w:bCs/>
          <w:color w:val="auto"/>
          <w:sz w:val="24"/>
          <w:u w:val="single"/>
        </w:rPr>
        <w:t xml:space="preserve">    </w:t>
      </w:r>
      <w:r>
        <w:rPr>
          <w:rFonts w:hint="eastAsia"/>
          <w:b/>
          <w:bCs/>
          <w:color w:val="auto"/>
          <w:sz w:val="24"/>
        </w:rPr>
        <w:t>个工作日内，乙方需提前向甲方开具相应金额的正式税务发票。</w:t>
      </w:r>
    </w:p>
    <w:p>
      <w:pPr>
        <w:spacing w:line="340" w:lineRule="exact"/>
        <w:ind w:firstLine="480" w:firstLineChars="200"/>
        <w:rPr>
          <w:rFonts w:hint="eastAsia"/>
          <w:color w:val="auto"/>
          <w:sz w:val="24"/>
        </w:rPr>
      </w:pPr>
      <w:r>
        <w:rPr>
          <w:rFonts w:hint="eastAsia"/>
          <w:color w:val="auto"/>
          <w:sz w:val="24"/>
        </w:rPr>
        <w:t>2、支付方式：甲方直接将货款通过银行转账的方式转入乙方指定的专用账号。乙方账户名：</w:t>
      </w:r>
      <w:r>
        <w:rPr>
          <w:rFonts w:hint="eastAsia"/>
          <w:color w:val="auto"/>
          <w:sz w:val="24"/>
          <w:u w:val="single"/>
        </w:rPr>
        <w:t xml:space="preserve">               </w:t>
      </w:r>
      <w:r>
        <w:rPr>
          <w:rFonts w:hint="eastAsia"/>
          <w:color w:val="auto"/>
          <w:sz w:val="24"/>
        </w:rPr>
        <w:t>。账号：</w:t>
      </w:r>
      <w:r>
        <w:rPr>
          <w:rFonts w:hint="eastAsia"/>
          <w:color w:val="auto"/>
          <w:sz w:val="24"/>
          <w:u w:val="single"/>
        </w:rPr>
        <w:t xml:space="preserve">              </w:t>
      </w:r>
      <w:r>
        <w:rPr>
          <w:rFonts w:hint="eastAsia"/>
          <w:color w:val="auto"/>
          <w:sz w:val="24"/>
        </w:rPr>
        <w:t>。开户行</w:t>
      </w:r>
      <w:r>
        <w:rPr>
          <w:rFonts w:hint="eastAsia"/>
          <w:color w:val="auto"/>
          <w:sz w:val="24"/>
          <w:u w:val="single"/>
        </w:rPr>
        <w:t xml:space="preserve">             </w:t>
      </w:r>
      <w:r>
        <w:rPr>
          <w:rFonts w:hint="eastAsia"/>
          <w:color w:val="auto"/>
          <w:sz w:val="24"/>
        </w:rPr>
        <w:t>。</w:t>
      </w:r>
    </w:p>
    <w:p>
      <w:pPr>
        <w:spacing w:line="340" w:lineRule="exact"/>
        <w:ind w:firstLine="482" w:firstLineChars="200"/>
        <w:rPr>
          <w:rFonts w:hint="eastAsia"/>
          <w:b/>
          <w:color w:val="auto"/>
          <w:sz w:val="24"/>
        </w:rPr>
      </w:pPr>
      <w:r>
        <w:rPr>
          <w:rFonts w:hint="eastAsia"/>
          <w:b/>
          <w:color w:val="auto"/>
          <w:sz w:val="24"/>
        </w:rPr>
        <w:t>第七条：包装方式：</w:t>
      </w:r>
    </w:p>
    <w:p>
      <w:pPr>
        <w:spacing w:line="340" w:lineRule="exact"/>
        <w:ind w:firstLine="480" w:firstLineChars="200"/>
        <w:rPr>
          <w:rFonts w:hint="eastAsia"/>
          <w:color w:val="auto"/>
          <w:sz w:val="24"/>
        </w:rPr>
      </w:pPr>
      <w:r>
        <w:rPr>
          <w:rFonts w:hint="eastAsia"/>
          <w:color w:val="auto"/>
          <w:sz w:val="24"/>
        </w:rPr>
        <w:t>包装箱应用新的、坚固的、经过熏蒸后的木箱，并在木箱上施封IPPC标识。每件货物必须单独包装发运，不得捆扎并适用于长途运输，防潮、防锈、防震、防粗暴装卸，适用于海、空、陆运输和整体吊装，保证产品到达之后各项功能完好无损，包装材料必须符合中国有关动植物检疫等相关规定。</w:t>
      </w:r>
    </w:p>
    <w:p>
      <w:pPr>
        <w:spacing w:line="340" w:lineRule="exact"/>
        <w:ind w:firstLine="482" w:firstLineChars="200"/>
        <w:rPr>
          <w:rFonts w:hint="eastAsia"/>
          <w:b/>
          <w:color w:val="auto"/>
          <w:sz w:val="24"/>
        </w:rPr>
      </w:pPr>
      <w:r>
        <w:rPr>
          <w:rFonts w:hint="eastAsia"/>
          <w:b/>
          <w:color w:val="auto"/>
          <w:sz w:val="24"/>
        </w:rPr>
        <w:t>第八条：运输及风险：</w:t>
      </w:r>
    </w:p>
    <w:p>
      <w:pPr>
        <w:spacing w:line="340" w:lineRule="exact"/>
        <w:ind w:firstLine="480" w:firstLineChars="200"/>
        <w:rPr>
          <w:rFonts w:hint="eastAsia"/>
          <w:color w:val="auto"/>
          <w:sz w:val="24"/>
        </w:rPr>
      </w:pPr>
      <w:r>
        <w:rPr>
          <w:rFonts w:hint="eastAsia"/>
          <w:color w:val="auto"/>
          <w:sz w:val="24"/>
        </w:rPr>
        <w:t>1、选择运输风险小、运费低、距离短的运输路线。</w:t>
      </w:r>
    </w:p>
    <w:p>
      <w:pPr>
        <w:spacing w:line="340" w:lineRule="exact"/>
        <w:ind w:firstLine="480" w:firstLineChars="200"/>
        <w:rPr>
          <w:rFonts w:hint="eastAsia"/>
          <w:color w:val="auto"/>
          <w:sz w:val="24"/>
        </w:rPr>
      </w:pPr>
      <w:r>
        <w:rPr>
          <w:rFonts w:hint="eastAsia"/>
          <w:color w:val="auto"/>
          <w:sz w:val="24"/>
        </w:rPr>
        <w:t>2、乙方自行选择运送方式并负责将产品运输到指定交货地点，并承担合同中约定的全部费用。</w:t>
      </w:r>
    </w:p>
    <w:p>
      <w:pPr>
        <w:spacing w:line="340" w:lineRule="exact"/>
        <w:ind w:firstLine="480" w:firstLineChars="200"/>
        <w:rPr>
          <w:rFonts w:hint="eastAsia"/>
          <w:color w:val="auto"/>
          <w:sz w:val="24"/>
        </w:rPr>
      </w:pPr>
      <w:r>
        <w:rPr>
          <w:rFonts w:hint="eastAsia"/>
          <w:color w:val="auto"/>
          <w:sz w:val="24"/>
        </w:rPr>
        <w:t>3、运杂费包含在合同总金额内，包括乙方发货地至交货地之间所需的运输费、仓储费、装卸费、保险费、二次倒运费、现场保管费用等。</w:t>
      </w:r>
    </w:p>
    <w:p>
      <w:pPr>
        <w:spacing w:line="340" w:lineRule="exact"/>
        <w:ind w:firstLine="480" w:firstLineChars="200"/>
        <w:rPr>
          <w:rFonts w:hint="eastAsia"/>
          <w:color w:val="auto"/>
          <w:sz w:val="24"/>
        </w:rPr>
      </w:pPr>
      <w:r>
        <w:rPr>
          <w:rFonts w:hint="eastAsia"/>
          <w:color w:val="auto"/>
          <w:sz w:val="24"/>
        </w:rPr>
        <w:t>4、货物在交付甲方之前，毁损、灭失的风险均由乙方全部承担。</w:t>
      </w:r>
    </w:p>
    <w:p>
      <w:pPr>
        <w:spacing w:line="340" w:lineRule="exact"/>
        <w:ind w:firstLine="482" w:firstLineChars="200"/>
        <w:rPr>
          <w:rFonts w:hint="eastAsia"/>
          <w:b/>
          <w:color w:val="auto"/>
          <w:sz w:val="24"/>
        </w:rPr>
      </w:pPr>
      <w:r>
        <w:rPr>
          <w:rFonts w:hint="eastAsia"/>
          <w:b/>
          <w:color w:val="auto"/>
          <w:sz w:val="24"/>
        </w:rPr>
        <w:t>第九条：质量保证：</w:t>
      </w:r>
    </w:p>
    <w:p>
      <w:pPr>
        <w:spacing w:line="340" w:lineRule="exact"/>
        <w:ind w:firstLine="480" w:firstLineChars="200"/>
        <w:rPr>
          <w:rFonts w:hint="eastAsia" w:ascii="Arial" w:hAnsi="Arial" w:cs="Arial"/>
          <w:color w:val="auto"/>
          <w:sz w:val="24"/>
        </w:rPr>
      </w:pPr>
      <w:r>
        <w:rPr>
          <w:rFonts w:hint="eastAsia"/>
          <w:color w:val="auto"/>
          <w:sz w:val="24"/>
        </w:rPr>
        <w:t>1</w:t>
      </w:r>
      <w:r>
        <w:rPr>
          <w:rFonts w:hint="eastAsia" w:ascii="Arial" w:hAnsi="Arial" w:cs="Arial"/>
          <w:color w:val="auto"/>
          <w:sz w:val="24"/>
        </w:rPr>
        <w:t>、乙</w:t>
      </w:r>
      <w:r>
        <w:rPr>
          <w:rFonts w:ascii="Arial" w:hAnsi="Arial" w:cs="Arial"/>
          <w:color w:val="auto"/>
          <w:sz w:val="24"/>
        </w:rPr>
        <w:t>方</w:t>
      </w:r>
      <w:r>
        <w:rPr>
          <w:rFonts w:hint="eastAsia" w:ascii="Arial" w:hAnsi="Arial" w:cs="Arial"/>
          <w:color w:val="auto"/>
          <w:sz w:val="24"/>
        </w:rPr>
        <w:t>的</w:t>
      </w:r>
      <w:r>
        <w:rPr>
          <w:rFonts w:ascii="Arial" w:hAnsi="Arial" w:cs="Arial"/>
          <w:color w:val="auto"/>
          <w:sz w:val="24"/>
        </w:rPr>
        <w:t>产品质量</w:t>
      </w:r>
      <w:r>
        <w:rPr>
          <w:rFonts w:hint="eastAsia" w:ascii="Arial" w:hAnsi="Arial" w:cs="Arial"/>
          <w:color w:val="auto"/>
          <w:sz w:val="24"/>
        </w:rPr>
        <w:t>应当符合国家行业规定的标准，并无任何瑕疵；乙方应按配置清单要求提供原装全新产品，对该产品实行三包（即包修、包退、包换）。</w:t>
      </w:r>
    </w:p>
    <w:p>
      <w:pPr>
        <w:spacing w:line="340" w:lineRule="exact"/>
        <w:ind w:firstLine="480" w:firstLineChars="200"/>
        <w:rPr>
          <w:rFonts w:hint="eastAsia" w:ascii="Arial" w:hAnsi="Arial" w:cs="Arial"/>
          <w:color w:val="auto"/>
          <w:sz w:val="24"/>
        </w:rPr>
      </w:pPr>
      <w:r>
        <w:rPr>
          <w:rFonts w:hint="eastAsia"/>
          <w:color w:val="auto"/>
          <w:sz w:val="24"/>
        </w:rPr>
        <w:t>2</w:t>
      </w:r>
      <w:r>
        <w:rPr>
          <w:rFonts w:hint="eastAsia" w:ascii="Arial" w:hAnsi="Arial" w:cs="Arial"/>
          <w:color w:val="auto"/>
          <w:sz w:val="24"/>
        </w:rPr>
        <w:t>、如交付品种、</w:t>
      </w:r>
      <w:r>
        <w:rPr>
          <w:rFonts w:hint="eastAsia" w:ascii="Arial" w:hAnsi="Arial" w:cs="Arial"/>
          <w:color w:val="auto"/>
          <w:sz w:val="24"/>
        </w:rPr>
        <w:fldChar w:fldCharType="begin"/>
      </w:r>
      <w:r>
        <w:rPr>
          <w:rFonts w:hint="eastAsia" w:ascii="Arial" w:hAnsi="Arial" w:cs="Arial"/>
          <w:color w:val="auto"/>
          <w:sz w:val="24"/>
        </w:rPr>
        <w:instrText xml:space="preserve"> HYPERLINK "http://www.hudong.com/wiki/%E5%9E%8B%E5%8F%B7" \o "型号" \t "_blank" </w:instrText>
      </w:r>
      <w:r>
        <w:rPr>
          <w:rFonts w:hint="eastAsia" w:ascii="Arial" w:hAnsi="Arial" w:cs="Arial"/>
          <w:color w:val="auto"/>
          <w:sz w:val="24"/>
        </w:rPr>
        <w:fldChar w:fldCharType="separate"/>
      </w:r>
      <w:r>
        <w:rPr>
          <w:rFonts w:hint="eastAsia" w:ascii="Arial" w:hAnsi="Arial" w:cs="Arial"/>
          <w:color w:val="auto"/>
          <w:sz w:val="24"/>
        </w:rPr>
        <w:t>型号</w:t>
      </w:r>
      <w:r>
        <w:rPr>
          <w:rFonts w:hint="eastAsia" w:ascii="Arial" w:hAnsi="Arial" w:cs="Arial"/>
          <w:color w:val="auto"/>
          <w:sz w:val="24"/>
        </w:rPr>
        <w:fldChar w:fldCharType="end"/>
      </w:r>
      <w:r>
        <w:rPr>
          <w:rFonts w:hint="eastAsia" w:ascii="Arial" w:hAnsi="Arial" w:cs="Arial"/>
          <w:color w:val="auto"/>
          <w:sz w:val="24"/>
        </w:rPr>
        <w:t>、</w:t>
      </w:r>
      <w:r>
        <w:rPr>
          <w:rFonts w:hint="eastAsia" w:ascii="Arial" w:hAnsi="Arial" w:cs="Arial"/>
          <w:color w:val="auto"/>
          <w:sz w:val="24"/>
        </w:rPr>
        <w:fldChar w:fldCharType="begin"/>
      </w:r>
      <w:r>
        <w:rPr>
          <w:rFonts w:hint="eastAsia" w:ascii="Arial" w:hAnsi="Arial" w:cs="Arial"/>
          <w:color w:val="auto"/>
          <w:sz w:val="24"/>
        </w:rPr>
        <w:instrText xml:space="preserve"> HYPERLINK "http://www.hudong.com/wiki/%E8%A7%84%E6%A0%BC" \o "规格" \t "_blank" </w:instrText>
      </w:r>
      <w:r>
        <w:rPr>
          <w:rFonts w:hint="eastAsia" w:ascii="Arial" w:hAnsi="Arial" w:cs="Arial"/>
          <w:color w:val="auto"/>
          <w:sz w:val="24"/>
        </w:rPr>
        <w:fldChar w:fldCharType="separate"/>
      </w:r>
      <w:r>
        <w:rPr>
          <w:rFonts w:hint="eastAsia" w:ascii="Arial" w:hAnsi="Arial" w:cs="Arial"/>
          <w:color w:val="auto"/>
          <w:sz w:val="24"/>
        </w:rPr>
        <w:t>规格</w:t>
      </w:r>
      <w:r>
        <w:rPr>
          <w:rFonts w:hint="eastAsia" w:ascii="Arial" w:hAnsi="Arial" w:cs="Arial"/>
          <w:color w:val="auto"/>
          <w:sz w:val="24"/>
        </w:rPr>
        <w:fldChar w:fldCharType="end"/>
      </w:r>
      <w:r>
        <w:rPr>
          <w:rFonts w:hint="eastAsia" w:ascii="Arial" w:hAnsi="Arial" w:cs="Arial"/>
          <w:color w:val="auto"/>
          <w:sz w:val="24"/>
        </w:rPr>
        <w:t>不符合同约定的，由乙方负责退换，由此产生的一切费用及给甲方造成的相关损失由乙方全部承担并赔偿相应损失</w:t>
      </w:r>
      <w:r>
        <w:rPr>
          <w:rFonts w:ascii="Arial" w:hAnsi="Arial" w:cs="Arial"/>
          <w:color w:val="auto"/>
          <w:sz w:val="24"/>
        </w:rPr>
        <w:t>。</w:t>
      </w:r>
    </w:p>
    <w:p>
      <w:pPr>
        <w:spacing w:line="340" w:lineRule="exact"/>
        <w:ind w:firstLine="480" w:firstLineChars="200"/>
        <w:rPr>
          <w:rFonts w:hint="eastAsia" w:ascii="Arial" w:hAnsi="Arial" w:cs="Arial"/>
          <w:color w:val="auto"/>
          <w:sz w:val="24"/>
        </w:rPr>
      </w:pPr>
      <w:r>
        <w:rPr>
          <w:rFonts w:hint="eastAsia"/>
          <w:color w:val="auto"/>
          <w:sz w:val="24"/>
        </w:rPr>
        <w:t>3</w:t>
      </w:r>
      <w:r>
        <w:rPr>
          <w:rFonts w:hint="eastAsia" w:ascii="Arial" w:hAnsi="Arial" w:cs="Arial"/>
          <w:color w:val="auto"/>
          <w:sz w:val="24"/>
        </w:rPr>
        <w:t>、如</w:t>
      </w:r>
      <w:r>
        <w:rPr>
          <w:rFonts w:ascii="Arial" w:hAnsi="Arial" w:cs="Arial"/>
          <w:color w:val="auto"/>
          <w:sz w:val="24"/>
        </w:rPr>
        <w:t>不能修理或者不能调换的，按不能交货处理</w:t>
      </w:r>
      <w:r>
        <w:rPr>
          <w:rFonts w:hint="eastAsia" w:ascii="Arial" w:hAnsi="Arial" w:cs="Arial"/>
          <w:color w:val="auto"/>
          <w:sz w:val="24"/>
        </w:rPr>
        <w:t>，因此给甲方造成的所有经济损失乙方应予全额赔偿。</w:t>
      </w:r>
    </w:p>
    <w:p>
      <w:pPr>
        <w:spacing w:line="340" w:lineRule="exact"/>
        <w:ind w:firstLine="480" w:firstLineChars="200"/>
        <w:rPr>
          <w:rFonts w:hint="eastAsia" w:ascii="Arial" w:hAnsi="Arial" w:cs="Arial"/>
          <w:color w:val="auto"/>
          <w:sz w:val="24"/>
        </w:rPr>
      </w:pPr>
      <w:r>
        <w:rPr>
          <w:rFonts w:hint="eastAsia"/>
          <w:color w:val="auto"/>
          <w:sz w:val="24"/>
        </w:rPr>
        <w:t>4</w:t>
      </w:r>
      <w:r>
        <w:rPr>
          <w:rFonts w:hint="eastAsia" w:ascii="Arial" w:hAnsi="Arial" w:cs="Arial"/>
          <w:color w:val="auto"/>
          <w:sz w:val="24"/>
        </w:rPr>
        <w:t>、如因该产品本身的质量原因而在使用过程中造成的任何医疗事故纠纷，由乙方全额负责赔偿。</w:t>
      </w:r>
    </w:p>
    <w:p>
      <w:pPr>
        <w:spacing w:line="340" w:lineRule="exact"/>
        <w:ind w:firstLine="482" w:firstLineChars="200"/>
        <w:rPr>
          <w:rFonts w:hint="eastAsia" w:ascii="Arial" w:hAnsi="Arial" w:cs="Arial"/>
          <w:b/>
          <w:color w:val="auto"/>
          <w:sz w:val="24"/>
        </w:rPr>
      </w:pPr>
      <w:r>
        <w:rPr>
          <w:rFonts w:hint="eastAsia" w:ascii="Arial" w:hAnsi="Arial" w:cs="Arial"/>
          <w:b/>
          <w:color w:val="auto"/>
          <w:sz w:val="24"/>
        </w:rPr>
        <w:t>第十条：售后服务：</w:t>
      </w:r>
    </w:p>
    <w:p>
      <w:pPr>
        <w:spacing w:line="340" w:lineRule="exact"/>
        <w:ind w:firstLine="470" w:firstLineChars="196"/>
        <w:rPr>
          <w:rFonts w:hint="eastAsia" w:ascii="Arial" w:hAnsi="Arial" w:cs="Arial"/>
          <w:color w:val="auto"/>
          <w:sz w:val="24"/>
        </w:rPr>
      </w:pPr>
      <w:r>
        <w:rPr>
          <w:rFonts w:hint="eastAsia"/>
          <w:color w:val="auto"/>
          <w:sz w:val="24"/>
        </w:rPr>
        <w:t>1</w:t>
      </w:r>
      <w:r>
        <w:rPr>
          <w:rFonts w:hint="eastAsia" w:ascii="Arial" w:hAnsi="Arial" w:cs="Arial"/>
          <w:color w:val="auto"/>
          <w:sz w:val="24"/>
        </w:rPr>
        <w:t>、</w:t>
      </w:r>
      <w:r>
        <w:rPr>
          <w:rFonts w:hint="eastAsia"/>
          <w:color w:val="auto"/>
          <w:sz w:val="24"/>
        </w:rPr>
        <w:t>乙方必须具有完善的售后服务体系，高水平的技术维修人员和良好的设备备件供应能力。</w:t>
      </w:r>
    </w:p>
    <w:p>
      <w:pPr>
        <w:spacing w:line="340" w:lineRule="exact"/>
        <w:ind w:firstLine="480" w:firstLineChars="200"/>
        <w:rPr>
          <w:rFonts w:hint="eastAsia" w:ascii="Arial" w:hAnsi="Arial" w:cs="Arial"/>
          <w:color w:val="auto"/>
          <w:sz w:val="24"/>
        </w:rPr>
      </w:pPr>
      <w:r>
        <w:rPr>
          <w:rFonts w:hint="eastAsia"/>
          <w:color w:val="auto"/>
          <w:sz w:val="24"/>
        </w:rPr>
        <w:t>2</w:t>
      </w:r>
      <w:r>
        <w:rPr>
          <w:rFonts w:hint="eastAsia" w:ascii="Arial" w:hAnsi="Arial" w:cs="Arial"/>
          <w:color w:val="auto"/>
          <w:sz w:val="24"/>
        </w:rPr>
        <w:t>、乙方同意该产品自安装、调试、验收合格并正常使用之日起免费保修，保质期为</w:t>
      </w:r>
      <w:r>
        <w:rPr>
          <w:rFonts w:hint="eastAsia" w:ascii="Arial" w:hAnsi="Arial" w:cs="Arial"/>
          <w:color w:val="auto"/>
          <w:sz w:val="24"/>
          <w:u w:val="single"/>
        </w:rPr>
        <w:t xml:space="preserve">   </w:t>
      </w:r>
      <w:r>
        <w:rPr>
          <w:rFonts w:hint="eastAsia" w:ascii="Arial" w:hAnsi="Arial" w:cs="Arial"/>
          <w:color w:val="auto"/>
          <w:sz w:val="24"/>
        </w:rPr>
        <w:t xml:space="preserve">年，在保修、保质期内出现的任何质量问题，乙方保证在接到甲方维修通知之日起24小时内派专业维修人员赶赴现场（即甲方指定地点）进行维修。     </w:t>
      </w:r>
    </w:p>
    <w:p>
      <w:pPr>
        <w:spacing w:line="340" w:lineRule="exact"/>
        <w:ind w:firstLine="480" w:firstLineChars="200"/>
        <w:rPr>
          <w:rFonts w:hint="eastAsia" w:ascii="Arial" w:hAnsi="Arial" w:cs="Arial"/>
          <w:color w:val="auto"/>
          <w:sz w:val="24"/>
        </w:rPr>
      </w:pPr>
      <w:r>
        <w:rPr>
          <w:rFonts w:hint="eastAsia"/>
          <w:color w:val="auto"/>
          <w:sz w:val="24"/>
        </w:rPr>
        <w:t>3</w:t>
      </w:r>
      <w:r>
        <w:rPr>
          <w:rFonts w:hint="eastAsia" w:ascii="Arial" w:hAnsi="Arial" w:cs="Arial"/>
          <w:color w:val="auto"/>
          <w:sz w:val="24"/>
        </w:rPr>
        <w:t>、保修、保质期内，要确保该产品系统正常运行，开机率不得低于95%，如经过两次维修后仍达不到此标准，乙方应负责调换部分或整个产品设备，保修、保质期作相应延长，并承担自产品出现故障之日起至产品再次正常运行使用之日期间给甲方造成的所有经济损失。若更换后产品还达不到此标准，乙方应无条件退货，并承担给甲方造成的所有经济损失。</w:t>
      </w:r>
    </w:p>
    <w:p>
      <w:pPr>
        <w:spacing w:line="340" w:lineRule="exact"/>
        <w:ind w:firstLine="480" w:firstLineChars="200"/>
        <w:rPr>
          <w:rFonts w:hint="eastAsia" w:ascii="Arial" w:hAnsi="Arial" w:cs="Arial"/>
          <w:color w:val="auto"/>
          <w:sz w:val="24"/>
        </w:rPr>
      </w:pPr>
      <w:r>
        <w:rPr>
          <w:rFonts w:hint="eastAsia"/>
          <w:color w:val="auto"/>
          <w:sz w:val="24"/>
        </w:rPr>
        <w:t>4</w:t>
      </w:r>
      <w:r>
        <w:rPr>
          <w:rFonts w:hint="eastAsia" w:ascii="Arial" w:hAnsi="Arial" w:cs="Arial"/>
          <w:color w:val="auto"/>
          <w:sz w:val="24"/>
        </w:rPr>
        <w:t>、保修、保质期内，维修费用、乙方维修人员的差旅费及其他相关费用均由乙方承担。</w:t>
      </w:r>
    </w:p>
    <w:p>
      <w:pPr>
        <w:spacing w:line="340" w:lineRule="exact"/>
        <w:ind w:firstLine="480" w:firstLineChars="200"/>
        <w:rPr>
          <w:rFonts w:hint="eastAsia" w:ascii="宋体" w:hAnsi="宋体"/>
          <w:color w:val="auto"/>
          <w:sz w:val="24"/>
        </w:rPr>
      </w:pPr>
      <w:r>
        <w:rPr>
          <w:rFonts w:hint="eastAsia"/>
          <w:color w:val="auto"/>
          <w:sz w:val="24"/>
        </w:rPr>
        <w:t>5</w:t>
      </w:r>
      <w:r>
        <w:rPr>
          <w:rFonts w:hint="eastAsia" w:ascii="Arial" w:hAnsi="Arial" w:cs="Arial"/>
          <w:color w:val="auto"/>
          <w:sz w:val="24"/>
        </w:rPr>
        <w:t>、保修、保质期满后，乙方负责终身优质服务，检修更换的产品配置零件按标准报价</w:t>
      </w:r>
      <w:r>
        <w:rPr>
          <w:rFonts w:hint="eastAsia" w:ascii="Arial" w:hAnsi="Arial" w:cs="Arial"/>
          <w:color w:val="auto"/>
          <w:sz w:val="24"/>
          <w:u w:val="single"/>
        </w:rPr>
        <w:t xml:space="preserve"> 8 </w:t>
      </w:r>
      <w:r>
        <w:rPr>
          <w:rFonts w:hint="eastAsia" w:ascii="Arial" w:hAnsi="Arial" w:cs="Arial"/>
          <w:color w:val="auto"/>
          <w:sz w:val="24"/>
        </w:rPr>
        <w:t>折的优惠价向甲方提供，</w:t>
      </w:r>
      <w:r>
        <w:rPr>
          <w:rFonts w:hint="eastAsia" w:ascii="宋体" w:hAnsi="宋体"/>
          <w:color w:val="auto"/>
          <w:sz w:val="24"/>
        </w:rPr>
        <w:t>免人工费、差旅费及工时费，只收取更换的零配件成本费。</w:t>
      </w:r>
    </w:p>
    <w:p>
      <w:pPr>
        <w:spacing w:line="340" w:lineRule="exact"/>
        <w:ind w:firstLine="480" w:firstLineChars="200"/>
        <w:rPr>
          <w:rFonts w:hint="eastAsia" w:ascii="Arial" w:hAnsi="Arial" w:cs="Arial"/>
          <w:color w:val="auto"/>
          <w:sz w:val="24"/>
        </w:rPr>
      </w:pPr>
      <w:r>
        <w:rPr>
          <w:rFonts w:hint="eastAsia"/>
          <w:color w:val="auto"/>
          <w:sz w:val="24"/>
        </w:rPr>
        <w:t>6</w:t>
      </w:r>
      <w:r>
        <w:rPr>
          <w:rFonts w:hint="eastAsia" w:ascii="Arial" w:hAnsi="Arial" w:cs="Arial"/>
          <w:color w:val="auto"/>
          <w:sz w:val="24"/>
        </w:rPr>
        <w:t>、乙方负责产品机型系统错误改进，在保修、保质期内对该机型的软件免费更换或升级。</w:t>
      </w:r>
    </w:p>
    <w:p>
      <w:pPr>
        <w:spacing w:line="340" w:lineRule="exact"/>
        <w:ind w:firstLine="480" w:firstLineChars="200"/>
        <w:rPr>
          <w:rFonts w:hint="eastAsia" w:ascii="Arial" w:hAnsi="Arial" w:cs="Arial"/>
          <w:color w:val="auto"/>
          <w:sz w:val="24"/>
        </w:rPr>
      </w:pPr>
      <w:r>
        <w:rPr>
          <w:rFonts w:hint="eastAsia"/>
          <w:color w:val="auto"/>
          <w:sz w:val="24"/>
        </w:rPr>
        <w:t>7</w:t>
      </w:r>
      <w:r>
        <w:rPr>
          <w:rFonts w:hint="eastAsia" w:ascii="Arial" w:hAnsi="Arial" w:cs="Arial"/>
          <w:color w:val="auto"/>
          <w:sz w:val="24"/>
        </w:rPr>
        <w:t>、如以后该产品升级换代，乙方愿意以优惠价格向甲方提供。</w:t>
      </w:r>
    </w:p>
    <w:p>
      <w:pPr>
        <w:spacing w:line="340" w:lineRule="exact"/>
        <w:ind w:firstLine="480" w:firstLineChars="200"/>
        <w:rPr>
          <w:rFonts w:hint="eastAsia" w:ascii="Arial" w:hAnsi="Arial" w:cs="Arial"/>
          <w:color w:val="auto"/>
          <w:sz w:val="24"/>
        </w:rPr>
      </w:pPr>
      <w:r>
        <w:rPr>
          <w:rFonts w:hint="eastAsia"/>
          <w:color w:val="auto"/>
          <w:sz w:val="24"/>
        </w:rPr>
        <w:t>8</w:t>
      </w:r>
      <w:r>
        <w:rPr>
          <w:rFonts w:hint="eastAsia" w:ascii="Arial" w:hAnsi="Arial" w:cs="Arial"/>
          <w:color w:val="auto"/>
          <w:sz w:val="24"/>
        </w:rPr>
        <w:t>、如因产品本身的隐蔽瑕疵而出现的质量问题，乙方应全面负责维修调试或更新更换并承担全部费用。</w:t>
      </w:r>
    </w:p>
    <w:p>
      <w:pPr>
        <w:spacing w:line="340" w:lineRule="exact"/>
        <w:ind w:firstLine="480" w:firstLineChars="200"/>
        <w:rPr>
          <w:rFonts w:hint="eastAsia" w:ascii="Arial" w:hAnsi="Arial" w:cs="Arial"/>
          <w:color w:val="auto"/>
          <w:sz w:val="24"/>
        </w:rPr>
      </w:pPr>
      <w:r>
        <w:rPr>
          <w:rFonts w:hint="eastAsia"/>
          <w:color w:val="auto"/>
          <w:sz w:val="24"/>
        </w:rPr>
        <w:t>9</w:t>
      </w:r>
      <w:r>
        <w:rPr>
          <w:rFonts w:hint="eastAsia" w:ascii="Arial" w:hAnsi="Arial" w:cs="Arial"/>
          <w:color w:val="auto"/>
          <w:sz w:val="24"/>
        </w:rPr>
        <w:t>、乙方必须严格依据合同约定及投标文件中的售后服务承诺履行售后服务义务。</w:t>
      </w:r>
    </w:p>
    <w:p>
      <w:pPr>
        <w:spacing w:line="340" w:lineRule="exact"/>
        <w:ind w:firstLine="482" w:firstLineChars="200"/>
        <w:rPr>
          <w:rFonts w:hint="eastAsia"/>
          <w:b/>
          <w:color w:val="auto"/>
          <w:sz w:val="24"/>
        </w:rPr>
      </w:pPr>
      <w:r>
        <w:rPr>
          <w:rFonts w:hint="eastAsia"/>
          <w:b/>
          <w:color w:val="auto"/>
          <w:sz w:val="24"/>
        </w:rPr>
        <w:t>第十一条：技术服务：</w:t>
      </w:r>
    </w:p>
    <w:p>
      <w:pPr>
        <w:spacing w:line="340" w:lineRule="exact"/>
        <w:ind w:firstLine="480" w:firstLineChars="200"/>
        <w:rPr>
          <w:rFonts w:hint="eastAsia"/>
          <w:color w:val="auto"/>
          <w:sz w:val="24"/>
        </w:rPr>
      </w:pPr>
      <w:r>
        <w:rPr>
          <w:rFonts w:hint="eastAsia"/>
          <w:color w:val="auto"/>
          <w:sz w:val="24"/>
        </w:rPr>
        <w:t>1、乙方必须在交货时向甲方提供产品详细的中文技术资料1套/台、中文技术操作手册、中文维修手册、中文保养手册、设备总图、电子线路图、机械结构图、产品合格证、中文产品使用说明书等相关材料。</w:t>
      </w:r>
    </w:p>
    <w:p>
      <w:pPr>
        <w:spacing w:line="340" w:lineRule="exact"/>
        <w:ind w:firstLine="480" w:firstLineChars="200"/>
        <w:rPr>
          <w:rFonts w:hint="eastAsia"/>
          <w:color w:val="auto"/>
          <w:sz w:val="24"/>
        </w:rPr>
      </w:pPr>
      <w:r>
        <w:rPr>
          <w:rFonts w:hint="eastAsia"/>
          <w:color w:val="auto"/>
          <w:sz w:val="24"/>
        </w:rPr>
        <w:t>2、乙方应当负责对甲方的工作人员进行操作培训，使操作人员能够独立、熟练操作直至该产品可以正常使用为止。</w:t>
      </w:r>
    </w:p>
    <w:p>
      <w:pPr>
        <w:spacing w:line="340" w:lineRule="exact"/>
        <w:ind w:firstLine="480" w:firstLineChars="200"/>
        <w:rPr>
          <w:rFonts w:hint="eastAsia"/>
          <w:color w:val="auto"/>
          <w:sz w:val="24"/>
        </w:rPr>
      </w:pPr>
      <w:r>
        <w:rPr>
          <w:rFonts w:hint="eastAsia"/>
          <w:color w:val="auto"/>
          <w:sz w:val="24"/>
        </w:rPr>
        <w:t>3、乙方应当负责该产品的调试、安装到位，保证正常使用，全部费用由乙方承担。</w:t>
      </w:r>
    </w:p>
    <w:p>
      <w:pPr>
        <w:spacing w:line="340" w:lineRule="exact"/>
        <w:ind w:firstLine="472" w:firstLineChars="196"/>
        <w:rPr>
          <w:rFonts w:hint="eastAsia"/>
          <w:b/>
          <w:color w:val="auto"/>
          <w:sz w:val="24"/>
        </w:rPr>
      </w:pPr>
      <w:r>
        <w:rPr>
          <w:rFonts w:hint="eastAsia"/>
          <w:b/>
          <w:color w:val="auto"/>
          <w:sz w:val="24"/>
        </w:rPr>
        <w:t>第十二条：产品的验收：</w:t>
      </w:r>
    </w:p>
    <w:p>
      <w:pPr>
        <w:spacing w:line="340" w:lineRule="exact"/>
        <w:ind w:firstLine="480" w:firstLineChars="200"/>
        <w:rPr>
          <w:rFonts w:hint="eastAsia"/>
          <w:color w:val="auto"/>
          <w:sz w:val="24"/>
        </w:rPr>
      </w:pPr>
      <w:r>
        <w:rPr>
          <w:rFonts w:hint="eastAsia"/>
          <w:color w:val="auto"/>
          <w:sz w:val="24"/>
        </w:rPr>
        <w:t>1、甲方必须在乙方提出书面验收申请之日起</w:t>
      </w:r>
      <w:r>
        <w:rPr>
          <w:rFonts w:hint="eastAsia"/>
          <w:color w:val="auto"/>
          <w:sz w:val="24"/>
          <w:u w:val="single"/>
        </w:rPr>
        <w:t xml:space="preserve"> 2 </w:t>
      </w:r>
      <w:r>
        <w:rPr>
          <w:rFonts w:hint="eastAsia"/>
          <w:color w:val="auto"/>
          <w:sz w:val="24"/>
        </w:rPr>
        <w:t>个工作日内，组织验收工作。验收由甲方指定单位及人员进行验收，验收合格后出具书面验收合格证明，作为对产品的最终认可。</w:t>
      </w:r>
    </w:p>
    <w:p>
      <w:pPr>
        <w:spacing w:line="340" w:lineRule="exact"/>
        <w:ind w:firstLine="480" w:firstLineChars="200"/>
        <w:rPr>
          <w:rFonts w:hint="eastAsia"/>
          <w:color w:val="auto"/>
          <w:sz w:val="24"/>
        </w:rPr>
      </w:pPr>
      <w:r>
        <w:rPr>
          <w:rFonts w:hint="eastAsia"/>
          <w:color w:val="auto"/>
          <w:sz w:val="24"/>
        </w:rPr>
        <w:t>2、验收依据：单证齐全，应有产品合格证、质量证明、使用说明、保修保质证明、发票和其他应当具有的单证，并符合国家法律、法规对该产品规定的国家标准的要求。</w:t>
      </w:r>
    </w:p>
    <w:p>
      <w:pPr>
        <w:spacing w:line="340" w:lineRule="exact"/>
        <w:ind w:firstLine="472" w:firstLineChars="196"/>
        <w:rPr>
          <w:rFonts w:hint="eastAsia"/>
          <w:b/>
          <w:color w:val="auto"/>
          <w:sz w:val="24"/>
        </w:rPr>
      </w:pPr>
      <w:r>
        <w:rPr>
          <w:rFonts w:hint="eastAsia"/>
          <w:b/>
          <w:color w:val="auto"/>
          <w:sz w:val="24"/>
        </w:rPr>
        <w:t>第十三条：违约责任：</w:t>
      </w:r>
    </w:p>
    <w:p>
      <w:pPr>
        <w:spacing w:line="340" w:lineRule="exact"/>
        <w:ind w:firstLine="480" w:firstLineChars="200"/>
        <w:rPr>
          <w:rFonts w:hint="eastAsia"/>
          <w:color w:val="auto"/>
          <w:sz w:val="24"/>
        </w:rPr>
      </w:pPr>
      <w:r>
        <w:rPr>
          <w:rFonts w:hint="eastAsia"/>
          <w:color w:val="auto"/>
          <w:sz w:val="24"/>
        </w:rPr>
        <w:t>1、乙方如不能及时交货或未按照本合同约定及时安装、调试完毕或违反第九条约定，应向甲方支付本合同总价款</w:t>
      </w:r>
      <w:r>
        <w:rPr>
          <w:rFonts w:hint="eastAsia"/>
          <w:color w:val="auto"/>
          <w:sz w:val="24"/>
          <w:u w:val="single"/>
        </w:rPr>
        <w:t xml:space="preserve">10 </w:t>
      </w:r>
      <w:r>
        <w:rPr>
          <w:rFonts w:hint="eastAsia"/>
          <w:color w:val="auto"/>
          <w:sz w:val="24"/>
        </w:rPr>
        <w:t>%的违约金。如交付的产品数量、品种、规格、质量不符合国家标准和合同约定的由乙方负责包修、包换、退货，并承担由此给甲方造成的所有经济损失；逾期交货的，应向甲方支付迟延履行的违约金，每日违约金按逾期交货货款金额万分之一计算。</w:t>
      </w:r>
    </w:p>
    <w:p>
      <w:pPr>
        <w:spacing w:line="340" w:lineRule="exact"/>
        <w:ind w:firstLine="480" w:firstLineChars="200"/>
        <w:rPr>
          <w:rFonts w:hint="eastAsia"/>
          <w:color w:val="auto"/>
          <w:sz w:val="24"/>
        </w:rPr>
      </w:pPr>
      <w:r>
        <w:rPr>
          <w:rFonts w:hint="eastAsia"/>
          <w:color w:val="auto"/>
          <w:sz w:val="24"/>
        </w:rPr>
        <w:t>2、除前款约定外，乙方未按合同要求提供产品或提供虚假材料，且质量不能满足技术要求的，甲方有权终止合同，同时要求乙方承担相应的经济损失或承担本合同总价款10</w:t>
      </w:r>
      <w:r>
        <w:rPr>
          <w:rFonts w:hint="eastAsia" w:ascii="宋体" w:hAnsi="宋体" w:cs="宋体"/>
          <w:color w:val="auto"/>
          <w:sz w:val="24"/>
        </w:rPr>
        <w:t>％</w:t>
      </w:r>
      <w:r>
        <w:rPr>
          <w:rFonts w:hint="eastAsia"/>
          <w:color w:val="auto"/>
          <w:sz w:val="24"/>
        </w:rPr>
        <w:t>的违约金。</w:t>
      </w:r>
    </w:p>
    <w:p>
      <w:pPr>
        <w:spacing w:line="340" w:lineRule="exact"/>
        <w:ind w:firstLine="480" w:firstLineChars="200"/>
        <w:rPr>
          <w:rFonts w:hint="eastAsia"/>
          <w:color w:val="auto"/>
          <w:sz w:val="24"/>
        </w:rPr>
      </w:pPr>
      <w:r>
        <w:rPr>
          <w:rFonts w:hint="eastAsia"/>
          <w:color w:val="auto"/>
          <w:sz w:val="24"/>
        </w:rPr>
        <w:t>3、自本合同签订之日起，若甲方无故中途退货，应向乙方支付退货部分货款的</w:t>
      </w:r>
      <w:r>
        <w:rPr>
          <w:rFonts w:hint="eastAsia"/>
          <w:color w:val="auto"/>
          <w:sz w:val="24"/>
          <w:u w:val="single"/>
        </w:rPr>
        <w:t xml:space="preserve">10 </w:t>
      </w:r>
      <w:r>
        <w:rPr>
          <w:rFonts w:hint="eastAsia"/>
          <w:color w:val="auto"/>
          <w:sz w:val="24"/>
        </w:rPr>
        <w:t>%的违约金。</w:t>
      </w:r>
    </w:p>
    <w:p>
      <w:pPr>
        <w:spacing w:line="340" w:lineRule="exact"/>
        <w:ind w:firstLine="480" w:firstLineChars="200"/>
        <w:rPr>
          <w:rFonts w:hint="eastAsia"/>
          <w:color w:val="auto"/>
          <w:sz w:val="24"/>
        </w:rPr>
      </w:pPr>
      <w:r>
        <w:rPr>
          <w:rFonts w:hint="eastAsia"/>
          <w:color w:val="auto"/>
          <w:sz w:val="24"/>
        </w:rPr>
        <w:t>4、甲方应当按时向乙方支付货款，逾期付款的，应向乙方支付迟延履行的违约金，每日违约金按逾期付款金额的万分之一计算。</w:t>
      </w:r>
    </w:p>
    <w:p>
      <w:pPr>
        <w:spacing w:line="340" w:lineRule="exact"/>
        <w:ind w:firstLine="472" w:firstLineChars="196"/>
        <w:rPr>
          <w:rFonts w:hint="eastAsia"/>
          <w:b/>
          <w:color w:val="auto"/>
          <w:sz w:val="24"/>
        </w:rPr>
      </w:pPr>
      <w:r>
        <w:rPr>
          <w:rFonts w:hint="eastAsia"/>
          <w:b/>
          <w:color w:val="auto"/>
          <w:sz w:val="24"/>
        </w:rPr>
        <w:t>第十四条：不可抗力：</w:t>
      </w:r>
    </w:p>
    <w:p>
      <w:pPr>
        <w:spacing w:line="340" w:lineRule="exact"/>
        <w:ind w:firstLine="480" w:firstLineChars="200"/>
        <w:rPr>
          <w:rFonts w:hint="eastAsia"/>
          <w:color w:val="auto"/>
          <w:sz w:val="24"/>
        </w:rPr>
      </w:pPr>
      <w:r>
        <w:rPr>
          <w:rFonts w:hint="eastAsia"/>
          <w:color w:val="auto"/>
          <w:sz w:val="24"/>
        </w:rPr>
        <w:t>如果发生由于无法预见并且对其发生和后果无法防止或避免的事件（统称：不可抗力事件），如交通事故、地震、水灾、火灾、战争、暴动等，以及政府行为的禁运令、禁止令或其他政府限制行动，直接致使遇到上述事件的一方（即受阻方）不能正常履行本合同约定的全部或部分义务时，受阻方应立即通知另一方，并在不可抗力事件发生后</w:t>
      </w:r>
      <w:r>
        <w:rPr>
          <w:rFonts w:hint="eastAsia"/>
          <w:b/>
          <w:bCs/>
          <w:color w:val="auto"/>
          <w:sz w:val="24"/>
        </w:rPr>
        <w:t>六十</w:t>
      </w:r>
      <w:r>
        <w:rPr>
          <w:rFonts w:hint="eastAsia"/>
          <w:color w:val="auto"/>
          <w:sz w:val="24"/>
        </w:rPr>
        <w:t>个工作日内提供附有有关该事件的权威机关证明的书面材料，包括陈述迟延履行、部分履行或无法履行本合同义务的理由的说明书，方可免责。</w:t>
      </w:r>
    </w:p>
    <w:p>
      <w:pPr>
        <w:spacing w:line="340" w:lineRule="exact"/>
        <w:ind w:firstLine="472" w:firstLineChars="196"/>
        <w:rPr>
          <w:rFonts w:hint="eastAsia"/>
          <w:b/>
          <w:color w:val="auto"/>
          <w:sz w:val="24"/>
        </w:rPr>
      </w:pPr>
      <w:r>
        <w:rPr>
          <w:rFonts w:hint="eastAsia"/>
          <w:b/>
          <w:color w:val="auto"/>
          <w:sz w:val="24"/>
        </w:rPr>
        <w:t>第十五条：通知：</w:t>
      </w:r>
    </w:p>
    <w:p>
      <w:pPr>
        <w:spacing w:line="340" w:lineRule="exact"/>
        <w:rPr>
          <w:rFonts w:hint="eastAsia" w:ascii="宋体" w:hAnsi="宋体" w:cs="宋体"/>
          <w:b/>
          <w:bCs/>
          <w:color w:val="auto"/>
          <w:sz w:val="24"/>
        </w:rPr>
      </w:pPr>
      <w:r>
        <w:rPr>
          <w:rFonts w:hint="eastAsia"/>
          <w:color w:val="auto"/>
          <w:sz w:val="24"/>
        </w:rPr>
        <w:t xml:space="preserve">    一方发给另一方的通知或信件应是书面的，按本合同所示地址投送。上述通知或信件应由专人传递或通过传真传送，如由专人传送，则于送达至指定专人接收之日视为正式送交；如以传真发送，则以传真接收人收到该通知之日为准。任何一方变更地址或法定代表人或企业名称等相关信息时，应当在3个工作日内以书面形式通知</w:t>
      </w:r>
      <w:r>
        <w:rPr>
          <w:rFonts w:hint="eastAsia" w:ascii="宋体" w:hAnsi="宋体" w:cs="宋体"/>
          <w:color w:val="auto"/>
          <w:sz w:val="24"/>
        </w:rPr>
        <w:t>对方。</w:t>
      </w:r>
      <w:r>
        <w:rPr>
          <w:rFonts w:hint="eastAsia" w:ascii="宋体" w:hAnsi="宋体" w:cs="宋体"/>
          <w:b/>
          <w:bCs/>
          <w:color w:val="auto"/>
          <w:sz w:val="24"/>
        </w:rPr>
        <w:t>甲、乙双方在此一致确认接收通知或文件（包括但不限于日后如发生诉讼案件或其他事件时，法院或其他司法机关或政府等部门送达文书均可采用以下信息）等的信息如下：</w:t>
      </w:r>
    </w:p>
    <w:p>
      <w:pPr>
        <w:spacing w:line="360" w:lineRule="auto"/>
        <w:ind w:firstLine="472" w:firstLineChars="196"/>
        <w:rPr>
          <w:rFonts w:hint="eastAsia"/>
          <w:b/>
          <w:bCs/>
          <w:color w:val="auto"/>
          <w:sz w:val="24"/>
        </w:rPr>
      </w:pPr>
      <w:r>
        <w:rPr>
          <w:rFonts w:hint="eastAsia"/>
          <w:b/>
          <w:bCs/>
          <w:color w:val="auto"/>
          <w:sz w:val="24"/>
        </w:rPr>
        <w:t>甲方：陕西中医</w:t>
      </w:r>
      <w:r>
        <w:rPr>
          <w:rFonts w:hint="eastAsia"/>
          <w:b/>
          <w:bCs/>
          <w:color w:val="auto"/>
          <w:sz w:val="24"/>
          <w:lang w:eastAsia="zh-CN"/>
        </w:rPr>
        <w:t>药大学</w:t>
      </w:r>
      <w:r>
        <w:rPr>
          <w:rFonts w:hint="eastAsia"/>
          <w:b/>
          <w:bCs/>
          <w:color w:val="auto"/>
          <w:sz w:val="24"/>
        </w:rPr>
        <w:t>第二附属医院            乙方：</w:t>
      </w:r>
    </w:p>
    <w:p>
      <w:pPr>
        <w:spacing w:line="360" w:lineRule="auto"/>
        <w:ind w:firstLine="482" w:firstLineChars="200"/>
        <w:rPr>
          <w:rFonts w:hint="eastAsia"/>
          <w:b/>
          <w:bCs/>
          <w:color w:val="auto"/>
          <w:sz w:val="24"/>
        </w:rPr>
      </w:pPr>
      <w:r>
        <w:rPr>
          <w:rFonts w:hint="eastAsia"/>
          <w:b/>
          <w:bCs/>
          <w:color w:val="auto"/>
          <w:sz w:val="24"/>
        </w:rPr>
        <w:t>地址：咸阳市渭阳西路5号                    地址：</w:t>
      </w:r>
    </w:p>
    <w:p>
      <w:pPr>
        <w:spacing w:line="360" w:lineRule="auto"/>
        <w:ind w:firstLine="482" w:firstLineChars="200"/>
        <w:rPr>
          <w:rFonts w:hint="eastAsia"/>
          <w:b/>
          <w:bCs/>
          <w:color w:val="auto"/>
          <w:sz w:val="24"/>
        </w:rPr>
      </w:pPr>
      <w:r>
        <w:rPr>
          <w:rFonts w:hint="eastAsia"/>
          <w:b/>
          <w:bCs/>
          <w:color w:val="auto"/>
          <w:sz w:val="24"/>
        </w:rPr>
        <w:t>电话：029</w:t>
      </w:r>
      <w:r>
        <w:rPr>
          <w:b/>
          <w:bCs/>
          <w:color w:val="auto"/>
          <w:sz w:val="24"/>
        </w:rPr>
        <w:t>—</w:t>
      </w:r>
      <w:r>
        <w:rPr>
          <w:rFonts w:hint="eastAsia"/>
          <w:b/>
          <w:bCs/>
          <w:color w:val="auto"/>
          <w:sz w:val="24"/>
        </w:rPr>
        <w:t>33572698                         电话：</w:t>
      </w:r>
    </w:p>
    <w:p>
      <w:pPr>
        <w:spacing w:line="360" w:lineRule="auto"/>
        <w:ind w:firstLine="482" w:firstLineChars="200"/>
        <w:rPr>
          <w:rFonts w:hint="eastAsia"/>
          <w:b/>
          <w:bCs/>
          <w:color w:val="auto"/>
          <w:sz w:val="24"/>
        </w:rPr>
      </w:pPr>
      <w:r>
        <w:rPr>
          <w:rFonts w:hint="eastAsia"/>
          <w:b/>
          <w:bCs/>
          <w:color w:val="auto"/>
          <w:sz w:val="24"/>
        </w:rPr>
        <w:t>邮编：712000                                邮编：</w:t>
      </w:r>
    </w:p>
    <w:p>
      <w:pPr>
        <w:spacing w:line="360" w:lineRule="auto"/>
        <w:ind w:firstLine="482" w:firstLineChars="200"/>
        <w:rPr>
          <w:rFonts w:hint="eastAsia"/>
          <w:b/>
          <w:bCs/>
          <w:color w:val="auto"/>
          <w:sz w:val="24"/>
        </w:rPr>
      </w:pPr>
      <w:r>
        <w:rPr>
          <w:rFonts w:hint="eastAsia"/>
          <w:b/>
          <w:bCs/>
          <w:color w:val="auto"/>
          <w:sz w:val="24"/>
        </w:rPr>
        <w:t>传真：                                      传真：</w:t>
      </w:r>
    </w:p>
    <w:p>
      <w:pPr>
        <w:spacing w:line="360" w:lineRule="auto"/>
        <w:ind w:firstLine="482" w:firstLineChars="200"/>
        <w:rPr>
          <w:rFonts w:hint="eastAsia"/>
          <w:b/>
          <w:bCs/>
          <w:color w:val="auto"/>
          <w:sz w:val="24"/>
        </w:rPr>
      </w:pPr>
      <w:r>
        <w:rPr>
          <w:rFonts w:hint="eastAsia"/>
          <w:b/>
          <w:bCs/>
          <w:color w:val="auto"/>
          <w:sz w:val="24"/>
        </w:rPr>
        <w:t>邮箱：                                      邮箱：</w:t>
      </w:r>
    </w:p>
    <w:p>
      <w:pPr>
        <w:spacing w:line="360" w:lineRule="auto"/>
        <w:ind w:firstLine="482" w:firstLineChars="200"/>
        <w:rPr>
          <w:rFonts w:hint="eastAsia"/>
          <w:b/>
          <w:bCs/>
          <w:color w:val="auto"/>
          <w:sz w:val="24"/>
        </w:rPr>
      </w:pPr>
      <w:r>
        <w:rPr>
          <w:rFonts w:hint="eastAsia"/>
          <w:b/>
          <w:bCs/>
          <w:color w:val="auto"/>
          <w:sz w:val="24"/>
        </w:rPr>
        <w:t>法定代表人：                                法定代表人：</w:t>
      </w:r>
    </w:p>
    <w:p>
      <w:pPr>
        <w:spacing w:line="360" w:lineRule="auto"/>
        <w:rPr>
          <w:rFonts w:hint="eastAsia"/>
          <w:b/>
          <w:bCs/>
          <w:color w:val="auto"/>
          <w:sz w:val="24"/>
        </w:rPr>
      </w:pPr>
      <w:r>
        <w:rPr>
          <w:rFonts w:hint="eastAsia"/>
          <w:b/>
          <w:bCs/>
          <w:color w:val="auto"/>
          <w:sz w:val="24"/>
        </w:rPr>
        <w:t xml:space="preserve">    指定收件人：                                指定收件人：</w:t>
      </w:r>
    </w:p>
    <w:p>
      <w:pPr>
        <w:spacing w:line="340" w:lineRule="exact"/>
        <w:ind w:firstLine="472" w:firstLineChars="196"/>
        <w:rPr>
          <w:rFonts w:hint="eastAsia"/>
          <w:b/>
          <w:color w:val="auto"/>
          <w:sz w:val="24"/>
        </w:rPr>
      </w:pPr>
      <w:r>
        <w:rPr>
          <w:rFonts w:hint="eastAsia"/>
          <w:b/>
          <w:color w:val="auto"/>
          <w:sz w:val="24"/>
        </w:rPr>
        <w:t>第十六条：纠纷的解决：</w:t>
      </w:r>
    </w:p>
    <w:p>
      <w:pPr>
        <w:spacing w:line="340" w:lineRule="exact"/>
        <w:ind w:firstLine="480" w:firstLineChars="200"/>
        <w:rPr>
          <w:rFonts w:hint="eastAsia"/>
          <w:color w:val="000000"/>
          <w:sz w:val="24"/>
        </w:rPr>
      </w:pPr>
      <w:r>
        <w:rPr>
          <w:rFonts w:hint="eastAsia"/>
          <w:color w:val="auto"/>
          <w:sz w:val="24"/>
        </w:rPr>
        <w:t>本合同在履行过程中发生的与本合同有关的任何争议，由甲、乙双方先行友</w:t>
      </w:r>
      <w:r>
        <w:rPr>
          <w:rFonts w:hint="eastAsia"/>
          <w:color w:val="000000"/>
          <w:sz w:val="24"/>
        </w:rPr>
        <w:t>好协商解决，协商不成的，任何一方有权向甲方所在地人民法院提起诉讼。</w:t>
      </w:r>
    </w:p>
    <w:p>
      <w:pPr>
        <w:spacing w:line="340" w:lineRule="exact"/>
        <w:ind w:firstLine="472" w:firstLineChars="196"/>
        <w:rPr>
          <w:rFonts w:hint="eastAsia"/>
          <w:b/>
          <w:color w:val="000000"/>
          <w:sz w:val="24"/>
        </w:rPr>
      </w:pPr>
      <w:r>
        <w:rPr>
          <w:rFonts w:hint="eastAsia"/>
          <w:b/>
          <w:color w:val="000000"/>
          <w:sz w:val="24"/>
        </w:rPr>
        <w:t>第十七条：以下资料为本合同不可分割部分，与本合同具有同等法律效力：</w:t>
      </w:r>
    </w:p>
    <w:p>
      <w:pPr>
        <w:spacing w:line="340" w:lineRule="exact"/>
        <w:ind w:firstLine="480" w:firstLineChars="200"/>
        <w:rPr>
          <w:rFonts w:hint="eastAsia"/>
          <w:color w:val="000000"/>
          <w:sz w:val="24"/>
        </w:rPr>
      </w:pPr>
      <w:r>
        <w:rPr>
          <w:rFonts w:hint="eastAsia"/>
          <w:sz w:val="24"/>
        </w:rPr>
        <w:t>1</w:t>
      </w:r>
      <w:r>
        <w:rPr>
          <w:rFonts w:hint="eastAsia"/>
          <w:color w:val="000000"/>
          <w:sz w:val="24"/>
        </w:rPr>
        <w:t>、本合同所涉产品的国家标准及乙方宣传标准；</w:t>
      </w:r>
    </w:p>
    <w:p>
      <w:pPr>
        <w:spacing w:line="340" w:lineRule="exact"/>
        <w:ind w:firstLine="480" w:firstLineChars="200"/>
        <w:rPr>
          <w:rFonts w:hint="eastAsia"/>
          <w:color w:val="000000"/>
          <w:sz w:val="24"/>
        </w:rPr>
      </w:pPr>
      <w:r>
        <w:rPr>
          <w:rFonts w:hint="eastAsia"/>
          <w:sz w:val="24"/>
        </w:rPr>
        <w:t>2</w:t>
      </w:r>
      <w:r>
        <w:rPr>
          <w:rFonts w:hint="eastAsia"/>
          <w:color w:val="000000"/>
          <w:sz w:val="24"/>
        </w:rPr>
        <w:t>、本产品的详细资料；</w:t>
      </w:r>
    </w:p>
    <w:p>
      <w:pPr>
        <w:spacing w:line="340" w:lineRule="exact"/>
        <w:ind w:firstLine="480" w:firstLineChars="200"/>
        <w:rPr>
          <w:rFonts w:hint="eastAsia"/>
          <w:color w:val="000000"/>
          <w:sz w:val="24"/>
        </w:rPr>
      </w:pPr>
      <w:r>
        <w:rPr>
          <w:rFonts w:hint="eastAsia"/>
          <w:sz w:val="24"/>
        </w:rPr>
        <w:t>3</w:t>
      </w:r>
      <w:r>
        <w:rPr>
          <w:rFonts w:hint="eastAsia"/>
          <w:color w:val="000000"/>
          <w:sz w:val="24"/>
        </w:rPr>
        <w:t>、招投标文件；</w:t>
      </w:r>
    </w:p>
    <w:p>
      <w:pPr>
        <w:spacing w:line="340" w:lineRule="exact"/>
        <w:ind w:firstLine="480" w:firstLineChars="200"/>
        <w:rPr>
          <w:rFonts w:hint="eastAsia"/>
          <w:color w:val="000000"/>
          <w:sz w:val="24"/>
        </w:rPr>
      </w:pPr>
      <w:r>
        <w:rPr>
          <w:rFonts w:hint="eastAsia"/>
          <w:sz w:val="24"/>
        </w:rPr>
        <w:t>4</w:t>
      </w:r>
      <w:r>
        <w:rPr>
          <w:rFonts w:hint="eastAsia"/>
          <w:color w:val="000000"/>
          <w:sz w:val="24"/>
        </w:rPr>
        <w:t>、本套产品配置及配套设备零件报价详单；（附于合同后）</w:t>
      </w:r>
    </w:p>
    <w:p>
      <w:pPr>
        <w:spacing w:line="340" w:lineRule="exact"/>
        <w:ind w:firstLine="480" w:firstLineChars="200"/>
        <w:rPr>
          <w:rFonts w:hint="eastAsia"/>
          <w:color w:val="000000"/>
          <w:sz w:val="24"/>
        </w:rPr>
      </w:pPr>
      <w:r>
        <w:rPr>
          <w:rFonts w:hint="eastAsia"/>
          <w:sz w:val="24"/>
        </w:rPr>
        <w:t>5</w:t>
      </w:r>
      <w:r>
        <w:rPr>
          <w:rFonts w:hint="eastAsia"/>
          <w:color w:val="000000"/>
          <w:sz w:val="24"/>
        </w:rPr>
        <w:t>、本套产品配套耗材清单、报价详单。（附于合同后）</w:t>
      </w:r>
    </w:p>
    <w:p>
      <w:pPr>
        <w:spacing w:line="340" w:lineRule="exact"/>
        <w:ind w:firstLine="472" w:firstLineChars="196"/>
        <w:rPr>
          <w:rFonts w:hint="eastAsia"/>
          <w:color w:val="000000"/>
          <w:sz w:val="24"/>
        </w:rPr>
      </w:pPr>
      <w:r>
        <w:rPr>
          <w:rFonts w:hint="eastAsia"/>
          <w:b/>
          <w:color w:val="000000"/>
          <w:sz w:val="24"/>
        </w:rPr>
        <w:t>第十八条</w:t>
      </w:r>
      <w:r>
        <w:rPr>
          <w:rFonts w:hint="eastAsia"/>
          <w:color w:val="000000"/>
          <w:sz w:val="24"/>
        </w:rPr>
        <w:t>：本合同一式贰份，甲、乙双方各执壹份，均具有同等法律效力。</w:t>
      </w:r>
    </w:p>
    <w:p>
      <w:pPr>
        <w:spacing w:line="340" w:lineRule="exact"/>
        <w:ind w:firstLine="472" w:firstLineChars="196"/>
        <w:rPr>
          <w:rFonts w:hint="eastAsia"/>
          <w:color w:val="000000"/>
          <w:sz w:val="24"/>
        </w:rPr>
      </w:pPr>
      <w:r>
        <w:rPr>
          <w:rFonts w:hint="eastAsia"/>
          <w:b/>
          <w:color w:val="000000"/>
          <w:sz w:val="24"/>
        </w:rPr>
        <w:t>第十九条</w:t>
      </w:r>
      <w:r>
        <w:rPr>
          <w:rFonts w:hint="eastAsia"/>
          <w:color w:val="000000"/>
          <w:sz w:val="24"/>
        </w:rPr>
        <w:t>：本合同未尽事宜，由甲、乙双方另行签订补充协议，补充协议作为合同附件与本合同具有同等法律效力。</w:t>
      </w:r>
    </w:p>
    <w:p>
      <w:pPr>
        <w:spacing w:line="340" w:lineRule="exact"/>
        <w:ind w:firstLine="472" w:firstLineChars="196"/>
        <w:rPr>
          <w:rFonts w:hint="eastAsia"/>
          <w:color w:val="000000"/>
          <w:sz w:val="24"/>
        </w:rPr>
      </w:pPr>
      <w:r>
        <w:rPr>
          <w:rFonts w:hint="eastAsia"/>
          <w:b/>
          <w:color w:val="000000"/>
          <w:sz w:val="24"/>
        </w:rPr>
        <w:t>第二十条</w:t>
      </w:r>
      <w:r>
        <w:rPr>
          <w:rFonts w:hint="eastAsia"/>
          <w:color w:val="000000"/>
          <w:sz w:val="24"/>
        </w:rPr>
        <w:t>：本合同自甲、乙双方正式授权代表签字并加盖公章之日起生效。</w:t>
      </w:r>
    </w:p>
    <w:p>
      <w:pPr>
        <w:spacing w:line="340" w:lineRule="exact"/>
        <w:ind w:firstLine="472" w:firstLineChars="196"/>
        <w:rPr>
          <w:rFonts w:hint="eastAsia"/>
          <w:color w:val="000000"/>
          <w:sz w:val="24"/>
        </w:rPr>
      </w:pPr>
      <w:r>
        <w:rPr>
          <w:rFonts w:hint="eastAsia"/>
          <w:b/>
          <w:color w:val="000000"/>
          <w:sz w:val="24"/>
        </w:rPr>
        <w:t>第二十一条</w:t>
      </w:r>
      <w:r>
        <w:rPr>
          <w:rFonts w:hint="eastAsia"/>
          <w:color w:val="000000"/>
          <w:sz w:val="24"/>
        </w:rPr>
        <w:t>：本合同有效期自生效之日起至合同执行完毕时止。</w:t>
      </w:r>
    </w:p>
    <w:p>
      <w:pPr>
        <w:spacing w:line="340" w:lineRule="exact"/>
        <w:ind w:firstLine="472" w:firstLineChars="196"/>
        <w:rPr>
          <w:rFonts w:hint="eastAsia"/>
          <w:b/>
          <w:color w:val="000000"/>
          <w:sz w:val="24"/>
        </w:rPr>
      </w:pPr>
      <w:r>
        <w:rPr>
          <w:rFonts w:hint="eastAsia"/>
          <w:b/>
          <w:color w:val="000000"/>
          <w:sz w:val="24"/>
        </w:rPr>
        <w:t>第二十二条：</w:t>
      </w:r>
      <w:r>
        <w:rPr>
          <w:rFonts w:hint="eastAsia"/>
          <w:color w:val="000000"/>
          <w:sz w:val="24"/>
        </w:rPr>
        <w:t>本合同应当按照中华人民共和国的现行法律、法规进行解释。</w:t>
      </w:r>
    </w:p>
    <w:p>
      <w:pPr>
        <w:spacing w:line="340" w:lineRule="exact"/>
        <w:jc w:val="center"/>
        <w:rPr>
          <w:rFonts w:hint="eastAsia"/>
          <w:b/>
          <w:color w:val="000000"/>
          <w:sz w:val="24"/>
        </w:rPr>
      </w:pPr>
      <w:r>
        <w:rPr>
          <w:rFonts w:hint="eastAsia"/>
          <w:b/>
          <w:color w:val="000000"/>
          <w:sz w:val="24"/>
        </w:rPr>
        <w:t>（本页以下无正文）</w:t>
      </w:r>
    </w:p>
    <w:p>
      <w:pPr>
        <w:ind w:left="6008" w:hanging="6008" w:hangingChars="2850"/>
        <w:rPr>
          <w:rFonts w:hint="eastAsia"/>
          <w:b/>
          <w:color w:val="000000"/>
          <w:szCs w:val="21"/>
        </w:rPr>
      </w:pPr>
    </w:p>
    <w:p>
      <w:pPr>
        <w:ind w:left="6008" w:hanging="6008" w:hangingChars="2850"/>
        <w:rPr>
          <w:rFonts w:hint="eastAsia"/>
          <w:b/>
          <w:color w:val="000000"/>
          <w:szCs w:val="21"/>
        </w:rPr>
      </w:pPr>
    </w:p>
    <w:p>
      <w:pPr>
        <w:ind w:left="6008" w:hanging="6008" w:hangingChars="2850"/>
        <w:rPr>
          <w:rFonts w:hint="eastAsia"/>
          <w:b/>
          <w:color w:val="000000"/>
          <w:szCs w:val="21"/>
        </w:rPr>
      </w:pPr>
    </w:p>
    <w:p>
      <w:pPr>
        <w:ind w:left="6008" w:hanging="6008" w:hangingChars="2850"/>
        <w:rPr>
          <w:rFonts w:hint="eastAsia"/>
          <w:b/>
          <w:color w:val="000000"/>
          <w:szCs w:val="21"/>
        </w:rPr>
      </w:pPr>
    </w:p>
    <w:p>
      <w:pPr>
        <w:ind w:left="6008" w:hanging="6008" w:hangingChars="2850"/>
        <w:rPr>
          <w:rFonts w:hint="eastAsia"/>
          <w:color w:val="000000"/>
          <w:szCs w:val="21"/>
        </w:rPr>
      </w:pPr>
      <w:r>
        <w:rPr>
          <w:rFonts w:hint="eastAsia"/>
          <w:b/>
          <w:color w:val="000000"/>
          <w:szCs w:val="21"/>
        </w:rPr>
        <w:t>甲方（盖章）：</w:t>
      </w:r>
      <w:r>
        <w:rPr>
          <w:rFonts w:hint="eastAsia"/>
          <w:color w:val="000000"/>
          <w:szCs w:val="21"/>
        </w:rPr>
        <w:t xml:space="preserve">陕西中医药大学第二附属医院     </w:t>
      </w:r>
      <w:r>
        <w:rPr>
          <w:rFonts w:hint="eastAsia"/>
          <w:b/>
          <w:color w:val="000000"/>
          <w:szCs w:val="21"/>
        </w:rPr>
        <w:t>乙方（盖章）：</w:t>
      </w:r>
    </w:p>
    <w:p>
      <w:pPr>
        <w:spacing w:line="340" w:lineRule="exact"/>
        <w:rPr>
          <w:rFonts w:hint="eastAsia"/>
          <w:color w:val="000000"/>
          <w:szCs w:val="21"/>
        </w:rPr>
      </w:pPr>
      <w:r>
        <w:rPr>
          <w:rFonts w:hint="eastAsia"/>
          <w:color w:val="000000"/>
          <w:szCs w:val="21"/>
        </w:rPr>
        <w:t xml:space="preserve">  地址：咸阳市渭阳西路5号                  地址： </w:t>
      </w:r>
    </w:p>
    <w:p>
      <w:pPr>
        <w:spacing w:line="340" w:lineRule="exact"/>
        <w:ind w:firstLine="315" w:firstLineChars="150"/>
        <w:rPr>
          <w:rFonts w:hint="eastAsia"/>
          <w:color w:val="000000"/>
          <w:szCs w:val="21"/>
        </w:rPr>
      </w:pPr>
      <w:r>
        <w:rPr>
          <w:rFonts w:hint="eastAsia"/>
          <w:color w:val="000000"/>
          <w:szCs w:val="21"/>
        </w:rPr>
        <w:t xml:space="preserve">                                         账号：</w:t>
      </w:r>
    </w:p>
    <w:p>
      <w:pPr>
        <w:spacing w:line="340" w:lineRule="exact"/>
        <w:ind w:firstLine="4620" w:firstLineChars="2200"/>
        <w:rPr>
          <w:rFonts w:hint="eastAsia"/>
          <w:color w:val="000000"/>
          <w:szCs w:val="21"/>
        </w:rPr>
      </w:pPr>
      <w:r>
        <w:rPr>
          <w:rFonts w:hint="eastAsia"/>
          <w:color w:val="000000"/>
          <w:szCs w:val="21"/>
        </w:rPr>
        <w:t>开户：</w:t>
      </w:r>
    </w:p>
    <w:p>
      <w:pPr>
        <w:spacing w:line="340" w:lineRule="exact"/>
        <w:rPr>
          <w:rFonts w:hint="eastAsia"/>
          <w:color w:val="000000"/>
          <w:szCs w:val="21"/>
        </w:rPr>
      </w:pPr>
      <w:r>
        <w:rPr>
          <w:rFonts w:hint="eastAsia"/>
          <w:color w:val="000000"/>
          <w:szCs w:val="21"/>
        </w:rPr>
        <w:t xml:space="preserve">  主 管 领 导：                             法定代表人（签章） </w:t>
      </w:r>
    </w:p>
    <w:p>
      <w:pPr>
        <w:spacing w:line="340" w:lineRule="exact"/>
        <w:rPr>
          <w:rFonts w:hint="eastAsia"/>
          <w:color w:val="000000"/>
          <w:szCs w:val="21"/>
        </w:rPr>
      </w:pPr>
      <w:r>
        <w:rPr>
          <w:rFonts w:hint="eastAsia"/>
          <w:color w:val="000000"/>
          <w:szCs w:val="21"/>
        </w:rPr>
        <w:t xml:space="preserve">                                            </w:t>
      </w:r>
    </w:p>
    <w:p>
      <w:pPr>
        <w:spacing w:line="340" w:lineRule="exact"/>
        <w:rPr>
          <w:rFonts w:hint="eastAsia"/>
          <w:color w:val="000000"/>
          <w:szCs w:val="21"/>
        </w:rPr>
      </w:pPr>
    </w:p>
    <w:p>
      <w:pPr>
        <w:spacing w:line="340" w:lineRule="exact"/>
        <w:ind w:firstLine="210" w:firstLineChars="100"/>
        <w:rPr>
          <w:rFonts w:hint="eastAsia"/>
          <w:color w:val="000000"/>
          <w:szCs w:val="21"/>
        </w:rPr>
      </w:pPr>
    </w:p>
    <w:p>
      <w:pPr>
        <w:spacing w:line="340" w:lineRule="exact"/>
        <w:ind w:firstLine="210" w:firstLineChars="100"/>
        <w:rPr>
          <w:rFonts w:hint="eastAsia"/>
          <w:color w:val="000000"/>
          <w:szCs w:val="21"/>
        </w:rPr>
      </w:pPr>
      <w:r>
        <w:rPr>
          <w:rFonts w:hint="eastAsia"/>
          <w:color w:val="000000"/>
          <w:szCs w:val="21"/>
        </w:rPr>
        <w:t>经   办  人：                             委托代理人：</w:t>
      </w:r>
    </w:p>
    <w:p>
      <w:pPr>
        <w:spacing w:line="340" w:lineRule="exact"/>
        <w:rPr>
          <w:rFonts w:hint="eastAsia"/>
          <w:color w:val="000000"/>
          <w:szCs w:val="21"/>
        </w:rPr>
      </w:pPr>
      <w:r>
        <w:rPr>
          <w:rFonts w:hint="eastAsia"/>
          <w:color w:val="000000"/>
          <w:szCs w:val="21"/>
        </w:rPr>
        <w:t xml:space="preserve"> </w:t>
      </w:r>
    </w:p>
    <w:p>
      <w:pPr>
        <w:spacing w:line="340" w:lineRule="exact"/>
        <w:rPr>
          <w:rFonts w:hint="eastAsia"/>
          <w:color w:val="000000"/>
          <w:szCs w:val="21"/>
        </w:rPr>
      </w:pPr>
      <w:r>
        <w:rPr>
          <w:rFonts w:hint="eastAsia"/>
          <w:color w:val="000000"/>
          <w:szCs w:val="21"/>
        </w:rPr>
        <w:t xml:space="preserve">  </w:t>
      </w:r>
    </w:p>
    <w:p>
      <w:pPr>
        <w:spacing w:line="340" w:lineRule="exact"/>
        <w:ind w:firstLine="210" w:firstLineChars="100"/>
        <w:rPr>
          <w:rFonts w:hint="eastAsia"/>
          <w:color w:val="000000"/>
          <w:szCs w:val="21"/>
        </w:rPr>
      </w:pPr>
      <w:r>
        <w:rPr>
          <w:rFonts w:hint="eastAsia"/>
          <w:color w:val="000000"/>
          <w:szCs w:val="21"/>
        </w:rPr>
        <w:t>电话：029</w:t>
      </w:r>
      <w:r>
        <w:rPr>
          <w:color w:val="000000"/>
          <w:szCs w:val="21"/>
        </w:rPr>
        <w:t>—</w:t>
      </w:r>
      <w:r>
        <w:rPr>
          <w:rFonts w:hint="eastAsia"/>
          <w:color w:val="000000"/>
          <w:szCs w:val="21"/>
        </w:rPr>
        <w:t>33572698                        电话：</w:t>
      </w:r>
    </w:p>
    <w:p>
      <w:pPr>
        <w:spacing w:line="340" w:lineRule="exact"/>
        <w:ind w:left="479" w:leftChars="228"/>
        <w:rPr>
          <w:rFonts w:hint="eastAsia"/>
          <w:color w:val="000000"/>
          <w:sz w:val="24"/>
        </w:rPr>
      </w:pPr>
      <w:r>
        <w:rPr>
          <w:rFonts w:hint="eastAsia"/>
          <w:color w:val="000000"/>
          <w:sz w:val="24"/>
        </w:rPr>
        <w:t xml:space="preserve">      </w:t>
      </w:r>
    </w:p>
    <w:p>
      <w:pPr>
        <w:spacing w:line="340" w:lineRule="exact"/>
        <w:ind w:left="479" w:leftChars="228"/>
        <w:rPr>
          <w:rFonts w:hint="eastAsia"/>
          <w:color w:val="000000"/>
          <w:sz w:val="24"/>
        </w:rPr>
      </w:pPr>
      <w:r>
        <w:rPr>
          <w:rFonts w:hint="eastAsia"/>
          <w:color w:val="000000"/>
          <w:sz w:val="24"/>
        </w:rPr>
        <w:t>年     月    日                              年    月     日</w:t>
      </w:r>
    </w:p>
    <w:p>
      <w:pPr>
        <w:adjustRightInd w:val="0"/>
        <w:snapToGrid w:val="0"/>
        <w:spacing w:line="360" w:lineRule="auto"/>
        <w:jc w:val="right"/>
        <w:rPr>
          <w:rFonts w:hint="eastAsia" w:ascii="宋体" w:hAnsi="宋体" w:eastAsia="宋体"/>
          <w:sz w:val="20"/>
          <w:szCs w:val="20"/>
        </w:rPr>
      </w:pPr>
      <w:r>
        <w:rPr>
          <w:rFonts w:ascii="宋体" w:hAnsi="宋体" w:eastAsia="宋体"/>
          <w:sz w:val="20"/>
          <w:szCs w:val="20"/>
        </w:rPr>
        <w:t xml:space="preserve">                                          </w:t>
      </w:r>
    </w:p>
    <w:p>
      <w:pPr>
        <w:rPr>
          <w:rFonts w:hint="eastAsia" w:asciiTheme="minorEastAsia" w:hAnsiTheme="minorEastAsia" w:eastAsiaTheme="minorEastAsia" w:cstheme="minorEastAsia"/>
          <w:b/>
          <w:bCs/>
          <w:sz w:val="36"/>
          <w:szCs w:val="36"/>
          <w:highlight w:val="none"/>
        </w:rPr>
      </w:pPr>
      <w:bookmarkStart w:id="148" w:name="_Toc27777"/>
      <w:bookmarkStart w:id="149" w:name="_Toc26115"/>
      <w:bookmarkStart w:id="150" w:name="_Toc20061"/>
      <w:bookmarkStart w:id="151" w:name="_Toc31291"/>
      <w:r>
        <w:rPr>
          <w:rFonts w:hint="eastAsia" w:asciiTheme="minorEastAsia" w:hAnsiTheme="minorEastAsia" w:eastAsiaTheme="minorEastAsia" w:cstheme="minorEastAsia"/>
          <w:b/>
          <w:bCs/>
          <w:sz w:val="36"/>
          <w:szCs w:val="36"/>
          <w:highlight w:val="none"/>
        </w:rPr>
        <w:br w:type="page"/>
      </w:r>
    </w:p>
    <w:p>
      <w:pPr>
        <w:spacing w:line="480" w:lineRule="exact"/>
        <w:jc w:val="center"/>
        <w:outlineLvl w:val="0"/>
        <w:rPr>
          <w:rFonts w:asciiTheme="minorEastAsia" w:hAnsiTheme="minorEastAsia" w:eastAsiaTheme="minorEastAsia" w:cstheme="minorEastAsia"/>
          <w:b/>
          <w:bCs/>
          <w:highlight w:val="none"/>
        </w:rPr>
      </w:pPr>
      <w:bookmarkStart w:id="152" w:name="_Toc7138"/>
      <w:r>
        <w:rPr>
          <w:rFonts w:hint="eastAsia" w:asciiTheme="minorEastAsia" w:hAnsiTheme="minorEastAsia" w:eastAsiaTheme="minorEastAsia" w:cstheme="minorEastAsia"/>
          <w:b/>
          <w:bCs/>
          <w:sz w:val="36"/>
          <w:szCs w:val="36"/>
          <w:highlight w:val="none"/>
        </w:rPr>
        <w:t>第七部分  投标文件格式</w:t>
      </w:r>
      <w:bookmarkEnd w:id="145"/>
      <w:bookmarkEnd w:id="148"/>
      <w:bookmarkEnd w:id="149"/>
      <w:bookmarkEnd w:id="150"/>
      <w:bookmarkEnd w:id="151"/>
      <w:bookmarkEnd w:id="152"/>
    </w:p>
    <w:p>
      <w:pPr>
        <w:adjustRightInd w:val="0"/>
        <w:snapToGrid w:val="0"/>
        <w:spacing w:line="500" w:lineRule="exact"/>
        <w:jc w:val="left"/>
        <w:rPr>
          <w:rFonts w:asciiTheme="minorEastAsia" w:hAnsiTheme="minorEastAsia" w:eastAsiaTheme="minorEastAsia" w:cstheme="minorEastAsia"/>
          <w:b/>
          <w:bCs/>
          <w:w w:val="120"/>
          <w:sz w:val="28"/>
          <w:szCs w:val="28"/>
          <w:highlight w:val="none"/>
        </w:rPr>
      </w:pPr>
      <w:r>
        <w:rPr>
          <w:rFonts w:hint="eastAsia" w:asciiTheme="minorEastAsia" w:hAnsiTheme="minorEastAsia" w:eastAsiaTheme="minorEastAsia" w:cstheme="minorEastAsia"/>
          <w:b/>
          <w:bCs/>
          <w:w w:val="120"/>
          <w:sz w:val="28"/>
          <w:szCs w:val="28"/>
          <w:highlight w:val="none"/>
        </w:rPr>
        <w:t>项目编号：</w:t>
      </w:r>
      <w:r>
        <w:rPr>
          <w:rFonts w:hint="eastAsia" w:asciiTheme="minorEastAsia" w:hAnsiTheme="minorEastAsia" w:eastAsiaTheme="minorEastAsia" w:cstheme="minorEastAsia"/>
          <w:b/>
          <w:bCs/>
          <w:w w:val="120"/>
          <w:sz w:val="28"/>
          <w:szCs w:val="28"/>
          <w:highlight w:val="none"/>
          <w:lang w:eastAsia="zh-CN"/>
        </w:rPr>
        <w:t>SXWZ2022ZB-SZEY-199</w:t>
      </w:r>
      <w:r>
        <w:rPr>
          <w:rFonts w:hint="eastAsia" w:asciiTheme="minorEastAsia" w:hAnsiTheme="minorEastAsia" w:eastAsiaTheme="minorEastAsia" w:cstheme="minorEastAsia"/>
          <w:b/>
          <w:bCs/>
          <w:w w:val="120"/>
          <w:sz w:val="28"/>
          <w:szCs w:val="28"/>
          <w:highlight w:val="none"/>
        </w:rPr>
        <w:t xml:space="preserve">       （正本或副本）</w:t>
      </w:r>
    </w:p>
    <w:p>
      <w:pPr>
        <w:snapToGrid w:val="0"/>
        <w:spacing w:line="360" w:lineRule="auto"/>
        <w:jc w:val="center"/>
        <w:rPr>
          <w:rFonts w:hint="eastAsia" w:asciiTheme="minorEastAsia" w:hAnsiTheme="minorEastAsia" w:eastAsiaTheme="minorEastAsia" w:cstheme="minorEastAsia"/>
          <w:b/>
          <w:bCs/>
          <w:sz w:val="52"/>
          <w:szCs w:val="52"/>
          <w:highlight w:val="none"/>
          <w:lang w:eastAsia="zh-CN"/>
        </w:rPr>
      </w:pPr>
    </w:p>
    <w:p>
      <w:pPr>
        <w:snapToGrid w:val="0"/>
        <w:spacing w:line="360" w:lineRule="auto"/>
        <w:jc w:val="center"/>
        <w:rPr>
          <w:rFonts w:hint="eastAsia" w:asciiTheme="minorEastAsia" w:hAnsiTheme="minorEastAsia" w:eastAsiaTheme="minorEastAsia" w:cstheme="minorEastAsia"/>
          <w:b/>
          <w:bCs/>
          <w:sz w:val="40"/>
          <w:szCs w:val="40"/>
          <w:highlight w:val="none"/>
          <w:lang w:eastAsia="zh-CN"/>
        </w:rPr>
      </w:pPr>
      <w:r>
        <w:rPr>
          <w:rFonts w:hint="eastAsia" w:asciiTheme="minorEastAsia" w:hAnsiTheme="minorEastAsia" w:eastAsiaTheme="minorEastAsia" w:cstheme="minorEastAsia"/>
          <w:b/>
          <w:bCs/>
          <w:sz w:val="40"/>
          <w:szCs w:val="40"/>
          <w:highlight w:val="none"/>
          <w:lang w:eastAsia="zh-CN"/>
        </w:rPr>
        <w:t>陕西中医药大学第二附属医院</w:t>
      </w:r>
    </w:p>
    <w:p>
      <w:pPr>
        <w:snapToGrid w:val="0"/>
        <w:spacing w:line="360" w:lineRule="auto"/>
        <w:jc w:val="center"/>
        <w:rPr>
          <w:rFonts w:hint="eastAsia" w:asciiTheme="minorEastAsia" w:hAnsiTheme="minorEastAsia" w:eastAsiaTheme="minorEastAsia" w:cstheme="minorEastAsia"/>
          <w:b/>
          <w:bCs/>
          <w:sz w:val="40"/>
          <w:szCs w:val="40"/>
          <w:highlight w:val="none"/>
          <w:lang w:eastAsia="zh-CN"/>
        </w:rPr>
      </w:pPr>
      <w:r>
        <w:rPr>
          <w:rFonts w:hint="eastAsia" w:asciiTheme="minorEastAsia" w:hAnsiTheme="minorEastAsia" w:eastAsiaTheme="minorEastAsia" w:cstheme="minorEastAsia"/>
          <w:b/>
          <w:bCs/>
          <w:sz w:val="40"/>
          <w:szCs w:val="40"/>
          <w:highlight w:val="none"/>
          <w:lang w:eastAsia="zh-CN"/>
        </w:rPr>
        <w:t>床旁血滤机、神经中央监护分析系统、诱发电位仪医疗设备采购项目</w:t>
      </w:r>
    </w:p>
    <w:p>
      <w:pPr>
        <w:snapToGrid w:val="0"/>
        <w:spacing w:line="360" w:lineRule="auto"/>
        <w:jc w:val="center"/>
        <w:rPr>
          <w:rFonts w:asciiTheme="minorEastAsia" w:hAnsiTheme="minorEastAsia" w:eastAsiaTheme="minorEastAsia" w:cstheme="minorEastAsia"/>
          <w:b/>
          <w:bCs/>
          <w:sz w:val="72"/>
          <w:szCs w:val="72"/>
          <w:highlight w:val="none"/>
        </w:rPr>
      </w:pPr>
      <w:r>
        <w:rPr>
          <w:rFonts w:hint="eastAsia" w:asciiTheme="minorEastAsia" w:hAnsiTheme="minorEastAsia" w:eastAsiaTheme="minorEastAsia" w:cstheme="minorEastAsia"/>
          <w:b/>
          <w:bCs/>
          <w:sz w:val="72"/>
          <w:szCs w:val="72"/>
          <w:highlight w:val="none"/>
        </w:rPr>
        <w:t>投</w:t>
      </w:r>
    </w:p>
    <w:p>
      <w:pPr>
        <w:snapToGrid w:val="0"/>
        <w:spacing w:line="360" w:lineRule="auto"/>
        <w:jc w:val="center"/>
        <w:rPr>
          <w:rFonts w:asciiTheme="minorEastAsia" w:hAnsiTheme="minorEastAsia" w:eastAsiaTheme="minorEastAsia" w:cstheme="minorEastAsia"/>
          <w:b/>
          <w:bCs/>
          <w:sz w:val="72"/>
          <w:szCs w:val="72"/>
          <w:highlight w:val="none"/>
        </w:rPr>
      </w:pPr>
      <w:r>
        <w:rPr>
          <w:rFonts w:hint="eastAsia" w:asciiTheme="minorEastAsia" w:hAnsiTheme="minorEastAsia" w:eastAsiaTheme="minorEastAsia" w:cstheme="minorEastAsia"/>
          <w:b/>
          <w:bCs/>
          <w:sz w:val="72"/>
          <w:szCs w:val="72"/>
          <w:highlight w:val="none"/>
        </w:rPr>
        <w:t>标</w:t>
      </w:r>
    </w:p>
    <w:p>
      <w:pPr>
        <w:snapToGrid w:val="0"/>
        <w:spacing w:line="360" w:lineRule="auto"/>
        <w:jc w:val="center"/>
        <w:rPr>
          <w:rFonts w:asciiTheme="minorEastAsia" w:hAnsiTheme="minorEastAsia" w:eastAsiaTheme="minorEastAsia" w:cstheme="minorEastAsia"/>
          <w:b/>
          <w:bCs/>
          <w:sz w:val="72"/>
          <w:szCs w:val="72"/>
          <w:highlight w:val="none"/>
        </w:rPr>
      </w:pPr>
      <w:r>
        <w:rPr>
          <w:rFonts w:hint="eastAsia" w:asciiTheme="minorEastAsia" w:hAnsiTheme="minorEastAsia" w:eastAsiaTheme="minorEastAsia" w:cstheme="minorEastAsia"/>
          <w:b/>
          <w:bCs/>
          <w:sz w:val="72"/>
          <w:szCs w:val="72"/>
          <w:highlight w:val="none"/>
        </w:rPr>
        <w:t>文</w:t>
      </w:r>
    </w:p>
    <w:p>
      <w:pPr>
        <w:snapToGrid w:val="0"/>
        <w:spacing w:line="360" w:lineRule="auto"/>
        <w:jc w:val="center"/>
        <w:rPr>
          <w:rFonts w:hint="eastAsia" w:asciiTheme="minorEastAsia" w:hAnsiTheme="minorEastAsia" w:eastAsiaTheme="minorEastAsia" w:cstheme="minorEastAsia"/>
          <w:b/>
          <w:bCs/>
          <w:sz w:val="72"/>
          <w:szCs w:val="72"/>
          <w:highlight w:val="none"/>
        </w:rPr>
      </w:pPr>
      <w:r>
        <w:rPr>
          <w:rFonts w:hint="eastAsia" w:asciiTheme="minorEastAsia" w:hAnsiTheme="minorEastAsia" w:eastAsiaTheme="minorEastAsia" w:cstheme="minorEastAsia"/>
          <w:b/>
          <w:bCs/>
          <w:sz w:val="72"/>
          <w:szCs w:val="72"/>
          <w:highlight w:val="none"/>
        </w:rPr>
        <w:t>件</w:t>
      </w:r>
    </w:p>
    <w:p>
      <w:pPr>
        <w:snapToGrid w:val="0"/>
        <w:spacing w:line="360" w:lineRule="auto"/>
        <w:ind w:firstLine="640" w:firstLineChars="200"/>
        <w:jc w:val="left"/>
        <w:rPr>
          <w:rFonts w:hint="eastAsia" w:ascii="宋体" w:hAnsi="宋体" w:cs="宋体"/>
          <w:sz w:val="28"/>
          <w:szCs w:val="28"/>
          <w:highlight w:val="none"/>
          <w:lang w:val="zh-CN"/>
        </w:rPr>
      </w:pPr>
      <w:r>
        <w:rPr>
          <w:rFonts w:hint="eastAsia" w:ascii="宋体" w:hAnsi="宋体" w:eastAsia="宋体" w:cs="宋体"/>
          <w:sz w:val="32"/>
          <w:szCs w:val="32"/>
          <w:highlight w:val="none"/>
        </w:rPr>
        <w:t>包  号：第X包</w:t>
      </w:r>
    </w:p>
    <w:p>
      <w:pPr>
        <w:snapToGrid w:val="0"/>
        <w:spacing w:line="360" w:lineRule="auto"/>
        <w:ind w:firstLine="560" w:firstLineChars="200"/>
        <w:jc w:val="left"/>
        <w:rPr>
          <w:rFonts w:ascii="宋体" w:hAnsi="宋体" w:cs="宋体"/>
          <w:sz w:val="28"/>
          <w:szCs w:val="28"/>
          <w:highlight w:val="none"/>
          <w:lang w:val="zh-CN"/>
        </w:rPr>
      </w:pPr>
      <w:r>
        <w:rPr>
          <w:rFonts w:hint="eastAsia" w:ascii="宋体" w:hAnsi="宋体" w:cs="宋体"/>
          <w:sz w:val="28"/>
          <w:szCs w:val="28"/>
          <w:highlight w:val="none"/>
          <w:lang w:val="zh-CN"/>
        </w:rPr>
        <w:t>供应商（单位名称及公章）：</w:t>
      </w:r>
      <w:r>
        <w:rPr>
          <w:rFonts w:hint="eastAsia" w:ascii="宋体" w:hAnsi="宋体" w:cs="宋体"/>
          <w:sz w:val="28"/>
          <w:szCs w:val="28"/>
          <w:highlight w:val="none"/>
        </w:rPr>
        <w:t>_________________</w:t>
      </w:r>
    </w:p>
    <w:p>
      <w:pPr>
        <w:snapToGrid w:val="0"/>
        <w:spacing w:line="360" w:lineRule="auto"/>
        <w:ind w:firstLine="560" w:firstLineChars="200"/>
        <w:jc w:val="left"/>
        <w:rPr>
          <w:rFonts w:ascii="宋体" w:hAnsi="宋体" w:cs="宋体"/>
          <w:sz w:val="28"/>
          <w:szCs w:val="28"/>
          <w:highlight w:val="none"/>
          <w:lang w:val="zh-CN"/>
        </w:rPr>
      </w:pPr>
      <w:r>
        <w:rPr>
          <w:rFonts w:hint="eastAsia" w:ascii="宋体" w:hAnsi="宋体" w:cs="宋体"/>
          <w:sz w:val="28"/>
          <w:szCs w:val="28"/>
          <w:highlight w:val="none"/>
          <w:lang w:val="zh-CN"/>
        </w:rPr>
        <w:t>法定代表人或被授权人（签字或盖章）：</w:t>
      </w:r>
      <w:r>
        <w:rPr>
          <w:rFonts w:hint="eastAsia" w:ascii="宋体" w:hAnsi="宋体" w:cs="宋体"/>
          <w:sz w:val="28"/>
          <w:szCs w:val="28"/>
          <w:highlight w:val="none"/>
        </w:rPr>
        <w:t>_________________</w:t>
      </w:r>
    </w:p>
    <w:p>
      <w:pPr>
        <w:snapToGrid w:val="0"/>
        <w:spacing w:line="360" w:lineRule="auto"/>
        <w:ind w:firstLine="560" w:firstLineChars="200"/>
        <w:jc w:val="left"/>
        <w:rPr>
          <w:rFonts w:ascii="宋体" w:hAnsi="宋体" w:cs="宋体"/>
          <w:sz w:val="28"/>
          <w:szCs w:val="28"/>
          <w:highlight w:val="none"/>
          <w:lang w:val="zh-CN"/>
        </w:rPr>
      </w:pPr>
      <w:r>
        <w:rPr>
          <w:rFonts w:hint="eastAsia" w:ascii="宋体" w:hAnsi="宋体" w:cs="宋体"/>
          <w:sz w:val="28"/>
          <w:szCs w:val="28"/>
          <w:highlight w:val="none"/>
          <w:lang w:val="zh-CN"/>
        </w:rPr>
        <w:t>日期：</w:t>
      </w:r>
      <w:r>
        <w:rPr>
          <w:rFonts w:hint="eastAsia" w:ascii="宋体" w:hAnsi="宋体" w:cs="宋体"/>
          <w:sz w:val="28"/>
          <w:szCs w:val="28"/>
          <w:highlight w:val="none"/>
        </w:rPr>
        <w:t>_________________</w:t>
      </w:r>
    </w:p>
    <w:p>
      <w:pPr>
        <w:pageBreakBefore/>
        <w:spacing w:beforeLines="100" w:afterLines="150" w:line="500" w:lineRule="exact"/>
        <w:ind w:firstLine="723" w:firstLineChars="200"/>
        <w:jc w:val="center"/>
        <w:rPr>
          <w:rFonts w:asciiTheme="minorEastAsia" w:hAnsiTheme="minorEastAsia" w:eastAsiaTheme="minorEastAsia" w:cstheme="minorEastAsia"/>
          <w:b/>
          <w:bCs/>
          <w:sz w:val="50"/>
          <w:szCs w:val="50"/>
          <w:highlight w:val="none"/>
        </w:rPr>
      </w:pPr>
      <w:r>
        <w:rPr>
          <w:rFonts w:hint="eastAsia" w:asciiTheme="minorEastAsia" w:hAnsiTheme="minorEastAsia" w:eastAsiaTheme="minorEastAsia" w:cstheme="minorEastAsia"/>
          <w:b/>
          <w:bCs/>
          <w:sz w:val="36"/>
          <w:szCs w:val="36"/>
          <w:highlight w:val="none"/>
        </w:rPr>
        <w:t>目 录</w:t>
      </w:r>
    </w:p>
    <w:p>
      <w:pPr>
        <w:pStyle w:val="13"/>
        <w:snapToGrid w:val="0"/>
        <w:spacing w:line="480" w:lineRule="auto"/>
        <w:ind w:firstLine="562" w:firstLineChars="200"/>
        <w:jc w:val="left"/>
        <w:rPr>
          <w:rFonts w:hAnsi="宋体" w:cs="宋体"/>
          <w:b/>
          <w:bCs/>
          <w:color w:val="000000"/>
          <w:sz w:val="28"/>
          <w:szCs w:val="28"/>
          <w:highlight w:val="none"/>
        </w:rPr>
      </w:pPr>
      <w:bookmarkStart w:id="153" w:name="_Toc3727_WPSOffice_Level1"/>
      <w:bookmarkStart w:id="154" w:name="_Toc25587"/>
      <w:bookmarkStart w:id="155" w:name="_Toc13878"/>
      <w:bookmarkStart w:id="156" w:name="_Toc2536"/>
      <w:bookmarkStart w:id="157" w:name="_Toc1625"/>
      <w:bookmarkStart w:id="158" w:name="_Toc6991"/>
      <w:r>
        <w:rPr>
          <w:rFonts w:hint="eastAsia" w:hAnsi="宋体" w:cs="宋体"/>
          <w:b/>
          <w:bCs/>
          <w:color w:val="000000"/>
          <w:sz w:val="28"/>
          <w:szCs w:val="28"/>
          <w:highlight w:val="none"/>
        </w:rPr>
        <w:t>第一章  报价函</w:t>
      </w:r>
      <w:bookmarkEnd w:id="153"/>
    </w:p>
    <w:p>
      <w:pPr>
        <w:snapToGrid w:val="0"/>
        <w:spacing w:line="480" w:lineRule="auto"/>
        <w:ind w:firstLine="562" w:firstLineChars="200"/>
        <w:jc w:val="left"/>
        <w:rPr>
          <w:rFonts w:hAnsi="宋体" w:cs="宋体"/>
          <w:b/>
          <w:color w:val="000000"/>
          <w:sz w:val="28"/>
          <w:szCs w:val="28"/>
          <w:highlight w:val="none"/>
        </w:rPr>
      </w:pPr>
      <w:bookmarkStart w:id="159" w:name="_Toc23436_WPSOffice_Level1"/>
      <w:r>
        <w:rPr>
          <w:rFonts w:hint="eastAsia" w:ascii="宋体" w:hAnsi="宋体" w:cs="宋体"/>
          <w:b/>
          <w:color w:val="000000"/>
          <w:sz w:val="28"/>
          <w:szCs w:val="28"/>
          <w:highlight w:val="none"/>
        </w:rPr>
        <w:t>第二</w:t>
      </w:r>
      <w:r>
        <w:rPr>
          <w:rFonts w:hint="eastAsia" w:hAnsi="宋体" w:cs="宋体"/>
          <w:b/>
          <w:bCs/>
          <w:color w:val="000000"/>
          <w:sz w:val="28"/>
          <w:szCs w:val="28"/>
          <w:highlight w:val="none"/>
        </w:rPr>
        <w:t xml:space="preserve">章  </w:t>
      </w:r>
      <w:r>
        <w:rPr>
          <w:rFonts w:hint="eastAsia" w:ascii="宋体" w:hAnsi="宋体" w:cs="宋体"/>
          <w:b/>
          <w:color w:val="000000"/>
          <w:sz w:val="28"/>
          <w:szCs w:val="28"/>
          <w:highlight w:val="none"/>
        </w:rPr>
        <w:t>报价一览表</w:t>
      </w:r>
      <w:bookmarkEnd w:id="159"/>
    </w:p>
    <w:p>
      <w:pPr>
        <w:pStyle w:val="13"/>
        <w:snapToGrid w:val="0"/>
        <w:spacing w:line="480" w:lineRule="auto"/>
        <w:ind w:firstLine="562" w:firstLineChars="200"/>
        <w:jc w:val="left"/>
        <w:rPr>
          <w:rFonts w:hAnsi="宋体" w:cs="宋体"/>
          <w:b/>
          <w:bCs/>
          <w:color w:val="000000"/>
          <w:sz w:val="28"/>
          <w:szCs w:val="28"/>
          <w:highlight w:val="none"/>
        </w:rPr>
      </w:pPr>
      <w:bookmarkStart w:id="160" w:name="_Toc11444_WPSOffice_Level1"/>
      <w:r>
        <w:rPr>
          <w:rFonts w:hint="eastAsia" w:hAnsi="宋体" w:cs="宋体"/>
          <w:b/>
          <w:color w:val="000000"/>
          <w:sz w:val="28"/>
          <w:szCs w:val="28"/>
          <w:highlight w:val="none"/>
        </w:rPr>
        <w:t>第三</w:t>
      </w:r>
      <w:r>
        <w:rPr>
          <w:rFonts w:hint="eastAsia" w:hAnsi="宋体" w:cs="宋体"/>
          <w:b/>
          <w:bCs/>
          <w:color w:val="000000"/>
          <w:sz w:val="28"/>
          <w:szCs w:val="28"/>
          <w:highlight w:val="none"/>
        </w:rPr>
        <w:t>章  分项报价表</w:t>
      </w:r>
      <w:bookmarkEnd w:id="160"/>
    </w:p>
    <w:p>
      <w:pPr>
        <w:snapToGrid w:val="0"/>
        <w:spacing w:line="480" w:lineRule="auto"/>
        <w:ind w:firstLine="562" w:firstLineChars="200"/>
        <w:jc w:val="left"/>
        <w:rPr>
          <w:rFonts w:hAnsi="宋体" w:cs="宋体"/>
          <w:b/>
          <w:color w:val="000000"/>
          <w:kern w:val="0"/>
          <w:sz w:val="28"/>
          <w:szCs w:val="28"/>
          <w:highlight w:val="none"/>
        </w:rPr>
      </w:pPr>
      <w:r>
        <w:rPr>
          <w:rFonts w:hint="eastAsia" w:ascii="宋体" w:hAnsi="宋体" w:cs="宋体"/>
          <w:b/>
          <w:color w:val="000000"/>
          <w:sz w:val="28"/>
          <w:szCs w:val="28"/>
          <w:highlight w:val="none"/>
        </w:rPr>
        <w:t xml:space="preserve">第四章  </w:t>
      </w:r>
      <w:r>
        <w:rPr>
          <w:rFonts w:hint="eastAsia" w:ascii="宋体" w:hAnsi="宋体" w:cs="宋体"/>
          <w:b/>
          <w:color w:val="000000"/>
          <w:sz w:val="28"/>
          <w:szCs w:val="28"/>
          <w:highlight w:val="none"/>
          <w:lang w:val="en-US" w:eastAsia="zh-CN"/>
        </w:rPr>
        <w:t>投标保证金</w:t>
      </w:r>
    </w:p>
    <w:p>
      <w:pPr>
        <w:pStyle w:val="13"/>
        <w:snapToGrid w:val="0"/>
        <w:spacing w:line="480" w:lineRule="auto"/>
        <w:ind w:firstLine="562" w:firstLineChars="200"/>
        <w:jc w:val="left"/>
        <w:rPr>
          <w:rFonts w:hint="eastAsia" w:hAnsi="宋体" w:cs="宋体"/>
          <w:b/>
          <w:color w:val="000000"/>
          <w:kern w:val="0"/>
          <w:sz w:val="28"/>
          <w:szCs w:val="28"/>
          <w:highlight w:val="none"/>
        </w:rPr>
      </w:pPr>
      <w:bookmarkStart w:id="161" w:name="_Toc5905_WPSOffice_Level1"/>
      <w:r>
        <w:rPr>
          <w:rFonts w:hint="eastAsia" w:hAnsi="宋体" w:cs="宋体"/>
          <w:b/>
          <w:color w:val="000000"/>
          <w:sz w:val="28"/>
          <w:szCs w:val="28"/>
          <w:highlight w:val="none"/>
        </w:rPr>
        <w:t>第五</w:t>
      </w:r>
      <w:r>
        <w:rPr>
          <w:rFonts w:hint="eastAsia" w:hAnsi="宋体" w:cs="宋体"/>
          <w:b/>
          <w:bCs/>
          <w:color w:val="000000"/>
          <w:sz w:val="28"/>
          <w:szCs w:val="28"/>
          <w:highlight w:val="none"/>
        </w:rPr>
        <w:t xml:space="preserve">章  </w:t>
      </w:r>
      <w:r>
        <w:rPr>
          <w:rFonts w:hint="eastAsia" w:ascii="宋体" w:hAnsi="宋体" w:cs="宋体"/>
          <w:b/>
          <w:color w:val="000000"/>
          <w:sz w:val="28"/>
          <w:szCs w:val="28"/>
          <w:highlight w:val="none"/>
        </w:rPr>
        <w:t>供应商资质证明资</w:t>
      </w:r>
      <w:r>
        <w:rPr>
          <w:rFonts w:hint="eastAsia" w:hAnsi="宋体" w:cs="宋体"/>
          <w:b/>
          <w:color w:val="000000"/>
          <w:kern w:val="0"/>
          <w:sz w:val="28"/>
          <w:szCs w:val="28"/>
          <w:highlight w:val="none"/>
        </w:rPr>
        <w:t>料</w:t>
      </w:r>
    </w:p>
    <w:p>
      <w:pPr>
        <w:pStyle w:val="13"/>
        <w:snapToGrid w:val="0"/>
        <w:spacing w:line="480" w:lineRule="auto"/>
        <w:ind w:firstLine="562" w:firstLineChars="200"/>
        <w:jc w:val="left"/>
        <w:rPr>
          <w:rFonts w:hAnsi="宋体" w:cs="宋体"/>
          <w:b/>
          <w:bCs/>
          <w:color w:val="000000"/>
          <w:sz w:val="28"/>
          <w:szCs w:val="28"/>
          <w:highlight w:val="none"/>
        </w:rPr>
      </w:pPr>
      <w:r>
        <w:rPr>
          <w:rFonts w:hint="eastAsia" w:hAnsi="宋体" w:cs="宋体"/>
          <w:b/>
          <w:color w:val="000000"/>
          <w:sz w:val="28"/>
          <w:szCs w:val="28"/>
          <w:highlight w:val="none"/>
        </w:rPr>
        <w:t>第</w:t>
      </w:r>
      <w:bookmarkEnd w:id="161"/>
      <w:r>
        <w:rPr>
          <w:rFonts w:hint="eastAsia" w:hAnsi="宋体" w:cs="宋体"/>
          <w:b/>
          <w:color w:val="000000"/>
          <w:sz w:val="28"/>
          <w:szCs w:val="28"/>
          <w:highlight w:val="none"/>
        </w:rPr>
        <w:t>六</w:t>
      </w:r>
      <w:r>
        <w:rPr>
          <w:rFonts w:hint="eastAsia" w:hAnsi="宋体" w:cs="宋体"/>
          <w:b/>
          <w:bCs/>
          <w:color w:val="000000"/>
          <w:sz w:val="28"/>
          <w:szCs w:val="28"/>
          <w:highlight w:val="none"/>
        </w:rPr>
        <w:t>章  商务和需求响应偏离表</w:t>
      </w:r>
    </w:p>
    <w:p>
      <w:pPr>
        <w:pStyle w:val="13"/>
        <w:snapToGrid w:val="0"/>
        <w:spacing w:line="480" w:lineRule="auto"/>
        <w:ind w:firstLine="562" w:firstLineChars="200"/>
        <w:jc w:val="left"/>
        <w:rPr>
          <w:rFonts w:hint="default" w:hAnsi="宋体" w:eastAsia="宋体" w:cs="宋体"/>
          <w:b/>
          <w:bCs/>
          <w:color w:val="000000"/>
          <w:sz w:val="28"/>
          <w:szCs w:val="28"/>
          <w:highlight w:val="none"/>
          <w:lang w:val="en-US" w:eastAsia="zh-CN"/>
        </w:rPr>
      </w:pPr>
      <w:r>
        <w:rPr>
          <w:rFonts w:hint="eastAsia" w:hAnsi="宋体" w:cs="宋体"/>
          <w:b/>
          <w:bCs/>
          <w:color w:val="000000"/>
          <w:sz w:val="28"/>
          <w:szCs w:val="28"/>
          <w:highlight w:val="none"/>
          <w:lang w:val="en-US" w:eastAsia="zh-CN"/>
        </w:rPr>
        <w:t>第七章  技术支持资料</w:t>
      </w:r>
    </w:p>
    <w:p>
      <w:pPr>
        <w:pStyle w:val="13"/>
        <w:snapToGrid w:val="0"/>
        <w:spacing w:line="480" w:lineRule="auto"/>
        <w:ind w:firstLine="562" w:firstLineChars="200"/>
        <w:jc w:val="left"/>
        <w:rPr>
          <w:rFonts w:hint="default" w:hAnsi="宋体" w:eastAsia="宋体" w:cs="宋体"/>
          <w:b/>
          <w:color w:val="000000"/>
          <w:sz w:val="28"/>
          <w:szCs w:val="28"/>
          <w:highlight w:val="none"/>
          <w:lang w:val="en-US" w:eastAsia="zh-CN"/>
        </w:rPr>
      </w:pPr>
      <w:r>
        <w:rPr>
          <w:rFonts w:hint="eastAsia" w:hAnsi="宋体" w:cs="宋体"/>
          <w:b/>
          <w:color w:val="000000"/>
          <w:sz w:val="28"/>
          <w:szCs w:val="28"/>
          <w:highlight w:val="none"/>
          <w:lang w:val="en-US" w:eastAsia="zh-CN"/>
        </w:rPr>
        <w:t xml:space="preserve">第八章  </w:t>
      </w:r>
      <w:r>
        <w:rPr>
          <w:rFonts w:hint="eastAsia" w:hAnsi="宋体" w:cs="宋体"/>
          <w:b/>
          <w:color w:val="000000"/>
          <w:sz w:val="28"/>
          <w:szCs w:val="28"/>
          <w:highlight w:val="none"/>
        </w:rPr>
        <w:t>实施方案及</w:t>
      </w:r>
      <w:r>
        <w:rPr>
          <w:rFonts w:hint="eastAsia" w:hAnsi="宋体" w:cs="宋体"/>
          <w:b/>
          <w:color w:val="000000"/>
          <w:sz w:val="28"/>
          <w:szCs w:val="28"/>
          <w:highlight w:val="none"/>
          <w:lang w:val="en-US" w:eastAsia="zh-CN"/>
        </w:rPr>
        <w:t>服务保障</w:t>
      </w:r>
    </w:p>
    <w:p>
      <w:pPr>
        <w:snapToGrid w:val="0"/>
        <w:spacing w:line="480" w:lineRule="auto"/>
        <w:ind w:firstLine="562" w:firstLineChars="200"/>
        <w:jc w:val="left"/>
        <w:rPr>
          <w:rFonts w:hAnsi="宋体" w:cs="宋体"/>
          <w:b/>
          <w:bCs/>
          <w:color w:val="000000"/>
          <w:sz w:val="28"/>
          <w:szCs w:val="28"/>
          <w:highlight w:val="none"/>
        </w:rPr>
      </w:pPr>
      <w:bookmarkStart w:id="162" w:name="_Toc13214_WPSOffice_Level1"/>
      <w:r>
        <w:rPr>
          <w:rFonts w:hint="eastAsia" w:ascii="宋体" w:hAnsi="宋体" w:cs="宋体"/>
          <w:b/>
          <w:bCs/>
          <w:color w:val="000000"/>
          <w:sz w:val="28"/>
          <w:szCs w:val="28"/>
          <w:highlight w:val="none"/>
        </w:rPr>
        <w:t>第</w:t>
      </w:r>
      <w:r>
        <w:rPr>
          <w:rFonts w:hint="eastAsia" w:ascii="宋体" w:hAnsi="宋体" w:cs="宋体"/>
          <w:b/>
          <w:bCs/>
          <w:color w:val="000000"/>
          <w:sz w:val="28"/>
          <w:szCs w:val="28"/>
          <w:highlight w:val="none"/>
          <w:lang w:val="en-US" w:eastAsia="zh-CN"/>
        </w:rPr>
        <w:t>九</w:t>
      </w:r>
      <w:r>
        <w:rPr>
          <w:rFonts w:hint="eastAsia" w:hAnsi="宋体" w:cs="宋体"/>
          <w:b/>
          <w:bCs/>
          <w:color w:val="000000"/>
          <w:sz w:val="28"/>
          <w:szCs w:val="28"/>
          <w:highlight w:val="none"/>
        </w:rPr>
        <w:t>章  供应商业绩一览表</w:t>
      </w:r>
    </w:p>
    <w:p>
      <w:pPr>
        <w:snapToGrid w:val="0"/>
        <w:spacing w:line="480" w:lineRule="auto"/>
        <w:ind w:left="559" w:leftChars="266" w:firstLine="0" w:firstLineChars="0"/>
        <w:jc w:val="left"/>
        <w:rPr>
          <w:rFonts w:hint="default" w:ascii="宋体" w:eastAsia="宋体" w:cs="宋体"/>
          <w:b/>
          <w:bCs/>
          <w:color w:val="000000"/>
          <w:sz w:val="28"/>
          <w:szCs w:val="28"/>
          <w:highlight w:val="none"/>
          <w:lang w:val="en-US" w:eastAsia="zh-CN"/>
        </w:rPr>
      </w:pPr>
      <w:r>
        <w:rPr>
          <w:rFonts w:hint="eastAsia" w:ascii="宋体" w:hAnsi="宋体" w:cs="宋体"/>
          <w:b/>
          <w:bCs/>
          <w:color w:val="000000"/>
          <w:sz w:val="28"/>
          <w:szCs w:val="28"/>
          <w:highlight w:val="none"/>
        </w:rPr>
        <w:t>第</w:t>
      </w:r>
      <w:r>
        <w:rPr>
          <w:rFonts w:hint="eastAsia" w:ascii="宋体" w:hAnsi="宋体" w:cs="宋体"/>
          <w:b/>
          <w:bCs/>
          <w:color w:val="000000"/>
          <w:sz w:val="28"/>
          <w:szCs w:val="28"/>
          <w:highlight w:val="none"/>
          <w:lang w:val="en-US" w:eastAsia="zh-CN"/>
        </w:rPr>
        <w:t>十</w:t>
      </w:r>
      <w:r>
        <w:rPr>
          <w:rFonts w:hint="eastAsia" w:ascii="宋体" w:hAnsi="宋体" w:cs="宋体"/>
          <w:b/>
          <w:bCs/>
          <w:color w:val="000000"/>
          <w:sz w:val="28"/>
          <w:szCs w:val="28"/>
          <w:highlight w:val="none"/>
        </w:rPr>
        <w:t>章  供应商认为有必要说明的其他问题</w:t>
      </w:r>
      <w:bookmarkEnd w:id="162"/>
      <w:r>
        <w:rPr>
          <w:rFonts w:hint="eastAsia" w:ascii="宋体" w:hAnsi="宋体" w:cs="宋体"/>
          <w:b/>
          <w:bCs/>
          <w:color w:val="000000"/>
          <w:sz w:val="28"/>
          <w:szCs w:val="28"/>
          <w:highlight w:val="none"/>
        </w:rPr>
        <w:br w:type="textWrapping"/>
      </w:r>
      <w:r>
        <w:rPr>
          <w:rFonts w:hint="eastAsia" w:ascii="宋体" w:hAnsi="宋体" w:cs="宋体"/>
          <w:b/>
          <w:bCs/>
          <w:color w:val="000000"/>
          <w:sz w:val="28"/>
          <w:szCs w:val="28"/>
          <w:highlight w:val="none"/>
        </w:rPr>
        <w:t>第</w:t>
      </w:r>
      <w:r>
        <w:rPr>
          <w:rFonts w:hint="eastAsia" w:ascii="宋体" w:hAnsi="宋体" w:cs="宋体"/>
          <w:b/>
          <w:bCs/>
          <w:color w:val="000000"/>
          <w:sz w:val="28"/>
          <w:szCs w:val="28"/>
          <w:highlight w:val="none"/>
          <w:lang w:val="en-US" w:eastAsia="zh-CN"/>
        </w:rPr>
        <w:t>十一</w:t>
      </w:r>
      <w:r>
        <w:rPr>
          <w:rFonts w:hint="eastAsia" w:ascii="宋体" w:hAnsi="宋体" w:cs="宋体"/>
          <w:b/>
          <w:bCs/>
          <w:color w:val="000000"/>
          <w:sz w:val="28"/>
          <w:szCs w:val="28"/>
          <w:highlight w:val="none"/>
        </w:rPr>
        <w:t xml:space="preserve">章 </w:t>
      </w:r>
      <w:r>
        <w:rPr>
          <w:rFonts w:hint="eastAsia" w:ascii="宋体" w:hAnsi="宋体" w:cs="宋体"/>
          <w:b/>
          <w:bCs/>
          <w:color w:val="000000"/>
          <w:sz w:val="28"/>
          <w:szCs w:val="28"/>
          <w:highlight w:val="none"/>
          <w:lang w:val="en-US" w:eastAsia="zh-CN"/>
        </w:rPr>
        <w:t xml:space="preserve"> 供应商承诺书</w:t>
      </w:r>
    </w:p>
    <w:p>
      <w:pPr>
        <w:pStyle w:val="4"/>
        <w:pageBreakBefore/>
        <w:spacing w:beforeLines="100" w:afterLines="150" w:line="500" w:lineRule="exact"/>
        <w:rPr>
          <w:rFonts w:asciiTheme="minorEastAsia" w:hAnsiTheme="minorEastAsia" w:eastAsiaTheme="minorEastAsia" w:cstheme="minorEastAsia"/>
          <w:sz w:val="36"/>
          <w:szCs w:val="36"/>
          <w:highlight w:val="none"/>
        </w:rPr>
      </w:pPr>
      <w:bookmarkStart w:id="163" w:name="_Toc2878"/>
      <w:r>
        <w:rPr>
          <w:rFonts w:hint="eastAsia" w:asciiTheme="minorEastAsia" w:hAnsiTheme="minorEastAsia" w:eastAsiaTheme="minorEastAsia" w:cstheme="minorEastAsia"/>
          <w:sz w:val="36"/>
          <w:szCs w:val="36"/>
          <w:highlight w:val="none"/>
        </w:rPr>
        <w:t>第一章  报价函</w:t>
      </w:r>
      <w:bookmarkEnd w:id="154"/>
      <w:bookmarkEnd w:id="155"/>
      <w:bookmarkEnd w:id="156"/>
      <w:bookmarkEnd w:id="157"/>
      <w:bookmarkEnd w:id="158"/>
      <w:bookmarkEnd w:id="163"/>
    </w:p>
    <w:p>
      <w:pPr>
        <w:adjustRightInd w:val="0"/>
        <w:snapToGrid w:val="0"/>
        <w:spacing w:line="276"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8"/>
          <w:szCs w:val="28"/>
          <w:highlight w:val="none"/>
        </w:rPr>
        <w:t>陕西万泽招标有限公司</w:t>
      </w:r>
      <w:r>
        <w:rPr>
          <w:rFonts w:hint="eastAsia" w:asciiTheme="minorEastAsia" w:hAnsiTheme="minorEastAsia" w:eastAsiaTheme="minorEastAsia" w:cstheme="minorEastAsia"/>
          <w:sz w:val="28"/>
          <w:szCs w:val="28"/>
          <w:highlight w:val="none"/>
        </w:rPr>
        <w:t>：</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我单位收到编号为</w:t>
      </w:r>
      <w:r>
        <w:rPr>
          <w:rFonts w:hint="eastAsia" w:asciiTheme="minorEastAsia" w:hAnsiTheme="minorEastAsia" w:eastAsiaTheme="minorEastAsia" w:cstheme="minorEastAsia"/>
          <w:sz w:val="24"/>
          <w:szCs w:val="24"/>
          <w:highlight w:val="none"/>
          <w:u w:val="single"/>
        </w:rPr>
        <w:t>：</w:t>
      </w:r>
      <w:r>
        <w:rPr>
          <w:rFonts w:hint="eastAsia" w:asciiTheme="minorEastAsia" w:hAnsiTheme="minorEastAsia" w:eastAsiaTheme="minorEastAsia" w:cstheme="minorEastAsia"/>
          <w:sz w:val="24"/>
          <w:szCs w:val="24"/>
          <w:highlight w:val="none"/>
          <w:u w:val="single"/>
          <w:lang w:val="en-US" w:eastAsia="zh-CN"/>
        </w:rPr>
        <w:t xml:space="preserve">             （第X包）</w:t>
      </w:r>
      <w:r>
        <w:rPr>
          <w:rFonts w:hint="eastAsia" w:asciiTheme="minorEastAsia" w:hAnsiTheme="minorEastAsia" w:eastAsiaTheme="minorEastAsia" w:cstheme="minorEastAsia"/>
          <w:sz w:val="24"/>
          <w:szCs w:val="24"/>
          <w:highlight w:val="none"/>
        </w:rPr>
        <w:t>的招标文件，经详细研究，我公司决定参加本次招标活动。为此，我方郑重承诺以下诸点，并负法律责任。</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1、愿意按照招标文件中的全部要求，提供合格的产品及完善的技术服务，履行合同的责任和义务。</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2、按照招标文件的规定，完成总体供货和服务的投标总报价为：</w:t>
      </w:r>
    </w:p>
    <w:p>
      <w:pPr>
        <w:adjustRightInd w:val="0"/>
        <w:snapToGrid w:val="0"/>
        <w:spacing w:line="360" w:lineRule="auto"/>
        <w:ind w:left="210" w:leftChars="100"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人民币（大写）：</w:t>
      </w:r>
      <w:r>
        <w:rPr>
          <w:rFonts w:hint="eastAsia" w:ascii="宋体" w:hAnsi="宋体" w:cs="宋体"/>
          <w:sz w:val="28"/>
          <w:szCs w:val="28"/>
          <w:highlight w:val="none"/>
        </w:rPr>
        <w:t>_________________</w:t>
      </w:r>
      <w:r>
        <w:rPr>
          <w:rFonts w:hint="eastAsia" w:asciiTheme="minorEastAsia" w:hAnsiTheme="minorEastAsia" w:eastAsiaTheme="minorEastAsia" w:cstheme="minorEastAsia"/>
          <w:sz w:val="24"/>
          <w:szCs w:val="24"/>
          <w:highlight w:val="none"/>
        </w:rPr>
        <w:t>；（小写）</w:t>
      </w:r>
      <w:r>
        <w:rPr>
          <w:rFonts w:hint="eastAsia" w:asciiTheme="minorEastAsia" w:hAnsiTheme="minorEastAsia" w:eastAsiaTheme="minorEastAsia" w:cstheme="minorEastAsia"/>
          <w:spacing w:val="-6"/>
          <w:sz w:val="24"/>
          <w:szCs w:val="24"/>
          <w:highlight w:val="none"/>
        </w:rPr>
        <w:t>￥</w:t>
      </w:r>
      <w:r>
        <w:rPr>
          <w:rFonts w:hint="eastAsia" w:asciiTheme="minorEastAsia" w:hAnsiTheme="minorEastAsia" w:eastAsiaTheme="minorEastAsia" w:cstheme="minorEastAsia"/>
          <w:sz w:val="24"/>
          <w:szCs w:val="24"/>
          <w:highlight w:val="none"/>
        </w:rPr>
        <w:t>：</w:t>
      </w:r>
      <w:r>
        <w:rPr>
          <w:rFonts w:hint="eastAsia" w:ascii="宋体" w:hAnsi="宋体" w:cs="宋体"/>
          <w:sz w:val="28"/>
          <w:szCs w:val="28"/>
          <w:highlight w:val="none"/>
        </w:rPr>
        <w:t>___________</w:t>
      </w:r>
      <w:r>
        <w:rPr>
          <w:rFonts w:hint="eastAsia" w:asciiTheme="minorEastAsia" w:hAnsiTheme="minorEastAsia" w:eastAsiaTheme="minorEastAsia" w:cstheme="minorEastAsia"/>
          <w:sz w:val="24"/>
          <w:szCs w:val="24"/>
          <w:highlight w:val="none"/>
        </w:rPr>
        <w:t>元。</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3、我方提交的投标文件正本______份、副本______份、投标报价一览表______份、电子文档______份、。</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4、我们已详细阅读了招标文件，完全理解并同意放弃提出含糊不清和误解问题的权力。</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5、如果我方在投标后到规定的投标有效期内撤回投标文件及承诺，我们的保证金将被对方没收。</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6、同意向贵方提供贵方可能要求的、与本次投标有关的任何证据资料。</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7、我方承诺投标有效期为开标后</w:t>
      </w:r>
      <w:r>
        <w:rPr>
          <w:rFonts w:hint="eastAsia" w:asciiTheme="minorEastAsia" w:hAnsiTheme="minorEastAsia" w:eastAsiaTheme="minorEastAsia" w:cstheme="minorEastAsia"/>
          <w:sz w:val="24"/>
          <w:szCs w:val="24"/>
          <w:highlight w:val="none"/>
          <w:u w:val="single"/>
          <w:lang w:val="en-US" w:eastAsia="zh-CN"/>
        </w:rPr>
        <w:t>90</w:t>
      </w:r>
      <w:r>
        <w:rPr>
          <w:rFonts w:hint="eastAsia" w:asciiTheme="minorEastAsia" w:hAnsiTheme="minorEastAsia" w:eastAsiaTheme="minorEastAsia" w:cstheme="minorEastAsia"/>
          <w:sz w:val="24"/>
          <w:szCs w:val="24"/>
          <w:highlight w:val="none"/>
        </w:rPr>
        <w:t>日历日内有效。</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8、所有关于本次投标的函电，请按下列地址联系：</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供应商（单位名称及公章）：____________________</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法定代表人或被授权人（签字或盖章）：____________________</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址：____________________</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开户银行：____________________</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帐    号：____________________</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电    话：____________________</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传    真：____________________</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邮    编：____________________</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sectPr>
          <w:headerReference r:id="rId12" w:type="default"/>
          <w:footerReference r:id="rId13" w:type="default"/>
          <w:pgSz w:w="11906" w:h="16838"/>
          <w:pgMar w:top="1440" w:right="1803" w:bottom="1440" w:left="1803" w:header="850" w:footer="992" w:gutter="0"/>
          <w:pgNumType w:fmt="decimal"/>
          <w:cols w:space="0" w:num="1"/>
          <w:rtlGutter w:val="1"/>
          <w:docGrid w:type="lines" w:linePitch="319" w:charSpace="0"/>
        </w:sectPr>
      </w:pPr>
      <w:r>
        <w:rPr>
          <w:rFonts w:hint="eastAsia" w:asciiTheme="minorEastAsia" w:hAnsiTheme="minorEastAsia" w:eastAsiaTheme="minorEastAsia" w:cstheme="minorEastAsia"/>
          <w:sz w:val="24"/>
          <w:szCs w:val="24"/>
          <w:highlight w:val="none"/>
        </w:rPr>
        <w:t>日    期：____年____月____日</w:t>
      </w:r>
    </w:p>
    <w:p>
      <w:pPr>
        <w:pStyle w:val="4"/>
        <w:spacing w:beforeLines="100" w:afterLines="150" w:line="500" w:lineRule="exact"/>
        <w:rPr>
          <w:rFonts w:ascii="宋体" w:hAnsi="宋体" w:cs="宋体"/>
          <w:sz w:val="36"/>
          <w:szCs w:val="36"/>
          <w:highlight w:val="none"/>
        </w:rPr>
      </w:pPr>
      <w:bookmarkStart w:id="164" w:name="_Toc1453"/>
      <w:bookmarkStart w:id="165" w:name="_Toc7118"/>
      <w:bookmarkStart w:id="166" w:name="_Toc18706"/>
      <w:r>
        <w:rPr>
          <w:rFonts w:hint="eastAsia" w:ascii="宋体" w:hAnsi="宋体" w:cs="宋体"/>
          <w:sz w:val="36"/>
          <w:szCs w:val="36"/>
          <w:highlight w:val="none"/>
        </w:rPr>
        <w:t>第二章</w:t>
      </w:r>
      <w:bookmarkEnd w:id="164"/>
      <w:r>
        <w:rPr>
          <w:rFonts w:hint="eastAsia" w:ascii="宋体" w:hAnsi="宋体" w:cs="宋体"/>
          <w:sz w:val="36"/>
          <w:szCs w:val="36"/>
          <w:highlight w:val="none"/>
          <w:lang w:val="en-US" w:eastAsia="zh-CN"/>
        </w:rPr>
        <w:t xml:space="preserve">  </w:t>
      </w:r>
      <w:r>
        <w:rPr>
          <w:rFonts w:hint="eastAsia" w:ascii="宋体" w:hAnsi="宋体" w:cs="宋体"/>
          <w:sz w:val="36"/>
          <w:szCs w:val="36"/>
          <w:highlight w:val="none"/>
        </w:rPr>
        <w:t>报价一览表</w:t>
      </w:r>
      <w:bookmarkEnd w:id="165"/>
      <w:bookmarkEnd w:id="166"/>
    </w:p>
    <w:p>
      <w:pPr>
        <w:widowControl/>
        <w:wordWrap w:val="0"/>
        <w:spacing w:line="360" w:lineRule="auto"/>
        <w:jc w:val="left"/>
        <w:rPr>
          <w:rFonts w:hint="eastAsia" w:ascii="宋体" w:eastAsia="宋体" w:cs="宋体"/>
          <w:kern w:val="0"/>
          <w:sz w:val="24"/>
          <w:szCs w:val="24"/>
          <w:highlight w:val="none"/>
          <w:u w:val="single"/>
          <w:lang w:eastAsia="zh-CN"/>
        </w:rPr>
      </w:pPr>
      <w:r>
        <w:rPr>
          <w:rFonts w:hint="eastAsia" w:ascii="宋体" w:hAnsi="宋体" w:cs="宋体"/>
          <w:sz w:val="24"/>
          <w:highlight w:val="none"/>
        </w:rPr>
        <w:t>项目名称：</w:t>
      </w:r>
      <w:r>
        <w:rPr>
          <w:rFonts w:hint="eastAsia" w:ascii="宋体" w:hAnsi="宋体" w:cs="宋体"/>
          <w:sz w:val="24"/>
          <w:highlight w:val="none"/>
          <w:u w:val="single"/>
          <w:lang w:eastAsia="zh-CN"/>
        </w:rPr>
        <w:t>陕西中医药大学第二附属医院床旁血滤机、神经中央监护分析系统、诱发电位仪医疗设备采购项目</w:t>
      </w:r>
    </w:p>
    <w:p>
      <w:pPr>
        <w:kinsoku w:val="0"/>
        <w:spacing w:line="360" w:lineRule="auto"/>
        <w:jc w:val="left"/>
        <w:rPr>
          <w:rFonts w:hint="default" w:ascii="宋体" w:hAnsi="宋体" w:eastAsia="宋体" w:cs="宋体"/>
          <w:sz w:val="24"/>
          <w:highlight w:val="none"/>
          <w:lang w:val="en-US" w:eastAsia="zh-CN"/>
        </w:rPr>
      </w:pPr>
      <w:r>
        <w:rPr>
          <w:rFonts w:hint="eastAsia" w:ascii="宋体" w:hAnsi="宋体" w:cs="宋体"/>
          <w:sz w:val="24"/>
          <w:highlight w:val="none"/>
        </w:rPr>
        <w:t>单位：</w:t>
      </w:r>
      <w:r>
        <w:rPr>
          <w:rFonts w:hint="eastAsia" w:ascii="宋体" w:hAnsi="宋体" w:cs="宋体"/>
          <w:sz w:val="24"/>
          <w:szCs w:val="24"/>
          <w:highlight w:val="none"/>
        </w:rPr>
        <w:t>元</w:t>
      </w:r>
      <w:r>
        <w:rPr>
          <w:rFonts w:hint="eastAsia" w:ascii="宋体" w:hAnsi="宋体" w:cs="宋体"/>
          <w:sz w:val="24"/>
          <w:szCs w:val="24"/>
          <w:highlight w:val="none"/>
          <w:lang w:val="en-US" w:eastAsia="zh-CN"/>
        </w:rPr>
        <w:t xml:space="preserve">                                                包号：第X包</w:t>
      </w:r>
    </w:p>
    <w:tbl>
      <w:tblPr>
        <w:tblStyle w:val="25"/>
        <w:tblpPr w:leftFromText="180" w:rightFromText="180" w:vertAnchor="text" w:horzAnchor="margin" w:tblpXSpec="center" w:tblpY="95"/>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9"/>
        <w:gridCol w:w="1661"/>
        <w:gridCol w:w="2249"/>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2869" w:type="dxa"/>
            <w:tcBorders>
              <w:tl2br w:val="single" w:color="auto" w:sz="4" w:space="0"/>
            </w:tcBorders>
          </w:tcPr>
          <w:p>
            <w:pPr>
              <w:kinsoku w:val="0"/>
              <w:spacing w:line="480" w:lineRule="auto"/>
              <w:ind w:left="10" w:right="-199" w:rightChars="-95" w:firstLine="739" w:firstLineChars="308"/>
              <w:rPr>
                <w:rFonts w:ascii="宋体" w:hAnsi="宋体" w:cs="宋体"/>
                <w:sz w:val="24"/>
                <w:highlight w:val="none"/>
              </w:rPr>
            </w:pPr>
            <w:r>
              <w:rPr>
                <w:rFonts w:hint="eastAsia" w:ascii="宋体" w:hAnsi="宋体" w:cs="宋体"/>
                <w:sz w:val="24"/>
                <w:highlight w:val="none"/>
              </w:rPr>
              <w:t>报价内容</w:t>
            </w:r>
          </w:p>
          <w:p>
            <w:pPr>
              <w:kinsoku w:val="0"/>
              <w:spacing w:line="480" w:lineRule="auto"/>
              <w:ind w:left="10" w:right="-199" w:rightChars="-95" w:firstLine="501" w:firstLineChars="209"/>
              <w:rPr>
                <w:rFonts w:ascii="宋体" w:hAnsi="宋体" w:cs="宋体"/>
                <w:sz w:val="24"/>
                <w:highlight w:val="none"/>
              </w:rPr>
            </w:pPr>
          </w:p>
          <w:p>
            <w:pPr>
              <w:kinsoku w:val="0"/>
              <w:spacing w:line="480" w:lineRule="auto"/>
              <w:ind w:left="10" w:right="-199" w:rightChars="-95" w:firstLine="501" w:firstLineChars="209"/>
              <w:rPr>
                <w:rFonts w:ascii="宋体" w:hAnsi="宋体" w:cs="宋体"/>
                <w:sz w:val="24"/>
                <w:highlight w:val="none"/>
              </w:rPr>
            </w:pPr>
            <w:r>
              <w:rPr>
                <w:rFonts w:hint="eastAsia" w:ascii="宋体" w:hAnsi="宋体" w:cs="宋体"/>
                <w:sz w:val="24"/>
                <w:highlight w:val="none"/>
              </w:rPr>
              <w:t>响应内容</w:t>
            </w:r>
          </w:p>
        </w:tc>
        <w:tc>
          <w:tcPr>
            <w:tcW w:w="1661" w:type="dxa"/>
            <w:vAlign w:val="center"/>
          </w:tcPr>
          <w:p>
            <w:pPr>
              <w:kinsoku w:val="0"/>
              <w:spacing w:line="480" w:lineRule="auto"/>
              <w:ind w:right="-199" w:rightChars="-95"/>
              <w:jc w:val="center"/>
              <w:rPr>
                <w:rFonts w:ascii="宋体" w:hAnsi="宋体" w:cs="宋体"/>
                <w:sz w:val="24"/>
                <w:highlight w:val="none"/>
              </w:rPr>
            </w:pPr>
            <w:r>
              <w:rPr>
                <w:rFonts w:hint="eastAsia" w:ascii="宋体" w:hAnsi="宋体" w:cs="宋体"/>
                <w:sz w:val="24"/>
                <w:highlight w:val="none"/>
              </w:rPr>
              <w:t>总报价</w:t>
            </w:r>
          </w:p>
        </w:tc>
        <w:tc>
          <w:tcPr>
            <w:tcW w:w="2249" w:type="dxa"/>
            <w:vAlign w:val="center"/>
          </w:tcPr>
          <w:p>
            <w:pPr>
              <w:kinsoku w:val="0"/>
              <w:ind w:right="-199" w:rightChars="-95"/>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交货期</w:t>
            </w:r>
          </w:p>
        </w:tc>
        <w:tc>
          <w:tcPr>
            <w:tcW w:w="2019" w:type="dxa"/>
            <w:vAlign w:val="center"/>
          </w:tcPr>
          <w:p>
            <w:pPr>
              <w:kinsoku w:val="0"/>
              <w:ind w:right="-199" w:rightChars="-95"/>
              <w:jc w:val="center"/>
              <w:rPr>
                <w:rFonts w:ascii="宋体" w:hAnsi="宋体" w:cs="宋体"/>
                <w:sz w:val="24"/>
                <w:highlight w:val="none"/>
              </w:rPr>
            </w:pPr>
            <w:r>
              <w:rPr>
                <w:rFonts w:hint="eastAsia" w:ascii="宋体" w:hAnsi="宋体" w:cs="宋体"/>
                <w:sz w:val="24"/>
                <w:highlight w:val="non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2869" w:type="dxa"/>
            <w:vAlign w:val="center"/>
          </w:tcPr>
          <w:p>
            <w:pPr>
              <w:kinsoku w:val="0"/>
              <w:ind w:right="59" w:rightChars="28"/>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陕西中医药大学第二附属医院床旁血滤机、神经中央监护分析系统、诱发电位仪医疗设备采购项目</w:t>
            </w:r>
          </w:p>
        </w:tc>
        <w:tc>
          <w:tcPr>
            <w:tcW w:w="1661" w:type="dxa"/>
            <w:vAlign w:val="center"/>
          </w:tcPr>
          <w:p>
            <w:pPr>
              <w:kinsoku w:val="0"/>
              <w:spacing w:line="480" w:lineRule="auto"/>
              <w:ind w:left="10" w:right="-199" w:rightChars="-95" w:firstLine="501" w:firstLineChars="209"/>
              <w:jc w:val="center"/>
              <w:rPr>
                <w:rFonts w:ascii="宋体" w:hAnsi="宋体" w:cs="宋体"/>
                <w:sz w:val="24"/>
                <w:highlight w:val="none"/>
              </w:rPr>
            </w:pPr>
          </w:p>
        </w:tc>
        <w:tc>
          <w:tcPr>
            <w:tcW w:w="2249" w:type="dxa"/>
            <w:vAlign w:val="center"/>
          </w:tcPr>
          <w:p>
            <w:pPr>
              <w:kinsoku w:val="0"/>
              <w:spacing w:line="480" w:lineRule="auto"/>
              <w:ind w:left="10" w:right="-199" w:rightChars="-95" w:firstLine="501" w:firstLineChars="209"/>
              <w:jc w:val="center"/>
              <w:rPr>
                <w:rFonts w:ascii="宋体" w:hAnsi="宋体" w:cs="宋体"/>
                <w:sz w:val="24"/>
                <w:highlight w:val="none"/>
              </w:rPr>
            </w:pPr>
          </w:p>
        </w:tc>
        <w:tc>
          <w:tcPr>
            <w:tcW w:w="2019" w:type="dxa"/>
            <w:vAlign w:val="center"/>
          </w:tcPr>
          <w:p>
            <w:pPr>
              <w:kinsoku w:val="0"/>
              <w:spacing w:line="480" w:lineRule="auto"/>
              <w:ind w:left="10" w:right="-199" w:rightChars="-95" w:firstLine="501" w:firstLineChars="209"/>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98" w:type="dxa"/>
            <w:gridSpan w:val="4"/>
          </w:tcPr>
          <w:p>
            <w:pPr>
              <w:kinsoku w:val="0"/>
              <w:ind w:right="-199" w:rightChars="-95"/>
              <w:rPr>
                <w:rFonts w:ascii="宋体" w:hAnsi="宋体" w:cs="宋体"/>
                <w:b/>
                <w:bCs/>
                <w:sz w:val="24"/>
                <w:szCs w:val="24"/>
                <w:highlight w:val="none"/>
              </w:rPr>
            </w:pPr>
          </w:p>
          <w:p>
            <w:pPr>
              <w:kinsoku w:val="0"/>
              <w:ind w:right="-199" w:rightChars="-95"/>
              <w:rPr>
                <w:rFonts w:ascii="宋体" w:hAnsi="宋体" w:cs="宋体"/>
                <w:sz w:val="24"/>
                <w:highlight w:val="none"/>
              </w:rPr>
            </w:pPr>
            <w:r>
              <w:rPr>
                <w:rFonts w:hint="eastAsia" w:ascii="宋体" w:hAnsi="宋体" w:cs="宋体"/>
                <w:sz w:val="24"/>
                <w:highlight w:val="none"/>
              </w:rPr>
              <w:t>投标总报价：（大写）________________（小写）_________________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798" w:type="dxa"/>
            <w:gridSpan w:val="4"/>
            <w:vAlign w:val="center"/>
          </w:tcPr>
          <w:p>
            <w:pPr>
              <w:kinsoku w:val="0"/>
              <w:ind w:right="-199" w:rightChars="-95"/>
              <w:rPr>
                <w:rFonts w:ascii="宋体" w:hAnsi="宋体" w:cs="宋体"/>
                <w:b/>
                <w:bCs/>
                <w:sz w:val="24"/>
                <w:szCs w:val="24"/>
                <w:highlight w:val="none"/>
              </w:rPr>
            </w:pPr>
            <w:r>
              <w:rPr>
                <w:rFonts w:hint="eastAsia" w:ascii="宋体" w:hAnsi="宋体" w:cs="宋体"/>
                <w:b/>
                <w:bCs/>
                <w:sz w:val="24"/>
                <w:szCs w:val="24"/>
                <w:highlight w:val="none"/>
              </w:rPr>
              <w:t>报价以元为单位，精确到小数点后两位，不进行四舍五入。</w:t>
            </w:r>
          </w:p>
        </w:tc>
      </w:tr>
    </w:tbl>
    <w:p>
      <w:pPr>
        <w:adjustRightInd w:val="0"/>
        <w:snapToGrid w:val="0"/>
        <w:spacing w:line="480" w:lineRule="auto"/>
        <w:rPr>
          <w:rFonts w:ascii="宋体" w:hAnsi="宋体" w:cs="宋体"/>
          <w:sz w:val="24"/>
          <w:highlight w:val="none"/>
        </w:rPr>
      </w:pPr>
    </w:p>
    <w:p>
      <w:pPr>
        <w:adjustRightInd w:val="0"/>
        <w:snapToGrid w:val="0"/>
        <w:spacing w:line="480" w:lineRule="auto"/>
        <w:jc w:val="left"/>
        <w:rPr>
          <w:rFonts w:ascii="宋体" w:hAnsi="宋体" w:cs="宋体"/>
          <w:sz w:val="24"/>
          <w:highlight w:val="none"/>
        </w:rPr>
      </w:pPr>
      <w:r>
        <w:rPr>
          <w:rFonts w:hint="eastAsia" w:ascii="宋体" w:hAnsi="宋体" w:cs="宋体"/>
          <w:sz w:val="24"/>
          <w:highlight w:val="none"/>
        </w:rPr>
        <w:t>供应商（单位名称及公章）：___________________________</w:t>
      </w:r>
    </w:p>
    <w:p>
      <w:pPr>
        <w:adjustRightInd w:val="0"/>
        <w:snapToGrid w:val="0"/>
        <w:spacing w:line="480" w:lineRule="auto"/>
        <w:jc w:val="left"/>
        <w:rPr>
          <w:highlight w:val="none"/>
        </w:rPr>
      </w:pPr>
      <w:r>
        <w:rPr>
          <w:rFonts w:hint="eastAsia" w:ascii="宋体" w:hAnsi="宋体" w:cs="宋体"/>
          <w:sz w:val="24"/>
          <w:highlight w:val="none"/>
        </w:rPr>
        <w:t>法定代表人或被授权人（签字或盖章）：__________________</w:t>
      </w:r>
    </w:p>
    <w:p>
      <w:pPr>
        <w:adjustRightInd w:val="0"/>
        <w:snapToGrid w:val="0"/>
        <w:spacing w:line="480" w:lineRule="auto"/>
        <w:jc w:val="left"/>
        <w:rPr>
          <w:rFonts w:ascii="宋体" w:cs="宋体"/>
          <w:sz w:val="24"/>
          <w:highlight w:val="none"/>
        </w:rPr>
      </w:pPr>
      <w:r>
        <w:rPr>
          <w:rFonts w:hint="eastAsia" w:ascii="宋体" w:hAnsi="宋体" w:cs="宋体"/>
          <w:sz w:val="24"/>
          <w:highlight w:val="none"/>
        </w:rPr>
        <w:t>时间：_______年________月_______日</w:t>
      </w:r>
    </w:p>
    <w:p>
      <w:pPr>
        <w:adjustRightInd w:val="0"/>
        <w:snapToGrid w:val="0"/>
        <w:spacing w:line="480" w:lineRule="auto"/>
        <w:jc w:val="center"/>
        <w:outlineLvl w:val="1"/>
        <w:rPr>
          <w:color w:val="000000"/>
          <w:sz w:val="36"/>
          <w:szCs w:val="36"/>
          <w:highlight w:val="none"/>
        </w:rPr>
      </w:pPr>
      <w:r>
        <w:rPr>
          <w:rFonts w:hint="eastAsia" w:asciiTheme="minorEastAsia" w:hAnsiTheme="minorEastAsia" w:eastAsiaTheme="minorEastAsia" w:cstheme="minorEastAsia"/>
          <w:b/>
          <w:bCs/>
          <w:sz w:val="24"/>
          <w:szCs w:val="24"/>
          <w:highlight w:val="none"/>
        </w:rPr>
        <w:br w:type="page"/>
      </w:r>
      <w:bookmarkStart w:id="167" w:name="_Toc9868"/>
      <w:bookmarkStart w:id="168" w:name="_Toc1789"/>
      <w:bookmarkStart w:id="169" w:name="_Toc10234"/>
      <w:bookmarkStart w:id="170" w:name="_Toc25886"/>
      <w:bookmarkStart w:id="171" w:name="_Toc14632"/>
      <w:bookmarkStart w:id="172" w:name="_Toc27277"/>
      <w:bookmarkStart w:id="173" w:name="_Toc20625"/>
      <w:bookmarkStart w:id="174" w:name="_Toc29775"/>
      <w:bookmarkStart w:id="175" w:name="_Toc9863"/>
      <w:bookmarkStart w:id="176" w:name="_Toc9034"/>
      <w:bookmarkStart w:id="177" w:name="_Toc6753"/>
      <w:bookmarkStart w:id="178" w:name="_Toc10126"/>
      <w:bookmarkStart w:id="179" w:name="_Toc17641"/>
      <w:r>
        <w:rPr>
          <w:rFonts w:hint="eastAsia" w:hAnsi="宋体" w:cs="宋体"/>
          <w:b/>
          <w:bCs/>
          <w:color w:val="000000"/>
          <w:sz w:val="32"/>
          <w:szCs w:val="32"/>
          <w:highlight w:val="none"/>
        </w:rPr>
        <w:t>第三章</w:t>
      </w:r>
      <w:r>
        <w:rPr>
          <w:rFonts w:hint="eastAsia"/>
          <w:b/>
          <w:bCs/>
          <w:color w:val="000000"/>
          <w:sz w:val="32"/>
          <w:szCs w:val="32"/>
          <w:highlight w:val="none"/>
        </w:rPr>
        <w:t xml:space="preserve">  分项报价表</w:t>
      </w:r>
      <w:bookmarkEnd w:id="167"/>
      <w:bookmarkEnd w:id="168"/>
      <w:bookmarkEnd w:id="169"/>
      <w:bookmarkEnd w:id="170"/>
      <w:bookmarkEnd w:id="171"/>
      <w:bookmarkEnd w:id="172"/>
      <w:bookmarkEnd w:id="173"/>
      <w:bookmarkEnd w:id="174"/>
    </w:p>
    <w:p>
      <w:pPr>
        <w:pStyle w:val="6"/>
        <w:ind w:firstLine="0"/>
        <w:rPr>
          <w:color w:val="000000"/>
          <w:highlight w:val="none"/>
        </w:rPr>
      </w:pPr>
    </w:p>
    <w:p>
      <w:pPr>
        <w:widowControl/>
        <w:wordWrap w:val="0"/>
        <w:spacing w:line="360" w:lineRule="auto"/>
        <w:jc w:val="left"/>
        <w:rPr>
          <w:rFonts w:hint="eastAsia" w:ascii="宋体" w:hAnsi="宋体" w:eastAsia="宋体" w:cs="宋体"/>
          <w:color w:val="000000"/>
          <w:sz w:val="24"/>
          <w:highlight w:val="none"/>
          <w:u w:val="single"/>
          <w:lang w:eastAsia="zh-CN"/>
        </w:rPr>
      </w:pPr>
      <w:r>
        <w:rPr>
          <w:rFonts w:hint="eastAsia" w:ascii="宋体" w:hAnsi="宋体" w:cs="宋体"/>
          <w:color w:val="000000"/>
          <w:sz w:val="24"/>
          <w:highlight w:val="none"/>
        </w:rPr>
        <w:t>项目名称：</w:t>
      </w:r>
      <w:r>
        <w:rPr>
          <w:rFonts w:hint="eastAsia" w:ascii="宋体" w:hAnsi="宋体" w:cs="宋体"/>
          <w:color w:val="000000"/>
          <w:sz w:val="24"/>
          <w:highlight w:val="none"/>
          <w:lang w:eastAsia="zh-CN"/>
        </w:rPr>
        <w:t>陕西中医药大学第二附属医院床旁血滤机、神经中央监护分析系统、诱发电位仪医疗设备采购项目</w:t>
      </w:r>
    </w:p>
    <w:p>
      <w:pPr>
        <w:pStyle w:val="6"/>
        <w:spacing w:line="360" w:lineRule="auto"/>
        <w:ind w:firstLine="0"/>
        <w:rPr>
          <w:rFonts w:hint="eastAsia" w:ascii="宋体" w:eastAsia="宋体" w:cs="宋体"/>
          <w:color w:val="000000"/>
          <w:sz w:val="24"/>
          <w:highlight w:val="none"/>
          <w:u w:val="single"/>
          <w:lang w:eastAsia="zh-CN"/>
        </w:rPr>
      </w:pPr>
      <w:r>
        <w:rPr>
          <w:rFonts w:hint="eastAsia" w:ascii="宋体" w:hAnsi="宋体" w:cs="宋体"/>
          <w:color w:val="000000"/>
          <w:sz w:val="24"/>
          <w:highlight w:val="none"/>
        </w:rPr>
        <w:t>项目编号：</w:t>
      </w:r>
      <w:r>
        <w:rPr>
          <w:rFonts w:hint="eastAsia" w:ascii="宋体" w:hAnsi="宋体" w:cs="宋体"/>
          <w:color w:val="000000"/>
          <w:sz w:val="24"/>
          <w:highlight w:val="none"/>
          <w:u w:val="single"/>
          <w:lang w:eastAsia="zh-CN"/>
        </w:rPr>
        <w:t>SXWZ2022ZB-SZEY-199</w:t>
      </w:r>
    </w:p>
    <w:p>
      <w:pPr>
        <w:widowControl/>
        <w:wordWrap w:val="0"/>
        <w:spacing w:line="360" w:lineRule="auto"/>
        <w:jc w:val="left"/>
        <w:rPr>
          <w:rFonts w:ascii="宋体" w:hAnsi="宋体" w:cs="宋体"/>
          <w:color w:val="000000"/>
          <w:sz w:val="24"/>
          <w:highlight w:val="none"/>
        </w:rPr>
      </w:pPr>
      <w:r>
        <w:rPr>
          <w:rFonts w:hint="eastAsia" w:ascii="宋体" w:hAnsi="宋体" w:cs="宋体"/>
          <w:color w:val="000000"/>
          <w:sz w:val="24"/>
          <w:highlight w:val="none"/>
        </w:rPr>
        <w:t xml:space="preserve">共  页，第  页                                        </w:t>
      </w:r>
      <w:r>
        <w:rPr>
          <w:rFonts w:hint="eastAsia" w:ascii="宋体" w:hAnsi="宋体" w:cs="宋体"/>
          <w:sz w:val="24"/>
          <w:szCs w:val="24"/>
          <w:highlight w:val="none"/>
          <w:lang w:val="en-US" w:eastAsia="zh-CN"/>
        </w:rPr>
        <w:t>包号：第X包</w:t>
      </w:r>
    </w:p>
    <w:tbl>
      <w:tblPr>
        <w:tblStyle w:val="25"/>
        <w:tblW w:w="9046" w:type="dxa"/>
        <w:jc w:val="center"/>
        <w:tblLayout w:type="fixed"/>
        <w:tblCellMar>
          <w:top w:w="0" w:type="dxa"/>
          <w:left w:w="28" w:type="dxa"/>
          <w:bottom w:w="0" w:type="dxa"/>
          <w:right w:w="28" w:type="dxa"/>
        </w:tblCellMar>
      </w:tblPr>
      <w:tblGrid>
        <w:gridCol w:w="1167"/>
        <w:gridCol w:w="539"/>
        <w:gridCol w:w="803"/>
        <w:gridCol w:w="598"/>
        <w:gridCol w:w="979"/>
        <w:gridCol w:w="1596"/>
        <w:gridCol w:w="984"/>
        <w:gridCol w:w="1376"/>
        <w:gridCol w:w="1004"/>
      </w:tblGrid>
      <w:tr>
        <w:trPr>
          <w:trHeight w:val="675" w:hRule="atLeast"/>
          <w:jc w:val="center"/>
        </w:trPr>
        <w:tc>
          <w:tcPr>
            <w:tcW w:w="1167" w:type="dxa"/>
            <w:vMerge w:val="restart"/>
            <w:tcBorders>
              <w:top w:val="single" w:color="auto" w:sz="6" w:space="0"/>
              <w:left w:val="single" w:color="auto" w:sz="6" w:space="0"/>
              <w:right w:val="single" w:color="auto" w:sz="4" w:space="0"/>
            </w:tcBorders>
            <w:vAlign w:val="center"/>
          </w:tcPr>
          <w:p>
            <w:pPr>
              <w:jc w:val="left"/>
              <w:rPr>
                <w:rFonts w:ascii="宋体" w:hAnsi="宋体" w:cs="宋体"/>
                <w:sz w:val="24"/>
                <w:szCs w:val="24"/>
                <w:highlight w:val="none"/>
              </w:rPr>
            </w:pPr>
            <w:r>
              <w:rPr>
                <w:rFonts w:hint="eastAsia" w:ascii="宋体" w:hAnsi="宋体" w:cs="宋体"/>
                <w:sz w:val="24"/>
                <w:szCs w:val="24"/>
                <w:highlight w:val="none"/>
              </w:rPr>
              <w:t>产品费用</w:t>
            </w:r>
          </w:p>
        </w:tc>
        <w:tc>
          <w:tcPr>
            <w:tcW w:w="539" w:type="dxa"/>
            <w:tcBorders>
              <w:top w:val="single" w:color="auto" w:sz="6" w:space="0"/>
              <w:left w:val="single" w:color="auto" w:sz="4" w:space="0"/>
              <w:bottom w:val="single" w:color="auto" w:sz="6" w:space="0"/>
            </w:tcBorders>
            <w:vAlign w:val="center"/>
          </w:tcPr>
          <w:p>
            <w:pPr>
              <w:spacing w:after="120"/>
              <w:jc w:val="center"/>
              <w:rPr>
                <w:rFonts w:ascii="宋体" w:hAnsi="宋体" w:cs="宋体"/>
                <w:sz w:val="24"/>
                <w:szCs w:val="24"/>
                <w:highlight w:val="none"/>
              </w:rPr>
            </w:pPr>
            <w:r>
              <w:rPr>
                <w:rFonts w:hint="eastAsia" w:ascii="宋体" w:hAnsi="宋体" w:cs="宋体"/>
                <w:sz w:val="24"/>
                <w:szCs w:val="24"/>
                <w:highlight w:val="none"/>
              </w:rPr>
              <w:t>序号</w:t>
            </w:r>
          </w:p>
        </w:tc>
        <w:tc>
          <w:tcPr>
            <w:tcW w:w="80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4"/>
                <w:szCs w:val="24"/>
                <w:highlight w:val="none"/>
              </w:rPr>
            </w:pPr>
            <w:r>
              <w:rPr>
                <w:rFonts w:hint="eastAsia" w:ascii="宋体" w:hAnsi="宋体" w:cs="宋体"/>
                <w:sz w:val="24"/>
                <w:szCs w:val="24"/>
                <w:highlight w:val="none"/>
              </w:rPr>
              <w:t>名称</w:t>
            </w:r>
          </w:p>
        </w:tc>
        <w:tc>
          <w:tcPr>
            <w:tcW w:w="598"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hAnsi="宋体" w:cs="宋体"/>
                <w:sz w:val="24"/>
                <w:szCs w:val="24"/>
                <w:highlight w:val="none"/>
              </w:rPr>
            </w:pPr>
            <w:r>
              <w:rPr>
                <w:rFonts w:hint="eastAsia" w:ascii="宋体" w:hAnsi="宋体" w:cs="宋体"/>
                <w:sz w:val="24"/>
                <w:szCs w:val="24"/>
                <w:highlight w:val="none"/>
              </w:rPr>
              <w:t>品牌</w:t>
            </w:r>
          </w:p>
        </w:tc>
        <w:tc>
          <w:tcPr>
            <w:tcW w:w="979"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hAnsi="宋体" w:cs="宋体"/>
                <w:sz w:val="24"/>
                <w:szCs w:val="24"/>
                <w:highlight w:val="none"/>
              </w:rPr>
            </w:pPr>
            <w:r>
              <w:rPr>
                <w:rFonts w:hint="eastAsia" w:ascii="宋体" w:hAnsi="宋体" w:cs="宋体"/>
                <w:sz w:val="24"/>
                <w:szCs w:val="24"/>
                <w:highlight w:val="none"/>
              </w:rPr>
              <w:t>型号和规格</w:t>
            </w:r>
          </w:p>
        </w:tc>
        <w:tc>
          <w:tcPr>
            <w:tcW w:w="1596" w:type="dxa"/>
            <w:tcBorders>
              <w:top w:val="single" w:color="auto" w:sz="6" w:space="0"/>
              <w:left w:val="single" w:color="auto" w:sz="6" w:space="0"/>
              <w:bottom w:val="single" w:color="auto" w:sz="6" w:space="0"/>
              <w:right w:val="single" w:color="auto" w:sz="6" w:space="0"/>
            </w:tcBorders>
            <w:vAlign w:val="center"/>
          </w:tcPr>
          <w:p>
            <w:pPr>
              <w:spacing w:beforeLines="50" w:after="120"/>
              <w:jc w:val="center"/>
              <w:rPr>
                <w:rFonts w:ascii="宋体" w:hAnsi="宋体" w:cs="宋体"/>
                <w:sz w:val="24"/>
                <w:szCs w:val="24"/>
                <w:highlight w:val="none"/>
              </w:rPr>
            </w:pPr>
            <w:r>
              <w:rPr>
                <w:rFonts w:hint="eastAsia" w:ascii="宋体" w:hAnsi="宋体" w:cs="宋体"/>
                <w:sz w:val="24"/>
                <w:szCs w:val="24"/>
                <w:highlight w:val="none"/>
              </w:rPr>
              <w:t>原产地及制造厂名</w:t>
            </w:r>
          </w:p>
        </w:tc>
        <w:tc>
          <w:tcPr>
            <w:tcW w:w="984"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4"/>
                <w:szCs w:val="24"/>
                <w:highlight w:val="none"/>
              </w:rPr>
            </w:pPr>
            <w:r>
              <w:rPr>
                <w:rFonts w:hint="eastAsia" w:ascii="宋体" w:hAnsi="宋体" w:cs="宋体"/>
                <w:sz w:val="24"/>
                <w:szCs w:val="24"/>
                <w:highlight w:val="none"/>
              </w:rPr>
              <w:t>数量</w:t>
            </w:r>
          </w:p>
        </w:tc>
        <w:tc>
          <w:tcPr>
            <w:tcW w:w="137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4"/>
                <w:szCs w:val="24"/>
                <w:highlight w:val="none"/>
              </w:rPr>
            </w:pPr>
            <w:r>
              <w:rPr>
                <w:rFonts w:hint="eastAsia" w:ascii="宋体" w:hAnsi="宋体" w:cs="宋体"/>
                <w:sz w:val="24"/>
                <w:szCs w:val="24"/>
                <w:highlight w:val="none"/>
              </w:rPr>
              <w:t>单价</w:t>
            </w:r>
          </w:p>
          <w:p>
            <w:pPr>
              <w:spacing w:after="120"/>
              <w:jc w:val="center"/>
              <w:rPr>
                <w:rFonts w:ascii="宋体" w:hAnsi="宋体" w:cs="宋体"/>
                <w:sz w:val="24"/>
                <w:szCs w:val="24"/>
                <w:highlight w:val="none"/>
              </w:rPr>
            </w:pPr>
            <w:r>
              <w:rPr>
                <w:rFonts w:hint="eastAsia" w:ascii="宋体" w:hAnsi="宋体" w:cs="宋体"/>
                <w:sz w:val="24"/>
                <w:szCs w:val="24"/>
                <w:highlight w:val="none"/>
              </w:rPr>
              <w:t>（元）</w:t>
            </w:r>
          </w:p>
        </w:tc>
        <w:tc>
          <w:tcPr>
            <w:tcW w:w="1004"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4"/>
                <w:szCs w:val="24"/>
                <w:highlight w:val="none"/>
              </w:rPr>
            </w:pPr>
            <w:r>
              <w:rPr>
                <w:rFonts w:hint="eastAsia" w:ascii="宋体" w:hAnsi="宋体" w:cs="宋体"/>
                <w:sz w:val="24"/>
                <w:szCs w:val="24"/>
                <w:highlight w:val="none"/>
              </w:rPr>
              <w:t>总价</w:t>
            </w:r>
          </w:p>
          <w:p>
            <w:pPr>
              <w:spacing w:after="120"/>
              <w:jc w:val="center"/>
              <w:rPr>
                <w:rFonts w:ascii="宋体" w:hAnsi="宋体" w:cs="宋体"/>
                <w:sz w:val="24"/>
                <w:szCs w:val="24"/>
                <w:highlight w:val="none"/>
              </w:rPr>
            </w:pPr>
            <w:r>
              <w:rPr>
                <w:rFonts w:hint="eastAsia" w:ascii="宋体" w:hAnsi="宋体" w:cs="宋体"/>
                <w:sz w:val="24"/>
                <w:szCs w:val="24"/>
                <w:highlight w:val="none"/>
              </w:rPr>
              <w:t>（元）</w:t>
            </w:r>
          </w:p>
        </w:tc>
      </w:tr>
      <w:tr>
        <w:tblPrEx>
          <w:tblCellMar>
            <w:top w:w="0" w:type="dxa"/>
            <w:left w:w="28" w:type="dxa"/>
            <w:bottom w:w="0" w:type="dxa"/>
            <w:right w:w="28" w:type="dxa"/>
          </w:tblCellMar>
        </w:tblPrEx>
        <w:trPr>
          <w:trHeight w:val="599" w:hRule="atLeast"/>
          <w:jc w:val="center"/>
        </w:trPr>
        <w:tc>
          <w:tcPr>
            <w:tcW w:w="1167" w:type="dxa"/>
            <w:vMerge w:val="continue"/>
            <w:tcBorders>
              <w:left w:val="single" w:color="auto" w:sz="6" w:space="0"/>
              <w:right w:val="single" w:color="auto" w:sz="4" w:space="0"/>
            </w:tcBorders>
            <w:vAlign w:val="center"/>
          </w:tcPr>
          <w:p>
            <w:pPr>
              <w:spacing w:beforeLines="100"/>
              <w:jc w:val="center"/>
              <w:rPr>
                <w:rFonts w:ascii="宋体" w:hAnsi="宋体" w:cs="宋体"/>
                <w:sz w:val="24"/>
                <w:szCs w:val="24"/>
                <w:highlight w:val="none"/>
              </w:rPr>
            </w:pPr>
          </w:p>
        </w:tc>
        <w:tc>
          <w:tcPr>
            <w:tcW w:w="539" w:type="dxa"/>
            <w:tcBorders>
              <w:top w:val="single" w:color="auto" w:sz="6" w:space="0"/>
              <w:left w:val="single" w:color="auto" w:sz="4" w:space="0"/>
              <w:bottom w:val="single" w:color="auto" w:sz="4" w:space="0"/>
            </w:tcBorders>
            <w:vAlign w:val="center"/>
          </w:tcPr>
          <w:p>
            <w:pPr>
              <w:spacing w:beforeLines="100"/>
              <w:jc w:val="center"/>
              <w:rPr>
                <w:rFonts w:ascii="宋体" w:hAnsi="宋体" w:cs="宋体"/>
                <w:sz w:val="24"/>
                <w:szCs w:val="24"/>
                <w:highlight w:val="none"/>
              </w:rPr>
            </w:pPr>
            <w:r>
              <w:rPr>
                <w:rFonts w:hint="eastAsia" w:ascii="宋体" w:hAnsi="宋体" w:cs="宋体"/>
                <w:sz w:val="24"/>
                <w:szCs w:val="24"/>
                <w:highlight w:val="none"/>
              </w:rPr>
              <w:t>1</w:t>
            </w:r>
          </w:p>
        </w:tc>
        <w:tc>
          <w:tcPr>
            <w:tcW w:w="803"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cs="宋体"/>
                <w:sz w:val="24"/>
                <w:szCs w:val="24"/>
                <w:highlight w:val="none"/>
              </w:rPr>
            </w:pPr>
          </w:p>
        </w:tc>
        <w:tc>
          <w:tcPr>
            <w:tcW w:w="598" w:type="dxa"/>
            <w:tcBorders>
              <w:top w:val="single" w:color="auto" w:sz="6" w:space="0"/>
              <w:left w:val="single" w:color="auto" w:sz="6" w:space="0"/>
              <w:bottom w:val="single" w:color="auto" w:sz="4" w:space="0"/>
              <w:right w:val="single" w:color="auto" w:sz="4" w:space="0"/>
            </w:tcBorders>
            <w:vAlign w:val="center"/>
          </w:tcPr>
          <w:p>
            <w:pPr>
              <w:spacing w:beforeLines="50"/>
              <w:jc w:val="center"/>
              <w:rPr>
                <w:rFonts w:ascii="宋体" w:hAnsi="宋体" w:cs="宋体"/>
                <w:sz w:val="24"/>
                <w:szCs w:val="24"/>
                <w:highlight w:val="none"/>
              </w:rPr>
            </w:pPr>
          </w:p>
        </w:tc>
        <w:tc>
          <w:tcPr>
            <w:tcW w:w="979" w:type="dxa"/>
            <w:tcBorders>
              <w:top w:val="single" w:color="auto" w:sz="6" w:space="0"/>
              <w:left w:val="single" w:color="auto" w:sz="4" w:space="0"/>
              <w:bottom w:val="single" w:color="auto" w:sz="4" w:space="0"/>
              <w:right w:val="single" w:color="auto" w:sz="6" w:space="0"/>
            </w:tcBorders>
            <w:vAlign w:val="center"/>
          </w:tcPr>
          <w:p>
            <w:pPr>
              <w:spacing w:beforeLines="50"/>
              <w:jc w:val="center"/>
              <w:rPr>
                <w:rFonts w:ascii="宋体" w:hAnsi="宋体" w:cs="宋体"/>
                <w:sz w:val="24"/>
                <w:szCs w:val="24"/>
                <w:highlight w:val="none"/>
              </w:rPr>
            </w:pPr>
          </w:p>
        </w:tc>
        <w:tc>
          <w:tcPr>
            <w:tcW w:w="1596"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cs="宋体"/>
                <w:sz w:val="24"/>
                <w:szCs w:val="24"/>
                <w:highlight w:val="none"/>
              </w:rPr>
            </w:pPr>
          </w:p>
        </w:tc>
        <w:tc>
          <w:tcPr>
            <w:tcW w:w="984"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cs="宋体"/>
                <w:sz w:val="24"/>
                <w:szCs w:val="24"/>
                <w:highlight w:val="none"/>
              </w:rPr>
            </w:pPr>
          </w:p>
        </w:tc>
        <w:tc>
          <w:tcPr>
            <w:tcW w:w="1376"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cs="宋体"/>
                <w:sz w:val="24"/>
                <w:szCs w:val="24"/>
                <w:highlight w:val="none"/>
              </w:rPr>
            </w:pPr>
          </w:p>
        </w:tc>
        <w:tc>
          <w:tcPr>
            <w:tcW w:w="1004"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cs="宋体"/>
                <w:sz w:val="24"/>
                <w:szCs w:val="24"/>
                <w:highlight w:val="none"/>
              </w:rPr>
            </w:pPr>
          </w:p>
        </w:tc>
      </w:tr>
      <w:tr>
        <w:tblPrEx>
          <w:tblCellMar>
            <w:top w:w="0" w:type="dxa"/>
            <w:left w:w="28" w:type="dxa"/>
            <w:bottom w:w="0" w:type="dxa"/>
            <w:right w:w="28" w:type="dxa"/>
          </w:tblCellMar>
        </w:tblPrEx>
        <w:trPr>
          <w:trHeight w:val="599" w:hRule="atLeast"/>
          <w:jc w:val="center"/>
        </w:trPr>
        <w:tc>
          <w:tcPr>
            <w:tcW w:w="1167" w:type="dxa"/>
            <w:vMerge w:val="continue"/>
            <w:tcBorders>
              <w:left w:val="single" w:color="auto" w:sz="6" w:space="0"/>
              <w:right w:val="single" w:color="auto" w:sz="4" w:space="0"/>
            </w:tcBorders>
            <w:vAlign w:val="center"/>
          </w:tcPr>
          <w:p>
            <w:pPr>
              <w:spacing w:beforeLines="100"/>
              <w:jc w:val="center"/>
              <w:rPr>
                <w:rFonts w:ascii="宋体" w:hAnsi="宋体" w:cs="宋体"/>
                <w:sz w:val="24"/>
                <w:szCs w:val="24"/>
                <w:highlight w:val="none"/>
              </w:rPr>
            </w:pPr>
          </w:p>
        </w:tc>
        <w:tc>
          <w:tcPr>
            <w:tcW w:w="539" w:type="dxa"/>
            <w:tcBorders>
              <w:top w:val="single" w:color="auto" w:sz="4" w:space="0"/>
              <w:left w:val="single" w:color="auto" w:sz="4" w:space="0"/>
              <w:bottom w:val="single" w:color="auto" w:sz="6" w:space="0"/>
            </w:tcBorders>
            <w:vAlign w:val="center"/>
          </w:tcPr>
          <w:p>
            <w:pPr>
              <w:spacing w:beforeLines="100"/>
              <w:jc w:val="center"/>
              <w:rPr>
                <w:rFonts w:ascii="宋体" w:hAnsi="宋体" w:cs="宋体"/>
                <w:sz w:val="24"/>
                <w:szCs w:val="24"/>
                <w:highlight w:val="none"/>
              </w:rPr>
            </w:pPr>
            <w:r>
              <w:rPr>
                <w:rFonts w:hint="eastAsia" w:ascii="宋体" w:hAnsi="宋体" w:cs="宋体"/>
                <w:sz w:val="24"/>
                <w:szCs w:val="24"/>
                <w:highlight w:val="none"/>
              </w:rPr>
              <w:t>2</w:t>
            </w:r>
          </w:p>
        </w:tc>
        <w:tc>
          <w:tcPr>
            <w:tcW w:w="803"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ascii="宋体" w:hAnsi="宋体" w:cs="宋体"/>
                <w:sz w:val="24"/>
                <w:szCs w:val="24"/>
                <w:highlight w:val="none"/>
              </w:rPr>
            </w:pPr>
          </w:p>
        </w:tc>
        <w:tc>
          <w:tcPr>
            <w:tcW w:w="598"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hAnsi="宋体" w:cs="宋体"/>
                <w:sz w:val="24"/>
                <w:szCs w:val="24"/>
                <w:highlight w:val="none"/>
              </w:rPr>
            </w:pPr>
          </w:p>
        </w:tc>
        <w:tc>
          <w:tcPr>
            <w:tcW w:w="979"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59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984"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37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004"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r>
      <w:tr>
        <w:tblPrEx>
          <w:tblCellMar>
            <w:top w:w="0" w:type="dxa"/>
            <w:left w:w="28" w:type="dxa"/>
            <w:bottom w:w="0" w:type="dxa"/>
            <w:right w:w="28" w:type="dxa"/>
          </w:tblCellMar>
        </w:tblPrEx>
        <w:trPr>
          <w:trHeight w:val="599" w:hRule="atLeast"/>
          <w:jc w:val="center"/>
        </w:trPr>
        <w:tc>
          <w:tcPr>
            <w:tcW w:w="1167" w:type="dxa"/>
            <w:vMerge w:val="continue"/>
            <w:tcBorders>
              <w:left w:val="single" w:color="auto" w:sz="6" w:space="0"/>
              <w:right w:val="single" w:color="auto" w:sz="4" w:space="0"/>
            </w:tcBorders>
            <w:vAlign w:val="center"/>
          </w:tcPr>
          <w:p>
            <w:pPr>
              <w:spacing w:beforeLines="100"/>
              <w:jc w:val="center"/>
              <w:rPr>
                <w:rFonts w:ascii="宋体" w:hAnsi="宋体" w:cs="宋体"/>
                <w:sz w:val="24"/>
                <w:szCs w:val="24"/>
                <w:highlight w:val="none"/>
              </w:rPr>
            </w:pPr>
          </w:p>
        </w:tc>
        <w:tc>
          <w:tcPr>
            <w:tcW w:w="539" w:type="dxa"/>
            <w:tcBorders>
              <w:top w:val="single" w:color="auto" w:sz="4" w:space="0"/>
              <w:left w:val="single" w:color="auto" w:sz="4" w:space="0"/>
              <w:bottom w:val="single" w:color="auto" w:sz="6" w:space="0"/>
            </w:tcBorders>
            <w:vAlign w:val="center"/>
          </w:tcPr>
          <w:p>
            <w:pPr>
              <w:spacing w:beforeLines="100"/>
              <w:jc w:val="center"/>
              <w:rPr>
                <w:rFonts w:ascii="宋体" w:hAnsi="宋体" w:cs="宋体"/>
                <w:sz w:val="24"/>
                <w:szCs w:val="24"/>
                <w:highlight w:val="none"/>
              </w:rPr>
            </w:pPr>
            <w:r>
              <w:rPr>
                <w:rFonts w:hint="eastAsia" w:ascii="宋体" w:hAnsi="宋体" w:cs="宋体"/>
                <w:sz w:val="24"/>
                <w:szCs w:val="24"/>
                <w:highlight w:val="none"/>
              </w:rPr>
              <w:t>3</w:t>
            </w:r>
          </w:p>
        </w:tc>
        <w:tc>
          <w:tcPr>
            <w:tcW w:w="803"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ascii="宋体" w:hAnsi="宋体" w:cs="宋体"/>
                <w:sz w:val="24"/>
                <w:szCs w:val="24"/>
                <w:highlight w:val="none"/>
              </w:rPr>
            </w:pPr>
          </w:p>
        </w:tc>
        <w:tc>
          <w:tcPr>
            <w:tcW w:w="598"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hAnsi="宋体" w:cs="宋体"/>
                <w:sz w:val="24"/>
                <w:szCs w:val="24"/>
                <w:highlight w:val="none"/>
              </w:rPr>
            </w:pPr>
          </w:p>
        </w:tc>
        <w:tc>
          <w:tcPr>
            <w:tcW w:w="979"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59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984"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37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004"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r>
      <w:tr>
        <w:tblPrEx>
          <w:tblCellMar>
            <w:top w:w="0" w:type="dxa"/>
            <w:left w:w="28" w:type="dxa"/>
            <w:bottom w:w="0" w:type="dxa"/>
            <w:right w:w="28" w:type="dxa"/>
          </w:tblCellMar>
        </w:tblPrEx>
        <w:trPr>
          <w:trHeight w:val="599" w:hRule="atLeast"/>
          <w:jc w:val="center"/>
        </w:trPr>
        <w:tc>
          <w:tcPr>
            <w:tcW w:w="1167" w:type="dxa"/>
            <w:vMerge w:val="continue"/>
            <w:tcBorders>
              <w:left w:val="single" w:color="auto" w:sz="6" w:space="0"/>
              <w:right w:val="single" w:color="auto" w:sz="4" w:space="0"/>
            </w:tcBorders>
            <w:vAlign w:val="center"/>
          </w:tcPr>
          <w:p>
            <w:pPr>
              <w:spacing w:beforeLines="100"/>
              <w:jc w:val="center"/>
              <w:rPr>
                <w:rFonts w:ascii="宋体" w:hAnsi="宋体" w:cs="宋体"/>
                <w:sz w:val="24"/>
                <w:szCs w:val="24"/>
                <w:highlight w:val="none"/>
              </w:rPr>
            </w:pPr>
          </w:p>
        </w:tc>
        <w:tc>
          <w:tcPr>
            <w:tcW w:w="539" w:type="dxa"/>
            <w:tcBorders>
              <w:top w:val="single" w:color="auto" w:sz="4" w:space="0"/>
              <w:left w:val="single" w:color="auto" w:sz="4" w:space="0"/>
              <w:bottom w:val="single" w:color="auto" w:sz="6" w:space="0"/>
            </w:tcBorders>
            <w:vAlign w:val="center"/>
          </w:tcPr>
          <w:p>
            <w:pPr>
              <w:spacing w:beforeLines="100"/>
              <w:jc w:val="center"/>
              <w:rPr>
                <w:rFonts w:ascii="宋体" w:hAnsi="宋体" w:cs="宋体"/>
                <w:sz w:val="24"/>
                <w:szCs w:val="24"/>
                <w:highlight w:val="none"/>
              </w:rPr>
            </w:pPr>
            <w:r>
              <w:rPr>
                <w:rFonts w:hint="eastAsia" w:ascii="宋体" w:hAnsi="宋体" w:cs="宋体"/>
                <w:sz w:val="24"/>
                <w:szCs w:val="24"/>
                <w:highlight w:val="none"/>
              </w:rPr>
              <w:t>……</w:t>
            </w:r>
          </w:p>
        </w:tc>
        <w:tc>
          <w:tcPr>
            <w:tcW w:w="80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598"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hAnsi="宋体" w:cs="宋体"/>
                <w:sz w:val="24"/>
                <w:szCs w:val="24"/>
                <w:highlight w:val="none"/>
              </w:rPr>
            </w:pPr>
          </w:p>
        </w:tc>
        <w:tc>
          <w:tcPr>
            <w:tcW w:w="979"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59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984"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37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004"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r>
      <w:tr>
        <w:tblPrEx>
          <w:tblCellMar>
            <w:top w:w="0" w:type="dxa"/>
            <w:left w:w="28" w:type="dxa"/>
            <w:bottom w:w="0" w:type="dxa"/>
            <w:right w:w="28" w:type="dxa"/>
          </w:tblCellMar>
        </w:tblPrEx>
        <w:trPr>
          <w:trHeight w:val="599" w:hRule="atLeast"/>
          <w:jc w:val="center"/>
        </w:trPr>
        <w:tc>
          <w:tcPr>
            <w:tcW w:w="1167" w:type="dxa"/>
            <w:vMerge w:val="continue"/>
            <w:tcBorders>
              <w:left w:val="single" w:color="auto" w:sz="6" w:space="0"/>
              <w:bottom w:val="single" w:color="auto" w:sz="6" w:space="0"/>
              <w:right w:val="single" w:color="auto" w:sz="4" w:space="0"/>
            </w:tcBorders>
            <w:vAlign w:val="center"/>
          </w:tcPr>
          <w:p>
            <w:pPr>
              <w:spacing w:beforeLines="100"/>
              <w:jc w:val="center"/>
              <w:rPr>
                <w:rFonts w:ascii="宋体" w:hAnsi="宋体" w:cs="宋体"/>
                <w:sz w:val="24"/>
                <w:szCs w:val="24"/>
                <w:highlight w:val="none"/>
              </w:rPr>
            </w:pPr>
          </w:p>
        </w:tc>
        <w:tc>
          <w:tcPr>
            <w:tcW w:w="539" w:type="dxa"/>
            <w:tcBorders>
              <w:top w:val="single" w:color="auto" w:sz="4" w:space="0"/>
              <w:left w:val="single" w:color="auto" w:sz="4" w:space="0"/>
              <w:bottom w:val="single" w:color="auto" w:sz="6" w:space="0"/>
            </w:tcBorders>
            <w:vAlign w:val="center"/>
          </w:tcPr>
          <w:p>
            <w:pPr>
              <w:spacing w:beforeLines="100"/>
              <w:jc w:val="center"/>
              <w:rPr>
                <w:rFonts w:ascii="宋体" w:hAnsi="宋体" w:cs="宋体"/>
                <w:b/>
                <w:bCs/>
                <w:sz w:val="24"/>
                <w:szCs w:val="24"/>
                <w:highlight w:val="none"/>
              </w:rPr>
            </w:pPr>
            <w:r>
              <w:rPr>
                <w:rFonts w:hint="eastAsia" w:ascii="宋体" w:hAnsi="宋体" w:cs="宋体"/>
                <w:sz w:val="24"/>
                <w:szCs w:val="24"/>
                <w:highlight w:val="none"/>
              </w:rPr>
              <w:t>……</w:t>
            </w:r>
          </w:p>
        </w:tc>
        <w:tc>
          <w:tcPr>
            <w:tcW w:w="80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598"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hAnsi="宋体" w:cs="宋体"/>
                <w:sz w:val="24"/>
                <w:szCs w:val="24"/>
                <w:highlight w:val="none"/>
              </w:rPr>
            </w:pPr>
          </w:p>
        </w:tc>
        <w:tc>
          <w:tcPr>
            <w:tcW w:w="979"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59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984"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37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004"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r>
      <w:tr>
        <w:tblPrEx>
          <w:tblCellMar>
            <w:top w:w="0" w:type="dxa"/>
            <w:left w:w="28" w:type="dxa"/>
            <w:bottom w:w="0" w:type="dxa"/>
            <w:right w:w="28" w:type="dxa"/>
          </w:tblCellMar>
        </w:tblPrEx>
        <w:trPr>
          <w:trHeight w:val="599" w:hRule="atLeast"/>
          <w:jc w:val="center"/>
        </w:trPr>
        <w:tc>
          <w:tcPr>
            <w:tcW w:w="2509"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安装调试费</w:t>
            </w:r>
          </w:p>
        </w:tc>
        <w:tc>
          <w:tcPr>
            <w:tcW w:w="6537" w:type="dxa"/>
            <w:gridSpan w:val="6"/>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r>
              <w:rPr>
                <w:rFonts w:hint="eastAsia" w:ascii="宋体" w:hAnsi="宋体" w:cs="宋体"/>
                <w:sz w:val="24"/>
                <w:szCs w:val="24"/>
                <w:highlight w:val="none"/>
              </w:rPr>
              <w:t>……</w:t>
            </w:r>
          </w:p>
        </w:tc>
      </w:tr>
      <w:tr>
        <w:tblPrEx>
          <w:tblCellMar>
            <w:top w:w="0" w:type="dxa"/>
            <w:left w:w="28" w:type="dxa"/>
            <w:bottom w:w="0" w:type="dxa"/>
            <w:right w:w="28" w:type="dxa"/>
          </w:tblCellMar>
        </w:tblPrEx>
        <w:trPr>
          <w:trHeight w:val="599" w:hRule="atLeast"/>
          <w:jc w:val="center"/>
        </w:trPr>
        <w:tc>
          <w:tcPr>
            <w:tcW w:w="2509"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运杂费</w:t>
            </w:r>
          </w:p>
        </w:tc>
        <w:tc>
          <w:tcPr>
            <w:tcW w:w="6537"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w:t>
            </w:r>
          </w:p>
        </w:tc>
      </w:tr>
      <w:tr>
        <w:tblPrEx>
          <w:tblCellMar>
            <w:top w:w="0" w:type="dxa"/>
            <w:left w:w="28" w:type="dxa"/>
            <w:bottom w:w="0" w:type="dxa"/>
            <w:right w:w="28" w:type="dxa"/>
          </w:tblCellMar>
        </w:tblPrEx>
        <w:trPr>
          <w:trHeight w:val="599" w:hRule="atLeast"/>
          <w:jc w:val="center"/>
        </w:trPr>
        <w:tc>
          <w:tcPr>
            <w:tcW w:w="2509"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其他费用</w:t>
            </w:r>
          </w:p>
        </w:tc>
        <w:tc>
          <w:tcPr>
            <w:tcW w:w="6537"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w:t>
            </w:r>
          </w:p>
        </w:tc>
      </w:tr>
      <w:tr>
        <w:tblPrEx>
          <w:tblCellMar>
            <w:top w:w="0" w:type="dxa"/>
            <w:left w:w="28" w:type="dxa"/>
            <w:bottom w:w="0" w:type="dxa"/>
            <w:right w:w="28" w:type="dxa"/>
          </w:tblCellMar>
        </w:tblPrEx>
        <w:trPr>
          <w:trHeight w:val="599" w:hRule="atLeast"/>
          <w:jc w:val="center"/>
        </w:trPr>
        <w:tc>
          <w:tcPr>
            <w:tcW w:w="2509"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w:t>
            </w:r>
          </w:p>
        </w:tc>
        <w:tc>
          <w:tcPr>
            <w:tcW w:w="6537"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w:t>
            </w:r>
          </w:p>
        </w:tc>
      </w:tr>
      <w:tr>
        <w:tblPrEx>
          <w:tblCellMar>
            <w:top w:w="0" w:type="dxa"/>
            <w:left w:w="28" w:type="dxa"/>
            <w:bottom w:w="0" w:type="dxa"/>
            <w:right w:w="28" w:type="dxa"/>
          </w:tblCellMar>
        </w:tblPrEx>
        <w:trPr>
          <w:trHeight w:val="599" w:hRule="atLeast"/>
          <w:jc w:val="center"/>
        </w:trPr>
        <w:tc>
          <w:tcPr>
            <w:tcW w:w="1706" w:type="dxa"/>
            <w:gridSpan w:val="2"/>
            <w:tcBorders>
              <w:top w:val="single" w:color="auto" w:sz="4" w:space="0"/>
              <w:left w:val="single" w:color="auto" w:sz="6" w:space="0"/>
              <w:bottom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货物类总报价</w:t>
            </w:r>
          </w:p>
        </w:tc>
        <w:tc>
          <w:tcPr>
            <w:tcW w:w="7340" w:type="dxa"/>
            <w:gridSpan w:val="7"/>
            <w:tcBorders>
              <w:top w:val="single" w:color="auto" w:sz="4" w:space="0"/>
              <w:left w:val="single" w:color="auto" w:sz="6" w:space="0"/>
              <w:bottom w:val="single" w:color="auto" w:sz="6" w:space="0"/>
              <w:right w:val="single" w:color="auto" w:sz="6" w:space="0"/>
            </w:tcBorders>
            <w:vAlign w:val="center"/>
          </w:tcPr>
          <w:p>
            <w:pPr>
              <w:spacing w:beforeLines="50"/>
              <w:jc w:val="left"/>
              <w:rPr>
                <w:rFonts w:ascii="宋体" w:hAnsi="宋体" w:cs="宋体"/>
                <w:sz w:val="24"/>
                <w:szCs w:val="24"/>
                <w:highlight w:val="none"/>
              </w:rPr>
            </w:pPr>
            <w:r>
              <w:rPr>
                <w:rFonts w:hint="eastAsia" w:ascii="宋体" w:hAnsi="宋体" w:cs="宋体"/>
                <w:sz w:val="24"/>
                <w:szCs w:val="24"/>
                <w:highlight w:val="none"/>
              </w:rPr>
              <w:t>大写：                       小写：</w:t>
            </w:r>
          </w:p>
        </w:tc>
      </w:tr>
      <w:tr>
        <w:tblPrEx>
          <w:tblCellMar>
            <w:top w:w="0" w:type="dxa"/>
            <w:left w:w="28" w:type="dxa"/>
            <w:bottom w:w="0" w:type="dxa"/>
            <w:right w:w="28" w:type="dxa"/>
          </w:tblCellMar>
        </w:tblPrEx>
        <w:trPr>
          <w:trHeight w:val="599" w:hRule="atLeast"/>
          <w:jc w:val="center"/>
        </w:trPr>
        <w:tc>
          <w:tcPr>
            <w:tcW w:w="1706" w:type="dxa"/>
            <w:gridSpan w:val="2"/>
            <w:tcBorders>
              <w:top w:val="single" w:color="auto" w:sz="4" w:space="0"/>
              <w:left w:val="single" w:color="auto" w:sz="6" w:space="0"/>
              <w:bottom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备注</w:t>
            </w:r>
          </w:p>
        </w:tc>
        <w:tc>
          <w:tcPr>
            <w:tcW w:w="7340" w:type="dxa"/>
            <w:gridSpan w:val="7"/>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r>
              <w:rPr>
                <w:rFonts w:hint="eastAsia" w:ascii="宋体" w:hAnsi="宋体" w:cs="宋体"/>
                <w:spacing w:val="-6"/>
                <w:sz w:val="24"/>
                <w:szCs w:val="24"/>
                <w:highlight w:val="none"/>
                <w:lang w:eastAsia="zh-CN"/>
              </w:rPr>
              <w:t>精确到小数点后两位</w:t>
            </w:r>
            <w:r>
              <w:rPr>
                <w:rFonts w:hint="eastAsia" w:ascii="宋体" w:hAnsi="宋体" w:cs="宋体"/>
                <w:spacing w:val="-6"/>
                <w:sz w:val="24"/>
                <w:szCs w:val="24"/>
                <w:highlight w:val="none"/>
              </w:rPr>
              <w:t>。</w:t>
            </w:r>
          </w:p>
        </w:tc>
      </w:tr>
    </w:tbl>
    <w:p>
      <w:pPr>
        <w:adjustRightInd w:val="0"/>
        <w:snapToGrid w:val="0"/>
        <w:spacing w:line="480" w:lineRule="auto"/>
        <w:rPr>
          <w:rFonts w:ascii="宋体"/>
          <w:color w:val="000000"/>
          <w:sz w:val="24"/>
          <w:szCs w:val="24"/>
          <w:highlight w:val="none"/>
        </w:rPr>
      </w:pPr>
      <w:r>
        <w:rPr>
          <w:rFonts w:hint="eastAsia" w:ascii="宋体" w:hAnsi="宋体"/>
          <w:color w:val="000000"/>
          <w:sz w:val="24"/>
          <w:szCs w:val="24"/>
          <w:highlight w:val="none"/>
        </w:rPr>
        <w:t>供应商（单位名称及公章）：</w:t>
      </w:r>
    </w:p>
    <w:p>
      <w:pPr>
        <w:adjustRightInd w:val="0"/>
        <w:snapToGrid w:val="0"/>
        <w:spacing w:line="480" w:lineRule="auto"/>
        <w:rPr>
          <w:rFonts w:ascii="宋体"/>
          <w:color w:val="000000"/>
          <w:sz w:val="24"/>
          <w:szCs w:val="24"/>
          <w:highlight w:val="none"/>
        </w:rPr>
      </w:pPr>
      <w:r>
        <w:rPr>
          <w:rFonts w:hint="eastAsia" w:ascii="宋体" w:hAnsi="宋体"/>
          <w:color w:val="000000"/>
          <w:sz w:val="24"/>
          <w:szCs w:val="24"/>
          <w:highlight w:val="none"/>
        </w:rPr>
        <w:t>法定代表人或被授权人（签字或盖章）：</w:t>
      </w:r>
    </w:p>
    <w:p>
      <w:pPr>
        <w:adjustRightInd w:val="0"/>
        <w:snapToGrid w:val="0"/>
        <w:spacing w:line="480" w:lineRule="auto"/>
        <w:rPr>
          <w:rFonts w:ascii="宋体" w:hAnsi="宋体"/>
          <w:color w:val="000000"/>
          <w:sz w:val="24"/>
          <w:szCs w:val="24"/>
          <w:highlight w:val="none"/>
        </w:rPr>
      </w:pPr>
      <w:r>
        <w:rPr>
          <w:rFonts w:hint="eastAsia" w:ascii="宋体" w:hAnsi="宋体"/>
          <w:color w:val="000000"/>
          <w:sz w:val="24"/>
          <w:szCs w:val="24"/>
          <w:highlight w:val="none"/>
        </w:rPr>
        <w:t>日期：年  月  日</w:t>
      </w:r>
    </w:p>
    <w:p>
      <w:pPr>
        <w:rPr>
          <w:rFonts w:ascii="宋体" w:hAnsi="宋体"/>
          <w:color w:val="000000"/>
          <w:sz w:val="24"/>
          <w:szCs w:val="24"/>
          <w:highlight w:val="none"/>
        </w:rPr>
      </w:pPr>
      <w:r>
        <w:rPr>
          <w:rFonts w:hint="eastAsia" w:ascii="宋体" w:hAnsi="宋体"/>
          <w:color w:val="000000"/>
          <w:sz w:val="24"/>
          <w:szCs w:val="24"/>
          <w:highlight w:val="none"/>
        </w:rPr>
        <w:br w:type="page"/>
      </w:r>
    </w:p>
    <w:bookmarkEnd w:id="175"/>
    <w:bookmarkEnd w:id="176"/>
    <w:bookmarkEnd w:id="177"/>
    <w:bookmarkEnd w:id="178"/>
    <w:bookmarkEnd w:id="179"/>
    <w:p>
      <w:pPr>
        <w:pStyle w:val="4"/>
        <w:rPr>
          <w:highlight w:val="none"/>
        </w:rPr>
      </w:pPr>
      <w:bookmarkStart w:id="180" w:name="_Toc27417"/>
      <w:bookmarkStart w:id="181" w:name="_Toc3301"/>
      <w:bookmarkStart w:id="182" w:name="_Toc23234"/>
      <w:bookmarkStart w:id="183" w:name="_Toc28248"/>
      <w:bookmarkStart w:id="184" w:name="_Toc25889"/>
      <w:r>
        <w:rPr>
          <w:rFonts w:hint="eastAsia"/>
          <w:color w:val="000000"/>
          <w:highlight w:val="none"/>
          <w:lang w:val="en-US" w:eastAsia="zh-CN"/>
        </w:rPr>
        <w:t xml:space="preserve">第四章  </w:t>
      </w:r>
      <w:r>
        <w:rPr>
          <w:rFonts w:hint="eastAsia"/>
          <w:highlight w:val="none"/>
        </w:rPr>
        <w:t>投标保证金</w:t>
      </w:r>
      <w:bookmarkEnd w:id="180"/>
      <w:r>
        <w:rPr>
          <w:rFonts w:hint="eastAsia"/>
          <w:highlight w:val="none"/>
        </w:rPr>
        <w:t xml:space="preserve"> </w:t>
      </w:r>
    </w:p>
    <w:p>
      <w:pPr>
        <w:pStyle w:val="6"/>
        <w:rPr>
          <w:sz w:val="28"/>
          <w:szCs w:val="24"/>
          <w:highlight w:val="none"/>
        </w:rPr>
      </w:pPr>
      <w:r>
        <w:rPr>
          <w:rFonts w:hint="eastAsia"/>
          <w:sz w:val="28"/>
          <w:szCs w:val="24"/>
          <w:highlight w:val="none"/>
          <w:lang w:eastAsia="zh-CN"/>
        </w:rPr>
        <w:t>供应商</w:t>
      </w:r>
      <w:r>
        <w:rPr>
          <w:rFonts w:hint="eastAsia"/>
          <w:sz w:val="28"/>
          <w:szCs w:val="24"/>
          <w:highlight w:val="none"/>
        </w:rPr>
        <w:t>在此处提供保证金缴纳凭证扫描件加盖公章，或者财政部门指定的担保机构出具的保函；</w:t>
      </w:r>
    </w:p>
    <w:p>
      <w:pPr>
        <w:pStyle w:val="6"/>
        <w:rPr>
          <w:sz w:val="28"/>
          <w:szCs w:val="24"/>
          <w:highlight w:val="none"/>
        </w:rPr>
      </w:pPr>
    </w:p>
    <w:tbl>
      <w:tblPr>
        <w:tblStyle w:val="26"/>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3" w:hRule="atLeast"/>
        </w:trPr>
        <w:tc>
          <w:tcPr>
            <w:tcW w:w="9000" w:type="dxa"/>
          </w:tcPr>
          <w:p>
            <w:pPr>
              <w:pStyle w:val="6"/>
              <w:rPr>
                <w:sz w:val="28"/>
                <w:szCs w:val="24"/>
                <w:highlight w:val="none"/>
              </w:rPr>
            </w:pPr>
          </w:p>
        </w:tc>
      </w:tr>
    </w:tbl>
    <w:p>
      <w:pPr>
        <w:bidi w:val="0"/>
        <w:rPr>
          <w:highlight w:val="none"/>
        </w:rPr>
      </w:pPr>
    </w:p>
    <w:p>
      <w:pPr>
        <w:rPr>
          <w:color w:val="000000"/>
          <w:highlight w:val="none"/>
        </w:rPr>
      </w:pPr>
      <w:r>
        <w:rPr>
          <w:rFonts w:hint="eastAsia"/>
          <w:color w:val="000000"/>
          <w:highlight w:val="none"/>
          <w:lang w:val="en-US" w:eastAsia="zh-CN"/>
        </w:rPr>
        <w:br w:type="page"/>
      </w:r>
    </w:p>
    <w:p>
      <w:pPr>
        <w:pStyle w:val="4"/>
        <w:numPr>
          <w:ilvl w:val="0"/>
          <w:numId w:val="0"/>
        </w:numPr>
        <w:jc w:val="center"/>
        <w:rPr>
          <w:color w:val="000000"/>
          <w:highlight w:val="none"/>
        </w:rPr>
      </w:pPr>
      <w:bookmarkStart w:id="185" w:name="_Toc26917"/>
      <w:r>
        <w:rPr>
          <w:rFonts w:hint="eastAsia"/>
          <w:color w:val="000000"/>
          <w:highlight w:val="none"/>
          <w:lang w:val="en-US" w:eastAsia="zh-CN"/>
        </w:rPr>
        <w:t xml:space="preserve">第五章  </w:t>
      </w:r>
      <w:r>
        <w:rPr>
          <w:rFonts w:hint="eastAsia"/>
          <w:color w:val="000000"/>
          <w:highlight w:val="none"/>
        </w:rPr>
        <w:t>供应商资质证明资料</w:t>
      </w:r>
      <w:bookmarkEnd w:id="181"/>
      <w:bookmarkEnd w:id="182"/>
      <w:bookmarkEnd w:id="183"/>
      <w:bookmarkEnd w:id="184"/>
      <w:bookmarkEnd w:id="185"/>
    </w:p>
    <w:p>
      <w:pPr>
        <w:snapToGrid w:val="0"/>
        <w:spacing w:line="360" w:lineRule="auto"/>
        <w:ind w:right="-199" w:rightChars="-95"/>
        <w:jc w:val="left"/>
        <w:rPr>
          <w:rFonts w:hint="eastAsia" w:ascii="宋体" w:hAnsi="宋体" w:cs="宋体"/>
          <w:b/>
          <w:bCs/>
          <w:sz w:val="28"/>
          <w:szCs w:val="24"/>
          <w:highlight w:val="none"/>
        </w:rPr>
      </w:pPr>
      <w:r>
        <w:rPr>
          <w:rFonts w:hint="eastAsia" w:ascii="宋体" w:hAnsi="宋体" w:cs="宋体"/>
          <w:b/>
          <w:bCs/>
          <w:sz w:val="28"/>
          <w:szCs w:val="24"/>
          <w:highlight w:val="none"/>
          <w:lang w:eastAsia="zh-CN"/>
        </w:rPr>
        <w:t>供应商</w:t>
      </w:r>
      <w:r>
        <w:rPr>
          <w:rFonts w:hint="eastAsia" w:ascii="宋体" w:hAnsi="宋体" w:cs="宋体"/>
          <w:b/>
          <w:bCs/>
          <w:sz w:val="28"/>
          <w:szCs w:val="24"/>
          <w:highlight w:val="none"/>
        </w:rPr>
        <w:t>需在此页附招标公告或招标文件中要求的资质证明文件，投标文件附资质复印件或扫描件加盖</w:t>
      </w:r>
      <w:r>
        <w:rPr>
          <w:rFonts w:hint="eastAsia" w:ascii="宋体" w:hAnsi="宋体" w:cs="宋体"/>
          <w:b/>
          <w:bCs/>
          <w:sz w:val="28"/>
          <w:szCs w:val="24"/>
          <w:highlight w:val="none"/>
          <w:lang w:eastAsia="zh-CN"/>
        </w:rPr>
        <w:t>供应商</w:t>
      </w:r>
      <w:r>
        <w:rPr>
          <w:rFonts w:hint="eastAsia" w:ascii="宋体" w:hAnsi="宋体" w:cs="宋体"/>
          <w:b/>
          <w:bCs/>
          <w:sz w:val="28"/>
          <w:szCs w:val="24"/>
          <w:highlight w:val="none"/>
        </w:rPr>
        <w:t>公章。格式参考见下页。</w:t>
      </w:r>
    </w:p>
    <w:p>
      <w:pPr>
        <w:rPr>
          <w:rFonts w:hint="eastAsia" w:ascii="宋体" w:hAnsi="宋体" w:cs="宋体"/>
          <w:b/>
          <w:bCs/>
          <w:sz w:val="28"/>
          <w:szCs w:val="24"/>
          <w:highlight w:val="none"/>
        </w:rPr>
      </w:pPr>
      <w:r>
        <w:rPr>
          <w:rFonts w:hint="eastAsia" w:ascii="宋体" w:hAnsi="宋体" w:cs="宋体"/>
          <w:b/>
          <w:bCs/>
          <w:sz w:val="28"/>
          <w:szCs w:val="24"/>
          <w:highlight w:val="none"/>
        </w:rPr>
        <w:br w:type="page"/>
      </w:r>
    </w:p>
    <w:p>
      <w:pPr>
        <w:pStyle w:val="6"/>
        <w:ind w:firstLine="0"/>
        <w:rPr>
          <w:rFonts w:eastAsia="宋体"/>
          <w:b/>
          <w:bCs/>
          <w:sz w:val="32"/>
          <w:szCs w:val="28"/>
          <w:highlight w:val="none"/>
        </w:rPr>
      </w:pPr>
      <w:r>
        <w:rPr>
          <w:rFonts w:hint="eastAsia"/>
          <w:b/>
          <w:bCs/>
          <w:sz w:val="32"/>
          <w:szCs w:val="28"/>
          <w:highlight w:val="none"/>
        </w:rPr>
        <w:t>附：资质证明文件格式：</w:t>
      </w:r>
    </w:p>
    <w:p>
      <w:pPr>
        <w:rPr>
          <w:rFonts w:ascii="宋体"/>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供应商</w:t>
      </w:r>
      <w:r>
        <w:rPr>
          <w:rFonts w:hint="eastAsia" w:ascii="宋体" w:hAnsi="宋体" w:cs="宋体"/>
          <w:sz w:val="24"/>
          <w:szCs w:val="24"/>
          <w:highlight w:val="none"/>
        </w:rPr>
        <w:t>符合《政府采购法》第二十二条规定条件的承诺函</w:t>
      </w:r>
    </w:p>
    <w:p>
      <w:pPr>
        <w:pStyle w:val="8"/>
        <w:spacing w:line="360" w:lineRule="auto"/>
        <w:ind w:left="0" w:leftChars="0"/>
        <w:rPr>
          <w:rFonts w:ascii="宋体"/>
          <w:sz w:val="24"/>
          <w:szCs w:val="24"/>
          <w:highlight w:val="none"/>
        </w:rPr>
      </w:pPr>
      <w:r>
        <w:rPr>
          <w:rFonts w:hint="eastAsia" w:ascii="宋体" w:hAnsi="宋体" w:cs="宋体"/>
          <w:sz w:val="24"/>
          <w:szCs w:val="24"/>
          <w:highlight w:val="none"/>
        </w:rPr>
        <w:t>致陕西万泽招标有限公司：</w:t>
      </w:r>
      <w:r>
        <w:rPr>
          <w:rFonts w:ascii="宋体" w:hAnsi="宋体" w:cs="宋体"/>
          <w:sz w:val="24"/>
          <w:szCs w:val="24"/>
          <w:highlight w:val="none"/>
        </w:rPr>
        <w:t xml:space="preserve"> </w:t>
      </w:r>
    </w:p>
    <w:p>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本公司</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（公司名称）</w:t>
      </w:r>
      <w:r>
        <w:rPr>
          <w:rFonts w:hint="eastAsia" w:ascii="宋体" w:hAnsi="宋体" w:cs="宋体"/>
          <w:sz w:val="24"/>
          <w:szCs w:val="24"/>
          <w:highlight w:val="none"/>
        </w:rPr>
        <w:t>参加</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的投标活动，现承诺：</w:t>
      </w:r>
    </w:p>
    <w:p>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我公司满足政府采购法第二十二条关于供应商的资格要求：</w:t>
      </w:r>
    </w:p>
    <w:p>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（一）具有独立承担民事责任的能力；</w:t>
      </w:r>
      <w:r>
        <w:rPr>
          <w:rFonts w:ascii="宋体" w:hAnsi="宋体" w:cs="宋体"/>
          <w:sz w:val="24"/>
          <w:szCs w:val="24"/>
          <w:highlight w:val="none"/>
        </w:rPr>
        <w:t xml:space="preserve"> </w:t>
      </w:r>
    </w:p>
    <w:p>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（二）具有良好的商业信誉和健全的财务会计制度；</w:t>
      </w:r>
      <w:r>
        <w:rPr>
          <w:rFonts w:ascii="宋体" w:hAnsi="宋体" w:cs="宋体"/>
          <w:sz w:val="24"/>
          <w:szCs w:val="24"/>
          <w:highlight w:val="none"/>
        </w:rPr>
        <w:t xml:space="preserve"> </w:t>
      </w:r>
    </w:p>
    <w:p>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（三）具有履行合同所必需的设备和专业技术能力；</w:t>
      </w:r>
      <w:r>
        <w:rPr>
          <w:rFonts w:ascii="宋体" w:hAnsi="宋体" w:cs="宋体"/>
          <w:sz w:val="24"/>
          <w:szCs w:val="24"/>
          <w:highlight w:val="none"/>
        </w:rPr>
        <w:t xml:space="preserve"> </w:t>
      </w:r>
    </w:p>
    <w:p>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（四）有依法缴纳税收的良好记录；</w:t>
      </w:r>
      <w:r>
        <w:rPr>
          <w:rFonts w:ascii="宋体" w:hAnsi="宋体" w:cs="宋体"/>
          <w:sz w:val="24"/>
          <w:szCs w:val="24"/>
          <w:highlight w:val="none"/>
        </w:rPr>
        <w:t xml:space="preserve"> </w:t>
      </w:r>
    </w:p>
    <w:p>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（五）参加政府采购活动前三年内，在经营活动中没有重大违法记录；</w:t>
      </w:r>
      <w:r>
        <w:rPr>
          <w:rFonts w:ascii="宋体" w:hAnsi="宋体" w:cs="宋体"/>
          <w:sz w:val="24"/>
          <w:szCs w:val="24"/>
          <w:highlight w:val="none"/>
        </w:rPr>
        <w:t xml:space="preserve"> </w:t>
      </w:r>
    </w:p>
    <w:p>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（六）法律、行政法规规定的其他条件。</w:t>
      </w:r>
    </w:p>
    <w:p>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同时也满足本项目法律法规规章规定关于供应商的其他资格性条件，未参与本采购项目前期咨询论证，不属于禁止参加投标的供应商。</w:t>
      </w:r>
    </w:p>
    <w:p>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如违反以上承诺，本公司愿承担一切法律责任。</w:t>
      </w:r>
    </w:p>
    <w:p>
      <w:pPr>
        <w:pStyle w:val="8"/>
        <w:spacing w:line="360" w:lineRule="auto"/>
        <w:ind w:left="0" w:leftChars="0"/>
        <w:rPr>
          <w:rFonts w:ascii="宋体"/>
          <w:sz w:val="24"/>
          <w:szCs w:val="24"/>
          <w:highlight w:val="none"/>
        </w:rPr>
      </w:pPr>
    </w:p>
    <w:p>
      <w:pPr>
        <w:spacing w:line="360" w:lineRule="auto"/>
        <w:rPr>
          <w:rFonts w:ascii="宋体"/>
          <w:sz w:val="24"/>
          <w:szCs w:val="24"/>
          <w:highlight w:val="none"/>
          <w:u w:val="singl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名称：</w:t>
      </w:r>
      <w:r>
        <w:rPr>
          <w:rFonts w:ascii="宋体" w:hAnsi="宋体" w:cs="宋体"/>
          <w:sz w:val="24"/>
          <w:szCs w:val="24"/>
          <w:highlight w:val="none"/>
          <w:u w:val="single"/>
        </w:rPr>
        <w:t xml:space="preserve">        </w:t>
      </w:r>
      <w:r>
        <w:rPr>
          <w:rFonts w:hint="eastAsia" w:ascii="宋体" w:hAnsi="宋体" w:cs="宋体"/>
          <w:sz w:val="24"/>
          <w:szCs w:val="24"/>
          <w:highlight w:val="none"/>
          <w:u w:val="single"/>
        </w:rPr>
        <w:t>（名称及盖章）</w:t>
      </w:r>
    </w:p>
    <w:p>
      <w:pPr>
        <w:spacing w:line="360" w:lineRule="auto"/>
        <w:rPr>
          <w:rFonts w:ascii="宋体"/>
          <w:sz w:val="24"/>
          <w:szCs w:val="24"/>
          <w:highlight w:val="none"/>
        </w:rPr>
      </w:pPr>
    </w:p>
    <w:p>
      <w:pPr>
        <w:spacing w:line="360" w:lineRule="auto"/>
        <w:rPr>
          <w:rFonts w:ascii="宋体"/>
          <w:sz w:val="24"/>
          <w:szCs w:val="24"/>
          <w:highlight w:val="none"/>
        </w:rPr>
      </w:pPr>
      <w:r>
        <w:rPr>
          <w:rFonts w:hint="eastAsia" w:ascii="宋体" w:hAnsi="宋体" w:cs="宋体"/>
          <w:sz w:val="24"/>
          <w:szCs w:val="24"/>
          <w:highlight w:val="none"/>
        </w:rPr>
        <w:t>法定代表人或委托代理人（签字或盖章）：</w:t>
      </w:r>
      <w:r>
        <w:rPr>
          <w:rFonts w:hAnsi="宋体"/>
          <w:sz w:val="24"/>
          <w:szCs w:val="24"/>
          <w:highlight w:val="none"/>
          <w:u w:val="single"/>
        </w:rPr>
        <w:t xml:space="preserve">   </w:t>
      </w:r>
      <w:r>
        <w:rPr>
          <w:rFonts w:hint="eastAsia" w:hAnsi="宋体"/>
          <w:sz w:val="24"/>
          <w:szCs w:val="24"/>
          <w:highlight w:val="none"/>
          <w:u w:val="single"/>
        </w:rPr>
        <w:t xml:space="preserve">            </w:t>
      </w:r>
      <w:r>
        <w:rPr>
          <w:rFonts w:hAnsi="宋体"/>
          <w:sz w:val="24"/>
          <w:szCs w:val="24"/>
          <w:highlight w:val="none"/>
          <w:u w:val="single"/>
        </w:rPr>
        <w:t xml:space="preserve">  </w:t>
      </w:r>
    </w:p>
    <w:p>
      <w:pPr>
        <w:spacing w:line="360" w:lineRule="auto"/>
        <w:rPr>
          <w:rFonts w:ascii="宋体"/>
          <w:sz w:val="24"/>
          <w:szCs w:val="24"/>
          <w:highlight w:val="none"/>
        </w:rPr>
      </w:pPr>
    </w:p>
    <w:p>
      <w:pPr>
        <w:adjustRightInd w:val="0"/>
        <w:snapToGrid w:val="0"/>
        <w:spacing w:line="480" w:lineRule="auto"/>
        <w:jc w:val="left"/>
        <w:rPr>
          <w:color w:val="000000"/>
          <w:sz w:val="24"/>
          <w:szCs w:val="24"/>
          <w:highlight w:val="none"/>
        </w:rPr>
        <w:sectPr>
          <w:pgSz w:w="11906" w:h="16838"/>
          <w:pgMar w:top="1440" w:right="1803" w:bottom="1440" w:left="1803" w:header="850" w:footer="992" w:gutter="0"/>
          <w:pgNumType w:fmt="decimal"/>
          <w:cols w:space="0" w:num="1"/>
          <w:rtlGutter w:val="1"/>
          <w:docGrid w:type="lines" w:linePitch="319" w:charSpace="0"/>
        </w:sectPr>
      </w:pPr>
      <w:r>
        <w:rPr>
          <w:rFonts w:hint="eastAsia" w:ascii="宋体" w:hAnsi="宋体" w:cs="宋体"/>
          <w:sz w:val="24"/>
          <w:szCs w:val="24"/>
          <w:highlight w:val="none"/>
        </w:rPr>
        <w:t>日期：</w:t>
      </w:r>
    </w:p>
    <w:p>
      <w:pPr>
        <w:ind w:firstLine="2240" w:firstLineChars="700"/>
        <w:rPr>
          <w:sz w:val="32"/>
          <w:szCs w:val="36"/>
          <w:highlight w:val="none"/>
        </w:rPr>
      </w:pPr>
      <w:r>
        <w:rPr>
          <w:rFonts w:hint="eastAsia"/>
          <w:sz w:val="32"/>
          <w:szCs w:val="36"/>
          <w:highlight w:val="none"/>
        </w:rPr>
        <w:t>2、供应商基本情况一览表</w:t>
      </w:r>
    </w:p>
    <w:p>
      <w:pPr>
        <w:rPr>
          <w:sz w:val="28"/>
          <w:szCs w:val="32"/>
          <w:highlight w:val="none"/>
        </w:rPr>
      </w:pPr>
      <w:r>
        <w:rPr>
          <w:rFonts w:hint="eastAsia"/>
          <w:sz w:val="24"/>
          <w:szCs w:val="28"/>
          <w:highlight w:val="none"/>
        </w:rPr>
        <w:t>2-1供应商基本情况一览表</w:t>
      </w:r>
    </w:p>
    <w:tbl>
      <w:tblPr>
        <w:tblStyle w:val="25"/>
        <w:tblW w:w="8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1016"/>
        <w:gridCol w:w="1315"/>
        <w:gridCol w:w="1324"/>
        <w:gridCol w:w="1401"/>
        <w:gridCol w:w="168"/>
        <w:gridCol w:w="734"/>
        <w:gridCol w:w="114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3" w:hRule="atLeast"/>
        </w:trPr>
        <w:tc>
          <w:tcPr>
            <w:tcW w:w="1615" w:type="dxa"/>
            <w:vAlign w:val="center"/>
          </w:tcPr>
          <w:p>
            <w:pPr>
              <w:rPr>
                <w:highlight w:val="none"/>
              </w:rPr>
            </w:pPr>
            <w:bookmarkStart w:id="186" w:name="_Toc5452"/>
            <w:bookmarkStart w:id="187" w:name="_Toc29518"/>
            <w:bookmarkStart w:id="188" w:name="_Toc15823"/>
            <w:bookmarkStart w:id="189" w:name="_Toc18556"/>
            <w:r>
              <w:rPr>
                <w:rFonts w:hint="eastAsia"/>
                <w:highlight w:val="none"/>
                <w:lang w:eastAsia="zh-CN"/>
              </w:rPr>
              <w:t>供应商</w:t>
            </w:r>
            <w:r>
              <w:rPr>
                <w:rFonts w:hint="eastAsia"/>
                <w:highlight w:val="none"/>
              </w:rPr>
              <w:t>名称</w:t>
            </w:r>
            <w:bookmarkEnd w:id="186"/>
            <w:bookmarkEnd w:id="187"/>
            <w:bookmarkEnd w:id="188"/>
            <w:bookmarkEnd w:id="189"/>
          </w:p>
        </w:tc>
        <w:tc>
          <w:tcPr>
            <w:tcW w:w="7105" w:type="dxa"/>
            <w:gridSpan w:val="7"/>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5" w:hRule="atLeast"/>
        </w:trPr>
        <w:tc>
          <w:tcPr>
            <w:tcW w:w="1615" w:type="dxa"/>
            <w:vAlign w:val="center"/>
          </w:tcPr>
          <w:p>
            <w:pPr>
              <w:rPr>
                <w:highlight w:val="none"/>
              </w:rPr>
            </w:pPr>
            <w:bookmarkStart w:id="190" w:name="_Toc26127"/>
            <w:bookmarkStart w:id="191" w:name="_Toc32432"/>
            <w:bookmarkStart w:id="192" w:name="_Toc15986"/>
            <w:bookmarkStart w:id="193" w:name="_Toc32438"/>
            <w:r>
              <w:rPr>
                <w:rFonts w:hint="eastAsia"/>
                <w:highlight w:val="none"/>
              </w:rPr>
              <w:t>注册地址</w:t>
            </w:r>
            <w:bookmarkEnd w:id="190"/>
            <w:bookmarkEnd w:id="191"/>
            <w:bookmarkEnd w:id="192"/>
            <w:bookmarkEnd w:id="193"/>
          </w:p>
        </w:tc>
        <w:tc>
          <w:tcPr>
            <w:tcW w:w="3655" w:type="dxa"/>
            <w:gridSpan w:val="3"/>
            <w:vAlign w:val="center"/>
          </w:tcPr>
          <w:p>
            <w:pPr>
              <w:rPr>
                <w:highlight w:val="none"/>
              </w:rPr>
            </w:pPr>
          </w:p>
        </w:tc>
        <w:tc>
          <w:tcPr>
            <w:tcW w:w="1401" w:type="dxa"/>
            <w:vAlign w:val="center"/>
          </w:tcPr>
          <w:p>
            <w:pPr>
              <w:rPr>
                <w:highlight w:val="none"/>
              </w:rPr>
            </w:pPr>
            <w:bookmarkStart w:id="194" w:name="_Toc5829"/>
            <w:bookmarkStart w:id="195" w:name="_Toc2965"/>
            <w:bookmarkStart w:id="196" w:name="_Toc20217"/>
            <w:bookmarkStart w:id="197" w:name="_Toc13370"/>
            <w:r>
              <w:rPr>
                <w:rFonts w:hint="eastAsia"/>
                <w:highlight w:val="none"/>
              </w:rPr>
              <w:t>邮政编码</w:t>
            </w:r>
            <w:bookmarkEnd w:id="194"/>
            <w:bookmarkEnd w:id="195"/>
            <w:bookmarkEnd w:id="196"/>
            <w:bookmarkEnd w:id="197"/>
          </w:p>
        </w:tc>
        <w:tc>
          <w:tcPr>
            <w:tcW w:w="2049" w:type="dxa"/>
            <w:gridSpan w:val="3"/>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highlight w:val="none"/>
              </w:rPr>
            </w:pPr>
            <w:bookmarkStart w:id="198" w:name="_Toc14242"/>
            <w:bookmarkStart w:id="199" w:name="_Toc29861"/>
            <w:bookmarkStart w:id="200" w:name="_Toc24152"/>
            <w:bookmarkStart w:id="201" w:name="_Toc5933"/>
            <w:r>
              <w:rPr>
                <w:rFonts w:hint="eastAsia"/>
                <w:highlight w:val="none"/>
              </w:rPr>
              <w:t>联系方式</w:t>
            </w:r>
            <w:bookmarkEnd w:id="198"/>
            <w:bookmarkEnd w:id="199"/>
            <w:bookmarkEnd w:id="200"/>
            <w:bookmarkEnd w:id="201"/>
          </w:p>
        </w:tc>
        <w:tc>
          <w:tcPr>
            <w:tcW w:w="1016" w:type="dxa"/>
            <w:vAlign w:val="center"/>
          </w:tcPr>
          <w:p>
            <w:pPr>
              <w:rPr>
                <w:highlight w:val="none"/>
              </w:rPr>
            </w:pPr>
            <w:bookmarkStart w:id="202" w:name="_Toc22630"/>
            <w:bookmarkStart w:id="203" w:name="_Toc11708"/>
            <w:bookmarkStart w:id="204" w:name="_Toc32228"/>
            <w:bookmarkStart w:id="205" w:name="_Toc23469"/>
            <w:r>
              <w:rPr>
                <w:rFonts w:hint="eastAsia"/>
                <w:highlight w:val="none"/>
              </w:rPr>
              <w:t>联系人</w:t>
            </w:r>
            <w:bookmarkEnd w:id="202"/>
            <w:bookmarkEnd w:id="203"/>
            <w:bookmarkEnd w:id="204"/>
            <w:bookmarkEnd w:id="205"/>
          </w:p>
        </w:tc>
        <w:tc>
          <w:tcPr>
            <w:tcW w:w="2639" w:type="dxa"/>
            <w:gridSpan w:val="2"/>
            <w:vAlign w:val="center"/>
          </w:tcPr>
          <w:p>
            <w:pPr>
              <w:rPr>
                <w:highlight w:val="none"/>
              </w:rPr>
            </w:pPr>
          </w:p>
        </w:tc>
        <w:tc>
          <w:tcPr>
            <w:tcW w:w="1401" w:type="dxa"/>
            <w:vAlign w:val="center"/>
          </w:tcPr>
          <w:p>
            <w:pPr>
              <w:rPr>
                <w:highlight w:val="none"/>
              </w:rPr>
            </w:pPr>
            <w:bookmarkStart w:id="206" w:name="_Toc29495"/>
            <w:bookmarkStart w:id="207" w:name="_Toc28825"/>
            <w:bookmarkStart w:id="208" w:name="_Toc31524"/>
            <w:bookmarkStart w:id="209" w:name="_Toc22121"/>
            <w:r>
              <w:rPr>
                <w:rFonts w:hint="eastAsia"/>
                <w:highlight w:val="none"/>
              </w:rPr>
              <w:t>电话</w:t>
            </w:r>
            <w:bookmarkEnd w:id="206"/>
            <w:bookmarkEnd w:id="207"/>
            <w:bookmarkEnd w:id="208"/>
            <w:bookmarkEnd w:id="209"/>
          </w:p>
        </w:tc>
        <w:tc>
          <w:tcPr>
            <w:tcW w:w="2049" w:type="dxa"/>
            <w:gridSpan w:val="3"/>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highlight w:val="none"/>
              </w:rPr>
            </w:pPr>
            <w:bookmarkStart w:id="210" w:name="_Toc27355"/>
            <w:bookmarkStart w:id="211" w:name="_Toc21326"/>
            <w:bookmarkStart w:id="212" w:name="_Toc12754"/>
            <w:bookmarkStart w:id="213" w:name="_Toc8331"/>
            <w:r>
              <w:rPr>
                <w:rFonts w:hint="eastAsia"/>
                <w:highlight w:val="none"/>
              </w:rPr>
              <w:t>组织结构</w:t>
            </w:r>
            <w:bookmarkEnd w:id="210"/>
            <w:bookmarkEnd w:id="211"/>
            <w:bookmarkEnd w:id="212"/>
            <w:bookmarkEnd w:id="213"/>
          </w:p>
        </w:tc>
        <w:tc>
          <w:tcPr>
            <w:tcW w:w="7105" w:type="dxa"/>
            <w:gridSpan w:val="7"/>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615" w:type="dxa"/>
            <w:vAlign w:val="center"/>
          </w:tcPr>
          <w:p>
            <w:pPr>
              <w:rPr>
                <w:highlight w:val="none"/>
              </w:rPr>
            </w:pPr>
            <w:bookmarkStart w:id="214" w:name="_Toc28736"/>
            <w:bookmarkStart w:id="215" w:name="_Toc22082"/>
            <w:bookmarkStart w:id="216" w:name="_Toc29110"/>
            <w:bookmarkStart w:id="217" w:name="_Toc5018"/>
            <w:r>
              <w:rPr>
                <w:rFonts w:hint="eastAsia"/>
                <w:highlight w:val="none"/>
              </w:rPr>
              <w:t>法定代表人</w:t>
            </w:r>
            <w:bookmarkEnd w:id="214"/>
            <w:bookmarkEnd w:id="215"/>
            <w:bookmarkEnd w:id="216"/>
            <w:bookmarkEnd w:id="217"/>
          </w:p>
        </w:tc>
        <w:tc>
          <w:tcPr>
            <w:tcW w:w="1016" w:type="dxa"/>
            <w:vAlign w:val="center"/>
          </w:tcPr>
          <w:p>
            <w:pPr>
              <w:rPr>
                <w:highlight w:val="none"/>
              </w:rPr>
            </w:pPr>
            <w:bookmarkStart w:id="218" w:name="_Toc429"/>
            <w:bookmarkStart w:id="219" w:name="_Toc8313"/>
            <w:bookmarkStart w:id="220" w:name="_Toc24566"/>
            <w:bookmarkStart w:id="221" w:name="_Toc3509"/>
            <w:r>
              <w:rPr>
                <w:rFonts w:hint="eastAsia"/>
                <w:highlight w:val="none"/>
              </w:rPr>
              <w:t>姓名</w:t>
            </w:r>
            <w:bookmarkEnd w:id="218"/>
            <w:bookmarkEnd w:id="219"/>
            <w:bookmarkEnd w:id="220"/>
            <w:bookmarkEnd w:id="221"/>
          </w:p>
        </w:tc>
        <w:tc>
          <w:tcPr>
            <w:tcW w:w="1315" w:type="dxa"/>
            <w:vAlign w:val="center"/>
          </w:tcPr>
          <w:p>
            <w:pPr>
              <w:rPr>
                <w:highlight w:val="none"/>
              </w:rPr>
            </w:pPr>
          </w:p>
        </w:tc>
        <w:tc>
          <w:tcPr>
            <w:tcW w:w="1324" w:type="dxa"/>
            <w:vAlign w:val="center"/>
          </w:tcPr>
          <w:p>
            <w:pPr>
              <w:rPr>
                <w:highlight w:val="none"/>
              </w:rPr>
            </w:pPr>
            <w:bookmarkStart w:id="222" w:name="_Toc11392"/>
            <w:bookmarkStart w:id="223" w:name="_Toc5089"/>
            <w:bookmarkStart w:id="224" w:name="_Toc2791"/>
            <w:bookmarkStart w:id="225" w:name="_Toc552"/>
            <w:r>
              <w:rPr>
                <w:rFonts w:hint="eastAsia"/>
                <w:highlight w:val="none"/>
              </w:rPr>
              <w:t>技术职称</w:t>
            </w:r>
            <w:bookmarkEnd w:id="222"/>
            <w:bookmarkEnd w:id="223"/>
            <w:bookmarkEnd w:id="224"/>
            <w:bookmarkEnd w:id="225"/>
          </w:p>
        </w:tc>
        <w:tc>
          <w:tcPr>
            <w:tcW w:w="1401" w:type="dxa"/>
            <w:vAlign w:val="center"/>
          </w:tcPr>
          <w:p>
            <w:pPr>
              <w:rPr>
                <w:highlight w:val="none"/>
              </w:rPr>
            </w:pPr>
          </w:p>
        </w:tc>
        <w:tc>
          <w:tcPr>
            <w:tcW w:w="902" w:type="dxa"/>
            <w:gridSpan w:val="2"/>
            <w:vAlign w:val="center"/>
          </w:tcPr>
          <w:p>
            <w:pPr>
              <w:rPr>
                <w:highlight w:val="none"/>
              </w:rPr>
            </w:pPr>
            <w:bookmarkStart w:id="226" w:name="_Toc24036"/>
            <w:bookmarkStart w:id="227" w:name="_Toc18413"/>
            <w:bookmarkStart w:id="228" w:name="_Toc21732"/>
            <w:bookmarkStart w:id="229" w:name="_Toc15179"/>
            <w:r>
              <w:rPr>
                <w:rFonts w:hint="eastAsia"/>
                <w:highlight w:val="none"/>
              </w:rPr>
              <w:t>电话</w:t>
            </w:r>
            <w:bookmarkEnd w:id="226"/>
            <w:bookmarkEnd w:id="227"/>
            <w:bookmarkEnd w:id="228"/>
            <w:bookmarkEnd w:id="229"/>
          </w:p>
        </w:tc>
        <w:tc>
          <w:tcPr>
            <w:tcW w:w="1147" w:type="dxa"/>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615" w:type="dxa"/>
            <w:vAlign w:val="center"/>
          </w:tcPr>
          <w:p>
            <w:pPr>
              <w:rPr>
                <w:highlight w:val="none"/>
              </w:rPr>
            </w:pPr>
            <w:bookmarkStart w:id="230" w:name="_Toc832"/>
            <w:bookmarkStart w:id="231" w:name="_Toc30758"/>
            <w:bookmarkStart w:id="232" w:name="_Toc18654"/>
            <w:bookmarkStart w:id="233" w:name="_Toc6397"/>
            <w:r>
              <w:rPr>
                <w:rFonts w:hint="eastAsia"/>
                <w:highlight w:val="none"/>
              </w:rPr>
              <w:t>技术负责人</w:t>
            </w:r>
            <w:bookmarkEnd w:id="230"/>
            <w:bookmarkEnd w:id="231"/>
            <w:bookmarkEnd w:id="232"/>
            <w:bookmarkEnd w:id="233"/>
          </w:p>
        </w:tc>
        <w:tc>
          <w:tcPr>
            <w:tcW w:w="1016" w:type="dxa"/>
            <w:vAlign w:val="center"/>
          </w:tcPr>
          <w:p>
            <w:pPr>
              <w:rPr>
                <w:highlight w:val="none"/>
              </w:rPr>
            </w:pPr>
            <w:bookmarkStart w:id="234" w:name="_Toc32237"/>
            <w:bookmarkStart w:id="235" w:name="_Toc17841"/>
            <w:bookmarkStart w:id="236" w:name="_Toc6829"/>
            <w:bookmarkStart w:id="237" w:name="_Toc5794"/>
            <w:r>
              <w:rPr>
                <w:rFonts w:hint="eastAsia"/>
                <w:highlight w:val="none"/>
              </w:rPr>
              <w:t>姓名</w:t>
            </w:r>
            <w:bookmarkEnd w:id="234"/>
            <w:bookmarkEnd w:id="235"/>
            <w:bookmarkEnd w:id="236"/>
            <w:bookmarkEnd w:id="237"/>
          </w:p>
        </w:tc>
        <w:tc>
          <w:tcPr>
            <w:tcW w:w="1315" w:type="dxa"/>
            <w:vAlign w:val="center"/>
          </w:tcPr>
          <w:p>
            <w:pPr>
              <w:rPr>
                <w:highlight w:val="none"/>
              </w:rPr>
            </w:pPr>
          </w:p>
        </w:tc>
        <w:tc>
          <w:tcPr>
            <w:tcW w:w="1324" w:type="dxa"/>
            <w:vAlign w:val="center"/>
          </w:tcPr>
          <w:p>
            <w:pPr>
              <w:rPr>
                <w:highlight w:val="none"/>
              </w:rPr>
            </w:pPr>
            <w:bookmarkStart w:id="238" w:name="_Toc17957"/>
            <w:bookmarkStart w:id="239" w:name="_Toc25207"/>
            <w:bookmarkStart w:id="240" w:name="_Toc25059"/>
            <w:bookmarkStart w:id="241" w:name="_Toc27222"/>
            <w:r>
              <w:rPr>
                <w:rFonts w:hint="eastAsia"/>
                <w:highlight w:val="none"/>
              </w:rPr>
              <w:t>技术职称</w:t>
            </w:r>
            <w:bookmarkEnd w:id="238"/>
            <w:bookmarkEnd w:id="239"/>
            <w:bookmarkEnd w:id="240"/>
            <w:bookmarkEnd w:id="241"/>
          </w:p>
        </w:tc>
        <w:tc>
          <w:tcPr>
            <w:tcW w:w="1401" w:type="dxa"/>
            <w:vAlign w:val="center"/>
          </w:tcPr>
          <w:p>
            <w:pPr>
              <w:rPr>
                <w:highlight w:val="none"/>
              </w:rPr>
            </w:pPr>
          </w:p>
        </w:tc>
        <w:tc>
          <w:tcPr>
            <w:tcW w:w="902" w:type="dxa"/>
            <w:gridSpan w:val="2"/>
            <w:vAlign w:val="center"/>
          </w:tcPr>
          <w:p>
            <w:pPr>
              <w:rPr>
                <w:highlight w:val="none"/>
              </w:rPr>
            </w:pPr>
            <w:bookmarkStart w:id="242" w:name="_Toc321"/>
            <w:bookmarkStart w:id="243" w:name="_Toc26943"/>
            <w:bookmarkStart w:id="244" w:name="_Toc12165"/>
            <w:bookmarkStart w:id="245" w:name="_Toc14501"/>
            <w:r>
              <w:rPr>
                <w:rFonts w:hint="eastAsia"/>
                <w:highlight w:val="none"/>
              </w:rPr>
              <w:t>电话</w:t>
            </w:r>
            <w:bookmarkEnd w:id="242"/>
            <w:bookmarkEnd w:id="243"/>
            <w:bookmarkEnd w:id="244"/>
            <w:bookmarkEnd w:id="245"/>
          </w:p>
        </w:tc>
        <w:tc>
          <w:tcPr>
            <w:tcW w:w="1147" w:type="dxa"/>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highlight w:val="none"/>
              </w:rPr>
            </w:pPr>
            <w:bookmarkStart w:id="246" w:name="_Toc13190"/>
            <w:bookmarkStart w:id="247" w:name="_Toc1183"/>
            <w:bookmarkStart w:id="248" w:name="_Toc5056"/>
            <w:bookmarkStart w:id="249" w:name="_Toc15849"/>
            <w:r>
              <w:rPr>
                <w:rFonts w:hint="eastAsia"/>
                <w:highlight w:val="none"/>
              </w:rPr>
              <w:t>成立时间</w:t>
            </w:r>
            <w:bookmarkEnd w:id="246"/>
            <w:bookmarkEnd w:id="247"/>
            <w:bookmarkEnd w:id="248"/>
            <w:bookmarkEnd w:id="249"/>
          </w:p>
        </w:tc>
        <w:tc>
          <w:tcPr>
            <w:tcW w:w="2331" w:type="dxa"/>
            <w:gridSpan w:val="2"/>
            <w:vAlign w:val="center"/>
          </w:tcPr>
          <w:p>
            <w:pPr>
              <w:rPr>
                <w:highlight w:val="none"/>
              </w:rPr>
            </w:pPr>
          </w:p>
        </w:tc>
        <w:tc>
          <w:tcPr>
            <w:tcW w:w="4774" w:type="dxa"/>
            <w:gridSpan w:val="5"/>
            <w:vAlign w:val="center"/>
          </w:tcPr>
          <w:p>
            <w:pPr>
              <w:rPr>
                <w:highlight w:val="none"/>
              </w:rPr>
            </w:pPr>
            <w:bookmarkStart w:id="250" w:name="_Toc9920"/>
            <w:bookmarkStart w:id="251" w:name="_Toc23476"/>
            <w:bookmarkStart w:id="252" w:name="_Toc7458"/>
            <w:bookmarkStart w:id="253" w:name="_Toc5918"/>
            <w:r>
              <w:rPr>
                <w:rFonts w:hint="eastAsia"/>
                <w:highlight w:val="none"/>
              </w:rPr>
              <w:t>员工总人数：</w:t>
            </w:r>
            <w:bookmarkEnd w:id="250"/>
            <w:bookmarkEnd w:id="251"/>
            <w:bookmarkEnd w:id="252"/>
            <w:bookmarkEnd w:id="253"/>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highlight w:val="none"/>
              </w:rPr>
            </w:pPr>
            <w:bookmarkStart w:id="254" w:name="_Toc19832"/>
            <w:bookmarkStart w:id="255" w:name="_Toc2495"/>
            <w:bookmarkStart w:id="256" w:name="_Toc13811"/>
            <w:bookmarkStart w:id="257" w:name="_Toc24347"/>
            <w:r>
              <w:rPr>
                <w:rFonts w:hint="eastAsia"/>
                <w:highlight w:val="none"/>
              </w:rPr>
              <w:t>营业执照号</w:t>
            </w:r>
            <w:bookmarkEnd w:id="254"/>
            <w:bookmarkEnd w:id="255"/>
            <w:bookmarkEnd w:id="256"/>
            <w:bookmarkEnd w:id="257"/>
          </w:p>
        </w:tc>
        <w:tc>
          <w:tcPr>
            <w:tcW w:w="2331" w:type="dxa"/>
            <w:gridSpan w:val="2"/>
            <w:vAlign w:val="center"/>
          </w:tcPr>
          <w:p>
            <w:pPr>
              <w:rPr>
                <w:highlight w:val="none"/>
              </w:rPr>
            </w:pPr>
          </w:p>
        </w:tc>
        <w:tc>
          <w:tcPr>
            <w:tcW w:w="1324" w:type="dxa"/>
            <w:vMerge w:val="restart"/>
            <w:vAlign w:val="center"/>
          </w:tcPr>
          <w:p>
            <w:pPr>
              <w:rPr>
                <w:highlight w:val="none"/>
              </w:rPr>
            </w:pPr>
            <w:r>
              <w:rPr>
                <w:rFonts w:hint="eastAsia"/>
                <w:highlight w:val="none"/>
              </w:rPr>
              <w:t>其中</w:t>
            </w:r>
          </w:p>
        </w:tc>
        <w:tc>
          <w:tcPr>
            <w:tcW w:w="1569" w:type="dxa"/>
            <w:gridSpan w:val="2"/>
            <w:vAlign w:val="center"/>
          </w:tcPr>
          <w:p>
            <w:pPr>
              <w:rPr>
                <w:highlight w:val="none"/>
              </w:rPr>
            </w:pPr>
            <w:bookmarkStart w:id="258" w:name="_Toc16273"/>
            <w:bookmarkStart w:id="259" w:name="_Toc19894"/>
            <w:bookmarkStart w:id="260" w:name="_Toc15246"/>
            <w:bookmarkStart w:id="261" w:name="_Toc13361"/>
            <w:r>
              <w:rPr>
                <w:rFonts w:hint="eastAsia"/>
                <w:highlight w:val="none"/>
              </w:rPr>
              <w:t>高级职称人员</w:t>
            </w:r>
            <w:bookmarkEnd w:id="258"/>
            <w:bookmarkEnd w:id="259"/>
            <w:bookmarkEnd w:id="260"/>
            <w:bookmarkEnd w:id="261"/>
          </w:p>
        </w:tc>
        <w:tc>
          <w:tcPr>
            <w:tcW w:w="1881" w:type="dxa"/>
            <w:gridSpan w:val="2"/>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highlight w:val="none"/>
              </w:rPr>
            </w:pPr>
            <w:bookmarkStart w:id="262" w:name="_Toc20237"/>
            <w:bookmarkStart w:id="263" w:name="_Toc30242"/>
            <w:bookmarkStart w:id="264" w:name="_Toc12522"/>
            <w:bookmarkStart w:id="265" w:name="_Toc3476"/>
            <w:r>
              <w:rPr>
                <w:rFonts w:hint="eastAsia"/>
                <w:highlight w:val="none"/>
              </w:rPr>
              <w:t>注册资金</w:t>
            </w:r>
            <w:bookmarkEnd w:id="262"/>
            <w:bookmarkEnd w:id="263"/>
            <w:bookmarkEnd w:id="264"/>
            <w:bookmarkEnd w:id="265"/>
          </w:p>
        </w:tc>
        <w:tc>
          <w:tcPr>
            <w:tcW w:w="2331" w:type="dxa"/>
            <w:gridSpan w:val="2"/>
            <w:vAlign w:val="center"/>
          </w:tcPr>
          <w:p>
            <w:pPr>
              <w:rPr>
                <w:highlight w:val="none"/>
              </w:rPr>
            </w:pPr>
          </w:p>
        </w:tc>
        <w:tc>
          <w:tcPr>
            <w:tcW w:w="1324" w:type="dxa"/>
            <w:vMerge w:val="continue"/>
            <w:vAlign w:val="center"/>
          </w:tcPr>
          <w:p>
            <w:pPr>
              <w:rPr>
                <w:highlight w:val="none"/>
              </w:rPr>
            </w:pPr>
          </w:p>
        </w:tc>
        <w:tc>
          <w:tcPr>
            <w:tcW w:w="1569" w:type="dxa"/>
            <w:gridSpan w:val="2"/>
            <w:vAlign w:val="center"/>
          </w:tcPr>
          <w:p>
            <w:pPr>
              <w:rPr>
                <w:highlight w:val="none"/>
              </w:rPr>
            </w:pPr>
            <w:bookmarkStart w:id="266" w:name="_Toc1834"/>
            <w:bookmarkStart w:id="267" w:name="_Toc16642"/>
            <w:bookmarkStart w:id="268" w:name="_Toc7916"/>
            <w:bookmarkStart w:id="269" w:name="_Toc30244"/>
            <w:r>
              <w:rPr>
                <w:rFonts w:hint="eastAsia"/>
                <w:highlight w:val="none"/>
              </w:rPr>
              <w:t>中级职称人员</w:t>
            </w:r>
            <w:bookmarkEnd w:id="266"/>
            <w:bookmarkEnd w:id="267"/>
            <w:bookmarkEnd w:id="268"/>
            <w:bookmarkEnd w:id="269"/>
          </w:p>
        </w:tc>
        <w:tc>
          <w:tcPr>
            <w:tcW w:w="1881" w:type="dxa"/>
            <w:gridSpan w:val="2"/>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highlight w:val="none"/>
              </w:rPr>
            </w:pPr>
            <w:bookmarkStart w:id="270" w:name="_Toc24406"/>
            <w:bookmarkStart w:id="271" w:name="_Toc18512"/>
            <w:bookmarkStart w:id="272" w:name="_Toc17149"/>
            <w:bookmarkStart w:id="273" w:name="_Toc21663"/>
            <w:r>
              <w:rPr>
                <w:rFonts w:hint="eastAsia"/>
                <w:highlight w:val="none"/>
              </w:rPr>
              <w:t>开户银行</w:t>
            </w:r>
            <w:bookmarkEnd w:id="270"/>
            <w:bookmarkEnd w:id="271"/>
            <w:bookmarkEnd w:id="272"/>
            <w:bookmarkEnd w:id="273"/>
          </w:p>
        </w:tc>
        <w:tc>
          <w:tcPr>
            <w:tcW w:w="2331" w:type="dxa"/>
            <w:gridSpan w:val="2"/>
            <w:vAlign w:val="center"/>
          </w:tcPr>
          <w:p>
            <w:pPr>
              <w:rPr>
                <w:highlight w:val="none"/>
              </w:rPr>
            </w:pPr>
          </w:p>
        </w:tc>
        <w:tc>
          <w:tcPr>
            <w:tcW w:w="1324" w:type="dxa"/>
            <w:vMerge w:val="continue"/>
            <w:vAlign w:val="center"/>
          </w:tcPr>
          <w:p>
            <w:pPr>
              <w:rPr>
                <w:highlight w:val="none"/>
              </w:rPr>
            </w:pPr>
          </w:p>
        </w:tc>
        <w:tc>
          <w:tcPr>
            <w:tcW w:w="1569" w:type="dxa"/>
            <w:gridSpan w:val="2"/>
            <w:vAlign w:val="center"/>
          </w:tcPr>
          <w:p>
            <w:pPr>
              <w:rPr>
                <w:highlight w:val="none"/>
              </w:rPr>
            </w:pPr>
            <w:bookmarkStart w:id="274" w:name="_Toc23409"/>
            <w:bookmarkStart w:id="275" w:name="_Toc15110"/>
            <w:bookmarkStart w:id="276" w:name="_Toc24761"/>
            <w:bookmarkStart w:id="277" w:name="_Toc12330"/>
            <w:r>
              <w:rPr>
                <w:rFonts w:hint="eastAsia"/>
                <w:highlight w:val="none"/>
              </w:rPr>
              <w:t>初级职称人员</w:t>
            </w:r>
            <w:bookmarkEnd w:id="274"/>
            <w:bookmarkEnd w:id="275"/>
            <w:bookmarkEnd w:id="276"/>
            <w:bookmarkEnd w:id="277"/>
          </w:p>
        </w:tc>
        <w:tc>
          <w:tcPr>
            <w:tcW w:w="1881" w:type="dxa"/>
            <w:gridSpan w:val="2"/>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trPr>
        <w:tc>
          <w:tcPr>
            <w:tcW w:w="1615" w:type="dxa"/>
            <w:vAlign w:val="center"/>
          </w:tcPr>
          <w:p>
            <w:pPr>
              <w:rPr>
                <w:highlight w:val="none"/>
              </w:rPr>
            </w:pPr>
            <w:bookmarkStart w:id="278" w:name="_Toc11996"/>
            <w:bookmarkStart w:id="279" w:name="_Toc19211"/>
            <w:bookmarkStart w:id="280" w:name="_Toc7482"/>
            <w:bookmarkStart w:id="281" w:name="_Toc7855"/>
            <w:r>
              <w:rPr>
                <w:rFonts w:hint="eastAsia"/>
                <w:highlight w:val="none"/>
              </w:rPr>
              <w:t>账号</w:t>
            </w:r>
            <w:bookmarkEnd w:id="278"/>
            <w:bookmarkEnd w:id="279"/>
            <w:bookmarkEnd w:id="280"/>
            <w:bookmarkEnd w:id="281"/>
          </w:p>
        </w:tc>
        <w:tc>
          <w:tcPr>
            <w:tcW w:w="2331" w:type="dxa"/>
            <w:gridSpan w:val="2"/>
            <w:vAlign w:val="center"/>
          </w:tcPr>
          <w:p>
            <w:pPr>
              <w:rPr>
                <w:highlight w:val="none"/>
              </w:rPr>
            </w:pPr>
          </w:p>
        </w:tc>
        <w:tc>
          <w:tcPr>
            <w:tcW w:w="1324" w:type="dxa"/>
            <w:vMerge w:val="continue"/>
            <w:vAlign w:val="center"/>
          </w:tcPr>
          <w:p>
            <w:pPr>
              <w:rPr>
                <w:highlight w:val="none"/>
              </w:rPr>
            </w:pPr>
          </w:p>
        </w:tc>
        <w:tc>
          <w:tcPr>
            <w:tcW w:w="1569" w:type="dxa"/>
            <w:gridSpan w:val="2"/>
            <w:vAlign w:val="center"/>
          </w:tcPr>
          <w:p>
            <w:pPr>
              <w:rPr>
                <w:highlight w:val="none"/>
              </w:rPr>
            </w:pPr>
            <w:bookmarkStart w:id="282" w:name="_Toc10662"/>
            <w:bookmarkStart w:id="283" w:name="_Toc16123"/>
            <w:bookmarkStart w:id="284" w:name="_Toc7296"/>
            <w:bookmarkStart w:id="285" w:name="_Toc23890"/>
            <w:r>
              <w:rPr>
                <w:rFonts w:hint="eastAsia"/>
                <w:highlight w:val="none"/>
              </w:rPr>
              <w:t>技 工</w:t>
            </w:r>
            <w:bookmarkEnd w:id="282"/>
            <w:bookmarkEnd w:id="283"/>
            <w:bookmarkEnd w:id="284"/>
            <w:bookmarkEnd w:id="285"/>
          </w:p>
        </w:tc>
        <w:tc>
          <w:tcPr>
            <w:tcW w:w="1881" w:type="dxa"/>
            <w:gridSpan w:val="2"/>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atLeast"/>
        </w:trPr>
        <w:tc>
          <w:tcPr>
            <w:tcW w:w="1615" w:type="dxa"/>
            <w:vAlign w:val="center"/>
          </w:tcPr>
          <w:p>
            <w:pPr>
              <w:rPr>
                <w:highlight w:val="none"/>
              </w:rPr>
            </w:pPr>
            <w:bookmarkStart w:id="286" w:name="_Toc30075"/>
            <w:bookmarkStart w:id="287" w:name="_Toc19840"/>
            <w:bookmarkStart w:id="288" w:name="_Toc516"/>
            <w:bookmarkStart w:id="289" w:name="_Toc2745"/>
            <w:r>
              <w:rPr>
                <w:rFonts w:hint="eastAsia"/>
                <w:highlight w:val="none"/>
              </w:rPr>
              <w:t>经营范围</w:t>
            </w:r>
            <w:bookmarkEnd w:id="286"/>
            <w:bookmarkEnd w:id="287"/>
            <w:bookmarkEnd w:id="288"/>
            <w:bookmarkEnd w:id="289"/>
          </w:p>
        </w:tc>
        <w:tc>
          <w:tcPr>
            <w:tcW w:w="7105" w:type="dxa"/>
            <w:gridSpan w:val="7"/>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1615" w:type="dxa"/>
          </w:tcPr>
          <w:p>
            <w:pPr>
              <w:rPr>
                <w:highlight w:val="none"/>
              </w:rPr>
            </w:pPr>
            <w:bookmarkStart w:id="290" w:name="_Toc26754"/>
            <w:bookmarkStart w:id="291" w:name="_Toc12320"/>
            <w:bookmarkStart w:id="292" w:name="_Toc22690"/>
            <w:bookmarkStart w:id="293" w:name="_Toc19290"/>
            <w:r>
              <w:rPr>
                <w:rFonts w:hint="eastAsia"/>
                <w:highlight w:val="none"/>
              </w:rPr>
              <w:t>备注</w:t>
            </w:r>
            <w:bookmarkEnd w:id="290"/>
            <w:bookmarkEnd w:id="291"/>
            <w:bookmarkEnd w:id="292"/>
            <w:bookmarkEnd w:id="293"/>
          </w:p>
        </w:tc>
        <w:tc>
          <w:tcPr>
            <w:tcW w:w="7105" w:type="dxa"/>
            <w:gridSpan w:val="7"/>
          </w:tcPr>
          <w:p>
            <w:pPr>
              <w:rPr>
                <w:highlight w:val="none"/>
              </w:rPr>
            </w:pPr>
          </w:p>
        </w:tc>
      </w:tr>
    </w:tbl>
    <w:p>
      <w:pPr>
        <w:rPr>
          <w:highlight w:val="none"/>
        </w:rPr>
      </w:pPr>
    </w:p>
    <w:p>
      <w:pPr>
        <w:spacing w:line="360" w:lineRule="auto"/>
        <w:rPr>
          <w:rFonts w:ascii="宋体" w:hAnsi="宋体" w:cs="宋体"/>
          <w:sz w:val="24"/>
          <w:szCs w:val="24"/>
          <w:highlight w:val="none"/>
        </w:rPr>
      </w:pPr>
    </w:p>
    <w:p>
      <w:pPr>
        <w:spacing w:line="360" w:lineRule="auto"/>
        <w:rPr>
          <w:rFonts w:hAnsi="宋体"/>
          <w:sz w:val="24"/>
          <w:szCs w:val="24"/>
          <w:highlight w:val="none"/>
          <w:u w:val="single"/>
        </w:rPr>
      </w:pPr>
      <w:r>
        <w:rPr>
          <w:rFonts w:hint="eastAsia" w:ascii="宋体" w:hAnsi="宋体" w:cs="宋体"/>
          <w:sz w:val="24"/>
          <w:szCs w:val="24"/>
          <w:highlight w:val="none"/>
        </w:rPr>
        <w:t xml:space="preserve"> </w:t>
      </w:r>
      <w:r>
        <w:rPr>
          <w:rFonts w:hint="eastAsia" w:hAnsi="宋体"/>
          <w:sz w:val="24"/>
          <w:szCs w:val="24"/>
          <w:highlight w:val="none"/>
          <w:u w:val="single"/>
        </w:rPr>
        <w:t xml:space="preserve">             </w:t>
      </w:r>
      <w:r>
        <w:rPr>
          <w:rFonts w:hAnsi="宋体"/>
          <w:sz w:val="24"/>
          <w:szCs w:val="24"/>
          <w:highlight w:val="none"/>
          <w:u w:val="single"/>
        </w:rPr>
        <w:t xml:space="preserve">    </w:t>
      </w:r>
    </w:p>
    <w:p>
      <w:pPr>
        <w:rPr>
          <w:rFonts w:hint="eastAsia"/>
          <w:b/>
          <w:bCs/>
          <w:highlight w:val="none"/>
        </w:rPr>
      </w:pPr>
      <w:r>
        <w:rPr>
          <w:rFonts w:hint="eastAsia" w:ascii="宋体" w:hAnsi="宋体" w:cs="宋体"/>
          <w:b/>
          <w:bCs/>
          <w:sz w:val="24"/>
          <w:szCs w:val="24"/>
          <w:highlight w:val="none"/>
        </w:rPr>
        <w:t>2-2供应商营业执照等资质证明材料</w:t>
      </w:r>
      <w:r>
        <w:rPr>
          <w:rFonts w:hint="eastAsia"/>
          <w:b/>
          <w:bCs/>
          <w:highlight w:val="none"/>
        </w:rPr>
        <w:t>。</w:t>
      </w:r>
      <w:r>
        <w:rPr>
          <w:rFonts w:hint="eastAsia"/>
          <w:b/>
          <w:bCs/>
          <w:highlight w:val="none"/>
        </w:rPr>
        <w:br w:type="page"/>
      </w:r>
    </w:p>
    <w:p>
      <w:pPr>
        <w:rPr>
          <w:sz w:val="32"/>
          <w:szCs w:val="36"/>
          <w:highlight w:val="none"/>
        </w:rPr>
      </w:pPr>
      <w:r>
        <w:rPr>
          <w:rFonts w:hint="eastAsia"/>
          <w:sz w:val="32"/>
          <w:szCs w:val="36"/>
          <w:highlight w:val="none"/>
        </w:rPr>
        <w:t>3、法定代表人证明书及法定代表人授权书</w:t>
      </w:r>
    </w:p>
    <w:p>
      <w:pPr>
        <w:jc w:val="left"/>
        <w:rPr>
          <w:b/>
          <w:bCs/>
          <w:highlight w:val="none"/>
        </w:rPr>
      </w:pPr>
      <w:r>
        <w:rPr>
          <w:rFonts w:hint="eastAsia"/>
          <w:sz w:val="28"/>
          <w:szCs w:val="32"/>
          <w:highlight w:val="none"/>
        </w:rPr>
        <w:t>3-1法定代表人证明书</w:t>
      </w:r>
    </w:p>
    <w:tbl>
      <w:tblPr>
        <w:tblStyle w:val="25"/>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38" w:type="dxa"/>
            <w:gridSpan w:val="6"/>
            <w:vAlign w:val="center"/>
          </w:tcPr>
          <w:p>
            <w:pPr>
              <w:tabs>
                <w:tab w:val="left" w:pos="210"/>
              </w:tabs>
              <w:spacing w:line="360" w:lineRule="auto"/>
              <w:jc w:val="left"/>
              <w:rPr>
                <w:rFonts w:ascii="宋体" w:hAnsi="宋体" w:cs="宋体"/>
                <w:kern w:val="0"/>
                <w:szCs w:val="21"/>
                <w:highlight w:val="none"/>
              </w:rPr>
            </w:pPr>
            <w:r>
              <w:rPr>
                <w:rFonts w:hint="eastAsia" w:ascii="宋体" w:hAnsi="宋体" w:cs="宋体"/>
                <w:kern w:val="0"/>
                <w:szCs w:val="21"/>
                <w:highlight w:val="none"/>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企</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业</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法</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人</w:t>
            </w: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企业名称</w:t>
            </w:r>
          </w:p>
        </w:tc>
        <w:tc>
          <w:tcPr>
            <w:tcW w:w="6184" w:type="dxa"/>
            <w:gridSpan w:val="4"/>
            <w:vAlign w:val="center"/>
          </w:tcPr>
          <w:p>
            <w:pPr>
              <w:tabs>
                <w:tab w:val="left" w:pos="210"/>
              </w:tabs>
              <w:spacing w:line="360" w:lineRule="auto"/>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法定地址</w:t>
            </w:r>
          </w:p>
        </w:tc>
        <w:tc>
          <w:tcPr>
            <w:tcW w:w="6184" w:type="dxa"/>
            <w:gridSpan w:val="4"/>
            <w:vAlign w:val="center"/>
          </w:tcPr>
          <w:p>
            <w:pPr>
              <w:tabs>
                <w:tab w:val="left" w:pos="210"/>
              </w:tabs>
              <w:spacing w:line="360" w:lineRule="auto"/>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注册资金</w:t>
            </w:r>
          </w:p>
        </w:tc>
        <w:tc>
          <w:tcPr>
            <w:tcW w:w="6184" w:type="dxa"/>
            <w:gridSpan w:val="4"/>
            <w:vAlign w:val="center"/>
          </w:tcPr>
          <w:p>
            <w:pPr>
              <w:tabs>
                <w:tab w:val="left" w:pos="210"/>
              </w:tabs>
              <w:spacing w:line="360" w:lineRule="auto"/>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工商登记机关</w:t>
            </w:r>
          </w:p>
        </w:tc>
        <w:tc>
          <w:tcPr>
            <w:tcW w:w="6184" w:type="dxa"/>
            <w:gridSpan w:val="4"/>
            <w:vAlign w:val="center"/>
          </w:tcPr>
          <w:p>
            <w:pPr>
              <w:tabs>
                <w:tab w:val="left" w:pos="210"/>
              </w:tabs>
              <w:spacing w:line="360" w:lineRule="auto"/>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统一社会信用代码</w:t>
            </w:r>
          </w:p>
        </w:tc>
        <w:tc>
          <w:tcPr>
            <w:tcW w:w="6184" w:type="dxa"/>
            <w:gridSpan w:val="4"/>
            <w:vAlign w:val="center"/>
          </w:tcPr>
          <w:p>
            <w:pPr>
              <w:tabs>
                <w:tab w:val="left" w:pos="210"/>
              </w:tabs>
              <w:spacing w:line="360" w:lineRule="auto"/>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法</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定</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代</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表</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人</w:t>
            </w: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姓名</w:t>
            </w:r>
          </w:p>
        </w:tc>
        <w:tc>
          <w:tcPr>
            <w:tcW w:w="2340" w:type="dxa"/>
            <w:gridSpan w:val="2"/>
            <w:vAlign w:val="center"/>
          </w:tcPr>
          <w:p>
            <w:pPr>
              <w:tabs>
                <w:tab w:val="left" w:pos="210"/>
              </w:tabs>
              <w:spacing w:line="360" w:lineRule="auto"/>
              <w:ind w:firstLine="420" w:firstLineChars="200"/>
              <w:jc w:val="left"/>
              <w:rPr>
                <w:rFonts w:ascii="宋体" w:hAnsi="宋体" w:eastAsia="宋体" w:cs="宋体"/>
                <w:kern w:val="0"/>
                <w:szCs w:val="21"/>
                <w:highlight w:val="none"/>
              </w:rPr>
            </w:pPr>
            <w:r>
              <w:rPr>
                <w:rFonts w:hint="eastAsia" w:ascii="宋体" w:hAnsi="宋体" w:cs="宋体"/>
                <w:kern w:val="0"/>
                <w:szCs w:val="21"/>
                <w:highlight w:val="none"/>
              </w:rPr>
              <w:t xml:space="preserve"> </w:t>
            </w:r>
          </w:p>
        </w:tc>
        <w:tc>
          <w:tcPr>
            <w:tcW w:w="2156" w:type="dxa"/>
            <w:vAlign w:val="center"/>
          </w:tcPr>
          <w:p>
            <w:pPr>
              <w:tabs>
                <w:tab w:val="left" w:pos="210"/>
              </w:tabs>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性别</w:t>
            </w:r>
          </w:p>
        </w:tc>
        <w:tc>
          <w:tcPr>
            <w:tcW w:w="1688" w:type="dxa"/>
            <w:vAlign w:val="center"/>
          </w:tcPr>
          <w:p>
            <w:pPr>
              <w:tabs>
                <w:tab w:val="left" w:pos="210"/>
              </w:tabs>
              <w:spacing w:line="360" w:lineRule="auto"/>
              <w:ind w:firstLine="420" w:firstLineChars="200"/>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职务</w:t>
            </w:r>
          </w:p>
        </w:tc>
        <w:tc>
          <w:tcPr>
            <w:tcW w:w="2340" w:type="dxa"/>
            <w:gridSpan w:val="2"/>
            <w:vAlign w:val="center"/>
          </w:tcPr>
          <w:p>
            <w:pPr>
              <w:tabs>
                <w:tab w:val="left" w:pos="210"/>
              </w:tabs>
              <w:spacing w:line="360" w:lineRule="auto"/>
              <w:jc w:val="left"/>
              <w:rPr>
                <w:rFonts w:ascii="宋体" w:hAnsi="宋体" w:cs="宋体"/>
                <w:kern w:val="0"/>
                <w:szCs w:val="21"/>
                <w:highlight w:val="none"/>
              </w:rPr>
            </w:pPr>
          </w:p>
        </w:tc>
        <w:tc>
          <w:tcPr>
            <w:tcW w:w="2156" w:type="dxa"/>
            <w:vAlign w:val="center"/>
          </w:tcPr>
          <w:p>
            <w:pPr>
              <w:tabs>
                <w:tab w:val="left" w:pos="210"/>
              </w:tabs>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联系电话</w:t>
            </w:r>
          </w:p>
        </w:tc>
        <w:tc>
          <w:tcPr>
            <w:tcW w:w="1688" w:type="dxa"/>
            <w:vAlign w:val="center"/>
          </w:tcPr>
          <w:p>
            <w:pPr>
              <w:tabs>
                <w:tab w:val="left" w:pos="210"/>
              </w:tabs>
              <w:spacing w:line="360" w:lineRule="auto"/>
              <w:ind w:firstLine="420" w:firstLineChars="200"/>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传真</w:t>
            </w:r>
          </w:p>
        </w:tc>
        <w:tc>
          <w:tcPr>
            <w:tcW w:w="6184" w:type="dxa"/>
            <w:gridSpan w:val="4"/>
            <w:vAlign w:val="center"/>
          </w:tcPr>
          <w:p>
            <w:pPr>
              <w:tabs>
                <w:tab w:val="left" w:pos="210"/>
              </w:tabs>
              <w:spacing w:line="360" w:lineRule="auto"/>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法</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定</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代</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表</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人</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身</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份</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证</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复</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印</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（正反面）</w:t>
            </w:r>
          </w:p>
        </w:tc>
        <w:tc>
          <w:tcPr>
            <w:tcW w:w="4028" w:type="dxa"/>
            <w:gridSpan w:val="3"/>
            <w:vAlign w:val="center"/>
          </w:tcPr>
          <w:p>
            <w:pPr>
              <w:tabs>
                <w:tab w:val="left" w:pos="210"/>
              </w:tabs>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cs="宋体"/>
                <w:kern w:val="0"/>
                <w:szCs w:val="21"/>
                <w:highlight w:val="none"/>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szCs w:val="21"/>
                <w:highlight w:val="none"/>
              </w:rPr>
            </w:pPr>
          </w:p>
        </w:tc>
        <w:tc>
          <w:tcPr>
            <w:tcW w:w="4028" w:type="dxa"/>
            <w:gridSpan w:val="3"/>
            <w:vAlign w:val="bottom"/>
          </w:tcPr>
          <w:p>
            <w:pPr>
              <w:tabs>
                <w:tab w:val="left" w:pos="210"/>
              </w:tabs>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eastAsia="zh-CN"/>
              </w:rPr>
              <w:t>供应商</w:t>
            </w:r>
            <w:r>
              <w:rPr>
                <w:rFonts w:hint="eastAsia" w:ascii="宋体" w:hAnsi="宋体" w:cs="宋体"/>
                <w:kern w:val="0"/>
                <w:szCs w:val="21"/>
                <w:highlight w:val="none"/>
              </w:rPr>
              <w:t>公章）</w:t>
            </w:r>
          </w:p>
          <w:p>
            <w:pPr>
              <w:tabs>
                <w:tab w:val="left" w:pos="210"/>
              </w:tabs>
              <w:spacing w:line="360" w:lineRule="auto"/>
              <w:jc w:val="left"/>
              <w:rPr>
                <w:rFonts w:ascii="宋体" w:hAnsi="宋体" w:cs="宋体"/>
                <w:kern w:val="0"/>
                <w:szCs w:val="21"/>
                <w:highlight w:val="none"/>
              </w:rPr>
            </w:pPr>
          </w:p>
          <w:p>
            <w:pPr>
              <w:tabs>
                <w:tab w:val="left" w:pos="210"/>
              </w:tabs>
              <w:spacing w:line="360" w:lineRule="auto"/>
              <w:jc w:val="left"/>
              <w:rPr>
                <w:rFonts w:ascii="宋体" w:hAnsi="宋体" w:cs="宋体"/>
                <w:kern w:val="0"/>
                <w:szCs w:val="21"/>
                <w:highlight w:val="none"/>
              </w:rPr>
            </w:pPr>
          </w:p>
          <w:p>
            <w:pPr>
              <w:tabs>
                <w:tab w:val="left" w:pos="210"/>
              </w:tabs>
              <w:spacing w:line="360" w:lineRule="auto"/>
              <w:jc w:val="left"/>
              <w:rPr>
                <w:rFonts w:ascii="宋体" w:hAnsi="宋体" w:cs="宋体"/>
                <w:kern w:val="0"/>
                <w:szCs w:val="21"/>
                <w:highlight w:val="none"/>
              </w:rPr>
            </w:pPr>
          </w:p>
          <w:p>
            <w:pPr>
              <w:adjustRightInd w:val="0"/>
              <w:snapToGrid w:val="0"/>
              <w:spacing w:line="480" w:lineRule="auto"/>
              <w:ind w:firstLine="480" w:firstLineChars="200"/>
              <w:jc w:val="right"/>
              <w:rPr>
                <w:rFonts w:ascii="宋体" w:hAnsi="宋体" w:cs="宋体"/>
                <w:kern w:val="0"/>
                <w:szCs w:val="21"/>
                <w:highlight w:val="none"/>
              </w:rPr>
            </w:pPr>
            <w:r>
              <w:rPr>
                <w:rFonts w:hint="eastAsia" w:ascii="宋体" w:hAnsi="宋体" w:cs="宋体"/>
                <w:sz w:val="24"/>
                <w:highlight w:val="none"/>
              </w:rPr>
              <w:t>年  月 日</w:t>
            </w:r>
          </w:p>
        </w:tc>
      </w:tr>
    </w:tbl>
    <w:p>
      <w:pPr>
        <w:jc w:val="left"/>
        <w:rPr>
          <w:b/>
          <w:bCs/>
          <w:highlight w:val="none"/>
        </w:rPr>
      </w:pPr>
    </w:p>
    <w:p>
      <w:pPr>
        <w:pageBreakBefore/>
        <w:tabs>
          <w:tab w:val="left" w:pos="210"/>
        </w:tabs>
        <w:spacing w:line="240" w:lineRule="auto"/>
        <w:jc w:val="center"/>
        <w:rPr>
          <w:rFonts w:hint="eastAsia" w:ascii="宋体" w:hAnsi="宋体" w:eastAsia="宋体" w:cs="宋体"/>
          <w:b/>
          <w:bCs/>
          <w:kern w:val="0"/>
          <w:sz w:val="24"/>
          <w:szCs w:val="24"/>
          <w:highlight w:val="none"/>
          <w:lang w:eastAsia="zh-CN"/>
        </w:rPr>
      </w:pPr>
      <w:r>
        <w:rPr>
          <w:rFonts w:hint="eastAsia" w:ascii="宋体" w:hAnsi="宋体" w:eastAsia="宋体" w:cs="宋体"/>
          <w:b/>
          <w:color w:val="000000" w:themeColor="text1"/>
          <w:kern w:val="0"/>
          <w:sz w:val="24"/>
          <w:szCs w:val="24"/>
          <w:highlight w:val="none"/>
          <w14:textFill>
            <w14:solidFill>
              <w14:schemeClr w14:val="tx1"/>
            </w14:solidFill>
          </w14:textFill>
        </w:rPr>
        <w:t>3-2法定代表人授权书</w:t>
      </w:r>
    </w:p>
    <w:p>
      <w:pPr>
        <w:pStyle w:val="13"/>
        <w:spacing w:line="500" w:lineRule="exact"/>
        <w:jc w:val="left"/>
        <w:rPr>
          <w:rFonts w:hAnsi="宋体" w:cs="宋体"/>
          <w:b/>
          <w:bCs/>
          <w:sz w:val="24"/>
          <w:szCs w:val="24"/>
          <w:highlight w:val="none"/>
        </w:rPr>
      </w:pPr>
      <w:r>
        <w:rPr>
          <w:rFonts w:hint="eastAsia" w:hAnsi="宋体" w:cs="宋体"/>
          <w:sz w:val="24"/>
          <w:szCs w:val="24"/>
          <w:highlight w:val="none"/>
        </w:rPr>
        <w:t>陕西万泽招标有限公司：</w:t>
      </w:r>
    </w:p>
    <w:p>
      <w:pPr>
        <w:pStyle w:val="13"/>
        <w:spacing w:line="500" w:lineRule="exact"/>
        <w:ind w:firstLine="480" w:firstLineChars="200"/>
        <w:jc w:val="left"/>
        <w:rPr>
          <w:rFonts w:hAnsi="宋体" w:cs="宋体"/>
          <w:sz w:val="24"/>
          <w:szCs w:val="24"/>
          <w:highlight w:val="none"/>
        </w:rPr>
      </w:pPr>
      <w:r>
        <w:rPr>
          <w:rFonts w:hint="eastAsia" w:hAnsi="宋体" w:cs="宋体"/>
          <w:sz w:val="24"/>
          <w:szCs w:val="24"/>
          <w:highlight w:val="none"/>
        </w:rPr>
        <w:t>本授权书声明：注册于（</w:t>
      </w:r>
      <w:r>
        <w:rPr>
          <w:rFonts w:hint="eastAsia" w:hAnsi="宋体" w:cs="宋体"/>
          <w:sz w:val="24"/>
          <w:szCs w:val="24"/>
          <w:highlight w:val="none"/>
          <w:u w:val="single"/>
        </w:rPr>
        <w:t>工商行政管理局名称）之（委托单位全称）</w:t>
      </w:r>
      <w:r>
        <w:rPr>
          <w:rFonts w:hint="eastAsia" w:hAnsi="宋体" w:cs="宋体"/>
          <w:sz w:val="24"/>
          <w:szCs w:val="24"/>
          <w:highlight w:val="none"/>
        </w:rPr>
        <w:t>的法定代表人</w:t>
      </w:r>
      <w:r>
        <w:rPr>
          <w:rFonts w:hint="eastAsia" w:hAnsi="宋体" w:cs="宋体"/>
          <w:sz w:val="24"/>
          <w:szCs w:val="24"/>
          <w:highlight w:val="none"/>
          <w:u w:val="single"/>
        </w:rPr>
        <w:t>（姓名、性别）</w:t>
      </w:r>
      <w:r>
        <w:rPr>
          <w:rFonts w:hint="eastAsia" w:hAnsi="宋体" w:cs="宋体"/>
          <w:sz w:val="24"/>
          <w:szCs w:val="24"/>
          <w:highlight w:val="none"/>
        </w:rPr>
        <w:t>授权</w:t>
      </w:r>
      <w:r>
        <w:rPr>
          <w:rFonts w:hint="eastAsia" w:hAnsi="宋体" w:cs="宋体"/>
          <w:sz w:val="24"/>
          <w:szCs w:val="24"/>
          <w:highlight w:val="none"/>
          <w:u w:val="single"/>
        </w:rPr>
        <w:t>（被授权人姓名、性别、职务）</w:t>
      </w:r>
      <w:r>
        <w:rPr>
          <w:rFonts w:hint="eastAsia" w:hAnsi="宋体" w:cs="宋体"/>
          <w:sz w:val="24"/>
          <w:szCs w:val="24"/>
          <w:highlight w:val="none"/>
        </w:rPr>
        <w:t>为本公司合法代理人，就贵方组织的有关</w:t>
      </w:r>
      <w:r>
        <w:rPr>
          <w:rFonts w:hint="eastAsia" w:hAnsi="宋体" w:cs="宋体"/>
          <w:sz w:val="24"/>
          <w:szCs w:val="24"/>
          <w:highlight w:val="none"/>
          <w:u w:val="single"/>
        </w:rPr>
        <w:t>（项目名称）</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第</w:t>
      </w:r>
      <w:r>
        <w:rPr>
          <w:rFonts w:hint="eastAsia" w:ascii="宋体" w:hAnsi="宋体" w:eastAsia="宋体" w:cs="宋体"/>
          <w:sz w:val="24"/>
          <w:szCs w:val="24"/>
          <w:highlight w:val="none"/>
          <w:u w:val="single"/>
          <w:lang w:val="en-US" w:eastAsia="zh-CN"/>
        </w:rPr>
        <w:t>X</w:t>
      </w:r>
      <w:r>
        <w:rPr>
          <w:rFonts w:hint="eastAsia" w:ascii="宋体" w:hAnsi="宋体" w:eastAsia="宋体" w:cs="宋体"/>
          <w:sz w:val="24"/>
          <w:szCs w:val="24"/>
          <w:highlight w:val="none"/>
          <w:u w:val="single"/>
          <w:lang w:eastAsia="zh-CN"/>
        </w:rPr>
        <w:t>包</w:t>
      </w:r>
      <w:r>
        <w:rPr>
          <w:rFonts w:hint="eastAsia" w:ascii="宋体" w:hAnsi="宋体" w:eastAsia="宋体" w:cs="宋体"/>
          <w:sz w:val="24"/>
          <w:szCs w:val="24"/>
          <w:highlight w:val="none"/>
          <w:u w:val="single"/>
        </w:rPr>
        <w:t>）</w:t>
      </w:r>
      <w:r>
        <w:rPr>
          <w:rFonts w:hint="eastAsia" w:hAnsi="宋体" w:cs="宋体"/>
          <w:sz w:val="24"/>
          <w:szCs w:val="24"/>
          <w:highlight w:val="none"/>
        </w:rPr>
        <w:t>（文件编号：____________________）的投标、洽谈、执行等具体事务，签署全部有关文件、文书、协议、合同，本公司对被授权人在本项目中的签名承担全部法律责任。</w:t>
      </w:r>
    </w:p>
    <w:p>
      <w:pPr>
        <w:pStyle w:val="13"/>
        <w:spacing w:line="500" w:lineRule="exact"/>
        <w:ind w:firstLine="480" w:firstLineChars="200"/>
        <w:jc w:val="left"/>
        <w:rPr>
          <w:rFonts w:hAnsi="宋体" w:cs="宋体"/>
          <w:sz w:val="10"/>
          <w:szCs w:val="10"/>
          <w:highlight w:val="none"/>
        </w:rPr>
      </w:pPr>
      <w:r>
        <w:rPr>
          <w:rFonts w:hint="eastAsia" w:hAnsi="宋体" w:cs="宋体"/>
          <w:sz w:val="24"/>
          <w:szCs w:val="24"/>
          <w:highlight w:val="none"/>
        </w:rPr>
        <w:t>本授权书自投标文件递交截止之日起计算有效期为</w:t>
      </w:r>
      <w:r>
        <w:rPr>
          <w:rFonts w:hint="eastAsia" w:hAnsi="宋体" w:cs="宋体"/>
          <w:sz w:val="24"/>
          <w:szCs w:val="24"/>
          <w:highlight w:val="none"/>
          <w:u w:val="single"/>
        </w:rPr>
        <w:t>_90__</w:t>
      </w:r>
      <w:r>
        <w:rPr>
          <w:rFonts w:hint="eastAsia" w:hAnsi="宋体" w:cs="宋体"/>
          <w:sz w:val="24"/>
          <w:szCs w:val="24"/>
          <w:highlight w:val="none"/>
        </w:rPr>
        <w:t>日历日。</w:t>
      </w:r>
    </w:p>
    <w:p>
      <w:pPr>
        <w:pStyle w:val="13"/>
        <w:spacing w:line="500" w:lineRule="exact"/>
        <w:ind w:firstLine="480" w:firstLineChars="200"/>
        <w:jc w:val="left"/>
        <w:rPr>
          <w:rFonts w:hAnsi="宋体" w:cs="宋体"/>
          <w:sz w:val="24"/>
          <w:szCs w:val="24"/>
          <w:highlight w:val="none"/>
        </w:rPr>
      </w:pPr>
      <w:r>
        <w:rPr>
          <w:rFonts w:hint="eastAsia" w:hAnsi="宋体" w:cs="宋体"/>
          <w:sz w:val="24"/>
          <w:szCs w:val="24"/>
          <w:highlight w:val="none"/>
        </w:rPr>
        <w:t>单位名称：（公章）</w:t>
      </w:r>
    </w:p>
    <w:p>
      <w:pPr>
        <w:pStyle w:val="13"/>
        <w:spacing w:line="500" w:lineRule="exact"/>
        <w:ind w:firstLine="480" w:firstLineChars="200"/>
        <w:jc w:val="left"/>
        <w:rPr>
          <w:rFonts w:hAnsi="宋体" w:cs="宋体"/>
          <w:sz w:val="24"/>
          <w:szCs w:val="24"/>
          <w:highlight w:val="none"/>
        </w:rPr>
      </w:pPr>
      <w:r>
        <w:rPr>
          <w:rFonts w:hint="eastAsia" w:hAnsi="宋体" w:cs="宋体"/>
          <w:sz w:val="24"/>
          <w:szCs w:val="24"/>
          <w:highlight w:val="none"/>
        </w:rPr>
        <w:t>法定代表人（签字或盖章）：________</w:t>
      </w:r>
    </w:p>
    <w:p>
      <w:pPr>
        <w:pStyle w:val="13"/>
        <w:spacing w:line="500" w:lineRule="exact"/>
        <w:ind w:firstLine="480" w:firstLineChars="200"/>
        <w:jc w:val="left"/>
        <w:rPr>
          <w:rFonts w:hAnsi="宋体" w:cs="宋体"/>
          <w:sz w:val="24"/>
          <w:szCs w:val="24"/>
          <w:highlight w:val="none"/>
        </w:rPr>
      </w:pPr>
      <w:r>
        <w:rPr>
          <w:rFonts w:hint="eastAsia" w:hAnsi="宋体" w:cs="宋体"/>
          <w:sz w:val="24"/>
          <w:szCs w:val="24"/>
          <w:highlight w:val="none"/>
        </w:rPr>
        <w:t>被授权人(签字或盖章)：___________性别：_______职务：____________</w:t>
      </w:r>
    </w:p>
    <w:p>
      <w:pPr>
        <w:pStyle w:val="13"/>
        <w:spacing w:line="500" w:lineRule="exact"/>
        <w:ind w:firstLine="480" w:firstLineChars="200"/>
        <w:jc w:val="left"/>
        <w:rPr>
          <w:rFonts w:hAnsi="宋体" w:cs="宋体"/>
          <w:sz w:val="24"/>
          <w:szCs w:val="24"/>
          <w:highlight w:val="none"/>
          <w:u w:val="single"/>
        </w:rPr>
      </w:pPr>
      <w:r>
        <w:rPr>
          <w:rFonts w:hint="eastAsia" w:hAnsi="宋体" w:cs="宋体"/>
          <w:sz w:val="24"/>
          <w:szCs w:val="24"/>
          <w:highlight w:val="none"/>
        </w:rPr>
        <w:t>联系地址：____________________</w:t>
      </w:r>
    </w:p>
    <w:p>
      <w:pPr>
        <w:pStyle w:val="13"/>
        <w:spacing w:line="500" w:lineRule="exact"/>
        <w:ind w:firstLine="480" w:firstLineChars="200"/>
        <w:jc w:val="left"/>
        <w:rPr>
          <w:rFonts w:hAnsi="宋体" w:cs="宋体"/>
          <w:sz w:val="24"/>
          <w:szCs w:val="24"/>
          <w:highlight w:val="none"/>
          <w:u w:val="single"/>
        </w:rPr>
      </w:pPr>
      <w:r>
        <w:rPr>
          <w:rFonts w:hint="eastAsia" w:hAnsi="宋体" w:cs="宋体"/>
          <w:sz w:val="24"/>
          <w:szCs w:val="24"/>
          <w:highlight w:val="none"/>
        </w:rPr>
        <w:t>联系电话：____________________传真：____________________</w:t>
      </w:r>
    </w:p>
    <w:p>
      <w:pPr>
        <w:pStyle w:val="13"/>
        <w:spacing w:line="500" w:lineRule="exact"/>
        <w:ind w:firstLine="480" w:firstLineChars="200"/>
        <w:jc w:val="left"/>
        <w:rPr>
          <w:rFonts w:hAnsi="宋体" w:cs="宋体"/>
          <w:sz w:val="24"/>
          <w:szCs w:val="24"/>
          <w:highlight w:val="none"/>
        </w:rPr>
      </w:pPr>
      <w:r>
        <w:rPr>
          <w:rFonts w:hint="eastAsia" w:hAnsi="宋体" w:cs="宋体"/>
          <w:sz w:val="24"/>
          <w:szCs w:val="24"/>
          <w:highlight w:val="none"/>
        </w:rPr>
        <w:t>法定代表人及被授权人身份证复印件</w:t>
      </w:r>
    </w:p>
    <w:tbl>
      <w:tblPr>
        <w:tblStyle w:val="25"/>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3"/>
        <w:gridCol w:w="4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98" w:hRule="atLeast"/>
        </w:trPr>
        <w:tc>
          <w:tcPr>
            <w:tcW w:w="4443" w:type="dxa"/>
            <w:shd w:val="clear" w:color="auto" w:fill="D9D9D9"/>
            <w:vAlign w:val="center"/>
          </w:tcPr>
          <w:p>
            <w:pPr>
              <w:pStyle w:val="13"/>
              <w:spacing w:line="500" w:lineRule="exact"/>
              <w:jc w:val="left"/>
              <w:rPr>
                <w:rFonts w:hAnsi="宋体" w:cs="宋体"/>
                <w:kern w:val="2"/>
                <w:sz w:val="24"/>
                <w:szCs w:val="24"/>
                <w:highlight w:val="none"/>
                <w:shd w:val="pct10" w:color="auto" w:fill="FFFFFF"/>
              </w:rPr>
            </w:pPr>
            <w:r>
              <w:rPr>
                <w:rFonts w:hint="eastAsia" w:hAnsi="宋体" w:cs="宋体"/>
                <w:kern w:val="2"/>
                <w:sz w:val="24"/>
                <w:szCs w:val="24"/>
                <w:highlight w:val="none"/>
                <w:shd w:val="pct10" w:color="auto" w:fill="FFFFFF"/>
              </w:rPr>
              <w:t>法定代表人身份证正反面复印件</w:t>
            </w:r>
          </w:p>
          <w:p>
            <w:pPr>
              <w:pStyle w:val="13"/>
              <w:spacing w:line="500" w:lineRule="exact"/>
              <w:jc w:val="left"/>
              <w:rPr>
                <w:rFonts w:hAnsi="宋体" w:cs="宋体"/>
                <w:kern w:val="2"/>
                <w:sz w:val="24"/>
                <w:szCs w:val="24"/>
                <w:highlight w:val="none"/>
                <w:shd w:val="pct10" w:color="auto" w:fill="FFFFFF"/>
              </w:rPr>
            </w:pPr>
          </w:p>
        </w:tc>
        <w:tc>
          <w:tcPr>
            <w:tcW w:w="4597" w:type="dxa"/>
            <w:shd w:val="clear" w:color="auto" w:fill="D9D9D9"/>
            <w:vAlign w:val="center"/>
          </w:tcPr>
          <w:p>
            <w:pPr>
              <w:pStyle w:val="13"/>
              <w:spacing w:line="500" w:lineRule="exact"/>
              <w:ind w:firstLine="480" w:firstLineChars="200"/>
              <w:jc w:val="left"/>
              <w:rPr>
                <w:rFonts w:hAnsi="宋体" w:cs="宋体"/>
                <w:kern w:val="2"/>
                <w:sz w:val="24"/>
                <w:szCs w:val="24"/>
                <w:highlight w:val="none"/>
                <w:shd w:val="pct10" w:color="auto" w:fill="FFFFFF"/>
              </w:rPr>
            </w:pPr>
            <w:r>
              <w:rPr>
                <w:rFonts w:hint="eastAsia" w:hAnsi="宋体" w:cs="宋体"/>
                <w:kern w:val="2"/>
                <w:sz w:val="24"/>
                <w:szCs w:val="24"/>
                <w:highlight w:val="none"/>
                <w:shd w:val="pct10" w:color="auto" w:fill="FFFFFF"/>
              </w:rPr>
              <w:t>被授权人身份证正反面复印件</w:t>
            </w:r>
          </w:p>
          <w:p>
            <w:pPr>
              <w:pStyle w:val="13"/>
              <w:spacing w:line="500" w:lineRule="exact"/>
              <w:ind w:firstLine="480" w:firstLineChars="200"/>
              <w:jc w:val="left"/>
              <w:rPr>
                <w:rFonts w:hAnsi="宋体" w:cs="宋体"/>
                <w:kern w:val="2"/>
                <w:sz w:val="24"/>
                <w:szCs w:val="24"/>
                <w:highlight w:val="none"/>
                <w:shd w:val="pct10" w:color="auto" w:fill="FFFFFF"/>
              </w:rPr>
            </w:pPr>
          </w:p>
        </w:tc>
      </w:tr>
    </w:tbl>
    <w:p>
      <w:pPr>
        <w:rPr>
          <w:rFonts w:ascii="宋体" w:hAnsi="宋体" w:cs="宋体"/>
          <w:color w:val="000000"/>
          <w:sz w:val="24"/>
          <w:szCs w:val="28"/>
          <w:highlight w:val="none"/>
        </w:rPr>
      </w:pPr>
      <w:r>
        <w:rPr>
          <w:rFonts w:hint="eastAsia" w:ascii="宋体" w:hAnsi="宋体" w:cs="宋体"/>
          <w:color w:val="000000"/>
          <w:sz w:val="24"/>
          <w:szCs w:val="28"/>
          <w:highlight w:val="none"/>
        </w:rPr>
        <w:br w:type="page"/>
      </w:r>
    </w:p>
    <w:p>
      <w:pPr>
        <w:jc w:val="center"/>
        <w:rPr>
          <w:rFonts w:ascii="宋体" w:hAnsi="宋体" w:cs="宋体"/>
          <w:color w:val="000000"/>
          <w:sz w:val="24"/>
          <w:szCs w:val="28"/>
          <w:highlight w:val="none"/>
        </w:rPr>
      </w:pPr>
      <w:r>
        <w:rPr>
          <w:rFonts w:hint="eastAsia"/>
          <w:sz w:val="24"/>
          <w:szCs w:val="28"/>
          <w:highlight w:val="none"/>
        </w:rPr>
        <w:t>4、无重大违法记录声明</w:t>
      </w:r>
    </w:p>
    <w:p>
      <w:pPr>
        <w:widowControl/>
        <w:snapToGrid w:val="0"/>
        <w:spacing w:line="480" w:lineRule="auto"/>
        <w:ind w:firstLine="480" w:firstLineChars="200"/>
        <w:jc w:val="left"/>
        <w:rPr>
          <w:rFonts w:ascii="宋体" w:hAnsi="宋体" w:cs="宋体"/>
          <w:color w:val="000000"/>
          <w:kern w:val="0"/>
          <w:sz w:val="24"/>
          <w:highlight w:val="none"/>
        </w:rPr>
      </w:pPr>
    </w:p>
    <w:p>
      <w:pPr>
        <w:widowControl/>
        <w:snapToGrid w:val="0"/>
        <w:spacing w:line="480"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我单位参与</w:t>
      </w:r>
      <w:r>
        <w:rPr>
          <w:rFonts w:hint="eastAsia" w:ascii="宋体" w:hAnsi="宋体" w:cs="宋体"/>
          <w:color w:val="000000"/>
          <w:kern w:val="0"/>
          <w:sz w:val="24"/>
          <w:highlight w:val="none"/>
          <w:u w:val="single"/>
        </w:rPr>
        <w:t xml:space="preserve">陕西万泽招标有限公司 </w:t>
      </w:r>
      <w:r>
        <w:rPr>
          <w:rFonts w:hint="eastAsia" w:ascii="宋体" w:hAnsi="宋体" w:cs="宋体"/>
          <w:color w:val="000000"/>
          <w:kern w:val="0"/>
          <w:sz w:val="24"/>
          <w:highlight w:val="none"/>
        </w:rPr>
        <w:t>组织的</w:t>
      </w:r>
      <w:r>
        <w:rPr>
          <w:rFonts w:hint="eastAsia" w:ascii="宋体" w:hAnsi="宋体" w:cs="宋体"/>
          <w:color w:val="000000"/>
          <w:kern w:val="0"/>
          <w:sz w:val="24"/>
          <w:highlight w:val="none"/>
          <w:u w:val="single"/>
        </w:rPr>
        <w:t xml:space="preserve">             （项目名称）              </w:t>
      </w:r>
      <w:r>
        <w:rPr>
          <w:rFonts w:hint="eastAsia" w:ascii="宋体" w:hAnsi="宋体" w:cs="宋体"/>
          <w:color w:val="000000"/>
          <w:kern w:val="0"/>
          <w:sz w:val="24"/>
          <w:highlight w:val="none"/>
        </w:rPr>
        <w:t>公开招标，我单位郑重声明：我方参加本项目采购工作前三年内在经营活动中无重大违法活动记录，未被信用中国网（www.creditchina.gov.cn）列入失信被执行人、重大税收违法案件当事人名单，未被中国政府采购（www.ccgp.gov.cn）列入政府采购严重违法失信行为记录名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特此声明。</w:t>
      </w:r>
    </w:p>
    <w:p>
      <w:pPr>
        <w:widowControl/>
        <w:spacing w:line="460" w:lineRule="exact"/>
        <w:ind w:firstLine="480" w:firstLineChars="200"/>
        <w:jc w:val="left"/>
        <w:rPr>
          <w:rFonts w:ascii="宋体" w:hAnsi="宋体" w:cs="宋体"/>
          <w:color w:val="000000"/>
          <w:kern w:val="0"/>
          <w:sz w:val="24"/>
          <w:highlight w:val="none"/>
        </w:rPr>
      </w:pPr>
    </w:p>
    <w:p>
      <w:pPr>
        <w:pStyle w:val="13"/>
        <w:spacing w:line="480" w:lineRule="auto"/>
        <w:jc w:val="left"/>
        <w:rPr>
          <w:rFonts w:hint="eastAsia" w:hAnsi="宋体" w:eastAsia="宋体" w:cs="宋体"/>
          <w:color w:val="000000"/>
          <w:sz w:val="24"/>
          <w:highlight w:val="none"/>
          <w:lang w:eastAsia="zh-CN"/>
        </w:rPr>
      </w:pPr>
    </w:p>
    <w:p>
      <w:pPr>
        <w:pStyle w:val="13"/>
        <w:spacing w:line="480" w:lineRule="auto"/>
        <w:jc w:val="left"/>
        <w:rPr>
          <w:rFonts w:hAnsi="宋体" w:cs="宋体"/>
          <w:color w:val="000000"/>
          <w:sz w:val="24"/>
          <w:highlight w:val="none"/>
        </w:rPr>
      </w:pPr>
      <w:r>
        <w:rPr>
          <w:rFonts w:hint="eastAsia" w:hAnsi="宋体" w:cs="宋体"/>
          <w:color w:val="000000"/>
          <w:sz w:val="24"/>
          <w:highlight w:val="none"/>
        </w:rPr>
        <w:t>供应商（单位名称及公章）：</w:t>
      </w:r>
    </w:p>
    <w:p>
      <w:pPr>
        <w:pStyle w:val="13"/>
        <w:spacing w:line="480" w:lineRule="auto"/>
        <w:jc w:val="left"/>
        <w:rPr>
          <w:rFonts w:hAnsi="宋体" w:cs="宋体"/>
          <w:color w:val="000000"/>
          <w:sz w:val="24"/>
          <w:highlight w:val="none"/>
        </w:rPr>
      </w:pPr>
      <w:r>
        <w:rPr>
          <w:rFonts w:hint="eastAsia" w:hAnsi="宋体" w:cs="宋体"/>
          <w:color w:val="000000"/>
          <w:sz w:val="24"/>
          <w:highlight w:val="none"/>
        </w:rPr>
        <w:t>法定代表人或被授权人（签字或盖章）：</w:t>
      </w:r>
    </w:p>
    <w:p>
      <w:pPr>
        <w:spacing w:beforeLines="100" w:afterLines="150" w:line="500" w:lineRule="exact"/>
        <w:rPr>
          <w:rFonts w:hint="eastAsia" w:ascii="宋体" w:hAnsi="宋体" w:eastAsia="宋体" w:cs="宋体"/>
          <w:color w:val="000000"/>
          <w:kern w:val="0"/>
          <w:sz w:val="24"/>
          <w:highlight w:val="none"/>
          <w:u w:val="single"/>
          <w:lang w:eastAsia="zh-CN"/>
        </w:rPr>
      </w:pPr>
      <w:r>
        <w:rPr>
          <w:rFonts w:hint="eastAsia" w:ascii="宋体" w:hAnsi="宋体" w:cs="宋体"/>
          <w:color w:val="000000"/>
          <w:kern w:val="0"/>
          <w:sz w:val="24"/>
          <w:highlight w:val="none"/>
        </w:rPr>
        <w:t>日    期</w:t>
      </w:r>
      <w:r>
        <w:rPr>
          <w:rFonts w:hint="eastAsia" w:ascii="宋体" w:hAnsi="宋体" w:cs="宋体"/>
          <w:color w:val="000000"/>
          <w:kern w:val="0"/>
          <w:sz w:val="24"/>
          <w:highlight w:val="none"/>
          <w:u w:val="single"/>
        </w:rPr>
        <w:t xml:space="preserve">：             </w:t>
      </w:r>
    </w:p>
    <w:p>
      <w:pPr>
        <w:pStyle w:val="19"/>
        <w:rPr>
          <w:rFonts w:hint="eastAsia"/>
          <w:highlight w:val="none"/>
          <w:lang w:eastAsia="zh-CN"/>
        </w:rPr>
        <w:sectPr>
          <w:headerReference r:id="rId14" w:type="default"/>
          <w:footerReference r:id="rId15" w:type="default"/>
          <w:pgSz w:w="11906" w:h="16838"/>
          <w:pgMar w:top="1440" w:right="1803" w:bottom="1440" w:left="1803" w:header="850" w:footer="992" w:gutter="0"/>
          <w:pgNumType w:fmt="decimal"/>
          <w:cols w:space="0" w:num="1"/>
          <w:rtlGutter w:val="1"/>
          <w:docGrid w:type="lines" w:linePitch="319" w:charSpace="0"/>
        </w:sectPr>
      </w:pPr>
    </w:p>
    <w:p>
      <w:pPr>
        <w:snapToGrid w:val="0"/>
        <w:spacing w:line="360" w:lineRule="auto"/>
        <w:ind w:firstLine="480" w:firstLineChars="200"/>
        <w:jc w:val="left"/>
        <w:rPr>
          <w:rFonts w:ascii="宋体" w:hAnsi="宋体" w:cs="宋体"/>
          <w:bCs/>
          <w:kern w:val="0"/>
          <w:sz w:val="24"/>
          <w:szCs w:val="24"/>
          <w:highlight w:val="none"/>
        </w:rPr>
      </w:pPr>
      <w:bookmarkStart w:id="294" w:name="_Toc30568"/>
      <w:bookmarkStart w:id="295" w:name="_Toc28294"/>
      <w:bookmarkStart w:id="296" w:name="_Toc23536"/>
      <w:bookmarkStart w:id="297" w:name="_Toc11309"/>
      <w:r>
        <w:rPr>
          <w:rFonts w:hint="eastAsia" w:ascii="宋体" w:hAnsi="宋体" w:cs="宋体"/>
          <w:bCs/>
          <w:kern w:val="0"/>
          <w:sz w:val="24"/>
          <w:szCs w:val="24"/>
          <w:highlight w:val="none"/>
          <w:lang w:val="en-US" w:eastAsia="zh-CN"/>
        </w:rPr>
        <w:t>5</w:t>
      </w:r>
      <w:r>
        <w:rPr>
          <w:rFonts w:hint="eastAsia" w:ascii="宋体" w:hAnsi="宋体" w:cs="宋体"/>
          <w:bCs/>
          <w:kern w:val="0"/>
          <w:sz w:val="24"/>
          <w:szCs w:val="24"/>
          <w:highlight w:val="none"/>
        </w:rPr>
        <w:t>、社会保障资金缴纳证明</w:t>
      </w:r>
    </w:p>
    <w:p>
      <w:p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6</w:t>
      </w:r>
      <w:r>
        <w:rPr>
          <w:rFonts w:hint="eastAsia" w:ascii="宋体" w:hAnsi="宋体" w:cs="宋体"/>
          <w:bCs/>
          <w:kern w:val="0"/>
          <w:sz w:val="24"/>
          <w:szCs w:val="24"/>
          <w:highlight w:val="none"/>
        </w:rPr>
        <w:t>、税收缴纳证明</w:t>
      </w:r>
    </w:p>
    <w:p>
      <w:pPr>
        <w:numPr>
          <w:ilvl w:val="0"/>
          <w:numId w:val="0"/>
        </w:numPr>
        <w:snapToGrid w:val="0"/>
        <w:spacing w:line="360" w:lineRule="auto"/>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val="en-US" w:eastAsia="zh-CN"/>
        </w:rPr>
        <w:t>7</w:t>
      </w:r>
      <w:r>
        <w:rPr>
          <w:rFonts w:hint="eastAsia" w:ascii="宋体" w:hAnsi="宋体" w:cs="宋体"/>
          <w:bCs/>
          <w:kern w:val="0"/>
          <w:sz w:val="24"/>
          <w:szCs w:val="24"/>
          <w:highlight w:val="none"/>
        </w:rPr>
        <w:t>、财务状况证明</w:t>
      </w:r>
    </w:p>
    <w:p>
      <w:pPr>
        <w:numPr>
          <w:ilvl w:val="0"/>
          <w:numId w:val="0"/>
        </w:numPr>
        <w:snapToGrid w:val="0"/>
        <w:spacing w:line="360" w:lineRule="auto"/>
        <w:ind w:firstLine="480" w:firstLineChars="200"/>
        <w:jc w:val="left"/>
        <w:rPr>
          <w:rFonts w:hint="eastAsia"/>
          <w:sz w:val="24"/>
          <w:szCs w:val="28"/>
          <w:highlight w:val="none"/>
        </w:rPr>
      </w:pPr>
      <w:r>
        <w:rPr>
          <w:rFonts w:hint="eastAsia"/>
          <w:sz w:val="24"/>
          <w:szCs w:val="28"/>
          <w:highlight w:val="none"/>
        </w:rPr>
        <w:t>8、</w:t>
      </w:r>
      <w:r>
        <w:rPr>
          <w:rFonts w:hint="eastAsia" w:ascii="宋体" w:hAnsi="宋体" w:cs="宋体"/>
          <w:bCs/>
          <w:sz w:val="24"/>
          <w:szCs w:val="24"/>
          <w:highlight w:val="none"/>
          <w:lang w:val="en-US" w:eastAsia="zh-CN"/>
        </w:rPr>
        <w:t>供应商为经销商须提供医疗器械经营许可证或备案凭证（所投产品须在其经营范围内）和所投产品的医疗器械产品注册证及其附件或备案凭证；制造厂家直接参与投标的应出具医疗器械生产许可证（所投产品须在其生产范围内）及医疗器械经营许可证和医疗器械注册证及其附件或备案凭证</w:t>
      </w:r>
      <w:r>
        <w:rPr>
          <w:rFonts w:hint="eastAsia"/>
          <w:sz w:val="24"/>
          <w:szCs w:val="28"/>
          <w:highlight w:val="none"/>
          <w:lang w:val="en-US" w:eastAsia="zh-CN"/>
        </w:rPr>
        <w:t>；</w:t>
      </w:r>
    </w:p>
    <w:p>
      <w:pPr>
        <w:numPr>
          <w:ilvl w:val="0"/>
          <w:numId w:val="0"/>
        </w:numPr>
        <w:snapToGrid w:val="0"/>
        <w:spacing w:line="360" w:lineRule="auto"/>
        <w:ind w:firstLine="480" w:firstLineChars="200"/>
        <w:jc w:val="left"/>
        <w:rPr>
          <w:rFonts w:hint="eastAsia"/>
          <w:color w:val="000000"/>
          <w:highlight w:val="none"/>
        </w:rPr>
      </w:pPr>
      <w:r>
        <w:rPr>
          <w:rFonts w:hint="eastAsia"/>
          <w:sz w:val="24"/>
          <w:szCs w:val="28"/>
          <w:highlight w:val="none"/>
          <w:lang w:val="en-US" w:eastAsia="zh-CN"/>
        </w:rPr>
        <w:t>9、本项目不接受联合体投标</w:t>
      </w:r>
      <w:r>
        <w:rPr>
          <w:rFonts w:hint="eastAsia"/>
          <w:color w:val="000000"/>
          <w:highlight w:val="none"/>
        </w:rPr>
        <w:br w:type="page"/>
      </w:r>
    </w:p>
    <w:p>
      <w:pPr>
        <w:pStyle w:val="4"/>
        <w:rPr>
          <w:color w:val="000000"/>
          <w:highlight w:val="none"/>
        </w:rPr>
      </w:pPr>
      <w:bookmarkStart w:id="298" w:name="_Toc9207"/>
      <w:r>
        <w:rPr>
          <w:rFonts w:hint="eastAsia"/>
          <w:color w:val="000000"/>
          <w:highlight w:val="none"/>
        </w:rPr>
        <w:t>第</w:t>
      </w:r>
      <w:r>
        <w:rPr>
          <w:rFonts w:hint="eastAsia"/>
          <w:color w:val="000000"/>
          <w:highlight w:val="none"/>
          <w:lang w:val="en-US" w:eastAsia="zh-CN"/>
        </w:rPr>
        <w:t>六</w:t>
      </w:r>
      <w:r>
        <w:rPr>
          <w:rFonts w:hint="eastAsia"/>
          <w:color w:val="000000"/>
          <w:highlight w:val="none"/>
        </w:rPr>
        <w:t>章  商务和需求响应偏离表</w:t>
      </w:r>
      <w:bookmarkEnd w:id="294"/>
      <w:bookmarkEnd w:id="295"/>
      <w:bookmarkEnd w:id="296"/>
      <w:bookmarkEnd w:id="298"/>
    </w:p>
    <w:p>
      <w:pPr>
        <w:kinsoku w:val="0"/>
        <w:spacing w:line="480" w:lineRule="auto"/>
        <w:ind w:left="1232" w:hanging="1232" w:hangingChars="440"/>
        <w:jc w:val="left"/>
        <w:rPr>
          <w:rFonts w:ascii="宋体" w:hAnsi="宋体" w:cs="宋体"/>
          <w:color w:val="000000"/>
          <w:sz w:val="28"/>
          <w:szCs w:val="28"/>
          <w:highlight w:val="none"/>
        </w:rPr>
      </w:pPr>
      <w:r>
        <w:rPr>
          <w:rFonts w:hint="eastAsia" w:ascii="宋体" w:hAnsi="宋体" w:cs="宋体"/>
          <w:color w:val="000000"/>
          <w:sz w:val="28"/>
          <w:szCs w:val="28"/>
          <w:highlight w:val="none"/>
        </w:rPr>
        <w:t>表1、商务响应偏差表</w:t>
      </w:r>
    </w:p>
    <w:tbl>
      <w:tblPr>
        <w:tblStyle w:val="25"/>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614"/>
        <w:gridCol w:w="1680"/>
        <w:gridCol w:w="244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96" w:type="dxa"/>
            <w:vAlign w:val="center"/>
          </w:tcPr>
          <w:p>
            <w:pPr>
              <w:pStyle w:val="13"/>
              <w:spacing w:line="480" w:lineRule="auto"/>
              <w:jc w:val="center"/>
              <w:rPr>
                <w:rFonts w:hAnsi="宋体" w:cs="宋体"/>
                <w:color w:val="000000"/>
                <w:kern w:val="2"/>
                <w:sz w:val="21"/>
                <w:highlight w:val="none"/>
              </w:rPr>
            </w:pPr>
            <w:r>
              <w:rPr>
                <w:rFonts w:hint="eastAsia" w:hAnsi="宋体" w:cs="宋体"/>
                <w:color w:val="000000"/>
                <w:kern w:val="2"/>
                <w:sz w:val="21"/>
                <w:highlight w:val="none"/>
              </w:rPr>
              <w:t xml:space="preserve"> 序号</w:t>
            </w:r>
          </w:p>
        </w:tc>
        <w:tc>
          <w:tcPr>
            <w:tcW w:w="1614" w:type="dxa"/>
            <w:vAlign w:val="center"/>
          </w:tcPr>
          <w:p>
            <w:pPr>
              <w:pStyle w:val="13"/>
              <w:spacing w:line="480" w:lineRule="auto"/>
              <w:jc w:val="left"/>
              <w:rPr>
                <w:rFonts w:hAnsi="宋体" w:cs="宋体"/>
                <w:color w:val="000000"/>
                <w:kern w:val="2"/>
                <w:sz w:val="21"/>
                <w:highlight w:val="none"/>
              </w:rPr>
            </w:pPr>
            <w:r>
              <w:rPr>
                <w:rFonts w:hint="eastAsia" w:hAnsi="宋体" w:cs="宋体"/>
                <w:color w:val="000000"/>
                <w:kern w:val="2"/>
                <w:sz w:val="21"/>
                <w:highlight w:val="none"/>
              </w:rPr>
              <w:t xml:space="preserve"> 商务条款</w:t>
            </w:r>
          </w:p>
        </w:tc>
        <w:tc>
          <w:tcPr>
            <w:tcW w:w="1680" w:type="dxa"/>
            <w:vAlign w:val="center"/>
          </w:tcPr>
          <w:p>
            <w:pPr>
              <w:pStyle w:val="13"/>
              <w:spacing w:line="480" w:lineRule="auto"/>
              <w:jc w:val="left"/>
              <w:rPr>
                <w:rFonts w:hAnsi="宋体" w:cs="宋体"/>
                <w:color w:val="000000"/>
                <w:kern w:val="2"/>
                <w:sz w:val="21"/>
                <w:highlight w:val="none"/>
              </w:rPr>
            </w:pPr>
            <w:r>
              <w:rPr>
                <w:rFonts w:hint="eastAsia" w:hAnsi="宋体" w:cs="宋体"/>
                <w:color w:val="000000"/>
                <w:kern w:val="2"/>
                <w:sz w:val="21"/>
                <w:highlight w:val="none"/>
              </w:rPr>
              <w:t>商务要求内容</w:t>
            </w:r>
          </w:p>
        </w:tc>
        <w:tc>
          <w:tcPr>
            <w:tcW w:w="2448" w:type="dxa"/>
            <w:vAlign w:val="center"/>
          </w:tcPr>
          <w:p>
            <w:pPr>
              <w:pStyle w:val="13"/>
              <w:spacing w:line="480" w:lineRule="auto"/>
              <w:rPr>
                <w:rFonts w:hAnsi="宋体" w:cs="宋体"/>
                <w:color w:val="000000"/>
                <w:kern w:val="2"/>
                <w:sz w:val="21"/>
                <w:highlight w:val="none"/>
              </w:rPr>
            </w:pPr>
            <w:r>
              <w:rPr>
                <w:rFonts w:hint="eastAsia" w:hAnsi="宋体" w:cs="宋体"/>
                <w:color w:val="000000"/>
                <w:kern w:val="2"/>
                <w:sz w:val="21"/>
                <w:highlight w:val="none"/>
                <w:lang w:eastAsia="zh-CN"/>
              </w:rPr>
              <w:t>投标文件</w:t>
            </w:r>
            <w:r>
              <w:rPr>
                <w:rFonts w:hint="eastAsia" w:hAnsi="宋体" w:cs="宋体"/>
                <w:color w:val="000000"/>
                <w:kern w:val="2"/>
                <w:sz w:val="21"/>
                <w:highlight w:val="none"/>
              </w:rPr>
              <w:t>响应商务内容</w:t>
            </w:r>
          </w:p>
        </w:tc>
        <w:tc>
          <w:tcPr>
            <w:tcW w:w="2042" w:type="dxa"/>
            <w:vAlign w:val="center"/>
          </w:tcPr>
          <w:p>
            <w:pPr>
              <w:pStyle w:val="13"/>
              <w:spacing w:line="480" w:lineRule="auto"/>
              <w:jc w:val="center"/>
              <w:rPr>
                <w:rFonts w:hAnsi="宋体" w:cs="宋体"/>
                <w:color w:val="000000"/>
                <w:kern w:val="2"/>
                <w:sz w:val="21"/>
                <w:highlight w:val="none"/>
              </w:rPr>
            </w:pPr>
            <w:r>
              <w:rPr>
                <w:rFonts w:hint="eastAsia" w:hAnsi="宋体" w:cs="宋体"/>
                <w:color w:val="000000"/>
                <w:kern w:val="2"/>
                <w:sz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20" w:firstLineChars="200"/>
              <w:jc w:val="left"/>
              <w:rPr>
                <w:rFonts w:hAnsi="宋体" w:cs="宋体"/>
                <w:color w:val="000000"/>
                <w:kern w:val="2"/>
                <w:sz w:val="21"/>
                <w:highlight w:val="none"/>
              </w:rPr>
            </w:pPr>
          </w:p>
        </w:tc>
        <w:tc>
          <w:tcPr>
            <w:tcW w:w="1614" w:type="dxa"/>
          </w:tcPr>
          <w:p>
            <w:pPr>
              <w:pStyle w:val="13"/>
              <w:spacing w:line="480" w:lineRule="auto"/>
              <w:ind w:firstLine="420" w:firstLineChars="200"/>
              <w:jc w:val="left"/>
              <w:rPr>
                <w:rFonts w:hAnsi="宋体" w:cs="宋体"/>
                <w:color w:val="000000"/>
                <w:kern w:val="2"/>
                <w:sz w:val="21"/>
                <w:highlight w:val="none"/>
              </w:rPr>
            </w:pPr>
          </w:p>
        </w:tc>
        <w:tc>
          <w:tcPr>
            <w:tcW w:w="1680" w:type="dxa"/>
            <w:vAlign w:val="center"/>
          </w:tcPr>
          <w:p>
            <w:pPr>
              <w:pStyle w:val="13"/>
              <w:spacing w:line="480" w:lineRule="auto"/>
              <w:ind w:firstLine="420" w:firstLineChars="200"/>
              <w:jc w:val="left"/>
              <w:rPr>
                <w:rFonts w:hAnsi="宋体" w:cs="宋体"/>
                <w:color w:val="000000"/>
                <w:kern w:val="2"/>
                <w:sz w:val="21"/>
                <w:highlight w:val="none"/>
              </w:rPr>
            </w:pPr>
          </w:p>
        </w:tc>
        <w:tc>
          <w:tcPr>
            <w:tcW w:w="2448" w:type="dxa"/>
            <w:vAlign w:val="center"/>
          </w:tcPr>
          <w:p>
            <w:pPr>
              <w:pStyle w:val="13"/>
              <w:spacing w:line="480" w:lineRule="auto"/>
              <w:ind w:firstLine="420" w:firstLineChars="200"/>
              <w:jc w:val="left"/>
              <w:rPr>
                <w:rFonts w:hAnsi="宋体" w:cs="宋体"/>
                <w:color w:val="000000"/>
                <w:kern w:val="2"/>
                <w:sz w:val="21"/>
                <w:highlight w:val="none"/>
              </w:rPr>
            </w:pPr>
          </w:p>
        </w:tc>
        <w:tc>
          <w:tcPr>
            <w:tcW w:w="2042" w:type="dxa"/>
            <w:vAlign w:val="center"/>
          </w:tcPr>
          <w:p>
            <w:pPr>
              <w:pStyle w:val="13"/>
              <w:spacing w:line="480" w:lineRule="auto"/>
              <w:ind w:firstLine="420" w:firstLineChars="200"/>
              <w:jc w:val="left"/>
              <w:rPr>
                <w:rFonts w:hAnsi="宋体" w:cs="宋体"/>
                <w:color w:val="000000"/>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20" w:firstLineChars="200"/>
              <w:jc w:val="left"/>
              <w:rPr>
                <w:rFonts w:hAnsi="宋体" w:cs="宋体"/>
                <w:color w:val="000000"/>
                <w:kern w:val="2"/>
                <w:sz w:val="21"/>
                <w:highlight w:val="none"/>
              </w:rPr>
            </w:pPr>
          </w:p>
        </w:tc>
        <w:tc>
          <w:tcPr>
            <w:tcW w:w="1614" w:type="dxa"/>
          </w:tcPr>
          <w:p>
            <w:pPr>
              <w:pStyle w:val="13"/>
              <w:spacing w:line="480" w:lineRule="auto"/>
              <w:ind w:firstLine="420" w:firstLineChars="200"/>
              <w:jc w:val="left"/>
              <w:rPr>
                <w:rFonts w:hAnsi="宋体" w:cs="宋体"/>
                <w:color w:val="000000"/>
                <w:kern w:val="2"/>
                <w:sz w:val="21"/>
                <w:highlight w:val="none"/>
              </w:rPr>
            </w:pPr>
          </w:p>
        </w:tc>
        <w:tc>
          <w:tcPr>
            <w:tcW w:w="1680" w:type="dxa"/>
          </w:tcPr>
          <w:p>
            <w:pPr>
              <w:pStyle w:val="13"/>
              <w:spacing w:line="480" w:lineRule="auto"/>
              <w:ind w:firstLine="420" w:firstLineChars="200"/>
              <w:jc w:val="left"/>
              <w:rPr>
                <w:rFonts w:hAnsi="宋体" w:cs="宋体"/>
                <w:color w:val="000000"/>
                <w:kern w:val="2"/>
                <w:sz w:val="21"/>
                <w:highlight w:val="none"/>
              </w:rPr>
            </w:pPr>
          </w:p>
        </w:tc>
        <w:tc>
          <w:tcPr>
            <w:tcW w:w="2448" w:type="dxa"/>
          </w:tcPr>
          <w:p>
            <w:pPr>
              <w:pStyle w:val="13"/>
              <w:spacing w:line="480" w:lineRule="auto"/>
              <w:ind w:firstLine="420" w:firstLineChars="200"/>
              <w:jc w:val="left"/>
              <w:rPr>
                <w:rFonts w:hAnsi="宋体" w:cs="宋体"/>
                <w:color w:val="000000"/>
                <w:kern w:val="2"/>
                <w:sz w:val="21"/>
                <w:highlight w:val="none"/>
              </w:rPr>
            </w:pPr>
          </w:p>
        </w:tc>
        <w:tc>
          <w:tcPr>
            <w:tcW w:w="2042" w:type="dxa"/>
          </w:tcPr>
          <w:p>
            <w:pPr>
              <w:pStyle w:val="13"/>
              <w:spacing w:line="480" w:lineRule="auto"/>
              <w:ind w:firstLine="420" w:firstLineChars="200"/>
              <w:jc w:val="left"/>
              <w:rPr>
                <w:rFonts w:hAnsi="宋体" w:cs="宋体"/>
                <w:color w:val="000000"/>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20" w:firstLineChars="200"/>
              <w:jc w:val="left"/>
              <w:rPr>
                <w:rFonts w:hAnsi="宋体" w:cs="宋体"/>
                <w:color w:val="000000"/>
                <w:kern w:val="2"/>
                <w:sz w:val="21"/>
                <w:highlight w:val="none"/>
              </w:rPr>
            </w:pPr>
          </w:p>
        </w:tc>
        <w:tc>
          <w:tcPr>
            <w:tcW w:w="1614" w:type="dxa"/>
          </w:tcPr>
          <w:p>
            <w:pPr>
              <w:pStyle w:val="13"/>
              <w:spacing w:line="480" w:lineRule="auto"/>
              <w:ind w:firstLine="420" w:firstLineChars="200"/>
              <w:jc w:val="left"/>
              <w:rPr>
                <w:rFonts w:hAnsi="宋体" w:cs="宋体"/>
                <w:color w:val="000000"/>
                <w:kern w:val="2"/>
                <w:sz w:val="21"/>
                <w:highlight w:val="none"/>
              </w:rPr>
            </w:pPr>
          </w:p>
        </w:tc>
        <w:tc>
          <w:tcPr>
            <w:tcW w:w="1680" w:type="dxa"/>
          </w:tcPr>
          <w:p>
            <w:pPr>
              <w:pStyle w:val="13"/>
              <w:spacing w:line="480" w:lineRule="auto"/>
              <w:ind w:firstLine="420" w:firstLineChars="200"/>
              <w:jc w:val="left"/>
              <w:rPr>
                <w:rFonts w:hAnsi="宋体" w:cs="宋体"/>
                <w:color w:val="000000"/>
                <w:kern w:val="2"/>
                <w:sz w:val="21"/>
                <w:highlight w:val="none"/>
              </w:rPr>
            </w:pPr>
          </w:p>
        </w:tc>
        <w:tc>
          <w:tcPr>
            <w:tcW w:w="2448" w:type="dxa"/>
          </w:tcPr>
          <w:p>
            <w:pPr>
              <w:pStyle w:val="13"/>
              <w:spacing w:line="480" w:lineRule="auto"/>
              <w:ind w:firstLine="420" w:firstLineChars="200"/>
              <w:jc w:val="left"/>
              <w:rPr>
                <w:rFonts w:hAnsi="宋体" w:cs="宋体"/>
                <w:color w:val="000000"/>
                <w:kern w:val="2"/>
                <w:sz w:val="21"/>
                <w:highlight w:val="none"/>
              </w:rPr>
            </w:pPr>
          </w:p>
        </w:tc>
        <w:tc>
          <w:tcPr>
            <w:tcW w:w="2042" w:type="dxa"/>
          </w:tcPr>
          <w:p>
            <w:pPr>
              <w:pStyle w:val="13"/>
              <w:spacing w:line="480" w:lineRule="auto"/>
              <w:ind w:firstLine="420" w:firstLineChars="200"/>
              <w:jc w:val="left"/>
              <w:rPr>
                <w:rFonts w:hAnsi="宋体" w:cs="宋体"/>
                <w:color w:val="000000"/>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20" w:firstLineChars="200"/>
              <w:jc w:val="left"/>
              <w:rPr>
                <w:rFonts w:hAnsi="宋体" w:cs="宋体"/>
                <w:color w:val="000000"/>
                <w:kern w:val="2"/>
                <w:sz w:val="21"/>
                <w:highlight w:val="none"/>
              </w:rPr>
            </w:pPr>
          </w:p>
        </w:tc>
        <w:tc>
          <w:tcPr>
            <w:tcW w:w="1614" w:type="dxa"/>
          </w:tcPr>
          <w:p>
            <w:pPr>
              <w:pStyle w:val="13"/>
              <w:spacing w:line="480" w:lineRule="auto"/>
              <w:ind w:firstLine="420" w:firstLineChars="200"/>
              <w:jc w:val="left"/>
              <w:rPr>
                <w:rFonts w:hAnsi="宋体" w:cs="宋体"/>
                <w:color w:val="000000"/>
                <w:kern w:val="2"/>
                <w:sz w:val="21"/>
                <w:highlight w:val="none"/>
              </w:rPr>
            </w:pPr>
          </w:p>
        </w:tc>
        <w:tc>
          <w:tcPr>
            <w:tcW w:w="1680" w:type="dxa"/>
          </w:tcPr>
          <w:p>
            <w:pPr>
              <w:pStyle w:val="13"/>
              <w:spacing w:line="480" w:lineRule="auto"/>
              <w:ind w:firstLine="420" w:firstLineChars="200"/>
              <w:jc w:val="left"/>
              <w:rPr>
                <w:rFonts w:hAnsi="宋体" w:cs="宋体"/>
                <w:color w:val="000000"/>
                <w:kern w:val="2"/>
                <w:sz w:val="21"/>
                <w:highlight w:val="none"/>
              </w:rPr>
            </w:pPr>
          </w:p>
        </w:tc>
        <w:tc>
          <w:tcPr>
            <w:tcW w:w="2448" w:type="dxa"/>
          </w:tcPr>
          <w:p>
            <w:pPr>
              <w:pStyle w:val="13"/>
              <w:spacing w:line="480" w:lineRule="auto"/>
              <w:ind w:firstLine="420" w:firstLineChars="200"/>
              <w:jc w:val="left"/>
              <w:rPr>
                <w:rFonts w:hAnsi="宋体" w:cs="宋体"/>
                <w:color w:val="000000"/>
                <w:kern w:val="2"/>
                <w:sz w:val="21"/>
                <w:highlight w:val="none"/>
              </w:rPr>
            </w:pPr>
          </w:p>
        </w:tc>
        <w:tc>
          <w:tcPr>
            <w:tcW w:w="2042" w:type="dxa"/>
          </w:tcPr>
          <w:p>
            <w:pPr>
              <w:pStyle w:val="13"/>
              <w:spacing w:line="480" w:lineRule="auto"/>
              <w:ind w:firstLine="420" w:firstLineChars="200"/>
              <w:jc w:val="left"/>
              <w:rPr>
                <w:rFonts w:hAnsi="宋体" w:cs="宋体"/>
                <w:color w:val="000000"/>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20" w:firstLineChars="200"/>
              <w:jc w:val="left"/>
              <w:rPr>
                <w:rFonts w:hAnsi="宋体" w:cs="宋体"/>
                <w:color w:val="000000"/>
                <w:kern w:val="2"/>
                <w:sz w:val="21"/>
                <w:highlight w:val="none"/>
              </w:rPr>
            </w:pPr>
          </w:p>
        </w:tc>
        <w:tc>
          <w:tcPr>
            <w:tcW w:w="1614" w:type="dxa"/>
          </w:tcPr>
          <w:p>
            <w:pPr>
              <w:pStyle w:val="13"/>
              <w:spacing w:line="480" w:lineRule="auto"/>
              <w:ind w:firstLine="420" w:firstLineChars="200"/>
              <w:jc w:val="left"/>
              <w:rPr>
                <w:rFonts w:hAnsi="宋体" w:cs="宋体"/>
                <w:color w:val="000000"/>
                <w:kern w:val="2"/>
                <w:sz w:val="21"/>
                <w:highlight w:val="none"/>
              </w:rPr>
            </w:pPr>
          </w:p>
        </w:tc>
        <w:tc>
          <w:tcPr>
            <w:tcW w:w="1680" w:type="dxa"/>
          </w:tcPr>
          <w:p>
            <w:pPr>
              <w:pStyle w:val="13"/>
              <w:spacing w:line="480" w:lineRule="auto"/>
              <w:ind w:firstLine="420" w:firstLineChars="200"/>
              <w:jc w:val="left"/>
              <w:rPr>
                <w:rFonts w:hAnsi="宋体" w:cs="宋体"/>
                <w:color w:val="000000"/>
                <w:kern w:val="2"/>
                <w:sz w:val="21"/>
                <w:highlight w:val="none"/>
              </w:rPr>
            </w:pPr>
          </w:p>
        </w:tc>
        <w:tc>
          <w:tcPr>
            <w:tcW w:w="2448" w:type="dxa"/>
          </w:tcPr>
          <w:p>
            <w:pPr>
              <w:pStyle w:val="13"/>
              <w:spacing w:line="480" w:lineRule="auto"/>
              <w:ind w:firstLine="420" w:firstLineChars="200"/>
              <w:jc w:val="left"/>
              <w:rPr>
                <w:rFonts w:hAnsi="宋体" w:cs="宋体"/>
                <w:color w:val="000000"/>
                <w:kern w:val="2"/>
                <w:sz w:val="21"/>
                <w:highlight w:val="none"/>
              </w:rPr>
            </w:pPr>
          </w:p>
        </w:tc>
        <w:tc>
          <w:tcPr>
            <w:tcW w:w="2042" w:type="dxa"/>
          </w:tcPr>
          <w:p>
            <w:pPr>
              <w:pStyle w:val="13"/>
              <w:spacing w:line="480" w:lineRule="auto"/>
              <w:ind w:firstLine="420" w:firstLineChars="200"/>
              <w:jc w:val="left"/>
              <w:rPr>
                <w:rFonts w:hAnsi="宋体" w:cs="宋体"/>
                <w:color w:val="000000"/>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20" w:firstLineChars="200"/>
              <w:jc w:val="left"/>
              <w:rPr>
                <w:rFonts w:hAnsi="宋体" w:cs="宋体"/>
                <w:color w:val="000000"/>
                <w:kern w:val="2"/>
                <w:sz w:val="21"/>
                <w:highlight w:val="none"/>
              </w:rPr>
            </w:pPr>
          </w:p>
        </w:tc>
        <w:tc>
          <w:tcPr>
            <w:tcW w:w="1614" w:type="dxa"/>
          </w:tcPr>
          <w:p>
            <w:pPr>
              <w:pStyle w:val="13"/>
              <w:spacing w:line="480" w:lineRule="auto"/>
              <w:ind w:firstLine="420" w:firstLineChars="200"/>
              <w:jc w:val="left"/>
              <w:rPr>
                <w:rFonts w:hAnsi="宋体" w:cs="宋体"/>
                <w:color w:val="000000"/>
                <w:kern w:val="2"/>
                <w:sz w:val="21"/>
                <w:highlight w:val="none"/>
              </w:rPr>
            </w:pPr>
          </w:p>
        </w:tc>
        <w:tc>
          <w:tcPr>
            <w:tcW w:w="1680" w:type="dxa"/>
          </w:tcPr>
          <w:p>
            <w:pPr>
              <w:pStyle w:val="13"/>
              <w:spacing w:line="480" w:lineRule="auto"/>
              <w:ind w:firstLine="420" w:firstLineChars="200"/>
              <w:jc w:val="left"/>
              <w:rPr>
                <w:rFonts w:hAnsi="宋体" w:cs="宋体"/>
                <w:color w:val="000000"/>
                <w:kern w:val="2"/>
                <w:sz w:val="21"/>
                <w:highlight w:val="none"/>
              </w:rPr>
            </w:pPr>
          </w:p>
        </w:tc>
        <w:tc>
          <w:tcPr>
            <w:tcW w:w="2448" w:type="dxa"/>
          </w:tcPr>
          <w:p>
            <w:pPr>
              <w:pStyle w:val="13"/>
              <w:spacing w:line="480" w:lineRule="auto"/>
              <w:ind w:firstLine="420" w:firstLineChars="200"/>
              <w:jc w:val="left"/>
              <w:rPr>
                <w:rFonts w:hAnsi="宋体" w:cs="宋体"/>
                <w:color w:val="000000"/>
                <w:kern w:val="2"/>
                <w:sz w:val="21"/>
                <w:highlight w:val="none"/>
              </w:rPr>
            </w:pPr>
          </w:p>
        </w:tc>
        <w:tc>
          <w:tcPr>
            <w:tcW w:w="2042" w:type="dxa"/>
          </w:tcPr>
          <w:p>
            <w:pPr>
              <w:pStyle w:val="13"/>
              <w:spacing w:line="480" w:lineRule="auto"/>
              <w:ind w:firstLine="420" w:firstLineChars="200"/>
              <w:jc w:val="left"/>
              <w:rPr>
                <w:rFonts w:hAnsi="宋体" w:cs="宋体"/>
                <w:color w:val="000000"/>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96" w:type="dxa"/>
          </w:tcPr>
          <w:p>
            <w:pPr>
              <w:pStyle w:val="13"/>
              <w:spacing w:line="480" w:lineRule="auto"/>
              <w:ind w:firstLine="420" w:firstLineChars="200"/>
              <w:jc w:val="left"/>
              <w:rPr>
                <w:rFonts w:hAnsi="宋体" w:cs="宋体"/>
                <w:color w:val="000000"/>
                <w:kern w:val="2"/>
                <w:sz w:val="21"/>
                <w:highlight w:val="none"/>
              </w:rPr>
            </w:pPr>
          </w:p>
        </w:tc>
        <w:tc>
          <w:tcPr>
            <w:tcW w:w="1614" w:type="dxa"/>
          </w:tcPr>
          <w:p>
            <w:pPr>
              <w:pStyle w:val="13"/>
              <w:spacing w:line="480" w:lineRule="auto"/>
              <w:jc w:val="left"/>
              <w:rPr>
                <w:rFonts w:hAnsi="宋体" w:cs="宋体"/>
                <w:color w:val="000000"/>
                <w:kern w:val="2"/>
                <w:sz w:val="21"/>
                <w:highlight w:val="none"/>
              </w:rPr>
            </w:pPr>
          </w:p>
        </w:tc>
        <w:tc>
          <w:tcPr>
            <w:tcW w:w="1680" w:type="dxa"/>
          </w:tcPr>
          <w:p>
            <w:pPr>
              <w:pStyle w:val="13"/>
              <w:spacing w:line="480" w:lineRule="auto"/>
              <w:ind w:firstLine="420" w:firstLineChars="200"/>
              <w:jc w:val="left"/>
              <w:rPr>
                <w:rFonts w:hAnsi="宋体" w:cs="宋体"/>
                <w:color w:val="000000"/>
                <w:kern w:val="2"/>
                <w:sz w:val="21"/>
                <w:highlight w:val="none"/>
              </w:rPr>
            </w:pPr>
          </w:p>
        </w:tc>
        <w:tc>
          <w:tcPr>
            <w:tcW w:w="2448" w:type="dxa"/>
          </w:tcPr>
          <w:p>
            <w:pPr>
              <w:pStyle w:val="13"/>
              <w:spacing w:line="480" w:lineRule="auto"/>
              <w:ind w:firstLine="420" w:firstLineChars="200"/>
              <w:jc w:val="left"/>
              <w:rPr>
                <w:rFonts w:hAnsi="宋体" w:cs="宋体"/>
                <w:color w:val="000000"/>
                <w:kern w:val="2"/>
                <w:sz w:val="21"/>
                <w:highlight w:val="none"/>
              </w:rPr>
            </w:pPr>
          </w:p>
        </w:tc>
        <w:tc>
          <w:tcPr>
            <w:tcW w:w="2042" w:type="dxa"/>
          </w:tcPr>
          <w:p>
            <w:pPr>
              <w:pStyle w:val="13"/>
              <w:spacing w:line="480" w:lineRule="auto"/>
              <w:ind w:firstLine="420" w:firstLineChars="200"/>
              <w:jc w:val="left"/>
              <w:rPr>
                <w:rFonts w:hAnsi="宋体" w:cs="宋体"/>
                <w:color w:val="000000"/>
                <w:kern w:val="2"/>
                <w:sz w:val="21"/>
                <w:highlight w:val="none"/>
              </w:rPr>
            </w:pPr>
          </w:p>
        </w:tc>
      </w:tr>
    </w:tbl>
    <w:p>
      <w:pPr>
        <w:pStyle w:val="6"/>
        <w:ind w:firstLine="0"/>
        <w:rPr>
          <w:rFonts w:ascii="宋体" w:hAnsi="宋体"/>
          <w:b/>
          <w:bCs/>
          <w:color w:val="000000"/>
          <w:sz w:val="28"/>
          <w:szCs w:val="28"/>
          <w:highlight w:val="none"/>
        </w:rPr>
      </w:pPr>
      <w:r>
        <w:rPr>
          <w:rFonts w:hint="eastAsia" w:ascii="宋体" w:hAnsi="宋体"/>
          <w:b/>
          <w:bCs/>
          <w:color w:val="000000"/>
          <w:sz w:val="28"/>
          <w:szCs w:val="28"/>
          <w:highlight w:val="none"/>
        </w:rPr>
        <w:t>填写说明：供应商对本项目付款、</w:t>
      </w:r>
      <w:r>
        <w:rPr>
          <w:rFonts w:hint="eastAsia" w:ascii="宋体" w:hAnsi="宋体"/>
          <w:b/>
          <w:bCs/>
          <w:color w:val="000000"/>
          <w:sz w:val="28"/>
          <w:szCs w:val="28"/>
          <w:highlight w:val="none"/>
          <w:lang w:eastAsia="zh-CN"/>
        </w:rPr>
        <w:t>交货期</w:t>
      </w:r>
      <w:r>
        <w:rPr>
          <w:rFonts w:hint="eastAsia" w:ascii="宋体" w:hAnsi="宋体"/>
          <w:b/>
          <w:bCs/>
          <w:color w:val="000000"/>
          <w:sz w:val="28"/>
          <w:szCs w:val="28"/>
          <w:highlight w:val="none"/>
        </w:rPr>
        <w:t>、质保期等商务方面进行响应说明，并保证响应的真实性。</w:t>
      </w:r>
    </w:p>
    <w:p>
      <w:pPr>
        <w:pStyle w:val="6"/>
        <w:ind w:firstLine="0"/>
        <w:rPr>
          <w:rFonts w:ascii="宋体" w:hAnsi="宋体"/>
          <w:b/>
          <w:bCs/>
          <w:color w:val="000000"/>
          <w:sz w:val="28"/>
          <w:szCs w:val="28"/>
          <w:highlight w:val="none"/>
        </w:rPr>
      </w:pPr>
      <w:r>
        <w:rPr>
          <w:rFonts w:hint="eastAsia" w:ascii="宋体" w:hAnsi="宋体"/>
          <w:b/>
          <w:bCs/>
          <w:color w:val="000000"/>
          <w:sz w:val="28"/>
          <w:szCs w:val="28"/>
          <w:highlight w:val="none"/>
        </w:rPr>
        <w:t>偏差说明填写：正偏离（标明正偏离内容）、符合。</w:t>
      </w:r>
    </w:p>
    <w:p>
      <w:pPr>
        <w:pStyle w:val="6"/>
        <w:ind w:firstLine="0"/>
        <w:rPr>
          <w:rFonts w:ascii="宋体" w:hAnsi="宋体"/>
          <w:sz w:val="28"/>
          <w:szCs w:val="28"/>
          <w:highlight w:val="none"/>
        </w:rPr>
      </w:pPr>
      <w:r>
        <w:rPr>
          <w:rFonts w:hint="eastAsia" w:ascii="宋体" w:hAnsi="宋体" w:eastAsia="宋体" w:cs="宋体"/>
          <w:b/>
          <w:bCs/>
          <w:sz w:val="28"/>
          <w:szCs w:val="28"/>
          <w:highlight w:val="none"/>
        </w:rPr>
        <w:t>商务条款不允许负偏离；如未填写完整，视为全部响应；</w:t>
      </w:r>
    </w:p>
    <w:p>
      <w:pPr>
        <w:pStyle w:val="6"/>
        <w:ind w:firstLine="0"/>
        <w:rPr>
          <w:rFonts w:ascii="宋体" w:hAnsi="宋体"/>
          <w:color w:val="000000"/>
          <w:sz w:val="28"/>
          <w:szCs w:val="28"/>
          <w:highlight w:val="none"/>
        </w:rPr>
      </w:pPr>
    </w:p>
    <w:p>
      <w:pPr>
        <w:adjustRightInd w:val="0"/>
        <w:snapToGrid w:val="0"/>
        <w:spacing w:line="480" w:lineRule="auto"/>
        <w:jc w:val="left"/>
        <w:rPr>
          <w:rFonts w:ascii="宋体" w:hAnsi="宋体" w:cs="宋体"/>
          <w:color w:val="000000"/>
          <w:sz w:val="28"/>
          <w:szCs w:val="28"/>
          <w:highlight w:val="none"/>
        </w:rPr>
      </w:pPr>
    </w:p>
    <w:p>
      <w:pPr>
        <w:adjustRightInd w:val="0"/>
        <w:snapToGrid w:val="0"/>
        <w:spacing w:line="480" w:lineRule="auto"/>
        <w:jc w:val="left"/>
        <w:rPr>
          <w:rFonts w:ascii="宋体" w:hAnsi="宋体" w:cs="宋体"/>
          <w:color w:val="000000"/>
          <w:sz w:val="28"/>
          <w:szCs w:val="28"/>
          <w:highlight w:val="none"/>
          <w:u w:val="single"/>
        </w:rPr>
      </w:pPr>
      <w:r>
        <w:rPr>
          <w:rFonts w:hint="eastAsia" w:ascii="宋体" w:hAnsi="宋体" w:cs="宋体"/>
          <w:color w:val="000000"/>
          <w:sz w:val="28"/>
          <w:szCs w:val="28"/>
          <w:highlight w:val="none"/>
        </w:rPr>
        <w:t>供应商（单位名称及公章）：</w:t>
      </w:r>
    </w:p>
    <w:p>
      <w:pPr>
        <w:adjustRightInd w:val="0"/>
        <w:snapToGrid w:val="0"/>
        <w:spacing w:line="480" w:lineRule="auto"/>
        <w:rPr>
          <w:rFonts w:ascii="宋体" w:hAnsi="宋体" w:cs="宋体"/>
          <w:color w:val="000000"/>
          <w:sz w:val="28"/>
          <w:szCs w:val="28"/>
          <w:highlight w:val="none"/>
        </w:rPr>
      </w:pPr>
      <w:r>
        <w:rPr>
          <w:rFonts w:hint="eastAsia" w:ascii="宋体" w:hAnsi="宋体" w:cs="宋体"/>
          <w:color w:val="000000"/>
          <w:sz w:val="28"/>
          <w:szCs w:val="28"/>
          <w:highlight w:val="none"/>
        </w:rPr>
        <w:t>法定代表人或被授权人（签字或盖章）：</w:t>
      </w:r>
    </w:p>
    <w:p>
      <w:pPr>
        <w:adjustRightInd w:val="0"/>
        <w:snapToGrid w:val="0"/>
        <w:spacing w:line="480" w:lineRule="auto"/>
        <w:rPr>
          <w:rFonts w:ascii="宋体" w:hAnsi="宋体"/>
          <w:color w:val="000000"/>
          <w:sz w:val="28"/>
          <w:szCs w:val="28"/>
          <w:highlight w:val="none"/>
        </w:rPr>
        <w:sectPr>
          <w:pgSz w:w="11906" w:h="16838"/>
          <w:pgMar w:top="1440" w:right="1803" w:bottom="1440" w:left="1803" w:header="850" w:footer="992" w:gutter="0"/>
          <w:pgNumType w:fmt="decimal"/>
          <w:cols w:space="0" w:num="1"/>
          <w:rtlGutter w:val="1"/>
          <w:docGrid w:type="lines" w:linePitch="319" w:charSpace="0"/>
        </w:sectPr>
      </w:pPr>
      <w:r>
        <w:rPr>
          <w:rFonts w:hint="eastAsia" w:ascii="宋体" w:hAnsi="宋体" w:cs="宋体"/>
          <w:color w:val="000000"/>
          <w:sz w:val="28"/>
          <w:szCs w:val="28"/>
          <w:highlight w:val="none"/>
        </w:rPr>
        <w:t>日    期：年月日</w:t>
      </w:r>
    </w:p>
    <w:p>
      <w:pPr>
        <w:pStyle w:val="24"/>
        <w:ind w:firstLine="280"/>
        <w:rPr>
          <w:rFonts w:ascii="宋体" w:hAnsi="宋体" w:cs="宋体"/>
          <w:color w:val="000000"/>
          <w:sz w:val="28"/>
          <w:szCs w:val="28"/>
          <w:highlight w:val="none"/>
        </w:rPr>
      </w:pPr>
      <w:r>
        <w:rPr>
          <w:rFonts w:hint="eastAsia" w:ascii="宋体" w:hAnsi="宋体" w:cs="宋体"/>
          <w:color w:val="000000"/>
          <w:sz w:val="28"/>
          <w:szCs w:val="28"/>
          <w:highlight w:val="none"/>
        </w:rPr>
        <w:t>表2、投标产品技术偏差表</w:t>
      </w:r>
    </w:p>
    <w:tbl>
      <w:tblPr>
        <w:tblStyle w:val="25"/>
        <w:tblW w:w="875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35"/>
        <w:gridCol w:w="2084"/>
        <w:gridCol w:w="2216"/>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51" w:type="dxa"/>
            <w:vAlign w:val="center"/>
          </w:tcPr>
          <w:p>
            <w:pPr>
              <w:pStyle w:val="13"/>
              <w:spacing w:line="480" w:lineRule="auto"/>
              <w:jc w:val="center"/>
              <w:rPr>
                <w:rFonts w:hAnsi="宋体"/>
                <w:sz w:val="24"/>
                <w:szCs w:val="24"/>
                <w:highlight w:val="none"/>
              </w:rPr>
            </w:pPr>
            <w:r>
              <w:rPr>
                <w:rFonts w:hint="eastAsia" w:hAnsi="宋体"/>
                <w:sz w:val="24"/>
                <w:szCs w:val="24"/>
                <w:highlight w:val="none"/>
              </w:rPr>
              <w:t>序号</w:t>
            </w:r>
          </w:p>
        </w:tc>
        <w:tc>
          <w:tcPr>
            <w:tcW w:w="2135" w:type="dxa"/>
            <w:vAlign w:val="center"/>
          </w:tcPr>
          <w:p>
            <w:pPr>
              <w:pStyle w:val="13"/>
              <w:spacing w:line="480" w:lineRule="auto"/>
              <w:ind w:firstLine="480" w:firstLineChars="200"/>
              <w:jc w:val="left"/>
              <w:rPr>
                <w:rFonts w:hAnsi="宋体"/>
                <w:sz w:val="24"/>
                <w:szCs w:val="24"/>
                <w:highlight w:val="none"/>
              </w:rPr>
            </w:pPr>
            <w:r>
              <w:rPr>
                <w:rFonts w:hint="eastAsia" w:hAnsi="宋体"/>
                <w:sz w:val="24"/>
                <w:szCs w:val="24"/>
                <w:highlight w:val="none"/>
              </w:rPr>
              <w:t>产品名称</w:t>
            </w:r>
          </w:p>
        </w:tc>
        <w:tc>
          <w:tcPr>
            <w:tcW w:w="2084" w:type="dxa"/>
            <w:vAlign w:val="center"/>
          </w:tcPr>
          <w:p>
            <w:pPr>
              <w:pStyle w:val="13"/>
              <w:spacing w:line="480" w:lineRule="auto"/>
              <w:ind w:firstLine="480" w:firstLineChars="200"/>
              <w:jc w:val="left"/>
              <w:rPr>
                <w:rFonts w:hint="eastAsia" w:hAnsi="宋体"/>
                <w:sz w:val="24"/>
                <w:szCs w:val="24"/>
                <w:highlight w:val="none"/>
                <w:lang w:eastAsia="zh-CN"/>
              </w:rPr>
            </w:pPr>
            <w:r>
              <w:rPr>
                <w:rFonts w:hint="eastAsia" w:hAnsi="宋体"/>
                <w:sz w:val="24"/>
                <w:szCs w:val="24"/>
                <w:highlight w:val="none"/>
                <w:lang w:eastAsia="zh-CN"/>
              </w:rPr>
              <w:t>文件要求</w:t>
            </w:r>
          </w:p>
          <w:p>
            <w:pPr>
              <w:pStyle w:val="13"/>
              <w:spacing w:line="480" w:lineRule="auto"/>
              <w:ind w:firstLine="480" w:firstLineChars="200"/>
              <w:jc w:val="left"/>
              <w:rPr>
                <w:rFonts w:hAnsi="宋体"/>
                <w:sz w:val="24"/>
                <w:szCs w:val="24"/>
                <w:highlight w:val="none"/>
              </w:rPr>
            </w:pPr>
            <w:r>
              <w:rPr>
                <w:rFonts w:hint="eastAsia" w:hAnsi="宋体"/>
                <w:sz w:val="24"/>
                <w:szCs w:val="24"/>
                <w:highlight w:val="none"/>
              </w:rPr>
              <w:t>技术指标</w:t>
            </w:r>
          </w:p>
        </w:tc>
        <w:tc>
          <w:tcPr>
            <w:tcW w:w="2216" w:type="dxa"/>
            <w:vAlign w:val="center"/>
          </w:tcPr>
          <w:p>
            <w:pPr>
              <w:pStyle w:val="13"/>
              <w:spacing w:line="480" w:lineRule="auto"/>
              <w:ind w:firstLine="480" w:firstLineChars="200"/>
              <w:rPr>
                <w:rFonts w:hAnsi="宋体"/>
                <w:sz w:val="24"/>
                <w:szCs w:val="24"/>
                <w:highlight w:val="none"/>
              </w:rPr>
            </w:pPr>
            <w:r>
              <w:rPr>
                <w:rFonts w:hint="eastAsia" w:hAnsi="宋体"/>
                <w:sz w:val="24"/>
                <w:szCs w:val="24"/>
                <w:highlight w:val="none"/>
                <w:lang w:eastAsia="zh-CN"/>
              </w:rPr>
              <w:t>投标</w:t>
            </w:r>
            <w:r>
              <w:rPr>
                <w:rFonts w:hint="eastAsia" w:hAnsi="宋体"/>
                <w:sz w:val="24"/>
                <w:szCs w:val="24"/>
                <w:highlight w:val="none"/>
              </w:rPr>
              <w:t>产品</w:t>
            </w:r>
          </w:p>
          <w:p>
            <w:pPr>
              <w:pStyle w:val="13"/>
              <w:spacing w:line="480" w:lineRule="auto"/>
              <w:ind w:firstLine="480" w:firstLineChars="200"/>
              <w:rPr>
                <w:rFonts w:hAnsi="宋体"/>
                <w:sz w:val="24"/>
                <w:szCs w:val="24"/>
                <w:highlight w:val="none"/>
              </w:rPr>
            </w:pPr>
            <w:r>
              <w:rPr>
                <w:rFonts w:hint="eastAsia" w:hAnsi="宋体"/>
                <w:sz w:val="24"/>
                <w:szCs w:val="24"/>
                <w:highlight w:val="none"/>
              </w:rPr>
              <w:t>技术指标</w:t>
            </w:r>
          </w:p>
        </w:tc>
        <w:tc>
          <w:tcPr>
            <w:tcW w:w="1470" w:type="dxa"/>
            <w:vAlign w:val="center"/>
          </w:tcPr>
          <w:p>
            <w:pPr>
              <w:pStyle w:val="13"/>
              <w:spacing w:line="480" w:lineRule="auto"/>
              <w:jc w:val="center"/>
              <w:rPr>
                <w:rFonts w:hAnsi="宋体"/>
                <w:sz w:val="24"/>
                <w:szCs w:val="24"/>
                <w:highlight w:val="none"/>
              </w:rPr>
            </w:pPr>
            <w:r>
              <w:rPr>
                <w:rFonts w:hint="eastAsia" w:hAnsi="宋体"/>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center"/>
          </w:tcPr>
          <w:p>
            <w:pPr>
              <w:pStyle w:val="13"/>
              <w:spacing w:line="480" w:lineRule="auto"/>
              <w:ind w:firstLine="480" w:firstLineChars="200"/>
              <w:jc w:val="left"/>
              <w:rPr>
                <w:rFonts w:hAnsi="宋体"/>
                <w:sz w:val="24"/>
                <w:szCs w:val="24"/>
                <w:highlight w:val="none"/>
              </w:rPr>
            </w:pPr>
          </w:p>
        </w:tc>
        <w:tc>
          <w:tcPr>
            <w:tcW w:w="2216" w:type="dxa"/>
            <w:vAlign w:val="center"/>
          </w:tcPr>
          <w:p>
            <w:pPr>
              <w:pStyle w:val="13"/>
              <w:spacing w:line="480" w:lineRule="auto"/>
              <w:ind w:firstLine="480" w:firstLineChars="200"/>
              <w:jc w:val="left"/>
              <w:rPr>
                <w:rFonts w:hAnsi="宋体"/>
                <w:sz w:val="24"/>
                <w:szCs w:val="24"/>
                <w:highlight w:val="none"/>
              </w:rPr>
            </w:pPr>
          </w:p>
        </w:tc>
        <w:tc>
          <w:tcPr>
            <w:tcW w:w="1470" w:type="dxa"/>
            <w:vAlign w:val="center"/>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bl>
    <w:p>
      <w:pPr>
        <w:pStyle w:val="13"/>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说明：</w:t>
      </w:r>
      <w:r>
        <w:rPr>
          <w:rFonts w:hint="eastAsia" w:hAnsi="宋体" w:eastAsia="宋体" w:cs="宋体"/>
          <w:sz w:val="28"/>
          <w:szCs w:val="28"/>
          <w:highlight w:val="none"/>
        </w:rPr>
        <w:t>请按招标文件技术要求的内容，逐条对应投标文件的“采购要求”中的</w:t>
      </w:r>
      <w:r>
        <w:rPr>
          <w:rFonts w:hint="eastAsia" w:hAnsi="宋体" w:eastAsia="宋体" w:cs="宋体"/>
          <w:sz w:val="28"/>
          <w:szCs w:val="28"/>
          <w:highlight w:val="none"/>
          <w:lang w:val="en-US" w:eastAsia="zh-CN"/>
        </w:rPr>
        <w:t>详细参数</w:t>
      </w:r>
      <w:r>
        <w:rPr>
          <w:rFonts w:hint="eastAsia" w:hAnsi="宋体" w:eastAsia="宋体" w:cs="宋体"/>
          <w:sz w:val="28"/>
          <w:szCs w:val="28"/>
          <w:highlight w:val="none"/>
        </w:rPr>
        <w:t>认真填写本表。偏差说明填写：正偏离（标明正偏离内容及正偏离的证明材料的页码）、符合（标明主要技术参数证明材料页码）或负偏离。</w:t>
      </w:r>
    </w:p>
    <w:p>
      <w:pPr>
        <w:adjustRightInd w:val="0"/>
        <w:snapToGrid w:val="0"/>
        <w:spacing w:line="480" w:lineRule="auto"/>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供应商（单位名称及公章）：_________________________</w:t>
      </w:r>
    </w:p>
    <w:p>
      <w:pPr>
        <w:adjustRightInd w:val="0"/>
        <w:snapToGrid w:val="0"/>
        <w:spacing w:line="480"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法定代表人或被授权人（签字或盖章）：____________________</w:t>
      </w:r>
    </w:p>
    <w:p>
      <w:pPr>
        <w:adjustRightInd w:val="0"/>
        <w:snapToGrid w:val="0"/>
        <w:spacing w:line="480" w:lineRule="auto"/>
        <w:rPr>
          <w:rFonts w:ascii="宋体" w:hAnsi="宋体" w:cs="宋体"/>
          <w:color w:val="000000"/>
          <w:sz w:val="28"/>
          <w:szCs w:val="28"/>
          <w:highlight w:val="none"/>
        </w:rPr>
        <w:sectPr>
          <w:pgSz w:w="11906" w:h="16838"/>
          <w:pgMar w:top="1440" w:right="1803" w:bottom="1440" w:left="1803" w:header="850" w:footer="992" w:gutter="0"/>
          <w:pgNumType w:fmt="decimal"/>
          <w:cols w:space="0" w:num="1"/>
          <w:rtlGutter w:val="1"/>
          <w:docGrid w:type="lines" w:linePitch="319" w:charSpace="0"/>
        </w:sectPr>
      </w:pPr>
      <w:r>
        <w:rPr>
          <w:rFonts w:hint="eastAsia" w:asciiTheme="minorEastAsia" w:hAnsiTheme="minorEastAsia" w:eastAsiaTheme="minorEastAsia" w:cstheme="minorEastAsia"/>
          <w:sz w:val="24"/>
          <w:szCs w:val="24"/>
          <w:highlight w:val="none"/>
        </w:rPr>
        <w:t>日    期：_____年_____月_____日</w:t>
      </w:r>
    </w:p>
    <w:p>
      <w:pPr>
        <w:pStyle w:val="4"/>
        <w:spacing w:before="325" w:beforeLines="100" w:after="487" w:afterLines="150" w:line="500" w:lineRule="exact"/>
        <w:rPr>
          <w:rFonts w:asciiTheme="minorEastAsia" w:hAnsiTheme="minorEastAsia" w:eastAsiaTheme="minorEastAsia" w:cstheme="minorEastAsia"/>
          <w:color w:val="000000" w:themeColor="text1"/>
          <w:sz w:val="36"/>
          <w:szCs w:val="36"/>
          <w:highlight w:val="none"/>
          <w14:textFill>
            <w14:solidFill>
              <w14:schemeClr w14:val="tx1"/>
            </w14:solidFill>
          </w14:textFill>
        </w:rPr>
      </w:pPr>
      <w:bookmarkStart w:id="299" w:name="_Toc18357"/>
      <w:bookmarkStart w:id="300" w:name="_Toc18"/>
      <w:bookmarkStart w:id="301" w:name="_Toc31024"/>
      <w:bookmarkStart w:id="302" w:name="_Toc8786"/>
      <w:bookmarkStart w:id="303" w:name="_Toc31399"/>
      <w:bookmarkStart w:id="304" w:name="_Toc25109"/>
      <w:bookmarkStart w:id="305" w:name="_Toc22439"/>
      <w:bookmarkStart w:id="306" w:name="OLE_LINK1"/>
      <w:bookmarkStart w:id="307" w:name="_Toc10525"/>
      <w:bookmarkStart w:id="308" w:name="_Toc32514"/>
      <w:bookmarkStart w:id="309" w:name="_Toc15860"/>
      <w:r>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t>第七章</w:t>
      </w:r>
      <w:bookmarkEnd w:id="299"/>
      <w:r>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t xml:space="preserve">  技术支持资料</w:t>
      </w:r>
      <w:bookmarkEnd w:id="300"/>
      <w:bookmarkEnd w:id="301"/>
      <w:bookmarkEnd w:id="302"/>
      <w:bookmarkEnd w:id="303"/>
      <w:bookmarkEnd w:id="304"/>
    </w:p>
    <w:p>
      <w:pPr>
        <w:rPr>
          <w:rFonts w:ascii="宋体" w:hAnsi="宋体" w:cs="宋体"/>
          <w:b/>
          <w:bCs/>
          <w:sz w:val="24"/>
          <w:szCs w:val="24"/>
          <w:highlight w:val="none"/>
        </w:rPr>
      </w:pPr>
      <w:r>
        <w:rPr>
          <w:rFonts w:hint="eastAsia"/>
          <w:b/>
          <w:bCs/>
          <w:color w:val="000000" w:themeColor="text1"/>
          <w:sz w:val="36"/>
          <w:szCs w:val="36"/>
          <w:highlight w:val="none"/>
          <w:lang w:val="en-US" w:eastAsia="zh-CN"/>
          <w14:textFill>
            <w14:solidFill>
              <w14:schemeClr w14:val="tx1"/>
            </w14:solidFill>
          </w14:textFill>
        </w:rPr>
        <w:t>供应商</w:t>
      </w:r>
      <w:r>
        <w:rPr>
          <w:rFonts w:hint="eastAsia"/>
          <w:b/>
          <w:bCs/>
          <w:color w:val="000000" w:themeColor="text1"/>
          <w:sz w:val="36"/>
          <w:szCs w:val="36"/>
          <w:highlight w:val="none"/>
          <w14:textFill>
            <w14:solidFill>
              <w14:schemeClr w14:val="tx1"/>
            </w14:solidFill>
          </w14:textFill>
        </w:rPr>
        <w:t>可根据评审</w:t>
      </w:r>
      <w:r>
        <w:rPr>
          <w:rFonts w:hint="eastAsia"/>
          <w:b/>
          <w:bCs/>
          <w:color w:val="000000" w:themeColor="text1"/>
          <w:sz w:val="36"/>
          <w:szCs w:val="36"/>
          <w:highlight w:val="none"/>
          <w:lang w:val="en-US" w:eastAsia="zh-CN"/>
          <w14:textFill>
            <w14:solidFill>
              <w14:schemeClr w14:val="tx1"/>
            </w14:solidFill>
          </w14:textFill>
        </w:rPr>
        <w:t>标准</w:t>
      </w:r>
      <w:r>
        <w:rPr>
          <w:rFonts w:hint="eastAsia"/>
          <w:b/>
          <w:bCs/>
          <w:color w:val="000000" w:themeColor="text1"/>
          <w:sz w:val="36"/>
          <w:szCs w:val="36"/>
          <w:highlight w:val="none"/>
          <w14:textFill>
            <w14:solidFill>
              <w14:schemeClr w14:val="tx1"/>
            </w14:solidFill>
          </w14:textFill>
        </w:rPr>
        <w:t>自行编写</w:t>
      </w:r>
      <w:r>
        <w:rPr>
          <w:rFonts w:hint="eastAsia"/>
          <w:b/>
          <w:bCs/>
          <w:color w:val="000000" w:themeColor="text1"/>
          <w:sz w:val="36"/>
          <w:szCs w:val="36"/>
          <w:highlight w:val="none"/>
          <w:lang w:eastAsia="zh-CN"/>
          <w14:textFill>
            <w14:solidFill>
              <w14:schemeClr w14:val="tx1"/>
            </w14:solidFill>
          </w14:textFill>
        </w:rPr>
        <w:t>。</w:t>
      </w:r>
    </w:p>
    <w:p>
      <w:pPr>
        <w:rPr>
          <w:rFonts w:ascii="宋体" w:hAnsi="宋体" w:cs="宋体"/>
          <w:b/>
          <w:bCs/>
          <w:sz w:val="24"/>
          <w:szCs w:val="24"/>
          <w:highlight w:val="none"/>
        </w:rPr>
      </w:pPr>
      <w:r>
        <w:rPr>
          <w:rFonts w:hint="eastAsia" w:ascii="宋体" w:hAnsi="宋体" w:cs="宋体"/>
          <w:b/>
          <w:bCs/>
          <w:sz w:val="24"/>
          <w:szCs w:val="24"/>
          <w:highlight w:val="none"/>
        </w:rPr>
        <w:br w:type="page"/>
      </w:r>
    </w:p>
    <w:p>
      <w:pPr>
        <w:jc w:val="center"/>
        <w:outlineLvl w:val="1"/>
        <w:rPr>
          <w:color w:val="000000"/>
          <w:highlight w:val="none"/>
        </w:rPr>
      </w:pPr>
      <w:bookmarkStart w:id="310" w:name="_Toc950"/>
      <w:r>
        <w:rPr>
          <w:rFonts w:hint="eastAsia" w:asciiTheme="minorEastAsia" w:hAnsiTheme="minorEastAsia" w:eastAsiaTheme="minorEastAsia" w:cstheme="minorEastAsia"/>
          <w:b/>
          <w:bCs/>
          <w:color w:val="000000" w:themeColor="text1"/>
          <w:kern w:val="0"/>
          <w:sz w:val="36"/>
          <w:szCs w:val="36"/>
          <w:highlight w:val="none"/>
          <w:lang w:val="en-US" w:eastAsia="zh-CN" w:bidi="ar-SA"/>
          <w14:textFill>
            <w14:solidFill>
              <w14:schemeClr w14:val="tx1"/>
            </w14:solidFill>
          </w14:textFill>
        </w:rPr>
        <w:t xml:space="preserve">第八章  </w:t>
      </w:r>
      <w:bookmarkStart w:id="311" w:name="_Toc24967"/>
      <w:r>
        <w:rPr>
          <w:rFonts w:hint="eastAsia" w:asciiTheme="minorEastAsia" w:hAnsiTheme="minorEastAsia" w:eastAsiaTheme="minorEastAsia" w:cstheme="minorEastAsia"/>
          <w:b/>
          <w:bCs/>
          <w:color w:val="000000" w:themeColor="text1"/>
          <w:kern w:val="0"/>
          <w:sz w:val="36"/>
          <w:szCs w:val="36"/>
          <w:highlight w:val="none"/>
          <w:lang w:val="en-US" w:eastAsia="zh-CN" w:bidi="ar-SA"/>
          <w14:textFill>
            <w14:solidFill>
              <w14:schemeClr w14:val="tx1"/>
            </w14:solidFill>
          </w14:textFill>
        </w:rPr>
        <w:t>实施方案及服务保障</w:t>
      </w:r>
      <w:bookmarkEnd w:id="310"/>
      <w:bookmarkEnd w:id="311"/>
    </w:p>
    <w:p>
      <w:pPr>
        <w:rPr>
          <w:highlight w:val="none"/>
        </w:rPr>
      </w:pPr>
      <w:r>
        <w:rPr>
          <w:highlight w:val="none"/>
        </w:rPr>
        <w:br w:type="page"/>
      </w:r>
    </w:p>
    <w:p>
      <w:pPr>
        <w:pStyle w:val="4"/>
        <w:rPr>
          <w:highlight w:val="none"/>
        </w:rPr>
      </w:pPr>
      <w:bookmarkStart w:id="312" w:name="_Toc14300"/>
      <w:bookmarkStart w:id="313" w:name="_Toc23063"/>
      <w:r>
        <w:rPr>
          <w:rFonts w:hint="eastAsia"/>
          <w:highlight w:val="none"/>
        </w:rPr>
        <w:t>第</w:t>
      </w:r>
      <w:r>
        <w:rPr>
          <w:rFonts w:hint="eastAsia"/>
          <w:highlight w:val="none"/>
          <w:lang w:val="en-US" w:eastAsia="zh-CN"/>
        </w:rPr>
        <w:t>九</w:t>
      </w:r>
      <w:r>
        <w:rPr>
          <w:rFonts w:hint="eastAsia"/>
          <w:highlight w:val="none"/>
        </w:rPr>
        <w:t xml:space="preserve">章  </w:t>
      </w:r>
      <w:r>
        <w:rPr>
          <w:rFonts w:hint="eastAsia"/>
          <w:highlight w:val="none"/>
          <w:lang w:eastAsia="zh-CN"/>
        </w:rPr>
        <w:t>供应商</w:t>
      </w:r>
      <w:r>
        <w:rPr>
          <w:rFonts w:hint="eastAsia"/>
          <w:highlight w:val="none"/>
        </w:rPr>
        <w:t>业绩一览表</w:t>
      </w:r>
      <w:bookmarkEnd w:id="312"/>
      <w:bookmarkEnd w:id="313"/>
    </w:p>
    <w:p>
      <w:pPr>
        <w:rPr>
          <w:rFonts w:asciiTheme="minorEastAsia" w:hAnsiTheme="minorEastAsia" w:cstheme="minorEastAsia"/>
          <w:highlight w:val="none"/>
        </w:rPr>
      </w:pPr>
    </w:p>
    <w:tbl>
      <w:tblPr>
        <w:tblStyle w:val="25"/>
        <w:tblpPr w:leftFromText="180" w:rightFromText="180" w:vertAnchor="text" w:horzAnchor="page" w:tblpX="1453" w:tblpY="35"/>
        <w:tblOverlap w:val="never"/>
        <w:tblW w:w="92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4"/>
        <w:gridCol w:w="1508"/>
        <w:gridCol w:w="1382"/>
        <w:gridCol w:w="1399"/>
        <w:gridCol w:w="1485"/>
        <w:gridCol w:w="1576"/>
        <w:gridCol w:w="10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4" w:hRule="atLeast"/>
        </w:trPr>
        <w:tc>
          <w:tcPr>
            <w:tcW w:w="754" w:type="dxa"/>
            <w:tcBorders>
              <w:top w:val="single" w:color="auto" w:sz="4" w:space="0"/>
            </w:tcBorders>
            <w:vAlign w:val="center"/>
          </w:tcPr>
          <w:p>
            <w:pPr>
              <w:spacing w:line="400" w:lineRule="exact"/>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年份</w:t>
            </w:r>
          </w:p>
        </w:tc>
        <w:tc>
          <w:tcPr>
            <w:tcW w:w="1508" w:type="dxa"/>
            <w:vAlign w:val="center"/>
          </w:tcPr>
          <w:p>
            <w:pPr>
              <w:spacing w:line="400" w:lineRule="exact"/>
              <w:jc w:val="center"/>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用户名称</w:t>
            </w:r>
          </w:p>
        </w:tc>
        <w:tc>
          <w:tcPr>
            <w:tcW w:w="1382" w:type="dxa"/>
            <w:vAlign w:val="center"/>
          </w:tcPr>
          <w:p>
            <w:pPr>
              <w:spacing w:line="400" w:lineRule="exact"/>
              <w:jc w:val="center"/>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项目名称</w:t>
            </w:r>
          </w:p>
        </w:tc>
        <w:tc>
          <w:tcPr>
            <w:tcW w:w="1399" w:type="dxa"/>
            <w:vAlign w:val="center"/>
          </w:tcPr>
          <w:p>
            <w:pPr>
              <w:spacing w:line="400" w:lineRule="exact"/>
              <w:jc w:val="center"/>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完成时间</w:t>
            </w:r>
          </w:p>
        </w:tc>
        <w:tc>
          <w:tcPr>
            <w:tcW w:w="1485" w:type="dxa"/>
            <w:vAlign w:val="center"/>
          </w:tcPr>
          <w:p>
            <w:pPr>
              <w:spacing w:line="400" w:lineRule="exact"/>
              <w:ind w:firstLine="105" w:firstLineChars="50"/>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合同金额</w:t>
            </w:r>
          </w:p>
        </w:tc>
        <w:tc>
          <w:tcPr>
            <w:tcW w:w="1576" w:type="dxa"/>
            <w:tcBorders>
              <w:right w:val="single" w:color="auto" w:sz="4" w:space="0"/>
            </w:tcBorders>
            <w:vAlign w:val="center"/>
          </w:tcPr>
          <w:p>
            <w:pPr>
              <w:spacing w:line="400" w:lineRule="exact"/>
              <w:ind w:left="204" w:hanging="203" w:hangingChars="97"/>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完成项目质量</w:t>
            </w:r>
          </w:p>
        </w:tc>
        <w:tc>
          <w:tcPr>
            <w:tcW w:w="1096" w:type="dxa"/>
            <w:tcBorders>
              <w:left w:val="single" w:color="auto" w:sz="4" w:space="0"/>
            </w:tcBorders>
            <w:vAlign w:val="center"/>
          </w:tcPr>
          <w:p>
            <w:pPr>
              <w:spacing w:line="400" w:lineRule="exact"/>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highlight w:val="none"/>
              </w:rPr>
            </w:pPr>
          </w:p>
        </w:tc>
        <w:tc>
          <w:tcPr>
            <w:tcW w:w="1508" w:type="dxa"/>
            <w:vAlign w:val="center"/>
          </w:tcPr>
          <w:p>
            <w:pPr>
              <w:spacing w:line="400" w:lineRule="exact"/>
              <w:jc w:val="center"/>
              <w:rPr>
                <w:rFonts w:asciiTheme="minorEastAsia" w:hAnsiTheme="minorEastAsia" w:cstheme="minorEastAsia"/>
                <w:bCs/>
                <w:szCs w:val="21"/>
                <w:highlight w:val="none"/>
              </w:rPr>
            </w:pPr>
          </w:p>
        </w:tc>
        <w:tc>
          <w:tcPr>
            <w:tcW w:w="1382" w:type="dxa"/>
            <w:vAlign w:val="center"/>
          </w:tcPr>
          <w:p>
            <w:pPr>
              <w:spacing w:line="400" w:lineRule="exact"/>
              <w:jc w:val="center"/>
              <w:rPr>
                <w:rFonts w:asciiTheme="minorEastAsia" w:hAnsiTheme="minorEastAsia" w:cstheme="minorEastAsia"/>
                <w:bCs/>
                <w:szCs w:val="21"/>
                <w:highlight w:val="none"/>
              </w:rPr>
            </w:pPr>
          </w:p>
        </w:tc>
        <w:tc>
          <w:tcPr>
            <w:tcW w:w="1399" w:type="dxa"/>
            <w:vAlign w:val="center"/>
          </w:tcPr>
          <w:p>
            <w:pPr>
              <w:spacing w:line="400" w:lineRule="exact"/>
              <w:jc w:val="center"/>
              <w:rPr>
                <w:rFonts w:asciiTheme="minorEastAsia" w:hAnsiTheme="minorEastAsia" w:cstheme="minorEastAsia"/>
                <w:bCs/>
                <w:szCs w:val="21"/>
                <w:highlight w:val="none"/>
              </w:rPr>
            </w:pPr>
          </w:p>
        </w:tc>
        <w:tc>
          <w:tcPr>
            <w:tcW w:w="1485" w:type="dxa"/>
            <w:vAlign w:val="center"/>
          </w:tcPr>
          <w:p>
            <w:pPr>
              <w:spacing w:line="400" w:lineRule="exact"/>
              <w:jc w:val="center"/>
              <w:rPr>
                <w:rFonts w:asciiTheme="minorEastAsia" w:hAnsiTheme="minorEastAsia" w:cstheme="minorEastAsia"/>
                <w:bCs/>
                <w:szCs w:val="21"/>
                <w:highlight w:val="none"/>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highlight w:val="none"/>
              </w:rPr>
            </w:pPr>
          </w:p>
        </w:tc>
        <w:tc>
          <w:tcPr>
            <w:tcW w:w="1508" w:type="dxa"/>
            <w:vAlign w:val="center"/>
          </w:tcPr>
          <w:p>
            <w:pPr>
              <w:spacing w:line="400" w:lineRule="exact"/>
              <w:jc w:val="center"/>
              <w:rPr>
                <w:rFonts w:asciiTheme="minorEastAsia" w:hAnsiTheme="minorEastAsia" w:cstheme="minorEastAsia"/>
                <w:bCs/>
                <w:szCs w:val="21"/>
                <w:highlight w:val="none"/>
              </w:rPr>
            </w:pPr>
          </w:p>
        </w:tc>
        <w:tc>
          <w:tcPr>
            <w:tcW w:w="1382" w:type="dxa"/>
            <w:vAlign w:val="center"/>
          </w:tcPr>
          <w:p>
            <w:pPr>
              <w:spacing w:line="400" w:lineRule="exact"/>
              <w:jc w:val="center"/>
              <w:rPr>
                <w:rFonts w:asciiTheme="minorEastAsia" w:hAnsiTheme="minorEastAsia" w:cstheme="minorEastAsia"/>
                <w:bCs/>
                <w:szCs w:val="21"/>
                <w:highlight w:val="none"/>
              </w:rPr>
            </w:pPr>
          </w:p>
        </w:tc>
        <w:tc>
          <w:tcPr>
            <w:tcW w:w="1399" w:type="dxa"/>
            <w:vAlign w:val="center"/>
          </w:tcPr>
          <w:p>
            <w:pPr>
              <w:spacing w:line="400" w:lineRule="exact"/>
              <w:jc w:val="center"/>
              <w:rPr>
                <w:rFonts w:asciiTheme="minorEastAsia" w:hAnsiTheme="minorEastAsia" w:cstheme="minorEastAsia"/>
                <w:bCs/>
                <w:szCs w:val="21"/>
                <w:highlight w:val="none"/>
              </w:rPr>
            </w:pPr>
          </w:p>
        </w:tc>
        <w:tc>
          <w:tcPr>
            <w:tcW w:w="1485" w:type="dxa"/>
            <w:vAlign w:val="center"/>
          </w:tcPr>
          <w:p>
            <w:pPr>
              <w:spacing w:line="400" w:lineRule="exact"/>
              <w:jc w:val="center"/>
              <w:rPr>
                <w:rFonts w:asciiTheme="minorEastAsia" w:hAnsiTheme="minorEastAsia" w:cstheme="minorEastAsia"/>
                <w:bCs/>
                <w:szCs w:val="21"/>
                <w:highlight w:val="none"/>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highlight w:val="none"/>
              </w:rPr>
            </w:pPr>
          </w:p>
        </w:tc>
        <w:tc>
          <w:tcPr>
            <w:tcW w:w="1508" w:type="dxa"/>
            <w:vAlign w:val="center"/>
          </w:tcPr>
          <w:p>
            <w:pPr>
              <w:spacing w:line="400" w:lineRule="exact"/>
              <w:jc w:val="center"/>
              <w:rPr>
                <w:rFonts w:asciiTheme="minorEastAsia" w:hAnsiTheme="minorEastAsia" w:cstheme="minorEastAsia"/>
                <w:bCs/>
                <w:szCs w:val="21"/>
                <w:highlight w:val="none"/>
              </w:rPr>
            </w:pPr>
          </w:p>
        </w:tc>
        <w:tc>
          <w:tcPr>
            <w:tcW w:w="1382" w:type="dxa"/>
            <w:vAlign w:val="center"/>
          </w:tcPr>
          <w:p>
            <w:pPr>
              <w:spacing w:line="400" w:lineRule="exact"/>
              <w:jc w:val="center"/>
              <w:rPr>
                <w:rFonts w:asciiTheme="minorEastAsia" w:hAnsiTheme="minorEastAsia" w:cstheme="minorEastAsia"/>
                <w:bCs/>
                <w:szCs w:val="21"/>
                <w:highlight w:val="none"/>
              </w:rPr>
            </w:pPr>
          </w:p>
        </w:tc>
        <w:tc>
          <w:tcPr>
            <w:tcW w:w="1399" w:type="dxa"/>
            <w:vAlign w:val="center"/>
          </w:tcPr>
          <w:p>
            <w:pPr>
              <w:spacing w:line="400" w:lineRule="exact"/>
              <w:jc w:val="center"/>
              <w:rPr>
                <w:rFonts w:asciiTheme="minorEastAsia" w:hAnsiTheme="minorEastAsia" w:cstheme="minorEastAsia"/>
                <w:bCs/>
                <w:szCs w:val="21"/>
                <w:highlight w:val="none"/>
              </w:rPr>
            </w:pPr>
          </w:p>
        </w:tc>
        <w:tc>
          <w:tcPr>
            <w:tcW w:w="1485" w:type="dxa"/>
            <w:vAlign w:val="center"/>
          </w:tcPr>
          <w:p>
            <w:pPr>
              <w:spacing w:line="400" w:lineRule="exact"/>
              <w:jc w:val="center"/>
              <w:rPr>
                <w:rFonts w:asciiTheme="minorEastAsia" w:hAnsiTheme="minorEastAsia" w:cstheme="minorEastAsia"/>
                <w:bCs/>
                <w:szCs w:val="21"/>
                <w:highlight w:val="none"/>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highlight w:val="none"/>
              </w:rPr>
            </w:pPr>
          </w:p>
        </w:tc>
        <w:tc>
          <w:tcPr>
            <w:tcW w:w="1508" w:type="dxa"/>
            <w:tcBorders>
              <w:righ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382" w:type="dxa"/>
            <w:tcBorders>
              <w:lef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399" w:type="dxa"/>
            <w:vAlign w:val="center"/>
          </w:tcPr>
          <w:p>
            <w:pPr>
              <w:spacing w:line="400" w:lineRule="exact"/>
              <w:jc w:val="center"/>
              <w:rPr>
                <w:rFonts w:asciiTheme="minorEastAsia" w:hAnsiTheme="minorEastAsia" w:cstheme="minorEastAsia"/>
                <w:bCs/>
                <w:szCs w:val="21"/>
                <w:highlight w:val="none"/>
              </w:rPr>
            </w:pPr>
          </w:p>
        </w:tc>
        <w:tc>
          <w:tcPr>
            <w:tcW w:w="1485" w:type="dxa"/>
            <w:vAlign w:val="center"/>
          </w:tcPr>
          <w:p>
            <w:pPr>
              <w:spacing w:line="400" w:lineRule="exact"/>
              <w:jc w:val="center"/>
              <w:rPr>
                <w:rFonts w:asciiTheme="minorEastAsia" w:hAnsiTheme="minorEastAsia" w:cstheme="minorEastAsia"/>
                <w:bCs/>
                <w:szCs w:val="21"/>
                <w:highlight w:val="none"/>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Theme="minorEastAsia" w:hAnsiTheme="minorEastAsia" w:cstheme="minorEastAsia"/>
                <w:bCs/>
                <w:szCs w:val="21"/>
                <w:highlight w:val="none"/>
              </w:rPr>
            </w:pPr>
          </w:p>
        </w:tc>
        <w:tc>
          <w:tcPr>
            <w:tcW w:w="1508"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highlight w:val="none"/>
              </w:rPr>
            </w:pPr>
          </w:p>
        </w:tc>
        <w:tc>
          <w:tcPr>
            <w:tcW w:w="1382"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highlight w:val="none"/>
              </w:rPr>
            </w:pPr>
          </w:p>
        </w:tc>
        <w:tc>
          <w:tcPr>
            <w:tcW w:w="1399"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highlight w:val="none"/>
              </w:rPr>
            </w:pPr>
          </w:p>
        </w:tc>
        <w:tc>
          <w:tcPr>
            <w:tcW w:w="1485"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highlight w:val="none"/>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highlight w:val="none"/>
              </w:rPr>
            </w:pPr>
          </w:p>
        </w:tc>
        <w:tc>
          <w:tcPr>
            <w:tcW w:w="1096" w:type="dxa"/>
            <w:tcBorders>
              <w:left w:val="single" w:color="auto" w:sz="4" w:space="0"/>
            </w:tcBorders>
            <w:vAlign w:val="center"/>
          </w:tcPr>
          <w:p>
            <w:pPr>
              <w:spacing w:line="400" w:lineRule="exact"/>
              <w:rPr>
                <w:rFonts w:asciiTheme="minorEastAsia" w:hAnsiTheme="minorEastAsia" w:cstheme="minor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rPr>
                <w:rFonts w:asciiTheme="minorEastAsia" w:hAnsiTheme="minorEastAsia" w:cstheme="minorEastAsia"/>
                <w:bCs/>
                <w:szCs w:val="21"/>
                <w:highlight w:val="none"/>
              </w:rPr>
            </w:pPr>
          </w:p>
        </w:tc>
        <w:tc>
          <w:tcPr>
            <w:tcW w:w="1508" w:type="dxa"/>
            <w:vAlign w:val="center"/>
          </w:tcPr>
          <w:p>
            <w:pPr>
              <w:spacing w:line="400" w:lineRule="exact"/>
              <w:rPr>
                <w:rFonts w:asciiTheme="minorEastAsia" w:hAnsiTheme="minorEastAsia" w:cstheme="minorEastAsia"/>
                <w:bCs/>
                <w:szCs w:val="21"/>
                <w:highlight w:val="none"/>
              </w:rPr>
            </w:pPr>
          </w:p>
        </w:tc>
        <w:tc>
          <w:tcPr>
            <w:tcW w:w="1382" w:type="dxa"/>
            <w:vAlign w:val="center"/>
          </w:tcPr>
          <w:p>
            <w:pPr>
              <w:spacing w:line="400" w:lineRule="exact"/>
              <w:rPr>
                <w:rFonts w:asciiTheme="minorEastAsia" w:hAnsiTheme="minorEastAsia" w:cstheme="minorEastAsia"/>
                <w:bCs/>
                <w:szCs w:val="21"/>
                <w:highlight w:val="none"/>
              </w:rPr>
            </w:pPr>
          </w:p>
        </w:tc>
        <w:tc>
          <w:tcPr>
            <w:tcW w:w="1399" w:type="dxa"/>
            <w:vAlign w:val="center"/>
          </w:tcPr>
          <w:p>
            <w:pPr>
              <w:spacing w:line="400" w:lineRule="exact"/>
              <w:rPr>
                <w:rFonts w:asciiTheme="minorEastAsia" w:hAnsiTheme="minorEastAsia" w:cstheme="minorEastAsia"/>
                <w:bCs/>
                <w:szCs w:val="21"/>
                <w:highlight w:val="none"/>
              </w:rPr>
            </w:pPr>
          </w:p>
        </w:tc>
        <w:tc>
          <w:tcPr>
            <w:tcW w:w="1485" w:type="dxa"/>
            <w:tcBorders>
              <w:right w:val="single" w:color="auto" w:sz="4" w:space="0"/>
            </w:tcBorders>
            <w:vAlign w:val="center"/>
          </w:tcPr>
          <w:p>
            <w:pPr>
              <w:spacing w:line="400" w:lineRule="exact"/>
              <w:rPr>
                <w:rFonts w:asciiTheme="minorEastAsia" w:hAnsiTheme="minorEastAsia" w:cstheme="minorEastAsia"/>
                <w:bCs/>
                <w:szCs w:val="21"/>
                <w:highlight w:val="none"/>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highlight w:val="none"/>
              </w:rPr>
            </w:pPr>
          </w:p>
        </w:tc>
        <w:tc>
          <w:tcPr>
            <w:tcW w:w="1096" w:type="dxa"/>
            <w:tcBorders>
              <w:left w:val="single" w:color="auto" w:sz="4" w:space="0"/>
            </w:tcBorders>
            <w:vAlign w:val="center"/>
          </w:tcPr>
          <w:p>
            <w:pPr>
              <w:spacing w:line="400" w:lineRule="exact"/>
              <w:rPr>
                <w:rFonts w:asciiTheme="minorEastAsia" w:hAnsiTheme="minorEastAsia" w:cstheme="minor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1" w:hRule="atLeast"/>
        </w:trPr>
        <w:tc>
          <w:tcPr>
            <w:tcW w:w="754" w:type="dxa"/>
            <w:vAlign w:val="center"/>
          </w:tcPr>
          <w:p>
            <w:pPr>
              <w:spacing w:line="400" w:lineRule="exact"/>
              <w:jc w:val="center"/>
              <w:rPr>
                <w:rFonts w:asciiTheme="minorEastAsia" w:hAnsiTheme="minorEastAsia" w:cstheme="minorEastAsia"/>
                <w:bCs/>
                <w:szCs w:val="21"/>
                <w:highlight w:val="none"/>
              </w:rPr>
            </w:pPr>
          </w:p>
        </w:tc>
        <w:tc>
          <w:tcPr>
            <w:tcW w:w="1508" w:type="dxa"/>
            <w:vAlign w:val="center"/>
          </w:tcPr>
          <w:p>
            <w:pPr>
              <w:spacing w:line="400" w:lineRule="exact"/>
              <w:jc w:val="center"/>
              <w:rPr>
                <w:rFonts w:asciiTheme="minorEastAsia" w:hAnsiTheme="minorEastAsia" w:cstheme="minorEastAsia"/>
                <w:bCs/>
                <w:szCs w:val="21"/>
                <w:highlight w:val="none"/>
              </w:rPr>
            </w:pPr>
          </w:p>
        </w:tc>
        <w:tc>
          <w:tcPr>
            <w:tcW w:w="1382" w:type="dxa"/>
            <w:vAlign w:val="center"/>
          </w:tcPr>
          <w:p>
            <w:pPr>
              <w:spacing w:line="400" w:lineRule="exact"/>
              <w:jc w:val="center"/>
              <w:rPr>
                <w:rFonts w:asciiTheme="minorEastAsia" w:hAnsiTheme="minorEastAsia" w:cstheme="minorEastAsia"/>
                <w:bCs/>
                <w:szCs w:val="21"/>
                <w:highlight w:val="none"/>
              </w:rPr>
            </w:pPr>
          </w:p>
        </w:tc>
        <w:tc>
          <w:tcPr>
            <w:tcW w:w="1399" w:type="dxa"/>
            <w:vAlign w:val="center"/>
          </w:tcPr>
          <w:p>
            <w:pPr>
              <w:spacing w:line="400" w:lineRule="exact"/>
              <w:jc w:val="center"/>
              <w:rPr>
                <w:rFonts w:asciiTheme="minorEastAsia" w:hAnsiTheme="minorEastAsia" w:cstheme="minorEastAsia"/>
                <w:bCs/>
                <w:szCs w:val="21"/>
                <w:highlight w:val="none"/>
              </w:rPr>
            </w:pPr>
          </w:p>
        </w:tc>
        <w:tc>
          <w:tcPr>
            <w:tcW w:w="1485" w:type="dxa"/>
            <w:tcBorders>
              <w:righ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576" w:type="dxa"/>
            <w:tcBorders>
              <w:left w:val="single" w:color="auto" w:sz="4" w:space="0"/>
              <w:righ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highlight w:val="none"/>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注：提供供应商2019年1月1日至今的类似项目供货合同</w:t>
      </w:r>
      <w:r>
        <w:rPr>
          <w:rFonts w:hint="eastAsia" w:asciiTheme="minorEastAsia" w:hAnsiTheme="minorEastAsia" w:cstheme="minorEastAsia"/>
          <w:sz w:val="24"/>
          <w:szCs w:val="24"/>
          <w:highlight w:val="none"/>
          <w:lang w:val="en-US" w:eastAsia="zh-CN"/>
        </w:rPr>
        <w:t>复印件加盖公章</w:t>
      </w:r>
      <w:r>
        <w:rPr>
          <w:rFonts w:hint="eastAsia" w:asciiTheme="minorEastAsia" w:hAnsiTheme="minorEastAsia" w:cstheme="minorEastAsia"/>
          <w:sz w:val="24"/>
          <w:szCs w:val="24"/>
          <w:highlight w:val="none"/>
        </w:rPr>
        <w:t>（携带合同原件备查，以签订合同时间为准）</w:t>
      </w:r>
    </w:p>
    <w:p>
      <w:pP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firstLine="360" w:firstLineChars="15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w:t>
      </w:r>
    </w:p>
    <w:p>
      <w:pPr>
        <w:spacing w:line="360" w:lineRule="auto"/>
        <w:ind w:left="360"/>
        <w:jc w:val="center"/>
        <w:rPr>
          <w:rFonts w:asciiTheme="minorEastAsia" w:hAnsiTheme="minorEastAsia" w:cstheme="minorEastAsia"/>
          <w:sz w:val="24"/>
          <w:szCs w:val="24"/>
          <w:highlight w:val="none"/>
        </w:rPr>
      </w:pPr>
    </w:p>
    <w:p>
      <w:pPr>
        <w:adjustRightInd w:val="0"/>
        <w:spacing w:line="360" w:lineRule="auto"/>
        <w:jc w:val="both"/>
        <w:rPr>
          <w:rFonts w:asciiTheme="minorEastAsia" w:hAnsiTheme="minorEastAsia" w:cstheme="minorEastAsia"/>
          <w:bCs/>
          <w:sz w:val="24"/>
          <w:szCs w:val="24"/>
          <w:highlight w:val="none"/>
          <w:u w:val="single"/>
        </w:rPr>
      </w:pPr>
      <w:r>
        <w:rPr>
          <w:rFonts w:hint="eastAsia" w:asciiTheme="minorEastAsia" w:hAnsiTheme="minorEastAsia" w:cstheme="minorEastAsia"/>
          <w:bCs/>
          <w:sz w:val="24"/>
          <w:szCs w:val="24"/>
          <w:highlight w:val="none"/>
          <w:lang w:eastAsia="zh-CN"/>
        </w:rPr>
        <w:t>供应商</w:t>
      </w:r>
      <w:r>
        <w:rPr>
          <w:rFonts w:hint="eastAsia" w:asciiTheme="minorEastAsia" w:hAnsiTheme="minorEastAsia" w:cstheme="minorEastAsia"/>
          <w:bCs/>
          <w:sz w:val="24"/>
          <w:szCs w:val="24"/>
          <w:highlight w:val="none"/>
        </w:rPr>
        <w:t>名称：</w:t>
      </w:r>
      <w:r>
        <w:rPr>
          <w:rFonts w:hint="eastAsia" w:asciiTheme="minorEastAsia" w:hAnsiTheme="minorEastAsia" w:cstheme="minorEastAsia"/>
          <w:bCs/>
          <w:sz w:val="24"/>
          <w:szCs w:val="24"/>
          <w:highlight w:val="none"/>
          <w:u w:val="single"/>
        </w:rPr>
        <w:t xml:space="preserve">              （全称及公章）</w:t>
      </w:r>
    </w:p>
    <w:p>
      <w:pPr>
        <w:adjustRightInd w:val="0"/>
        <w:spacing w:line="360" w:lineRule="auto"/>
        <w:jc w:val="both"/>
        <w:rPr>
          <w:rFonts w:asciiTheme="minorEastAsia" w:hAnsiTheme="minorEastAsia" w:cstheme="minorEastAsia"/>
          <w:bCs/>
          <w:sz w:val="24"/>
          <w:szCs w:val="24"/>
          <w:highlight w:val="none"/>
          <w:u w:val="single"/>
        </w:rPr>
      </w:pPr>
      <w:r>
        <w:rPr>
          <w:rFonts w:hint="eastAsia" w:asciiTheme="minorEastAsia" w:hAnsiTheme="minorEastAsia" w:cstheme="minorEastAsia"/>
          <w:bCs/>
          <w:sz w:val="24"/>
          <w:szCs w:val="24"/>
          <w:highlight w:val="none"/>
        </w:rPr>
        <w:t>法定代表人或委托代理人（签字或盖章）：</w:t>
      </w:r>
      <w:r>
        <w:rPr>
          <w:rFonts w:hint="eastAsia" w:asciiTheme="minorEastAsia" w:hAnsiTheme="minorEastAsia" w:cstheme="minorEastAsia"/>
          <w:bCs/>
          <w:sz w:val="24"/>
          <w:szCs w:val="24"/>
          <w:highlight w:val="none"/>
          <w:u w:val="single"/>
        </w:rPr>
        <w:t xml:space="preserve">               </w:t>
      </w:r>
    </w:p>
    <w:p>
      <w:pPr>
        <w:adjustRightInd w:val="0"/>
        <w:snapToGrid w:val="0"/>
        <w:spacing w:line="480" w:lineRule="auto"/>
        <w:rPr>
          <w:rFonts w:ascii="宋体" w:hAnsi="宋体" w:cs="宋体"/>
          <w:color w:val="000000"/>
          <w:sz w:val="28"/>
          <w:szCs w:val="28"/>
          <w:highlight w:val="none"/>
        </w:rPr>
      </w:pPr>
      <w:r>
        <w:rPr>
          <w:rFonts w:hint="eastAsia" w:asciiTheme="minorEastAsia" w:hAnsiTheme="minorEastAsia" w:cstheme="minorEastAsia"/>
          <w:bCs/>
          <w:sz w:val="24"/>
          <w:szCs w:val="24"/>
          <w:highlight w:val="none"/>
        </w:rPr>
        <w:t xml:space="preserve">日    </w:t>
      </w:r>
      <w:r>
        <w:rPr>
          <w:rFonts w:hint="eastAsia" w:asciiTheme="minorEastAsia" w:hAnsiTheme="minorEastAsia" w:cstheme="minorEastAsia"/>
          <w:sz w:val="24"/>
          <w:szCs w:val="24"/>
          <w:highlight w:val="none"/>
        </w:rPr>
        <w:t>期:</w:t>
      </w:r>
    </w:p>
    <w:p>
      <w:pPr>
        <w:rPr>
          <w:highlight w:val="none"/>
        </w:rPr>
      </w:pPr>
      <w:r>
        <w:rPr>
          <w:highlight w:val="none"/>
        </w:rPr>
        <w:br w:type="page"/>
      </w:r>
    </w:p>
    <w:p>
      <w:pPr>
        <w:pStyle w:val="4"/>
        <w:rPr>
          <w:highlight w:val="none"/>
        </w:rPr>
      </w:pPr>
      <w:bookmarkStart w:id="314" w:name="_Toc27857"/>
      <w:bookmarkStart w:id="315" w:name="_Toc15682"/>
      <w:bookmarkStart w:id="316" w:name="_Toc29034"/>
      <w:bookmarkStart w:id="317" w:name="_Toc2406"/>
      <w:r>
        <w:rPr>
          <w:rFonts w:hint="eastAsia"/>
          <w:highlight w:val="none"/>
        </w:rPr>
        <w:t>第</w:t>
      </w:r>
      <w:r>
        <w:rPr>
          <w:rFonts w:hint="eastAsia"/>
          <w:highlight w:val="none"/>
          <w:lang w:val="en-US" w:eastAsia="zh-CN"/>
        </w:rPr>
        <w:t>十</w:t>
      </w:r>
      <w:r>
        <w:rPr>
          <w:rFonts w:hint="eastAsia"/>
          <w:highlight w:val="none"/>
        </w:rPr>
        <w:t xml:space="preserve">章  </w:t>
      </w:r>
      <w:r>
        <w:rPr>
          <w:rFonts w:hint="eastAsia"/>
          <w:highlight w:val="none"/>
          <w:lang w:eastAsia="zh-CN"/>
        </w:rPr>
        <w:t>供应商</w:t>
      </w:r>
      <w:r>
        <w:rPr>
          <w:rFonts w:hint="eastAsia"/>
          <w:highlight w:val="none"/>
        </w:rPr>
        <w:t>认为有必要说明的其他问题</w:t>
      </w:r>
      <w:bookmarkEnd w:id="314"/>
      <w:bookmarkEnd w:id="315"/>
      <w:bookmarkEnd w:id="316"/>
      <w:bookmarkEnd w:id="317"/>
    </w:p>
    <w:p>
      <w:pPr>
        <w:rPr>
          <w:rFonts w:asciiTheme="minorEastAsia" w:hAnsiTheme="minorEastAsia" w:cstheme="minorEastAsia"/>
          <w:sz w:val="24"/>
          <w:highlight w:val="none"/>
        </w:rPr>
      </w:pPr>
      <w:r>
        <w:rPr>
          <w:rFonts w:hint="eastAsia" w:asciiTheme="minorEastAsia" w:hAnsiTheme="minorEastAsia" w:cstheme="minorEastAsia"/>
          <w:sz w:val="24"/>
          <w:highlight w:val="none"/>
        </w:rPr>
        <w:t xml:space="preserve"> </w:t>
      </w:r>
      <w:r>
        <w:rPr>
          <w:rFonts w:hint="eastAsia" w:asciiTheme="minorEastAsia" w:hAnsiTheme="minorEastAsia" w:cstheme="minorEastAsia"/>
          <w:sz w:val="24"/>
          <w:highlight w:val="none"/>
          <w:lang w:eastAsia="zh-CN"/>
        </w:rPr>
        <w:t>供应商</w:t>
      </w:r>
      <w:r>
        <w:rPr>
          <w:rFonts w:hint="eastAsia" w:asciiTheme="minorEastAsia" w:hAnsiTheme="minorEastAsia" w:cstheme="minorEastAsia"/>
          <w:sz w:val="24"/>
          <w:highlight w:val="none"/>
        </w:rPr>
        <w:t>认为有必要提供的其他证明文件</w:t>
      </w:r>
    </w:p>
    <w:p>
      <w:pPr>
        <w:pStyle w:val="6"/>
        <w:rPr>
          <w:highlight w:val="none"/>
        </w:rPr>
      </w:pPr>
    </w:p>
    <w:p>
      <w:pPr>
        <w:rPr>
          <w:rFonts w:ascii="宋体" w:hAnsi="宋体" w:cs="宋体"/>
          <w:color w:val="000000"/>
          <w:sz w:val="24"/>
          <w:highlight w:val="none"/>
        </w:rPr>
      </w:pPr>
      <w:r>
        <w:rPr>
          <w:rFonts w:hint="eastAsia"/>
          <w:sz w:val="24"/>
          <w:szCs w:val="24"/>
          <w:highlight w:val="none"/>
        </w:rPr>
        <w:t xml:space="preserve"> </w:t>
      </w:r>
      <w:r>
        <w:rPr>
          <w:rFonts w:hint="eastAsia"/>
          <w:b/>
          <w:bCs/>
          <w:sz w:val="44"/>
          <w:szCs w:val="48"/>
          <w:highlight w:val="none"/>
          <w:lang w:eastAsia="zh-CN"/>
        </w:rPr>
        <w:t>供应商</w:t>
      </w:r>
      <w:r>
        <w:rPr>
          <w:rFonts w:hint="eastAsia"/>
          <w:b/>
          <w:bCs/>
          <w:sz w:val="44"/>
          <w:szCs w:val="48"/>
          <w:highlight w:val="none"/>
        </w:rPr>
        <w:t>可在此处附附件二至附件五的证明材料，如没有提供，视为无。</w:t>
      </w:r>
    </w:p>
    <w:p>
      <w:pPr>
        <w:tabs>
          <w:tab w:val="left" w:pos="1064"/>
        </w:tabs>
        <w:jc w:val="left"/>
        <w:rPr>
          <w:highlight w:val="none"/>
        </w:rPr>
        <w:sectPr>
          <w:pgSz w:w="11906" w:h="16838"/>
          <w:pgMar w:top="1440" w:right="1803" w:bottom="1440" w:left="1803" w:header="850" w:footer="992" w:gutter="0"/>
          <w:pgNumType w:fmt="decimal"/>
          <w:cols w:space="0" w:num="1"/>
          <w:rtlGutter w:val="1"/>
          <w:docGrid w:type="lines" w:linePitch="319" w:charSpace="0"/>
        </w:sectPr>
      </w:pPr>
    </w:p>
    <w:bookmarkEnd w:id="297"/>
    <w:bookmarkEnd w:id="305"/>
    <w:bookmarkEnd w:id="306"/>
    <w:bookmarkEnd w:id="307"/>
    <w:bookmarkEnd w:id="308"/>
    <w:bookmarkEnd w:id="309"/>
    <w:p>
      <w:pPr>
        <w:pStyle w:val="4"/>
        <w:numPr>
          <w:ilvl w:val="0"/>
          <w:numId w:val="0"/>
        </w:numPr>
        <w:jc w:val="center"/>
        <w:rPr>
          <w:rFonts w:ascii="宋体" w:hAnsi="宋体" w:cs="宋体"/>
          <w:sz w:val="36"/>
          <w:szCs w:val="36"/>
        </w:rPr>
      </w:pPr>
      <w:bookmarkStart w:id="318" w:name="_Toc9761"/>
      <w:bookmarkStart w:id="319" w:name="_Toc2370"/>
      <w:bookmarkStart w:id="320" w:name="_Toc26814"/>
      <w:bookmarkStart w:id="321" w:name="_Toc6347"/>
      <w:bookmarkStart w:id="322" w:name="_Toc15189"/>
      <w:bookmarkStart w:id="323" w:name="_Toc7869"/>
      <w:bookmarkStart w:id="324" w:name="_Toc5424"/>
      <w:r>
        <w:rPr>
          <w:rFonts w:hint="eastAsia" w:ascii="宋体" w:hAnsi="宋体" w:cs="宋体"/>
          <w:color w:val="000000" w:themeColor="text1"/>
          <w:sz w:val="36"/>
          <w:szCs w:val="36"/>
          <w:lang w:val="en-US" w:eastAsia="zh-CN"/>
          <w14:textFill>
            <w14:solidFill>
              <w14:schemeClr w14:val="tx1"/>
            </w14:solidFill>
          </w14:textFill>
        </w:rPr>
        <w:t xml:space="preserve">第十一章  </w:t>
      </w:r>
      <w:bookmarkStart w:id="325" w:name="_Toc31203"/>
      <w:r>
        <w:rPr>
          <w:rFonts w:hint="eastAsia" w:ascii="宋体" w:hAnsi="宋体" w:cs="宋体"/>
          <w:color w:val="000000" w:themeColor="text1"/>
          <w:sz w:val="36"/>
          <w:szCs w:val="36"/>
          <w14:textFill>
            <w14:solidFill>
              <w14:schemeClr w14:val="tx1"/>
            </w14:solidFill>
          </w14:textFill>
        </w:rPr>
        <w:t>供应商承诺书</w:t>
      </w:r>
      <w:bookmarkEnd w:id="318"/>
      <w:bookmarkEnd w:id="319"/>
      <w:bookmarkEnd w:id="320"/>
      <w:bookmarkEnd w:id="325"/>
    </w:p>
    <w:p>
      <w:pPr>
        <w:pStyle w:val="13"/>
        <w:ind w:firstLine="562" w:firstLineChars="200"/>
        <w:jc w:val="left"/>
        <w:rPr>
          <w:rFonts w:hAnsi="宋体" w:cs="宋体"/>
          <w:b/>
          <w:bCs/>
          <w:sz w:val="28"/>
          <w:szCs w:val="28"/>
        </w:rPr>
      </w:pPr>
      <w:r>
        <w:rPr>
          <w:rFonts w:hint="eastAsia" w:hAnsi="宋体" w:cs="宋体"/>
          <w:b/>
          <w:bCs/>
          <w:sz w:val="28"/>
          <w:szCs w:val="28"/>
        </w:rPr>
        <w:t>陕西省政府采购供货商拒绝政府采购领域商业贿赂承诺书Ⅰ</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为响应党中央、国务院关于治理政府采购领域商业贿赂行为的号召，我公司在此庄严承诺：</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1、在参与政府采购活动中遵纪守法、诚信经营、公平竞标。</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2、不向政府采购人、代理机构和政府采购评审专家进行任何形式的商业贿赂以谋取交易机会。</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3、不向政府代理机构和采购人提供虚假资质文件或采用虚假应标方式参与政府采购市场竞争并谋取成交。</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4、不采取“围标、陪标”等商业欺诈手段获得政府采购订单。</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5、不采取不正当手段诋毁、排挤其它供货商。</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6、不在提供商品和服务时“偷梁换柱、以次充好”损害采购人的合法权益。</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7、不与采购人、代理机构政府采购评审专家或其它供货商恶意串通，进行质疑和投诉，维护政府采购市场秩序。</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8、尊重和接受政府采购监督管理部门的监督和政府代理机构招标采购要求，承担因违约行为给采购人造成的损失。</w:t>
      </w:r>
    </w:p>
    <w:p>
      <w:pPr>
        <w:spacing w:line="480" w:lineRule="auto"/>
        <w:ind w:firstLine="480" w:firstLineChars="200"/>
        <w:jc w:val="left"/>
        <w:rPr>
          <w:rFonts w:ascii="宋体" w:hAnsi="宋体" w:cs="宋体"/>
          <w:sz w:val="24"/>
          <w:szCs w:val="28"/>
        </w:rPr>
      </w:pPr>
      <w:r>
        <w:rPr>
          <w:rFonts w:hint="eastAsia" w:ascii="宋体" w:hAnsi="宋体" w:cs="宋体"/>
          <w:sz w:val="24"/>
          <w:szCs w:val="28"/>
        </w:rPr>
        <w:t>9、不发生其它有悖于政府采购公开、公平、公正和诚信原则的行为。</w:t>
      </w:r>
    </w:p>
    <w:p>
      <w:pPr>
        <w:adjustRightInd w:val="0"/>
        <w:snapToGrid w:val="0"/>
        <w:spacing w:line="360" w:lineRule="auto"/>
        <w:ind w:firstLine="480" w:firstLineChars="200"/>
        <w:jc w:val="left"/>
        <w:rPr>
          <w:rFonts w:ascii="宋体" w:hAnsi="宋体" w:cs="宋体"/>
          <w:sz w:val="24"/>
        </w:rPr>
      </w:pPr>
    </w:p>
    <w:p>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供应商（单位名称及公章）：</w:t>
      </w:r>
    </w:p>
    <w:p>
      <w:pPr>
        <w:snapToGrid w:val="0"/>
        <w:spacing w:line="360" w:lineRule="auto"/>
        <w:ind w:firstLine="480" w:firstLineChars="200"/>
        <w:jc w:val="left"/>
        <w:rPr>
          <w:rFonts w:ascii="宋体" w:hAnsi="宋体" w:cs="宋体"/>
          <w:sz w:val="24"/>
        </w:rPr>
      </w:pPr>
      <w:r>
        <w:rPr>
          <w:rFonts w:hint="eastAsia" w:ascii="宋体" w:hAnsi="宋体" w:cs="宋体"/>
          <w:sz w:val="24"/>
        </w:rPr>
        <w:t>法定代表人或被授权人（签字或盖章）：</w:t>
      </w:r>
    </w:p>
    <w:p>
      <w:pPr>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邮编：</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地址：</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电话：</w:t>
      </w:r>
    </w:p>
    <w:p>
      <w:pPr>
        <w:spacing w:line="360" w:lineRule="auto"/>
        <w:ind w:firstLine="480" w:firstLineChars="200"/>
        <w:jc w:val="left"/>
        <w:rPr>
          <w:rFonts w:ascii="宋体" w:hAnsi="宋体" w:cs="宋体"/>
          <w:sz w:val="24"/>
          <w:szCs w:val="28"/>
          <w:u w:val="single"/>
        </w:rPr>
      </w:pPr>
      <w:r>
        <w:rPr>
          <w:rFonts w:hint="eastAsia" w:ascii="宋体" w:hAnsi="宋体" w:cs="宋体"/>
          <w:sz w:val="24"/>
          <w:szCs w:val="28"/>
        </w:rPr>
        <w:t xml:space="preserve">时间： </w:t>
      </w:r>
      <w:r>
        <w:rPr>
          <w:rFonts w:hint="eastAsia" w:ascii="宋体" w:hAnsi="宋体" w:cs="宋体"/>
          <w:sz w:val="24"/>
          <w:szCs w:val="28"/>
          <w:u w:val="single"/>
        </w:rPr>
        <w:t xml:space="preserve">    年   月    日</w:t>
      </w:r>
    </w:p>
    <w:p>
      <w:pPr>
        <w:rPr>
          <w:rFonts w:ascii="宋体" w:hAnsi="宋体" w:cs="宋体"/>
        </w:rPr>
      </w:pPr>
      <w:r>
        <w:rPr>
          <w:rFonts w:hint="eastAsia" w:ascii="宋体" w:hAnsi="宋体" w:cs="宋体"/>
        </w:rPr>
        <w:br w:type="page"/>
      </w:r>
    </w:p>
    <w:p>
      <w:pPr>
        <w:pageBreakBefore/>
        <w:spacing w:line="360" w:lineRule="atLeast"/>
        <w:ind w:firstLine="482" w:firstLineChars="200"/>
        <w:jc w:val="center"/>
        <w:rPr>
          <w:rFonts w:ascii="宋体" w:hAnsi="宋体" w:cs="宋体"/>
          <w:b/>
          <w:sz w:val="24"/>
          <w:szCs w:val="24"/>
        </w:rPr>
      </w:pPr>
      <w:r>
        <w:rPr>
          <w:rFonts w:hint="eastAsia" w:ascii="宋体" w:hAnsi="宋体" w:cs="宋体"/>
          <w:b/>
          <w:sz w:val="24"/>
          <w:szCs w:val="24"/>
        </w:rPr>
        <w:t>承诺书Ⅱ</w:t>
      </w:r>
    </w:p>
    <w:tbl>
      <w:tblPr>
        <w:tblStyle w:val="25"/>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vAlign w:val="center"/>
          </w:tcPr>
          <w:p>
            <w:pPr>
              <w:spacing w:line="360" w:lineRule="atLeast"/>
              <w:jc w:val="left"/>
              <w:rPr>
                <w:rFonts w:ascii="宋体" w:hAnsi="宋体" w:cs="宋体"/>
                <w:sz w:val="24"/>
                <w:szCs w:val="24"/>
              </w:rPr>
            </w:pPr>
            <w:r>
              <w:rPr>
                <w:rFonts w:hint="eastAsia" w:ascii="宋体" w:hAnsi="宋体" w:cs="宋体"/>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作为参加贵公司组织</w:t>
            </w:r>
            <w:r>
              <w:rPr>
                <w:rFonts w:hint="eastAsia" w:ascii="宋体" w:hAnsi="宋体" w:cs="宋体"/>
                <w:sz w:val="24"/>
                <w:szCs w:val="24"/>
                <w:highlight w:val="none"/>
              </w:rPr>
              <w:t>的</w:t>
            </w:r>
            <w:r>
              <w:rPr>
                <w:rFonts w:hint="eastAsia" w:ascii="宋体" w:hAnsi="宋体" w:cs="宋体"/>
                <w:sz w:val="24"/>
                <w:szCs w:val="24"/>
                <w:highlight w:val="none"/>
                <w:u w:val="single"/>
                <w:lang w:eastAsia="zh-CN"/>
              </w:rPr>
              <w:t>陕西中医药大学第二附属医院床旁血滤机、神经中央监护分析系统、诱发电位仪医疗设备采购项目</w:t>
            </w:r>
            <w:r>
              <w:rPr>
                <w:rFonts w:hint="eastAsia" w:ascii="宋体" w:hAnsi="宋体" w:cs="宋体"/>
                <w:sz w:val="24"/>
                <w:szCs w:val="24"/>
                <w:highlight w:val="none"/>
              </w:rPr>
              <w:t>的供</w:t>
            </w:r>
            <w:r>
              <w:rPr>
                <w:rFonts w:hint="eastAsia" w:ascii="宋体" w:hAnsi="宋体" w:cs="宋体"/>
                <w:sz w:val="24"/>
                <w:szCs w:val="24"/>
              </w:rPr>
              <w:t xml:space="preserve">应商，本公司承诺：在参加本项目投标之前不存在被依法禁止经营行为、财产被接管或冻结的情况，如有隐瞒实情，愿承担一切责任及后果。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供应商</w:t>
            </w:r>
          </w:p>
        </w:tc>
        <w:tc>
          <w:tcPr>
            <w:tcW w:w="3474"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法定代表人或被授权人</w:t>
            </w:r>
          </w:p>
        </w:tc>
        <w:tc>
          <w:tcPr>
            <w:tcW w:w="2376"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（公章）</w:t>
            </w:r>
          </w:p>
        </w:tc>
        <w:tc>
          <w:tcPr>
            <w:tcW w:w="3474"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 xml:space="preserve">（签字或盖章） </w:t>
            </w:r>
          </w:p>
        </w:tc>
        <w:tc>
          <w:tcPr>
            <w:tcW w:w="2376"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年   月   日</w:t>
            </w:r>
          </w:p>
        </w:tc>
      </w:tr>
    </w:tbl>
    <w:p>
      <w:pPr>
        <w:spacing w:line="360" w:lineRule="atLeast"/>
        <w:ind w:firstLine="843" w:firstLineChars="200"/>
        <w:jc w:val="left"/>
        <w:rPr>
          <w:rFonts w:ascii="宋体" w:hAnsi="宋体" w:cs="宋体"/>
          <w:b/>
          <w:sz w:val="42"/>
          <w:szCs w:val="42"/>
        </w:rPr>
      </w:pPr>
    </w:p>
    <w:p>
      <w:pPr>
        <w:spacing w:line="360" w:lineRule="atLeast"/>
        <w:ind w:firstLine="482" w:firstLineChars="200"/>
        <w:jc w:val="center"/>
        <w:rPr>
          <w:rFonts w:ascii="宋体" w:hAnsi="宋体" w:cs="宋体"/>
          <w:b/>
          <w:sz w:val="24"/>
          <w:szCs w:val="24"/>
        </w:rPr>
      </w:pPr>
      <w:r>
        <w:rPr>
          <w:rFonts w:hint="eastAsia" w:ascii="宋体" w:hAnsi="宋体" w:cs="宋体"/>
          <w:b/>
          <w:sz w:val="24"/>
          <w:szCs w:val="24"/>
        </w:rPr>
        <w:t>承诺书Ⅲ</w:t>
      </w:r>
    </w:p>
    <w:tbl>
      <w:tblPr>
        <w:tblStyle w:val="2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vAlign w:val="center"/>
          </w:tcPr>
          <w:p>
            <w:pPr>
              <w:spacing w:line="360" w:lineRule="atLeast"/>
              <w:jc w:val="left"/>
              <w:rPr>
                <w:rFonts w:ascii="宋体" w:hAnsi="宋体" w:cs="宋体"/>
                <w:sz w:val="24"/>
                <w:szCs w:val="24"/>
              </w:rPr>
            </w:pPr>
            <w:r>
              <w:rPr>
                <w:rFonts w:hint="eastAsia" w:ascii="宋体" w:hAnsi="宋体" w:cs="宋体"/>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作为参加贵公司组织</w:t>
            </w:r>
            <w:r>
              <w:rPr>
                <w:rFonts w:hint="eastAsia" w:ascii="宋体" w:hAnsi="宋体" w:cs="宋体"/>
                <w:sz w:val="24"/>
                <w:szCs w:val="24"/>
                <w:highlight w:val="none"/>
              </w:rPr>
              <w:t>的</w:t>
            </w:r>
            <w:r>
              <w:rPr>
                <w:rFonts w:hint="eastAsia" w:ascii="宋体" w:hAnsi="宋体" w:cs="宋体"/>
                <w:sz w:val="24"/>
                <w:szCs w:val="24"/>
                <w:highlight w:val="none"/>
                <w:u w:val="single"/>
                <w:lang w:eastAsia="zh-CN"/>
              </w:rPr>
              <w:t>陕西中医药大学第二附属医院床旁血滤机、神经中央监护分析系统、诱发电位仪医疗设备采购项目</w:t>
            </w:r>
            <w:r>
              <w:rPr>
                <w:rFonts w:hint="eastAsia" w:ascii="宋体" w:hAnsi="宋体" w:cs="宋体"/>
                <w:sz w:val="24"/>
                <w:szCs w:val="24"/>
                <w:highlight w:val="none"/>
              </w:rPr>
              <w:t>的供应</w:t>
            </w:r>
            <w:r>
              <w:rPr>
                <w:rFonts w:hint="eastAsia" w:ascii="宋体" w:hAnsi="宋体" w:cs="宋体"/>
                <w:sz w:val="24"/>
                <w:szCs w:val="24"/>
              </w:rPr>
              <w:t>商，本公司郑重申告并承诺：近三年受到有关行政主管部门的行政处理、不良行为记录为次（没有填零），如有隐瞒实情，愿承担一切责任及后果。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供应商</w:t>
            </w:r>
          </w:p>
        </w:tc>
        <w:tc>
          <w:tcPr>
            <w:tcW w:w="3488"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法定代表人或被授权人</w:t>
            </w:r>
          </w:p>
        </w:tc>
        <w:tc>
          <w:tcPr>
            <w:tcW w:w="2387"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（公章）</w:t>
            </w:r>
          </w:p>
        </w:tc>
        <w:tc>
          <w:tcPr>
            <w:tcW w:w="3488"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（签字或盖章）</w:t>
            </w:r>
          </w:p>
        </w:tc>
        <w:tc>
          <w:tcPr>
            <w:tcW w:w="2387" w:type="dxa"/>
            <w:vAlign w:val="center"/>
          </w:tcPr>
          <w:p>
            <w:pPr>
              <w:spacing w:line="360" w:lineRule="atLeast"/>
              <w:ind w:firstLine="720" w:firstLineChars="300"/>
              <w:jc w:val="left"/>
              <w:rPr>
                <w:rFonts w:ascii="宋体" w:hAnsi="宋体" w:cs="宋体"/>
                <w:sz w:val="24"/>
                <w:szCs w:val="24"/>
              </w:rPr>
            </w:pPr>
            <w:r>
              <w:rPr>
                <w:rFonts w:hint="eastAsia" w:ascii="宋体" w:hAnsi="宋体" w:cs="宋体"/>
                <w:sz w:val="24"/>
                <w:szCs w:val="24"/>
              </w:rPr>
              <w:t>年  月   日</w:t>
            </w:r>
          </w:p>
        </w:tc>
      </w:tr>
    </w:tbl>
    <w:p>
      <w:pPr>
        <w:pageBreakBefore/>
        <w:spacing w:line="360" w:lineRule="atLeast"/>
        <w:ind w:firstLine="482" w:firstLineChars="200"/>
        <w:jc w:val="center"/>
        <w:rPr>
          <w:rFonts w:ascii="宋体" w:hAnsi="宋体" w:cs="宋体"/>
          <w:b/>
          <w:sz w:val="24"/>
          <w:szCs w:val="24"/>
        </w:rPr>
      </w:pPr>
      <w:r>
        <w:rPr>
          <w:rFonts w:hint="eastAsia" w:ascii="宋体" w:hAnsi="宋体" w:cs="宋体"/>
          <w:b/>
          <w:sz w:val="24"/>
          <w:szCs w:val="24"/>
        </w:rPr>
        <w:t>承诺书Ⅳ</w:t>
      </w:r>
    </w:p>
    <w:tbl>
      <w:tblPr>
        <w:tblStyle w:val="25"/>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3"/>
        <w:gridCol w:w="3466"/>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20" w:type="dxa"/>
            <w:gridSpan w:val="3"/>
            <w:vAlign w:val="center"/>
          </w:tcPr>
          <w:p>
            <w:pPr>
              <w:spacing w:line="360" w:lineRule="atLeast"/>
              <w:jc w:val="left"/>
              <w:rPr>
                <w:rFonts w:ascii="宋体" w:hAnsi="宋体" w:cs="宋体"/>
                <w:sz w:val="24"/>
                <w:szCs w:val="24"/>
              </w:rPr>
            </w:pPr>
            <w:r>
              <w:rPr>
                <w:rFonts w:hint="eastAsia" w:ascii="宋体" w:hAnsi="宋体" w:cs="宋体"/>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9120" w:type="dxa"/>
            <w:gridSpan w:val="3"/>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作为参加贵公司组织的</w:t>
            </w:r>
            <w:r>
              <w:rPr>
                <w:rFonts w:hint="eastAsia" w:ascii="宋体" w:hAnsi="宋体" w:cs="宋体"/>
                <w:sz w:val="24"/>
                <w:szCs w:val="24"/>
                <w:u w:val="single"/>
                <w:lang w:eastAsia="zh-CN"/>
              </w:rPr>
              <w:t>陕西中医药大学第二附属医院床旁血滤机、神经中央监护分析系统、诱发电位仪医疗设备采购项目</w:t>
            </w:r>
            <w:r>
              <w:rPr>
                <w:rFonts w:hint="eastAsia" w:ascii="宋体" w:hAnsi="宋体" w:cs="宋体"/>
                <w:sz w:val="24"/>
                <w:szCs w:val="24"/>
              </w:rPr>
              <w:t>的供应商，本公司郑重申告：近三年因产品供货问题（水货、替代品、次品、翻新品等）的不法行为记录为次（没有填零），如有隐瞒实情，愿承担一切责任及后果。</w:t>
            </w:r>
          </w:p>
          <w:p>
            <w:pPr>
              <w:spacing w:line="360" w:lineRule="atLeast"/>
              <w:ind w:firstLine="480" w:firstLineChars="200"/>
              <w:jc w:val="left"/>
              <w:rPr>
                <w:rFonts w:ascii="宋体" w:hAnsi="宋体" w:cs="宋体"/>
                <w:sz w:val="24"/>
                <w:szCs w:val="24"/>
              </w:rPr>
            </w:pPr>
            <w:r>
              <w:rPr>
                <w:rFonts w:hint="eastAsia" w:ascii="宋体" w:hAnsi="宋体" w:cs="宋体"/>
                <w:sz w:val="24"/>
                <w:szCs w:val="24"/>
              </w:rPr>
              <w:t>本公司承诺：本次响应产品为正品行货。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83"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供应商</w:t>
            </w:r>
          </w:p>
        </w:tc>
        <w:tc>
          <w:tcPr>
            <w:tcW w:w="3466"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法定代表人或被授权人</w:t>
            </w:r>
          </w:p>
        </w:tc>
        <w:tc>
          <w:tcPr>
            <w:tcW w:w="2371"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83"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（公章）</w:t>
            </w:r>
          </w:p>
        </w:tc>
        <w:tc>
          <w:tcPr>
            <w:tcW w:w="3466"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（签字或盖章）</w:t>
            </w:r>
          </w:p>
        </w:tc>
        <w:tc>
          <w:tcPr>
            <w:tcW w:w="2371"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年   月   日</w:t>
            </w:r>
          </w:p>
        </w:tc>
      </w:tr>
    </w:tbl>
    <w:p>
      <w:pPr>
        <w:spacing w:line="360" w:lineRule="auto"/>
        <w:ind w:firstLine="480" w:firstLineChars="200"/>
        <w:jc w:val="left"/>
        <w:rPr>
          <w:rFonts w:ascii="宋体" w:hAnsi="宋体" w:cs="宋体"/>
          <w:sz w:val="24"/>
          <w:szCs w:val="28"/>
        </w:rPr>
      </w:pPr>
    </w:p>
    <w:p>
      <w:pPr>
        <w:spacing w:line="360" w:lineRule="atLeast"/>
        <w:ind w:firstLine="482" w:firstLineChars="200"/>
        <w:jc w:val="center"/>
        <w:rPr>
          <w:rFonts w:ascii="宋体" w:hAnsi="宋体" w:cs="宋体"/>
          <w:b/>
          <w:sz w:val="32"/>
          <w:szCs w:val="32"/>
        </w:rPr>
      </w:pPr>
      <w:r>
        <w:rPr>
          <w:rFonts w:hint="eastAsia" w:ascii="宋体" w:hAnsi="宋体" w:cs="宋体"/>
          <w:b/>
          <w:sz w:val="24"/>
          <w:szCs w:val="24"/>
        </w:rPr>
        <w:t>承诺书</w:t>
      </w:r>
      <w:r>
        <w:rPr>
          <w:rFonts w:hint="eastAsia" w:ascii="宋体" w:hAnsi="宋体" w:cs="宋体"/>
          <w:b/>
          <w:sz w:val="24"/>
          <w:szCs w:val="24"/>
        </w:rPr>
        <w:fldChar w:fldCharType="begin"/>
      </w:r>
      <w:r>
        <w:rPr>
          <w:rFonts w:hint="eastAsia" w:ascii="宋体" w:hAnsi="宋体" w:cs="宋体"/>
          <w:b/>
          <w:sz w:val="24"/>
          <w:szCs w:val="24"/>
        </w:rPr>
        <w:instrText xml:space="preserve"> = 5 \* ROMAN </w:instrText>
      </w:r>
      <w:r>
        <w:rPr>
          <w:rFonts w:hint="eastAsia" w:ascii="宋体" w:hAnsi="宋体" w:cs="宋体"/>
          <w:b/>
          <w:sz w:val="24"/>
          <w:szCs w:val="24"/>
        </w:rPr>
        <w:fldChar w:fldCharType="separate"/>
      </w:r>
      <w:r>
        <w:rPr>
          <w:rFonts w:hint="eastAsia" w:ascii="宋体" w:hAnsi="宋体" w:cs="宋体"/>
          <w:b/>
          <w:sz w:val="24"/>
          <w:szCs w:val="24"/>
          <w:lang w:val="zh-CN"/>
        </w:rPr>
        <w:t>V</w:t>
      </w:r>
      <w:r>
        <w:rPr>
          <w:rFonts w:hint="eastAsia" w:ascii="宋体" w:hAnsi="宋体" w:cs="宋体"/>
          <w:b/>
          <w:sz w:val="24"/>
          <w:szCs w:val="24"/>
        </w:rPr>
        <w:fldChar w:fldCharType="end"/>
      </w:r>
    </w:p>
    <w:tbl>
      <w:tblPr>
        <w:tblStyle w:val="25"/>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vAlign w:val="center"/>
          </w:tcPr>
          <w:p>
            <w:pPr>
              <w:spacing w:line="360" w:lineRule="atLeast"/>
              <w:jc w:val="left"/>
              <w:rPr>
                <w:rFonts w:ascii="宋体" w:hAnsi="宋体" w:cs="宋体"/>
                <w:sz w:val="24"/>
                <w:szCs w:val="24"/>
              </w:rPr>
            </w:pPr>
            <w:r>
              <w:rPr>
                <w:rFonts w:hint="eastAsia" w:ascii="宋体" w:hAnsi="宋体" w:cs="宋体"/>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作为参加贵公司组</w:t>
            </w:r>
            <w:r>
              <w:rPr>
                <w:rFonts w:hint="eastAsia" w:ascii="宋体" w:hAnsi="宋体" w:cs="宋体"/>
                <w:sz w:val="24"/>
                <w:szCs w:val="24"/>
                <w:highlight w:val="none"/>
              </w:rPr>
              <w:t>织的</w:t>
            </w:r>
            <w:r>
              <w:rPr>
                <w:rFonts w:hint="eastAsia" w:ascii="宋体" w:hAnsi="宋体" w:cs="宋体"/>
                <w:sz w:val="24"/>
                <w:szCs w:val="24"/>
                <w:highlight w:val="none"/>
                <w:u w:val="single"/>
                <w:lang w:eastAsia="zh-CN"/>
              </w:rPr>
              <w:t>陕西中医药大学第二附属医院床旁血滤机、神经中央监护分析系统、诱发电位仪医疗设备采购项目</w:t>
            </w:r>
            <w:r>
              <w:rPr>
                <w:rFonts w:hint="eastAsia" w:ascii="宋体" w:hAnsi="宋体" w:cs="宋体"/>
                <w:sz w:val="24"/>
                <w:szCs w:val="24"/>
                <w:highlight w:val="none"/>
              </w:rPr>
              <w:t>的供应</w:t>
            </w:r>
            <w:r>
              <w:rPr>
                <w:rFonts w:hint="eastAsia" w:ascii="宋体" w:hAnsi="宋体" w:cs="宋体"/>
                <w:sz w:val="24"/>
                <w:szCs w:val="24"/>
              </w:rPr>
              <w:t>商，本公司承诺：参加本次投标提交的所有资质证明文件及业绩证明文件是真实的、有效的，如有隐瞒实情，愿承担一切责任及后果。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供应商</w:t>
            </w:r>
          </w:p>
        </w:tc>
        <w:tc>
          <w:tcPr>
            <w:tcW w:w="3534"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法定代表人或被授权人</w:t>
            </w:r>
          </w:p>
        </w:tc>
        <w:tc>
          <w:tcPr>
            <w:tcW w:w="2418"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（公章）</w:t>
            </w:r>
          </w:p>
        </w:tc>
        <w:tc>
          <w:tcPr>
            <w:tcW w:w="3534"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（签字或盖章）</w:t>
            </w:r>
          </w:p>
        </w:tc>
        <w:tc>
          <w:tcPr>
            <w:tcW w:w="2418"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年   月   日</w:t>
            </w:r>
          </w:p>
        </w:tc>
      </w:tr>
    </w:tbl>
    <w:p>
      <w:pPr>
        <w:rPr>
          <w:rFonts w:hint="eastAsia"/>
          <w:highlight w:val="none"/>
        </w:rPr>
      </w:pPr>
      <w:r>
        <w:rPr>
          <w:rFonts w:hint="eastAsia"/>
          <w:highlight w:val="none"/>
        </w:rPr>
        <w:br w:type="page"/>
      </w:r>
    </w:p>
    <w:p>
      <w:pPr>
        <w:pStyle w:val="4"/>
        <w:rPr>
          <w:highlight w:val="none"/>
        </w:rPr>
      </w:pPr>
      <w:bookmarkStart w:id="326" w:name="_Toc12532"/>
      <w:r>
        <w:rPr>
          <w:rFonts w:hint="eastAsia"/>
          <w:highlight w:val="none"/>
        </w:rPr>
        <w:t>附件一、封袋正面标识式样</w:t>
      </w:r>
      <w:bookmarkEnd w:id="321"/>
      <w:bookmarkEnd w:id="322"/>
      <w:bookmarkEnd w:id="323"/>
      <w:bookmarkEnd w:id="324"/>
      <w:bookmarkEnd w:id="326"/>
    </w:p>
    <w:p>
      <w:pPr>
        <w:spacing w:line="460" w:lineRule="exact"/>
        <w:ind w:firstLine="562" w:firstLineChars="20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投标文件正本封袋正面标识式样</w:t>
      </w:r>
    </w:p>
    <w:p>
      <w:pPr>
        <w:spacing w:line="460" w:lineRule="exact"/>
        <w:ind w:firstLine="420" w:firstLineChars="200"/>
        <w:jc w:val="center"/>
        <w:rPr>
          <w:rFonts w:asciiTheme="minorEastAsia" w:hAnsiTheme="minorEastAsia" w:eastAsiaTheme="minorEastAsia" w:cstheme="minorEastAsia"/>
          <w:b/>
          <w:bCs/>
          <w:sz w:val="24"/>
          <w:szCs w:val="24"/>
          <w:highlight w:val="none"/>
        </w:rPr>
      </w:pPr>
      <w:r>
        <w:rPr>
          <w:rFonts w:asciiTheme="minorEastAsia" w:hAnsiTheme="minorEastAsia" w:eastAsiaTheme="minorEastAsia" w:cstheme="minorEastAsia"/>
          <w:highlight w:val="none"/>
        </w:rPr>
        <mc:AlternateContent>
          <mc:Choice Requires="wps">
            <w:drawing>
              <wp:anchor distT="0" distB="0" distL="114300" distR="114300" simplePos="0" relativeHeight="251665408" behindDoc="0" locked="0" layoutInCell="1" allowOverlap="1">
                <wp:simplePos x="0" y="0"/>
                <wp:positionH relativeFrom="column">
                  <wp:posOffset>-537845</wp:posOffset>
                </wp:positionH>
                <wp:positionV relativeFrom="paragraph">
                  <wp:posOffset>113030</wp:posOffset>
                </wp:positionV>
                <wp:extent cx="6492875" cy="4383405"/>
                <wp:effectExtent l="4445" t="5080" r="17780" b="12065"/>
                <wp:wrapNone/>
                <wp:docPr id="15" name="Text Box 3"/>
                <wp:cNvGraphicFramePr/>
                <a:graphic xmlns:a="http://schemas.openxmlformats.org/drawingml/2006/main">
                  <a:graphicData uri="http://schemas.microsoft.com/office/word/2010/wordprocessingShape">
                    <wps:wsp>
                      <wps:cNvSpPr txBox="1"/>
                      <wps:spPr>
                        <a:xfrm>
                          <a:off x="0" y="0"/>
                          <a:ext cx="6492875" cy="43834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SXWZ2022ZB-SZEY-199</w:t>
                            </w:r>
                          </w:p>
                          <w:p>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陕西中医药大学第二附属医院床旁血滤机、神经中央监护分析系统、诱发电位仪医疗设备采购项目</w:t>
                            </w:r>
                          </w:p>
                          <w:p>
                            <w:pPr>
                              <w:jc w:val="center"/>
                              <w:rPr>
                                <w:rFonts w:hint="eastAsia" w:cs="宋体"/>
                                <w:b/>
                                <w:bCs/>
                                <w:sz w:val="44"/>
                                <w:szCs w:val="44"/>
                              </w:rPr>
                            </w:pPr>
                            <w:r>
                              <w:rPr>
                                <w:rFonts w:hint="eastAsia" w:cs="宋体"/>
                                <w:b/>
                                <w:bCs/>
                                <w:sz w:val="44"/>
                                <w:szCs w:val="44"/>
                              </w:rPr>
                              <w:t>投标文件（正本）</w:t>
                            </w:r>
                          </w:p>
                          <w:p>
                            <w:pPr>
                              <w:pStyle w:val="2"/>
                              <w:jc w:val="center"/>
                              <w:rPr>
                                <w:rFonts w:hint="eastAsia" w:ascii="宋体" w:hAnsi="宋体" w:eastAsia="宋体" w:cs="宋体"/>
                                <w:sz w:val="40"/>
                                <w:szCs w:val="24"/>
                              </w:rPr>
                            </w:pPr>
                            <w:r>
                              <w:rPr>
                                <w:rFonts w:hint="eastAsia" w:ascii="宋体" w:hAnsi="宋体" w:eastAsia="宋体" w:cs="宋体"/>
                                <w:sz w:val="40"/>
                                <w:szCs w:val="24"/>
                                <w:lang w:val="en-US" w:eastAsia="zh-CN"/>
                              </w:rPr>
                              <w:t>（第X包）</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宋体"/>
                                <w:sz w:val="28"/>
                                <w:szCs w:val="28"/>
                              </w:rPr>
                            </w:pPr>
                          </w:p>
                        </w:txbxContent>
                      </wps:txbx>
                      <wps:bodyPr upright="1"/>
                    </wps:wsp>
                  </a:graphicData>
                </a:graphic>
              </wp:anchor>
            </w:drawing>
          </mc:Choice>
          <mc:Fallback>
            <w:pict>
              <v:shape id="Text Box 3" o:spid="_x0000_s1026" o:spt="202" type="#_x0000_t202" style="position:absolute;left:0pt;margin-left:-42.35pt;margin-top:8.9pt;height:345.15pt;width:511.25pt;z-index:251665408;mso-width-relative:page;mso-height-relative:page;" fillcolor="#FFFFFF" filled="t" stroked="t" coordsize="21600,21600" o:gfxdata="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B7OzvYAAAACgEAAA8AAAAAAAAAAQAgAAAAIgAAAGRycy9k&#10;b3ducmV2LnhtbFBLAQIUABQAAAAIAIdO4kAfnNTgAgIAAEUEAAAOAAAAAAAAAAEAIAAAACcBAABk&#10;cnMvZTJvRG9jLnhtbFBLBQYAAAAABgAGAFkBAACbBQAAAAA=&#10;">
                <v:fill on="t" focussize="0,0"/>
                <v:stroke color="#000000" joinstyle="miter"/>
                <v:imagedata o:title=""/>
                <o:lock v:ext="edit" aspectratio="f"/>
                <v:textbox>
                  <w:txbxContent>
                    <w:p>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SXWZ2022ZB-SZEY-199</w:t>
                      </w:r>
                    </w:p>
                    <w:p>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陕西中医药大学第二附属医院床旁血滤机、神经中央监护分析系统、诱发电位仪医疗设备采购项目</w:t>
                      </w:r>
                    </w:p>
                    <w:p>
                      <w:pPr>
                        <w:jc w:val="center"/>
                        <w:rPr>
                          <w:rFonts w:hint="eastAsia" w:cs="宋体"/>
                          <w:b/>
                          <w:bCs/>
                          <w:sz w:val="44"/>
                          <w:szCs w:val="44"/>
                        </w:rPr>
                      </w:pPr>
                      <w:r>
                        <w:rPr>
                          <w:rFonts w:hint="eastAsia" w:cs="宋体"/>
                          <w:b/>
                          <w:bCs/>
                          <w:sz w:val="44"/>
                          <w:szCs w:val="44"/>
                        </w:rPr>
                        <w:t>投标文件（正本）</w:t>
                      </w:r>
                    </w:p>
                    <w:p>
                      <w:pPr>
                        <w:pStyle w:val="2"/>
                        <w:jc w:val="center"/>
                        <w:rPr>
                          <w:rFonts w:hint="eastAsia" w:ascii="宋体" w:hAnsi="宋体" w:eastAsia="宋体" w:cs="宋体"/>
                          <w:sz w:val="40"/>
                          <w:szCs w:val="24"/>
                        </w:rPr>
                      </w:pPr>
                      <w:r>
                        <w:rPr>
                          <w:rFonts w:hint="eastAsia" w:ascii="宋体" w:hAnsi="宋体" w:eastAsia="宋体" w:cs="宋体"/>
                          <w:sz w:val="40"/>
                          <w:szCs w:val="24"/>
                          <w:lang w:val="en-US" w:eastAsia="zh-CN"/>
                        </w:rPr>
                        <w:t>（第X包）</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宋体"/>
                          <w:sz w:val="28"/>
                          <w:szCs w:val="28"/>
                        </w:rPr>
                      </w:pPr>
                    </w:p>
                  </w:txbxContent>
                </v:textbox>
              </v:shape>
            </w:pict>
          </mc:Fallback>
        </mc:AlternateContent>
      </w: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br w:type="page"/>
      </w:r>
    </w:p>
    <w:p>
      <w:pPr>
        <w:spacing w:line="460" w:lineRule="exact"/>
        <w:ind w:firstLine="562" w:firstLineChars="20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投标文件副本封袋正面标识式样</w:t>
      </w:r>
    </w:p>
    <w:p>
      <w:pPr>
        <w:spacing w:line="460" w:lineRule="exact"/>
        <w:ind w:firstLine="420" w:firstLineChars="200"/>
        <w:jc w:val="center"/>
        <w:rPr>
          <w:rFonts w:asciiTheme="minorEastAsia" w:hAnsiTheme="minorEastAsia" w:eastAsiaTheme="minorEastAsia" w:cstheme="minorEastAsia"/>
          <w:b/>
          <w:bCs/>
          <w:sz w:val="24"/>
          <w:szCs w:val="24"/>
          <w:highlight w:val="none"/>
        </w:rPr>
      </w:pPr>
      <w:r>
        <w:rPr>
          <w:rFonts w:asciiTheme="minorEastAsia" w:hAnsiTheme="minorEastAsia" w:eastAsiaTheme="minorEastAsia" w:cstheme="minorEastAsia"/>
          <w:highlight w:val="none"/>
        </w:rPr>
        <mc:AlternateContent>
          <mc:Choice Requires="wps">
            <w:drawing>
              <wp:anchor distT="0" distB="0" distL="114300" distR="114300" simplePos="0" relativeHeight="251666432" behindDoc="0" locked="0" layoutInCell="1" allowOverlap="1">
                <wp:simplePos x="0" y="0"/>
                <wp:positionH relativeFrom="column">
                  <wp:posOffset>-539750</wp:posOffset>
                </wp:positionH>
                <wp:positionV relativeFrom="paragraph">
                  <wp:posOffset>128905</wp:posOffset>
                </wp:positionV>
                <wp:extent cx="6316345" cy="4267835"/>
                <wp:effectExtent l="5080" t="4445" r="22225" b="13970"/>
                <wp:wrapNone/>
                <wp:docPr id="14" name="Text Box 4"/>
                <wp:cNvGraphicFramePr/>
                <a:graphic xmlns:a="http://schemas.openxmlformats.org/drawingml/2006/main">
                  <a:graphicData uri="http://schemas.microsoft.com/office/word/2010/wordprocessingShape">
                    <wps:wsp>
                      <wps:cNvSpPr txBox="1"/>
                      <wps:spPr>
                        <a:xfrm>
                          <a:off x="0" y="0"/>
                          <a:ext cx="6316345" cy="42678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SXWZ2022ZB-SZEY-199</w:t>
                            </w:r>
                          </w:p>
                          <w:p>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陕西中医药大学第二附属医院床旁血滤机、神经中央监护分析系统、诱发电位仪医疗设备采购项目</w:t>
                            </w:r>
                          </w:p>
                          <w:p>
                            <w:pPr>
                              <w:jc w:val="center"/>
                              <w:rPr>
                                <w:rFonts w:hint="eastAsia" w:cs="宋体"/>
                                <w:b/>
                                <w:bCs/>
                                <w:sz w:val="44"/>
                                <w:szCs w:val="44"/>
                              </w:rPr>
                            </w:pPr>
                            <w:r>
                              <w:rPr>
                                <w:rFonts w:hint="eastAsia" w:cs="宋体"/>
                                <w:b/>
                                <w:bCs/>
                                <w:sz w:val="44"/>
                                <w:szCs w:val="44"/>
                              </w:rPr>
                              <w:t>投标文件（副本）</w:t>
                            </w:r>
                          </w:p>
                          <w:p>
                            <w:pPr>
                              <w:pStyle w:val="2"/>
                              <w:jc w:val="center"/>
                            </w:pPr>
                            <w:r>
                              <w:rPr>
                                <w:rFonts w:hint="eastAsia" w:ascii="宋体" w:hAnsi="宋体" w:eastAsia="宋体" w:cs="宋体"/>
                                <w:sz w:val="40"/>
                                <w:szCs w:val="24"/>
                                <w:lang w:val="en-US" w:eastAsia="zh-CN"/>
                              </w:rPr>
                              <w:t>（第X包）</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Times New Roman"/>
                                <w:sz w:val="28"/>
                                <w:szCs w:val="28"/>
                              </w:rPr>
                            </w:pPr>
                          </w:p>
                        </w:txbxContent>
                      </wps:txbx>
                      <wps:bodyPr upright="1"/>
                    </wps:wsp>
                  </a:graphicData>
                </a:graphic>
              </wp:anchor>
            </w:drawing>
          </mc:Choice>
          <mc:Fallback>
            <w:pict>
              <v:shape id="Text Box 4" o:spid="_x0000_s1026" o:spt="202" type="#_x0000_t202" style="position:absolute;left:0pt;margin-left:-42.5pt;margin-top:10.15pt;height:336.05pt;width:497.35pt;z-index:251666432;mso-width-relative:page;mso-height-relative:page;" fillcolor="#FFFFFF" filled="t" stroked="t" coordsize="21600,21600" o:gfxdata="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4rtNt2gAAAAoBAAAPAAAAAAAAAAEAIAAAACIAAABkcnMv&#10;ZG93bnJldi54bWxQSwECFAAUAAAACACHTuJAxjfJNgECAABFBAAADgAAAAAAAAABACAAAAApAQAA&#10;ZHJzL2Uyb0RvYy54bWxQSwUGAAAAAAYABgBZAQAAnAUAAAAA&#10;">
                <v:fill on="t" focussize="0,0"/>
                <v:stroke color="#000000" joinstyle="miter"/>
                <v:imagedata o:title=""/>
                <o:lock v:ext="edit" aspectratio="f"/>
                <v:textbox>
                  <w:txbxContent>
                    <w:p>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SXWZ2022ZB-SZEY-199</w:t>
                      </w:r>
                    </w:p>
                    <w:p>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陕西中医药大学第二附属医院床旁血滤机、神经中央监护分析系统、诱发电位仪医疗设备采购项目</w:t>
                      </w:r>
                    </w:p>
                    <w:p>
                      <w:pPr>
                        <w:jc w:val="center"/>
                        <w:rPr>
                          <w:rFonts w:hint="eastAsia" w:cs="宋体"/>
                          <w:b/>
                          <w:bCs/>
                          <w:sz w:val="44"/>
                          <w:szCs w:val="44"/>
                        </w:rPr>
                      </w:pPr>
                      <w:r>
                        <w:rPr>
                          <w:rFonts w:hint="eastAsia" w:cs="宋体"/>
                          <w:b/>
                          <w:bCs/>
                          <w:sz w:val="44"/>
                          <w:szCs w:val="44"/>
                        </w:rPr>
                        <w:t>投标文件（副本）</w:t>
                      </w:r>
                    </w:p>
                    <w:p>
                      <w:pPr>
                        <w:pStyle w:val="2"/>
                        <w:jc w:val="center"/>
                      </w:pPr>
                      <w:r>
                        <w:rPr>
                          <w:rFonts w:hint="eastAsia" w:ascii="宋体" w:hAnsi="宋体" w:eastAsia="宋体" w:cs="宋体"/>
                          <w:sz w:val="40"/>
                          <w:szCs w:val="24"/>
                          <w:lang w:val="en-US" w:eastAsia="zh-CN"/>
                        </w:rPr>
                        <w:t>（第X包）</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Times New Roman"/>
                          <w:sz w:val="28"/>
                          <w:szCs w:val="28"/>
                        </w:rPr>
                      </w:pPr>
                    </w:p>
                  </w:txbxContent>
                </v:textbox>
              </v:shape>
            </w:pict>
          </mc:Fallback>
        </mc:AlternateContent>
      </w: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tabs>
          <w:tab w:val="left" w:pos="8280"/>
        </w:tabs>
        <w:spacing w:line="460" w:lineRule="exact"/>
        <w:ind w:firstLine="482" w:firstLineChars="200"/>
        <w:jc w:val="center"/>
        <w:rPr>
          <w:rFonts w:asciiTheme="minorEastAsia" w:hAnsiTheme="minorEastAsia" w:eastAsiaTheme="minorEastAsia" w:cstheme="minorEastAsia"/>
          <w:b/>
          <w:bCs/>
          <w:sz w:val="24"/>
          <w:szCs w:val="24"/>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1004" w:firstLineChars="200"/>
        <w:jc w:val="center"/>
        <w:rPr>
          <w:rFonts w:asciiTheme="minorEastAsia" w:hAnsiTheme="minorEastAsia" w:eastAsiaTheme="minorEastAsia" w:cstheme="minorEastAsia"/>
          <w:b/>
          <w:bCs/>
          <w:sz w:val="50"/>
          <w:szCs w:val="50"/>
          <w:highlight w:val="none"/>
        </w:rPr>
      </w:pPr>
    </w:p>
    <w:p>
      <w:pPr>
        <w:widowControl/>
        <w:spacing w:line="460" w:lineRule="exact"/>
        <w:ind w:firstLine="480" w:firstLineChars="200"/>
        <w:jc w:val="center"/>
        <w:rPr>
          <w:rFonts w:asciiTheme="minorEastAsia" w:hAnsiTheme="minorEastAsia" w:eastAsiaTheme="minorEastAsia" w:cstheme="minorEastAsia"/>
          <w:sz w:val="24"/>
          <w:szCs w:val="24"/>
          <w:highlight w:val="none"/>
        </w:rPr>
        <w:sectPr>
          <w:headerReference r:id="rId16" w:type="default"/>
          <w:footerReference r:id="rId17" w:type="default"/>
          <w:pgSz w:w="11906" w:h="16838"/>
          <w:pgMar w:top="1440" w:right="1803" w:bottom="1440" w:left="1803" w:header="850" w:footer="992" w:gutter="0"/>
          <w:pgNumType w:fmt="decimal"/>
          <w:cols w:space="0" w:num="1"/>
          <w:rtlGutter w:val="1"/>
          <w:docGrid w:type="lines" w:linePitch="319" w:charSpace="0"/>
        </w:sectPr>
      </w:pPr>
    </w:p>
    <w:p>
      <w:pPr>
        <w:spacing w:line="460" w:lineRule="exact"/>
        <w:ind w:firstLine="562" w:firstLineChars="20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投标报价一览表封袋正面标识式样</w:t>
      </w:r>
    </w:p>
    <w:p>
      <w:pPr>
        <w:spacing w:line="460" w:lineRule="exact"/>
        <w:rPr>
          <w:rFonts w:asciiTheme="minorEastAsia" w:hAnsiTheme="minorEastAsia" w:eastAsiaTheme="minorEastAsia" w:cstheme="minorEastAsia"/>
          <w:b/>
          <w:bCs/>
          <w:sz w:val="24"/>
          <w:szCs w:val="24"/>
          <w:highlight w:val="none"/>
        </w:rPr>
      </w:pPr>
      <w:r>
        <w:rPr>
          <w:rFonts w:asciiTheme="minorEastAsia" w:hAnsiTheme="minorEastAsia" w:eastAsiaTheme="minorEastAsia" w:cstheme="minorEastAsia"/>
          <w:highlight w:val="none"/>
        </w:rPr>
        <mc:AlternateContent>
          <mc:Choice Requires="wps">
            <w:drawing>
              <wp:anchor distT="0" distB="0" distL="114300" distR="114300" simplePos="0" relativeHeight="251667456" behindDoc="0" locked="0" layoutInCell="1" allowOverlap="1">
                <wp:simplePos x="0" y="0"/>
                <wp:positionH relativeFrom="column">
                  <wp:posOffset>-532765</wp:posOffset>
                </wp:positionH>
                <wp:positionV relativeFrom="paragraph">
                  <wp:posOffset>231775</wp:posOffset>
                </wp:positionV>
                <wp:extent cx="6170930" cy="4533265"/>
                <wp:effectExtent l="4445" t="4445" r="15875" b="15240"/>
                <wp:wrapNone/>
                <wp:docPr id="13" name="文本框 11"/>
                <wp:cNvGraphicFramePr/>
                <a:graphic xmlns:a="http://schemas.openxmlformats.org/drawingml/2006/main">
                  <a:graphicData uri="http://schemas.microsoft.com/office/word/2010/wordprocessingShape">
                    <wps:wsp>
                      <wps:cNvSpPr txBox="1"/>
                      <wps:spPr>
                        <a:xfrm>
                          <a:off x="0" y="0"/>
                          <a:ext cx="6170930" cy="45332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SXWZ2022ZB-SZEY-199</w:t>
                            </w:r>
                          </w:p>
                          <w:p>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陕西中医药大学第二附属医院床旁血滤机、神经中央监护分析系统、诱发电位仪医疗设备采购项目</w:t>
                            </w:r>
                          </w:p>
                          <w:p>
                            <w:pPr>
                              <w:pStyle w:val="2"/>
                              <w:jc w:val="center"/>
                              <w:rPr>
                                <w:rFonts w:hint="eastAsia" w:cs="宋体"/>
                                <w:b/>
                                <w:bCs/>
                                <w:sz w:val="44"/>
                                <w:szCs w:val="44"/>
                              </w:rPr>
                            </w:pPr>
                            <w:r>
                              <w:rPr>
                                <w:rFonts w:hint="eastAsia" w:cs="宋体"/>
                                <w:b/>
                                <w:bCs/>
                                <w:sz w:val="44"/>
                                <w:szCs w:val="44"/>
                              </w:rPr>
                              <w:t>报价一览表</w:t>
                            </w:r>
                          </w:p>
                          <w:p>
                            <w:pPr>
                              <w:pStyle w:val="2"/>
                              <w:jc w:val="center"/>
                              <w:rPr>
                                <w:rFonts w:cs="宋体"/>
                                <w:b/>
                                <w:bCs/>
                                <w:sz w:val="44"/>
                                <w:szCs w:val="44"/>
                              </w:rPr>
                            </w:pPr>
                            <w:r>
                              <w:rPr>
                                <w:rFonts w:hint="eastAsia" w:ascii="宋体" w:hAnsi="宋体" w:eastAsia="宋体" w:cs="宋体"/>
                                <w:sz w:val="40"/>
                                <w:szCs w:val="24"/>
                                <w:lang w:val="en-US" w:eastAsia="zh-CN"/>
                              </w:rPr>
                              <w:t>（第X包）</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Times New Roman"/>
                                <w:sz w:val="28"/>
                                <w:szCs w:val="28"/>
                              </w:rPr>
                            </w:pPr>
                          </w:p>
                        </w:txbxContent>
                      </wps:txbx>
                      <wps:bodyPr upright="1"/>
                    </wps:wsp>
                  </a:graphicData>
                </a:graphic>
              </wp:anchor>
            </w:drawing>
          </mc:Choice>
          <mc:Fallback>
            <w:pict>
              <v:shape id="文本框 11" o:spid="_x0000_s1026" o:spt="202" type="#_x0000_t202" style="position:absolute;left:0pt;margin-left:-41.95pt;margin-top:18.25pt;height:356.95pt;width:485.9pt;z-index:251667456;mso-width-relative:page;mso-height-relative:page;" fillcolor="#FFFFFF" filled="t" stroked="t" coordsize="21600,21600" o:gfxdata="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PnLoPaAAAACgEAAA8AAAAA&#10;AAAAAQAgAAAAIgAAAGRycy9kb3ducmV2LnhtbFBLAQIUABQAAAAIAIdO4kDm/yhEEgIAAEcEAAAO&#10;AAAAAAAAAAEAIAAAACkBAABkcnMvZTJvRG9jLnhtbFBLBQYAAAAABgAGAFkBAACtBQAAAAA=&#10;">
                <v:fill on="t" focussize="0,0"/>
                <v:stroke color="#000000" joinstyle="miter"/>
                <v:imagedata o:title=""/>
                <o:lock v:ext="edit" aspectratio="f"/>
                <v:textbox>
                  <w:txbxContent>
                    <w:p>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SXWZ2022ZB-SZEY-199</w:t>
                      </w:r>
                    </w:p>
                    <w:p>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陕西中医药大学第二附属医院床旁血滤机、神经中央监护分析系统、诱发电位仪医疗设备采购项目</w:t>
                      </w:r>
                    </w:p>
                    <w:p>
                      <w:pPr>
                        <w:pStyle w:val="2"/>
                        <w:jc w:val="center"/>
                        <w:rPr>
                          <w:rFonts w:hint="eastAsia" w:cs="宋体"/>
                          <w:b/>
                          <w:bCs/>
                          <w:sz w:val="44"/>
                          <w:szCs w:val="44"/>
                        </w:rPr>
                      </w:pPr>
                      <w:r>
                        <w:rPr>
                          <w:rFonts w:hint="eastAsia" w:cs="宋体"/>
                          <w:b/>
                          <w:bCs/>
                          <w:sz w:val="44"/>
                          <w:szCs w:val="44"/>
                        </w:rPr>
                        <w:t>报价一览表</w:t>
                      </w:r>
                    </w:p>
                    <w:p>
                      <w:pPr>
                        <w:pStyle w:val="2"/>
                        <w:jc w:val="center"/>
                        <w:rPr>
                          <w:rFonts w:cs="宋体"/>
                          <w:b/>
                          <w:bCs/>
                          <w:sz w:val="44"/>
                          <w:szCs w:val="44"/>
                        </w:rPr>
                      </w:pPr>
                      <w:r>
                        <w:rPr>
                          <w:rFonts w:hint="eastAsia" w:ascii="宋体" w:hAnsi="宋体" w:eastAsia="宋体" w:cs="宋体"/>
                          <w:sz w:val="40"/>
                          <w:szCs w:val="24"/>
                          <w:lang w:val="en-US" w:eastAsia="zh-CN"/>
                        </w:rPr>
                        <w:t>（第X包）</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Times New Roman"/>
                          <w:sz w:val="28"/>
                          <w:szCs w:val="28"/>
                        </w:rPr>
                      </w:pPr>
                    </w:p>
                  </w:txbxContent>
                </v:textbox>
              </v:shape>
            </w:pict>
          </mc:Fallback>
        </mc:AlternateContent>
      </w: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jc w:val="center"/>
        <w:rPr>
          <w:rFonts w:asciiTheme="minorEastAsia" w:hAnsiTheme="minorEastAsia" w:eastAsiaTheme="minorEastAsia" w:cstheme="minorEastAsia"/>
          <w:b/>
          <w:bCs/>
          <w:sz w:val="24"/>
          <w:szCs w:val="24"/>
          <w:highlight w:val="none"/>
        </w:rPr>
      </w:pPr>
    </w:p>
    <w:p>
      <w:pPr>
        <w:spacing w:line="460" w:lineRule="exact"/>
        <w:jc w:val="center"/>
        <w:rPr>
          <w:rFonts w:asciiTheme="minorEastAsia" w:hAnsiTheme="minorEastAsia" w:eastAsiaTheme="minorEastAsia" w:cstheme="minorEastAsia"/>
          <w:b/>
          <w:bCs/>
          <w:sz w:val="24"/>
          <w:szCs w:val="24"/>
          <w:highlight w:val="none"/>
        </w:rPr>
      </w:pPr>
    </w:p>
    <w:p>
      <w:pPr>
        <w:spacing w:line="460" w:lineRule="exact"/>
        <w:jc w:val="center"/>
        <w:rPr>
          <w:rFonts w:asciiTheme="minorEastAsia" w:hAnsiTheme="minorEastAsia" w:eastAsiaTheme="minorEastAsia" w:cstheme="minorEastAsia"/>
          <w:b/>
          <w:bCs/>
          <w:sz w:val="24"/>
          <w:szCs w:val="24"/>
          <w:highlight w:val="none"/>
        </w:rPr>
      </w:pPr>
    </w:p>
    <w:p>
      <w:pP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br w:type="page"/>
      </w:r>
    </w:p>
    <w:p>
      <w:pPr>
        <w:spacing w:line="460" w:lineRule="exact"/>
        <w:ind w:firstLine="562" w:firstLineChars="20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电子文档封袋正面标识式样</w:t>
      </w:r>
    </w:p>
    <w:p>
      <w:pPr>
        <w:tabs>
          <w:tab w:val="left" w:pos="8280"/>
        </w:tabs>
        <w:spacing w:line="460" w:lineRule="exact"/>
        <w:ind w:firstLine="420" w:firstLineChars="200"/>
        <w:jc w:val="center"/>
        <w:rPr>
          <w:rFonts w:asciiTheme="minorEastAsia" w:hAnsiTheme="minorEastAsia" w:eastAsiaTheme="minorEastAsia" w:cstheme="minorEastAsia"/>
          <w:b/>
          <w:bCs/>
          <w:sz w:val="24"/>
          <w:szCs w:val="24"/>
          <w:highlight w:val="none"/>
        </w:rPr>
      </w:pPr>
      <w:r>
        <w:rPr>
          <w:rFonts w:asciiTheme="minorEastAsia" w:hAnsiTheme="minorEastAsia" w:eastAsiaTheme="minorEastAsia" w:cstheme="minorEastAsia"/>
          <w:highlight w:val="none"/>
        </w:rPr>
        <mc:AlternateContent>
          <mc:Choice Requires="wps">
            <w:drawing>
              <wp:anchor distT="0" distB="0" distL="114300" distR="114300" simplePos="0" relativeHeight="251668480" behindDoc="0" locked="0" layoutInCell="1" allowOverlap="1">
                <wp:simplePos x="0" y="0"/>
                <wp:positionH relativeFrom="column">
                  <wp:posOffset>-586105</wp:posOffset>
                </wp:positionH>
                <wp:positionV relativeFrom="paragraph">
                  <wp:posOffset>82550</wp:posOffset>
                </wp:positionV>
                <wp:extent cx="6249670" cy="4313555"/>
                <wp:effectExtent l="4445" t="4445" r="13335" b="6350"/>
                <wp:wrapNone/>
                <wp:docPr id="12" name="文本框 12"/>
                <wp:cNvGraphicFramePr/>
                <a:graphic xmlns:a="http://schemas.openxmlformats.org/drawingml/2006/main">
                  <a:graphicData uri="http://schemas.microsoft.com/office/word/2010/wordprocessingShape">
                    <wps:wsp>
                      <wps:cNvSpPr txBox="1"/>
                      <wps:spPr>
                        <a:xfrm>
                          <a:off x="0" y="0"/>
                          <a:ext cx="6249670" cy="4313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cs="宋体"/>
                                <w:sz w:val="28"/>
                                <w:szCs w:val="28"/>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SXWZ2022ZB-SZEY-199</w:t>
                            </w:r>
                          </w:p>
                          <w:p>
                            <w:pPr>
                              <w:rPr>
                                <w:rFonts w:hint="eastAsia" w:eastAsia="宋体" w:cs="宋体"/>
                                <w:sz w:val="28"/>
                                <w:szCs w:val="28"/>
                                <w:lang w:eastAsia="zh-CN"/>
                              </w:rPr>
                            </w:pPr>
                            <w:r>
                              <w:rPr>
                                <w:rFonts w:hint="eastAsia" w:cs="宋体"/>
                                <w:sz w:val="28"/>
                                <w:szCs w:val="28"/>
                              </w:rPr>
                              <w:t>项目名称：</w:t>
                            </w:r>
                            <w:r>
                              <w:rPr>
                                <w:rFonts w:hint="eastAsia" w:cs="宋体"/>
                                <w:sz w:val="28"/>
                                <w:szCs w:val="28"/>
                                <w:lang w:eastAsia="zh-CN"/>
                              </w:rPr>
                              <w:t>陕西中医药大学第二附属医院床旁血滤机、神经中央监护分析系统、诱发电位仪医疗设备采购项目</w:t>
                            </w:r>
                          </w:p>
                          <w:p>
                            <w:pPr>
                              <w:pStyle w:val="2"/>
                              <w:jc w:val="center"/>
                              <w:rPr>
                                <w:rFonts w:hint="eastAsia" w:cs="宋体"/>
                                <w:b/>
                                <w:bCs/>
                                <w:sz w:val="44"/>
                                <w:szCs w:val="44"/>
                              </w:rPr>
                            </w:pPr>
                            <w:r>
                              <w:rPr>
                                <w:rFonts w:hint="eastAsia" w:cs="宋体"/>
                                <w:b/>
                                <w:bCs/>
                                <w:sz w:val="44"/>
                                <w:szCs w:val="44"/>
                              </w:rPr>
                              <w:t>电子文档</w:t>
                            </w:r>
                          </w:p>
                          <w:p>
                            <w:pPr>
                              <w:pStyle w:val="2"/>
                              <w:jc w:val="center"/>
                              <w:rPr>
                                <w:rFonts w:cs="宋体"/>
                                <w:b/>
                                <w:bCs/>
                                <w:sz w:val="44"/>
                                <w:szCs w:val="44"/>
                              </w:rPr>
                            </w:pPr>
                            <w:r>
                              <w:rPr>
                                <w:rFonts w:hint="eastAsia" w:ascii="宋体" w:hAnsi="宋体" w:eastAsia="宋体" w:cs="宋体"/>
                                <w:sz w:val="40"/>
                                <w:szCs w:val="24"/>
                                <w:lang w:val="en-US" w:eastAsia="zh-CN"/>
                              </w:rPr>
                              <w:t>（第X包）</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宋体"/>
                                <w:sz w:val="28"/>
                                <w:szCs w:val="28"/>
                              </w:rPr>
                            </w:pPr>
                          </w:p>
                        </w:txbxContent>
                      </wps:txbx>
                      <wps:bodyPr upright="1"/>
                    </wps:wsp>
                  </a:graphicData>
                </a:graphic>
              </wp:anchor>
            </w:drawing>
          </mc:Choice>
          <mc:Fallback>
            <w:pict>
              <v:shape id="_x0000_s1026" o:spid="_x0000_s1026" o:spt="202" type="#_x0000_t202" style="position:absolute;left:0pt;margin-left:-46.15pt;margin-top:6.5pt;height:339.65pt;width:492.1pt;z-index:251668480;mso-width-relative:page;mso-height-relative:page;" fillcolor="#FFFFFF" filled="t" stroked="t" coordsize="21600,21600" o:gfxdata="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bgX692AAAAAoBAAAPAAAAAAAA&#10;AAEAIAAAACIAAABkcnMvZG93bnJldi54bWxQSwECFAAUAAAACACHTuJA0cb9cBICAABHBAAADgAA&#10;AAAAAAABACAAAAAnAQAAZHJzL2Uyb0RvYy54bWxQSwUGAAAAAAYABgBZAQAAqwUAAAAA&#10;">
                <v:fill on="t" focussize="0,0"/>
                <v:stroke color="#000000" joinstyle="miter"/>
                <v:imagedata o:title=""/>
                <o:lock v:ext="edit" aspectratio="f"/>
                <v:textbox>
                  <w:txbxContent>
                    <w:p>
                      <w:pPr>
                        <w:rPr>
                          <w:rFonts w:hint="eastAsia" w:eastAsia="宋体" w:cs="宋体"/>
                          <w:sz w:val="28"/>
                          <w:szCs w:val="28"/>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SXWZ2022ZB-SZEY-199</w:t>
                      </w:r>
                    </w:p>
                    <w:p>
                      <w:pPr>
                        <w:rPr>
                          <w:rFonts w:hint="eastAsia" w:eastAsia="宋体" w:cs="宋体"/>
                          <w:sz w:val="28"/>
                          <w:szCs w:val="28"/>
                          <w:lang w:eastAsia="zh-CN"/>
                        </w:rPr>
                      </w:pPr>
                      <w:r>
                        <w:rPr>
                          <w:rFonts w:hint="eastAsia" w:cs="宋体"/>
                          <w:sz w:val="28"/>
                          <w:szCs w:val="28"/>
                        </w:rPr>
                        <w:t>项目名称：</w:t>
                      </w:r>
                      <w:r>
                        <w:rPr>
                          <w:rFonts w:hint="eastAsia" w:cs="宋体"/>
                          <w:sz w:val="28"/>
                          <w:szCs w:val="28"/>
                          <w:lang w:eastAsia="zh-CN"/>
                        </w:rPr>
                        <w:t>陕西中医药大学第二附属医院床旁血滤机、神经中央监护分析系统、诱发电位仪医疗设备采购项目</w:t>
                      </w:r>
                    </w:p>
                    <w:p>
                      <w:pPr>
                        <w:pStyle w:val="2"/>
                        <w:jc w:val="center"/>
                        <w:rPr>
                          <w:rFonts w:hint="eastAsia" w:cs="宋体"/>
                          <w:b/>
                          <w:bCs/>
                          <w:sz w:val="44"/>
                          <w:szCs w:val="44"/>
                        </w:rPr>
                      </w:pPr>
                      <w:r>
                        <w:rPr>
                          <w:rFonts w:hint="eastAsia" w:cs="宋体"/>
                          <w:b/>
                          <w:bCs/>
                          <w:sz w:val="44"/>
                          <w:szCs w:val="44"/>
                        </w:rPr>
                        <w:t>电子文档</w:t>
                      </w:r>
                    </w:p>
                    <w:p>
                      <w:pPr>
                        <w:pStyle w:val="2"/>
                        <w:jc w:val="center"/>
                        <w:rPr>
                          <w:rFonts w:cs="宋体"/>
                          <w:b/>
                          <w:bCs/>
                          <w:sz w:val="44"/>
                          <w:szCs w:val="44"/>
                        </w:rPr>
                      </w:pPr>
                      <w:r>
                        <w:rPr>
                          <w:rFonts w:hint="eastAsia" w:ascii="宋体" w:hAnsi="宋体" w:eastAsia="宋体" w:cs="宋体"/>
                          <w:sz w:val="40"/>
                          <w:szCs w:val="24"/>
                          <w:lang w:val="en-US" w:eastAsia="zh-CN"/>
                        </w:rPr>
                        <w:t>（第X包）</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宋体"/>
                          <w:sz w:val="28"/>
                          <w:szCs w:val="28"/>
                        </w:rPr>
                      </w:pPr>
                    </w:p>
                  </w:txbxContent>
                </v:textbox>
              </v:shape>
            </w:pict>
          </mc:Fallback>
        </mc:AlternateContent>
      </w: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1004" w:firstLineChars="200"/>
        <w:jc w:val="center"/>
        <w:rPr>
          <w:rFonts w:asciiTheme="minorEastAsia" w:hAnsiTheme="minorEastAsia" w:eastAsiaTheme="minorEastAsia" w:cstheme="minorEastAsia"/>
          <w:b/>
          <w:bCs/>
          <w:sz w:val="50"/>
          <w:szCs w:val="50"/>
          <w:highlight w:val="none"/>
        </w:rPr>
      </w:pPr>
    </w:p>
    <w:p>
      <w:pPr>
        <w:jc w:val="left"/>
        <w:rPr>
          <w:rFonts w:asciiTheme="minorEastAsia" w:hAnsiTheme="minorEastAsia" w:eastAsiaTheme="minorEastAsia" w:cstheme="minorEastAsia"/>
          <w:b/>
          <w:bCs/>
          <w:sz w:val="36"/>
          <w:szCs w:val="36"/>
          <w:highlight w:val="none"/>
        </w:rPr>
        <w:sectPr>
          <w:pgSz w:w="11906" w:h="16838"/>
          <w:pgMar w:top="1440" w:right="1803" w:bottom="1440" w:left="1803" w:header="850" w:footer="992" w:gutter="0"/>
          <w:pgNumType w:fmt="decimal"/>
          <w:cols w:space="0" w:num="1"/>
          <w:rtlGutter w:val="1"/>
          <w:docGrid w:type="lines" w:linePitch="319" w:charSpace="0"/>
        </w:sectPr>
      </w:pPr>
    </w:p>
    <w:p>
      <w:pPr>
        <w:pStyle w:val="4"/>
        <w:adjustRightInd w:val="0"/>
        <w:spacing w:line="416" w:lineRule="atLeast"/>
        <w:textAlignment w:val="baseline"/>
        <w:rPr>
          <w:rFonts w:asciiTheme="minorEastAsia" w:hAnsiTheme="minorEastAsia" w:eastAsiaTheme="minorEastAsia" w:cstheme="minorEastAsia"/>
          <w:highlight w:val="none"/>
        </w:rPr>
      </w:pPr>
      <w:bookmarkStart w:id="327" w:name="_Toc22866"/>
      <w:bookmarkStart w:id="328" w:name="_Toc7273"/>
      <w:bookmarkStart w:id="329" w:name="_Toc30210"/>
      <w:bookmarkStart w:id="330" w:name="_Toc9607"/>
      <w:bookmarkStart w:id="331" w:name="_Toc20129"/>
      <w:bookmarkStart w:id="332" w:name="_Toc8177"/>
      <w:r>
        <w:rPr>
          <w:rFonts w:hint="eastAsia" w:asciiTheme="minorEastAsia" w:hAnsiTheme="minorEastAsia" w:eastAsiaTheme="minorEastAsia" w:cstheme="minorEastAsia"/>
          <w:highlight w:val="none"/>
        </w:rPr>
        <w:t>附件二、中小企业申明</w:t>
      </w:r>
      <w:bookmarkEnd w:id="327"/>
      <w:bookmarkEnd w:id="328"/>
      <w:bookmarkEnd w:id="329"/>
      <w:bookmarkEnd w:id="330"/>
      <w:bookmarkEnd w:id="331"/>
      <w:bookmarkEnd w:id="332"/>
    </w:p>
    <w:p>
      <w:pPr>
        <w:spacing w:line="588" w:lineRule="exact"/>
        <w:ind w:firstLine="504" w:firstLineChars="200"/>
        <w:rPr>
          <w:rFonts w:ascii="宋体" w:hAnsi="宋体"/>
          <w:color w:val="000000"/>
          <w:spacing w:val="6"/>
          <w:sz w:val="24"/>
          <w:highlight w:val="none"/>
        </w:rPr>
      </w:pPr>
      <w:bookmarkStart w:id="333" w:name="_Toc11556"/>
      <w:bookmarkStart w:id="334" w:name="_Toc30503"/>
      <w:bookmarkStart w:id="335" w:name="_Toc11130"/>
      <w:bookmarkStart w:id="336" w:name="_Toc3198"/>
      <w:bookmarkStart w:id="337" w:name="_Toc15467"/>
      <w:r>
        <w:rPr>
          <w:rFonts w:hint="eastAsia" w:ascii="宋体" w:hAnsi="宋体"/>
          <w:color w:val="000000"/>
          <w:spacing w:val="6"/>
          <w:sz w:val="24"/>
          <w:highlight w:val="none"/>
        </w:rPr>
        <w:t>根据《政府采购促进中小企业发展管理办法》（财库[2020]46号）的规定，由供应商自行声明并对真实性负责。如有虚假，将依法承担相应责任。</w:t>
      </w:r>
    </w:p>
    <w:p>
      <w:pPr>
        <w:spacing w:line="588" w:lineRule="exact"/>
        <w:jc w:val="center"/>
        <w:rPr>
          <w:rFonts w:hint="default" w:ascii="宋体" w:hAnsi="宋体" w:eastAsia="宋体" w:cs="宋体"/>
          <w:b/>
          <w:color w:val="000000"/>
          <w:spacing w:val="6"/>
          <w:sz w:val="24"/>
          <w:szCs w:val="24"/>
          <w:highlight w:val="none"/>
          <w:lang w:val="en-US" w:eastAsia="zh-CN"/>
        </w:rPr>
      </w:pPr>
      <w:r>
        <w:rPr>
          <w:rFonts w:hint="eastAsia" w:ascii="宋体" w:hAnsi="宋体" w:eastAsia="宋体" w:cs="宋体"/>
          <w:b/>
          <w:color w:val="000000"/>
          <w:spacing w:val="6"/>
          <w:sz w:val="24"/>
          <w:szCs w:val="24"/>
          <w:highlight w:val="none"/>
        </w:rPr>
        <w:t>中小企业声明函</w:t>
      </w:r>
      <w:r>
        <w:rPr>
          <w:rFonts w:hint="eastAsia" w:ascii="宋体" w:hAnsi="宋体" w:eastAsia="宋体" w:cs="宋体"/>
          <w:b/>
          <w:color w:val="000000"/>
          <w:spacing w:val="6"/>
          <w:sz w:val="24"/>
          <w:szCs w:val="24"/>
          <w:highlight w:val="none"/>
          <w:lang w:eastAsia="zh-CN"/>
        </w:rPr>
        <w:t>（</w:t>
      </w:r>
      <w:r>
        <w:rPr>
          <w:rFonts w:hint="eastAsia" w:ascii="宋体" w:hAnsi="宋体" w:eastAsia="宋体" w:cs="宋体"/>
          <w:b/>
          <w:color w:val="000000"/>
          <w:spacing w:val="6"/>
          <w:sz w:val="24"/>
          <w:szCs w:val="24"/>
          <w:highlight w:val="none"/>
          <w:lang w:val="en-US" w:eastAsia="zh-CN"/>
        </w:rPr>
        <w:t>货物）</w:t>
      </w:r>
    </w:p>
    <w:p>
      <w:pPr>
        <w:pStyle w:val="11"/>
        <w:spacing w:before="55" w:line="360" w:lineRule="auto"/>
        <w:ind w:right="415" w:firstLine="640"/>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本公司</w:t>
      </w:r>
      <w:r>
        <w:rPr>
          <w:rFonts w:ascii="宋体" w:hAnsi="宋体" w:eastAsia="宋体" w:cs="宋体"/>
          <w:sz w:val="24"/>
          <w:szCs w:val="24"/>
          <w:highlight w:val="none"/>
        </w:rPr>
        <w:t>（联合体）</w:t>
      </w:r>
      <w:r>
        <w:rPr>
          <w:rFonts w:hint="eastAsia" w:ascii="宋体" w:hAnsi="宋体" w:eastAsia="宋体" w:cs="宋体"/>
          <w:color w:val="000000"/>
          <w:spacing w:val="6"/>
          <w:sz w:val="24"/>
          <w:highlight w:val="none"/>
        </w:rPr>
        <w:t>郑重声明，根据《政府采购促进中小企业发展管理办法》（财库﹝2020﹞46 号）的规定，本公司</w:t>
      </w:r>
      <w:r>
        <w:rPr>
          <w:rFonts w:ascii="宋体" w:hAnsi="宋体" w:eastAsia="宋体" w:cs="宋体"/>
          <w:sz w:val="24"/>
          <w:szCs w:val="24"/>
          <w:highlight w:val="none"/>
        </w:rPr>
        <w:t>（联合体）</w:t>
      </w:r>
      <w:r>
        <w:rPr>
          <w:rFonts w:hint="eastAsia" w:ascii="宋体" w:hAnsi="宋体" w:eastAsia="宋体" w:cs="宋体"/>
          <w:color w:val="000000"/>
          <w:spacing w:val="6"/>
          <w:sz w:val="24"/>
          <w:highlight w:val="none"/>
        </w:rPr>
        <w:t>参加</w:t>
      </w:r>
      <w:r>
        <w:rPr>
          <w:rFonts w:hint="eastAsia" w:ascii="宋体" w:hAnsi="宋体" w:eastAsia="宋体" w:cs="宋体"/>
          <w:color w:val="000000"/>
          <w:spacing w:val="6"/>
          <w:sz w:val="24"/>
          <w:highlight w:val="none"/>
          <w:u w:val="single"/>
        </w:rPr>
        <w:t>（单位名称）</w:t>
      </w:r>
      <w:r>
        <w:rPr>
          <w:rFonts w:hint="eastAsia" w:ascii="宋体" w:hAnsi="宋体" w:eastAsia="宋体" w:cs="宋体"/>
          <w:color w:val="000000"/>
          <w:spacing w:val="6"/>
          <w:sz w:val="24"/>
          <w:highlight w:val="none"/>
        </w:rPr>
        <w:t>的</w:t>
      </w:r>
      <w:r>
        <w:rPr>
          <w:rFonts w:hint="eastAsia" w:ascii="宋体" w:hAnsi="宋体" w:eastAsia="宋体" w:cs="宋体"/>
          <w:color w:val="000000"/>
          <w:spacing w:val="6"/>
          <w:sz w:val="24"/>
          <w:highlight w:val="none"/>
          <w:u w:val="single"/>
        </w:rPr>
        <w:t>（项目名称）</w:t>
      </w:r>
      <w:r>
        <w:rPr>
          <w:rFonts w:hint="eastAsia" w:ascii="宋体" w:hAnsi="宋体" w:eastAsia="宋体" w:cs="宋体"/>
          <w:color w:val="000000"/>
          <w:spacing w:val="6"/>
          <w:sz w:val="24"/>
          <w:highlight w:val="none"/>
        </w:rPr>
        <w:t>采购活动，提供的货物全部由符合政策要求的中小企业制造。相关企业的具体情况如下：</w:t>
      </w:r>
    </w:p>
    <w:p>
      <w:pPr>
        <w:pStyle w:val="90"/>
        <w:numPr>
          <w:ilvl w:val="0"/>
          <w:numId w:val="21"/>
        </w:numPr>
        <w:tabs>
          <w:tab w:val="left" w:pos="1183"/>
          <w:tab w:val="left" w:pos="1484"/>
          <w:tab w:val="left" w:pos="4662"/>
          <w:tab w:val="left" w:pos="6903"/>
        </w:tabs>
        <w:spacing w:line="360" w:lineRule="auto"/>
        <w:ind w:right="169" w:firstLine="504"/>
        <w:jc w:val="left"/>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u w:val="single"/>
        </w:rPr>
        <w:t xml:space="preserve">（ 标 的 名 称 ） </w:t>
      </w:r>
      <w:r>
        <w:rPr>
          <w:rFonts w:hint="eastAsia" w:ascii="宋体" w:hAnsi="宋体" w:eastAsia="宋体" w:cs="宋体"/>
          <w:color w:val="000000"/>
          <w:spacing w:val="6"/>
          <w:sz w:val="24"/>
          <w:highlight w:val="none"/>
        </w:rPr>
        <w:t xml:space="preserve">， 属 于 </w:t>
      </w:r>
      <w:r>
        <w:rPr>
          <w:rFonts w:hint="eastAsia" w:ascii="宋体" w:hAnsi="宋体" w:eastAsia="宋体" w:cs="宋体"/>
          <w:color w:val="000000"/>
          <w:spacing w:val="6"/>
          <w:sz w:val="24"/>
          <w:highlight w:val="none"/>
          <w:u w:val="single"/>
        </w:rPr>
        <w:t xml:space="preserve">（ 所 属 行 业 ） </w:t>
      </w:r>
      <w:r>
        <w:rPr>
          <w:rFonts w:hint="eastAsia" w:ascii="宋体" w:hAnsi="宋体" w:eastAsia="宋体" w:cs="宋体"/>
          <w:color w:val="000000"/>
          <w:spacing w:val="6"/>
          <w:sz w:val="24"/>
          <w:highlight w:val="none"/>
        </w:rPr>
        <w:t>行业；制造商为</w:t>
      </w:r>
      <w:r>
        <w:rPr>
          <w:rFonts w:hint="eastAsia" w:ascii="宋体" w:hAnsi="宋体" w:eastAsia="宋体" w:cs="宋体"/>
          <w:color w:val="000000"/>
          <w:spacing w:val="6"/>
          <w:sz w:val="24"/>
          <w:highlight w:val="none"/>
          <w:u w:val="single"/>
        </w:rPr>
        <w:t>（企业名称）</w:t>
      </w:r>
      <w:r>
        <w:rPr>
          <w:rFonts w:hint="eastAsia" w:ascii="宋体" w:hAnsi="宋体" w:eastAsia="宋体" w:cs="宋体"/>
          <w:color w:val="000000"/>
          <w:spacing w:val="6"/>
          <w:sz w:val="24"/>
          <w:highlight w:val="none"/>
        </w:rPr>
        <w:t>，从业人员</w:t>
      </w:r>
      <w:r>
        <w:rPr>
          <w:rFonts w:hint="eastAsia" w:ascii="宋体" w:hAnsi="宋体" w:eastAsia="宋体" w:cs="宋体"/>
          <w:color w:val="000000"/>
          <w:spacing w:val="6"/>
          <w:sz w:val="24"/>
          <w:highlight w:val="none"/>
          <w:u w:val="single"/>
        </w:rPr>
        <w:tab/>
      </w:r>
      <w:r>
        <w:rPr>
          <w:rFonts w:hint="eastAsia" w:ascii="宋体" w:hAnsi="宋体" w:eastAsia="宋体" w:cs="宋体"/>
          <w:color w:val="000000"/>
          <w:spacing w:val="6"/>
          <w:sz w:val="24"/>
          <w:highlight w:val="none"/>
        </w:rPr>
        <w:t>人，营业收入为</w:t>
      </w:r>
      <w:r>
        <w:rPr>
          <w:rFonts w:hint="eastAsia" w:ascii="宋体" w:hAnsi="宋体" w:eastAsia="宋体" w:cs="宋体"/>
          <w:color w:val="000000"/>
          <w:spacing w:val="6"/>
          <w:sz w:val="24"/>
          <w:highlight w:val="none"/>
          <w:u w:val="single"/>
        </w:rPr>
        <w:tab/>
      </w:r>
      <w:r>
        <w:rPr>
          <w:rFonts w:hint="eastAsia" w:ascii="宋体" w:hAnsi="宋体" w:eastAsia="宋体" w:cs="宋体"/>
          <w:color w:val="000000"/>
          <w:spacing w:val="6"/>
          <w:sz w:val="24"/>
          <w:highlight w:val="none"/>
        </w:rPr>
        <w:t>万元，资产总额为</w:t>
      </w:r>
      <w:r>
        <w:rPr>
          <w:rFonts w:hint="eastAsia" w:ascii="宋体" w:hAnsi="宋体" w:eastAsia="宋体" w:cs="宋体"/>
          <w:color w:val="000000"/>
          <w:spacing w:val="6"/>
          <w:sz w:val="24"/>
          <w:highlight w:val="none"/>
          <w:u w:val="single"/>
        </w:rPr>
        <w:tab/>
      </w:r>
      <w:r>
        <w:rPr>
          <w:rFonts w:hint="eastAsia" w:ascii="宋体" w:hAnsi="宋体" w:eastAsia="宋体" w:cs="宋体"/>
          <w:color w:val="000000"/>
          <w:spacing w:val="6"/>
          <w:sz w:val="24"/>
          <w:highlight w:val="none"/>
        </w:rPr>
        <w:t>万元，属于</w:t>
      </w:r>
      <w:r>
        <w:rPr>
          <w:rFonts w:hint="eastAsia" w:ascii="宋体" w:hAnsi="宋体" w:eastAsia="宋体" w:cs="宋体"/>
          <w:color w:val="000000"/>
          <w:spacing w:val="6"/>
          <w:sz w:val="24"/>
          <w:highlight w:val="none"/>
          <w:u w:val="single"/>
        </w:rPr>
        <w:t>（中型企业、小型企业、微型企业）</w:t>
      </w:r>
      <w:r>
        <w:rPr>
          <w:rFonts w:hint="eastAsia" w:ascii="宋体" w:hAnsi="宋体" w:eastAsia="宋体" w:cs="宋体"/>
          <w:color w:val="000000"/>
          <w:spacing w:val="6"/>
          <w:sz w:val="24"/>
          <w:highlight w:val="none"/>
        </w:rPr>
        <w:t>；</w:t>
      </w:r>
    </w:p>
    <w:p>
      <w:pPr>
        <w:pStyle w:val="90"/>
        <w:numPr>
          <w:ilvl w:val="0"/>
          <w:numId w:val="21"/>
        </w:numPr>
        <w:tabs>
          <w:tab w:val="left" w:pos="1165"/>
          <w:tab w:val="left" w:pos="1183"/>
          <w:tab w:val="left" w:pos="4362"/>
          <w:tab w:val="left" w:pos="6577"/>
        </w:tabs>
        <w:spacing w:line="360" w:lineRule="auto"/>
        <w:ind w:right="169" w:firstLine="504"/>
        <w:jc w:val="left"/>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u w:val="single"/>
        </w:rPr>
        <w:t xml:space="preserve">（ 标 的 名 称 ） </w:t>
      </w:r>
      <w:r>
        <w:rPr>
          <w:rFonts w:hint="eastAsia" w:ascii="宋体" w:hAnsi="宋体" w:eastAsia="宋体" w:cs="宋体"/>
          <w:color w:val="000000"/>
          <w:spacing w:val="6"/>
          <w:sz w:val="24"/>
          <w:highlight w:val="none"/>
        </w:rPr>
        <w:t xml:space="preserve">， 属 于 </w:t>
      </w:r>
      <w:r>
        <w:rPr>
          <w:rFonts w:hint="eastAsia" w:ascii="宋体" w:hAnsi="宋体" w:eastAsia="宋体" w:cs="宋体"/>
          <w:color w:val="000000"/>
          <w:spacing w:val="6"/>
          <w:sz w:val="24"/>
          <w:highlight w:val="none"/>
          <w:u w:val="single"/>
        </w:rPr>
        <w:t xml:space="preserve">（ 所 属 行 业 ） </w:t>
      </w:r>
      <w:r>
        <w:rPr>
          <w:rFonts w:hint="eastAsia" w:ascii="宋体" w:hAnsi="宋体" w:eastAsia="宋体" w:cs="宋体"/>
          <w:color w:val="000000"/>
          <w:spacing w:val="6"/>
          <w:sz w:val="24"/>
          <w:highlight w:val="none"/>
        </w:rPr>
        <w:t>行业；制造商为</w:t>
      </w:r>
      <w:r>
        <w:rPr>
          <w:rFonts w:hint="eastAsia" w:ascii="宋体" w:hAnsi="宋体" w:eastAsia="宋体" w:cs="宋体"/>
          <w:color w:val="000000"/>
          <w:spacing w:val="6"/>
          <w:sz w:val="24"/>
          <w:highlight w:val="none"/>
          <w:u w:val="single"/>
        </w:rPr>
        <w:t>（企业名称）</w:t>
      </w:r>
      <w:r>
        <w:rPr>
          <w:rFonts w:hint="eastAsia" w:ascii="宋体" w:hAnsi="宋体" w:eastAsia="宋体" w:cs="宋体"/>
          <w:color w:val="000000"/>
          <w:spacing w:val="6"/>
          <w:sz w:val="24"/>
          <w:highlight w:val="none"/>
        </w:rPr>
        <w:t>，从业人员人，营业收入为</w:t>
      </w:r>
      <w:r>
        <w:rPr>
          <w:rFonts w:hint="eastAsia" w:ascii="宋体" w:hAnsi="宋体" w:eastAsia="宋体" w:cs="宋体"/>
          <w:color w:val="000000"/>
          <w:spacing w:val="6"/>
          <w:sz w:val="24"/>
          <w:highlight w:val="none"/>
          <w:u w:val="single"/>
        </w:rPr>
        <w:tab/>
      </w:r>
      <w:r>
        <w:rPr>
          <w:rFonts w:hint="eastAsia" w:ascii="宋体" w:hAnsi="宋体" w:eastAsia="宋体" w:cs="宋体"/>
          <w:color w:val="000000"/>
          <w:spacing w:val="6"/>
          <w:sz w:val="24"/>
          <w:highlight w:val="none"/>
        </w:rPr>
        <w:t>万元，资产总额为</w:t>
      </w:r>
      <w:r>
        <w:rPr>
          <w:rFonts w:hint="eastAsia" w:ascii="宋体" w:hAnsi="宋体" w:eastAsia="宋体" w:cs="宋体"/>
          <w:color w:val="000000"/>
          <w:spacing w:val="6"/>
          <w:sz w:val="24"/>
          <w:highlight w:val="none"/>
          <w:u w:val="single"/>
        </w:rPr>
        <w:tab/>
      </w:r>
      <w:r>
        <w:rPr>
          <w:rFonts w:hint="eastAsia" w:ascii="宋体" w:hAnsi="宋体" w:eastAsia="宋体" w:cs="宋体"/>
          <w:color w:val="000000"/>
          <w:spacing w:val="6"/>
          <w:sz w:val="24"/>
          <w:highlight w:val="none"/>
        </w:rPr>
        <w:t>万元，属于</w:t>
      </w:r>
      <w:r>
        <w:rPr>
          <w:rFonts w:hint="eastAsia" w:ascii="宋体" w:hAnsi="宋体" w:eastAsia="宋体" w:cs="宋体"/>
          <w:color w:val="000000"/>
          <w:spacing w:val="6"/>
          <w:sz w:val="24"/>
          <w:highlight w:val="none"/>
          <w:u w:val="single"/>
        </w:rPr>
        <w:t>（中型企业、小型企业、微型企业）</w:t>
      </w:r>
      <w:r>
        <w:rPr>
          <w:rFonts w:hint="eastAsia" w:ascii="宋体" w:hAnsi="宋体" w:eastAsia="宋体" w:cs="宋体"/>
          <w:color w:val="000000"/>
          <w:spacing w:val="6"/>
          <w:sz w:val="24"/>
          <w:highlight w:val="none"/>
        </w:rPr>
        <w:t>；</w:t>
      </w:r>
    </w:p>
    <w:p>
      <w:pPr>
        <w:pStyle w:val="11"/>
        <w:spacing w:line="360" w:lineRule="auto"/>
        <w:ind w:left="860"/>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w:t>
      </w:r>
    </w:p>
    <w:p>
      <w:pPr>
        <w:pStyle w:val="11"/>
        <w:spacing w:before="105" w:line="360" w:lineRule="auto"/>
        <w:ind w:right="417" w:firstLine="645"/>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以上企业，不属于大企业的分支机构，不存在控股股东为大企业的情形，也不存在与大企业的负责人为同一人的情形。</w:t>
      </w:r>
    </w:p>
    <w:p>
      <w:pPr>
        <w:pStyle w:val="11"/>
        <w:spacing w:line="360" w:lineRule="auto"/>
        <w:ind w:right="372" w:firstLine="645"/>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本企业对上述声明内容的真实性负责。如有虚假，将依法承担相应责任。</w:t>
      </w:r>
    </w:p>
    <w:p>
      <w:pPr>
        <w:spacing w:line="360" w:lineRule="auto"/>
        <w:jc w:val="left"/>
        <w:rPr>
          <w:rFonts w:ascii="宋体" w:hAnsi="宋体" w:eastAsia="宋体" w:cs="宋体"/>
          <w:color w:val="000000"/>
          <w:spacing w:val="6"/>
          <w:sz w:val="24"/>
          <w:highlight w:val="none"/>
        </w:rPr>
      </w:pPr>
    </w:p>
    <w:p>
      <w:pPr>
        <w:spacing w:line="360" w:lineRule="auto"/>
        <w:jc w:val="left"/>
        <w:rPr>
          <w:rFonts w:ascii="宋体" w:hAnsi="宋体" w:eastAsia="宋体" w:cs="宋体"/>
          <w:color w:val="000000"/>
          <w:spacing w:val="6"/>
          <w:sz w:val="24"/>
          <w:highlight w:val="none"/>
        </w:rPr>
      </w:pPr>
    </w:p>
    <w:p>
      <w:pPr>
        <w:spacing w:line="360" w:lineRule="auto"/>
        <w:jc w:val="left"/>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企业名称（盖章）：</w:t>
      </w:r>
    </w:p>
    <w:p>
      <w:pPr>
        <w:spacing w:line="588" w:lineRule="exact"/>
        <w:rPr>
          <w:rFonts w:hint="eastAsia"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日期：</w:t>
      </w:r>
    </w:p>
    <w:p>
      <w:pPr>
        <w:bidi w:val="0"/>
        <w:rPr>
          <w:rFonts w:hint="eastAsia"/>
          <w:highlight w:val="none"/>
        </w:rPr>
      </w:pPr>
    </w:p>
    <w:p>
      <w:pPr>
        <w:spacing w:line="360" w:lineRule="auto"/>
        <w:rPr>
          <w:rFonts w:ascii="宋体" w:hAnsi="宋体"/>
          <w:spacing w:val="6"/>
          <w:sz w:val="24"/>
          <w:szCs w:val="24"/>
          <w:highlight w:val="none"/>
        </w:rPr>
      </w:pPr>
      <w:r>
        <w:rPr>
          <w:rFonts w:hint="eastAsia" w:ascii="宋体" w:hAnsi="宋体" w:cs="宋体"/>
          <w:sz w:val="21"/>
          <w:szCs w:val="21"/>
          <w:highlight w:val="none"/>
          <w:lang w:val="en-US" w:eastAsia="zh-CN"/>
        </w:rPr>
        <w:t>注：</w:t>
      </w:r>
      <w:r>
        <w:rPr>
          <w:rFonts w:ascii="宋体" w:hAnsi="宋体" w:eastAsia="宋体" w:cs="宋体"/>
          <w:sz w:val="21"/>
          <w:szCs w:val="21"/>
          <w:highlight w:val="none"/>
        </w:rPr>
        <w:t xml:space="preserve"> 从业人员、营业收入、资产总额填报上一年度数据，无上一年度数据的新成立企业可不填报。</w:t>
      </w:r>
    </w:p>
    <w:p>
      <w:pPr>
        <w:spacing w:line="588" w:lineRule="exact"/>
        <w:ind w:firstLine="504" w:firstLineChars="200"/>
        <w:rPr>
          <w:rFonts w:ascii="宋体" w:hAnsi="宋体" w:cs="宋体"/>
          <w:spacing w:val="6"/>
          <w:sz w:val="24"/>
          <w:szCs w:val="24"/>
          <w:highlight w:val="none"/>
        </w:rPr>
        <w:sectPr>
          <w:footerReference r:id="rId18" w:type="default"/>
          <w:pgSz w:w="11906" w:h="16838"/>
          <w:pgMar w:top="1440" w:right="1803" w:bottom="1440" w:left="1803" w:header="850" w:footer="992" w:gutter="0"/>
          <w:pgNumType w:fmt="decimal"/>
          <w:cols w:space="0" w:num="1"/>
          <w:rtlGutter w:val="1"/>
          <w:docGrid w:type="lines" w:linePitch="319" w:charSpace="0"/>
        </w:sectPr>
      </w:pPr>
    </w:p>
    <w:p>
      <w:pPr>
        <w:pStyle w:val="4"/>
        <w:adjustRightInd w:val="0"/>
        <w:spacing w:line="416" w:lineRule="atLeast"/>
        <w:textAlignment w:val="baseline"/>
        <w:rPr>
          <w:rFonts w:asciiTheme="minorEastAsia" w:hAnsiTheme="minorEastAsia" w:eastAsiaTheme="minorEastAsia" w:cstheme="minorEastAsia"/>
          <w:highlight w:val="none"/>
        </w:rPr>
      </w:pPr>
      <w:bookmarkStart w:id="338" w:name="_Toc7322"/>
      <w:r>
        <w:rPr>
          <w:rFonts w:hint="eastAsia" w:asciiTheme="minorEastAsia" w:hAnsiTheme="minorEastAsia" w:eastAsiaTheme="minorEastAsia" w:cstheme="minorEastAsia"/>
          <w:highlight w:val="none"/>
        </w:rPr>
        <w:t>附件三、残疾人福利性单位声明</w:t>
      </w:r>
      <w:bookmarkEnd w:id="333"/>
      <w:bookmarkEnd w:id="334"/>
      <w:bookmarkEnd w:id="335"/>
      <w:bookmarkEnd w:id="336"/>
      <w:bookmarkEnd w:id="338"/>
    </w:p>
    <w:p>
      <w:pPr>
        <w:spacing w:line="588" w:lineRule="exact"/>
        <w:ind w:firstLine="504"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spacing w:val="6"/>
          <w:sz w:val="24"/>
          <w:highlight w:val="none"/>
        </w:rPr>
        <w:t>根据《关于促进残疾人就业政府采购政策的通知》财库〔2017〕141号的规定由供应商自行申明，并对声明的真实性负责，如有虚假，将依法承担相应责任。</w:t>
      </w:r>
      <w:bookmarkStart w:id="339" w:name="sendNo"/>
      <w:bookmarkEnd w:id="339"/>
    </w:p>
    <w:bookmarkEnd w:id="337"/>
    <w:p>
      <w:pPr>
        <w:spacing w:line="588" w:lineRule="exact"/>
        <w:jc w:val="center"/>
        <w:rPr>
          <w:rFonts w:ascii="宋体" w:hAnsi="宋体" w:cs="宋体"/>
          <w:b/>
          <w:color w:val="000000"/>
          <w:spacing w:val="6"/>
          <w:sz w:val="24"/>
          <w:szCs w:val="24"/>
          <w:highlight w:val="none"/>
        </w:rPr>
      </w:pPr>
      <w:bookmarkStart w:id="340" w:name="OLE_LINK14"/>
      <w:r>
        <w:rPr>
          <w:rFonts w:hint="eastAsia" w:ascii="宋体" w:hAnsi="宋体" w:cs="宋体"/>
          <w:b/>
          <w:color w:val="000000"/>
          <w:spacing w:val="6"/>
          <w:sz w:val="24"/>
          <w:szCs w:val="24"/>
          <w:highlight w:val="none"/>
        </w:rPr>
        <w:t>残疾人福利性单位声明函</w:t>
      </w:r>
      <w:bookmarkEnd w:id="340"/>
    </w:p>
    <w:p>
      <w:pPr>
        <w:spacing w:line="588" w:lineRule="exact"/>
        <w:ind w:firstLine="504" w:firstLineChars="200"/>
        <w:rPr>
          <w:rFonts w:ascii="宋体" w:hAnsi="宋体" w:cs="宋体"/>
          <w:spacing w:val="6"/>
          <w:sz w:val="24"/>
          <w:szCs w:val="24"/>
          <w:highlight w:val="none"/>
        </w:rPr>
      </w:pPr>
      <w:r>
        <w:rPr>
          <w:rFonts w:hint="eastAsia" w:ascii="宋体" w:hAnsi="宋体" w:cs="宋体"/>
          <w:spacing w:val="6"/>
          <w:sz w:val="24"/>
          <w:szCs w:val="24"/>
          <w:highlight w:val="none"/>
        </w:rPr>
        <w:t>本单位郑重声明，根据《财政部 民政部 中国残疾人联合会关于促进残疾人就业政府采购政策的通知》（财库</w:t>
      </w:r>
      <w:r>
        <w:rPr>
          <w:rFonts w:hint="eastAsia" w:ascii="宋体" w:hAnsi="宋体" w:cs="宋体"/>
          <w:sz w:val="24"/>
          <w:szCs w:val="24"/>
          <w:highlight w:val="none"/>
        </w:rPr>
        <w:t>〔2017〕 141</w:t>
      </w:r>
      <w:r>
        <w:rPr>
          <w:rFonts w:hint="eastAsia" w:ascii="宋体" w:hAnsi="宋体" w:cs="宋体"/>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4860"/>
        </w:tabs>
        <w:spacing w:line="588" w:lineRule="exact"/>
        <w:ind w:right="1560" w:firstLine="504" w:firstLineChars="200"/>
        <w:rPr>
          <w:rFonts w:ascii="宋体" w:hAnsi="宋体" w:cs="宋体"/>
          <w:color w:val="000000"/>
          <w:spacing w:val="6"/>
          <w:sz w:val="24"/>
          <w:szCs w:val="24"/>
          <w:highlight w:val="none"/>
        </w:rPr>
      </w:pPr>
      <w:r>
        <w:rPr>
          <w:rFonts w:hint="eastAsia" w:ascii="宋体" w:hAnsi="宋体" w:cs="宋体"/>
          <w:color w:val="000000"/>
          <w:spacing w:val="6"/>
          <w:sz w:val="24"/>
          <w:szCs w:val="24"/>
          <w:highlight w:val="none"/>
        </w:rPr>
        <w:t>单位名称（盖章）：</w:t>
      </w:r>
    </w:p>
    <w:p>
      <w:pPr>
        <w:tabs>
          <w:tab w:val="left" w:pos="4860"/>
        </w:tabs>
        <w:spacing w:line="588" w:lineRule="exact"/>
        <w:ind w:right="1560" w:firstLine="504" w:firstLineChars="200"/>
        <w:jc w:val="left"/>
        <w:rPr>
          <w:rFonts w:ascii="宋体" w:hAnsi="宋体" w:cs="宋体"/>
          <w:color w:val="000000"/>
          <w:spacing w:val="6"/>
          <w:sz w:val="24"/>
          <w:szCs w:val="24"/>
          <w:highlight w:val="none"/>
        </w:rPr>
      </w:pPr>
      <w:r>
        <w:rPr>
          <w:rFonts w:hint="eastAsia" w:ascii="宋体" w:hAnsi="宋体" w:cs="宋体"/>
          <w:color w:val="000000"/>
          <w:spacing w:val="6"/>
          <w:sz w:val="24"/>
          <w:szCs w:val="24"/>
          <w:highlight w:val="none"/>
        </w:rPr>
        <w:t>日  期：</w:t>
      </w:r>
    </w:p>
    <w:p>
      <w:pPr>
        <w:pStyle w:val="4"/>
        <w:rPr>
          <w:rFonts w:ascii="宋体" w:hAnsi="宋体" w:cs="宋体"/>
          <w:color w:val="000000"/>
          <w:highlight w:val="none"/>
        </w:rPr>
      </w:pPr>
      <w:bookmarkStart w:id="341" w:name="_Toc2301"/>
      <w:bookmarkStart w:id="342" w:name="_Toc3053"/>
      <w:bookmarkStart w:id="343" w:name="_Toc30368"/>
      <w:r>
        <w:rPr>
          <w:rFonts w:hint="eastAsia"/>
          <w:color w:val="000000"/>
          <w:highlight w:val="none"/>
        </w:rPr>
        <w:t>附件四、监狱企业证明文件</w:t>
      </w:r>
      <w:bookmarkEnd w:id="341"/>
      <w:bookmarkEnd w:id="342"/>
      <w:bookmarkEnd w:id="343"/>
    </w:p>
    <w:p>
      <w:pPr>
        <w:rPr>
          <w:rFonts w:ascii="宋体" w:hAnsi="宋体" w:cs="宋体"/>
          <w:color w:val="000000"/>
          <w:highlight w:val="none"/>
        </w:rPr>
      </w:pPr>
    </w:p>
    <w:p>
      <w:pPr>
        <w:spacing w:line="588" w:lineRule="exact"/>
        <w:ind w:firstLine="504" w:firstLineChars="200"/>
        <w:rPr>
          <w:rFonts w:ascii="宋体" w:hAnsi="宋体" w:cs="宋体"/>
          <w:spacing w:val="6"/>
          <w:sz w:val="24"/>
          <w:szCs w:val="24"/>
          <w:highlight w:val="none"/>
        </w:rPr>
      </w:pPr>
      <w:r>
        <w:rPr>
          <w:rFonts w:hint="eastAsia" w:ascii="宋体" w:hAnsi="宋体" w:cs="宋体"/>
          <w:spacing w:val="6"/>
          <w:sz w:val="24"/>
          <w:szCs w:val="24"/>
          <w:highlight w:val="none"/>
        </w:rPr>
        <w:t>说明：根据《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cs="宋体"/>
          <w:color w:val="000000"/>
          <w:highlight w:val="none"/>
        </w:rPr>
      </w:pPr>
      <w:bookmarkStart w:id="344" w:name="_Toc13303"/>
      <w:bookmarkStart w:id="345" w:name="_Toc563"/>
      <w:bookmarkStart w:id="346" w:name="_Toc10783"/>
      <w:bookmarkStart w:id="347" w:name="_Toc11969"/>
      <w:bookmarkStart w:id="348" w:name="_Toc7937"/>
      <w:bookmarkStart w:id="349" w:name="_Toc2126"/>
      <w:bookmarkStart w:id="350" w:name="_Toc13122"/>
      <w:r>
        <w:rPr>
          <w:rFonts w:hint="eastAsia" w:ascii="宋体" w:hAnsi="宋体" w:cs="宋体"/>
          <w:color w:val="000000"/>
          <w:highlight w:val="none"/>
        </w:rPr>
        <w:t>附件五、“节能产品”，“环境标志产品”证明材料</w:t>
      </w:r>
      <w:bookmarkEnd w:id="344"/>
      <w:bookmarkEnd w:id="345"/>
      <w:bookmarkEnd w:id="346"/>
      <w:bookmarkEnd w:id="347"/>
      <w:bookmarkEnd w:id="348"/>
      <w:bookmarkEnd w:id="349"/>
      <w:bookmarkEnd w:id="350"/>
    </w:p>
    <w:p>
      <w:pPr>
        <w:widowControl/>
        <w:spacing w:line="360" w:lineRule="auto"/>
        <w:ind w:firstLine="504" w:firstLineChars="200"/>
        <w:rPr>
          <w:rFonts w:ascii="宋体" w:hAnsi="宋体" w:cs="宋体"/>
          <w:spacing w:val="6"/>
          <w:sz w:val="24"/>
          <w:szCs w:val="24"/>
          <w:highlight w:val="none"/>
        </w:rPr>
      </w:pPr>
      <w:r>
        <w:rPr>
          <w:rFonts w:hint="eastAsia" w:ascii="宋体" w:hAnsi="宋体" w:cs="宋体"/>
          <w:spacing w:val="6"/>
          <w:sz w:val="24"/>
          <w:szCs w:val="24"/>
          <w:highlight w:val="none"/>
        </w:rPr>
        <w:t>1、供应商提供的产品属于下列情形，应按照招标文件第三部分供应商须知总则第六款规定提供产品列入“节能产品品目清单”，“环境标志产品品目清单”相应产品的国家确定的认证机构出具的、处于有效期内的节能产品、环境标志产品认证证书。</w:t>
      </w:r>
    </w:p>
    <w:p>
      <w:pPr>
        <w:widowControl/>
        <w:spacing w:line="360" w:lineRule="auto"/>
        <w:ind w:left="420" w:leftChars="200"/>
        <w:rPr>
          <w:rFonts w:ascii="宋体" w:hAnsi="宋体" w:cs="宋体"/>
          <w:sz w:val="24"/>
          <w:szCs w:val="24"/>
          <w:highlight w:val="none"/>
        </w:rPr>
      </w:pPr>
      <w:r>
        <w:rPr>
          <w:rFonts w:hint="eastAsia" w:ascii="宋体" w:hAnsi="宋体" w:cs="宋体"/>
          <w:sz w:val="24"/>
          <w:szCs w:val="24"/>
          <w:highlight w:val="none"/>
        </w:rPr>
        <w:t>2、未按照上述要求提供的，评审时不予以考虑。</w:t>
      </w:r>
    </w:p>
    <w:p>
      <w:pPr>
        <w:pStyle w:val="4"/>
        <w:adjustRightInd w:val="0"/>
        <w:spacing w:line="416" w:lineRule="atLeast"/>
        <w:textAlignment w:val="baseline"/>
        <w:rPr>
          <w:rFonts w:asciiTheme="minorEastAsia" w:hAnsiTheme="minorEastAsia" w:eastAsiaTheme="minorEastAsia" w:cstheme="minorEastAsia"/>
          <w:highlight w:val="none"/>
        </w:rPr>
      </w:pPr>
      <w:bookmarkStart w:id="351" w:name="_Toc6235"/>
      <w:bookmarkStart w:id="352" w:name="_Toc654"/>
      <w:bookmarkStart w:id="353" w:name="_Toc5338"/>
      <w:bookmarkStart w:id="354" w:name="_Toc3159"/>
      <w:bookmarkStart w:id="355" w:name="_Toc4757"/>
      <w:bookmarkStart w:id="356" w:name="_Toc11924"/>
      <w:r>
        <w:rPr>
          <w:rFonts w:hint="eastAsia" w:asciiTheme="minorEastAsia" w:hAnsiTheme="minorEastAsia" w:eastAsiaTheme="minorEastAsia" w:cstheme="minorEastAsia"/>
          <w:highlight w:val="none"/>
        </w:rPr>
        <w:t>附件六、质疑函样本</w:t>
      </w:r>
      <w:bookmarkEnd w:id="351"/>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一、质疑供应商基本信息</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质疑供应商：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地址：                          邮编：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联系人：                      联系电话：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授权代表：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联系电话：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地址：                         邮编：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二、质疑项目基本情况</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质疑项目的名称：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质疑项目的编号：               ：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采购人名称：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采购文件获取日期：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三、质疑事项具体内容</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质疑事项1：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事实依据：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法律依据：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质疑事项2</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四、与质疑事项相关的质疑请求</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请求：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签字(签章)：                   公章：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日期：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质疑函制作说明：</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1.供应商提出质疑时，应提交质疑函和必要的证明材料。</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3.质疑供应商若对项目的某一分包进行质疑，质疑函中应列明具体分。</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4.质疑函的质疑事项应具体、明确，并有必要的事实依据和法律依据。</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5.质疑函的质疑请求应与质疑事项相关。</w:t>
      </w:r>
    </w:p>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Cs/>
          <w:highlight w:val="none"/>
        </w:rPr>
        <w:t>6.质疑供应商为自然人的，质疑函应由本人签字；质疑供应商为法人或者其他组织的，质疑函应由法定代表人、主要负责人，或者其授权代表签字或者盖章，并加盖公章。</w:t>
      </w:r>
    </w:p>
    <w:p>
      <w:pPr>
        <w:rPr>
          <w:rFonts w:asciiTheme="minorEastAsia" w:hAnsiTheme="minorEastAsia" w:eastAsiaTheme="minorEastAsia" w:cstheme="minorEastAsia"/>
          <w:highlight w:val="none"/>
        </w:rPr>
      </w:pPr>
    </w:p>
    <w:p>
      <w:pPr>
        <w:pStyle w:val="4"/>
        <w:adjustRightInd w:val="0"/>
        <w:spacing w:line="416" w:lineRule="atLeast"/>
        <w:textAlignment w:val="baseline"/>
        <w:rPr>
          <w:rFonts w:asciiTheme="minorEastAsia" w:hAnsiTheme="minorEastAsia" w:eastAsiaTheme="minorEastAsia" w:cstheme="minorEastAsia"/>
          <w:highlight w:val="none"/>
        </w:rPr>
      </w:pPr>
      <w:bookmarkStart w:id="357" w:name="_Toc21328"/>
      <w:r>
        <w:rPr>
          <w:rFonts w:hint="eastAsia" w:asciiTheme="minorEastAsia" w:hAnsiTheme="minorEastAsia" w:eastAsiaTheme="minorEastAsia" w:cstheme="minorEastAsia"/>
          <w:highlight w:val="none"/>
        </w:rPr>
        <w:t>附件七、保证金退还账户信息确认表</w:t>
      </w:r>
      <w:bookmarkEnd w:id="352"/>
      <w:bookmarkEnd w:id="353"/>
      <w:bookmarkEnd w:id="354"/>
      <w:bookmarkEnd w:id="355"/>
      <w:bookmarkEnd w:id="356"/>
      <w:bookmarkEnd w:id="357"/>
      <w:bookmarkStart w:id="358" w:name="_Toc378248335"/>
    </w:p>
    <w:p>
      <w:pPr>
        <w:rPr>
          <w:rFonts w:asciiTheme="minorEastAsia" w:hAnsiTheme="minorEastAsia" w:eastAsiaTheme="minorEastAsia" w:cstheme="minorEastAsia"/>
          <w:highlight w:val="none"/>
        </w:rPr>
      </w:pPr>
    </w:p>
    <w:p>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项目名称：</w:t>
      </w:r>
      <w:r>
        <w:rPr>
          <w:rFonts w:hint="eastAsia" w:asciiTheme="minorEastAsia" w:hAnsiTheme="minorEastAsia" w:eastAsiaTheme="minorEastAsia" w:cstheme="minorEastAsia"/>
          <w:kern w:val="0"/>
          <w:sz w:val="24"/>
          <w:szCs w:val="24"/>
          <w:highlight w:val="none"/>
        </w:rPr>
        <w:t>_____________________________</w:t>
      </w:r>
    </w:p>
    <w:p>
      <w:pPr>
        <w:tabs>
          <w:tab w:val="center" w:pos="4150"/>
        </w:tabs>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项目编号：</w:t>
      </w:r>
      <w:bookmarkEnd w:id="358"/>
      <w:r>
        <w:rPr>
          <w:rFonts w:hint="eastAsia" w:asciiTheme="minorEastAsia" w:hAnsiTheme="minorEastAsia" w:eastAsiaTheme="minorEastAsia" w:cstheme="minorEastAsia"/>
          <w:kern w:val="0"/>
          <w:sz w:val="24"/>
          <w:szCs w:val="24"/>
          <w:highlight w:val="none"/>
        </w:rPr>
        <w:t>_____________________________</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（第X包）</w:t>
      </w:r>
    </w:p>
    <w:p>
      <w:pPr>
        <w:rPr>
          <w:rFonts w:asciiTheme="minorEastAsia" w:hAnsiTheme="minorEastAsia" w:eastAsiaTheme="minorEastAsia" w:cstheme="minorEastAsia"/>
          <w:highlight w:val="none"/>
        </w:rPr>
      </w:pPr>
    </w:p>
    <w:tbl>
      <w:tblPr>
        <w:tblStyle w:val="25"/>
        <w:tblW w:w="864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应退投标保证金</w:t>
            </w:r>
          </w:p>
        </w:tc>
        <w:tc>
          <w:tcPr>
            <w:tcW w:w="6372" w:type="dxa"/>
            <w:gridSpan w:val="2"/>
          </w:tcPr>
          <w:p>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tcPr>
          <w:p>
            <w:pPr>
              <w:rPr>
                <w:rFonts w:asciiTheme="minorEastAsia" w:hAnsiTheme="minorEastAsia" w:eastAsiaTheme="minorEastAsia" w:cstheme="minorEastAsia"/>
                <w:sz w:val="24"/>
                <w:szCs w:val="24"/>
                <w:highlight w:val="none"/>
              </w:rPr>
            </w:pPr>
          </w:p>
        </w:tc>
        <w:tc>
          <w:tcPr>
            <w:tcW w:w="6372" w:type="dxa"/>
            <w:gridSpan w:val="2"/>
          </w:tcPr>
          <w:p>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大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收款单位（盖章）</w:t>
            </w:r>
          </w:p>
        </w:tc>
        <w:tc>
          <w:tcPr>
            <w:tcW w:w="2370" w:type="dxa"/>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  位 名 称</w:t>
            </w:r>
          </w:p>
        </w:tc>
        <w:tc>
          <w:tcPr>
            <w:tcW w:w="4002" w:type="dxa"/>
          </w:tcPr>
          <w:p>
            <w:pPr>
              <w:rPr>
                <w:rFonts w:asciiTheme="minorEastAsia" w:hAnsiTheme="minorEastAsia" w:eastAsiaTheme="minorEastAsia" w:cstheme="minorEastAsia"/>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tcPr>
          <w:p>
            <w:pPr>
              <w:rPr>
                <w:rFonts w:asciiTheme="minorEastAsia" w:hAnsiTheme="minorEastAsia" w:eastAsiaTheme="minorEastAsia" w:cstheme="minorEastAsia"/>
                <w:sz w:val="24"/>
                <w:szCs w:val="24"/>
                <w:highlight w:val="none"/>
              </w:rPr>
            </w:pPr>
          </w:p>
        </w:tc>
        <w:tc>
          <w:tcPr>
            <w:tcW w:w="2370" w:type="dxa"/>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   户   行</w:t>
            </w:r>
          </w:p>
        </w:tc>
        <w:tc>
          <w:tcPr>
            <w:tcW w:w="4002" w:type="dxa"/>
          </w:tcPr>
          <w:p>
            <w:pPr>
              <w:rPr>
                <w:rFonts w:asciiTheme="minorEastAsia" w:hAnsiTheme="minorEastAsia" w:eastAsiaTheme="minorEastAsia" w:cstheme="minorEastAsia"/>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tcPr>
          <w:p>
            <w:pPr>
              <w:rPr>
                <w:rFonts w:asciiTheme="minorEastAsia" w:hAnsiTheme="minorEastAsia" w:eastAsiaTheme="minorEastAsia" w:cstheme="minorEastAsia"/>
                <w:sz w:val="24"/>
                <w:szCs w:val="24"/>
                <w:highlight w:val="none"/>
              </w:rPr>
            </w:pPr>
          </w:p>
        </w:tc>
        <w:tc>
          <w:tcPr>
            <w:tcW w:w="2370" w:type="dxa"/>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        号</w:t>
            </w:r>
          </w:p>
        </w:tc>
        <w:tc>
          <w:tcPr>
            <w:tcW w:w="4002" w:type="dxa"/>
          </w:tcPr>
          <w:p>
            <w:pPr>
              <w:rPr>
                <w:rFonts w:asciiTheme="minorEastAsia" w:hAnsiTheme="minorEastAsia" w:eastAsiaTheme="minorEastAsia" w:cstheme="minorEastAsia"/>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tcPr>
          <w:p>
            <w:pPr>
              <w:rPr>
                <w:rFonts w:asciiTheme="minorEastAsia" w:hAnsiTheme="minorEastAsia" w:eastAsiaTheme="minorEastAsia" w:cstheme="minorEastAsia"/>
                <w:sz w:val="24"/>
                <w:szCs w:val="24"/>
                <w:highlight w:val="none"/>
              </w:rPr>
            </w:pPr>
          </w:p>
        </w:tc>
        <w:tc>
          <w:tcPr>
            <w:tcW w:w="2370" w:type="dxa"/>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联系人及电话</w:t>
            </w:r>
          </w:p>
        </w:tc>
        <w:tc>
          <w:tcPr>
            <w:tcW w:w="4002" w:type="dxa"/>
          </w:tcPr>
          <w:p>
            <w:pPr>
              <w:rPr>
                <w:rFonts w:asciiTheme="minorEastAsia" w:hAnsiTheme="minorEastAsia" w:eastAsiaTheme="minorEastAsia" w:cstheme="minorEastAsia"/>
                <w:sz w:val="24"/>
                <w:szCs w:val="24"/>
                <w:highlight w:val="none"/>
              </w:rPr>
            </w:pPr>
          </w:p>
        </w:tc>
      </w:tr>
    </w:tbl>
    <w:p>
      <w:pPr>
        <w:keepNext/>
        <w:keepLines/>
        <w:adjustRightInd w:val="0"/>
        <w:spacing w:line="416" w:lineRule="atLeast"/>
        <w:textAlignment w:val="baseline"/>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注：单位公章需清晰完整。（仅作为退还保证金时使用，需单独提供）</w:t>
      </w:r>
    </w:p>
    <w:p>
      <w:pPr>
        <w:jc w:val="center"/>
        <w:rPr>
          <w:rFonts w:asciiTheme="minorEastAsia" w:hAnsiTheme="minorEastAsia" w:eastAsiaTheme="minorEastAsia" w:cstheme="minorEastAsia"/>
          <w:sz w:val="24"/>
          <w:szCs w:val="24"/>
          <w:highlight w:val="none"/>
        </w:rPr>
      </w:pPr>
    </w:p>
    <w:p>
      <w:pPr>
        <w:adjustRightInd w:val="0"/>
        <w:snapToGrid w:val="0"/>
        <w:jc w:val="left"/>
        <w:rPr>
          <w:rFonts w:asciiTheme="minorEastAsia" w:hAnsiTheme="minorEastAsia" w:eastAsiaTheme="minorEastAsia" w:cstheme="minorEastAsia"/>
          <w:b/>
          <w:bCs/>
          <w:sz w:val="24"/>
          <w:szCs w:val="24"/>
          <w:highlight w:val="none"/>
        </w:rPr>
      </w:pPr>
    </w:p>
    <w:p>
      <w:pPr>
        <w:adjustRightInd w:val="0"/>
        <w:snapToGrid w:val="0"/>
        <w:jc w:val="left"/>
        <w:rPr>
          <w:rFonts w:asciiTheme="minorEastAsia" w:hAnsiTheme="minorEastAsia" w:eastAsiaTheme="minorEastAsia" w:cstheme="minorEastAsia"/>
          <w:b/>
          <w:bCs/>
          <w:sz w:val="24"/>
          <w:szCs w:val="24"/>
          <w:highlight w:val="none"/>
        </w:rPr>
      </w:pPr>
    </w:p>
    <w:p>
      <w:pPr>
        <w:adjustRightInd w:val="0"/>
        <w:snapToGrid w:val="0"/>
        <w:jc w:val="left"/>
        <w:rPr>
          <w:rFonts w:asciiTheme="minorEastAsia" w:hAnsiTheme="minorEastAsia" w:eastAsiaTheme="minorEastAsia" w:cstheme="minorEastAsia"/>
          <w:b/>
          <w:bCs/>
          <w:sz w:val="24"/>
          <w:szCs w:val="24"/>
          <w:highlight w:val="none"/>
        </w:rPr>
      </w:pPr>
    </w:p>
    <w:p>
      <w:pPr>
        <w:adjustRightInd w:val="0"/>
        <w:snapToGrid w:val="0"/>
        <w:jc w:val="left"/>
        <w:rPr>
          <w:rFonts w:asciiTheme="minorEastAsia" w:hAnsiTheme="minorEastAsia" w:eastAsiaTheme="minorEastAsia" w:cstheme="minorEastAsia"/>
          <w:b/>
          <w:bCs/>
          <w:sz w:val="24"/>
          <w:szCs w:val="24"/>
          <w:highlight w:val="none"/>
        </w:rPr>
      </w:pPr>
    </w:p>
    <w:p>
      <w:pPr>
        <w:adjustRightInd w:val="0"/>
        <w:snapToGrid w:val="0"/>
        <w:jc w:val="left"/>
        <w:rPr>
          <w:rFonts w:asciiTheme="minorEastAsia" w:hAnsiTheme="minorEastAsia" w:eastAsiaTheme="minorEastAsia" w:cstheme="minorEastAsia"/>
          <w:b/>
          <w:bCs/>
          <w:sz w:val="24"/>
          <w:szCs w:val="24"/>
          <w:highlight w:val="none"/>
        </w:rPr>
      </w:pPr>
    </w:p>
    <w:p>
      <w:pPr>
        <w:adjustRightInd w:val="0"/>
        <w:snapToGrid w:val="0"/>
        <w:jc w:val="left"/>
        <w:rPr>
          <w:rFonts w:asciiTheme="minorEastAsia" w:hAnsiTheme="minorEastAsia" w:eastAsiaTheme="minorEastAsia" w:cstheme="minorEastAsia"/>
          <w:b/>
          <w:bCs/>
          <w:spacing w:val="48"/>
          <w:sz w:val="72"/>
          <w:szCs w:val="72"/>
          <w:highlight w:val="none"/>
        </w:rPr>
        <w:sectPr>
          <w:pgSz w:w="11906" w:h="16838"/>
          <w:pgMar w:top="1440" w:right="1803" w:bottom="1440" w:left="1803" w:header="850" w:footer="992" w:gutter="0"/>
          <w:pgNumType w:fmt="decimal"/>
          <w:cols w:space="0" w:num="1"/>
          <w:rtlGutter w:val="1"/>
          <w:docGrid w:type="lines" w:linePitch="319" w:charSpace="0"/>
        </w:sectPr>
      </w:pPr>
      <w:r>
        <w:rPr>
          <w:rFonts w:hint="eastAsia" w:asciiTheme="minorEastAsia" w:hAnsiTheme="minorEastAsia" w:eastAsiaTheme="minorEastAsia" w:cstheme="minorEastAsia"/>
          <w:b/>
          <w:bCs/>
          <w:sz w:val="24"/>
          <w:szCs w:val="24"/>
          <w:highlight w:val="none"/>
        </w:rPr>
        <w:t>附：投标保证金汇款凭证</w:t>
      </w:r>
    </w:p>
    <w:p>
      <w:pPr>
        <w:jc w:val="left"/>
        <w:rPr>
          <w:rFonts w:asciiTheme="minorEastAsia" w:hAnsiTheme="minorEastAsia" w:eastAsiaTheme="minorEastAsia" w:cstheme="minorEastAsia"/>
          <w:sz w:val="72"/>
          <w:szCs w:val="72"/>
          <w:highlight w:val="none"/>
        </w:rPr>
      </w:pPr>
      <w:r>
        <w:rPr>
          <w:rFonts w:hint="eastAsia" w:asciiTheme="minorEastAsia" w:hAnsiTheme="minorEastAsia" w:eastAsiaTheme="minorEastAsia" w:cstheme="minorEastAsia"/>
          <w:b/>
          <w:bCs/>
          <w:spacing w:val="48"/>
          <w:sz w:val="72"/>
          <w:szCs w:val="72"/>
          <w:highlight w:val="none"/>
        </w:rPr>
        <w:t>公平</w:t>
      </w:r>
    </w:p>
    <w:p>
      <w:pPr>
        <w:jc w:val="left"/>
        <w:rPr>
          <w:rFonts w:asciiTheme="minorEastAsia" w:hAnsiTheme="minorEastAsia" w:eastAsiaTheme="minorEastAsia" w:cstheme="minorEastAsia"/>
          <w:sz w:val="72"/>
          <w:szCs w:val="72"/>
          <w:highlight w:val="none"/>
        </w:rPr>
      </w:pPr>
    </w:p>
    <w:p>
      <w:pPr>
        <w:jc w:val="left"/>
        <w:rPr>
          <w:rFonts w:asciiTheme="minorEastAsia" w:hAnsiTheme="minorEastAsia" w:eastAsiaTheme="minorEastAsia" w:cstheme="minorEastAsia"/>
          <w:sz w:val="72"/>
          <w:szCs w:val="72"/>
          <w:highlight w:val="none"/>
        </w:rPr>
      </w:pPr>
    </w:p>
    <w:p>
      <w:pPr>
        <w:jc w:val="center"/>
        <w:rPr>
          <w:rFonts w:asciiTheme="minorEastAsia" w:hAnsiTheme="minorEastAsia" w:eastAsiaTheme="minorEastAsia" w:cstheme="minorEastAsia"/>
          <w:b/>
          <w:bCs/>
          <w:spacing w:val="48"/>
          <w:sz w:val="72"/>
          <w:szCs w:val="72"/>
          <w:highlight w:val="none"/>
        </w:rPr>
      </w:pPr>
    </w:p>
    <w:p>
      <w:pPr>
        <w:jc w:val="center"/>
        <w:rPr>
          <w:rFonts w:asciiTheme="minorEastAsia" w:hAnsiTheme="minorEastAsia" w:eastAsiaTheme="minorEastAsia" w:cstheme="minorEastAsia"/>
          <w:b/>
          <w:bCs/>
          <w:spacing w:val="48"/>
          <w:sz w:val="72"/>
          <w:szCs w:val="72"/>
          <w:highlight w:val="none"/>
        </w:rPr>
      </w:pPr>
      <w:r>
        <w:rPr>
          <w:rFonts w:hint="eastAsia" w:asciiTheme="minorEastAsia" w:hAnsiTheme="minorEastAsia" w:eastAsiaTheme="minorEastAsia" w:cstheme="minorEastAsia"/>
          <w:b/>
          <w:bCs/>
          <w:spacing w:val="48"/>
          <w:sz w:val="72"/>
          <w:szCs w:val="72"/>
          <w:highlight w:val="none"/>
        </w:rPr>
        <w:t>公正</w:t>
      </w:r>
    </w:p>
    <w:p>
      <w:pPr>
        <w:jc w:val="left"/>
        <w:rPr>
          <w:rFonts w:asciiTheme="minorEastAsia" w:hAnsiTheme="minorEastAsia" w:eastAsiaTheme="minorEastAsia" w:cstheme="minorEastAsia"/>
          <w:b/>
          <w:bCs/>
          <w:spacing w:val="48"/>
          <w:sz w:val="72"/>
          <w:szCs w:val="72"/>
          <w:highlight w:val="none"/>
        </w:rPr>
      </w:pPr>
    </w:p>
    <w:p>
      <w:pPr>
        <w:jc w:val="left"/>
        <w:rPr>
          <w:rFonts w:asciiTheme="minorEastAsia" w:hAnsiTheme="minorEastAsia" w:eastAsiaTheme="minorEastAsia" w:cstheme="minorEastAsia"/>
          <w:b/>
          <w:bCs/>
          <w:spacing w:val="48"/>
          <w:sz w:val="72"/>
          <w:szCs w:val="72"/>
          <w:highlight w:val="none"/>
        </w:rPr>
      </w:pPr>
    </w:p>
    <w:p>
      <w:pPr>
        <w:jc w:val="left"/>
        <w:rPr>
          <w:rFonts w:asciiTheme="minorEastAsia" w:hAnsiTheme="minorEastAsia" w:eastAsiaTheme="minorEastAsia" w:cstheme="minorEastAsia"/>
          <w:b/>
          <w:bCs/>
          <w:spacing w:val="48"/>
          <w:sz w:val="72"/>
          <w:szCs w:val="72"/>
          <w:highlight w:val="none"/>
        </w:rPr>
      </w:pPr>
    </w:p>
    <w:p>
      <w:pPr>
        <w:jc w:val="right"/>
        <w:rPr>
          <w:rFonts w:asciiTheme="minorEastAsia" w:hAnsiTheme="minorEastAsia" w:eastAsiaTheme="minorEastAsia" w:cstheme="minorEastAsia"/>
          <w:b/>
          <w:bCs/>
          <w:spacing w:val="48"/>
          <w:sz w:val="72"/>
          <w:szCs w:val="72"/>
          <w:highlight w:val="none"/>
        </w:rPr>
      </w:pPr>
      <w:r>
        <w:rPr>
          <w:rFonts w:hint="eastAsia" w:asciiTheme="minorEastAsia" w:hAnsiTheme="minorEastAsia" w:eastAsiaTheme="minorEastAsia" w:cstheme="minorEastAsia"/>
          <w:b/>
          <w:bCs/>
          <w:spacing w:val="48"/>
          <w:sz w:val="72"/>
          <w:szCs w:val="72"/>
          <w:highlight w:val="none"/>
        </w:rPr>
        <w:t>公开</w:t>
      </w:r>
    </w:p>
    <w:p>
      <w:pPr>
        <w:jc w:val="right"/>
        <w:rPr>
          <w:rFonts w:asciiTheme="minorEastAsia" w:hAnsiTheme="minorEastAsia" w:eastAsiaTheme="minorEastAsia" w:cstheme="minorEastAsia"/>
          <w:b/>
          <w:bCs/>
          <w:spacing w:val="48"/>
          <w:sz w:val="32"/>
          <w:szCs w:val="32"/>
          <w:highlight w:val="none"/>
        </w:rPr>
      </w:pPr>
    </w:p>
    <w:bookmarkEnd w:id="0"/>
    <w:p>
      <w:pPr>
        <w:ind w:firstLine="1063" w:firstLineChars="353"/>
        <w:jc w:val="left"/>
        <w:rPr>
          <w:rFonts w:asciiTheme="minorEastAsia" w:hAnsiTheme="minorEastAsia" w:eastAsiaTheme="minorEastAsia" w:cstheme="minorEastAsia"/>
          <w:b/>
          <w:bCs/>
          <w:sz w:val="30"/>
          <w:szCs w:val="30"/>
          <w:highlight w:val="none"/>
        </w:rPr>
      </w:pPr>
    </w:p>
    <w:p>
      <w:pPr>
        <w:ind w:firstLine="1063" w:firstLineChars="353"/>
        <w:jc w:val="left"/>
        <w:rPr>
          <w:rFonts w:asciiTheme="minorEastAsia" w:hAnsiTheme="minorEastAsia" w:eastAsiaTheme="minorEastAsia" w:cstheme="minorEastAsia"/>
          <w:b/>
          <w:bCs/>
          <w:sz w:val="30"/>
          <w:szCs w:val="30"/>
          <w:highlight w:val="none"/>
        </w:rPr>
      </w:pPr>
    </w:p>
    <w:p>
      <w:pPr>
        <w:jc w:val="left"/>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企业名称：陕西万泽招标有限公司</w:t>
      </w:r>
    </w:p>
    <w:p>
      <w:pPr>
        <w:jc w:val="left"/>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地    址：西安市西关正街英达大厦1507室</w:t>
      </w:r>
    </w:p>
    <w:p>
      <w:pPr>
        <w:jc w:val="left"/>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邮政编码：710082</w:t>
      </w:r>
    </w:p>
    <w:p>
      <w:pPr>
        <w:jc w:val="left"/>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电    话：029-88319689</w:t>
      </w:r>
    </w:p>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
          <w:bCs/>
          <w:sz w:val="30"/>
          <w:szCs w:val="30"/>
          <w:highlight w:val="none"/>
        </w:rPr>
        <w:t>传    真：029-88319689</w:t>
      </w:r>
    </w:p>
    <w:sectPr>
      <w:pgSz w:w="11906" w:h="16838"/>
      <w:pgMar w:top="1440" w:right="1803" w:bottom="1440" w:left="1803" w:header="850" w:footer="992" w:gutter="0"/>
      <w:pgNumType w:fmt="decimal"/>
      <w:cols w:space="0" w:num="1"/>
      <w:rtlGutter w:val="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onaco">
    <w:altName w:val="Courier New"/>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rPr>
    </w:pPr>
    <w:r>
      <w:rPr>
        <w:rFonts w:hint="eastAsia" w:ascii="宋体" w:hAnsi="宋体" w:cs="宋体"/>
      </w:rPr>
      <w:t>陕西万泽招标有限公司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426"/>
      </w:tabs>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陕西万泽招标有限公司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18</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0"/>
        <w:tab w:val="right" w:pos="8420"/>
        <w:tab w:val="clear" w:pos="4153"/>
      </w:tabs>
      <w:rPr>
        <w:rFonts w:ascii="宋体" w:hAnsi="宋体" w:cs="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70</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陕西万泽招标有限公司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eastAsia="宋体" w:cs="Times New Roman"/>
        <w:sz w:val="15"/>
        <w:szCs w:val="15"/>
        <w:highlight w:val="yellow"/>
        <w:u w:val="single"/>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sz w:val="15"/>
        <w:szCs w:val="15"/>
        <w:u w:val="single"/>
        <w:lang w:val="en-US" w:eastAsia="zh-CN"/>
      </w:rPr>
    </w:pPr>
    <w:r>
      <w:rPr>
        <w:rFonts w:hint="eastAsia"/>
        <w:sz w:val="15"/>
        <w:szCs w:val="15"/>
        <w:u w:val="single"/>
        <w:lang w:eastAsia="zh-CN"/>
      </w:rPr>
      <w:t>陕西中医药大学第二附属医院床旁血滤机、神经中央监护分析系统、诱发电位仪医疗设备采购项</w:t>
    </w:r>
    <w:r>
      <w:rPr>
        <w:rFonts w:hint="eastAsia" w:ascii="宋体" w:hAnsi="宋体" w:eastAsia="宋体" w:cs="宋体"/>
        <w:sz w:val="15"/>
        <w:szCs w:val="15"/>
        <w:u w:val="single"/>
        <w:lang w:eastAsia="zh-CN"/>
      </w:rPr>
      <w:t>目</w:t>
    </w:r>
    <w:r>
      <w:rPr>
        <w:rFonts w:hint="eastAsia" w:ascii="宋体" w:hAnsi="宋体" w:eastAsia="宋体" w:cs="宋体"/>
        <w:sz w:val="15"/>
        <w:szCs w:val="15"/>
        <w:u w:val="single"/>
        <w:lang w:val="en-US" w:eastAsia="zh-CN"/>
      </w:rPr>
      <w:t xml:space="preserve">     SXWZ2022ZB-SZEY-199</w:t>
    </w:r>
  </w:p>
  <w:p>
    <w:pPr>
      <w:adjustRightInd w:val="0"/>
      <w:snapToGrid w:val="0"/>
      <w:spacing w:line="360" w:lineRule="auto"/>
      <w:jc w:val="left"/>
      <w:rPr>
        <w:rFonts w:hint="eastAsia" w:eastAsia="宋体"/>
        <w:sz w:val="15"/>
        <w:szCs w:val="15"/>
        <w:lang w:eastAsia="zh-CN"/>
      </w:rPr>
    </w:pPr>
    <w:r>
      <w:rPr>
        <w:rFonts w:hint="eastAsia"/>
        <w:sz w:val="15"/>
        <w:szCs w:val="15"/>
        <w:u w:val="single"/>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hAnsi="宋体" w:eastAsia="宋体" w:cs="宋体"/>
        <w:sz w:val="15"/>
        <w:szCs w:val="15"/>
        <w:lang w:eastAsia="zh-CN"/>
      </w:rPr>
    </w:pPr>
    <w:r>
      <w:rPr>
        <w:rFonts w:hint="eastAsia" w:ascii="宋体" w:hAnsi="宋体" w:eastAsia="宋体" w:cs="宋体"/>
        <w:sz w:val="15"/>
        <w:szCs w:val="15"/>
        <w:u w:val="single"/>
        <w:lang w:eastAsia="zh-CN"/>
      </w:rPr>
      <w:t>陕西中医药大学第二附属医院床旁血滤机、神经中央监护分析系统、诱发电位仪医疗设备采购项目</w:t>
    </w:r>
    <w:r>
      <w:rPr>
        <w:rFonts w:hint="eastAsia" w:ascii="宋体" w:hAnsi="宋体" w:eastAsia="宋体" w:cs="宋体"/>
        <w:sz w:val="15"/>
        <w:szCs w:val="15"/>
        <w:u w:val="single"/>
        <w:lang w:val="en-US" w:eastAsia="zh-CN"/>
      </w:rPr>
      <w:t xml:space="preserve">            SXWZ2022ZB-SZEY-199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sz w:val="15"/>
        <w:szCs w:val="15"/>
        <w:lang w:eastAsia="zh-CN"/>
      </w:rPr>
    </w:pPr>
    <w:r>
      <w:rPr>
        <w:rFonts w:hint="eastAsia"/>
        <w:sz w:val="15"/>
        <w:szCs w:val="15"/>
        <w:u w:val="single"/>
        <w:lang w:eastAsia="zh-CN"/>
      </w:rPr>
      <w:t>陕西中医药大学第二附属医院床旁血滤机、神经中央监护分析系统、诱发电位仪医疗设备采购项目</w:t>
    </w:r>
    <w:r>
      <w:rPr>
        <w:rFonts w:hint="eastAsia"/>
        <w:sz w:val="15"/>
        <w:szCs w:val="15"/>
        <w:u w:val="single"/>
        <w:lang w:val="en-US" w:eastAsia="zh-CN"/>
      </w:rPr>
      <w:t xml:space="preserve">       SXWZ2022ZB-SZEY-199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sz w:val="16"/>
        <w:szCs w:val="16"/>
        <w:u w:val="single"/>
        <w:lang w:eastAsia="zh-CN"/>
      </w:rPr>
      <w:t>陕西中医药大学第二附属医院床旁血滤机、神经中央监护分析系统、诱发电位仪医疗设备采购项目</w:t>
    </w:r>
    <w:r>
      <w:rPr>
        <w:rFonts w:hint="eastAsia"/>
        <w:sz w:val="16"/>
        <w:szCs w:val="16"/>
        <w:u w:val="single"/>
        <w:lang w:val="en-US" w:eastAsia="zh-CN"/>
      </w:rPr>
      <w:t xml:space="preserve">                                                 SXWZ2022ZB-SZEY-199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hAnsi="宋体" w:eastAsia="宋体" w:cs="宋体"/>
        <w:sz w:val="15"/>
        <w:szCs w:val="15"/>
        <w:highlight w:val="yellow"/>
        <w:u w:val="single"/>
        <w:lang w:eastAsia="zh-CN"/>
      </w:rPr>
    </w:pPr>
    <w:r>
      <w:rPr>
        <w:rFonts w:hint="eastAsia" w:ascii="宋体" w:hAnsi="宋体" w:eastAsia="宋体" w:cs="宋体"/>
        <w:sz w:val="15"/>
        <w:szCs w:val="15"/>
        <w:u w:val="single"/>
        <w:lang w:eastAsia="zh-CN"/>
      </w:rPr>
      <w:t>陕西中医药大学第二附属医院床旁血滤机、神经中央监护分析系统、诱发电位仪医疗设备采购项目</w:t>
    </w:r>
    <w:r>
      <w:rPr>
        <w:rFonts w:hint="eastAsia" w:ascii="宋体" w:hAnsi="宋体" w:eastAsia="宋体" w:cs="宋体"/>
        <w:sz w:val="15"/>
        <w:szCs w:val="15"/>
        <w:u w:val="single"/>
        <w:lang w:val="en-US" w:eastAsia="zh-CN"/>
      </w:rPr>
      <w:t xml:space="preserve">    SXWZ2022ZB-SZEY-199</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eastAsia="宋体" w:cs="Times New Roman"/>
        <w:sz w:val="15"/>
        <w:szCs w:val="15"/>
        <w:highlight w:val="yellow"/>
        <w:u w:val="single"/>
        <w:lang w:eastAsia="zh-CN"/>
      </w:rPr>
    </w:pPr>
    <w:r>
      <w:rPr>
        <w:rFonts w:hint="eastAsia" w:ascii="宋体" w:cs="Times New Roman"/>
        <w:sz w:val="15"/>
        <w:szCs w:val="15"/>
        <w:u w:val="single"/>
        <w:lang w:eastAsia="zh-CN"/>
      </w:rPr>
      <w:t>陕西中医药大学第二附属医院床旁血滤机、神经中央监护分析系统、诱发电位仪医疗设备采购项目SXWZ2022ZB-SZEY-199</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eastAsia="宋体" w:cs="Times New Roman"/>
        <w:sz w:val="15"/>
        <w:szCs w:val="15"/>
        <w:highlight w:val="yellow"/>
        <w:u w:val="single"/>
        <w:lang w:eastAsia="zh-CN"/>
      </w:rPr>
    </w:pPr>
    <w:r>
      <w:rPr>
        <w:rFonts w:hint="eastAsia" w:ascii="宋体" w:cs="Times New Roman"/>
        <w:sz w:val="15"/>
        <w:szCs w:val="15"/>
        <w:u w:val="single"/>
        <w:lang w:eastAsia="zh-CN"/>
      </w:rPr>
      <w:t>陕西中医药大学第二附属医院床旁血滤机、神经中央监护分析系统、诱发电位仪医疗设备采购项目SXWZ2022ZB-SZEY-199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D76889"/>
    <w:multiLevelType w:val="singleLevel"/>
    <w:tmpl w:val="CAD76889"/>
    <w:lvl w:ilvl="0" w:tentative="0">
      <w:start w:val="8"/>
      <w:numFmt w:val="chineseCounting"/>
      <w:suff w:val="nothing"/>
      <w:lvlText w:val="%1、"/>
      <w:lvlJc w:val="left"/>
      <w:rPr>
        <w:rFonts w:hint="eastAsia"/>
      </w:rPr>
    </w:lvl>
  </w:abstractNum>
  <w:abstractNum w:abstractNumId="1">
    <w:nsid w:val="EFFD9089"/>
    <w:multiLevelType w:val="singleLevel"/>
    <w:tmpl w:val="EFFD9089"/>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3">
    <w:nsid w:val="0E3E810B"/>
    <w:multiLevelType w:val="singleLevel"/>
    <w:tmpl w:val="0E3E810B"/>
    <w:lvl w:ilvl="0" w:tentative="0">
      <w:start w:val="1"/>
      <w:numFmt w:val="decimal"/>
      <w:suff w:val="nothing"/>
      <w:lvlText w:val="%1、"/>
      <w:lvlJc w:val="left"/>
    </w:lvl>
  </w:abstractNum>
  <w:abstractNum w:abstractNumId="4">
    <w:nsid w:val="559A3799"/>
    <w:multiLevelType w:val="singleLevel"/>
    <w:tmpl w:val="559A3799"/>
    <w:lvl w:ilvl="0" w:tentative="0">
      <w:start w:val="1"/>
      <w:numFmt w:val="decimal"/>
      <w:suff w:val="space"/>
      <w:lvlText w:val="3.%1"/>
      <w:lvlJc w:val="left"/>
      <w:pPr>
        <w:tabs>
          <w:tab w:val="left" w:pos="0"/>
        </w:tabs>
        <w:ind w:firstLine="400"/>
      </w:pPr>
      <w:rPr>
        <w:rFonts w:hint="default" w:ascii="Times New Roman" w:hAnsi="Times New Roman" w:eastAsia="宋体" w:cs="Times New Roman"/>
      </w:rPr>
    </w:lvl>
  </w:abstractNum>
  <w:abstractNum w:abstractNumId="5">
    <w:nsid w:val="559A3852"/>
    <w:multiLevelType w:val="singleLevel"/>
    <w:tmpl w:val="559A3852"/>
    <w:lvl w:ilvl="0" w:tentative="0">
      <w:start w:val="1"/>
      <w:numFmt w:val="decimal"/>
      <w:suff w:val="nothing"/>
      <w:lvlText w:val="（%1）"/>
      <w:lvlJc w:val="left"/>
      <w:pPr>
        <w:ind w:firstLine="400"/>
      </w:pPr>
      <w:rPr>
        <w:rFonts w:hint="default" w:cs="Times New Roman"/>
      </w:rPr>
    </w:lvl>
  </w:abstractNum>
  <w:abstractNum w:abstractNumId="6">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7">
    <w:nsid w:val="58BE4ABA"/>
    <w:multiLevelType w:val="singleLevel"/>
    <w:tmpl w:val="58BE4ABA"/>
    <w:lvl w:ilvl="0" w:tentative="0">
      <w:start w:val="1"/>
      <w:numFmt w:val="decimal"/>
      <w:suff w:val="nothing"/>
      <w:lvlText w:val="%1、"/>
      <w:lvlJc w:val="left"/>
      <w:pPr>
        <w:ind w:firstLine="420"/>
      </w:pPr>
      <w:rPr>
        <w:rFonts w:hint="default" w:cs="Times New Roman"/>
      </w:rPr>
    </w:lvl>
  </w:abstractNum>
  <w:abstractNum w:abstractNumId="8">
    <w:nsid w:val="58BE4BC8"/>
    <w:multiLevelType w:val="singleLevel"/>
    <w:tmpl w:val="58BE4BC8"/>
    <w:lvl w:ilvl="0" w:tentative="0">
      <w:start w:val="1"/>
      <w:numFmt w:val="decimal"/>
      <w:suff w:val="nothing"/>
      <w:lvlText w:val="%1、"/>
      <w:lvlJc w:val="left"/>
      <w:pPr>
        <w:ind w:firstLine="420"/>
      </w:pPr>
      <w:rPr>
        <w:rFonts w:hint="default" w:cs="Times New Roman"/>
      </w:rPr>
    </w:lvl>
  </w:abstractNum>
  <w:abstractNum w:abstractNumId="9">
    <w:nsid w:val="58BE64F2"/>
    <w:multiLevelType w:val="singleLevel"/>
    <w:tmpl w:val="58BE64F2"/>
    <w:lvl w:ilvl="0" w:tentative="0">
      <w:start w:val="1"/>
      <w:numFmt w:val="decimal"/>
      <w:suff w:val="nothing"/>
      <w:lvlText w:val="%1、"/>
      <w:lvlJc w:val="left"/>
      <w:pPr>
        <w:ind w:firstLine="420"/>
      </w:pPr>
      <w:rPr>
        <w:rFonts w:hint="default" w:cs="Times New Roman"/>
      </w:rPr>
    </w:lvl>
  </w:abstractNum>
  <w:abstractNum w:abstractNumId="10">
    <w:nsid w:val="58BE6519"/>
    <w:multiLevelType w:val="singleLevel"/>
    <w:tmpl w:val="58BE6519"/>
    <w:lvl w:ilvl="0" w:tentative="0">
      <w:start w:val="1"/>
      <w:numFmt w:val="decimal"/>
      <w:suff w:val="nothing"/>
      <w:lvlText w:val="%1、"/>
      <w:lvlJc w:val="left"/>
      <w:pPr>
        <w:ind w:firstLine="420"/>
      </w:pPr>
      <w:rPr>
        <w:rFonts w:hint="default" w:cs="Times New Roman"/>
      </w:rPr>
    </w:lvl>
  </w:abstractNum>
  <w:abstractNum w:abstractNumId="11">
    <w:nsid w:val="58BE6CCA"/>
    <w:multiLevelType w:val="singleLevel"/>
    <w:tmpl w:val="58BE6CCA"/>
    <w:lvl w:ilvl="0" w:tentative="0">
      <w:start w:val="1"/>
      <w:numFmt w:val="decimal"/>
      <w:suff w:val="nothing"/>
      <w:lvlText w:val="%1、"/>
      <w:lvlJc w:val="left"/>
      <w:pPr>
        <w:ind w:firstLine="420"/>
      </w:pPr>
      <w:rPr>
        <w:rFonts w:hint="default" w:cs="Times New Roman"/>
      </w:rPr>
    </w:lvl>
  </w:abstractNum>
  <w:abstractNum w:abstractNumId="12">
    <w:nsid w:val="58BFC3B3"/>
    <w:multiLevelType w:val="singleLevel"/>
    <w:tmpl w:val="58BFC3B3"/>
    <w:lvl w:ilvl="0" w:tentative="0">
      <w:start w:val="1"/>
      <w:numFmt w:val="decimal"/>
      <w:suff w:val="nothing"/>
      <w:lvlText w:val="（%1）"/>
      <w:lvlJc w:val="left"/>
      <w:pPr>
        <w:ind w:firstLine="420"/>
      </w:pPr>
      <w:rPr>
        <w:rFonts w:hint="default" w:cs="Times New Roman"/>
      </w:rPr>
    </w:lvl>
  </w:abstractNum>
  <w:abstractNum w:abstractNumId="13">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14">
    <w:nsid w:val="58E5B8A6"/>
    <w:multiLevelType w:val="singleLevel"/>
    <w:tmpl w:val="58E5B8A6"/>
    <w:lvl w:ilvl="0" w:tentative="0">
      <w:start w:val="1"/>
      <w:numFmt w:val="decimal"/>
      <w:suff w:val="nothing"/>
      <w:lvlText w:val="（%1）"/>
      <w:lvlJc w:val="left"/>
      <w:pPr>
        <w:ind w:firstLine="420"/>
      </w:pPr>
      <w:rPr>
        <w:rFonts w:hint="default" w:cs="Times New Roman"/>
      </w:rPr>
    </w:lvl>
  </w:abstractNum>
  <w:abstractNum w:abstractNumId="15">
    <w:nsid w:val="58E5C1FF"/>
    <w:multiLevelType w:val="singleLevel"/>
    <w:tmpl w:val="58E5C1FF"/>
    <w:lvl w:ilvl="0" w:tentative="0">
      <w:start w:val="1"/>
      <w:numFmt w:val="decimal"/>
      <w:suff w:val="nothing"/>
      <w:lvlText w:val="（%1）"/>
      <w:lvlJc w:val="left"/>
      <w:pPr>
        <w:ind w:firstLine="420"/>
      </w:pPr>
      <w:rPr>
        <w:rFonts w:hint="default" w:cs="Times New Roman"/>
      </w:rPr>
    </w:lvl>
  </w:abstractNum>
  <w:abstractNum w:abstractNumId="16">
    <w:nsid w:val="58E5CD31"/>
    <w:multiLevelType w:val="singleLevel"/>
    <w:tmpl w:val="58E5CD31"/>
    <w:lvl w:ilvl="0" w:tentative="0">
      <w:start w:val="1"/>
      <w:numFmt w:val="decimal"/>
      <w:suff w:val="nothing"/>
      <w:lvlText w:val="（%1）"/>
      <w:lvlJc w:val="left"/>
      <w:pPr>
        <w:ind w:firstLine="420"/>
      </w:pPr>
      <w:rPr>
        <w:rFonts w:hint="default" w:cs="Times New Roman"/>
      </w:rPr>
    </w:lvl>
  </w:abstractNum>
  <w:abstractNum w:abstractNumId="17">
    <w:nsid w:val="59169F02"/>
    <w:multiLevelType w:val="singleLevel"/>
    <w:tmpl w:val="59169F02"/>
    <w:lvl w:ilvl="0" w:tentative="0">
      <w:start w:val="1"/>
      <w:numFmt w:val="decimal"/>
      <w:suff w:val="nothing"/>
      <w:lvlText w:val="%1、"/>
      <w:lvlJc w:val="left"/>
      <w:rPr>
        <w:rFonts w:cs="Times New Roman"/>
      </w:rPr>
    </w:lvl>
  </w:abstractNum>
  <w:abstractNum w:abstractNumId="18">
    <w:nsid w:val="59F034A0"/>
    <w:multiLevelType w:val="singleLevel"/>
    <w:tmpl w:val="59F034A0"/>
    <w:lvl w:ilvl="0" w:tentative="0">
      <w:start w:val="1"/>
      <w:numFmt w:val="bullet"/>
      <w:lvlText w:val=""/>
      <w:lvlJc w:val="left"/>
      <w:pPr>
        <w:ind w:left="420" w:hanging="420"/>
      </w:pPr>
      <w:rPr>
        <w:rFonts w:hint="default" w:ascii="Wingdings" w:hAnsi="Wingdings" w:cs="Wingdings"/>
      </w:rPr>
    </w:lvl>
  </w:abstractNum>
  <w:abstractNum w:abstractNumId="19">
    <w:nsid w:val="59F098CD"/>
    <w:multiLevelType w:val="singleLevel"/>
    <w:tmpl w:val="59F098CD"/>
    <w:lvl w:ilvl="0" w:tentative="0">
      <w:start w:val="1"/>
      <w:numFmt w:val="decimal"/>
      <w:suff w:val="nothing"/>
      <w:lvlText w:val="（%1）"/>
      <w:lvlJc w:val="left"/>
      <w:pPr>
        <w:ind w:firstLine="420"/>
      </w:pPr>
      <w:rPr>
        <w:rFonts w:hint="default"/>
      </w:rPr>
    </w:lvl>
  </w:abstractNum>
  <w:abstractNum w:abstractNumId="20">
    <w:nsid w:val="5A93C287"/>
    <w:multiLevelType w:val="singleLevel"/>
    <w:tmpl w:val="5A93C287"/>
    <w:lvl w:ilvl="0" w:tentative="0">
      <w:start w:val="4"/>
      <w:numFmt w:val="chineseCounting"/>
      <w:suff w:val="space"/>
      <w:lvlText w:val="第%1部分"/>
      <w:lvlJc w:val="left"/>
    </w:lvl>
  </w:abstractNum>
  <w:num w:numId="1">
    <w:abstractNumId w:val="3"/>
  </w:num>
  <w:num w:numId="2">
    <w:abstractNumId w:val="17"/>
  </w:num>
  <w:num w:numId="3">
    <w:abstractNumId w:val="6"/>
  </w:num>
  <w:num w:numId="4">
    <w:abstractNumId w:val="7"/>
  </w:num>
  <w:num w:numId="5">
    <w:abstractNumId w:val="4"/>
  </w:num>
  <w:num w:numId="6">
    <w:abstractNumId w:val="5"/>
  </w:num>
  <w:num w:numId="7">
    <w:abstractNumId w:val="11"/>
  </w:num>
  <w:num w:numId="8">
    <w:abstractNumId w:val="13"/>
  </w:num>
  <w:num w:numId="9">
    <w:abstractNumId w:val="8"/>
  </w:num>
  <w:num w:numId="10">
    <w:abstractNumId w:val="12"/>
  </w:num>
  <w:num w:numId="11">
    <w:abstractNumId w:val="14"/>
  </w:num>
  <w:num w:numId="12">
    <w:abstractNumId w:val="19"/>
  </w:num>
  <w:num w:numId="13">
    <w:abstractNumId w:val="18"/>
  </w:num>
  <w:num w:numId="14">
    <w:abstractNumId w:val="9"/>
  </w:num>
  <w:num w:numId="15">
    <w:abstractNumId w:val="10"/>
  </w:num>
  <w:num w:numId="16">
    <w:abstractNumId w:val="15"/>
  </w:num>
  <w:num w:numId="17">
    <w:abstractNumId w:val="16"/>
  </w:num>
  <w:num w:numId="18">
    <w:abstractNumId w:val="0"/>
  </w:num>
  <w:num w:numId="19">
    <w:abstractNumId w:val="20"/>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oNotHyphenateCaps/>
  <w:drawingGridHorizontalSpacing w:val="210"/>
  <w:drawingGridVerticalSpacing w:val="159"/>
  <w:displayHorizontalDrawingGridEvery w:val="1"/>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0NThjOWQ1YTdlYmRiZjExMTEwY2Q3YTRkNmI4YjIifQ=="/>
  </w:docVars>
  <w:rsids>
    <w:rsidRoot w:val="2627224F"/>
    <w:rsid w:val="00002782"/>
    <w:rsid w:val="000043A8"/>
    <w:rsid w:val="00005CB8"/>
    <w:rsid w:val="000103AC"/>
    <w:rsid w:val="00030894"/>
    <w:rsid w:val="00035424"/>
    <w:rsid w:val="00037895"/>
    <w:rsid w:val="00042BEB"/>
    <w:rsid w:val="00043A02"/>
    <w:rsid w:val="0005278A"/>
    <w:rsid w:val="00055F6C"/>
    <w:rsid w:val="00063860"/>
    <w:rsid w:val="00063BFA"/>
    <w:rsid w:val="000671CF"/>
    <w:rsid w:val="00075859"/>
    <w:rsid w:val="0008280F"/>
    <w:rsid w:val="0008419E"/>
    <w:rsid w:val="00086CC9"/>
    <w:rsid w:val="000964FC"/>
    <w:rsid w:val="000A16A1"/>
    <w:rsid w:val="000A3018"/>
    <w:rsid w:val="000A3577"/>
    <w:rsid w:val="000A7BA4"/>
    <w:rsid w:val="000B2349"/>
    <w:rsid w:val="000C0895"/>
    <w:rsid w:val="000C33A2"/>
    <w:rsid w:val="000C4300"/>
    <w:rsid w:val="000D24DA"/>
    <w:rsid w:val="000D3001"/>
    <w:rsid w:val="000D3811"/>
    <w:rsid w:val="000D770E"/>
    <w:rsid w:val="000E62CF"/>
    <w:rsid w:val="00100349"/>
    <w:rsid w:val="00103959"/>
    <w:rsid w:val="0010470F"/>
    <w:rsid w:val="0011607E"/>
    <w:rsid w:val="00143314"/>
    <w:rsid w:val="0016410E"/>
    <w:rsid w:val="00167A28"/>
    <w:rsid w:val="001734E5"/>
    <w:rsid w:val="00184201"/>
    <w:rsid w:val="00187107"/>
    <w:rsid w:val="0019040B"/>
    <w:rsid w:val="00190455"/>
    <w:rsid w:val="0019173E"/>
    <w:rsid w:val="00191761"/>
    <w:rsid w:val="00193858"/>
    <w:rsid w:val="001A2F01"/>
    <w:rsid w:val="001A4051"/>
    <w:rsid w:val="001A6858"/>
    <w:rsid w:val="001B5800"/>
    <w:rsid w:val="001C53EB"/>
    <w:rsid w:val="001C6666"/>
    <w:rsid w:val="001D1326"/>
    <w:rsid w:val="001D1F0A"/>
    <w:rsid w:val="001D462C"/>
    <w:rsid w:val="001E2824"/>
    <w:rsid w:val="001E2856"/>
    <w:rsid w:val="001F31AF"/>
    <w:rsid w:val="0020303F"/>
    <w:rsid w:val="00207981"/>
    <w:rsid w:val="0021256B"/>
    <w:rsid w:val="00220125"/>
    <w:rsid w:val="00243282"/>
    <w:rsid w:val="0024481B"/>
    <w:rsid w:val="002457A8"/>
    <w:rsid w:val="00245F18"/>
    <w:rsid w:val="002712D9"/>
    <w:rsid w:val="00280C4F"/>
    <w:rsid w:val="0028347B"/>
    <w:rsid w:val="00284567"/>
    <w:rsid w:val="00284906"/>
    <w:rsid w:val="002A250D"/>
    <w:rsid w:val="002A596F"/>
    <w:rsid w:val="002C47EA"/>
    <w:rsid w:val="002C5A83"/>
    <w:rsid w:val="002D13D1"/>
    <w:rsid w:val="002D57D8"/>
    <w:rsid w:val="002D7284"/>
    <w:rsid w:val="002D7A6D"/>
    <w:rsid w:val="002E07BF"/>
    <w:rsid w:val="002E2048"/>
    <w:rsid w:val="002E581B"/>
    <w:rsid w:val="002F077F"/>
    <w:rsid w:val="002F5BC2"/>
    <w:rsid w:val="002F5E7A"/>
    <w:rsid w:val="002F6FCA"/>
    <w:rsid w:val="002F7B47"/>
    <w:rsid w:val="00303560"/>
    <w:rsid w:val="0030738F"/>
    <w:rsid w:val="0032404F"/>
    <w:rsid w:val="003279C0"/>
    <w:rsid w:val="003311F3"/>
    <w:rsid w:val="00336997"/>
    <w:rsid w:val="00337601"/>
    <w:rsid w:val="00337B6E"/>
    <w:rsid w:val="00345233"/>
    <w:rsid w:val="003546AE"/>
    <w:rsid w:val="00360C09"/>
    <w:rsid w:val="00367F8D"/>
    <w:rsid w:val="003A2AE9"/>
    <w:rsid w:val="003A73D8"/>
    <w:rsid w:val="003A7678"/>
    <w:rsid w:val="003B2D31"/>
    <w:rsid w:val="003B6571"/>
    <w:rsid w:val="003B7267"/>
    <w:rsid w:val="003D02BC"/>
    <w:rsid w:val="003D37C1"/>
    <w:rsid w:val="003D3DEA"/>
    <w:rsid w:val="003D3FF3"/>
    <w:rsid w:val="003E65D8"/>
    <w:rsid w:val="003E7B81"/>
    <w:rsid w:val="003F3D18"/>
    <w:rsid w:val="003F64A7"/>
    <w:rsid w:val="00405382"/>
    <w:rsid w:val="00410E57"/>
    <w:rsid w:val="00410F75"/>
    <w:rsid w:val="00411AEB"/>
    <w:rsid w:val="00416266"/>
    <w:rsid w:val="004456E2"/>
    <w:rsid w:val="00446A5F"/>
    <w:rsid w:val="0045409B"/>
    <w:rsid w:val="004554C3"/>
    <w:rsid w:val="004562E7"/>
    <w:rsid w:val="004606ED"/>
    <w:rsid w:val="00460F70"/>
    <w:rsid w:val="00466CF3"/>
    <w:rsid w:val="004712C3"/>
    <w:rsid w:val="004766A6"/>
    <w:rsid w:val="00482200"/>
    <w:rsid w:val="00482B14"/>
    <w:rsid w:val="0049025B"/>
    <w:rsid w:val="00494F45"/>
    <w:rsid w:val="004A4095"/>
    <w:rsid w:val="004B3A1F"/>
    <w:rsid w:val="004B46F1"/>
    <w:rsid w:val="004D70C5"/>
    <w:rsid w:val="004E3227"/>
    <w:rsid w:val="004F2C80"/>
    <w:rsid w:val="0050127E"/>
    <w:rsid w:val="00506448"/>
    <w:rsid w:val="00512432"/>
    <w:rsid w:val="00512C24"/>
    <w:rsid w:val="00520C66"/>
    <w:rsid w:val="00522064"/>
    <w:rsid w:val="00524222"/>
    <w:rsid w:val="00540A4C"/>
    <w:rsid w:val="00542C9F"/>
    <w:rsid w:val="00550E9A"/>
    <w:rsid w:val="00556774"/>
    <w:rsid w:val="00583C0E"/>
    <w:rsid w:val="005867A6"/>
    <w:rsid w:val="005876F2"/>
    <w:rsid w:val="005973CC"/>
    <w:rsid w:val="005A4E8A"/>
    <w:rsid w:val="005B218F"/>
    <w:rsid w:val="005B3707"/>
    <w:rsid w:val="005B3960"/>
    <w:rsid w:val="005B44DB"/>
    <w:rsid w:val="005B47F7"/>
    <w:rsid w:val="005C0926"/>
    <w:rsid w:val="005C79DA"/>
    <w:rsid w:val="005D6922"/>
    <w:rsid w:val="005D7A12"/>
    <w:rsid w:val="005E00C2"/>
    <w:rsid w:val="005E76F4"/>
    <w:rsid w:val="00600B85"/>
    <w:rsid w:val="00601EBC"/>
    <w:rsid w:val="00603579"/>
    <w:rsid w:val="00604A7F"/>
    <w:rsid w:val="00611AB5"/>
    <w:rsid w:val="0061559B"/>
    <w:rsid w:val="00621DF3"/>
    <w:rsid w:val="0063018F"/>
    <w:rsid w:val="006316B4"/>
    <w:rsid w:val="006401EA"/>
    <w:rsid w:val="0064683A"/>
    <w:rsid w:val="00664E7B"/>
    <w:rsid w:val="006657C9"/>
    <w:rsid w:val="00666391"/>
    <w:rsid w:val="00667AD0"/>
    <w:rsid w:val="00670515"/>
    <w:rsid w:val="006767C5"/>
    <w:rsid w:val="00676F87"/>
    <w:rsid w:val="006806CF"/>
    <w:rsid w:val="00680AA9"/>
    <w:rsid w:val="00682C34"/>
    <w:rsid w:val="006865EF"/>
    <w:rsid w:val="00691750"/>
    <w:rsid w:val="006927FD"/>
    <w:rsid w:val="00692A65"/>
    <w:rsid w:val="00693E7B"/>
    <w:rsid w:val="00696FBA"/>
    <w:rsid w:val="006A5867"/>
    <w:rsid w:val="006A5C18"/>
    <w:rsid w:val="006B2DFB"/>
    <w:rsid w:val="006C3E1D"/>
    <w:rsid w:val="006D5793"/>
    <w:rsid w:val="006E37AC"/>
    <w:rsid w:val="006E46DF"/>
    <w:rsid w:val="006F1FD6"/>
    <w:rsid w:val="006F29E9"/>
    <w:rsid w:val="006F2FFB"/>
    <w:rsid w:val="006F4EE4"/>
    <w:rsid w:val="00724B0D"/>
    <w:rsid w:val="00724CF6"/>
    <w:rsid w:val="00726643"/>
    <w:rsid w:val="00732282"/>
    <w:rsid w:val="007322E2"/>
    <w:rsid w:val="00736D00"/>
    <w:rsid w:val="00740F3F"/>
    <w:rsid w:val="00744BD1"/>
    <w:rsid w:val="00744D1A"/>
    <w:rsid w:val="0074676E"/>
    <w:rsid w:val="00747650"/>
    <w:rsid w:val="007511D7"/>
    <w:rsid w:val="00753466"/>
    <w:rsid w:val="00754372"/>
    <w:rsid w:val="00755ABB"/>
    <w:rsid w:val="0077525D"/>
    <w:rsid w:val="0078433C"/>
    <w:rsid w:val="00791F55"/>
    <w:rsid w:val="00792491"/>
    <w:rsid w:val="007A31AB"/>
    <w:rsid w:val="007A4024"/>
    <w:rsid w:val="007A43C1"/>
    <w:rsid w:val="007A4670"/>
    <w:rsid w:val="007A67DF"/>
    <w:rsid w:val="007A7760"/>
    <w:rsid w:val="007C5885"/>
    <w:rsid w:val="007D240C"/>
    <w:rsid w:val="007D6071"/>
    <w:rsid w:val="007E046D"/>
    <w:rsid w:val="007F00C1"/>
    <w:rsid w:val="00801832"/>
    <w:rsid w:val="00805411"/>
    <w:rsid w:val="0080566A"/>
    <w:rsid w:val="00811479"/>
    <w:rsid w:val="00816808"/>
    <w:rsid w:val="00817B48"/>
    <w:rsid w:val="0082626C"/>
    <w:rsid w:val="0083287B"/>
    <w:rsid w:val="008368FC"/>
    <w:rsid w:val="00845318"/>
    <w:rsid w:val="008456FB"/>
    <w:rsid w:val="0086108A"/>
    <w:rsid w:val="00862D6D"/>
    <w:rsid w:val="0086405A"/>
    <w:rsid w:val="00870F67"/>
    <w:rsid w:val="0087579D"/>
    <w:rsid w:val="00875A4E"/>
    <w:rsid w:val="00882EB8"/>
    <w:rsid w:val="008866C0"/>
    <w:rsid w:val="00892118"/>
    <w:rsid w:val="008962A7"/>
    <w:rsid w:val="008A13B3"/>
    <w:rsid w:val="008A367A"/>
    <w:rsid w:val="008B1981"/>
    <w:rsid w:val="008C1600"/>
    <w:rsid w:val="008C4B71"/>
    <w:rsid w:val="008C7089"/>
    <w:rsid w:val="008D1976"/>
    <w:rsid w:val="008E6F21"/>
    <w:rsid w:val="008F6EFE"/>
    <w:rsid w:val="00901931"/>
    <w:rsid w:val="00905F14"/>
    <w:rsid w:val="00907566"/>
    <w:rsid w:val="00912B0F"/>
    <w:rsid w:val="00925839"/>
    <w:rsid w:val="00926B2B"/>
    <w:rsid w:val="009303C4"/>
    <w:rsid w:val="00930A4F"/>
    <w:rsid w:val="009325F9"/>
    <w:rsid w:val="00944D86"/>
    <w:rsid w:val="00954CF1"/>
    <w:rsid w:val="00956F3F"/>
    <w:rsid w:val="00957A9A"/>
    <w:rsid w:val="009649C6"/>
    <w:rsid w:val="00970EB8"/>
    <w:rsid w:val="009713B9"/>
    <w:rsid w:val="00971A81"/>
    <w:rsid w:val="00972EEB"/>
    <w:rsid w:val="00984E87"/>
    <w:rsid w:val="00991ADF"/>
    <w:rsid w:val="00995A71"/>
    <w:rsid w:val="009A69B9"/>
    <w:rsid w:val="009A7220"/>
    <w:rsid w:val="009B1507"/>
    <w:rsid w:val="009B3AAC"/>
    <w:rsid w:val="009B5161"/>
    <w:rsid w:val="009C2905"/>
    <w:rsid w:val="009C5EE1"/>
    <w:rsid w:val="009D0531"/>
    <w:rsid w:val="009D2568"/>
    <w:rsid w:val="009D32E5"/>
    <w:rsid w:val="009E0BA6"/>
    <w:rsid w:val="009F443D"/>
    <w:rsid w:val="009F75AE"/>
    <w:rsid w:val="009F7F47"/>
    <w:rsid w:val="00A066FF"/>
    <w:rsid w:val="00A14B29"/>
    <w:rsid w:val="00A248F4"/>
    <w:rsid w:val="00A36DDB"/>
    <w:rsid w:val="00A417CF"/>
    <w:rsid w:val="00A4332A"/>
    <w:rsid w:val="00A44128"/>
    <w:rsid w:val="00A45FD6"/>
    <w:rsid w:val="00A46732"/>
    <w:rsid w:val="00A50C62"/>
    <w:rsid w:val="00A54A5D"/>
    <w:rsid w:val="00A63494"/>
    <w:rsid w:val="00A75C8F"/>
    <w:rsid w:val="00A8343C"/>
    <w:rsid w:val="00A921BA"/>
    <w:rsid w:val="00AA6C48"/>
    <w:rsid w:val="00AB0730"/>
    <w:rsid w:val="00AC3630"/>
    <w:rsid w:val="00AC7625"/>
    <w:rsid w:val="00AD1ADA"/>
    <w:rsid w:val="00AD1C88"/>
    <w:rsid w:val="00AD215C"/>
    <w:rsid w:val="00AD5626"/>
    <w:rsid w:val="00AD5D52"/>
    <w:rsid w:val="00AE0451"/>
    <w:rsid w:val="00B0416F"/>
    <w:rsid w:val="00B07975"/>
    <w:rsid w:val="00B1410E"/>
    <w:rsid w:val="00B16A3E"/>
    <w:rsid w:val="00B32079"/>
    <w:rsid w:val="00B40D56"/>
    <w:rsid w:val="00B41BF8"/>
    <w:rsid w:val="00B45E66"/>
    <w:rsid w:val="00B45EFE"/>
    <w:rsid w:val="00B472F0"/>
    <w:rsid w:val="00B51C39"/>
    <w:rsid w:val="00B529FF"/>
    <w:rsid w:val="00B553EF"/>
    <w:rsid w:val="00B603BA"/>
    <w:rsid w:val="00B622CC"/>
    <w:rsid w:val="00B638F3"/>
    <w:rsid w:val="00B6511B"/>
    <w:rsid w:val="00B75ECA"/>
    <w:rsid w:val="00B76DB3"/>
    <w:rsid w:val="00B812CA"/>
    <w:rsid w:val="00B81A93"/>
    <w:rsid w:val="00B86797"/>
    <w:rsid w:val="00BA09E4"/>
    <w:rsid w:val="00BB427D"/>
    <w:rsid w:val="00BB49DA"/>
    <w:rsid w:val="00BC1AB3"/>
    <w:rsid w:val="00BC3E1F"/>
    <w:rsid w:val="00BC5630"/>
    <w:rsid w:val="00BC7153"/>
    <w:rsid w:val="00BC753D"/>
    <w:rsid w:val="00BD2877"/>
    <w:rsid w:val="00BE185D"/>
    <w:rsid w:val="00BF007D"/>
    <w:rsid w:val="00BF08C1"/>
    <w:rsid w:val="00BF1963"/>
    <w:rsid w:val="00BF1B28"/>
    <w:rsid w:val="00BF2ABB"/>
    <w:rsid w:val="00BF4BCA"/>
    <w:rsid w:val="00BF5047"/>
    <w:rsid w:val="00BF734D"/>
    <w:rsid w:val="00C02306"/>
    <w:rsid w:val="00C14616"/>
    <w:rsid w:val="00C15737"/>
    <w:rsid w:val="00C27AD9"/>
    <w:rsid w:val="00C338D2"/>
    <w:rsid w:val="00C35702"/>
    <w:rsid w:val="00C403B1"/>
    <w:rsid w:val="00C4423B"/>
    <w:rsid w:val="00C467C0"/>
    <w:rsid w:val="00C4725D"/>
    <w:rsid w:val="00C50B61"/>
    <w:rsid w:val="00C51965"/>
    <w:rsid w:val="00C552B0"/>
    <w:rsid w:val="00C6256F"/>
    <w:rsid w:val="00C663B8"/>
    <w:rsid w:val="00C7082F"/>
    <w:rsid w:val="00C77272"/>
    <w:rsid w:val="00C82AD9"/>
    <w:rsid w:val="00C92D0B"/>
    <w:rsid w:val="00C96BF7"/>
    <w:rsid w:val="00CA0BCA"/>
    <w:rsid w:val="00CA6979"/>
    <w:rsid w:val="00CB47F6"/>
    <w:rsid w:val="00CB5F52"/>
    <w:rsid w:val="00CC43DB"/>
    <w:rsid w:val="00CD4E8F"/>
    <w:rsid w:val="00CE1D78"/>
    <w:rsid w:val="00CE67B7"/>
    <w:rsid w:val="00CF1B83"/>
    <w:rsid w:val="00CF1DC3"/>
    <w:rsid w:val="00CF53CE"/>
    <w:rsid w:val="00D01247"/>
    <w:rsid w:val="00D01AE5"/>
    <w:rsid w:val="00D01F3B"/>
    <w:rsid w:val="00D10508"/>
    <w:rsid w:val="00D13655"/>
    <w:rsid w:val="00D22C12"/>
    <w:rsid w:val="00D26166"/>
    <w:rsid w:val="00D2776F"/>
    <w:rsid w:val="00D34049"/>
    <w:rsid w:val="00D40C50"/>
    <w:rsid w:val="00D42D7A"/>
    <w:rsid w:val="00D4459E"/>
    <w:rsid w:val="00D44CB0"/>
    <w:rsid w:val="00D52376"/>
    <w:rsid w:val="00D563E8"/>
    <w:rsid w:val="00D574E4"/>
    <w:rsid w:val="00D576EF"/>
    <w:rsid w:val="00D57E9A"/>
    <w:rsid w:val="00D618BC"/>
    <w:rsid w:val="00D65559"/>
    <w:rsid w:val="00D67244"/>
    <w:rsid w:val="00D71EED"/>
    <w:rsid w:val="00D720DF"/>
    <w:rsid w:val="00D7588F"/>
    <w:rsid w:val="00D76E22"/>
    <w:rsid w:val="00D80518"/>
    <w:rsid w:val="00D82225"/>
    <w:rsid w:val="00D86DEB"/>
    <w:rsid w:val="00D9024D"/>
    <w:rsid w:val="00D9275B"/>
    <w:rsid w:val="00D967A4"/>
    <w:rsid w:val="00DA4229"/>
    <w:rsid w:val="00DA597E"/>
    <w:rsid w:val="00DA6816"/>
    <w:rsid w:val="00DB2770"/>
    <w:rsid w:val="00DB4B63"/>
    <w:rsid w:val="00DC1986"/>
    <w:rsid w:val="00DC5F9E"/>
    <w:rsid w:val="00DC7FB0"/>
    <w:rsid w:val="00DE3788"/>
    <w:rsid w:val="00DE666D"/>
    <w:rsid w:val="00DF1725"/>
    <w:rsid w:val="00E000B7"/>
    <w:rsid w:val="00E04145"/>
    <w:rsid w:val="00E068A9"/>
    <w:rsid w:val="00E0770D"/>
    <w:rsid w:val="00E15239"/>
    <w:rsid w:val="00E23336"/>
    <w:rsid w:val="00E24AFE"/>
    <w:rsid w:val="00E3706A"/>
    <w:rsid w:val="00E44464"/>
    <w:rsid w:val="00E51BF6"/>
    <w:rsid w:val="00E51C2A"/>
    <w:rsid w:val="00E566E6"/>
    <w:rsid w:val="00E65EB4"/>
    <w:rsid w:val="00E66C10"/>
    <w:rsid w:val="00E93992"/>
    <w:rsid w:val="00E96AC7"/>
    <w:rsid w:val="00E9724B"/>
    <w:rsid w:val="00EA1ECE"/>
    <w:rsid w:val="00EA605E"/>
    <w:rsid w:val="00EA7829"/>
    <w:rsid w:val="00EE05C1"/>
    <w:rsid w:val="00EE3C41"/>
    <w:rsid w:val="00EF2094"/>
    <w:rsid w:val="00F012BD"/>
    <w:rsid w:val="00F058CA"/>
    <w:rsid w:val="00F11036"/>
    <w:rsid w:val="00F1312F"/>
    <w:rsid w:val="00F16755"/>
    <w:rsid w:val="00F2102A"/>
    <w:rsid w:val="00F216C0"/>
    <w:rsid w:val="00F233C9"/>
    <w:rsid w:val="00F234ED"/>
    <w:rsid w:val="00F273D6"/>
    <w:rsid w:val="00F308D0"/>
    <w:rsid w:val="00F33E7F"/>
    <w:rsid w:val="00F36717"/>
    <w:rsid w:val="00F42B05"/>
    <w:rsid w:val="00F43C8A"/>
    <w:rsid w:val="00F444F4"/>
    <w:rsid w:val="00F44ADD"/>
    <w:rsid w:val="00F46D0D"/>
    <w:rsid w:val="00F528BB"/>
    <w:rsid w:val="00F570C4"/>
    <w:rsid w:val="00F62BBF"/>
    <w:rsid w:val="00F6310D"/>
    <w:rsid w:val="00F64928"/>
    <w:rsid w:val="00F67301"/>
    <w:rsid w:val="00F71751"/>
    <w:rsid w:val="00F742C6"/>
    <w:rsid w:val="00F75245"/>
    <w:rsid w:val="00F76216"/>
    <w:rsid w:val="00F77A2F"/>
    <w:rsid w:val="00F806D3"/>
    <w:rsid w:val="00F81636"/>
    <w:rsid w:val="00F816D0"/>
    <w:rsid w:val="00F83284"/>
    <w:rsid w:val="00F87773"/>
    <w:rsid w:val="00F96C6F"/>
    <w:rsid w:val="00FA5943"/>
    <w:rsid w:val="00FA6299"/>
    <w:rsid w:val="00FA7521"/>
    <w:rsid w:val="00FD0B57"/>
    <w:rsid w:val="00FD26F4"/>
    <w:rsid w:val="00FD3443"/>
    <w:rsid w:val="00FF028B"/>
    <w:rsid w:val="01007326"/>
    <w:rsid w:val="01030061"/>
    <w:rsid w:val="0120117A"/>
    <w:rsid w:val="01214EAF"/>
    <w:rsid w:val="012475CE"/>
    <w:rsid w:val="01306785"/>
    <w:rsid w:val="013A223F"/>
    <w:rsid w:val="014C4D86"/>
    <w:rsid w:val="01920D21"/>
    <w:rsid w:val="01AD0103"/>
    <w:rsid w:val="01BB62CB"/>
    <w:rsid w:val="01C76C08"/>
    <w:rsid w:val="01E74ACC"/>
    <w:rsid w:val="01F90F7C"/>
    <w:rsid w:val="01FE5971"/>
    <w:rsid w:val="02064B47"/>
    <w:rsid w:val="020B27CB"/>
    <w:rsid w:val="02203547"/>
    <w:rsid w:val="0225155C"/>
    <w:rsid w:val="023F321E"/>
    <w:rsid w:val="0245012F"/>
    <w:rsid w:val="026366BA"/>
    <w:rsid w:val="02642382"/>
    <w:rsid w:val="02796963"/>
    <w:rsid w:val="02854F8C"/>
    <w:rsid w:val="02943E73"/>
    <w:rsid w:val="02A47682"/>
    <w:rsid w:val="02A62DF9"/>
    <w:rsid w:val="02A73A31"/>
    <w:rsid w:val="02C10E79"/>
    <w:rsid w:val="02EC04CA"/>
    <w:rsid w:val="02F37D3F"/>
    <w:rsid w:val="030A0C9E"/>
    <w:rsid w:val="03103BAE"/>
    <w:rsid w:val="03237D85"/>
    <w:rsid w:val="03273A74"/>
    <w:rsid w:val="03505603"/>
    <w:rsid w:val="0361265C"/>
    <w:rsid w:val="037048D2"/>
    <w:rsid w:val="03741866"/>
    <w:rsid w:val="03C66944"/>
    <w:rsid w:val="03D955FA"/>
    <w:rsid w:val="03E76D01"/>
    <w:rsid w:val="0413438E"/>
    <w:rsid w:val="04141C07"/>
    <w:rsid w:val="04190789"/>
    <w:rsid w:val="041E0491"/>
    <w:rsid w:val="046321A5"/>
    <w:rsid w:val="046F3750"/>
    <w:rsid w:val="047501E3"/>
    <w:rsid w:val="04AC5B58"/>
    <w:rsid w:val="04C44C50"/>
    <w:rsid w:val="04D52E18"/>
    <w:rsid w:val="04DB6759"/>
    <w:rsid w:val="04F05A45"/>
    <w:rsid w:val="04F9760F"/>
    <w:rsid w:val="052E7DCE"/>
    <w:rsid w:val="053A6B7D"/>
    <w:rsid w:val="05402991"/>
    <w:rsid w:val="054364BD"/>
    <w:rsid w:val="054E1CE0"/>
    <w:rsid w:val="057A7F6E"/>
    <w:rsid w:val="059A700E"/>
    <w:rsid w:val="05A239E9"/>
    <w:rsid w:val="05A56CC1"/>
    <w:rsid w:val="05A876B5"/>
    <w:rsid w:val="05B9677F"/>
    <w:rsid w:val="05D830A9"/>
    <w:rsid w:val="05F872A7"/>
    <w:rsid w:val="05F966ED"/>
    <w:rsid w:val="05FC494C"/>
    <w:rsid w:val="060454DB"/>
    <w:rsid w:val="0613258A"/>
    <w:rsid w:val="066D1D57"/>
    <w:rsid w:val="06771C38"/>
    <w:rsid w:val="067D59FE"/>
    <w:rsid w:val="06826567"/>
    <w:rsid w:val="068B0043"/>
    <w:rsid w:val="06AA1202"/>
    <w:rsid w:val="06BE30D0"/>
    <w:rsid w:val="06DE7C7D"/>
    <w:rsid w:val="06FA0966"/>
    <w:rsid w:val="06FD244B"/>
    <w:rsid w:val="071F4834"/>
    <w:rsid w:val="07267E44"/>
    <w:rsid w:val="07312DBB"/>
    <w:rsid w:val="074C4B08"/>
    <w:rsid w:val="075236A4"/>
    <w:rsid w:val="0757624F"/>
    <w:rsid w:val="07610F52"/>
    <w:rsid w:val="0767367E"/>
    <w:rsid w:val="076C7E84"/>
    <w:rsid w:val="07712433"/>
    <w:rsid w:val="077C1812"/>
    <w:rsid w:val="07856339"/>
    <w:rsid w:val="07890F82"/>
    <w:rsid w:val="07944B74"/>
    <w:rsid w:val="079A301E"/>
    <w:rsid w:val="07B2103C"/>
    <w:rsid w:val="07BC2556"/>
    <w:rsid w:val="07BE1E2B"/>
    <w:rsid w:val="07BE77E4"/>
    <w:rsid w:val="07C43D5A"/>
    <w:rsid w:val="07E62CC7"/>
    <w:rsid w:val="07F9032F"/>
    <w:rsid w:val="080C178A"/>
    <w:rsid w:val="082C4FE6"/>
    <w:rsid w:val="08311324"/>
    <w:rsid w:val="085320A3"/>
    <w:rsid w:val="0857635E"/>
    <w:rsid w:val="085816C5"/>
    <w:rsid w:val="085B6064"/>
    <w:rsid w:val="085D3F5B"/>
    <w:rsid w:val="085F76F9"/>
    <w:rsid w:val="088D74B7"/>
    <w:rsid w:val="0891753F"/>
    <w:rsid w:val="089F5B61"/>
    <w:rsid w:val="08A13C26"/>
    <w:rsid w:val="08AA1EA5"/>
    <w:rsid w:val="08AE20F2"/>
    <w:rsid w:val="08B85822"/>
    <w:rsid w:val="08C26768"/>
    <w:rsid w:val="08D062B9"/>
    <w:rsid w:val="08D31EFA"/>
    <w:rsid w:val="08E23B1C"/>
    <w:rsid w:val="08EF25FF"/>
    <w:rsid w:val="08FB6CEF"/>
    <w:rsid w:val="0902043D"/>
    <w:rsid w:val="09045F63"/>
    <w:rsid w:val="090A42F6"/>
    <w:rsid w:val="0917514E"/>
    <w:rsid w:val="09294566"/>
    <w:rsid w:val="098540F5"/>
    <w:rsid w:val="09914FD3"/>
    <w:rsid w:val="099323FF"/>
    <w:rsid w:val="09942222"/>
    <w:rsid w:val="09A16C45"/>
    <w:rsid w:val="09A331E1"/>
    <w:rsid w:val="09BF26D2"/>
    <w:rsid w:val="09C6146A"/>
    <w:rsid w:val="09CE28EC"/>
    <w:rsid w:val="09D2466A"/>
    <w:rsid w:val="09D337B8"/>
    <w:rsid w:val="09E0252C"/>
    <w:rsid w:val="09E35B37"/>
    <w:rsid w:val="09EA213D"/>
    <w:rsid w:val="09F4422A"/>
    <w:rsid w:val="0A026946"/>
    <w:rsid w:val="0A0976BB"/>
    <w:rsid w:val="0A113B35"/>
    <w:rsid w:val="0A1D552E"/>
    <w:rsid w:val="0A347B45"/>
    <w:rsid w:val="0A3E3F88"/>
    <w:rsid w:val="0A656ED5"/>
    <w:rsid w:val="0A66108A"/>
    <w:rsid w:val="0A672A35"/>
    <w:rsid w:val="0A7348BF"/>
    <w:rsid w:val="0A9F3E33"/>
    <w:rsid w:val="0AB614DF"/>
    <w:rsid w:val="0ABA5814"/>
    <w:rsid w:val="0AC260D6"/>
    <w:rsid w:val="0AC33C19"/>
    <w:rsid w:val="0AD010C5"/>
    <w:rsid w:val="0ADA1EE0"/>
    <w:rsid w:val="0AFA5350"/>
    <w:rsid w:val="0B031899"/>
    <w:rsid w:val="0B106E41"/>
    <w:rsid w:val="0B240F71"/>
    <w:rsid w:val="0B340409"/>
    <w:rsid w:val="0B4F64F0"/>
    <w:rsid w:val="0B543EB0"/>
    <w:rsid w:val="0B5D1A85"/>
    <w:rsid w:val="0B5F44A1"/>
    <w:rsid w:val="0B7F3FC7"/>
    <w:rsid w:val="0B84228C"/>
    <w:rsid w:val="0B901D30"/>
    <w:rsid w:val="0B986F9F"/>
    <w:rsid w:val="0B9C327F"/>
    <w:rsid w:val="0BAC6404"/>
    <w:rsid w:val="0BC2459A"/>
    <w:rsid w:val="0BC52B2F"/>
    <w:rsid w:val="0BD41A24"/>
    <w:rsid w:val="0BF53D1B"/>
    <w:rsid w:val="0BF55DCD"/>
    <w:rsid w:val="0C0624C9"/>
    <w:rsid w:val="0C132A5D"/>
    <w:rsid w:val="0C1A776A"/>
    <w:rsid w:val="0C21222D"/>
    <w:rsid w:val="0C2C2DB6"/>
    <w:rsid w:val="0C5C7D96"/>
    <w:rsid w:val="0C5E428D"/>
    <w:rsid w:val="0C6F1945"/>
    <w:rsid w:val="0C7B639F"/>
    <w:rsid w:val="0C7E6FAC"/>
    <w:rsid w:val="0C7F3BFC"/>
    <w:rsid w:val="0CA665BD"/>
    <w:rsid w:val="0CAF7DD3"/>
    <w:rsid w:val="0CB6728F"/>
    <w:rsid w:val="0CBF648E"/>
    <w:rsid w:val="0CE2480D"/>
    <w:rsid w:val="0CE916F8"/>
    <w:rsid w:val="0CF14B0E"/>
    <w:rsid w:val="0CFD25BD"/>
    <w:rsid w:val="0CFF53BF"/>
    <w:rsid w:val="0D0B0F2F"/>
    <w:rsid w:val="0D286FCA"/>
    <w:rsid w:val="0D3D37F2"/>
    <w:rsid w:val="0D5D5C42"/>
    <w:rsid w:val="0D662901"/>
    <w:rsid w:val="0D69077C"/>
    <w:rsid w:val="0D715C47"/>
    <w:rsid w:val="0D760FA4"/>
    <w:rsid w:val="0D7815FE"/>
    <w:rsid w:val="0D7832FD"/>
    <w:rsid w:val="0D8E0F8A"/>
    <w:rsid w:val="0D933F5C"/>
    <w:rsid w:val="0D964EAD"/>
    <w:rsid w:val="0D9A11C3"/>
    <w:rsid w:val="0DAB1B73"/>
    <w:rsid w:val="0DB5782C"/>
    <w:rsid w:val="0DCD46CB"/>
    <w:rsid w:val="0DDB4F55"/>
    <w:rsid w:val="0DED3DF2"/>
    <w:rsid w:val="0E004AB0"/>
    <w:rsid w:val="0E0C42FA"/>
    <w:rsid w:val="0E142BF0"/>
    <w:rsid w:val="0E2A021A"/>
    <w:rsid w:val="0E334EB0"/>
    <w:rsid w:val="0E4A1CCE"/>
    <w:rsid w:val="0E5C5A93"/>
    <w:rsid w:val="0E74740A"/>
    <w:rsid w:val="0E8B4F0A"/>
    <w:rsid w:val="0E9A2C5E"/>
    <w:rsid w:val="0E9D17C6"/>
    <w:rsid w:val="0EBC5DB1"/>
    <w:rsid w:val="0ED4462A"/>
    <w:rsid w:val="0ED47232"/>
    <w:rsid w:val="0ED66241"/>
    <w:rsid w:val="0EDD34DE"/>
    <w:rsid w:val="0EE65D3D"/>
    <w:rsid w:val="0EE859DF"/>
    <w:rsid w:val="0EFC067C"/>
    <w:rsid w:val="0F257E5C"/>
    <w:rsid w:val="0F265F0D"/>
    <w:rsid w:val="0F291AD8"/>
    <w:rsid w:val="0F2E3D3A"/>
    <w:rsid w:val="0F5B4403"/>
    <w:rsid w:val="0F5D46D1"/>
    <w:rsid w:val="0F685636"/>
    <w:rsid w:val="0F76187C"/>
    <w:rsid w:val="0F8109B2"/>
    <w:rsid w:val="0F862A78"/>
    <w:rsid w:val="0F92430B"/>
    <w:rsid w:val="0FA8040C"/>
    <w:rsid w:val="0FB2696C"/>
    <w:rsid w:val="0FCA55AA"/>
    <w:rsid w:val="0FF111B5"/>
    <w:rsid w:val="0FFA0843"/>
    <w:rsid w:val="0FFF6C17"/>
    <w:rsid w:val="100623A4"/>
    <w:rsid w:val="10234C88"/>
    <w:rsid w:val="102C62CD"/>
    <w:rsid w:val="103D098E"/>
    <w:rsid w:val="104226B0"/>
    <w:rsid w:val="10430659"/>
    <w:rsid w:val="104465A7"/>
    <w:rsid w:val="10470B8B"/>
    <w:rsid w:val="10582BAF"/>
    <w:rsid w:val="10831E63"/>
    <w:rsid w:val="1086783B"/>
    <w:rsid w:val="108828E9"/>
    <w:rsid w:val="108E6DDE"/>
    <w:rsid w:val="10BD6E80"/>
    <w:rsid w:val="10CF0A8A"/>
    <w:rsid w:val="10CF50A9"/>
    <w:rsid w:val="10DC1574"/>
    <w:rsid w:val="10E76382"/>
    <w:rsid w:val="11047066"/>
    <w:rsid w:val="11066267"/>
    <w:rsid w:val="110B4FEA"/>
    <w:rsid w:val="11243FEB"/>
    <w:rsid w:val="114542EA"/>
    <w:rsid w:val="11474607"/>
    <w:rsid w:val="11581AF0"/>
    <w:rsid w:val="1162332F"/>
    <w:rsid w:val="11721135"/>
    <w:rsid w:val="11963E18"/>
    <w:rsid w:val="11A31559"/>
    <w:rsid w:val="11B361D3"/>
    <w:rsid w:val="11B543D6"/>
    <w:rsid w:val="11CB41EF"/>
    <w:rsid w:val="11E26953"/>
    <w:rsid w:val="11F577F8"/>
    <w:rsid w:val="11F8418B"/>
    <w:rsid w:val="12042C2D"/>
    <w:rsid w:val="120525C7"/>
    <w:rsid w:val="120D6D30"/>
    <w:rsid w:val="12295570"/>
    <w:rsid w:val="122F0542"/>
    <w:rsid w:val="123633C4"/>
    <w:rsid w:val="123768F9"/>
    <w:rsid w:val="124043EC"/>
    <w:rsid w:val="12450813"/>
    <w:rsid w:val="12537C01"/>
    <w:rsid w:val="125807D5"/>
    <w:rsid w:val="12784E55"/>
    <w:rsid w:val="128A78E8"/>
    <w:rsid w:val="128C33F4"/>
    <w:rsid w:val="128F1D34"/>
    <w:rsid w:val="129E5142"/>
    <w:rsid w:val="12B87848"/>
    <w:rsid w:val="12DB364B"/>
    <w:rsid w:val="133A062E"/>
    <w:rsid w:val="1340738D"/>
    <w:rsid w:val="13487675"/>
    <w:rsid w:val="13640B53"/>
    <w:rsid w:val="136C563C"/>
    <w:rsid w:val="138061A8"/>
    <w:rsid w:val="138917D3"/>
    <w:rsid w:val="138D11BC"/>
    <w:rsid w:val="13985502"/>
    <w:rsid w:val="139D2FCC"/>
    <w:rsid w:val="13D844D6"/>
    <w:rsid w:val="13D84C83"/>
    <w:rsid w:val="13DC1FB6"/>
    <w:rsid w:val="13E22368"/>
    <w:rsid w:val="13E85087"/>
    <w:rsid w:val="13EC7D20"/>
    <w:rsid w:val="13ED26D9"/>
    <w:rsid w:val="13F13588"/>
    <w:rsid w:val="140A63D7"/>
    <w:rsid w:val="140F5B65"/>
    <w:rsid w:val="141A2701"/>
    <w:rsid w:val="1424395D"/>
    <w:rsid w:val="14250B93"/>
    <w:rsid w:val="14314312"/>
    <w:rsid w:val="143A6A29"/>
    <w:rsid w:val="1441058C"/>
    <w:rsid w:val="144A726B"/>
    <w:rsid w:val="144D4C62"/>
    <w:rsid w:val="14726D31"/>
    <w:rsid w:val="147324EE"/>
    <w:rsid w:val="147B4F6E"/>
    <w:rsid w:val="147E7A46"/>
    <w:rsid w:val="14825C20"/>
    <w:rsid w:val="14860174"/>
    <w:rsid w:val="149462EA"/>
    <w:rsid w:val="149C0E51"/>
    <w:rsid w:val="14A405FA"/>
    <w:rsid w:val="14A625C4"/>
    <w:rsid w:val="14AD08F7"/>
    <w:rsid w:val="14BF323B"/>
    <w:rsid w:val="14CA0176"/>
    <w:rsid w:val="14FE41AE"/>
    <w:rsid w:val="151108B6"/>
    <w:rsid w:val="151E0D21"/>
    <w:rsid w:val="1547662A"/>
    <w:rsid w:val="1549616E"/>
    <w:rsid w:val="154D47EE"/>
    <w:rsid w:val="15550B09"/>
    <w:rsid w:val="155550C1"/>
    <w:rsid w:val="158174F7"/>
    <w:rsid w:val="15E42B6D"/>
    <w:rsid w:val="15F55CDD"/>
    <w:rsid w:val="16175528"/>
    <w:rsid w:val="162E0EFA"/>
    <w:rsid w:val="1636472E"/>
    <w:rsid w:val="16526560"/>
    <w:rsid w:val="165C6EA3"/>
    <w:rsid w:val="16627CCD"/>
    <w:rsid w:val="16663DB9"/>
    <w:rsid w:val="166B3507"/>
    <w:rsid w:val="16AC7894"/>
    <w:rsid w:val="16B0068C"/>
    <w:rsid w:val="16C1697F"/>
    <w:rsid w:val="16D8637E"/>
    <w:rsid w:val="16F11890"/>
    <w:rsid w:val="1700127E"/>
    <w:rsid w:val="171B19B1"/>
    <w:rsid w:val="1720665E"/>
    <w:rsid w:val="172D40A7"/>
    <w:rsid w:val="174D6B2B"/>
    <w:rsid w:val="175D340E"/>
    <w:rsid w:val="177644D0"/>
    <w:rsid w:val="17790A16"/>
    <w:rsid w:val="17803DD0"/>
    <w:rsid w:val="17907B2D"/>
    <w:rsid w:val="17914E49"/>
    <w:rsid w:val="17AD688C"/>
    <w:rsid w:val="17BD7AB1"/>
    <w:rsid w:val="17C24FCC"/>
    <w:rsid w:val="17CB4B74"/>
    <w:rsid w:val="17EF4099"/>
    <w:rsid w:val="18151D75"/>
    <w:rsid w:val="18166133"/>
    <w:rsid w:val="18235491"/>
    <w:rsid w:val="18242F87"/>
    <w:rsid w:val="184D6D00"/>
    <w:rsid w:val="185905C5"/>
    <w:rsid w:val="18592BA2"/>
    <w:rsid w:val="18635ACB"/>
    <w:rsid w:val="1871320D"/>
    <w:rsid w:val="187236F1"/>
    <w:rsid w:val="188350F6"/>
    <w:rsid w:val="18861835"/>
    <w:rsid w:val="188B1530"/>
    <w:rsid w:val="188C26FB"/>
    <w:rsid w:val="18921717"/>
    <w:rsid w:val="18C92B8D"/>
    <w:rsid w:val="18C97E7B"/>
    <w:rsid w:val="18D80BAC"/>
    <w:rsid w:val="18DC7013"/>
    <w:rsid w:val="18E02502"/>
    <w:rsid w:val="18F87E64"/>
    <w:rsid w:val="18F976F9"/>
    <w:rsid w:val="18FA490E"/>
    <w:rsid w:val="190020B5"/>
    <w:rsid w:val="19005D72"/>
    <w:rsid w:val="1901426D"/>
    <w:rsid w:val="19027544"/>
    <w:rsid w:val="192A5572"/>
    <w:rsid w:val="192D5062"/>
    <w:rsid w:val="192F739D"/>
    <w:rsid w:val="19307E0B"/>
    <w:rsid w:val="19432A0B"/>
    <w:rsid w:val="19442D38"/>
    <w:rsid w:val="195920BA"/>
    <w:rsid w:val="19620ABE"/>
    <w:rsid w:val="19717E07"/>
    <w:rsid w:val="19831126"/>
    <w:rsid w:val="1998697F"/>
    <w:rsid w:val="19B65BB2"/>
    <w:rsid w:val="19BF78BE"/>
    <w:rsid w:val="19C82216"/>
    <w:rsid w:val="19E27BFB"/>
    <w:rsid w:val="1A1D4890"/>
    <w:rsid w:val="1A296D63"/>
    <w:rsid w:val="1A324F2D"/>
    <w:rsid w:val="1A462475"/>
    <w:rsid w:val="1A5667B5"/>
    <w:rsid w:val="1A584642"/>
    <w:rsid w:val="1A603F46"/>
    <w:rsid w:val="1A673E98"/>
    <w:rsid w:val="1A6C3968"/>
    <w:rsid w:val="1A732F49"/>
    <w:rsid w:val="1A7B529E"/>
    <w:rsid w:val="1A81266B"/>
    <w:rsid w:val="1A8E369B"/>
    <w:rsid w:val="1A907657"/>
    <w:rsid w:val="1A9A2794"/>
    <w:rsid w:val="1AA47B2F"/>
    <w:rsid w:val="1AB84FC9"/>
    <w:rsid w:val="1ACD08AB"/>
    <w:rsid w:val="1ACD2659"/>
    <w:rsid w:val="1AE6371B"/>
    <w:rsid w:val="1AFC71E0"/>
    <w:rsid w:val="1B115D3C"/>
    <w:rsid w:val="1B117D77"/>
    <w:rsid w:val="1B1464DA"/>
    <w:rsid w:val="1B1E0896"/>
    <w:rsid w:val="1B1E63A8"/>
    <w:rsid w:val="1B2B0170"/>
    <w:rsid w:val="1B4E448C"/>
    <w:rsid w:val="1B530684"/>
    <w:rsid w:val="1B5418EC"/>
    <w:rsid w:val="1B5966CE"/>
    <w:rsid w:val="1B6A11E1"/>
    <w:rsid w:val="1B7C20ED"/>
    <w:rsid w:val="1B807337"/>
    <w:rsid w:val="1B8076CB"/>
    <w:rsid w:val="1B950C9D"/>
    <w:rsid w:val="1BA41303"/>
    <w:rsid w:val="1BA47C58"/>
    <w:rsid w:val="1BA710FC"/>
    <w:rsid w:val="1BAB2B15"/>
    <w:rsid w:val="1BAD4BBE"/>
    <w:rsid w:val="1BB80F43"/>
    <w:rsid w:val="1BBA2471"/>
    <w:rsid w:val="1BC10F25"/>
    <w:rsid w:val="1BC170B5"/>
    <w:rsid w:val="1BC85289"/>
    <w:rsid w:val="1BE50AEA"/>
    <w:rsid w:val="1BF0529D"/>
    <w:rsid w:val="1BF56A3B"/>
    <w:rsid w:val="1BFD47AE"/>
    <w:rsid w:val="1C0A3439"/>
    <w:rsid w:val="1C183DA8"/>
    <w:rsid w:val="1C1A03D6"/>
    <w:rsid w:val="1C2E5379"/>
    <w:rsid w:val="1C3829DD"/>
    <w:rsid w:val="1C4C57FF"/>
    <w:rsid w:val="1C5E2E84"/>
    <w:rsid w:val="1C7A06A1"/>
    <w:rsid w:val="1C7B4E1E"/>
    <w:rsid w:val="1C8D2352"/>
    <w:rsid w:val="1C9215E3"/>
    <w:rsid w:val="1C950175"/>
    <w:rsid w:val="1CA97A8E"/>
    <w:rsid w:val="1CCE3DB5"/>
    <w:rsid w:val="1CD1294F"/>
    <w:rsid w:val="1CD822D6"/>
    <w:rsid w:val="1CEF4C58"/>
    <w:rsid w:val="1D0B2730"/>
    <w:rsid w:val="1D104A7F"/>
    <w:rsid w:val="1D306A8D"/>
    <w:rsid w:val="1D385997"/>
    <w:rsid w:val="1D3A7EAC"/>
    <w:rsid w:val="1D4969F2"/>
    <w:rsid w:val="1D52596D"/>
    <w:rsid w:val="1D6B0D1C"/>
    <w:rsid w:val="1D731D42"/>
    <w:rsid w:val="1D76522A"/>
    <w:rsid w:val="1D8F60F0"/>
    <w:rsid w:val="1D9F7263"/>
    <w:rsid w:val="1DAD4F69"/>
    <w:rsid w:val="1DC6020F"/>
    <w:rsid w:val="1DE71C83"/>
    <w:rsid w:val="1DF60118"/>
    <w:rsid w:val="1DF97E9A"/>
    <w:rsid w:val="1DFA2FBE"/>
    <w:rsid w:val="1E0740D4"/>
    <w:rsid w:val="1E4009EB"/>
    <w:rsid w:val="1E636E30"/>
    <w:rsid w:val="1E69399D"/>
    <w:rsid w:val="1E947603"/>
    <w:rsid w:val="1E9B64A9"/>
    <w:rsid w:val="1E9E3B22"/>
    <w:rsid w:val="1EA32EFA"/>
    <w:rsid w:val="1EA45977"/>
    <w:rsid w:val="1EAE07F6"/>
    <w:rsid w:val="1EC46074"/>
    <w:rsid w:val="1EC63D0B"/>
    <w:rsid w:val="1ED448B5"/>
    <w:rsid w:val="1EE24E87"/>
    <w:rsid w:val="1EE9555B"/>
    <w:rsid w:val="1EEA3840"/>
    <w:rsid w:val="1EF6744B"/>
    <w:rsid w:val="1F0B734A"/>
    <w:rsid w:val="1F130856"/>
    <w:rsid w:val="1F1C5538"/>
    <w:rsid w:val="1F2914B1"/>
    <w:rsid w:val="1F2B5BA0"/>
    <w:rsid w:val="1F3D510C"/>
    <w:rsid w:val="1F6B68ED"/>
    <w:rsid w:val="1F8B5B22"/>
    <w:rsid w:val="1F946352"/>
    <w:rsid w:val="1F9F6138"/>
    <w:rsid w:val="1FA03CB2"/>
    <w:rsid w:val="1FA27BB2"/>
    <w:rsid w:val="1FB511D4"/>
    <w:rsid w:val="1FBA368F"/>
    <w:rsid w:val="1FE16A09"/>
    <w:rsid w:val="1FE720BF"/>
    <w:rsid w:val="1FE84A61"/>
    <w:rsid w:val="1FF468DA"/>
    <w:rsid w:val="200B1900"/>
    <w:rsid w:val="2011123A"/>
    <w:rsid w:val="201D20ED"/>
    <w:rsid w:val="202D4470"/>
    <w:rsid w:val="203B0065"/>
    <w:rsid w:val="20605D1D"/>
    <w:rsid w:val="20682E19"/>
    <w:rsid w:val="206F69E4"/>
    <w:rsid w:val="207672EF"/>
    <w:rsid w:val="20784E15"/>
    <w:rsid w:val="2079572D"/>
    <w:rsid w:val="208C1696"/>
    <w:rsid w:val="20A02D4A"/>
    <w:rsid w:val="20B4759D"/>
    <w:rsid w:val="20B47E17"/>
    <w:rsid w:val="20BE2A44"/>
    <w:rsid w:val="20CC7143"/>
    <w:rsid w:val="20D302EF"/>
    <w:rsid w:val="20D67B15"/>
    <w:rsid w:val="20D7657A"/>
    <w:rsid w:val="20E17945"/>
    <w:rsid w:val="20E35802"/>
    <w:rsid w:val="20E92A4E"/>
    <w:rsid w:val="20FD2A34"/>
    <w:rsid w:val="2129718E"/>
    <w:rsid w:val="212B5B0A"/>
    <w:rsid w:val="21537F2D"/>
    <w:rsid w:val="21587586"/>
    <w:rsid w:val="217575A6"/>
    <w:rsid w:val="217C2B77"/>
    <w:rsid w:val="2189369E"/>
    <w:rsid w:val="21B04A82"/>
    <w:rsid w:val="21B53414"/>
    <w:rsid w:val="21C41C8B"/>
    <w:rsid w:val="21C83B7A"/>
    <w:rsid w:val="21DC63AC"/>
    <w:rsid w:val="21DE5BB1"/>
    <w:rsid w:val="21E757A3"/>
    <w:rsid w:val="21E85F8D"/>
    <w:rsid w:val="22033642"/>
    <w:rsid w:val="22070A64"/>
    <w:rsid w:val="220D5A31"/>
    <w:rsid w:val="22151450"/>
    <w:rsid w:val="221B63A0"/>
    <w:rsid w:val="2230171F"/>
    <w:rsid w:val="22370D00"/>
    <w:rsid w:val="22466123"/>
    <w:rsid w:val="2259260B"/>
    <w:rsid w:val="22623FCE"/>
    <w:rsid w:val="22630303"/>
    <w:rsid w:val="226E7CB6"/>
    <w:rsid w:val="22794BFE"/>
    <w:rsid w:val="229A342F"/>
    <w:rsid w:val="229D2F1C"/>
    <w:rsid w:val="22A719E1"/>
    <w:rsid w:val="22AB408F"/>
    <w:rsid w:val="22C4208A"/>
    <w:rsid w:val="22C62095"/>
    <w:rsid w:val="22EF476D"/>
    <w:rsid w:val="22F34BE0"/>
    <w:rsid w:val="22F97172"/>
    <w:rsid w:val="23411E36"/>
    <w:rsid w:val="23430E8A"/>
    <w:rsid w:val="23444AE3"/>
    <w:rsid w:val="2346472C"/>
    <w:rsid w:val="23484909"/>
    <w:rsid w:val="234A6E9B"/>
    <w:rsid w:val="235D4796"/>
    <w:rsid w:val="23821AA5"/>
    <w:rsid w:val="2388370D"/>
    <w:rsid w:val="23AD04D0"/>
    <w:rsid w:val="23B74CC3"/>
    <w:rsid w:val="23C71B98"/>
    <w:rsid w:val="23D52DDB"/>
    <w:rsid w:val="23D55801"/>
    <w:rsid w:val="23DA690E"/>
    <w:rsid w:val="23E303FA"/>
    <w:rsid w:val="23E528DF"/>
    <w:rsid w:val="23EB7A36"/>
    <w:rsid w:val="24093402"/>
    <w:rsid w:val="240D009B"/>
    <w:rsid w:val="240D61F3"/>
    <w:rsid w:val="24234153"/>
    <w:rsid w:val="24292561"/>
    <w:rsid w:val="243631E7"/>
    <w:rsid w:val="24575A93"/>
    <w:rsid w:val="245E76DC"/>
    <w:rsid w:val="246C42C1"/>
    <w:rsid w:val="246F2488"/>
    <w:rsid w:val="24834798"/>
    <w:rsid w:val="2488109E"/>
    <w:rsid w:val="24925F6E"/>
    <w:rsid w:val="249A04DC"/>
    <w:rsid w:val="249B2978"/>
    <w:rsid w:val="24AE6575"/>
    <w:rsid w:val="24AF24B6"/>
    <w:rsid w:val="24FA41B9"/>
    <w:rsid w:val="24FB4266"/>
    <w:rsid w:val="25027A3A"/>
    <w:rsid w:val="25076224"/>
    <w:rsid w:val="250B703F"/>
    <w:rsid w:val="2524556B"/>
    <w:rsid w:val="252E1698"/>
    <w:rsid w:val="254C599E"/>
    <w:rsid w:val="255F7AD2"/>
    <w:rsid w:val="256D4FBD"/>
    <w:rsid w:val="25983879"/>
    <w:rsid w:val="25AC65CB"/>
    <w:rsid w:val="25C10BD8"/>
    <w:rsid w:val="25C4070B"/>
    <w:rsid w:val="260929B3"/>
    <w:rsid w:val="261E0518"/>
    <w:rsid w:val="2627224F"/>
    <w:rsid w:val="26507C71"/>
    <w:rsid w:val="26545851"/>
    <w:rsid w:val="26591772"/>
    <w:rsid w:val="265D1AB0"/>
    <w:rsid w:val="26636141"/>
    <w:rsid w:val="266D7C38"/>
    <w:rsid w:val="266E1B01"/>
    <w:rsid w:val="267C3185"/>
    <w:rsid w:val="269C3827"/>
    <w:rsid w:val="26AF587E"/>
    <w:rsid w:val="26B637CF"/>
    <w:rsid w:val="26EA00EF"/>
    <w:rsid w:val="270F65EE"/>
    <w:rsid w:val="27100D65"/>
    <w:rsid w:val="27180E6A"/>
    <w:rsid w:val="271E393C"/>
    <w:rsid w:val="27235C37"/>
    <w:rsid w:val="273129C9"/>
    <w:rsid w:val="273A72C8"/>
    <w:rsid w:val="27581696"/>
    <w:rsid w:val="276952FE"/>
    <w:rsid w:val="276F5A58"/>
    <w:rsid w:val="277736DA"/>
    <w:rsid w:val="277E4152"/>
    <w:rsid w:val="277F3A0F"/>
    <w:rsid w:val="278D3956"/>
    <w:rsid w:val="27976C14"/>
    <w:rsid w:val="279C1E19"/>
    <w:rsid w:val="27AA1E1F"/>
    <w:rsid w:val="27AA78E3"/>
    <w:rsid w:val="27E64D5A"/>
    <w:rsid w:val="28201551"/>
    <w:rsid w:val="28224101"/>
    <w:rsid w:val="282E5213"/>
    <w:rsid w:val="282E5980"/>
    <w:rsid w:val="284C045D"/>
    <w:rsid w:val="28532F62"/>
    <w:rsid w:val="28552BEE"/>
    <w:rsid w:val="2881704A"/>
    <w:rsid w:val="28B34564"/>
    <w:rsid w:val="28BA4EF4"/>
    <w:rsid w:val="28C36373"/>
    <w:rsid w:val="28CD1A76"/>
    <w:rsid w:val="28EB43E8"/>
    <w:rsid w:val="290212B1"/>
    <w:rsid w:val="29453D02"/>
    <w:rsid w:val="29545931"/>
    <w:rsid w:val="295B2E06"/>
    <w:rsid w:val="29647529"/>
    <w:rsid w:val="29772B0D"/>
    <w:rsid w:val="298767E3"/>
    <w:rsid w:val="29932CBF"/>
    <w:rsid w:val="299916FE"/>
    <w:rsid w:val="29A053DC"/>
    <w:rsid w:val="29CC6BDE"/>
    <w:rsid w:val="29DA5C64"/>
    <w:rsid w:val="29EE4149"/>
    <w:rsid w:val="29F932D4"/>
    <w:rsid w:val="29FF7026"/>
    <w:rsid w:val="2A024FCD"/>
    <w:rsid w:val="2A07553C"/>
    <w:rsid w:val="2A144790"/>
    <w:rsid w:val="2A1934F7"/>
    <w:rsid w:val="2A3261E9"/>
    <w:rsid w:val="2A4A0382"/>
    <w:rsid w:val="2A505777"/>
    <w:rsid w:val="2A6308E4"/>
    <w:rsid w:val="2A641987"/>
    <w:rsid w:val="2A6B7798"/>
    <w:rsid w:val="2A7E3970"/>
    <w:rsid w:val="2AA02867"/>
    <w:rsid w:val="2AA267B9"/>
    <w:rsid w:val="2AB357E7"/>
    <w:rsid w:val="2AB4622E"/>
    <w:rsid w:val="2ABE4B5D"/>
    <w:rsid w:val="2AC55DB1"/>
    <w:rsid w:val="2AE23CB6"/>
    <w:rsid w:val="2B101504"/>
    <w:rsid w:val="2B27775F"/>
    <w:rsid w:val="2B38484C"/>
    <w:rsid w:val="2B3F1FC6"/>
    <w:rsid w:val="2B4A1AA4"/>
    <w:rsid w:val="2B512BED"/>
    <w:rsid w:val="2B553FBF"/>
    <w:rsid w:val="2B603075"/>
    <w:rsid w:val="2B662976"/>
    <w:rsid w:val="2B7044F1"/>
    <w:rsid w:val="2B764DA8"/>
    <w:rsid w:val="2B852ADC"/>
    <w:rsid w:val="2B8B29CF"/>
    <w:rsid w:val="2B8C5C18"/>
    <w:rsid w:val="2B994D83"/>
    <w:rsid w:val="2BAC0068"/>
    <w:rsid w:val="2BAC62BA"/>
    <w:rsid w:val="2BB23B01"/>
    <w:rsid w:val="2BC22732"/>
    <w:rsid w:val="2BD47CEB"/>
    <w:rsid w:val="2BD74B6D"/>
    <w:rsid w:val="2BE82FB8"/>
    <w:rsid w:val="2BF20019"/>
    <w:rsid w:val="2C060BD6"/>
    <w:rsid w:val="2C0B1233"/>
    <w:rsid w:val="2C0B5FFE"/>
    <w:rsid w:val="2C153562"/>
    <w:rsid w:val="2C217B90"/>
    <w:rsid w:val="2C30386D"/>
    <w:rsid w:val="2C4E2ECE"/>
    <w:rsid w:val="2C534965"/>
    <w:rsid w:val="2C752B50"/>
    <w:rsid w:val="2C8D70F4"/>
    <w:rsid w:val="2CAE753C"/>
    <w:rsid w:val="2CE9215B"/>
    <w:rsid w:val="2CF109A0"/>
    <w:rsid w:val="2CF33B35"/>
    <w:rsid w:val="2CF617E0"/>
    <w:rsid w:val="2D2D77D6"/>
    <w:rsid w:val="2D322E61"/>
    <w:rsid w:val="2D464E87"/>
    <w:rsid w:val="2D491FD9"/>
    <w:rsid w:val="2D4D1B93"/>
    <w:rsid w:val="2D6571BD"/>
    <w:rsid w:val="2DA81F46"/>
    <w:rsid w:val="2DBB723B"/>
    <w:rsid w:val="2DBD5D9B"/>
    <w:rsid w:val="2DC01BA9"/>
    <w:rsid w:val="2DC37DF1"/>
    <w:rsid w:val="2DC7118A"/>
    <w:rsid w:val="2DCF5DE6"/>
    <w:rsid w:val="2E07088B"/>
    <w:rsid w:val="2E0917A2"/>
    <w:rsid w:val="2E0D173F"/>
    <w:rsid w:val="2E241549"/>
    <w:rsid w:val="2E2B4689"/>
    <w:rsid w:val="2E574A68"/>
    <w:rsid w:val="2E7762B1"/>
    <w:rsid w:val="2E7C6418"/>
    <w:rsid w:val="2E7E70D9"/>
    <w:rsid w:val="2E825B76"/>
    <w:rsid w:val="2E877EF5"/>
    <w:rsid w:val="2E8E614B"/>
    <w:rsid w:val="2E90634E"/>
    <w:rsid w:val="2E924D9A"/>
    <w:rsid w:val="2E9B3EA1"/>
    <w:rsid w:val="2EBF6006"/>
    <w:rsid w:val="2EE144CD"/>
    <w:rsid w:val="2EE17FD5"/>
    <w:rsid w:val="2EFD69CD"/>
    <w:rsid w:val="2F0100CD"/>
    <w:rsid w:val="2F0B25ED"/>
    <w:rsid w:val="2F2A2B97"/>
    <w:rsid w:val="2F4A1FBC"/>
    <w:rsid w:val="2F5667C4"/>
    <w:rsid w:val="2F6278FB"/>
    <w:rsid w:val="2F6A4589"/>
    <w:rsid w:val="2F6A70BE"/>
    <w:rsid w:val="2F71028B"/>
    <w:rsid w:val="2F8D01B1"/>
    <w:rsid w:val="2F984ABB"/>
    <w:rsid w:val="2FAF4760"/>
    <w:rsid w:val="2FB20729"/>
    <w:rsid w:val="2FB33030"/>
    <w:rsid w:val="2FB40AC4"/>
    <w:rsid w:val="2FBA5BE2"/>
    <w:rsid w:val="2FDB2CCA"/>
    <w:rsid w:val="2FDE5A6F"/>
    <w:rsid w:val="2FE32412"/>
    <w:rsid w:val="30044B82"/>
    <w:rsid w:val="30127EE5"/>
    <w:rsid w:val="30217534"/>
    <w:rsid w:val="30341BC5"/>
    <w:rsid w:val="304A0BD0"/>
    <w:rsid w:val="304D254F"/>
    <w:rsid w:val="30561692"/>
    <w:rsid w:val="306B2476"/>
    <w:rsid w:val="3075311F"/>
    <w:rsid w:val="307D7830"/>
    <w:rsid w:val="3081782F"/>
    <w:rsid w:val="308B0DC1"/>
    <w:rsid w:val="30902265"/>
    <w:rsid w:val="3098505F"/>
    <w:rsid w:val="309F6E50"/>
    <w:rsid w:val="30AA13BF"/>
    <w:rsid w:val="30AC1CB5"/>
    <w:rsid w:val="30B570CD"/>
    <w:rsid w:val="30DA7426"/>
    <w:rsid w:val="30F74F18"/>
    <w:rsid w:val="30FC0E53"/>
    <w:rsid w:val="31195802"/>
    <w:rsid w:val="311B75DA"/>
    <w:rsid w:val="311E23A7"/>
    <w:rsid w:val="312E339F"/>
    <w:rsid w:val="31315F0B"/>
    <w:rsid w:val="31710C6A"/>
    <w:rsid w:val="31926D16"/>
    <w:rsid w:val="31A253EC"/>
    <w:rsid w:val="31A60B9C"/>
    <w:rsid w:val="31AD22F3"/>
    <w:rsid w:val="31BC4D7D"/>
    <w:rsid w:val="31C21800"/>
    <w:rsid w:val="31C628A5"/>
    <w:rsid w:val="31F167D5"/>
    <w:rsid w:val="320570DF"/>
    <w:rsid w:val="321015EA"/>
    <w:rsid w:val="321150C9"/>
    <w:rsid w:val="321B12F1"/>
    <w:rsid w:val="32236990"/>
    <w:rsid w:val="32275B49"/>
    <w:rsid w:val="322B012D"/>
    <w:rsid w:val="322F37A1"/>
    <w:rsid w:val="323D5EBE"/>
    <w:rsid w:val="324E226E"/>
    <w:rsid w:val="32530092"/>
    <w:rsid w:val="32691FEA"/>
    <w:rsid w:val="32696CB3"/>
    <w:rsid w:val="327D1A85"/>
    <w:rsid w:val="32961587"/>
    <w:rsid w:val="32977F80"/>
    <w:rsid w:val="32B15F25"/>
    <w:rsid w:val="32C31931"/>
    <w:rsid w:val="32C85796"/>
    <w:rsid w:val="32CE2FBA"/>
    <w:rsid w:val="32D4454C"/>
    <w:rsid w:val="32DB6743"/>
    <w:rsid w:val="32DF32CE"/>
    <w:rsid w:val="32F341BB"/>
    <w:rsid w:val="3322710C"/>
    <w:rsid w:val="33434A04"/>
    <w:rsid w:val="33491B35"/>
    <w:rsid w:val="334A7C35"/>
    <w:rsid w:val="334E1CB3"/>
    <w:rsid w:val="335039CF"/>
    <w:rsid w:val="335116D8"/>
    <w:rsid w:val="335C0F0C"/>
    <w:rsid w:val="336254B1"/>
    <w:rsid w:val="3369554B"/>
    <w:rsid w:val="33721440"/>
    <w:rsid w:val="33726EA5"/>
    <w:rsid w:val="33751688"/>
    <w:rsid w:val="33754A6A"/>
    <w:rsid w:val="338640F4"/>
    <w:rsid w:val="338721FD"/>
    <w:rsid w:val="339E423D"/>
    <w:rsid w:val="339F0E6C"/>
    <w:rsid w:val="33A1247D"/>
    <w:rsid w:val="33A5289E"/>
    <w:rsid w:val="33B24143"/>
    <w:rsid w:val="33D55AC2"/>
    <w:rsid w:val="33DC3730"/>
    <w:rsid w:val="34056568"/>
    <w:rsid w:val="34270671"/>
    <w:rsid w:val="344A5CAF"/>
    <w:rsid w:val="344D1A76"/>
    <w:rsid w:val="344E47BB"/>
    <w:rsid w:val="34594B05"/>
    <w:rsid w:val="34627E84"/>
    <w:rsid w:val="346C08B7"/>
    <w:rsid w:val="34761B3D"/>
    <w:rsid w:val="34867FFB"/>
    <w:rsid w:val="34925770"/>
    <w:rsid w:val="34967B08"/>
    <w:rsid w:val="349D6091"/>
    <w:rsid w:val="34A73E26"/>
    <w:rsid w:val="34D4418C"/>
    <w:rsid w:val="34D643A8"/>
    <w:rsid w:val="34ED2EF3"/>
    <w:rsid w:val="34FA62E8"/>
    <w:rsid w:val="34FB6280"/>
    <w:rsid w:val="3522139B"/>
    <w:rsid w:val="352D4948"/>
    <w:rsid w:val="35311D03"/>
    <w:rsid w:val="353944EF"/>
    <w:rsid w:val="354218B8"/>
    <w:rsid w:val="354E558D"/>
    <w:rsid w:val="35581E94"/>
    <w:rsid w:val="355A49D6"/>
    <w:rsid w:val="355D6522"/>
    <w:rsid w:val="35777939"/>
    <w:rsid w:val="35884C5D"/>
    <w:rsid w:val="35B07A62"/>
    <w:rsid w:val="35C6128B"/>
    <w:rsid w:val="35CA51B2"/>
    <w:rsid w:val="36056CF3"/>
    <w:rsid w:val="360A255B"/>
    <w:rsid w:val="360C033F"/>
    <w:rsid w:val="360C0B7E"/>
    <w:rsid w:val="360E3D96"/>
    <w:rsid w:val="36112F3A"/>
    <w:rsid w:val="366E3B27"/>
    <w:rsid w:val="36744FAD"/>
    <w:rsid w:val="36903A61"/>
    <w:rsid w:val="369938DF"/>
    <w:rsid w:val="369F5F8F"/>
    <w:rsid w:val="36AD59FE"/>
    <w:rsid w:val="36CF0918"/>
    <w:rsid w:val="36D954F0"/>
    <w:rsid w:val="36E65D73"/>
    <w:rsid w:val="36EA3C82"/>
    <w:rsid w:val="36F1018B"/>
    <w:rsid w:val="3702372A"/>
    <w:rsid w:val="37046FAB"/>
    <w:rsid w:val="370666E5"/>
    <w:rsid w:val="370F1992"/>
    <w:rsid w:val="37386442"/>
    <w:rsid w:val="375657BF"/>
    <w:rsid w:val="37A604E3"/>
    <w:rsid w:val="37AB198C"/>
    <w:rsid w:val="37BF1123"/>
    <w:rsid w:val="37F4354B"/>
    <w:rsid w:val="37F63D3D"/>
    <w:rsid w:val="38063A45"/>
    <w:rsid w:val="380B5EAF"/>
    <w:rsid w:val="381024B9"/>
    <w:rsid w:val="383A131B"/>
    <w:rsid w:val="383A4FDB"/>
    <w:rsid w:val="383F6A65"/>
    <w:rsid w:val="384F7078"/>
    <w:rsid w:val="385202B9"/>
    <w:rsid w:val="385602AE"/>
    <w:rsid w:val="38561A88"/>
    <w:rsid w:val="385F1A9D"/>
    <w:rsid w:val="38663D24"/>
    <w:rsid w:val="386760FE"/>
    <w:rsid w:val="386F2B4A"/>
    <w:rsid w:val="38766B35"/>
    <w:rsid w:val="388552F4"/>
    <w:rsid w:val="389712F2"/>
    <w:rsid w:val="38C1207C"/>
    <w:rsid w:val="38D26C34"/>
    <w:rsid w:val="38FA51F2"/>
    <w:rsid w:val="39004E1E"/>
    <w:rsid w:val="39012D62"/>
    <w:rsid w:val="390234B1"/>
    <w:rsid w:val="39066A92"/>
    <w:rsid w:val="392221BF"/>
    <w:rsid w:val="39283CFF"/>
    <w:rsid w:val="39487399"/>
    <w:rsid w:val="394B7113"/>
    <w:rsid w:val="39663F4D"/>
    <w:rsid w:val="39763510"/>
    <w:rsid w:val="39776003"/>
    <w:rsid w:val="397B0CFF"/>
    <w:rsid w:val="39861EF9"/>
    <w:rsid w:val="398630C2"/>
    <w:rsid w:val="398A0A67"/>
    <w:rsid w:val="399F5FBE"/>
    <w:rsid w:val="39A03524"/>
    <w:rsid w:val="39A9208B"/>
    <w:rsid w:val="39BB25EE"/>
    <w:rsid w:val="39C43445"/>
    <w:rsid w:val="39D81F8A"/>
    <w:rsid w:val="39E901AB"/>
    <w:rsid w:val="39F05C03"/>
    <w:rsid w:val="39F13C19"/>
    <w:rsid w:val="3A0156E4"/>
    <w:rsid w:val="3A063AF2"/>
    <w:rsid w:val="3A242A2F"/>
    <w:rsid w:val="3A424959"/>
    <w:rsid w:val="3A517E64"/>
    <w:rsid w:val="3A6147B6"/>
    <w:rsid w:val="3A6F1D56"/>
    <w:rsid w:val="3A6F4969"/>
    <w:rsid w:val="3A84028B"/>
    <w:rsid w:val="3A8C0826"/>
    <w:rsid w:val="3A8D3267"/>
    <w:rsid w:val="3A9D5653"/>
    <w:rsid w:val="3ACC6031"/>
    <w:rsid w:val="3AD30754"/>
    <w:rsid w:val="3AE50EA1"/>
    <w:rsid w:val="3AF65E7B"/>
    <w:rsid w:val="3B09566E"/>
    <w:rsid w:val="3B0F2A50"/>
    <w:rsid w:val="3B1F598C"/>
    <w:rsid w:val="3B34719D"/>
    <w:rsid w:val="3B4D5A5E"/>
    <w:rsid w:val="3B4F12B2"/>
    <w:rsid w:val="3B542B8C"/>
    <w:rsid w:val="3B651FE2"/>
    <w:rsid w:val="3B730A2C"/>
    <w:rsid w:val="3B8D15A9"/>
    <w:rsid w:val="3B9B2891"/>
    <w:rsid w:val="3BAB20EB"/>
    <w:rsid w:val="3BAF5FC3"/>
    <w:rsid w:val="3BD20289"/>
    <w:rsid w:val="3C0A04BB"/>
    <w:rsid w:val="3C3C0F95"/>
    <w:rsid w:val="3C6766BF"/>
    <w:rsid w:val="3C687FDC"/>
    <w:rsid w:val="3C7057AE"/>
    <w:rsid w:val="3C9F6981"/>
    <w:rsid w:val="3CA950B1"/>
    <w:rsid w:val="3CA97F92"/>
    <w:rsid w:val="3CC00609"/>
    <w:rsid w:val="3CE145D1"/>
    <w:rsid w:val="3CE33B06"/>
    <w:rsid w:val="3CE47AC0"/>
    <w:rsid w:val="3CE47D13"/>
    <w:rsid w:val="3CE551AC"/>
    <w:rsid w:val="3CE91CF5"/>
    <w:rsid w:val="3D0C65E9"/>
    <w:rsid w:val="3D1022FC"/>
    <w:rsid w:val="3D112421"/>
    <w:rsid w:val="3D307327"/>
    <w:rsid w:val="3D4B442E"/>
    <w:rsid w:val="3D657EFC"/>
    <w:rsid w:val="3D8533F6"/>
    <w:rsid w:val="3D8D3850"/>
    <w:rsid w:val="3D9D44EA"/>
    <w:rsid w:val="3DA218C9"/>
    <w:rsid w:val="3DB75277"/>
    <w:rsid w:val="3DB83E47"/>
    <w:rsid w:val="3DC02FE7"/>
    <w:rsid w:val="3DC70F93"/>
    <w:rsid w:val="3DCD5D1F"/>
    <w:rsid w:val="3DD91A8E"/>
    <w:rsid w:val="3E066C7E"/>
    <w:rsid w:val="3E20439F"/>
    <w:rsid w:val="3E35159F"/>
    <w:rsid w:val="3E593ECA"/>
    <w:rsid w:val="3E697264"/>
    <w:rsid w:val="3E786C20"/>
    <w:rsid w:val="3E9926CE"/>
    <w:rsid w:val="3E9B4AFA"/>
    <w:rsid w:val="3EAF04AC"/>
    <w:rsid w:val="3EB11A19"/>
    <w:rsid w:val="3EB7106D"/>
    <w:rsid w:val="3EC62D97"/>
    <w:rsid w:val="3EC7628C"/>
    <w:rsid w:val="3ECC37DD"/>
    <w:rsid w:val="3EED05B0"/>
    <w:rsid w:val="3F00274D"/>
    <w:rsid w:val="3F156156"/>
    <w:rsid w:val="3F272B84"/>
    <w:rsid w:val="3F591E5E"/>
    <w:rsid w:val="3F5A50A4"/>
    <w:rsid w:val="3F8B2D0B"/>
    <w:rsid w:val="3F9C3D59"/>
    <w:rsid w:val="3FA46EF8"/>
    <w:rsid w:val="3FD94446"/>
    <w:rsid w:val="3FD9721D"/>
    <w:rsid w:val="3FDD483D"/>
    <w:rsid w:val="400C2D1C"/>
    <w:rsid w:val="40537FA2"/>
    <w:rsid w:val="40542227"/>
    <w:rsid w:val="405B7282"/>
    <w:rsid w:val="40603D01"/>
    <w:rsid w:val="4064574F"/>
    <w:rsid w:val="407118A6"/>
    <w:rsid w:val="408535F2"/>
    <w:rsid w:val="40946174"/>
    <w:rsid w:val="4099443B"/>
    <w:rsid w:val="40C31C84"/>
    <w:rsid w:val="40CD0758"/>
    <w:rsid w:val="40D3191C"/>
    <w:rsid w:val="40D53766"/>
    <w:rsid w:val="40D75F92"/>
    <w:rsid w:val="40E51C35"/>
    <w:rsid w:val="40E816EB"/>
    <w:rsid w:val="4114603C"/>
    <w:rsid w:val="41181D29"/>
    <w:rsid w:val="41281B19"/>
    <w:rsid w:val="41303C39"/>
    <w:rsid w:val="41436921"/>
    <w:rsid w:val="414D66CA"/>
    <w:rsid w:val="414F3518"/>
    <w:rsid w:val="414F74CB"/>
    <w:rsid w:val="41526B64"/>
    <w:rsid w:val="415937AA"/>
    <w:rsid w:val="415B6654"/>
    <w:rsid w:val="4160301B"/>
    <w:rsid w:val="417C2EE6"/>
    <w:rsid w:val="418441E5"/>
    <w:rsid w:val="41B026B0"/>
    <w:rsid w:val="41B4781F"/>
    <w:rsid w:val="41C92B51"/>
    <w:rsid w:val="41D1217F"/>
    <w:rsid w:val="41D301C3"/>
    <w:rsid w:val="41D425D0"/>
    <w:rsid w:val="41D623AF"/>
    <w:rsid w:val="41E359F1"/>
    <w:rsid w:val="41E618AB"/>
    <w:rsid w:val="41F875EB"/>
    <w:rsid w:val="41F9484A"/>
    <w:rsid w:val="422B5D33"/>
    <w:rsid w:val="422F49B3"/>
    <w:rsid w:val="423A53A8"/>
    <w:rsid w:val="424C43EF"/>
    <w:rsid w:val="42596511"/>
    <w:rsid w:val="426D6FB1"/>
    <w:rsid w:val="427645CA"/>
    <w:rsid w:val="4276665E"/>
    <w:rsid w:val="427A1E5D"/>
    <w:rsid w:val="42802614"/>
    <w:rsid w:val="42996BE9"/>
    <w:rsid w:val="42B01704"/>
    <w:rsid w:val="42B715D2"/>
    <w:rsid w:val="42CC4106"/>
    <w:rsid w:val="42D23D2A"/>
    <w:rsid w:val="42E45DC4"/>
    <w:rsid w:val="42F26851"/>
    <w:rsid w:val="42FD4492"/>
    <w:rsid w:val="42FE5908"/>
    <w:rsid w:val="4321248F"/>
    <w:rsid w:val="43296C01"/>
    <w:rsid w:val="432A5FEB"/>
    <w:rsid w:val="433858A5"/>
    <w:rsid w:val="4340643A"/>
    <w:rsid w:val="43430E5B"/>
    <w:rsid w:val="434F3389"/>
    <w:rsid w:val="43536240"/>
    <w:rsid w:val="43546230"/>
    <w:rsid w:val="43560B8E"/>
    <w:rsid w:val="435E161E"/>
    <w:rsid w:val="435E4320"/>
    <w:rsid w:val="436A3043"/>
    <w:rsid w:val="437E746D"/>
    <w:rsid w:val="43803870"/>
    <w:rsid w:val="4391606A"/>
    <w:rsid w:val="43920E07"/>
    <w:rsid w:val="43951B04"/>
    <w:rsid w:val="439954D3"/>
    <w:rsid w:val="439D4A0F"/>
    <w:rsid w:val="43A464AB"/>
    <w:rsid w:val="43B934F7"/>
    <w:rsid w:val="43BB0E16"/>
    <w:rsid w:val="43CE3AB2"/>
    <w:rsid w:val="43D30430"/>
    <w:rsid w:val="43D305E5"/>
    <w:rsid w:val="43E82799"/>
    <w:rsid w:val="43F22F37"/>
    <w:rsid w:val="44006D4C"/>
    <w:rsid w:val="440C6A86"/>
    <w:rsid w:val="440D3267"/>
    <w:rsid w:val="44185E43"/>
    <w:rsid w:val="443F5AC6"/>
    <w:rsid w:val="44532839"/>
    <w:rsid w:val="44655B95"/>
    <w:rsid w:val="447F2366"/>
    <w:rsid w:val="4484172B"/>
    <w:rsid w:val="44976919"/>
    <w:rsid w:val="44984355"/>
    <w:rsid w:val="44A41DCD"/>
    <w:rsid w:val="44A8226D"/>
    <w:rsid w:val="44B9769F"/>
    <w:rsid w:val="44CF468B"/>
    <w:rsid w:val="44E2016E"/>
    <w:rsid w:val="44F92FED"/>
    <w:rsid w:val="44FF3496"/>
    <w:rsid w:val="45187FCE"/>
    <w:rsid w:val="45424CC8"/>
    <w:rsid w:val="45432ED5"/>
    <w:rsid w:val="45442C68"/>
    <w:rsid w:val="456934CB"/>
    <w:rsid w:val="4587576E"/>
    <w:rsid w:val="45A95E56"/>
    <w:rsid w:val="45DE0CA6"/>
    <w:rsid w:val="45DF6DFC"/>
    <w:rsid w:val="45FE550D"/>
    <w:rsid w:val="4601483F"/>
    <w:rsid w:val="46032B23"/>
    <w:rsid w:val="4631041E"/>
    <w:rsid w:val="4642364B"/>
    <w:rsid w:val="46576784"/>
    <w:rsid w:val="465832C2"/>
    <w:rsid w:val="466A323F"/>
    <w:rsid w:val="466A3389"/>
    <w:rsid w:val="46760020"/>
    <w:rsid w:val="46857840"/>
    <w:rsid w:val="469D2EE1"/>
    <w:rsid w:val="46A20DF5"/>
    <w:rsid w:val="46A7659A"/>
    <w:rsid w:val="46C422B2"/>
    <w:rsid w:val="46CA0403"/>
    <w:rsid w:val="46DC4EDC"/>
    <w:rsid w:val="46E62229"/>
    <w:rsid w:val="46F722E3"/>
    <w:rsid w:val="47004D4B"/>
    <w:rsid w:val="47077001"/>
    <w:rsid w:val="471A5648"/>
    <w:rsid w:val="4723437D"/>
    <w:rsid w:val="472A4785"/>
    <w:rsid w:val="472C5380"/>
    <w:rsid w:val="47310E99"/>
    <w:rsid w:val="4734684B"/>
    <w:rsid w:val="47482EE3"/>
    <w:rsid w:val="474B4782"/>
    <w:rsid w:val="474C39E8"/>
    <w:rsid w:val="474D4056"/>
    <w:rsid w:val="475353E4"/>
    <w:rsid w:val="476A5FE9"/>
    <w:rsid w:val="476E73D5"/>
    <w:rsid w:val="47966CBC"/>
    <w:rsid w:val="479743CD"/>
    <w:rsid w:val="47A105C3"/>
    <w:rsid w:val="47A5053C"/>
    <w:rsid w:val="47A56D93"/>
    <w:rsid w:val="47C4015E"/>
    <w:rsid w:val="47CE3316"/>
    <w:rsid w:val="47DF48FA"/>
    <w:rsid w:val="482079C8"/>
    <w:rsid w:val="483B09CE"/>
    <w:rsid w:val="48420029"/>
    <w:rsid w:val="48541414"/>
    <w:rsid w:val="48567FBE"/>
    <w:rsid w:val="485D4A73"/>
    <w:rsid w:val="48711FC6"/>
    <w:rsid w:val="487337D1"/>
    <w:rsid w:val="488E0DCA"/>
    <w:rsid w:val="48903FD0"/>
    <w:rsid w:val="49001E86"/>
    <w:rsid w:val="4903354C"/>
    <w:rsid w:val="49170022"/>
    <w:rsid w:val="491C0184"/>
    <w:rsid w:val="491F1DB5"/>
    <w:rsid w:val="491F6ADB"/>
    <w:rsid w:val="49450D2C"/>
    <w:rsid w:val="49576275"/>
    <w:rsid w:val="49724248"/>
    <w:rsid w:val="498168D9"/>
    <w:rsid w:val="498F101A"/>
    <w:rsid w:val="49996928"/>
    <w:rsid w:val="499D417F"/>
    <w:rsid w:val="49A308A5"/>
    <w:rsid w:val="49B42A52"/>
    <w:rsid w:val="49B45CBF"/>
    <w:rsid w:val="49B84C30"/>
    <w:rsid w:val="49CA6B4B"/>
    <w:rsid w:val="49CB2C12"/>
    <w:rsid w:val="49E00E78"/>
    <w:rsid w:val="49EC224C"/>
    <w:rsid w:val="49F64E88"/>
    <w:rsid w:val="49FF2065"/>
    <w:rsid w:val="4A02184E"/>
    <w:rsid w:val="4A157827"/>
    <w:rsid w:val="4A4821B9"/>
    <w:rsid w:val="4A5E2A9C"/>
    <w:rsid w:val="4A5E47CC"/>
    <w:rsid w:val="4A632656"/>
    <w:rsid w:val="4A725C9D"/>
    <w:rsid w:val="4A8000DF"/>
    <w:rsid w:val="4A887463"/>
    <w:rsid w:val="4AAD521B"/>
    <w:rsid w:val="4AB10DA0"/>
    <w:rsid w:val="4AB30EDE"/>
    <w:rsid w:val="4AB800F0"/>
    <w:rsid w:val="4ACE77F7"/>
    <w:rsid w:val="4ACF2867"/>
    <w:rsid w:val="4AD1729D"/>
    <w:rsid w:val="4AE72A13"/>
    <w:rsid w:val="4B1E0524"/>
    <w:rsid w:val="4B341F77"/>
    <w:rsid w:val="4B7156DF"/>
    <w:rsid w:val="4B77489C"/>
    <w:rsid w:val="4B7D207A"/>
    <w:rsid w:val="4B875EB6"/>
    <w:rsid w:val="4B94520F"/>
    <w:rsid w:val="4B9D25BB"/>
    <w:rsid w:val="4B9E12F2"/>
    <w:rsid w:val="4BA33AB6"/>
    <w:rsid w:val="4BC20D72"/>
    <w:rsid w:val="4BCD4B5F"/>
    <w:rsid w:val="4BD333DE"/>
    <w:rsid w:val="4BE10F10"/>
    <w:rsid w:val="4BE967D6"/>
    <w:rsid w:val="4BFB49C8"/>
    <w:rsid w:val="4C4157ED"/>
    <w:rsid w:val="4C421888"/>
    <w:rsid w:val="4C4F212A"/>
    <w:rsid w:val="4C5440D8"/>
    <w:rsid w:val="4C6514B0"/>
    <w:rsid w:val="4C7327B1"/>
    <w:rsid w:val="4C7D1FFD"/>
    <w:rsid w:val="4C7E695A"/>
    <w:rsid w:val="4C907B89"/>
    <w:rsid w:val="4CC21B1C"/>
    <w:rsid w:val="4CD81B01"/>
    <w:rsid w:val="4CDE2D5F"/>
    <w:rsid w:val="4CE84A8B"/>
    <w:rsid w:val="4CF5763E"/>
    <w:rsid w:val="4CFD7601"/>
    <w:rsid w:val="4D010FAA"/>
    <w:rsid w:val="4D0A0C4A"/>
    <w:rsid w:val="4D217F05"/>
    <w:rsid w:val="4D3F7CBF"/>
    <w:rsid w:val="4D510618"/>
    <w:rsid w:val="4D95480F"/>
    <w:rsid w:val="4D9C4D4C"/>
    <w:rsid w:val="4DA66F14"/>
    <w:rsid w:val="4DB43081"/>
    <w:rsid w:val="4DC46301"/>
    <w:rsid w:val="4DCD50C4"/>
    <w:rsid w:val="4DFA480C"/>
    <w:rsid w:val="4DFC0F2A"/>
    <w:rsid w:val="4DFE3CC8"/>
    <w:rsid w:val="4E130E34"/>
    <w:rsid w:val="4E2462A3"/>
    <w:rsid w:val="4E313C6D"/>
    <w:rsid w:val="4E4E418E"/>
    <w:rsid w:val="4E4E7182"/>
    <w:rsid w:val="4E551D06"/>
    <w:rsid w:val="4EA77602"/>
    <w:rsid w:val="4EC32721"/>
    <w:rsid w:val="4EC9737A"/>
    <w:rsid w:val="4ECA4C11"/>
    <w:rsid w:val="4EDA40B7"/>
    <w:rsid w:val="4EFA5C39"/>
    <w:rsid w:val="4EFF12CC"/>
    <w:rsid w:val="4F0A7123"/>
    <w:rsid w:val="4F1526F7"/>
    <w:rsid w:val="4F164969"/>
    <w:rsid w:val="4F2A3762"/>
    <w:rsid w:val="4F2D7361"/>
    <w:rsid w:val="4F2E0DB1"/>
    <w:rsid w:val="4F2E2590"/>
    <w:rsid w:val="4F3B21A6"/>
    <w:rsid w:val="4F3E2633"/>
    <w:rsid w:val="4F534CF1"/>
    <w:rsid w:val="4F5D1544"/>
    <w:rsid w:val="4F7227F4"/>
    <w:rsid w:val="4F930BF0"/>
    <w:rsid w:val="4FA9473B"/>
    <w:rsid w:val="4FBB70EF"/>
    <w:rsid w:val="4FD41C1D"/>
    <w:rsid w:val="4FED2322"/>
    <w:rsid w:val="4FF430A3"/>
    <w:rsid w:val="4FF754A7"/>
    <w:rsid w:val="4FFD53C6"/>
    <w:rsid w:val="50253962"/>
    <w:rsid w:val="503404A9"/>
    <w:rsid w:val="503B1837"/>
    <w:rsid w:val="503D1B16"/>
    <w:rsid w:val="5074268E"/>
    <w:rsid w:val="507765E7"/>
    <w:rsid w:val="508E47DC"/>
    <w:rsid w:val="50A653A6"/>
    <w:rsid w:val="50A74391"/>
    <w:rsid w:val="50AD4642"/>
    <w:rsid w:val="50AE3F83"/>
    <w:rsid w:val="50AF332F"/>
    <w:rsid w:val="50C23D07"/>
    <w:rsid w:val="50CF7A4B"/>
    <w:rsid w:val="50D61560"/>
    <w:rsid w:val="50E7376D"/>
    <w:rsid w:val="50EA4605"/>
    <w:rsid w:val="50EF6475"/>
    <w:rsid w:val="510559A1"/>
    <w:rsid w:val="5137564E"/>
    <w:rsid w:val="515649F7"/>
    <w:rsid w:val="515C0CB9"/>
    <w:rsid w:val="5167665C"/>
    <w:rsid w:val="51767882"/>
    <w:rsid w:val="517F39A6"/>
    <w:rsid w:val="51954F77"/>
    <w:rsid w:val="519D7D9F"/>
    <w:rsid w:val="51A56C12"/>
    <w:rsid w:val="51A74CAA"/>
    <w:rsid w:val="51AE57EB"/>
    <w:rsid w:val="51AF6428"/>
    <w:rsid w:val="51C5065E"/>
    <w:rsid w:val="51CB4FD8"/>
    <w:rsid w:val="51D65E39"/>
    <w:rsid w:val="51F10280"/>
    <w:rsid w:val="520923F4"/>
    <w:rsid w:val="5211020B"/>
    <w:rsid w:val="522335F5"/>
    <w:rsid w:val="5259519B"/>
    <w:rsid w:val="525F10E1"/>
    <w:rsid w:val="526D5486"/>
    <w:rsid w:val="52734C27"/>
    <w:rsid w:val="527F4DDE"/>
    <w:rsid w:val="528354D8"/>
    <w:rsid w:val="529E7DC9"/>
    <w:rsid w:val="52A1157D"/>
    <w:rsid w:val="52BC5299"/>
    <w:rsid w:val="52BE3F2B"/>
    <w:rsid w:val="52DB7D52"/>
    <w:rsid w:val="52DF1808"/>
    <w:rsid w:val="52EB4548"/>
    <w:rsid w:val="52F1442F"/>
    <w:rsid w:val="52F537F4"/>
    <w:rsid w:val="53042AF4"/>
    <w:rsid w:val="53046E5C"/>
    <w:rsid w:val="531F5861"/>
    <w:rsid w:val="5323131A"/>
    <w:rsid w:val="532452B2"/>
    <w:rsid w:val="5325692F"/>
    <w:rsid w:val="532C40B8"/>
    <w:rsid w:val="532F3685"/>
    <w:rsid w:val="53312062"/>
    <w:rsid w:val="533D3764"/>
    <w:rsid w:val="534520F6"/>
    <w:rsid w:val="53570BE3"/>
    <w:rsid w:val="535B4CF0"/>
    <w:rsid w:val="53877FA0"/>
    <w:rsid w:val="539C014A"/>
    <w:rsid w:val="53D53067"/>
    <w:rsid w:val="53DB2671"/>
    <w:rsid w:val="53DF21E1"/>
    <w:rsid w:val="53FB1D4F"/>
    <w:rsid w:val="5400093A"/>
    <w:rsid w:val="540F7BC3"/>
    <w:rsid w:val="54173BA7"/>
    <w:rsid w:val="542756A8"/>
    <w:rsid w:val="542D696A"/>
    <w:rsid w:val="54353513"/>
    <w:rsid w:val="543E150A"/>
    <w:rsid w:val="544C0EC8"/>
    <w:rsid w:val="54585672"/>
    <w:rsid w:val="54792823"/>
    <w:rsid w:val="54860D8B"/>
    <w:rsid w:val="54AE3209"/>
    <w:rsid w:val="54B53687"/>
    <w:rsid w:val="54C067AF"/>
    <w:rsid w:val="54F93614"/>
    <w:rsid w:val="551E54F0"/>
    <w:rsid w:val="55244285"/>
    <w:rsid w:val="552C0249"/>
    <w:rsid w:val="55411377"/>
    <w:rsid w:val="55477DF6"/>
    <w:rsid w:val="554A3840"/>
    <w:rsid w:val="5569348D"/>
    <w:rsid w:val="55992746"/>
    <w:rsid w:val="55BC4F12"/>
    <w:rsid w:val="55C2530E"/>
    <w:rsid w:val="55EB2CB7"/>
    <w:rsid w:val="55FA1920"/>
    <w:rsid w:val="55FB295D"/>
    <w:rsid w:val="55FD4DC8"/>
    <w:rsid w:val="5614541B"/>
    <w:rsid w:val="561E32EC"/>
    <w:rsid w:val="562543F0"/>
    <w:rsid w:val="563A49BB"/>
    <w:rsid w:val="563A7087"/>
    <w:rsid w:val="563C1C71"/>
    <w:rsid w:val="564113F3"/>
    <w:rsid w:val="56462CE4"/>
    <w:rsid w:val="564B654C"/>
    <w:rsid w:val="56552F27"/>
    <w:rsid w:val="565624EC"/>
    <w:rsid w:val="565E43EA"/>
    <w:rsid w:val="566A18BC"/>
    <w:rsid w:val="569549B7"/>
    <w:rsid w:val="569A4DDE"/>
    <w:rsid w:val="569B59A6"/>
    <w:rsid w:val="569E48CE"/>
    <w:rsid w:val="56A22F6E"/>
    <w:rsid w:val="56BA3B21"/>
    <w:rsid w:val="56C20E52"/>
    <w:rsid w:val="56C61153"/>
    <w:rsid w:val="56E878F7"/>
    <w:rsid w:val="56EB365B"/>
    <w:rsid w:val="56EB5639"/>
    <w:rsid w:val="56F00AC2"/>
    <w:rsid w:val="570D0833"/>
    <w:rsid w:val="57132F95"/>
    <w:rsid w:val="57135F32"/>
    <w:rsid w:val="57254706"/>
    <w:rsid w:val="572D56F6"/>
    <w:rsid w:val="57300263"/>
    <w:rsid w:val="573174F0"/>
    <w:rsid w:val="57424D8B"/>
    <w:rsid w:val="574D7792"/>
    <w:rsid w:val="57642833"/>
    <w:rsid w:val="57645DA8"/>
    <w:rsid w:val="57653378"/>
    <w:rsid w:val="576A4386"/>
    <w:rsid w:val="576C677A"/>
    <w:rsid w:val="57817915"/>
    <w:rsid w:val="57824F33"/>
    <w:rsid w:val="57835872"/>
    <w:rsid w:val="578568C0"/>
    <w:rsid w:val="5798051C"/>
    <w:rsid w:val="57D80949"/>
    <w:rsid w:val="57D87D44"/>
    <w:rsid w:val="57E026C2"/>
    <w:rsid w:val="57F65472"/>
    <w:rsid w:val="57FF4FE0"/>
    <w:rsid w:val="5803166F"/>
    <w:rsid w:val="58186BCB"/>
    <w:rsid w:val="581A7F84"/>
    <w:rsid w:val="58430210"/>
    <w:rsid w:val="58443253"/>
    <w:rsid w:val="58596FF9"/>
    <w:rsid w:val="5863214C"/>
    <w:rsid w:val="58717162"/>
    <w:rsid w:val="587E6229"/>
    <w:rsid w:val="587F6039"/>
    <w:rsid w:val="58820CF4"/>
    <w:rsid w:val="5886138F"/>
    <w:rsid w:val="589439A2"/>
    <w:rsid w:val="589A70FA"/>
    <w:rsid w:val="58B51B98"/>
    <w:rsid w:val="58ED1A4E"/>
    <w:rsid w:val="58F70636"/>
    <w:rsid w:val="5915074C"/>
    <w:rsid w:val="59274E7B"/>
    <w:rsid w:val="59352B9C"/>
    <w:rsid w:val="5946464E"/>
    <w:rsid w:val="59493C33"/>
    <w:rsid w:val="59783547"/>
    <w:rsid w:val="598F6750"/>
    <w:rsid w:val="599A24D6"/>
    <w:rsid w:val="59B265B3"/>
    <w:rsid w:val="59BE7035"/>
    <w:rsid w:val="59D90852"/>
    <w:rsid w:val="59DA3B15"/>
    <w:rsid w:val="59DA4430"/>
    <w:rsid w:val="59DE164A"/>
    <w:rsid w:val="59E933CD"/>
    <w:rsid w:val="5A145B03"/>
    <w:rsid w:val="5A1A6894"/>
    <w:rsid w:val="5A1F7AD4"/>
    <w:rsid w:val="5A2B12B6"/>
    <w:rsid w:val="5A3C4D01"/>
    <w:rsid w:val="5A3C7FD0"/>
    <w:rsid w:val="5A400973"/>
    <w:rsid w:val="5A44572C"/>
    <w:rsid w:val="5A4E1434"/>
    <w:rsid w:val="5A5619A2"/>
    <w:rsid w:val="5A785436"/>
    <w:rsid w:val="5A7D0C9E"/>
    <w:rsid w:val="5A971D60"/>
    <w:rsid w:val="5AA549B2"/>
    <w:rsid w:val="5AB47560"/>
    <w:rsid w:val="5AEA7AAE"/>
    <w:rsid w:val="5B0609B8"/>
    <w:rsid w:val="5B2858FF"/>
    <w:rsid w:val="5B2869DF"/>
    <w:rsid w:val="5B2C323B"/>
    <w:rsid w:val="5B2E395A"/>
    <w:rsid w:val="5B394BC5"/>
    <w:rsid w:val="5B5104F9"/>
    <w:rsid w:val="5B6E1183"/>
    <w:rsid w:val="5B750708"/>
    <w:rsid w:val="5B782E31"/>
    <w:rsid w:val="5B977FA5"/>
    <w:rsid w:val="5BA1079C"/>
    <w:rsid w:val="5BA82CEF"/>
    <w:rsid w:val="5BAC4E3A"/>
    <w:rsid w:val="5BAD7361"/>
    <w:rsid w:val="5BB94E75"/>
    <w:rsid w:val="5BBC6C4B"/>
    <w:rsid w:val="5BC03CC5"/>
    <w:rsid w:val="5BC35C41"/>
    <w:rsid w:val="5BF32F12"/>
    <w:rsid w:val="5BFC424E"/>
    <w:rsid w:val="5BFC6A45"/>
    <w:rsid w:val="5BFE6CB5"/>
    <w:rsid w:val="5C0D6ACB"/>
    <w:rsid w:val="5C132561"/>
    <w:rsid w:val="5C183ED9"/>
    <w:rsid w:val="5C190553"/>
    <w:rsid w:val="5C272751"/>
    <w:rsid w:val="5C362AF4"/>
    <w:rsid w:val="5C367357"/>
    <w:rsid w:val="5C3D09D4"/>
    <w:rsid w:val="5C3E4720"/>
    <w:rsid w:val="5C50666A"/>
    <w:rsid w:val="5C526BB4"/>
    <w:rsid w:val="5C68420D"/>
    <w:rsid w:val="5C860366"/>
    <w:rsid w:val="5C874805"/>
    <w:rsid w:val="5C8B5219"/>
    <w:rsid w:val="5C985F89"/>
    <w:rsid w:val="5CA42512"/>
    <w:rsid w:val="5CBA1D36"/>
    <w:rsid w:val="5CD17909"/>
    <w:rsid w:val="5CDB3A5A"/>
    <w:rsid w:val="5CE86655"/>
    <w:rsid w:val="5CF0479A"/>
    <w:rsid w:val="5D0343AB"/>
    <w:rsid w:val="5D0E3E30"/>
    <w:rsid w:val="5D137CDB"/>
    <w:rsid w:val="5D165361"/>
    <w:rsid w:val="5D1E7271"/>
    <w:rsid w:val="5D501370"/>
    <w:rsid w:val="5D54455B"/>
    <w:rsid w:val="5D5C5B59"/>
    <w:rsid w:val="5D664D12"/>
    <w:rsid w:val="5D6C2195"/>
    <w:rsid w:val="5D7719D5"/>
    <w:rsid w:val="5D8A2A3E"/>
    <w:rsid w:val="5D9A31DD"/>
    <w:rsid w:val="5DBE1924"/>
    <w:rsid w:val="5DC50F95"/>
    <w:rsid w:val="5DD07349"/>
    <w:rsid w:val="5DD514C0"/>
    <w:rsid w:val="5DF83F4A"/>
    <w:rsid w:val="5E074110"/>
    <w:rsid w:val="5E075C5B"/>
    <w:rsid w:val="5E30314D"/>
    <w:rsid w:val="5E377542"/>
    <w:rsid w:val="5E3909A9"/>
    <w:rsid w:val="5E4C2575"/>
    <w:rsid w:val="5E4E6BDA"/>
    <w:rsid w:val="5E7056F4"/>
    <w:rsid w:val="5E7B4EF1"/>
    <w:rsid w:val="5E8C454C"/>
    <w:rsid w:val="5E9B1166"/>
    <w:rsid w:val="5EAF2742"/>
    <w:rsid w:val="5EC52109"/>
    <w:rsid w:val="5ED370DF"/>
    <w:rsid w:val="5EDC6635"/>
    <w:rsid w:val="5EDF242A"/>
    <w:rsid w:val="5EEC4CC9"/>
    <w:rsid w:val="5F057C39"/>
    <w:rsid w:val="5F0B4ACB"/>
    <w:rsid w:val="5F1D2C2C"/>
    <w:rsid w:val="5F294C7B"/>
    <w:rsid w:val="5F300244"/>
    <w:rsid w:val="5F376244"/>
    <w:rsid w:val="5F387DD8"/>
    <w:rsid w:val="5F3C3301"/>
    <w:rsid w:val="5F610F9A"/>
    <w:rsid w:val="5F8674F3"/>
    <w:rsid w:val="5F9B478A"/>
    <w:rsid w:val="5FB200E2"/>
    <w:rsid w:val="5FC21492"/>
    <w:rsid w:val="5FC829BC"/>
    <w:rsid w:val="5FDF2F66"/>
    <w:rsid w:val="5FE34F6C"/>
    <w:rsid w:val="5FFF0B49"/>
    <w:rsid w:val="600126E8"/>
    <w:rsid w:val="600F713A"/>
    <w:rsid w:val="60133980"/>
    <w:rsid w:val="60163727"/>
    <w:rsid w:val="601C4AB5"/>
    <w:rsid w:val="6022031E"/>
    <w:rsid w:val="60432042"/>
    <w:rsid w:val="60442474"/>
    <w:rsid w:val="605B2C60"/>
    <w:rsid w:val="607262A7"/>
    <w:rsid w:val="6074075C"/>
    <w:rsid w:val="607D5362"/>
    <w:rsid w:val="607E751E"/>
    <w:rsid w:val="607F2085"/>
    <w:rsid w:val="60867604"/>
    <w:rsid w:val="60943F1E"/>
    <w:rsid w:val="60984DEA"/>
    <w:rsid w:val="60995615"/>
    <w:rsid w:val="609B6985"/>
    <w:rsid w:val="609C2468"/>
    <w:rsid w:val="609C3E58"/>
    <w:rsid w:val="60B36BF2"/>
    <w:rsid w:val="60B66CB8"/>
    <w:rsid w:val="60F55141"/>
    <w:rsid w:val="60FE6DBB"/>
    <w:rsid w:val="6137101A"/>
    <w:rsid w:val="613A21EB"/>
    <w:rsid w:val="613E1396"/>
    <w:rsid w:val="61804F0D"/>
    <w:rsid w:val="61B42655"/>
    <w:rsid w:val="61B64AE6"/>
    <w:rsid w:val="61D27B22"/>
    <w:rsid w:val="61D513C0"/>
    <w:rsid w:val="61E34F3D"/>
    <w:rsid w:val="61EA38D4"/>
    <w:rsid w:val="61EB04E9"/>
    <w:rsid w:val="61F061FA"/>
    <w:rsid w:val="62046334"/>
    <w:rsid w:val="620C69DC"/>
    <w:rsid w:val="6213162C"/>
    <w:rsid w:val="6224761B"/>
    <w:rsid w:val="6228517F"/>
    <w:rsid w:val="622B7208"/>
    <w:rsid w:val="622C52DC"/>
    <w:rsid w:val="622F4266"/>
    <w:rsid w:val="62462A72"/>
    <w:rsid w:val="624677D1"/>
    <w:rsid w:val="624C3685"/>
    <w:rsid w:val="62650403"/>
    <w:rsid w:val="62726C0F"/>
    <w:rsid w:val="627C3CEC"/>
    <w:rsid w:val="628473A8"/>
    <w:rsid w:val="62877B78"/>
    <w:rsid w:val="62884045"/>
    <w:rsid w:val="62957F7C"/>
    <w:rsid w:val="62A72D5C"/>
    <w:rsid w:val="63030F14"/>
    <w:rsid w:val="63167739"/>
    <w:rsid w:val="63254ABA"/>
    <w:rsid w:val="632E513F"/>
    <w:rsid w:val="636173F7"/>
    <w:rsid w:val="637F5A87"/>
    <w:rsid w:val="6384309D"/>
    <w:rsid w:val="63B95C1F"/>
    <w:rsid w:val="63CB65D6"/>
    <w:rsid w:val="63DA0F0F"/>
    <w:rsid w:val="63E15DFA"/>
    <w:rsid w:val="6408290B"/>
    <w:rsid w:val="64090C05"/>
    <w:rsid w:val="640E45E6"/>
    <w:rsid w:val="641A52C3"/>
    <w:rsid w:val="642A77A1"/>
    <w:rsid w:val="64541116"/>
    <w:rsid w:val="646E271F"/>
    <w:rsid w:val="647608C3"/>
    <w:rsid w:val="6488223E"/>
    <w:rsid w:val="64A036C7"/>
    <w:rsid w:val="64C00105"/>
    <w:rsid w:val="64D92F75"/>
    <w:rsid w:val="64DC2AF9"/>
    <w:rsid w:val="64EC5F80"/>
    <w:rsid w:val="65044496"/>
    <w:rsid w:val="650A5824"/>
    <w:rsid w:val="650C63A1"/>
    <w:rsid w:val="65337C11"/>
    <w:rsid w:val="65366619"/>
    <w:rsid w:val="653D6D7E"/>
    <w:rsid w:val="653F4940"/>
    <w:rsid w:val="6549634D"/>
    <w:rsid w:val="655D3BA6"/>
    <w:rsid w:val="655F347A"/>
    <w:rsid w:val="658630FD"/>
    <w:rsid w:val="65905D2A"/>
    <w:rsid w:val="65A12770"/>
    <w:rsid w:val="65A437DE"/>
    <w:rsid w:val="65AA5825"/>
    <w:rsid w:val="65C46E98"/>
    <w:rsid w:val="65D74FDB"/>
    <w:rsid w:val="65DE0E3B"/>
    <w:rsid w:val="65E3463F"/>
    <w:rsid w:val="66074D7E"/>
    <w:rsid w:val="660D08FC"/>
    <w:rsid w:val="661462F7"/>
    <w:rsid w:val="661B1629"/>
    <w:rsid w:val="661D3CEB"/>
    <w:rsid w:val="662B5A52"/>
    <w:rsid w:val="66331F4E"/>
    <w:rsid w:val="66384703"/>
    <w:rsid w:val="664743D7"/>
    <w:rsid w:val="666D1DE3"/>
    <w:rsid w:val="668458AE"/>
    <w:rsid w:val="668F0FBE"/>
    <w:rsid w:val="66952ECC"/>
    <w:rsid w:val="669B001E"/>
    <w:rsid w:val="66A001EE"/>
    <w:rsid w:val="66A6148B"/>
    <w:rsid w:val="66B53389"/>
    <w:rsid w:val="66B60F58"/>
    <w:rsid w:val="66BB66F3"/>
    <w:rsid w:val="66E30E48"/>
    <w:rsid w:val="66FD3032"/>
    <w:rsid w:val="67010AE3"/>
    <w:rsid w:val="6722281C"/>
    <w:rsid w:val="672F2586"/>
    <w:rsid w:val="67667090"/>
    <w:rsid w:val="67685576"/>
    <w:rsid w:val="67761366"/>
    <w:rsid w:val="67873ACE"/>
    <w:rsid w:val="67915ACE"/>
    <w:rsid w:val="679E0CF7"/>
    <w:rsid w:val="67A62374"/>
    <w:rsid w:val="67AF7FBD"/>
    <w:rsid w:val="67B6134C"/>
    <w:rsid w:val="67C24194"/>
    <w:rsid w:val="67C373D8"/>
    <w:rsid w:val="67D14D5D"/>
    <w:rsid w:val="67F82D86"/>
    <w:rsid w:val="67FD6785"/>
    <w:rsid w:val="68002120"/>
    <w:rsid w:val="680A0EA3"/>
    <w:rsid w:val="680D1350"/>
    <w:rsid w:val="68283B33"/>
    <w:rsid w:val="68731EA2"/>
    <w:rsid w:val="68792802"/>
    <w:rsid w:val="68884A81"/>
    <w:rsid w:val="68A468B0"/>
    <w:rsid w:val="68AB5DF2"/>
    <w:rsid w:val="68D57C80"/>
    <w:rsid w:val="68E16A8B"/>
    <w:rsid w:val="68E814B4"/>
    <w:rsid w:val="68F760C0"/>
    <w:rsid w:val="68F91EAB"/>
    <w:rsid w:val="69015F65"/>
    <w:rsid w:val="690B0FB3"/>
    <w:rsid w:val="69154D60"/>
    <w:rsid w:val="692C3FBB"/>
    <w:rsid w:val="69390486"/>
    <w:rsid w:val="69391248"/>
    <w:rsid w:val="694A6DBA"/>
    <w:rsid w:val="694B7999"/>
    <w:rsid w:val="69561669"/>
    <w:rsid w:val="696308EF"/>
    <w:rsid w:val="69690D6B"/>
    <w:rsid w:val="697649D8"/>
    <w:rsid w:val="69BF503E"/>
    <w:rsid w:val="69CD7FDE"/>
    <w:rsid w:val="69DD4CC4"/>
    <w:rsid w:val="69EB4974"/>
    <w:rsid w:val="6A026ACA"/>
    <w:rsid w:val="6A035CBE"/>
    <w:rsid w:val="6A2268B6"/>
    <w:rsid w:val="6A3828E1"/>
    <w:rsid w:val="6A3E3186"/>
    <w:rsid w:val="6A517405"/>
    <w:rsid w:val="6A670259"/>
    <w:rsid w:val="6A964D1C"/>
    <w:rsid w:val="6AB46016"/>
    <w:rsid w:val="6AB56656"/>
    <w:rsid w:val="6AC41D5C"/>
    <w:rsid w:val="6AD95DA6"/>
    <w:rsid w:val="6ADF6E0B"/>
    <w:rsid w:val="6AE2354A"/>
    <w:rsid w:val="6AE50085"/>
    <w:rsid w:val="6AF83AA5"/>
    <w:rsid w:val="6B0F5943"/>
    <w:rsid w:val="6B124E35"/>
    <w:rsid w:val="6B142F59"/>
    <w:rsid w:val="6B215C24"/>
    <w:rsid w:val="6B22477C"/>
    <w:rsid w:val="6B275FB9"/>
    <w:rsid w:val="6B277886"/>
    <w:rsid w:val="6B320A31"/>
    <w:rsid w:val="6B432C49"/>
    <w:rsid w:val="6B453112"/>
    <w:rsid w:val="6B491DA4"/>
    <w:rsid w:val="6B4C5855"/>
    <w:rsid w:val="6B5B4BE4"/>
    <w:rsid w:val="6B5D28FD"/>
    <w:rsid w:val="6B5E4D2E"/>
    <w:rsid w:val="6B5E656A"/>
    <w:rsid w:val="6B64270F"/>
    <w:rsid w:val="6B7548D8"/>
    <w:rsid w:val="6B76151E"/>
    <w:rsid w:val="6B782F23"/>
    <w:rsid w:val="6B7A6816"/>
    <w:rsid w:val="6BA50055"/>
    <w:rsid w:val="6BAE35C5"/>
    <w:rsid w:val="6BC45F99"/>
    <w:rsid w:val="6BD513B6"/>
    <w:rsid w:val="6BE116D3"/>
    <w:rsid w:val="6BE8306A"/>
    <w:rsid w:val="6BFA3EFD"/>
    <w:rsid w:val="6C07486C"/>
    <w:rsid w:val="6C2A7865"/>
    <w:rsid w:val="6C3867D3"/>
    <w:rsid w:val="6C4660BB"/>
    <w:rsid w:val="6C526298"/>
    <w:rsid w:val="6C530787"/>
    <w:rsid w:val="6C6367C2"/>
    <w:rsid w:val="6C6A54FD"/>
    <w:rsid w:val="6CC50D33"/>
    <w:rsid w:val="6CC5175A"/>
    <w:rsid w:val="6CC60283"/>
    <w:rsid w:val="6CD00A32"/>
    <w:rsid w:val="6CDA6279"/>
    <w:rsid w:val="6CDC102D"/>
    <w:rsid w:val="6CFA1CDB"/>
    <w:rsid w:val="6CFE15EE"/>
    <w:rsid w:val="6D282CEC"/>
    <w:rsid w:val="6D2A0812"/>
    <w:rsid w:val="6D6F4477"/>
    <w:rsid w:val="6D8C535B"/>
    <w:rsid w:val="6DB166DC"/>
    <w:rsid w:val="6DB70CB4"/>
    <w:rsid w:val="6DD14180"/>
    <w:rsid w:val="6DD32C57"/>
    <w:rsid w:val="6DE621AD"/>
    <w:rsid w:val="6DFB2A19"/>
    <w:rsid w:val="6E0607EE"/>
    <w:rsid w:val="6E094352"/>
    <w:rsid w:val="6E0F462F"/>
    <w:rsid w:val="6E146DCC"/>
    <w:rsid w:val="6E60557F"/>
    <w:rsid w:val="6E677F40"/>
    <w:rsid w:val="6E94732E"/>
    <w:rsid w:val="6E9B3A2D"/>
    <w:rsid w:val="6EAE2370"/>
    <w:rsid w:val="6EC033A9"/>
    <w:rsid w:val="6EC4018B"/>
    <w:rsid w:val="6F190B3E"/>
    <w:rsid w:val="6F1E6154"/>
    <w:rsid w:val="6F305CBB"/>
    <w:rsid w:val="6F676886"/>
    <w:rsid w:val="6F77047B"/>
    <w:rsid w:val="6F815117"/>
    <w:rsid w:val="6F896506"/>
    <w:rsid w:val="6FB74415"/>
    <w:rsid w:val="6FC21CA4"/>
    <w:rsid w:val="6FC26A88"/>
    <w:rsid w:val="6FD6356B"/>
    <w:rsid w:val="6FE319C4"/>
    <w:rsid w:val="6FE84BCD"/>
    <w:rsid w:val="6FF25912"/>
    <w:rsid w:val="6FFE7D75"/>
    <w:rsid w:val="700047DF"/>
    <w:rsid w:val="700E2E3C"/>
    <w:rsid w:val="701704A4"/>
    <w:rsid w:val="702A2DF0"/>
    <w:rsid w:val="706E310B"/>
    <w:rsid w:val="706E412C"/>
    <w:rsid w:val="708F3F4F"/>
    <w:rsid w:val="70CF5BF0"/>
    <w:rsid w:val="70F253B2"/>
    <w:rsid w:val="70F63C1F"/>
    <w:rsid w:val="71141C8C"/>
    <w:rsid w:val="71154DE8"/>
    <w:rsid w:val="71467BE4"/>
    <w:rsid w:val="71573B9F"/>
    <w:rsid w:val="717348E4"/>
    <w:rsid w:val="717F472B"/>
    <w:rsid w:val="71925C44"/>
    <w:rsid w:val="71997F7D"/>
    <w:rsid w:val="719E503F"/>
    <w:rsid w:val="71A67417"/>
    <w:rsid w:val="71AC3D91"/>
    <w:rsid w:val="71B608C6"/>
    <w:rsid w:val="71C11019"/>
    <w:rsid w:val="71D7292B"/>
    <w:rsid w:val="71DB3BE0"/>
    <w:rsid w:val="71F12C19"/>
    <w:rsid w:val="71F75228"/>
    <w:rsid w:val="71F95E63"/>
    <w:rsid w:val="71FF0740"/>
    <w:rsid w:val="71FF0BB1"/>
    <w:rsid w:val="7205522D"/>
    <w:rsid w:val="720C535A"/>
    <w:rsid w:val="723147C5"/>
    <w:rsid w:val="72556A94"/>
    <w:rsid w:val="725D168F"/>
    <w:rsid w:val="72654306"/>
    <w:rsid w:val="727E22EF"/>
    <w:rsid w:val="7280663C"/>
    <w:rsid w:val="728733AE"/>
    <w:rsid w:val="72AC1CC9"/>
    <w:rsid w:val="72B666A4"/>
    <w:rsid w:val="72BA7716"/>
    <w:rsid w:val="72CC76AF"/>
    <w:rsid w:val="72D3059A"/>
    <w:rsid w:val="72DE4DB3"/>
    <w:rsid w:val="73013FCC"/>
    <w:rsid w:val="730833A3"/>
    <w:rsid w:val="731E2DF7"/>
    <w:rsid w:val="733001DA"/>
    <w:rsid w:val="734B3574"/>
    <w:rsid w:val="734D40AB"/>
    <w:rsid w:val="73547991"/>
    <w:rsid w:val="736938A6"/>
    <w:rsid w:val="7372081D"/>
    <w:rsid w:val="73722F53"/>
    <w:rsid w:val="737323D5"/>
    <w:rsid w:val="739169F9"/>
    <w:rsid w:val="73C516FB"/>
    <w:rsid w:val="73CB43D1"/>
    <w:rsid w:val="73E05AF6"/>
    <w:rsid w:val="73E07E4D"/>
    <w:rsid w:val="73F328B4"/>
    <w:rsid w:val="74085625"/>
    <w:rsid w:val="7409082C"/>
    <w:rsid w:val="74190665"/>
    <w:rsid w:val="743E015A"/>
    <w:rsid w:val="74654825"/>
    <w:rsid w:val="747D78CF"/>
    <w:rsid w:val="748D142F"/>
    <w:rsid w:val="748D7E3F"/>
    <w:rsid w:val="749173C8"/>
    <w:rsid w:val="74920AD5"/>
    <w:rsid w:val="749E119A"/>
    <w:rsid w:val="74C058BF"/>
    <w:rsid w:val="74C2175A"/>
    <w:rsid w:val="74C72DEA"/>
    <w:rsid w:val="74D33EF6"/>
    <w:rsid w:val="74F6722B"/>
    <w:rsid w:val="75120509"/>
    <w:rsid w:val="75483259"/>
    <w:rsid w:val="754A4FEC"/>
    <w:rsid w:val="754C0FA0"/>
    <w:rsid w:val="755212B6"/>
    <w:rsid w:val="75637AE8"/>
    <w:rsid w:val="756F010A"/>
    <w:rsid w:val="757B41D4"/>
    <w:rsid w:val="758064F9"/>
    <w:rsid w:val="758A38D6"/>
    <w:rsid w:val="758B60D1"/>
    <w:rsid w:val="758D193E"/>
    <w:rsid w:val="75905D8E"/>
    <w:rsid w:val="75907680"/>
    <w:rsid w:val="759253E8"/>
    <w:rsid w:val="75992D53"/>
    <w:rsid w:val="759E7FEF"/>
    <w:rsid w:val="75B07D22"/>
    <w:rsid w:val="75BA294F"/>
    <w:rsid w:val="75D94171"/>
    <w:rsid w:val="75E65816"/>
    <w:rsid w:val="75EA36C0"/>
    <w:rsid w:val="75EC7C30"/>
    <w:rsid w:val="75F278E8"/>
    <w:rsid w:val="75F908CB"/>
    <w:rsid w:val="761101A8"/>
    <w:rsid w:val="763D24F2"/>
    <w:rsid w:val="763D6A18"/>
    <w:rsid w:val="76402E54"/>
    <w:rsid w:val="76406802"/>
    <w:rsid w:val="76506C8F"/>
    <w:rsid w:val="767A50C2"/>
    <w:rsid w:val="768049CA"/>
    <w:rsid w:val="76987067"/>
    <w:rsid w:val="769D4442"/>
    <w:rsid w:val="76AF515A"/>
    <w:rsid w:val="76B14C41"/>
    <w:rsid w:val="76C64A46"/>
    <w:rsid w:val="76D728BD"/>
    <w:rsid w:val="76EF6628"/>
    <w:rsid w:val="77353C34"/>
    <w:rsid w:val="773D64AD"/>
    <w:rsid w:val="775166F5"/>
    <w:rsid w:val="777032C5"/>
    <w:rsid w:val="77727872"/>
    <w:rsid w:val="77755F0B"/>
    <w:rsid w:val="777703EE"/>
    <w:rsid w:val="777A4144"/>
    <w:rsid w:val="778206F7"/>
    <w:rsid w:val="778C577E"/>
    <w:rsid w:val="77933457"/>
    <w:rsid w:val="779C40BA"/>
    <w:rsid w:val="77AB1495"/>
    <w:rsid w:val="77AB69F3"/>
    <w:rsid w:val="77B642CE"/>
    <w:rsid w:val="77E25D9C"/>
    <w:rsid w:val="77E626F8"/>
    <w:rsid w:val="78203AD8"/>
    <w:rsid w:val="78223DCA"/>
    <w:rsid w:val="782B73D7"/>
    <w:rsid w:val="78301CEF"/>
    <w:rsid w:val="78343C5B"/>
    <w:rsid w:val="784D0D7C"/>
    <w:rsid w:val="787C4DA6"/>
    <w:rsid w:val="787F0783"/>
    <w:rsid w:val="78854B29"/>
    <w:rsid w:val="78987D90"/>
    <w:rsid w:val="78A44E7C"/>
    <w:rsid w:val="78B040B0"/>
    <w:rsid w:val="78B35561"/>
    <w:rsid w:val="78C83AD2"/>
    <w:rsid w:val="78CD1E21"/>
    <w:rsid w:val="78E2329B"/>
    <w:rsid w:val="78E57CE3"/>
    <w:rsid w:val="78F53F06"/>
    <w:rsid w:val="79257E68"/>
    <w:rsid w:val="7928778B"/>
    <w:rsid w:val="79425AFF"/>
    <w:rsid w:val="79507E21"/>
    <w:rsid w:val="7955440F"/>
    <w:rsid w:val="79624B3E"/>
    <w:rsid w:val="798A5C60"/>
    <w:rsid w:val="79A07515"/>
    <w:rsid w:val="79D33FDF"/>
    <w:rsid w:val="79DC4E17"/>
    <w:rsid w:val="79E9735F"/>
    <w:rsid w:val="79EB1329"/>
    <w:rsid w:val="79F67317"/>
    <w:rsid w:val="7A00729F"/>
    <w:rsid w:val="7A294D3A"/>
    <w:rsid w:val="7A2D4918"/>
    <w:rsid w:val="7A2E15EF"/>
    <w:rsid w:val="7A484D16"/>
    <w:rsid w:val="7A4D0E1F"/>
    <w:rsid w:val="7A5341BF"/>
    <w:rsid w:val="7A5D0E8F"/>
    <w:rsid w:val="7A5E1AFB"/>
    <w:rsid w:val="7A762AB6"/>
    <w:rsid w:val="7A766111"/>
    <w:rsid w:val="7A811C8D"/>
    <w:rsid w:val="7A847F34"/>
    <w:rsid w:val="7AA51BB5"/>
    <w:rsid w:val="7AA75D96"/>
    <w:rsid w:val="7AA878DE"/>
    <w:rsid w:val="7AAD7FF5"/>
    <w:rsid w:val="7AB0555A"/>
    <w:rsid w:val="7AC55C75"/>
    <w:rsid w:val="7ACA5466"/>
    <w:rsid w:val="7AD45C10"/>
    <w:rsid w:val="7AF04591"/>
    <w:rsid w:val="7AF95CC7"/>
    <w:rsid w:val="7B006360"/>
    <w:rsid w:val="7B0A6A9B"/>
    <w:rsid w:val="7B0D2818"/>
    <w:rsid w:val="7B374A08"/>
    <w:rsid w:val="7B3D5BB4"/>
    <w:rsid w:val="7B445194"/>
    <w:rsid w:val="7B4A6F18"/>
    <w:rsid w:val="7B533460"/>
    <w:rsid w:val="7B5D6256"/>
    <w:rsid w:val="7B612980"/>
    <w:rsid w:val="7B70072A"/>
    <w:rsid w:val="7B7C4D1A"/>
    <w:rsid w:val="7B8743D1"/>
    <w:rsid w:val="7B8B7C17"/>
    <w:rsid w:val="7B8F08D9"/>
    <w:rsid w:val="7B9649B1"/>
    <w:rsid w:val="7B976343"/>
    <w:rsid w:val="7B994E29"/>
    <w:rsid w:val="7BC77B74"/>
    <w:rsid w:val="7BCC0CE6"/>
    <w:rsid w:val="7C2E19A1"/>
    <w:rsid w:val="7C5450CE"/>
    <w:rsid w:val="7C9275E1"/>
    <w:rsid w:val="7C947A56"/>
    <w:rsid w:val="7CAE3FE6"/>
    <w:rsid w:val="7CB82DCD"/>
    <w:rsid w:val="7CBC76A6"/>
    <w:rsid w:val="7CBF51D3"/>
    <w:rsid w:val="7CE256BB"/>
    <w:rsid w:val="7D153CBD"/>
    <w:rsid w:val="7D1D3EEF"/>
    <w:rsid w:val="7D21437C"/>
    <w:rsid w:val="7D3D2220"/>
    <w:rsid w:val="7D433A4F"/>
    <w:rsid w:val="7D545437"/>
    <w:rsid w:val="7D62737F"/>
    <w:rsid w:val="7D9B36ED"/>
    <w:rsid w:val="7DA9460F"/>
    <w:rsid w:val="7DBB1135"/>
    <w:rsid w:val="7DCC1471"/>
    <w:rsid w:val="7DCF5535"/>
    <w:rsid w:val="7DDD367E"/>
    <w:rsid w:val="7DE65FBE"/>
    <w:rsid w:val="7DFF6F70"/>
    <w:rsid w:val="7E1640FB"/>
    <w:rsid w:val="7E21070F"/>
    <w:rsid w:val="7E2F66BC"/>
    <w:rsid w:val="7E311A64"/>
    <w:rsid w:val="7E321A00"/>
    <w:rsid w:val="7E3B2283"/>
    <w:rsid w:val="7E413C0D"/>
    <w:rsid w:val="7E5679FA"/>
    <w:rsid w:val="7E570A14"/>
    <w:rsid w:val="7E61605D"/>
    <w:rsid w:val="7E6A03BF"/>
    <w:rsid w:val="7E6D6DD8"/>
    <w:rsid w:val="7E826950"/>
    <w:rsid w:val="7E8458A8"/>
    <w:rsid w:val="7E894A50"/>
    <w:rsid w:val="7E8B6C36"/>
    <w:rsid w:val="7E9064E4"/>
    <w:rsid w:val="7E9718B6"/>
    <w:rsid w:val="7E9E2C4F"/>
    <w:rsid w:val="7EA5476A"/>
    <w:rsid w:val="7EB60743"/>
    <w:rsid w:val="7EBB576E"/>
    <w:rsid w:val="7EC539A4"/>
    <w:rsid w:val="7EF82D86"/>
    <w:rsid w:val="7F055885"/>
    <w:rsid w:val="7F0A69EE"/>
    <w:rsid w:val="7F0D7F93"/>
    <w:rsid w:val="7F1467D7"/>
    <w:rsid w:val="7F1718FE"/>
    <w:rsid w:val="7F4C2870"/>
    <w:rsid w:val="7F6D27E0"/>
    <w:rsid w:val="7F7405C7"/>
    <w:rsid w:val="7F7414A3"/>
    <w:rsid w:val="7F757976"/>
    <w:rsid w:val="7F7960AE"/>
    <w:rsid w:val="7F7A4658"/>
    <w:rsid w:val="7F8A725D"/>
    <w:rsid w:val="7F946740"/>
    <w:rsid w:val="7FA47F29"/>
    <w:rsid w:val="7FD213B2"/>
    <w:rsid w:val="7FE414DF"/>
    <w:rsid w:val="7FF718C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nhideWhenUsed="0" w:uiPriority="99" w:name="Table Web 2" w:locked="1"/>
    <w:lsdException w:unhideWhenUsed="0" w:uiPriority="99" w:name="Table Web 3" w:locked="1"/>
    <w:lsdException w:qFormat="1" w:unhideWhenUsed="0" w:uiPriority="99" w:name="Balloon Text"/>
    <w:lsdException w:qFormat="1" w:unhideWhenUsed="0" w:uiPriority="99" w:semiHidden="0" w:name="Table Grid"/>
    <w:lsdException w:unhideWhenUsed="0"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36"/>
    <w:qFormat/>
    <w:uiPriority w:val="99"/>
    <w:pPr>
      <w:keepNext/>
      <w:keepLines/>
      <w:spacing w:line="576" w:lineRule="auto"/>
      <w:jc w:val="center"/>
      <w:outlineLvl w:val="0"/>
    </w:pPr>
    <w:rPr>
      <w:rFonts w:cs="Times New Roman"/>
      <w:b/>
      <w:bCs/>
      <w:kern w:val="44"/>
      <w:sz w:val="44"/>
      <w:szCs w:val="44"/>
    </w:rPr>
  </w:style>
  <w:style w:type="paragraph" w:styleId="4">
    <w:name w:val="heading 2"/>
    <w:basedOn w:val="1"/>
    <w:next w:val="1"/>
    <w:link w:val="37"/>
    <w:qFormat/>
    <w:uiPriority w:val="99"/>
    <w:pPr>
      <w:keepNext/>
      <w:keepLines/>
      <w:spacing w:line="413" w:lineRule="auto"/>
      <w:jc w:val="center"/>
      <w:outlineLvl w:val="1"/>
    </w:pPr>
    <w:rPr>
      <w:rFonts w:ascii="Cambria" w:hAnsi="Cambria" w:cs="Times New Roman"/>
      <w:b/>
      <w:bCs/>
      <w:kern w:val="0"/>
      <w:sz w:val="32"/>
      <w:szCs w:val="32"/>
    </w:rPr>
  </w:style>
  <w:style w:type="paragraph" w:styleId="5">
    <w:name w:val="heading 3"/>
    <w:basedOn w:val="1"/>
    <w:next w:val="1"/>
    <w:link w:val="38"/>
    <w:qFormat/>
    <w:uiPriority w:val="99"/>
    <w:pPr>
      <w:keepNext/>
      <w:keepLines/>
      <w:spacing w:before="260" w:after="260" w:line="413" w:lineRule="auto"/>
      <w:outlineLvl w:val="2"/>
    </w:pPr>
    <w:rPr>
      <w:rFonts w:cs="Times New Roman"/>
      <w:b/>
      <w:bCs/>
      <w:kern w:val="0"/>
      <w:sz w:val="32"/>
      <w:szCs w:val="32"/>
    </w:rPr>
  </w:style>
  <w:style w:type="paragraph" w:styleId="2">
    <w:name w:val="heading 4"/>
    <w:basedOn w:val="1"/>
    <w:next w:val="1"/>
    <w:unhideWhenUsed/>
    <w:qFormat/>
    <w:locked/>
    <w:uiPriority w:val="9"/>
    <w:pPr>
      <w:keepNext/>
      <w:keepLines/>
      <w:jc w:val="left"/>
      <w:outlineLvl w:val="3"/>
    </w:pPr>
    <w:rPr>
      <w:rFonts w:hint="eastAsia" w:ascii="Arial" w:hAnsi="Arial" w:cs="Times New Roman"/>
      <w:b/>
      <w:sz w:val="32"/>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99"/>
    <w:pPr>
      <w:ind w:firstLine="420"/>
    </w:pPr>
  </w:style>
  <w:style w:type="paragraph" w:styleId="7">
    <w:name w:val="Body Text First Indent 2"/>
    <w:basedOn w:val="8"/>
    <w:next w:val="6"/>
    <w:qFormat/>
    <w:locked/>
    <w:uiPriority w:val="0"/>
    <w:pPr>
      <w:ind w:firstLine="420"/>
    </w:pPr>
  </w:style>
  <w:style w:type="paragraph" w:styleId="8">
    <w:name w:val="Body Text Indent"/>
    <w:basedOn w:val="1"/>
    <w:next w:val="1"/>
    <w:link w:val="42"/>
    <w:qFormat/>
    <w:uiPriority w:val="99"/>
    <w:pPr>
      <w:spacing w:after="120"/>
      <w:ind w:left="420" w:leftChars="200"/>
    </w:pPr>
    <w:rPr>
      <w:rFonts w:cs="Times New Roman"/>
      <w:kern w:val="0"/>
      <w:sz w:val="20"/>
    </w:rPr>
  </w:style>
  <w:style w:type="paragraph" w:styleId="9">
    <w:name w:val="Document Map"/>
    <w:basedOn w:val="1"/>
    <w:link w:val="92"/>
    <w:unhideWhenUsed/>
    <w:qFormat/>
    <w:locked/>
    <w:uiPriority w:val="99"/>
    <w:rPr>
      <w:rFonts w:ascii="宋体"/>
      <w:sz w:val="18"/>
      <w:szCs w:val="18"/>
    </w:rPr>
  </w:style>
  <w:style w:type="paragraph" w:styleId="10">
    <w:name w:val="annotation text"/>
    <w:basedOn w:val="1"/>
    <w:link w:val="39"/>
    <w:semiHidden/>
    <w:qFormat/>
    <w:uiPriority w:val="99"/>
    <w:pPr>
      <w:jc w:val="left"/>
    </w:pPr>
    <w:rPr>
      <w:rFonts w:ascii="宋体" w:cs="Times New Roman"/>
      <w:kern w:val="0"/>
      <w:sz w:val="22"/>
      <w:szCs w:val="22"/>
    </w:rPr>
  </w:style>
  <w:style w:type="paragraph" w:styleId="11">
    <w:name w:val="Body Text"/>
    <w:basedOn w:val="1"/>
    <w:next w:val="1"/>
    <w:link w:val="41"/>
    <w:qFormat/>
    <w:uiPriority w:val="99"/>
    <w:rPr>
      <w:rFonts w:cs="Times New Roman"/>
      <w:kern w:val="0"/>
      <w:sz w:val="20"/>
    </w:rPr>
  </w:style>
  <w:style w:type="paragraph" w:styleId="12">
    <w:name w:val="toc 3"/>
    <w:basedOn w:val="1"/>
    <w:next w:val="1"/>
    <w:semiHidden/>
    <w:qFormat/>
    <w:uiPriority w:val="99"/>
    <w:pPr>
      <w:ind w:left="840" w:leftChars="400"/>
    </w:pPr>
  </w:style>
  <w:style w:type="paragraph" w:styleId="13">
    <w:name w:val="Plain Text"/>
    <w:basedOn w:val="1"/>
    <w:link w:val="43"/>
    <w:qFormat/>
    <w:uiPriority w:val="99"/>
    <w:pPr>
      <w:spacing w:line="324" w:lineRule="auto"/>
    </w:pPr>
    <w:rPr>
      <w:rFonts w:ascii="宋体" w:hAnsi="Courier New" w:cs="Times New Roman"/>
      <w:kern w:val="0"/>
      <w:sz w:val="20"/>
    </w:rPr>
  </w:style>
  <w:style w:type="paragraph" w:styleId="14">
    <w:name w:val="Date"/>
    <w:basedOn w:val="1"/>
    <w:next w:val="1"/>
    <w:link w:val="44"/>
    <w:qFormat/>
    <w:uiPriority w:val="99"/>
    <w:pPr>
      <w:ind w:left="100" w:leftChars="2500"/>
    </w:pPr>
  </w:style>
  <w:style w:type="paragraph" w:styleId="15">
    <w:name w:val="Body Text Indent 2"/>
    <w:basedOn w:val="1"/>
    <w:link w:val="45"/>
    <w:qFormat/>
    <w:uiPriority w:val="99"/>
    <w:pPr>
      <w:spacing w:after="120" w:line="480" w:lineRule="auto"/>
      <w:ind w:left="420" w:leftChars="200"/>
    </w:pPr>
    <w:rPr>
      <w:rFonts w:cs="Times New Roman"/>
      <w:kern w:val="0"/>
      <w:sz w:val="20"/>
    </w:rPr>
  </w:style>
  <w:style w:type="paragraph" w:styleId="16">
    <w:name w:val="Balloon Text"/>
    <w:basedOn w:val="1"/>
    <w:link w:val="46"/>
    <w:semiHidden/>
    <w:qFormat/>
    <w:uiPriority w:val="99"/>
    <w:rPr>
      <w:rFonts w:cs="Times New Roman"/>
      <w:sz w:val="18"/>
      <w:szCs w:val="18"/>
    </w:rPr>
  </w:style>
  <w:style w:type="paragraph" w:styleId="17">
    <w:name w:val="footer"/>
    <w:basedOn w:val="1"/>
    <w:link w:val="47"/>
    <w:qFormat/>
    <w:uiPriority w:val="99"/>
    <w:pPr>
      <w:tabs>
        <w:tab w:val="center" w:pos="4153"/>
        <w:tab w:val="right" w:pos="8306"/>
      </w:tabs>
      <w:snapToGrid w:val="0"/>
      <w:jc w:val="left"/>
    </w:pPr>
    <w:rPr>
      <w:rFonts w:cs="Times New Roman"/>
      <w:kern w:val="0"/>
      <w:sz w:val="18"/>
      <w:szCs w:val="18"/>
    </w:rPr>
  </w:style>
  <w:style w:type="paragraph" w:styleId="18">
    <w:name w:val="header"/>
    <w:basedOn w:val="1"/>
    <w:link w:val="48"/>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19">
    <w:name w:val="toc 1"/>
    <w:basedOn w:val="1"/>
    <w:next w:val="1"/>
    <w:semiHidden/>
    <w:qFormat/>
    <w:uiPriority w:val="99"/>
  </w:style>
  <w:style w:type="paragraph" w:styleId="20">
    <w:name w:val="toc 2"/>
    <w:basedOn w:val="1"/>
    <w:next w:val="1"/>
    <w:semiHidden/>
    <w:qFormat/>
    <w:uiPriority w:val="99"/>
    <w:pPr>
      <w:ind w:left="420" w:leftChars="200"/>
    </w:pPr>
  </w:style>
  <w:style w:type="paragraph" w:styleId="21">
    <w:name w:val="Body Text 2"/>
    <w:basedOn w:val="1"/>
    <w:link w:val="49"/>
    <w:qFormat/>
    <w:uiPriority w:val="99"/>
    <w:pPr>
      <w:jc w:val="center"/>
    </w:pPr>
    <w:rPr>
      <w:rFonts w:cs="Times New Roman"/>
      <w:kern w:val="0"/>
      <w:sz w:val="20"/>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10"/>
    <w:next w:val="10"/>
    <w:link w:val="40"/>
    <w:semiHidden/>
    <w:qFormat/>
    <w:uiPriority w:val="99"/>
    <w:rPr>
      <w:rFonts w:ascii="Calibri"/>
      <w:b/>
      <w:bCs/>
      <w:kern w:val="2"/>
    </w:rPr>
  </w:style>
  <w:style w:type="paragraph" w:styleId="24">
    <w:name w:val="Body Text First Indent"/>
    <w:basedOn w:val="11"/>
    <w:qFormat/>
    <w:locked/>
    <w:uiPriority w:val="0"/>
    <w:pPr>
      <w:spacing w:line="300" w:lineRule="auto"/>
      <w:ind w:firstLine="602"/>
      <w:jc w:val="left"/>
    </w:pPr>
  </w:style>
  <w:style w:type="table" w:styleId="26">
    <w:name w:val="Table Grid"/>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99"/>
    <w:rPr>
      <w:rFonts w:cs="Times New Roman"/>
      <w:b/>
      <w:sz w:val="24"/>
    </w:rPr>
  </w:style>
  <w:style w:type="character" w:styleId="29">
    <w:name w:val="page number"/>
    <w:basedOn w:val="27"/>
    <w:qFormat/>
    <w:uiPriority w:val="99"/>
    <w:rPr>
      <w:rFonts w:cs="Times New Roman"/>
    </w:rPr>
  </w:style>
  <w:style w:type="character" w:styleId="30">
    <w:name w:val="FollowedHyperlink"/>
    <w:basedOn w:val="27"/>
    <w:qFormat/>
    <w:uiPriority w:val="99"/>
    <w:rPr>
      <w:rFonts w:ascii="宋体" w:hAnsi="宋体" w:eastAsia="宋体" w:cs="Times New Roman"/>
      <w:color w:val="000000"/>
      <w:sz w:val="18"/>
      <w:u w:val="none"/>
    </w:rPr>
  </w:style>
  <w:style w:type="character" w:styleId="31">
    <w:name w:val="Emphasis"/>
    <w:basedOn w:val="27"/>
    <w:qFormat/>
    <w:uiPriority w:val="99"/>
    <w:rPr>
      <w:rFonts w:cs="Times New Roman"/>
      <w:i/>
    </w:rPr>
  </w:style>
  <w:style w:type="character" w:styleId="32">
    <w:name w:val="Hyperlink"/>
    <w:basedOn w:val="27"/>
    <w:qFormat/>
    <w:uiPriority w:val="99"/>
    <w:rPr>
      <w:rFonts w:cs="Times New Roman"/>
      <w:color w:val="0000FF"/>
      <w:u w:val="single"/>
    </w:rPr>
  </w:style>
  <w:style w:type="character" w:styleId="33">
    <w:name w:val="annotation reference"/>
    <w:basedOn w:val="27"/>
    <w:semiHidden/>
    <w:qFormat/>
    <w:uiPriority w:val="99"/>
    <w:rPr>
      <w:rFonts w:cs="Times New Roman"/>
      <w:sz w:val="21"/>
    </w:rPr>
  </w:style>
  <w:style w:type="character" w:styleId="34">
    <w:name w:val="HTML Cite"/>
    <w:basedOn w:val="27"/>
    <w:qFormat/>
    <w:uiPriority w:val="99"/>
    <w:rPr>
      <w:rFonts w:cs="Times New Roman"/>
      <w:sz w:val="24"/>
    </w:rPr>
  </w:style>
  <w:style w:type="paragraph" w:customStyle="1" w:styleId="35">
    <w:name w:val="无间隔1"/>
    <w:qFormat/>
    <w:uiPriority w:val="99"/>
    <w:pPr>
      <w:widowControl w:val="0"/>
      <w:jc w:val="both"/>
    </w:pPr>
    <w:rPr>
      <w:rFonts w:ascii="Calibri" w:hAnsi="Calibri" w:eastAsia="宋体" w:cs="Calibri"/>
      <w:kern w:val="2"/>
      <w:sz w:val="21"/>
      <w:szCs w:val="21"/>
      <w:lang w:val="en-US" w:eastAsia="zh-CN" w:bidi="ar-SA"/>
    </w:rPr>
  </w:style>
  <w:style w:type="character" w:customStyle="1" w:styleId="36">
    <w:name w:val="标题 1 Char"/>
    <w:basedOn w:val="27"/>
    <w:link w:val="3"/>
    <w:qFormat/>
    <w:locked/>
    <w:uiPriority w:val="99"/>
    <w:rPr>
      <w:rFonts w:ascii="Calibri" w:hAnsi="Calibri" w:cs="Times New Roman"/>
      <w:b/>
      <w:kern w:val="44"/>
      <w:sz w:val="44"/>
    </w:rPr>
  </w:style>
  <w:style w:type="character" w:customStyle="1" w:styleId="37">
    <w:name w:val="标题 2 Char"/>
    <w:basedOn w:val="27"/>
    <w:link w:val="4"/>
    <w:semiHidden/>
    <w:qFormat/>
    <w:locked/>
    <w:uiPriority w:val="99"/>
    <w:rPr>
      <w:rFonts w:ascii="Cambria" w:hAnsi="Cambria" w:eastAsia="宋体" w:cs="Times New Roman"/>
      <w:b/>
      <w:sz w:val="32"/>
    </w:rPr>
  </w:style>
  <w:style w:type="character" w:customStyle="1" w:styleId="38">
    <w:name w:val="标题 3 Char"/>
    <w:basedOn w:val="27"/>
    <w:link w:val="5"/>
    <w:semiHidden/>
    <w:qFormat/>
    <w:locked/>
    <w:uiPriority w:val="99"/>
    <w:rPr>
      <w:rFonts w:ascii="Calibri" w:hAnsi="Calibri" w:cs="Times New Roman"/>
      <w:b/>
      <w:sz w:val="32"/>
    </w:rPr>
  </w:style>
  <w:style w:type="character" w:customStyle="1" w:styleId="39">
    <w:name w:val="批注文字 Char"/>
    <w:basedOn w:val="27"/>
    <w:link w:val="10"/>
    <w:qFormat/>
    <w:locked/>
    <w:uiPriority w:val="99"/>
    <w:rPr>
      <w:rFonts w:ascii="宋体" w:hAnsi="Calibri" w:eastAsia="宋体" w:cs="Times New Roman"/>
      <w:sz w:val="22"/>
    </w:rPr>
  </w:style>
  <w:style w:type="character" w:customStyle="1" w:styleId="40">
    <w:name w:val="批注主题 Char"/>
    <w:basedOn w:val="39"/>
    <w:link w:val="23"/>
    <w:qFormat/>
    <w:locked/>
    <w:uiPriority w:val="99"/>
    <w:rPr>
      <w:rFonts w:ascii="Calibri" w:hAnsi="Calibri" w:eastAsia="宋体" w:cs="Times New Roman"/>
      <w:b/>
      <w:kern w:val="2"/>
      <w:sz w:val="22"/>
    </w:rPr>
  </w:style>
  <w:style w:type="character" w:customStyle="1" w:styleId="41">
    <w:name w:val="正文文本 Char"/>
    <w:basedOn w:val="27"/>
    <w:link w:val="11"/>
    <w:semiHidden/>
    <w:qFormat/>
    <w:locked/>
    <w:uiPriority w:val="99"/>
    <w:rPr>
      <w:rFonts w:ascii="Calibri" w:hAnsi="Calibri" w:cs="Times New Roman"/>
      <w:sz w:val="21"/>
    </w:rPr>
  </w:style>
  <w:style w:type="character" w:customStyle="1" w:styleId="42">
    <w:name w:val="正文文本缩进 Char"/>
    <w:basedOn w:val="27"/>
    <w:link w:val="8"/>
    <w:semiHidden/>
    <w:qFormat/>
    <w:locked/>
    <w:uiPriority w:val="99"/>
    <w:rPr>
      <w:rFonts w:ascii="Calibri" w:hAnsi="Calibri" w:cs="Times New Roman"/>
      <w:sz w:val="21"/>
    </w:rPr>
  </w:style>
  <w:style w:type="character" w:customStyle="1" w:styleId="43">
    <w:name w:val="纯文本 Char"/>
    <w:basedOn w:val="27"/>
    <w:link w:val="13"/>
    <w:semiHidden/>
    <w:qFormat/>
    <w:locked/>
    <w:uiPriority w:val="99"/>
    <w:rPr>
      <w:rFonts w:ascii="宋体" w:hAnsi="Courier New" w:cs="Times New Roman"/>
      <w:sz w:val="21"/>
    </w:rPr>
  </w:style>
  <w:style w:type="character" w:customStyle="1" w:styleId="44">
    <w:name w:val="日期 Char"/>
    <w:basedOn w:val="27"/>
    <w:link w:val="14"/>
    <w:semiHidden/>
    <w:qFormat/>
    <w:locked/>
    <w:uiPriority w:val="99"/>
    <w:rPr>
      <w:rFonts w:ascii="Calibri" w:hAnsi="Calibri" w:cs="Calibri"/>
      <w:kern w:val="2"/>
      <w:sz w:val="21"/>
      <w:szCs w:val="21"/>
    </w:rPr>
  </w:style>
  <w:style w:type="character" w:customStyle="1" w:styleId="45">
    <w:name w:val="正文文本缩进 2 Char"/>
    <w:basedOn w:val="27"/>
    <w:link w:val="15"/>
    <w:semiHidden/>
    <w:qFormat/>
    <w:locked/>
    <w:uiPriority w:val="99"/>
    <w:rPr>
      <w:rFonts w:ascii="Calibri" w:hAnsi="Calibri" w:cs="Times New Roman"/>
      <w:sz w:val="21"/>
    </w:rPr>
  </w:style>
  <w:style w:type="character" w:customStyle="1" w:styleId="46">
    <w:name w:val="批注框文本 Char"/>
    <w:basedOn w:val="27"/>
    <w:link w:val="16"/>
    <w:qFormat/>
    <w:locked/>
    <w:uiPriority w:val="99"/>
    <w:rPr>
      <w:rFonts w:ascii="Calibri" w:hAnsi="Calibri" w:eastAsia="宋体" w:cs="Times New Roman"/>
      <w:kern w:val="2"/>
      <w:sz w:val="18"/>
    </w:rPr>
  </w:style>
  <w:style w:type="character" w:customStyle="1" w:styleId="47">
    <w:name w:val="页脚 Char"/>
    <w:basedOn w:val="27"/>
    <w:link w:val="17"/>
    <w:semiHidden/>
    <w:qFormat/>
    <w:locked/>
    <w:uiPriority w:val="99"/>
    <w:rPr>
      <w:rFonts w:ascii="Calibri" w:hAnsi="Calibri" w:cs="Times New Roman"/>
      <w:sz w:val="18"/>
    </w:rPr>
  </w:style>
  <w:style w:type="character" w:customStyle="1" w:styleId="48">
    <w:name w:val="页眉 Char"/>
    <w:basedOn w:val="27"/>
    <w:link w:val="18"/>
    <w:semiHidden/>
    <w:qFormat/>
    <w:locked/>
    <w:uiPriority w:val="99"/>
    <w:rPr>
      <w:rFonts w:ascii="Calibri" w:hAnsi="Calibri" w:cs="Times New Roman"/>
      <w:sz w:val="18"/>
    </w:rPr>
  </w:style>
  <w:style w:type="character" w:customStyle="1" w:styleId="49">
    <w:name w:val="正文文本 2 Char"/>
    <w:basedOn w:val="27"/>
    <w:link w:val="21"/>
    <w:semiHidden/>
    <w:qFormat/>
    <w:locked/>
    <w:uiPriority w:val="99"/>
    <w:rPr>
      <w:rFonts w:ascii="Calibri" w:hAnsi="Calibri" w:cs="Times New Roman"/>
      <w:sz w:val="21"/>
    </w:rPr>
  </w:style>
  <w:style w:type="paragraph" w:customStyle="1" w:styleId="50">
    <w:name w:val="Char2 Char Char Char"/>
    <w:basedOn w:val="1"/>
    <w:qFormat/>
    <w:uiPriority w:val="99"/>
    <w:rPr>
      <w:rFonts w:ascii="Tahoma" w:hAnsi="Tahoma" w:cs="Tahoma"/>
      <w:sz w:val="24"/>
      <w:szCs w:val="24"/>
    </w:rPr>
  </w:style>
  <w:style w:type="paragraph" w:customStyle="1" w:styleId="51">
    <w:name w:val="列出段落1"/>
    <w:basedOn w:val="1"/>
    <w:qFormat/>
    <w:uiPriority w:val="99"/>
    <w:pPr>
      <w:ind w:firstLine="420" w:firstLineChars="200"/>
    </w:pPr>
  </w:style>
  <w:style w:type="character" w:customStyle="1" w:styleId="52">
    <w:name w:val="10"/>
    <w:qFormat/>
    <w:uiPriority w:val="99"/>
    <w:rPr>
      <w:rFonts w:ascii="Calibri" w:hAnsi="Calibri"/>
    </w:rPr>
  </w:style>
  <w:style w:type="character" w:customStyle="1" w:styleId="53">
    <w:name w:val="15"/>
    <w:qFormat/>
    <w:uiPriority w:val="99"/>
    <w:rPr>
      <w:rFonts w:ascii="Calibri" w:hAnsi="Calibri"/>
      <w:i/>
    </w:rPr>
  </w:style>
  <w:style w:type="paragraph" w:customStyle="1" w:styleId="54">
    <w:name w:val="_Style 2"/>
    <w:basedOn w:val="1"/>
    <w:qFormat/>
    <w:uiPriority w:val="99"/>
    <w:pPr>
      <w:ind w:firstLine="420" w:firstLineChars="200"/>
    </w:pPr>
  </w:style>
  <w:style w:type="character" w:customStyle="1" w:styleId="55">
    <w:name w:val="apple-style-span"/>
    <w:qFormat/>
    <w:uiPriority w:val="99"/>
  </w:style>
  <w:style w:type="character" w:customStyle="1" w:styleId="56">
    <w:name w:val="del"/>
    <w:basedOn w:val="27"/>
    <w:qFormat/>
    <w:uiPriority w:val="99"/>
    <w:rPr>
      <w:rFonts w:cs="Times New Roman"/>
    </w:rPr>
  </w:style>
  <w:style w:type="character" w:customStyle="1" w:styleId="57">
    <w:name w:val="del1"/>
    <w:qFormat/>
    <w:uiPriority w:val="99"/>
    <w:rPr>
      <w:vanish/>
      <w:color w:val="auto"/>
      <w:sz w:val="18"/>
      <w:u w:val="single"/>
    </w:rPr>
  </w:style>
  <w:style w:type="character" w:customStyle="1" w:styleId="58">
    <w:name w:val="del2"/>
    <w:qFormat/>
    <w:uiPriority w:val="99"/>
    <w:rPr>
      <w:vanish/>
    </w:rPr>
  </w:style>
  <w:style w:type="character" w:customStyle="1" w:styleId="59">
    <w:name w:val="del3"/>
    <w:qFormat/>
    <w:uiPriority w:val="99"/>
    <w:rPr>
      <w:vanish/>
    </w:rPr>
  </w:style>
  <w:style w:type="paragraph" w:customStyle="1" w:styleId="60">
    <w:name w:val="列出段落2"/>
    <w:basedOn w:val="1"/>
    <w:qFormat/>
    <w:uiPriority w:val="99"/>
    <w:pPr>
      <w:ind w:left="720"/>
    </w:pPr>
  </w:style>
  <w:style w:type="paragraph" w:customStyle="1" w:styleId="61">
    <w:name w:val="_Style 3"/>
    <w:basedOn w:val="1"/>
    <w:qFormat/>
    <w:uiPriority w:val="99"/>
    <w:pPr>
      <w:ind w:firstLine="420" w:firstLineChars="200"/>
    </w:pPr>
  </w:style>
  <w:style w:type="character" w:customStyle="1" w:styleId="62">
    <w:name w:val="标准文本 Char Char"/>
    <w:link w:val="63"/>
    <w:qFormat/>
    <w:locked/>
    <w:uiPriority w:val="99"/>
    <w:rPr>
      <w:kern w:val="2"/>
      <w:sz w:val="24"/>
    </w:rPr>
  </w:style>
  <w:style w:type="paragraph" w:customStyle="1" w:styleId="63">
    <w:name w:val="标准文本"/>
    <w:basedOn w:val="1"/>
    <w:link w:val="62"/>
    <w:qFormat/>
    <w:uiPriority w:val="99"/>
    <w:pPr>
      <w:spacing w:line="360" w:lineRule="auto"/>
      <w:ind w:firstLine="480" w:firstLineChars="200"/>
    </w:pPr>
    <w:rPr>
      <w:rFonts w:ascii="Times New Roman" w:hAnsi="Times New Roman" w:cs="Times New Roman"/>
      <w:sz w:val="24"/>
      <w:szCs w:val="20"/>
    </w:rPr>
  </w:style>
  <w:style w:type="paragraph" w:customStyle="1" w:styleId="64">
    <w:name w:val="List Paragraph1"/>
    <w:basedOn w:val="1"/>
    <w:qFormat/>
    <w:uiPriority w:val="99"/>
    <w:pPr>
      <w:adjustRightInd w:val="0"/>
      <w:spacing w:line="360" w:lineRule="atLeast"/>
      <w:ind w:firstLine="420" w:firstLineChars="200"/>
      <w:jc w:val="left"/>
      <w:textAlignment w:val="baseline"/>
    </w:pPr>
    <w:rPr>
      <w:rFonts w:ascii="Times New Roman" w:hAnsi="Times New Roman" w:cs="Times New Roman"/>
      <w:kern w:val="0"/>
      <w:sz w:val="24"/>
      <w:szCs w:val="20"/>
    </w:rPr>
  </w:style>
  <w:style w:type="character" w:customStyle="1" w:styleId="65">
    <w:name w:val="font41"/>
    <w:basedOn w:val="27"/>
    <w:qFormat/>
    <w:uiPriority w:val="0"/>
    <w:rPr>
      <w:rFonts w:hint="eastAsia" w:ascii="宋体" w:hAnsi="宋体" w:eastAsia="宋体" w:cs="宋体"/>
      <w:color w:val="000000"/>
      <w:sz w:val="24"/>
      <w:szCs w:val="24"/>
      <w:u w:val="none"/>
    </w:rPr>
  </w:style>
  <w:style w:type="character" w:customStyle="1" w:styleId="66">
    <w:name w:val="font61"/>
    <w:basedOn w:val="27"/>
    <w:qFormat/>
    <w:uiPriority w:val="0"/>
    <w:rPr>
      <w:rFonts w:hint="eastAsia" w:ascii="宋体" w:hAnsi="宋体" w:eastAsia="宋体" w:cs="宋体"/>
      <w:color w:val="000000"/>
      <w:sz w:val="20"/>
      <w:szCs w:val="20"/>
      <w:u w:val="none"/>
    </w:rPr>
  </w:style>
  <w:style w:type="character" w:customStyle="1" w:styleId="67">
    <w:name w:val="font51"/>
    <w:basedOn w:val="27"/>
    <w:qFormat/>
    <w:uiPriority w:val="0"/>
    <w:rPr>
      <w:rFonts w:hint="default" w:ascii="Times New Roman" w:hAnsi="Times New Roman" w:cs="Times New Roman"/>
      <w:color w:val="000000"/>
      <w:sz w:val="20"/>
      <w:szCs w:val="20"/>
      <w:u w:val="none"/>
    </w:rPr>
  </w:style>
  <w:style w:type="character" w:customStyle="1" w:styleId="68">
    <w:name w:val="font01"/>
    <w:basedOn w:val="27"/>
    <w:qFormat/>
    <w:uiPriority w:val="0"/>
    <w:rPr>
      <w:rFonts w:hint="default" w:ascii="Times New Roman" w:hAnsi="Times New Roman" w:cs="Times New Roman"/>
      <w:color w:val="000000"/>
      <w:sz w:val="24"/>
      <w:szCs w:val="24"/>
      <w:u w:val="none"/>
    </w:rPr>
  </w:style>
  <w:style w:type="character" w:customStyle="1" w:styleId="69">
    <w:name w:val="font21"/>
    <w:basedOn w:val="27"/>
    <w:qFormat/>
    <w:uiPriority w:val="0"/>
    <w:rPr>
      <w:rFonts w:hint="eastAsia" w:ascii="宋体" w:hAnsi="宋体" w:eastAsia="宋体" w:cs="宋体"/>
      <w:color w:val="000000"/>
      <w:sz w:val="24"/>
      <w:szCs w:val="24"/>
      <w:u w:val="none"/>
    </w:rPr>
  </w:style>
  <w:style w:type="character" w:customStyle="1" w:styleId="70">
    <w:name w:val="font91"/>
    <w:basedOn w:val="27"/>
    <w:qFormat/>
    <w:uiPriority w:val="0"/>
    <w:rPr>
      <w:rFonts w:hint="default" w:ascii="Times New Roman" w:hAnsi="Times New Roman" w:cs="Times New Roman"/>
      <w:color w:val="000000"/>
      <w:sz w:val="14"/>
      <w:szCs w:val="14"/>
      <w:u w:val="none"/>
    </w:rPr>
  </w:style>
  <w:style w:type="character" w:customStyle="1" w:styleId="71">
    <w:name w:val="font71"/>
    <w:basedOn w:val="27"/>
    <w:qFormat/>
    <w:uiPriority w:val="0"/>
    <w:rPr>
      <w:rFonts w:hint="default" w:ascii="Times New Roman" w:hAnsi="Times New Roman" w:cs="Times New Roman"/>
      <w:color w:val="000000"/>
      <w:sz w:val="21"/>
      <w:szCs w:val="21"/>
      <w:u w:val="none"/>
    </w:rPr>
  </w:style>
  <w:style w:type="character" w:customStyle="1" w:styleId="72">
    <w:name w:val="font81"/>
    <w:basedOn w:val="27"/>
    <w:qFormat/>
    <w:uiPriority w:val="0"/>
    <w:rPr>
      <w:rFonts w:hint="eastAsia" w:ascii="宋体" w:hAnsi="宋体" w:eastAsia="宋体" w:cs="宋体"/>
      <w:color w:val="000000"/>
      <w:sz w:val="21"/>
      <w:szCs w:val="21"/>
      <w:u w:val="none"/>
    </w:rPr>
  </w:style>
  <w:style w:type="character" w:customStyle="1" w:styleId="73">
    <w:name w:val="font11"/>
    <w:basedOn w:val="27"/>
    <w:qFormat/>
    <w:uiPriority w:val="0"/>
    <w:rPr>
      <w:rFonts w:hint="default" w:ascii="Times New Roman" w:hAnsi="Times New Roman" w:cs="Times New Roman"/>
      <w:color w:val="000000"/>
      <w:sz w:val="20"/>
      <w:szCs w:val="20"/>
      <w:u w:val="none"/>
    </w:rPr>
  </w:style>
  <w:style w:type="character" w:customStyle="1" w:styleId="74">
    <w:name w:val="font31"/>
    <w:basedOn w:val="27"/>
    <w:qFormat/>
    <w:uiPriority w:val="0"/>
    <w:rPr>
      <w:rFonts w:hint="default" w:ascii="Times New Roman" w:hAnsi="Times New Roman" w:cs="Times New Roman"/>
      <w:color w:val="000000"/>
      <w:sz w:val="20"/>
      <w:szCs w:val="20"/>
      <w:u w:val="none"/>
    </w:rPr>
  </w:style>
  <w:style w:type="character" w:customStyle="1" w:styleId="75">
    <w:name w:val="font111"/>
    <w:basedOn w:val="27"/>
    <w:qFormat/>
    <w:uiPriority w:val="0"/>
    <w:rPr>
      <w:rFonts w:hint="eastAsia" w:ascii="宋体" w:hAnsi="宋体" w:eastAsia="宋体" w:cs="宋体"/>
      <w:color w:val="000000"/>
      <w:sz w:val="22"/>
      <w:szCs w:val="22"/>
      <w:u w:val="none"/>
      <w:vertAlign w:val="superscript"/>
    </w:rPr>
  </w:style>
  <w:style w:type="character" w:customStyle="1" w:styleId="76">
    <w:name w:val="font121"/>
    <w:basedOn w:val="27"/>
    <w:qFormat/>
    <w:uiPriority w:val="0"/>
    <w:rPr>
      <w:rFonts w:ascii="BatangChe" w:hAnsi="BatangChe" w:eastAsia="BatangChe" w:cs="BatangChe"/>
      <w:color w:val="000000"/>
      <w:sz w:val="22"/>
      <w:szCs w:val="22"/>
      <w:u w:val="none"/>
    </w:rPr>
  </w:style>
  <w:style w:type="character" w:customStyle="1" w:styleId="77">
    <w:name w:val="font101"/>
    <w:basedOn w:val="27"/>
    <w:qFormat/>
    <w:uiPriority w:val="0"/>
    <w:rPr>
      <w:rFonts w:hint="eastAsia" w:ascii="BatangChe" w:hAnsi="BatangChe" w:eastAsia="BatangChe" w:cs="BatangChe"/>
      <w:color w:val="000000"/>
      <w:sz w:val="22"/>
      <w:szCs w:val="22"/>
      <w:u w:val="none"/>
    </w:rPr>
  </w:style>
  <w:style w:type="paragraph" w:customStyle="1" w:styleId="78">
    <w:name w:val="pa-19"/>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列出段落3"/>
    <w:basedOn w:val="1"/>
    <w:qFormat/>
    <w:uiPriority w:val="34"/>
    <w:pPr>
      <w:ind w:firstLine="420" w:firstLineChars="200"/>
    </w:pPr>
    <w:rPr>
      <w:rFonts w:cs="Times New Roman"/>
      <w:szCs w:val="22"/>
    </w:rPr>
  </w:style>
  <w:style w:type="character" w:customStyle="1" w:styleId="80">
    <w:name w:val="font161"/>
    <w:basedOn w:val="27"/>
    <w:qFormat/>
    <w:uiPriority w:val="0"/>
    <w:rPr>
      <w:rFonts w:hint="eastAsia" w:ascii="宋体" w:hAnsi="宋体" w:eastAsia="宋体" w:cs="宋体"/>
      <w:b/>
      <w:color w:val="000000"/>
      <w:sz w:val="24"/>
      <w:szCs w:val="24"/>
      <w:u w:val="none"/>
    </w:rPr>
  </w:style>
  <w:style w:type="character" w:customStyle="1" w:styleId="81">
    <w:name w:val="font191"/>
    <w:basedOn w:val="27"/>
    <w:qFormat/>
    <w:uiPriority w:val="0"/>
    <w:rPr>
      <w:rFonts w:hint="default" w:ascii="Times New Roman" w:hAnsi="Times New Roman" w:cs="Times New Roman"/>
      <w:color w:val="000000"/>
      <w:sz w:val="22"/>
      <w:szCs w:val="22"/>
      <w:u w:val="none"/>
    </w:rPr>
  </w:style>
  <w:style w:type="character" w:customStyle="1" w:styleId="82">
    <w:name w:val="font151"/>
    <w:basedOn w:val="27"/>
    <w:qFormat/>
    <w:uiPriority w:val="0"/>
    <w:rPr>
      <w:rFonts w:hint="eastAsia" w:ascii="宋体" w:hAnsi="宋体" w:eastAsia="宋体" w:cs="宋体"/>
      <w:color w:val="000000"/>
      <w:sz w:val="22"/>
      <w:szCs w:val="22"/>
      <w:u w:val="none"/>
    </w:rPr>
  </w:style>
  <w:style w:type="character" w:customStyle="1" w:styleId="83">
    <w:name w:val="font131"/>
    <w:basedOn w:val="27"/>
    <w:qFormat/>
    <w:uiPriority w:val="0"/>
    <w:rPr>
      <w:rFonts w:hint="default" w:ascii="Times New Roman" w:hAnsi="Times New Roman" w:cs="Times New Roman"/>
      <w:color w:val="000000"/>
      <w:sz w:val="20"/>
      <w:szCs w:val="20"/>
      <w:u w:val="none"/>
    </w:rPr>
  </w:style>
  <w:style w:type="character" w:customStyle="1" w:styleId="84">
    <w:name w:val="font201"/>
    <w:basedOn w:val="27"/>
    <w:qFormat/>
    <w:uiPriority w:val="0"/>
    <w:rPr>
      <w:rFonts w:hint="eastAsia" w:ascii="宋体" w:hAnsi="宋体" w:eastAsia="宋体" w:cs="宋体"/>
      <w:color w:val="000000"/>
      <w:sz w:val="20"/>
      <w:szCs w:val="20"/>
      <w:u w:val="none"/>
    </w:rPr>
  </w:style>
  <w:style w:type="character" w:customStyle="1" w:styleId="85">
    <w:name w:val="font171"/>
    <w:basedOn w:val="27"/>
    <w:qFormat/>
    <w:uiPriority w:val="0"/>
    <w:rPr>
      <w:rFonts w:hint="default" w:ascii="Times New Roman" w:hAnsi="Times New Roman" w:cs="Times New Roman"/>
      <w:color w:val="000000"/>
      <w:sz w:val="20"/>
      <w:szCs w:val="20"/>
      <w:u w:val="none"/>
    </w:rPr>
  </w:style>
  <w:style w:type="character" w:customStyle="1" w:styleId="86">
    <w:name w:val="font212"/>
    <w:basedOn w:val="27"/>
    <w:qFormat/>
    <w:uiPriority w:val="0"/>
    <w:rPr>
      <w:rFonts w:hint="eastAsia" w:ascii="宋体" w:hAnsi="宋体" w:eastAsia="宋体" w:cs="宋体"/>
      <w:color w:val="000000"/>
      <w:sz w:val="24"/>
      <w:szCs w:val="24"/>
      <w:u w:val="none"/>
    </w:rPr>
  </w:style>
  <w:style w:type="character" w:customStyle="1" w:styleId="87">
    <w:name w:val="font221"/>
    <w:basedOn w:val="27"/>
    <w:qFormat/>
    <w:uiPriority w:val="0"/>
    <w:rPr>
      <w:rFonts w:hint="eastAsia" w:ascii="宋体" w:hAnsi="宋体" w:eastAsia="宋体" w:cs="宋体"/>
      <w:color w:val="000000"/>
      <w:sz w:val="21"/>
      <w:szCs w:val="21"/>
      <w:u w:val="none"/>
    </w:rPr>
  </w:style>
  <w:style w:type="character" w:customStyle="1" w:styleId="88">
    <w:name w:val="font181"/>
    <w:basedOn w:val="27"/>
    <w:qFormat/>
    <w:uiPriority w:val="0"/>
    <w:rPr>
      <w:rFonts w:hint="default" w:ascii="Times New Roman" w:hAnsi="Times New Roman" w:cs="Times New Roman"/>
      <w:color w:val="000000"/>
      <w:sz w:val="21"/>
      <w:szCs w:val="21"/>
      <w:u w:val="none"/>
    </w:rPr>
  </w:style>
  <w:style w:type="character" w:customStyle="1" w:styleId="89">
    <w:name w:val="font231"/>
    <w:basedOn w:val="27"/>
    <w:qFormat/>
    <w:uiPriority w:val="0"/>
    <w:rPr>
      <w:rFonts w:hint="eastAsia" w:ascii="宋体" w:hAnsi="宋体" w:eastAsia="宋体" w:cs="宋体"/>
      <w:b/>
      <w:color w:val="000000"/>
      <w:sz w:val="20"/>
      <w:szCs w:val="20"/>
      <w:u w:val="none"/>
    </w:rPr>
  </w:style>
  <w:style w:type="paragraph" w:customStyle="1" w:styleId="90">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91">
    <w:name w:val="a"/>
    <w:basedOn w:val="1"/>
    <w:qFormat/>
    <w:uiPriority w:val="0"/>
    <w:pPr>
      <w:spacing w:before="100" w:beforeAutospacing="1" w:after="100" w:afterAutospacing="1"/>
      <w:jc w:val="left"/>
    </w:pPr>
    <w:rPr>
      <w:rFonts w:ascii="宋体" w:hAnsi="宋体" w:cs="宋体"/>
      <w:kern w:val="0"/>
      <w:sz w:val="24"/>
      <w:szCs w:val="24"/>
    </w:rPr>
  </w:style>
  <w:style w:type="character" w:customStyle="1" w:styleId="92">
    <w:name w:val="文档结构图 Char"/>
    <w:basedOn w:val="27"/>
    <w:link w:val="9"/>
    <w:semiHidden/>
    <w:qFormat/>
    <w:uiPriority w:val="99"/>
    <w:rPr>
      <w:rFonts w:ascii="宋体" w:hAnsi="Calibri" w:cs="Calibri"/>
      <w:kern w:val="2"/>
      <w:sz w:val="18"/>
      <w:szCs w:val="18"/>
    </w:rPr>
  </w:style>
  <w:style w:type="paragraph" w:customStyle="1" w:styleId="93">
    <w:name w:val="No Spacing"/>
    <w:qFormat/>
    <w:uiPriority w:val="0"/>
    <w:pPr>
      <w:widowControl w:val="0"/>
      <w:jc w:val="both"/>
    </w:pPr>
    <w:rPr>
      <w:rFonts w:ascii="Calibri" w:hAnsi="Calibri" w:eastAsia="宋体" w:cs="Times New Roman"/>
      <w:lang w:val="en-US" w:eastAsia="zh-CN" w:bidi="ar-SA"/>
    </w:rPr>
  </w:style>
  <w:style w:type="paragraph" w:customStyle="1" w:styleId="94">
    <w:name w:val="Table Paragraph"/>
    <w:basedOn w:val="1"/>
    <w:qFormat/>
    <w:uiPriority w:val="1"/>
  </w:style>
  <w:style w:type="character" w:customStyle="1" w:styleId="95">
    <w:name w:val="cfdate"/>
    <w:basedOn w:val="27"/>
    <w:qFormat/>
    <w:uiPriority w:val="0"/>
    <w:rPr>
      <w:color w:val="333333"/>
      <w:sz w:val="18"/>
      <w:szCs w:val="18"/>
    </w:rPr>
  </w:style>
  <w:style w:type="character" w:customStyle="1" w:styleId="96">
    <w:name w:val="redfilenumber"/>
    <w:basedOn w:val="27"/>
    <w:qFormat/>
    <w:uiPriority w:val="0"/>
    <w:rPr>
      <w:color w:val="BA2636"/>
      <w:sz w:val="18"/>
      <w:szCs w:val="18"/>
    </w:rPr>
  </w:style>
  <w:style w:type="character" w:customStyle="1" w:styleId="97">
    <w:name w:val="gjfg"/>
    <w:basedOn w:val="27"/>
    <w:qFormat/>
    <w:uiPriority w:val="0"/>
  </w:style>
  <w:style w:type="character" w:customStyle="1" w:styleId="98">
    <w:name w:val="displayarti"/>
    <w:basedOn w:val="27"/>
    <w:qFormat/>
    <w:uiPriority w:val="0"/>
    <w:rPr>
      <w:color w:val="FFFFFF"/>
      <w:shd w:val="clear" w:color="auto" w:fill="A00000"/>
    </w:rPr>
  </w:style>
  <w:style w:type="character" w:customStyle="1" w:styleId="99">
    <w:name w:val="redfilefwwh"/>
    <w:basedOn w:val="27"/>
    <w:qFormat/>
    <w:uiPriority w:val="0"/>
    <w:rPr>
      <w:color w:val="BA2636"/>
      <w:sz w:val="18"/>
      <w:szCs w:val="18"/>
    </w:rPr>
  </w:style>
  <w:style w:type="character" w:customStyle="1" w:styleId="100">
    <w:name w:val="qxdate"/>
    <w:basedOn w:val="27"/>
    <w:qFormat/>
    <w:uiPriority w:val="0"/>
    <w:rPr>
      <w:color w:val="333333"/>
      <w:sz w:val="18"/>
      <w:szCs w:val="18"/>
    </w:rPr>
  </w:style>
  <w:style w:type="paragraph" w:customStyle="1" w:styleId="101">
    <w:name w:val="无间隔2"/>
    <w:basedOn w:val="1"/>
    <w:qFormat/>
    <w:uiPriority w:val="0"/>
    <w:pPr>
      <w:widowControl/>
      <w:jc w:val="left"/>
    </w:pPr>
    <w:rPr>
      <w:kern w:val="0"/>
      <w:sz w:val="20"/>
      <w:szCs w:val="20"/>
      <w:lang w:eastAsia="en-US" w:bidi="en-US"/>
    </w:rPr>
  </w:style>
  <w:style w:type="paragraph" w:customStyle="1" w:styleId="102">
    <w:name w:val="列出段落11"/>
    <w:basedOn w:val="1"/>
    <w:qFormat/>
    <w:uiPriority w:val="0"/>
    <w:pPr>
      <w:widowControl/>
      <w:spacing w:line="120" w:lineRule="atLeast"/>
      <w:ind w:firstLine="420" w:firstLineChars="200"/>
      <w:jc w:val="left"/>
    </w:pPr>
    <w:rPr>
      <w:rFonts w:ascii="黑体" w:hAnsi="黑体" w:cs="Monaco"/>
      <w:szCs w:val="22"/>
    </w:rPr>
  </w:style>
  <w:style w:type="paragraph" w:customStyle="1" w:styleId="10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emf"/><Relationship Id="rId22" Type="http://schemas.openxmlformats.org/officeDocument/2006/relationships/oleObject" Target="embeddings/oleObject1.bin"/><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3EA496-9B27-481D-938B-C6C9C86CBD18}">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71</Pages>
  <Words>28008</Words>
  <Characters>30157</Characters>
  <Lines>221</Lines>
  <Paragraphs>62</Paragraphs>
  <TotalTime>8</TotalTime>
  <ScaleCrop>false</ScaleCrop>
  <LinksUpToDate>false</LinksUpToDate>
  <CharactersWithSpaces>32564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2022-05-26T01:01:00Z</dcterms:created>
  <dc:creator>Administrator</dc:creator>
  <cp:lastModifiedBy>鱼鱼鱼</cp:lastModifiedBy>
  <cp:lastPrinted>2022-07-13T02:44:00Z</cp:lastPrinted>
  <dcterms:modified xsi:type="dcterms:W3CDTF">2022-10-12T07:54:17Z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4C8ED23072A7490480FBA0AD1AAE3EC4</vt:lpwstr>
  </property>
</Properties>
</file>