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480" w:lineRule="auto"/>
        <w:jc w:val="center"/>
        <w:rPr>
          <w:rFonts w:hint="eastAsia" w:ascii="宋体" w:hAnsi="宋体"/>
          <w:kern w:val="0"/>
          <w:highlight w:val="none"/>
        </w:rPr>
      </w:pPr>
      <w:r>
        <w:rPr>
          <w:rFonts w:hint="eastAsia" w:ascii="宋体" w:hAnsi="宋体"/>
          <w:kern w:val="0"/>
          <w:highlight w:val="none"/>
        </w:rPr>
        <w:t>采购内容及技术要求</w:t>
      </w:r>
    </w:p>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bookmarkStart w:id="0" w:name="_Toc516581434"/>
      <w:r>
        <w:rPr>
          <w:rFonts w:hint="eastAsia" w:ascii="宋体" w:hAnsi="宋体" w:eastAsia="宋体" w:cs="宋体"/>
          <w:b/>
          <w:bCs/>
          <w:sz w:val="24"/>
          <w:szCs w:val="24"/>
        </w:rPr>
        <w:t>一、建设背景</w:t>
      </w:r>
      <w:bookmarkEnd w:id="0"/>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近年来随着陕西省经济的飞速发展，无线电相关技术已广泛应用于社会各经济领域，随之而来的无线电电磁环境也日益复杂，空中频率资源越来越紧缺，无线电传播环境恶化、干扰增多，为了加强对陕西省的电磁环境实时监控力度，进一步扩大无线电监测覆盖范围、提高无线电干扰查处的能力、保证合法无线电业务正常开展，促进经济发展和社会稳定，使无线电频谱资源得到合理、科学的利用，陕西省无线电管理部门将进行原有两个TCI745固定监测站项目升级改造工作。</w:t>
      </w:r>
    </w:p>
    <w:p>
      <w:pPr>
        <w:keepNext w:val="0"/>
        <w:keepLines w:val="0"/>
        <w:pageBreakBefore w:val="0"/>
        <w:numPr>
          <w:ilvl w:val="0"/>
          <w:numId w:val="1"/>
        </w:numPr>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建设目标</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加强陕西省电磁环境实时监控力度，进一步优化提升陕西省无线电监测网覆盖率，逐步缩减监测盲区，提高无线电干扰查处的能力，保证合法无线电业务正常开展，有效促进无线电频率安全、稳定的使用，助力陕西省整体经济社会发展。统筹推进既有监测设施升级改造工作，扩展监测频段、优化技术指标。</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bookmarkStart w:id="1" w:name="_Toc516581435"/>
      <w:r>
        <w:rPr>
          <w:rFonts w:hint="eastAsia" w:ascii="宋体" w:hAnsi="宋体" w:eastAsia="宋体" w:cs="宋体"/>
          <w:sz w:val="24"/>
          <w:szCs w:val="24"/>
        </w:rPr>
        <w:t>拟按照二类固定站标准，对西安东站、西安南站进行监测测向系统升级。提升监测测向频率范围至8GHz，并大幅提高监测测向灵敏度与扫描速度。项目建成后可实现重要区域电磁频谱数据自动采集和非法无线电信号捕获，对违法违规情况自动报警。</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其中西安东站、南站拟在原有设备基础上，通过购置监测测向系统扩频固件进行升级，扩展监测测向频率。</w:t>
      </w:r>
    </w:p>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三、建设标准</w:t>
      </w:r>
      <w:bookmarkEnd w:id="1"/>
      <w:r>
        <w:rPr>
          <w:rFonts w:hint="eastAsia" w:ascii="宋体" w:hAnsi="宋体" w:eastAsia="宋体" w:cs="宋体"/>
          <w:b/>
          <w:bCs/>
          <w:sz w:val="24"/>
          <w:szCs w:val="24"/>
        </w:rPr>
        <w:t>依据</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（1）《中华人民共和国无线电管理条例》；</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（2）国际电信联盟-《频谱监测手册》；</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（3）《2019年提升全国无线电监测能力专项行动工作方案》；</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（4）国家无线电办公室-《省级无线电监测设施建设规范和技术要求（试行）》；</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（5）国家无线电办公室-《2019年提升全国无线电监测能力专项行动工作方案》；</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（6）工业和信息化部-《国家无线电管理规划（2016-2020年）》；</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（7）工业和信息化部-《省级无线电管理“十四五”技术设施建设指导意见》；</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（8）国家无线电办公室-《无线电监测站监测技术规范》；</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（9）国家无线电办公室-《无线电监测网技术体制》；</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（10）国家无线电办公室-《VHF/UHF无线电监测设施建设规范和技术要求（试行）》；</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（11）国家无线电办公室-《无线电频率监测统计报告暂行规定》；</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（12）国家无线电办公室-《超短波频段占用度测试技术规范（试行）》；</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（13）国家无线电监测中心-《无线电实施监测协议》；</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（14）国家无线电监测中心-《超短波监测管理服务接口规范》；</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（15）陕西省省委-《陕西省国民经济和社会发展第十四个五年规划纲要》；</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（16）其它有关的现行国家、行业标准和规定。</w:t>
      </w:r>
    </w:p>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bookmarkStart w:id="2" w:name="_Toc2566"/>
      <w:r>
        <w:rPr>
          <w:rFonts w:hint="eastAsia" w:ascii="宋体" w:hAnsi="宋体" w:eastAsia="宋体" w:cs="宋体"/>
          <w:b/>
          <w:bCs/>
          <w:sz w:val="24"/>
          <w:szCs w:val="24"/>
        </w:rPr>
        <w:t>四、建设内容</w:t>
      </w:r>
      <w:bookmarkEnd w:id="2"/>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bookmarkStart w:id="3" w:name="_Toc72933457"/>
      <w:r>
        <w:rPr>
          <w:rFonts w:hint="eastAsia" w:ascii="宋体" w:hAnsi="宋体" w:eastAsia="宋体" w:cs="宋体"/>
          <w:sz w:val="24"/>
          <w:szCs w:val="24"/>
        </w:rPr>
        <w:t>本项目为固定监测站升级改造项目，共对2套固定监测站监测设施进行升级改造，具体建设内容为：拟按照二类固定站标准，对西安东站、西安南站进行监测测向系统升级。提升监测测向频率范围至8GHz，并大幅提高监测测向灵敏度与扫描速度。项目建成后可实现重要区域电磁频谱数据自动采集和非法无线电信号捕获，对违法违规情况自动报警。</w:t>
      </w:r>
      <w:bookmarkEnd w:id="3"/>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西安东站、南站拟在原有设备基础上，通过购置监测测向系统扩频固件进行升级，扩展监测测向频率范围，并重新购置监测测向一体化天线，减少信号失真，提高信号识别灵敏度。</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具体建设内容要求如下：</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bookmarkStart w:id="4" w:name="_Toc8313"/>
      <w:r>
        <w:rPr>
          <w:rFonts w:hint="eastAsia" w:ascii="宋体" w:hAnsi="宋体" w:eastAsia="宋体" w:cs="宋体"/>
          <w:sz w:val="24"/>
          <w:szCs w:val="24"/>
        </w:rPr>
        <w:t>1）监测频率20-8000MHz；</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2）测向频率30-8000MHz ；</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3）系统能够实现多用户多任务功能；</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4）满足ITU相关规定测量功能；</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5）具有配合监测、测向应用的电子地图功能；能显示任意点经纬度、二维地图信息、混和影像信息,显示台站位置及台站数据，测距、分析等功能；</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bookmarkStart w:id="5" w:name="_Toc307494620"/>
      <w:r>
        <w:rPr>
          <w:rFonts w:hint="eastAsia" w:ascii="宋体" w:hAnsi="宋体" w:eastAsia="宋体" w:cs="宋体"/>
          <w:sz w:val="24"/>
          <w:szCs w:val="24"/>
        </w:rPr>
        <w:t>6）能够实现原子化服务封装，与现有无线电监测网系统无缝兼容，实现全功能控制。</w:t>
      </w:r>
    </w:p>
    <w:bookmarkEnd w:id="4"/>
    <w:bookmarkEnd w:id="5"/>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五、系统主要设备配置</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以下配置为系统主要配置，系统的完整配置须能满足系统功能要求和技术指标要求。</w:t>
      </w:r>
    </w:p>
    <w:tbl>
      <w:tblPr>
        <w:tblStyle w:val="5"/>
        <w:tblW w:w="5264" w:type="pct"/>
        <w:jc w:val="center"/>
        <w:tblLayout w:type="autofit"/>
        <w:tblCellMar>
          <w:top w:w="0" w:type="dxa"/>
          <w:left w:w="108" w:type="dxa"/>
          <w:bottom w:w="0" w:type="dxa"/>
          <w:right w:w="108" w:type="dxa"/>
        </w:tblCellMar>
      </w:tblPr>
      <w:tblGrid>
        <w:gridCol w:w="736"/>
        <w:gridCol w:w="2370"/>
        <w:gridCol w:w="2948"/>
        <w:gridCol w:w="860"/>
        <w:gridCol w:w="801"/>
        <w:gridCol w:w="1257"/>
      </w:tblGrid>
      <w:tr>
        <w:tblPrEx>
          <w:tblCellMar>
            <w:top w:w="0" w:type="dxa"/>
            <w:left w:w="108" w:type="dxa"/>
            <w:bottom w:w="0" w:type="dxa"/>
            <w:right w:w="108" w:type="dxa"/>
          </w:tblCellMar>
        </w:tblPrEx>
        <w:trPr>
          <w:trHeight w:val="567" w:hRule="atLeast"/>
          <w:jc w:val="center"/>
        </w:trPr>
        <w:tc>
          <w:tcPr>
            <w:tcW w:w="4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br w:type="page"/>
            </w:r>
            <w:bookmarkStart w:id="6" w:name="_Toc20727"/>
            <w:r>
              <w:rPr>
                <w:rFonts w:hint="eastAsia" w:ascii="宋体" w:hAnsi="宋体" w:eastAsia="宋体" w:cs="宋体"/>
                <w:sz w:val="24"/>
                <w:szCs w:val="24"/>
              </w:rPr>
              <w:t>序号</w:t>
            </w:r>
          </w:p>
        </w:tc>
        <w:tc>
          <w:tcPr>
            <w:tcW w:w="132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产品名称</w:t>
            </w:r>
          </w:p>
        </w:tc>
        <w:tc>
          <w:tcPr>
            <w:tcW w:w="164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技术要求</w:t>
            </w:r>
          </w:p>
        </w:tc>
        <w:tc>
          <w:tcPr>
            <w:tcW w:w="47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单位</w:t>
            </w:r>
          </w:p>
        </w:tc>
        <w:tc>
          <w:tcPr>
            <w:tcW w:w="4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70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1</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监测测向扩频固件</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监测频率：20MHz-8GHz</w:t>
            </w:r>
            <w:r>
              <w:rPr>
                <w:rFonts w:hint="eastAsia" w:ascii="宋体" w:hAnsi="宋体" w:eastAsia="宋体" w:cs="宋体"/>
                <w:b/>
                <w:bCs/>
                <w:sz w:val="24"/>
                <w:szCs w:val="24"/>
              </w:rPr>
              <w:br w:type="textWrapping"/>
            </w:r>
            <w:r>
              <w:rPr>
                <w:rFonts w:hint="eastAsia" w:ascii="宋体" w:hAnsi="宋体" w:eastAsia="宋体" w:cs="宋体"/>
                <w:b/>
                <w:bCs/>
                <w:sz w:val="24"/>
                <w:szCs w:val="24"/>
              </w:rPr>
              <w:t>测向频率：20MHz-8GHz</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2</w:t>
            </w:r>
          </w:p>
        </w:tc>
        <w:tc>
          <w:tcPr>
            <w:tcW w:w="700" w:type="pct"/>
            <w:vMerge w:val="restart"/>
            <w:tcBorders>
              <w:top w:val="nil"/>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highlight w:val="none"/>
              </w:rPr>
              <w:t>核心设备，允许进口</w:t>
            </w:r>
            <w:r>
              <w:rPr>
                <w:rFonts w:hint="eastAsia" w:ascii="宋体" w:hAnsi="宋体" w:eastAsia="宋体" w:cs="宋体"/>
                <w:b/>
                <w:bCs/>
                <w:sz w:val="24"/>
                <w:szCs w:val="24"/>
                <w:highlight w:val="none"/>
                <w:lang w:eastAsia="zh-CN"/>
              </w:rPr>
              <w:t>，</w:t>
            </w:r>
            <w:r>
              <w:rPr>
                <w:rFonts w:hint="eastAsia" w:ascii="宋体" w:hAnsi="宋体" w:eastAsia="宋体" w:cs="Times New Roman"/>
                <w:b/>
                <w:bCs/>
                <w:sz w:val="24"/>
                <w:highlight w:val="none"/>
                <w:lang w:val="en-US" w:eastAsia="zh-CN"/>
              </w:rPr>
              <w:t>最高限价金额为392万元</w:t>
            </w: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2</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监测测向一体化天线</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监测测向频率：20MHz-8GHz</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天线为监测测向一体化设计</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2</w:t>
            </w:r>
          </w:p>
        </w:tc>
        <w:tc>
          <w:tcPr>
            <w:tcW w:w="700" w:type="pct"/>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控制终端</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性能不低于CPU：I7-2400</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内存：32G</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硬盘：1T</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机柜</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19英寸标准机柜</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UPS</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UPS功率：≥3000VA</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电池组</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12V100AH</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交换机</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24口千兆交换机</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环境监控系统</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传感器：含温度、湿度传感器</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摄像头：带夜视，30-130万像素</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系统集成附属配件（包括网线、电源线、其他附属配件等）</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订制系统集成附属配件（包括网线、电源线、其他附属配件等）</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监测测向软件</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包含监测测向系统软件</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atLeast"/>
          <w:jc w:val="center"/>
        </w:trPr>
        <w:tc>
          <w:tcPr>
            <w:tcW w:w="410" w:type="pc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132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设备驱动模块</w:t>
            </w:r>
          </w:p>
        </w:tc>
        <w:tc>
          <w:tcPr>
            <w:tcW w:w="1642"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设备驱动</w:t>
            </w:r>
          </w:p>
        </w:tc>
        <w:tc>
          <w:tcPr>
            <w:tcW w:w="479"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套</w:t>
            </w:r>
          </w:p>
        </w:tc>
        <w:tc>
          <w:tcPr>
            <w:tcW w:w="446"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700" w:type="pct"/>
            <w:tcBorders>
              <w:top w:val="nil"/>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p>
        </w:tc>
      </w:tr>
    </w:tbl>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p>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六、系统功能要求</w:t>
      </w:r>
      <w:bookmarkEnd w:id="6"/>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bookmarkStart w:id="7" w:name="_Toc3060"/>
      <w:r>
        <w:rPr>
          <w:rFonts w:hint="eastAsia" w:ascii="宋体" w:hAnsi="宋体" w:eastAsia="宋体" w:cs="宋体"/>
          <w:sz w:val="24"/>
          <w:szCs w:val="24"/>
        </w:rPr>
        <w:t>系统符合国家一体化平台体系架构，系统采用多层架构体系，模块化编程，数据以总线方式在各业务系统流转，能够与现有陕西省无线电监测网系统无缝整合，符合《超短波监测管理服务接口规范》的设备原子化服务封装。</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1.监测测向功能</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bookmarkStart w:id="8" w:name="_Toc119138330"/>
      <w:bookmarkStart w:id="9" w:name="_Toc117058584"/>
      <w:bookmarkStart w:id="10" w:name="_Toc135476393"/>
      <w:bookmarkStart w:id="11" w:name="_Toc119136817"/>
      <w:bookmarkStart w:id="12" w:name="_Toc96675419"/>
      <w:r>
        <w:rPr>
          <w:rFonts w:hint="eastAsia" w:ascii="宋体" w:hAnsi="宋体" w:eastAsia="宋体" w:cs="宋体"/>
          <w:b/>
          <w:bCs/>
          <w:sz w:val="24"/>
          <w:szCs w:val="24"/>
        </w:rPr>
        <w:t>1.1固定频率测量</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能够实现对单个频率点信号进行测量，可根据设备能力情况，对信号强度以及ITU电联规定的信号相关指标进行测量。可以自定义门限，对超过门限的信号进行解调并自动录音。</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1.2中频分析</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能够测量某个频率，显示其频谱图，并可以计算分析占用带宽等相关频谱特征。</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1.3频段扫描</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实现单频段和多频段扫描监测，扫描的频率信号可以同样本库或台站库进行对比,信息不一致的自动报警。</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1.4离散扫描</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能够实时对多个步长连续或离散的频率点信号进行监测，查看各频率点信号的强弱、占用度等信息</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1.5快速监测</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能够在宽带监测数字扫描功能频谱中选择一个信号频点，跳转窄带信号的中频分析功能，实现对单个数字信号的中频驻留监测。能够同样本数据进行比对，对异常信号或非法信号进行告警。</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1.6多任务监测</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能同时开启6个以上监测任务。</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1.7单频测向</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系统能够对单个固定频率信号进行测向，实时显示信号示向度、测向质量、信号电平等各项测向参数值， 并能够对测向方位角进行概率统计。能够在地图上绘制示向线并且能够与其他测向站进行测向交汇，数据可以保存回放。</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1.8中频测向</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系统能够对单个固定频率点进行测向， 实时显示信号各项参数值， 并对测向方位角进行概率统计，并显示该信号的中频频谱图。</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1.9频段测向</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系统能够对一个频段内的频率点同时进行监测和测向，能够对测向的方位角进行概率统计，给出测向概率出现次数最多的方位角。</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1.10协同监测</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支持在同一界面中同时操作多个监测设备进行频段扫描活动。</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1.11协同测向</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支持在同一界面中同时操作多个测向设备进行单频测向活动。</w:t>
      </w:r>
    </w:p>
    <w:bookmarkEnd w:id="8"/>
    <w:bookmarkEnd w:id="9"/>
    <w:bookmarkEnd w:id="10"/>
    <w:bookmarkEnd w:id="11"/>
    <w:bookmarkEnd w:id="12"/>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2.电子地图功能</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2.1图源支持</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电子地图支持百度和谷歌双图源使用，能够提供免费地理信息图源，可实时更新。支持瓦片数据地图引擎，能直观显示二维地图信息和混和影像信息，可快速一键切换。</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2.2地图常规功能</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能够进行地图的漫游、放大、缩小操作，并且能够显示监测站的经纬度。</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3.监测分析功能</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3.1占用度统计分析功能</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具有信道占用度、频段占用度，信号强度等分析功能，能够对信号强度、信道和频段情况进行查询、统计和分析。</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3.2监测月报</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可实现根据用户选择的月份（默认当前月份）、月报地区、监测执行站、监测任务 数据、以及业务频段及对应的信道占用度门限， 来统计占用度， 并按模板格式生成所选月份的监测月报。</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4.原子化服务封装</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sz w:val="24"/>
          <w:szCs w:val="24"/>
        </w:rPr>
      </w:pPr>
      <w:r>
        <w:rPr>
          <w:rFonts w:hint="eastAsia" w:ascii="宋体" w:hAnsi="宋体" w:eastAsia="宋体" w:cs="宋体"/>
          <w:sz w:val="24"/>
          <w:szCs w:val="24"/>
        </w:rPr>
        <w:t>监测测向软件能与现有陕西省无线电监测网网系统无缝整合，符合《超短波监测管理服务接口规范》的设备原子化服务封装，可无缝对接省级、国家级一体化平台接入要求。</w:t>
      </w:r>
    </w:p>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七、系统主要技术指标要求</w:t>
      </w:r>
    </w:p>
    <w:bookmarkEnd w:id="7"/>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bookmarkStart w:id="13" w:name="_Toc13924"/>
      <w:r>
        <w:rPr>
          <w:rFonts w:hint="eastAsia" w:ascii="宋体" w:hAnsi="宋体" w:eastAsia="宋体" w:cs="宋体"/>
          <w:b/>
          <w:bCs/>
          <w:sz w:val="24"/>
          <w:szCs w:val="24"/>
        </w:rPr>
        <w:t>1、升级改造后的监测测向系统</w:t>
      </w:r>
      <w:bookmarkEnd w:id="13"/>
    </w:p>
    <w:p>
      <w:pPr>
        <w:pStyle w:val="7"/>
        <w:keepNext w:val="0"/>
        <w:keepLines w:val="0"/>
        <w:pageBreakBefore w:val="0"/>
        <w:widowControl/>
        <w:kinsoku/>
        <w:wordWrap/>
        <w:overflowPunct/>
        <w:topLinePunct w:val="0"/>
        <w:autoSpaceDE/>
        <w:autoSpaceDN/>
        <w:bidi w:val="0"/>
        <w:adjustRightInd/>
        <w:snapToGrid/>
        <w:spacing w:line="500" w:lineRule="exact"/>
        <w:ind w:firstLine="480"/>
        <w:rPr>
          <w:rStyle w:val="8"/>
          <w:rFonts w:hint="eastAsia" w:ascii="宋体" w:hAnsi="宋体" w:eastAsia="宋体" w:cs="宋体"/>
          <w:sz w:val="24"/>
          <w:szCs w:val="24"/>
        </w:rPr>
      </w:pPr>
      <w:bookmarkStart w:id="14" w:name="_Toc1706"/>
      <w:bookmarkStart w:id="15" w:name="_Toc18327"/>
      <w:bookmarkStart w:id="16" w:name="_Toc15349"/>
      <w:bookmarkStart w:id="17" w:name="_Toc515352659"/>
      <w:bookmarkStart w:id="18" w:name="_Toc330215883"/>
      <w:bookmarkStart w:id="19" w:name="_Toc374092049"/>
      <w:r>
        <w:rPr>
          <w:rStyle w:val="8"/>
          <w:rFonts w:hint="eastAsia" w:ascii="宋体" w:hAnsi="宋体" w:eastAsia="宋体" w:cs="宋体"/>
          <w:sz w:val="24"/>
          <w:szCs w:val="24"/>
        </w:rPr>
        <w:t>采用监测扩频固件和测向扩频固件升级后，技术指标如下：</w:t>
      </w:r>
    </w:p>
    <w:tbl>
      <w:tblPr>
        <w:tblStyle w:val="5"/>
        <w:tblW w:w="92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9"/>
        <w:gridCol w:w="57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kern w:val="0"/>
                <w:sz w:val="24"/>
                <w:szCs w:val="24"/>
              </w:rPr>
            </w:pPr>
            <w:r>
              <w:rPr>
                <w:rStyle w:val="8"/>
                <w:rFonts w:hint="eastAsia" w:ascii="宋体" w:hAnsi="宋体" w:eastAsia="宋体" w:cs="宋体"/>
                <w:bCs/>
                <w:kern w:val="0"/>
                <w:sz w:val="24"/>
                <w:szCs w:val="24"/>
              </w:rPr>
              <w:t>名称</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Cs/>
                <w:kern w:val="0"/>
                <w:sz w:val="24"/>
                <w:szCs w:val="24"/>
              </w:rPr>
              <w:t>技术指标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kern w:val="0"/>
                <w:sz w:val="24"/>
                <w:szCs w:val="24"/>
                <w:lang w:eastAsia="en-US"/>
              </w:rPr>
            </w:pPr>
            <w:r>
              <w:rPr>
                <w:rStyle w:val="8"/>
                <w:rFonts w:hint="eastAsia" w:ascii="宋体" w:hAnsi="宋体" w:eastAsia="宋体" w:cs="宋体"/>
                <w:bCs/>
                <w:kern w:val="0"/>
                <w:sz w:val="24"/>
                <w:szCs w:val="24"/>
                <w:lang w:eastAsia="en-US"/>
              </w:rPr>
              <w:t>监测频率范围</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20～8000 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lang w:eastAsia="en-US"/>
              </w:rPr>
            </w:pPr>
            <w:r>
              <w:rPr>
                <w:rStyle w:val="8"/>
                <w:rFonts w:hint="eastAsia" w:ascii="宋体" w:hAnsi="宋体" w:eastAsia="宋体" w:cs="宋体"/>
                <w:bCs/>
                <w:sz w:val="24"/>
                <w:szCs w:val="24"/>
                <w:lang w:eastAsia="en-US"/>
              </w:rPr>
              <w:t>测向频率范围</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垂直极化：</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30～8000 MHz；</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水平极化：</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rPr>
              <w:t>40</w:t>
            </w:r>
            <w:r>
              <w:rPr>
                <w:rStyle w:val="8"/>
                <w:rFonts w:hint="eastAsia" w:ascii="宋体" w:hAnsi="宋体" w:eastAsia="宋体" w:cs="宋体"/>
                <w:b/>
                <w:kern w:val="0"/>
                <w:sz w:val="24"/>
                <w:szCs w:val="24"/>
                <w:lang w:eastAsia="en-US"/>
              </w:rPr>
              <w:t>～1300MHz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相位噪声</w:t>
            </w:r>
          </w:p>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（fc=1GHz）</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≤-115dBc/Hz@10kHz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lang w:eastAsia="en-US"/>
              </w:rPr>
            </w:pPr>
            <w:r>
              <w:rPr>
                <w:rStyle w:val="8"/>
                <w:rFonts w:hint="eastAsia" w:ascii="宋体" w:hAnsi="宋体" w:eastAsia="宋体" w:cs="宋体"/>
                <w:bCs/>
                <w:sz w:val="24"/>
                <w:szCs w:val="24"/>
                <w:lang w:eastAsia="en-US"/>
              </w:rPr>
              <w:t>实时中频带宽</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rPr>
              <w:t>≥4</w:t>
            </w:r>
            <w:r>
              <w:rPr>
                <w:rStyle w:val="8"/>
                <w:rFonts w:hint="eastAsia" w:ascii="宋体" w:hAnsi="宋体" w:eastAsia="宋体" w:cs="宋体"/>
                <w:b/>
                <w:kern w:val="0"/>
                <w:sz w:val="24"/>
                <w:szCs w:val="24"/>
                <w:lang w:eastAsia="en-US"/>
              </w:rPr>
              <w:t>0MHz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1"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lang w:eastAsia="en-US"/>
              </w:rPr>
            </w:pPr>
            <w:r>
              <w:rPr>
                <w:rStyle w:val="8"/>
                <w:rFonts w:hint="eastAsia" w:ascii="宋体" w:hAnsi="宋体" w:eastAsia="宋体" w:cs="宋体"/>
                <w:bCs/>
                <w:sz w:val="24"/>
                <w:szCs w:val="24"/>
                <w:lang w:eastAsia="en-US"/>
              </w:rPr>
              <w:t>监测灵敏度</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≤10dBμV/m</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（20～3000MHz）；</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≤15dBμV/m</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（3000～8000MHz）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lang w:eastAsia="en-US"/>
              </w:rPr>
            </w:pPr>
            <w:r>
              <w:rPr>
                <w:rStyle w:val="8"/>
                <w:rFonts w:hint="eastAsia" w:ascii="宋体" w:hAnsi="宋体" w:eastAsia="宋体" w:cs="宋体"/>
                <w:bCs/>
                <w:sz w:val="24"/>
                <w:szCs w:val="24"/>
                <w:lang w:eastAsia="en-US"/>
              </w:rPr>
              <w:t>测向准确度</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Fonts w:hint="eastAsia" w:ascii="宋体" w:hAnsi="宋体" w:eastAsia="宋体" w:cs="宋体"/>
                <w:b/>
                <w:sz w:val="24"/>
                <w:szCs w:val="24"/>
              </w:rPr>
            </w:pPr>
            <w:r>
              <w:rPr>
                <w:rStyle w:val="8"/>
                <w:rFonts w:hint="eastAsia" w:ascii="宋体" w:hAnsi="宋体" w:eastAsia="宋体" w:cs="宋体"/>
                <w:b/>
                <w:kern w:val="0"/>
                <w:sz w:val="24"/>
                <w:szCs w:val="24"/>
              </w:rPr>
              <w:t>≤1.5（30～3000 MHz ,R.M.S，无反射环境）;</w:t>
            </w:r>
          </w:p>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rPr>
            </w:pPr>
            <w:r>
              <w:rPr>
                <w:rStyle w:val="8"/>
                <w:rFonts w:hint="eastAsia" w:ascii="宋体" w:hAnsi="宋体" w:eastAsia="宋体" w:cs="宋体"/>
                <w:b/>
                <w:kern w:val="0"/>
                <w:sz w:val="24"/>
                <w:szCs w:val="24"/>
              </w:rPr>
              <w:t>≤2°（3000～8000 MHz ,R.M.S，无反射环境）;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扫描速度</w:t>
            </w:r>
          </w:p>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（25 kHz步进）</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≥50GHz/s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二阶截断点（低失真模式；中频带宽20MHz）</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w:t>
            </w:r>
            <w:r>
              <w:rPr>
                <w:rStyle w:val="8"/>
                <w:rFonts w:hint="eastAsia" w:ascii="宋体" w:hAnsi="宋体" w:eastAsia="宋体" w:cs="宋体"/>
                <w:b/>
                <w:sz w:val="24"/>
                <w:szCs w:val="24"/>
                <w:lang w:eastAsia="en-US"/>
              </w:rPr>
              <w:t>50dBm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三阶截断点</w:t>
            </w:r>
          </w:p>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rPr>
            </w:pPr>
            <w:r>
              <w:rPr>
                <w:rStyle w:val="8"/>
                <w:rFonts w:hint="eastAsia" w:ascii="宋体" w:hAnsi="宋体" w:eastAsia="宋体" w:cs="宋体"/>
                <w:bCs/>
                <w:sz w:val="24"/>
                <w:szCs w:val="24"/>
              </w:rPr>
              <w:t>（低失真模式；中频带宽20MHz）</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sz w:val="24"/>
                <w:szCs w:val="24"/>
                <w:lang w:eastAsia="en-US"/>
              </w:rPr>
            </w:pPr>
            <w:r>
              <w:rPr>
                <w:rStyle w:val="8"/>
                <w:rFonts w:hint="eastAsia" w:ascii="宋体" w:hAnsi="宋体" w:eastAsia="宋体" w:cs="宋体"/>
                <w:b/>
                <w:kern w:val="0"/>
                <w:sz w:val="24"/>
                <w:szCs w:val="24"/>
                <w:lang w:eastAsia="en-US"/>
              </w:rPr>
              <w:t>≥</w:t>
            </w:r>
            <w:r>
              <w:rPr>
                <w:rStyle w:val="8"/>
                <w:rFonts w:hint="eastAsia" w:ascii="宋体" w:hAnsi="宋体" w:eastAsia="宋体" w:cs="宋体"/>
                <w:b/>
                <w:sz w:val="24"/>
                <w:szCs w:val="24"/>
                <w:lang w:eastAsia="en-US"/>
              </w:rPr>
              <w:t>10dBm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jc w:val="center"/>
        </w:trPr>
        <w:tc>
          <w:tcPr>
            <w:tcW w:w="35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jc w:val="center"/>
              <w:textAlignment w:val="baseline"/>
              <w:rPr>
                <w:rStyle w:val="8"/>
                <w:rFonts w:hint="eastAsia" w:ascii="宋体" w:hAnsi="宋体" w:eastAsia="宋体" w:cs="宋体"/>
                <w:bCs/>
                <w:sz w:val="24"/>
                <w:szCs w:val="24"/>
                <w:lang w:eastAsia="en-US"/>
              </w:rPr>
            </w:pPr>
            <w:r>
              <w:rPr>
                <w:rStyle w:val="8"/>
                <w:rFonts w:hint="eastAsia" w:ascii="宋体" w:hAnsi="宋体" w:eastAsia="宋体" w:cs="宋体"/>
                <w:bCs/>
                <w:sz w:val="24"/>
                <w:szCs w:val="24"/>
                <w:lang w:eastAsia="en-US"/>
              </w:rPr>
              <w:t>调制测量能力</w:t>
            </w:r>
          </w:p>
        </w:tc>
        <w:tc>
          <w:tcPr>
            <w:tcW w:w="5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50" w:after="50" w:line="500" w:lineRule="exact"/>
              <w:textAlignment w:val="baseline"/>
              <w:rPr>
                <w:rStyle w:val="8"/>
                <w:rFonts w:hint="eastAsia" w:ascii="宋体" w:hAnsi="宋体" w:eastAsia="宋体" w:cs="宋体"/>
                <w:b/>
                <w:kern w:val="0"/>
                <w:sz w:val="24"/>
                <w:szCs w:val="24"/>
                <w:lang w:eastAsia="en-US"/>
              </w:rPr>
            </w:pPr>
            <w:r>
              <w:rPr>
                <w:rStyle w:val="8"/>
                <w:rFonts w:hint="eastAsia" w:ascii="宋体" w:hAnsi="宋体" w:eastAsia="宋体" w:cs="宋体"/>
                <w:b/>
                <w:kern w:val="0"/>
                <w:sz w:val="24"/>
                <w:szCs w:val="24"/>
                <w:lang w:eastAsia="en-US"/>
              </w:rPr>
              <w:t>AM、FM、CW、ASK、PSK、DPSK、QAM、FSK、MSK等</w:t>
            </w:r>
          </w:p>
        </w:tc>
      </w:tr>
    </w:tbl>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2、监测测向一体化天线</w:t>
      </w:r>
      <w:bookmarkEnd w:id="14"/>
    </w:p>
    <w:p>
      <w:pPr>
        <w:pStyle w:val="4"/>
        <w:keepNext w:val="0"/>
        <w:keepLines w:val="0"/>
        <w:pageBreakBefore w:val="0"/>
        <w:kinsoku/>
        <w:wordWrap/>
        <w:overflowPunct/>
        <w:topLinePunct w:val="0"/>
        <w:autoSpaceDE/>
        <w:autoSpaceDN/>
        <w:bidi w:val="0"/>
        <w:adjustRightInd/>
        <w:snapToGrid/>
        <w:spacing w:line="500" w:lineRule="exact"/>
        <w:ind w:firstLine="482"/>
        <w:rPr>
          <w:rFonts w:hint="eastAsia" w:ascii="宋体" w:hAnsi="宋体" w:eastAsia="宋体" w:cs="宋体"/>
          <w:b/>
          <w:sz w:val="24"/>
          <w:szCs w:val="24"/>
        </w:rPr>
      </w:pPr>
      <w:r>
        <w:rPr>
          <w:rFonts w:hint="eastAsia" w:ascii="宋体" w:hAnsi="宋体" w:eastAsia="宋体" w:cs="宋体"/>
          <w:b/>
          <w:sz w:val="24"/>
          <w:szCs w:val="24"/>
        </w:rPr>
        <w:t>天线为一体化设计，实现监测、测向信号同时接收。</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频率范围：20MHz～8GHz</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天线：监测测向一体化设计</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校准方式：自动校准</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天线输出：≥2个；N型接头</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工作温度：－30ºC～50ºC</w:t>
      </w:r>
    </w:p>
    <w:bookmarkEnd w:id="15"/>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bookmarkStart w:id="20" w:name="_Toc24618"/>
      <w:bookmarkStart w:id="21" w:name="_Toc515352651"/>
      <w:bookmarkStart w:id="22" w:name="_Toc24609"/>
      <w:r>
        <w:rPr>
          <w:rFonts w:hint="eastAsia" w:ascii="宋体" w:hAnsi="宋体" w:eastAsia="宋体" w:cs="宋体"/>
          <w:b/>
          <w:bCs/>
          <w:sz w:val="24"/>
          <w:szCs w:val="24"/>
        </w:rPr>
        <w:t>3、</w:t>
      </w:r>
      <w:bookmarkEnd w:id="20"/>
      <w:bookmarkEnd w:id="21"/>
      <w:bookmarkEnd w:id="22"/>
      <w:r>
        <w:rPr>
          <w:rFonts w:hint="eastAsia" w:ascii="宋体" w:hAnsi="宋体" w:eastAsia="宋体" w:cs="宋体"/>
          <w:b/>
          <w:bCs/>
          <w:sz w:val="24"/>
          <w:szCs w:val="24"/>
        </w:rPr>
        <w:t>控制终端</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性能不低于CPU： I7-2400 </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内存：32G</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硬盘：1T</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显示器：≥17寸液晶</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其他：集成网卡、声卡，独立显卡</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操作系统：Windows 11</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bookmarkStart w:id="23" w:name="_Toc24709"/>
      <w:r>
        <w:rPr>
          <w:rFonts w:hint="eastAsia" w:ascii="宋体" w:hAnsi="宋体" w:eastAsia="宋体" w:cs="宋体"/>
          <w:b/>
          <w:bCs/>
          <w:sz w:val="24"/>
          <w:szCs w:val="24"/>
        </w:rPr>
        <w:t>4、19〃标准机柜</w:t>
      </w:r>
      <w:bookmarkEnd w:id="16"/>
      <w:bookmarkEnd w:id="17"/>
      <w:bookmarkEnd w:id="23"/>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机柜标准：19英寸标准机柜</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bookmarkStart w:id="24" w:name="_Toc515352653"/>
      <w:r>
        <w:rPr>
          <w:rFonts w:hint="eastAsia" w:ascii="宋体" w:hAnsi="宋体" w:eastAsia="宋体" w:cs="宋体"/>
          <w:b/>
          <w:bCs/>
          <w:sz w:val="24"/>
          <w:szCs w:val="24"/>
        </w:rPr>
        <w:t>5、</w:t>
      </w:r>
      <w:bookmarkStart w:id="25" w:name="_Toc11736"/>
      <w:bookmarkStart w:id="26" w:name="_Toc544"/>
      <w:r>
        <w:rPr>
          <w:rFonts w:hint="eastAsia" w:ascii="宋体" w:hAnsi="宋体" w:eastAsia="宋体" w:cs="宋体"/>
          <w:b/>
          <w:bCs/>
          <w:sz w:val="24"/>
          <w:szCs w:val="24"/>
        </w:rPr>
        <w:t>UPS</w:t>
      </w:r>
      <w:bookmarkEnd w:id="24"/>
      <w:r>
        <w:rPr>
          <w:rFonts w:hint="eastAsia" w:ascii="宋体" w:hAnsi="宋体" w:eastAsia="宋体" w:cs="宋体"/>
          <w:b/>
          <w:bCs/>
          <w:sz w:val="24"/>
          <w:szCs w:val="24"/>
        </w:rPr>
        <w:t>电源</w:t>
      </w:r>
      <w:bookmarkEnd w:id="25"/>
      <w:bookmarkEnd w:id="26"/>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UPS规格：输入电压118~300VAC</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输出电压：220(1±2％)VAC</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输出波形：正弦波</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转换时间：零中断</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UPS功率：≥3000VA</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bookmarkStart w:id="27" w:name="_Toc16571"/>
      <w:bookmarkStart w:id="28" w:name="_Toc27906"/>
      <w:r>
        <w:rPr>
          <w:rFonts w:hint="eastAsia" w:ascii="宋体" w:hAnsi="宋体" w:eastAsia="宋体" w:cs="宋体"/>
          <w:b/>
          <w:bCs/>
          <w:sz w:val="24"/>
          <w:szCs w:val="24"/>
        </w:rPr>
        <w:t>6、环境监控系统</w:t>
      </w:r>
      <w:bookmarkEnd w:id="27"/>
      <w:bookmarkEnd w:id="28"/>
      <w:r>
        <w:rPr>
          <w:rFonts w:hint="eastAsia" w:ascii="宋体" w:hAnsi="宋体" w:eastAsia="宋体" w:cs="宋体"/>
          <w:b/>
          <w:bCs/>
          <w:sz w:val="24"/>
          <w:szCs w:val="24"/>
        </w:rPr>
        <w:t>（一体机）</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存储：MSATA,容量32G可扩展</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传感器：含温度、湿度传感器</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摄像头：带夜视，30-130万像素</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支持4G：支持1个SIM卡插槽</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LAN:1*INTEL WGI211AT千兆网卡 RJ45接口</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USB:1个USB接口</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电源输出：1*220V AC输出</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电源输入：12V DC输入；220V AC输入</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工作温度：-20°～70°</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存储温度：-40°～85°</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工作湿度：5%-90%无冷凝</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整机功耗：最大功耗≤8W；典型功耗≤5W</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材质：铝合金外壳</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安装：支架壁挂式</w:t>
      </w:r>
    </w:p>
    <w:p>
      <w:pPr>
        <w:keepNext w:val="0"/>
        <w:keepLines w:val="0"/>
        <w:pageBreakBefore w:val="0"/>
        <w:kinsoku/>
        <w:wordWrap/>
        <w:overflowPunct/>
        <w:topLinePunct w:val="0"/>
        <w:autoSpaceDE/>
        <w:autoSpaceDN/>
        <w:bidi w:val="0"/>
        <w:adjustRightInd/>
        <w:snapToGrid/>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重量：小于3公斤</w:t>
      </w:r>
    </w:p>
    <w:bookmarkEnd w:id="18"/>
    <w:bookmarkEnd w:id="19"/>
    <w:p>
      <w:pPr>
        <w:keepNext w:val="0"/>
        <w:keepLines w:val="0"/>
        <w:pageBreakBefore w:val="0"/>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八、其他要求</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rPr>
        <w:t>1.项目整体要求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投标供应商需承诺本项目系统所提供的监测服务接口必须完全符合国家无线电监测中心发布的《超短波监测管理一体化平台技术规范》相关技术要求，完成原子服务封装。项目建成后，</w:t>
      </w:r>
      <w:r>
        <w:rPr>
          <w:rFonts w:hint="eastAsia" w:ascii="宋体" w:hAnsi="宋体" w:eastAsia="宋体" w:cs="宋体"/>
          <w:b/>
          <w:bCs/>
          <w:sz w:val="24"/>
          <w:szCs w:val="24"/>
        </w:rPr>
        <w:t>必须无缝全功能接入陕西省无线电监测网</w:t>
      </w:r>
      <w:r>
        <w:rPr>
          <w:rFonts w:hint="eastAsia" w:ascii="宋体" w:hAnsi="宋体" w:eastAsia="宋体" w:cs="宋体"/>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最终验收前，中标人必须将本项目需要交付的设备送往第三方检测机构（具备CMA、CNAS资质）进行设备测试验证，第三方检测机构依据GB/T 34089《VHF/UHF无线电监测测向系统开场测试参数和测试方法》对设备技术指标进行测试并出具测试验证报告，测试费用由中标人承担。</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固定监测站应具备7×24小时连续工作能力；可通过网络远程监控固定站监测设备、软件系统、动力环境、网络、存储系统等状态。</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售后服务响应时间：至少6小时内赶往现场进行服务。</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.售后服务要求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中标方应提供完善的技术支持和售后服务。所有仪器及附件从最终验收之日起均享有一年免费保修。对于保修期外的产品用户支付维修所发生的材料/工时费用另行协商。对于用户的维修/维护要求，中标方应在1小时内给予响应。若发生仪器设备故障，在维修期间，中标方必须提供替机服务。消除买方由此产生的利益损害。</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对发现的软件故障和存在的缺陷，中标方应及时修正。</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中标方应承诺定期对整套系统进行现场维护，包括软硬件维护、除尘等，保证维护周期内设备运行的可靠性，周期由双方协商决定。</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中标方应及时对购买后的软件进行正常升级。</w:t>
      </w:r>
    </w:p>
    <w:p>
      <w:pPr>
        <w:keepNext w:val="0"/>
        <w:keepLines w:val="0"/>
        <w:pageBreakBefore w:val="0"/>
        <w:kinsoku/>
        <w:wordWrap/>
        <w:overflowPunct/>
        <w:topLinePunct w:val="0"/>
        <w:autoSpaceDE/>
        <w:autoSpaceDN/>
        <w:bidi w:val="0"/>
        <w:adjustRightInd/>
        <w:snapToGrid/>
        <w:spacing w:line="500" w:lineRule="exact"/>
        <w:ind w:firstLine="480"/>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.培训要求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中标方应向招标人提供4人3天设备国内必要的技术培训，培训地点为甲方指定。</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培训内容包括系统工作原理及其基础理论，系统结构、操作使用、运行维护、安装软件及硬件调试、技术指标等内容。</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Chars="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培训应当提供相应的系统集成及软件安装实作环境，中标方应当制定详细的培训方案，明确培训的目标，并经招标方认可。</w:t>
      </w:r>
    </w:p>
    <w:p>
      <w:bookmarkStart w:id="29" w:name="_GoBack"/>
      <w:bookmarkEnd w:id="2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8BC92"/>
    <w:multiLevelType w:val="singleLevel"/>
    <w:tmpl w:val="9DC8BC9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3ODNlYjZjZWMzNDM3YjRkMjE4MzBmODAzNWZiY2UifQ=="/>
  </w:docVars>
  <w:rsids>
    <w:rsidRoot w:val="7C7456EE"/>
    <w:rsid w:val="7C745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rFonts w:eastAsia="宋体"/>
      <w:b/>
      <w:bCs/>
      <w:kern w:val="44"/>
      <w:sz w:val="44"/>
      <w:szCs w:val="4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rPr>
      <w:rFonts w:eastAsia="宋体"/>
      <w:kern w:val="2"/>
      <w:sz w:val="21"/>
      <w:szCs w:val="24"/>
      <w:lang w:val="en-US" w:eastAsia="zh-CN" w:bidi="ar-SA"/>
    </w:rPr>
  </w:style>
  <w:style w:type="paragraph" w:styleId="4">
    <w:name w:val="Normal Indent"/>
    <w:basedOn w:val="1"/>
    <w:qFormat/>
    <w:uiPriority w:val="0"/>
    <w:pPr>
      <w:ind w:firstLine="420"/>
    </w:pPr>
    <w:rPr>
      <w:sz w:val="21"/>
    </w:rPr>
  </w:style>
  <w:style w:type="paragraph" w:customStyle="1" w:styleId="7">
    <w:name w:val="NormalIndent"/>
    <w:basedOn w:val="1"/>
    <w:qFormat/>
    <w:uiPriority w:val="0"/>
    <w:pPr>
      <w:ind w:firstLine="200" w:firstLineChars="200"/>
      <w:textAlignment w:val="baseline"/>
    </w:pPr>
  </w:style>
  <w:style w:type="character" w:customStyle="1" w:styleId="8">
    <w:name w:val="NormalCharacter"/>
    <w:semiHidden/>
    <w:qFormat/>
    <w:uiPriority w:val="0"/>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2022-10-26T03:36:00Z</dcterms:created>
  <dc:creator>宝@老头</dc:creator>
  <cp:lastModifiedBy>宝@老头</cp:lastModifiedBy>
  <dcterms:modified xsi:type="dcterms:W3CDTF">2022-10-26T03:36:48Z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45B0F32175A944F4AE18199A7C3C5123</vt:lpwstr>
  </property>
</Properties>
</file>