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center"/>
        <w:rPr>
          <w:rFonts w:hint="default"/>
          <w:lang w:val="en-US"/>
        </w:rPr>
      </w:pPr>
      <w:r>
        <w:rPr>
          <w:rFonts w:hint="eastAsia"/>
          <w:lang w:val="en-US" w:eastAsia="zh-CN"/>
        </w:rPr>
        <w:t>采购清单及技术要求</w:t>
      </w:r>
    </w:p>
    <w:tbl>
      <w:tblPr>
        <w:tblStyle w:val="6"/>
        <w:tblW w:w="8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116"/>
        <w:gridCol w:w="6228"/>
        <w:gridCol w:w="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pStyle w:val="8"/>
              <w:bidi w:val="0"/>
              <w:jc w:val="center"/>
              <w:rPr>
                <w:b/>
                <w:bCs/>
                <w:color w:val="auto"/>
              </w:rPr>
            </w:pPr>
            <w:r>
              <w:rPr>
                <w:rFonts w:hint="eastAsia"/>
                <w:b/>
                <w:bCs/>
                <w:color w:val="auto"/>
              </w:rPr>
              <w:t>序号</w:t>
            </w:r>
          </w:p>
        </w:tc>
        <w:tc>
          <w:tcPr>
            <w:tcW w:w="1116" w:type="dxa"/>
            <w:tcBorders>
              <w:top w:val="single" w:color="auto" w:sz="4" w:space="0"/>
              <w:left w:val="single" w:color="auto" w:sz="4" w:space="0"/>
              <w:bottom w:val="single" w:color="auto" w:sz="4" w:space="0"/>
              <w:right w:val="single" w:color="auto" w:sz="4" w:space="0"/>
            </w:tcBorders>
            <w:vAlign w:val="center"/>
          </w:tcPr>
          <w:p>
            <w:pPr>
              <w:pStyle w:val="8"/>
              <w:bidi w:val="0"/>
              <w:jc w:val="center"/>
              <w:rPr>
                <w:b/>
                <w:bCs/>
                <w:color w:val="auto"/>
              </w:rPr>
            </w:pPr>
            <w:r>
              <w:rPr>
                <w:rFonts w:hint="eastAsia"/>
                <w:b/>
                <w:bCs/>
                <w:color w:val="auto"/>
              </w:rPr>
              <w:t>名称</w:t>
            </w:r>
          </w:p>
        </w:tc>
        <w:tc>
          <w:tcPr>
            <w:tcW w:w="6228" w:type="dxa"/>
            <w:tcBorders>
              <w:top w:val="single" w:color="auto" w:sz="4" w:space="0"/>
              <w:left w:val="single" w:color="auto" w:sz="4" w:space="0"/>
              <w:bottom w:val="single" w:color="auto" w:sz="4" w:space="0"/>
              <w:right w:val="single" w:color="auto" w:sz="4" w:space="0"/>
            </w:tcBorders>
            <w:vAlign w:val="center"/>
          </w:tcPr>
          <w:p>
            <w:pPr>
              <w:pStyle w:val="8"/>
              <w:bidi w:val="0"/>
              <w:jc w:val="center"/>
              <w:rPr>
                <w:b/>
                <w:bCs/>
                <w:color w:val="auto"/>
              </w:rPr>
            </w:pPr>
            <w:r>
              <w:rPr>
                <w:rFonts w:hint="eastAsia"/>
                <w:b/>
                <w:bCs/>
                <w:color w:val="auto"/>
                <w:lang w:val="en-US" w:eastAsia="zh-CN"/>
              </w:rPr>
              <w:t>技术</w:t>
            </w:r>
            <w:r>
              <w:rPr>
                <w:rFonts w:hint="eastAsia"/>
                <w:b/>
                <w:bCs/>
                <w:color w:val="auto"/>
              </w:rPr>
              <w:t>要求</w:t>
            </w:r>
          </w:p>
        </w:tc>
        <w:tc>
          <w:tcPr>
            <w:tcW w:w="816" w:type="dxa"/>
            <w:tcBorders>
              <w:top w:val="single" w:color="auto" w:sz="4" w:space="0"/>
              <w:left w:val="single" w:color="auto" w:sz="4" w:space="0"/>
              <w:bottom w:val="single" w:color="auto" w:sz="4" w:space="0"/>
              <w:right w:val="single" w:color="auto" w:sz="4" w:space="0"/>
            </w:tcBorders>
            <w:vAlign w:val="center"/>
          </w:tcPr>
          <w:p>
            <w:pPr>
              <w:pStyle w:val="8"/>
              <w:bidi w:val="0"/>
              <w:jc w:val="center"/>
              <w:rPr>
                <w:b/>
                <w:bCs/>
                <w:color w:val="auto"/>
              </w:rPr>
            </w:pPr>
            <w:r>
              <w:rPr>
                <w:rFonts w:hint="eastAsia"/>
                <w:b/>
                <w:bCs/>
                <w:color w:val="auto"/>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pStyle w:val="8"/>
              <w:bidi w:val="0"/>
              <w:jc w:val="center"/>
              <w:rPr>
                <w:rFonts w:hint="eastAsia"/>
                <w:color w:val="auto"/>
              </w:rPr>
            </w:pPr>
            <w:r>
              <w:rPr>
                <w:rFonts w:hint="eastAsia"/>
                <w:color w:val="auto"/>
              </w:rPr>
              <w:t>1</w:t>
            </w:r>
          </w:p>
        </w:tc>
        <w:tc>
          <w:tcPr>
            <w:tcW w:w="1116" w:type="dxa"/>
            <w:tcBorders>
              <w:top w:val="single" w:color="auto" w:sz="4" w:space="0"/>
              <w:left w:val="single" w:color="auto" w:sz="4" w:space="0"/>
              <w:bottom w:val="single" w:color="auto" w:sz="4" w:space="0"/>
              <w:right w:val="single" w:color="auto" w:sz="4" w:space="0"/>
            </w:tcBorders>
            <w:vAlign w:val="center"/>
          </w:tcPr>
          <w:p>
            <w:pPr>
              <w:pStyle w:val="8"/>
              <w:bidi w:val="0"/>
              <w:jc w:val="center"/>
              <w:rPr>
                <w:rFonts w:hint="eastAsia"/>
                <w:color w:val="auto"/>
              </w:rPr>
            </w:pPr>
            <w:r>
              <w:rPr>
                <w:rFonts w:hint="eastAsia"/>
                <w:color w:val="auto"/>
                <w:lang w:val="en-US" w:eastAsia="zh-CN"/>
              </w:rPr>
              <w:t>数据库云平台</w:t>
            </w:r>
          </w:p>
        </w:tc>
        <w:tc>
          <w:tcPr>
            <w:tcW w:w="6228" w:type="dxa"/>
            <w:tcBorders>
              <w:top w:val="single" w:color="auto" w:sz="4" w:space="0"/>
              <w:left w:val="single" w:color="auto" w:sz="4" w:space="0"/>
              <w:bottom w:val="single" w:color="auto" w:sz="4" w:space="0"/>
              <w:right w:val="single" w:color="auto" w:sz="4" w:space="0"/>
            </w:tcBorders>
            <w:vAlign w:val="center"/>
          </w:tcPr>
          <w:p>
            <w:pPr>
              <w:pStyle w:val="8"/>
              <w:bidi w:val="0"/>
              <w:ind w:firstLine="482" w:firstLineChars="200"/>
              <w:jc w:val="both"/>
              <w:rPr>
                <w:rFonts w:hint="eastAsia"/>
                <w:color w:val="auto"/>
              </w:rPr>
            </w:pPr>
            <w:r>
              <w:rPr>
                <w:rFonts w:hint="eastAsia"/>
                <w:b/>
                <w:bCs/>
                <w:color w:val="auto"/>
                <w:lang w:val="en-US" w:eastAsia="zh-CN"/>
              </w:rPr>
              <w:t>1、功能要求：</w:t>
            </w:r>
            <w:r>
              <w:rPr>
                <w:rFonts w:hint="eastAsia"/>
                <w:color w:val="auto"/>
              </w:rPr>
              <w:t>满足校园核心数据库升级改造</w:t>
            </w:r>
          </w:p>
          <w:p>
            <w:pPr>
              <w:pStyle w:val="8"/>
              <w:bidi w:val="0"/>
              <w:ind w:firstLine="482" w:firstLineChars="200"/>
              <w:jc w:val="both"/>
              <w:rPr>
                <w:rFonts w:hint="eastAsia"/>
                <w:color w:val="auto"/>
              </w:rPr>
            </w:pPr>
            <w:r>
              <w:rPr>
                <w:rFonts w:hint="eastAsia"/>
                <w:b/>
                <w:bCs/>
                <w:color w:val="auto"/>
                <w:lang w:val="en-US" w:eastAsia="zh-CN"/>
              </w:rPr>
              <w:t>2、技术要求：</w:t>
            </w:r>
          </w:p>
          <w:p>
            <w:pPr>
              <w:pStyle w:val="8"/>
              <w:bidi w:val="0"/>
              <w:ind w:firstLine="480" w:firstLineChars="200"/>
              <w:jc w:val="both"/>
              <w:rPr>
                <w:rFonts w:hint="eastAsia"/>
                <w:color w:val="auto"/>
                <w:lang w:val="en-US" w:eastAsia="zh-CN"/>
              </w:rPr>
            </w:pPr>
            <w:r>
              <w:rPr>
                <w:rFonts w:hint="eastAsia"/>
                <w:color w:val="auto"/>
                <w:lang w:val="en-US" w:eastAsia="zh-CN"/>
              </w:rPr>
              <w:t>要求数据库双机RAC架构。服务器数量≥2个，</w:t>
            </w:r>
          </w:p>
          <w:p>
            <w:pPr>
              <w:pStyle w:val="8"/>
              <w:bidi w:val="0"/>
              <w:ind w:firstLine="480" w:firstLineChars="200"/>
              <w:jc w:val="both"/>
              <w:rPr>
                <w:rFonts w:hint="eastAsia"/>
                <w:color w:val="auto"/>
                <w:lang w:val="en-US" w:eastAsia="zh-CN"/>
              </w:rPr>
            </w:pPr>
            <w:r>
              <w:rPr>
                <w:rFonts w:hint="eastAsia"/>
                <w:color w:val="auto"/>
                <w:lang w:val="en-US" w:eastAsia="zh-CN"/>
              </w:rPr>
              <w:t>机架式，每台服务器有独立且冗余的电源及风扇。</w:t>
            </w:r>
          </w:p>
          <w:p>
            <w:pPr>
              <w:pStyle w:val="8"/>
              <w:bidi w:val="0"/>
              <w:ind w:firstLine="480" w:firstLineChars="200"/>
              <w:jc w:val="both"/>
              <w:rPr>
                <w:rFonts w:hint="eastAsia"/>
                <w:color w:val="auto"/>
                <w:lang w:val="en-US" w:eastAsia="zh-CN"/>
              </w:rPr>
            </w:pPr>
            <w:r>
              <w:rPr>
                <w:rFonts w:hint="eastAsia"/>
                <w:color w:val="auto"/>
                <w:lang w:val="en-US" w:eastAsia="zh-CN"/>
              </w:rPr>
              <w:t>所有服务器和存储节点都有各自独立的冗余电源及风扇模块。</w:t>
            </w:r>
          </w:p>
          <w:p>
            <w:pPr>
              <w:pStyle w:val="8"/>
              <w:bidi w:val="0"/>
              <w:ind w:firstLine="480" w:firstLineChars="200"/>
              <w:jc w:val="both"/>
              <w:rPr>
                <w:rFonts w:hint="eastAsia"/>
                <w:color w:val="auto"/>
                <w:lang w:val="en-US" w:eastAsia="zh-CN"/>
              </w:rPr>
            </w:pPr>
            <w:r>
              <w:rPr>
                <w:rFonts w:hint="eastAsia"/>
                <w:color w:val="auto"/>
                <w:lang w:val="en-US" w:eastAsia="zh-CN"/>
              </w:rPr>
              <w:t>处理器类型Intel Xeon最新一代可</w:t>
            </w:r>
            <w:bookmarkStart w:id="0" w:name="_GoBack"/>
            <w:bookmarkEnd w:id="0"/>
            <w:r>
              <w:rPr>
                <w:rFonts w:hint="eastAsia"/>
                <w:color w:val="auto"/>
                <w:lang w:val="en-US" w:eastAsia="zh-CN"/>
              </w:rPr>
              <w:t>扩展处理器Silver 4314系列及以上或相当处理能力；</w:t>
            </w:r>
          </w:p>
          <w:p>
            <w:pPr>
              <w:pStyle w:val="8"/>
              <w:bidi w:val="0"/>
              <w:ind w:firstLine="480" w:firstLineChars="200"/>
              <w:jc w:val="both"/>
              <w:rPr>
                <w:rFonts w:hint="eastAsia"/>
                <w:color w:val="auto"/>
                <w:lang w:val="en-US" w:eastAsia="zh-CN"/>
              </w:rPr>
            </w:pPr>
            <w:r>
              <w:rPr>
                <w:rFonts w:hint="eastAsia"/>
                <w:color w:val="auto"/>
                <w:lang w:val="en-US" w:eastAsia="zh-CN"/>
              </w:rPr>
              <w:t>处理器主频≥2.4GHz；</w:t>
            </w:r>
          </w:p>
          <w:p>
            <w:pPr>
              <w:pStyle w:val="8"/>
              <w:bidi w:val="0"/>
              <w:ind w:firstLine="480" w:firstLineChars="200"/>
              <w:jc w:val="both"/>
              <w:rPr>
                <w:rFonts w:hint="eastAsia"/>
                <w:color w:val="auto"/>
                <w:lang w:val="en-US" w:eastAsia="zh-CN"/>
              </w:rPr>
            </w:pPr>
            <w:r>
              <w:rPr>
                <w:rFonts w:hint="eastAsia"/>
                <w:color w:val="auto"/>
                <w:lang w:val="en-US" w:eastAsia="zh-CN"/>
              </w:rPr>
              <w:t>处理器配置数目每台服务器配置≥2颗16核CPU、135 瓦、XCC、24 MB 三级缓存，共64个CPU内核。</w:t>
            </w:r>
          </w:p>
          <w:p>
            <w:pPr>
              <w:pStyle w:val="8"/>
              <w:bidi w:val="0"/>
              <w:ind w:firstLine="480" w:firstLineChars="200"/>
              <w:jc w:val="both"/>
              <w:rPr>
                <w:rFonts w:hint="eastAsia"/>
                <w:color w:val="auto"/>
                <w:lang w:val="en-US" w:eastAsia="zh-CN"/>
              </w:rPr>
            </w:pPr>
            <w:r>
              <w:rPr>
                <w:rFonts w:hint="eastAsia"/>
                <w:color w:val="auto"/>
                <w:lang w:val="en-US" w:eastAsia="zh-CN"/>
              </w:rPr>
              <w:t>内存类型单根≥32GB DDR4 2666MHz；</w:t>
            </w:r>
          </w:p>
          <w:p>
            <w:pPr>
              <w:pStyle w:val="8"/>
              <w:bidi w:val="0"/>
              <w:ind w:firstLine="480" w:firstLineChars="200"/>
              <w:jc w:val="both"/>
              <w:rPr>
                <w:rFonts w:hint="eastAsia"/>
                <w:color w:val="auto"/>
                <w:lang w:val="en-US" w:eastAsia="zh-CN"/>
              </w:rPr>
            </w:pPr>
            <w:r>
              <w:rPr>
                <w:rFonts w:hint="eastAsia"/>
                <w:color w:val="auto"/>
                <w:lang w:val="en-US" w:eastAsia="zh-CN"/>
              </w:rPr>
              <w:t>内存配置容量每台服务器配置≥512GB；</w:t>
            </w:r>
          </w:p>
          <w:p>
            <w:pPr>
              <w:pStyle w:val="8"/>
              <w:bidi w:val="0"/>
              <w:ind w:firstLine="480" w:firstLineChars="200"/>
              <w:jc w:val="both"/>
              <w:rPr>
                <w:rFonts w:hint="eastAsia"/>
                <w:color w:val="auto"/>
                <w:lang w:val="en-US" w:eastAsia="zh-CN"/>
              </w:rPr>
            </w:pPr>
            <w:r>
              <w:rPr>
                <w:rFonts w:hint="eastAsia"/>
                <w:color w:val="auto"/>
                <w:lang w:val="en-US" w:eastAsia="zh-CN"/>
              </w:rPr>
              <w:t>内存扩展能力每台服务器最大≥1024GB。</w:t>
            </w:r>
          </w:p>
          <w:p>
            <w:pPr>
              <w:pStyle w:val="8"/>
              <w:bidi w:val="0"/>
              <w:ind w:firstLine="480" w:firstLineChars="200"/>
              <w:jc w:val="both"/>
              <w:rPr>
                <w:rFonts w:hint="eastAsia"/>
                <w:color w:val="auto"/>
                <w:lang w:val="en-US" w:eastAsia="zh-CN"/>
              </w:rPr>
            </w:pPr>
            <w:r>
              <w:rPr>
                <w:rFonts w:hint="eastAsia"/>
                <w:color w:val="auto"/>
                <w:lang w:val="en-US" w:eastAsia="zh-CN"/>
              </w:rPr>
              <w:t>系统盘类型M.2 SATA SSD；</w:t>
            </w:r>
          </w:p>
          <w:p>
            <w:pPr>
              <w:pStyle w:val="8"/>
              <w:bidi w:val="0"/>
              <w:ind w:firstLine="480" w:firstLineChars="200"/>
              <w:jc w:val="both"/>
              <w:rPr>
                <w:rFonts w:hint="eastAsia"/>
                <w:color w:val="auto"/>
                <w:lang w:val="en-US" w:eastAsia="zh-CN"/>
              </w:rPr>
            </w:pPr>
            <w:r>
              <w:rPr>
                <w:rFonts w:hint="eastAsia"/>
                <w:color w:val="auto"/>
                <w:lang w:val="en-US" w:eastAsia="zh-CN"/>
              </w:rPr>
              <w:t>系统盘容量及数目每台服务器配置≥2块240GBM.2 SATA SSD；</w:t>
            </w:r>
          </w:p>
          <w:p>
            <w:pPr>
              <w:pStyle w:val="8"/>
              <w:bidi w:val="0"/>
              <w:ind w:firstLine="480" w:firstLineChars="200"/>
              <w:jc w:val="both"/>
              <w:rPr>
                <w:rFonts w:hint="eastAsia"/>
                <w:color w:val="auto"/>
                <w:lang w:val="en-US" w:eastAsia="zh-CN"/>
              </w:rPr>
            </w:pPr>
            <w:r>
              <w:rPr>
                <w:rFonts w:hint="eastAsia"/>
                <w:color w:val="auto"/>
                <w:lang w:val="en-US" w:eastAsia="zh-CN"/>
              </w:rPr>
              <w:t>网络连接端口：每台服务器配置≥2个10/25Gb SFP28光纤端口(可扩展)，同时配置共配置4个10Gb光模块，用于对外业务访问；</w:t>
            </w:r>
          </w:p>
          <w:p>
            <w:pPr>
              <w:pStyle w:val="8"/>
              <w:bidi w:val="0"/>
              <w:ind w:firstLine="480" w:firstLineChars="200"/>
              <w:jc w:val="both"/>
              <w:rPr>
                <w:rFonts w:hint="eastAsia"/>
                <w:color w:val="auto"/>
                <w:lang w:val="en-US" w:eastAsia="zh-CN"/>
              </w:rPr>
            </w:pPr>
            <w:r>
              <w:rPr>
                <w:rFonts w:hint="eastAsia"/>
                <w:color w:val="auto"/>
                <w:lang w:val="en-US" w:eastAsia="zh-CN"/>
              </w:rPr>
              <w:t>存储连接端口：每台服务器配置≥2块双口12Gb SAS-3 HBA卡；</w:t>
            </w:r>
          </w:p>
          <w:p>
            <w:pPr>
              <w:pStyle w:val="8"/>
              <w:bidi w:val="0"/>
              <w:ind w:firstLine="480" w:firstLineChars="200"/>
              <w:jc w:val="both"/>
              <w:rPr>
                <w:rFonts w:hint="eastAsia"/>
                <w:color w:val="auto"/>
                <w:lang w:val="en-US" w:eastAsia="zh-CN"/>
              </w:rPr>
            </w:pPr>
            <w:r>
              <w:rPr>
                <w:rFonts w:hint="eastAsia"/>
                <w:color w:val="auto"/>
                <w:lang w:val="en-US" w:eastAsia="zh-CN"/>
              </w:rPr>
              <w:t>集群心跳连接端口*</w:t>
            </w:r>
            <w:r>
              <w:rPr>
                <w:rFonts w:hint="eastAsia"/>
                <w:color w:val="auto"/>
                <w:lang w:val="en-US" w:eastAsia="zh-CN"/>
              </w:rPr>
              <w:tab/>
            </w:r>
            <w:r>
              <w:rPr>
                <w:rFonts w:hint="eastAsia"/>
                <w:color w:val="auto"/>
                <w:lang w:val="en-US" w:eastAsia="zh-CN"/>
              </w:rPr>
              <w:t>每台服务器配置≥2个25Gb SFP28光纤端口,用于集群心跳网络。</w:t>
            </w:r>
          </w:p>
          <w:p>
            <w:pPr>
              <w:pStyle w:val="8"/>
              <w:bidi w:val="0"/>
              <w:ind w:firstLine="480" w:firstLineChars="200"/>
              <w:jc w:val="both"/>
              <w:rPr>
                <w:rFonts w:hint="eastAsia"/>
                <w:color w:val="auto"/>
                <w:lang w:val="en-US" w:eastAsia="zh-CN"/>
              </w:rPr>
            </w:pPr>
            <w:r>
              <w:rPr>
                <w:rFonts w:hint="eastAsia"/>
                <w:color w:val="auto"/>
                <w:lang w:val="en-US" w:eastAsia="zh-CN"/>
              </w:rPr>
              <w:t>存储阵列数量≥1台；</w:t>
            </w:r>
          </w:p>
          <w:p>
            <w:pPr>
              <w:pStyle w:val="8"/>
              <w:bidi w:val="0"/>
              <w:ind w:firstLine="480" w:firstLineChars="200"/>
              <w:jc w:val="both"/>
              <w:rPr>
                <w:rFonts w:hint="eastAsia"/>
                <w:color w:val="auto"/>
                <w:lang w:val="en-US" w:eastAsia="zh-CN"/>
              </w:rPr>
            </w:pPr>
            <w:r>
              <w:rPr>
                <w:rFonts w:hint="eastAsia"/>
                <w:color w:val="auto"/>
                <w:lang w:val="en-US" w:eastAsia="zh-CN"/>
              </w:rPr>
              <w:t>存储阵列外观机架式，每台存储设备有独立且冗余的电源及风扇；磁盘类型支持SAS-3 HDD和SSD混合配置；</w:t>
            </w:r>
          </w:p>
          <w:p>
            <w:pPr>
              <w:pStyle w:val="8"/>
              <w:bidi w:val="0"/>
              <w:ind w:firstLine="480" w:firstLineChars="200"/>
              <w:jc w:val="both"/>
              <w:rPr>
                <w:rFonts w:hint="eastAsia"/>
                <w:color w:val="auto"/>
                <w:lang w:val="en-US" w:eastAsia="zh-CN"/>
              </w:rPr>
            </w:pPr>
            <w:r>
              <w:rPr>
                <w:rFonts w:hint="eastAsia"/>
                <w:color w:val="auto"/>
                <w:lang w:val="en-US" w:eastAsia="zh-CN"/>
              </w:rPr>
              <w:t>实配裸存储容量SSD闪存裸容量≥46TB（6个 7.68 TB SSD），约17TB/11TB（双重/三重镜像）可用容量；</w:t>
            </w:r>
          </w:p>
          <w:p>
            <w:pPr>
              <w:pStyle w:val="8"/>
              <w:bidi w:val="0"/>
              <w:ind w:firstLine="480" w:firstLineChars="200"/>
              <w:jc w:val="both"/>
              <w:rPr>
                <w:rFonts w:hint="eastAsia"/>
                <w:color w:val="auto"/>
                <w:lang w:val="en-US" w:eastAsia="zh-CN"/>
              </w:rPr>
            </w:pPr>
            <w:r>
              <w:rPr>
                <w:rFonts w:hint="eastAsia"/>
                <w:color w:val="auto"/>
                <w:lang w:val="en-US" w:eastAsia="zh-CN"/>
              </w:rPr>
              <w:t>最大可扩展能力要求*SSD闪存裸容量≥368TB；</w:t>
            </w:r>
          </w:p>
          <w:p>
            <w:pPr>
              <w:pStyle w:val="8"/>
              <w:bidi w:val="0"/>
              <w:ind w:firstLine="480" w:firstLineChars="200"/>
              <w:jc w:val="both"/>
              <w:rPr>
                <w:rFonts w:hint="eastAsia"/>
                <w:color w:val="auto"/>
                <w:lang w:val="en-US" w:eastAsia="zh-CN"/>
              </w:rPr>
            </w:pPr>
            <w:r>
              <w:rPr>
                <w:rFonts w:hint="eastAsia"/>
                <w:color w:val="auto"/>
                <w:lang w:val="en-US" w:eastAsia="zh-CN"/>
              </w:rPr>
              <w:t>存储RAID保护要求支持双重镜像或者三重镜像。</w:t>
            </w:r>
          </w:p>
          <w:p>
            <w:pPr>
              <w:pStyle w:val="8"/>
              <w:bidi w:val="0"/>
              <w:ind w:firstLine="480" w:firstLineChars="200"/>
              <w:jc w:val="both"/>
              <w:rPr>
                <w:rFonts w:hint="eastAsia"/>
                <w:color w:val="auto"/>
                <w:lang w:val="en-US" w:eastAsia="zh-CN"/>
              </w:rPr>
            </w:pPr>
            <w:r>
              <w:rPr>
                <w:rFonts w:hint="eastAsia"/>
                <w:color w:val="auto"/>
                <w:lang w:val="en-US" w:eastAsia="zh-CN"/>
              </w:rPr>
              <w:t>热插拔组件；</w:t>
            </w:r>
          </w:p>
          <w:p>
            <w:pPr>
              <w:pStyle w:val="8"/>
              <w:bidi w:val="0"/>
              <w:ind w:firstLine="480" w:firstLineChars="200"/>
              <w:jc w:val="both"/>
              <w:rPr>
                <w:rFonts w:hint="eastAsia"/>
                <w:color w:val="auto"/>
                <w:lang w:val="en-US" w:eastAsia="zh-CN"/>
              </w:rPr>
            </w:pPr>
            <w:r>
              <w:rPr>
                <w:rFonts w:hint="eastAsia"/>
                <w:color w:val="auto"/>
                <w:lang w:val="en-US" w:eastAsia="zh-CN"/>
              </w:rPr>
              <w:t>支持服务器及存储系统的电源、风扇以及共享硬盘等组件热插拔。</w:t>
            </w:r>
          </w:p>
          <w:p>
            <w:pPr>
              <w:pStyle w:val="8"/>
              <w:bidi w:val="0"/>
              <w:ind w:firstLine="480" w:firstLineChars="200"/>
              <w:jc w:val="both"/>
              <w:rPr>
                <w:rFonts w:hint="eastAsia"/>
                <w:color w:val="auto"/>
                <w:lang w:val="en-US" w:eastAsia="zh-CN"/>
              </w:rPr>
            </w:pPr>
            <w:r>
              <w:rPr>
                <w:rFonts w:hint="eastAsia"/>
                <w:color w:val="auto"/>
                <w:lang w:val="en-US" w:eastAsia="zh-CN"/>
              </w:rPr>
              <w:t>可靠性认证，为了保证数据库平台运行的稳定性和安全性，数据库所运行的硬件及操作系统需要有Oracle数据库的官方认证支持；</w:t>
            </w:r>
          </w:p>
          <w:p>
            <w:pPr>
              <w:pStyle w:val="8"/>
              <w:bidi w:val="0"/>
              <w:ind w:firstLine="480" w:firstLineChars="200"/>
              <w:jc w:val="both"/>
              <w:rPr>
                <w:rFonts w:hint="eastAsia"/>
                <w:color w:val="auto"/>
                <w:lang w:val="en-US" w:eastAsia="zh-CN"/>
              </w:rPr>
            </w:pPr>
            <w:r>
              <w:rPr>
                <w:rFonts w:hint="eastAsia"/>
                <w:color w:val="auto"/>
                <w:lang w:val="en-US" w:eastAsia="zh-CN"/>
              </w:rPr>
              <w:t>可管理和可维护性，支持本地管理，支持远程无人值守管理。</w:t>
            </w:r>
          </w:p>
          <w:p>
            <w:pPr>
              <w:pStyle w:val="8"/>
              <w:bidi w:val="0"/>
              <w:ind w:firstLine="480" w:firstLineChars="200"/>
              <w:jc w:val="both"/>
              <w:rPr>
                <w:rFonts w:hint="eastAsia"/>
                <w:color w:val="auto"/>
                <w:lang w:val="en-US" w:eastAsia="zh-CN"/>
              </w:rPr>
            </w:pPr>
            <w:r>
              <w:rPr>
                <w:rFonts w:hint="eastAsia"/>
                <w:color w:val="auto"/>
                <w:lang w:val="en-US" w:eastAsia="zh-CN"/>
              </w:rPr>
              <w:t>数据库版本 支持部署Oracle数据库12c、19c、21c等版本；</w:t>
            </w:r>
          </w:p>
          <w:p>
            <w:pPr>
              <w:pStyle w:val="8"/>
              <w:bidi w:val="0"/>
              <w:ind w:firstLine="480" w:firstLineChars="200"/>
              <w:jc w:val="both"/>
              <w:rPr>
                <w:rFonts w:hint="eastAsia"/>
                <w:color w:val="auto"/>
                <w:lang w:val="en-US" w:eastAsia="zh-CN"/>
              </w:rPr>
            </w:pPr>
            <w:r>
              <w:rPr>
                <w:rFonts w:hint="eastAsia"/>
                <w:color w:val="auto"/>
                <w:lang w:val="en-US" w:eastAsia="zh-CN"/>
              </w:rPr>
              <w:t>支持部署Oracle数据库RAC集群；</w:t>
            </w:r>
          </w:p>
          <w:p>
            <w:pPr>
              <w:pStyle w:val="8"/>
              <w:bidi w:val="0"/>
              <w:ind w:firstLine="480" w:firstLineChars="200"/>
              <w:jc w:val="both"/>
              <w:rPr>
                <w:rFonts w:hint="eastAsia"/>
                <w:color w:val="auto"/>
                <w:lang w:val="en-US" w:eastAsia="zh-CN"/>
              </w:rPr>
            </w:pPr>
            <w:r>
              <w:rPr>
                <w:rFonts w:hint="eastAsia"/>
                <w:color w:val="auto"/>
                <w:lang w:val="en-US" w:eastAsia="zh-CN"/>
              </w:rPr>
              <w:t>预装Oracle最新企业级安装版本号；</w:t>
            </w:r>
          </w:p>
          <w:p>
            <w:pPr>
              <w:pStyle w:val="8"/>
              <w:bidi w:val="0"/>
              <w:ind w:firstLine="480" w:firstLineChars="200"/>
              <w:jc w:val="both"/>
              <w:rPr>
                <w:rFonts w:hint="eastAsia"/>
                <w:color w:val="auto"/>
                <w:lang w:val="en-US" w:eastAsia="zh-CN"/>
              </w:rPr>
            </w:pPr>
            <w:r>
              <w:rPr>
                <w:rFonts w:hint="eastAsia"/>
                <w:color w:val="auto"/>
                <w:lang w:val="en-US" w:eastAsia="zh-CN"/>
              </w:rPr>
              <w:t>操作系统软件数据库服务器配置原厂商的(非OEM)64位LINUX操作系统≥2 ；</w:t>
            </w:r>
          </w:p>
          <w:p>
            <w:pPr>
              <w:pStyle w:val="8"/>
              <w:bidi w:val="0"/>
              <w:ind w:firstLine="480" w:firstLineChars="200"/>
              <w:jc w:val="both"/>
              <w:rPr>
                <w:rFonts w:hint="eastAsia"/>
                <w:color w:val="auto"/>
                <w:lang w:val="en-US" w:eastAsia="zh-CN"/>
              </w:rPr>
            </w:pPr>
            <w:r>
              <w:rPr>
                <w:rFonts w:hint="eastAsia"/>
                <w:color w:val="auto"/>
                <w:lang w:val="en-US" w:eastAsia="zh-CN"/>
              </w:rPr>
              <w:t>自动配置管理软件：预装ODA管理软件，能够一键式快速完成数据库RAC集群系统的安装、配置、打补丁等工作；</w:t>
            </w:r>
          </w:p>
          <w:p>
            <w:pPr>
              <w:pStyle w:val="8"/>
              <w:bidi w:val="0"/>
              <w:ind w:firstLine="480" w:firstLineChars="200"/>
              <w:jc w:val="both"/>
              <w:rPr>
                <w:rFonts w:hint="eastAsia"/>
                <w:color w:val="auto"/>
                <w:lang w:val="en-US" w:eastAsia="zh-CN"/>
              </w:rPr>
            </w:pPr>
            <w:r>
              <w:rPr>
                <w:rFonts w:hint="eastAsia"/>
                <w:color w:val="auto"/>
                <w:lang w:val="en-US" w:eastAsia="zh-CN"/>
              </w:rPr>
              <w:t>双机高可用软件 必配；</w:t>
            </w:r>
          </w:p>
          <w:p>
            <w:pPr>
              <w:pStyle w:val="8"/>
              <w:bidi w:val="0"/>
              <w:ind w:firstLine="480" w:firstLineChars="200"/>
              <w:jc w:val="both"/>
              <w:rPr>
                <w:rFonts w:hint="eastAsia"/>
                <w:color w:val="auto"/>
                <w:lang w:val="en-US" w:eastAsia="zh-CN"/>
              </w:rPr>
            </w:pPr>
            <w:r>
              <w:rPr>
                <w:rFonts w:hint="eastAsia"/>
                <w:color w:val="auto"/>
                <w:lang w:val="en-US" w:eastAsia="zh-CN"/>
              </w:rPr>
              <w:t>卷管理软件 必配；</w:t>
            </w:r>
          </w:p>
          <w:p>
            <w:pPr>
              <w:pStyle w:val="8"/>
              <w:bidi w:val="0"/>
              <w:ind w:firstLine="480" w:firstLineChars="200"/>
              <w:jc w:val="both"/>
              <w:rPr>
                <w:rFonts w:hint="eastAsia"/>
                <w:color w:val="auto"/>
                <w:lang w:val="en-US" w:eastAsia="zh-CN"/>
              </w:rPr>
            </w:pPr>
            <w:r>
              <w:rPr>
                <w:rFonts w:hint="eastAsia"/>
                <w:color w:val="auto"/>
                <w:lang w:val="en-US" w:eastAsia="zh-CN"/>
              </w:rPr>
              <w:t>集群文件系统软件 必配；</w:t>
            </w:r>
          </w:p>
          <w:p>
            <w:pPr>
              <w:pStyle w:val="8"/>
              <w:bidi w:val="0"/>
              <w:ind w:firstLine="480" w:firstLineChars="200"/>
              <w:jc w:val="both"/>
              <w:rPr>
                <w:rFonts w:hint="eastAsia"/>
                <w:color w:val="auto"/>
                <w:lang w:val="en-US" w:eastAsia="zh-CN"/>
              </w:rPr>
            </w:pPr>
            <w:r>
              <w:rPr>
                <w:rFonts w:hint="eastAsia"/>
                <w:color w:val="auto"/>
                <w:lang w:val="en-US" w:eastAsia="zh-CN"/>
              </w:rPr>
              <w:t>混合列压缩功能 支持；</w:t>
            </w:r>
          </w:p>
          <w:p>
            <w:pPr>
              <w:pStyle w:val="8"/>
              <w:bidi w:val="0"/>
              <w:ind w:firstLine="480" w:firstLineChars="200"/>
              <w:jc w:val="both"/>
              <w:rPr>
                <w:rFonts w:hint="eastAsia"/>
                <w:color w:val="auto"/>
                <w:lang w:val="en-US" w:eastAsia="zh-CN"/>
              </w:rPr>
            </w:pPr>
            <w:r>
              <w:rPr>
                <w:rFonts w:hint="eastAsia"/>
                <w:color w:val="auto"/>
                <w:lang w:val="en-US" w:eastAsia="zh-CN"/>
              </w:rPr>
              <w:t>数据库快照功能 支持；</w:t>
            </w:r>
          </w:p>
          <w:p>
            <w:pPr>
              <w:pStyle w:val="8"/>
              <w:bidi w:val="0"/>
              <w:ind w:firstLine="480" w:firstLineChars="200"/>
              <w:jc w:val="both"/>
              <w:rPr>
                <w:rFonts w:hint="eastAsia"/>
                <w:color w:val="auto"/>
                <w:lang w:val="en-US" w:eastAsia="zh-CN"/>
              </w:rPr>
            </w:pPr>
            <w:r>
              <w:rPr>
                <w:rFonts w:hint="eastAsia"/>
                <w:color w:val="auto"/>
                <w:lang w:val="en-US" w:eastAsia="zh-CN"/>
              </w:rPr>
              <w:t>多租户功能 支持；</w:t>
            </w:r>
          </w:p>
          <w:p>
            <w:pPr>
              <w:pStyle w:val="8"/>
              <w:bidi w:val="0"/>
              <w:ind w:firstLine="480" w:firstLineChars="200"/>
              <w:jc w:val="both"/>
              <w:rPr>
                <w:rFonts w:hint="eastAsia"/>
                <w:color w:val="auto"/>
                <w:lang w:val="en-US" w:eastAsia="zh-CN"/>
              </w:rPr>
            </w:pPr>
            <w:r>
              <w:rPr>
                <w:rFonts w:hint="eastAsia"/>
                <w:color w:val="auto"/>
                <w:lang w:val="en-US" w:eastAsia="zh-CN"/>
              </w:rPr>
              <w:t>补丁升级功能 要求为整个系统的所有软硬件组件，包括固件、操作系统、集群基础架构软件、存储管理软件和数据库软件等提供一个统一的补丁包，实现一键式补丁安装；</w:t>
            </w:r>
          </w:p>
          <w:p>
            <w:pPr>
              <w:pStyle w:val="8"/>
              <w:bidi w:val="0"/>
              <w:ind w:firstLine="480" w:firstLineChars="200"/>
              <w:jc w:val="both"/>
              <w:rPr>
                <w:rFonts w:hint="eastAsia"/>
                <w:color w:val="auto"/>
                <w:lang w:val="en-US" w:eastAsia="zh-CN"/>
              </w:rPr>
            </w:pPr>
            <w:r>
              <w:rPr>
                <w:rFonts w:hint="eastAsia"/>
                <w:color w:val="auto"/>
                <w:lang w:val="en-US" w:eastAsia="zh-CN"/>
              </w:rPr>
              <w:t>数据库配置模板预集成、预配置各种Oracle数据库配置模板，可供客户直接调用；</w:t>
            </w:r>
          </w:p>
          <w:p>
            <w:pPr>
              <w:pStyle w:val="8"/>
              <w:bidi w:val="0"/>
              <w:ind w:firstLine="480" w:firstLineChars="200"/>
              <w:jc w:val="both"/>
              <w:rPr>
                <w:rFonts w:hint="eastAsia"/>
                <w:color w:val="auto"/>
                <w:lang w:val="en-US" w:eastAsia="zh-CN"/>
              </w:rPr>
            </w:pPr>
            <w:r>
              <w:rPr>
                <w:rFonts w:hint="eastAsia"/>
                <w:color w:val="auto"/>
                <w:lang w:val="en-US" w:eastAsia="zh-CN"/>
              </w:rPr>
              <w:t>云管理功能 可以通过原厂提供的云管理平台软件实现从服务器、存储到操作系统、虚拟化以及数据库和应用的全堆栈、全生命周期的管理功能。</w:t>
            </w:r>
          </w:p>
          <w:p>
            <w:pPr>
              <w:pStyle w:val="8"/>
              <w:bidi w:val="0"/>
              <w:ind w:firstLine="482" w:firstLineChars="200"/>
              <w:jc w:val="left"/>
              <w:rPr>
                <w:rFonts w:hint="eastAsia" w:eastAsia="宋体"/>
                <w:color w:val="auto"/>
                <w:lang w:val="en-US" w:eastAsia="zh-CN"/>
              </w:rPr>
            </w:pPr>
            <w:r>
              <w:rPr>
                <w:rFonts w:hint="eastAsia"/>
                <w:b/>
                <w:bCs/>
                <w:color w:val="auto"/>
                <w:lang w:val="en-US" w:eastAsia="zh-CN"/>
              </w:rPr>
              <w:t>3、</w:t>
            </w:r>
            <w:r>
              <w:rPr>
                <w:rFonts w:hint="eastAsia"/>
                <w:b/>
                <w:bCs/>
                <w:color w:val="auto"/>
              </w:rPr>
              <w:t>售后服务及数据迁移等相关服务</w:t>
            </w:r>
            <w:r>
              <w:rPr>
                <w:rFonts w:hint="eastAsia"/>
                <w:b w:val="0"/>
                <w:bCs w:val="0"/>
                <w:color w:val="auto"/>
                <w:lang w:eastAsia="zh-CN"/>
              </w:rPr>
              <w:t>（</w:t>
            </w:r>
            <w:r>
              <w:rPr>
                <w:rFonts w:hint="eastAsia"/>
                <w:color w:val="auto"/>
                <w:lang w:val="en-US" w:eastAsia="zh-CN"/>
              </w:rPr>
              <w:t>售后服务：3年。</w:t>
            </w:r>
            <w:r>
              <w:rPr>
                <w:rFonts w:hint="eastAsia"/>
                <w:color w:val="auto"/>
                <w:lang w:eastAsia="zh-Hans"/>
              </w:rPr>
              <w:t>以下为售后服务及数据迁移等相关服务的最低要求，在实施和售后服务过程，如果经过</w:t>
            </w:r>
            <w:r>
              <w:rPr>
                <w:rFonts w:hint="eastAsia"/>
                <w:color w:val="auto"/>
              </w:rPr>
              <w:t>校方</w:t>
            </w:r>
            <w:r>
              <w:rPr>
                <w:rFonts w:hint="eastAsia"/>
                <w:color w:val="auto"/>
                <w:lang w:eastAsia="zh-Hans"/>
              </w:rPr>
              <w:t>认定，年度3次没有达到预期目标的，供应商应更换工程师，并承诺在学校提出要求的3天内到现场并解决问题。</w:t>
            </w:r>
            <w:r>
              <w:rPr>
                <w:rFonts w:hint="eastAsia"/>
                <w:b w:val="0"/>
                <w:bCs w:val="0"/>
                <w:color w:val="auto"/>
                <w:lang w:eastAsia="zh-CN"/>
              </w:rPr>
              <w:t>）</w:t>
            </w:r>
          </w:p>
          <w:p>
            <w:pPr>
              <w:pStyle w:val="8"/>
              <w:bidi w:val="0"/>
              <w:ind w:firstLine="480" w:firstLineChars="200"/>
              <w:jc w:val="both"/>
              <w:rPr>
                <w:rFonts w:hint="default"/>
                <w:color w:val="auto"/>
                <w:lang w:val="en-US" w:eastAsia="zh-CN"/>
              </w:rPr>
            </w:pPr>
            <w:r>
              <w:rPr>
                <w:rFonts w:hint="eastAsia"/>
                <w:color w:val="auto"/>
                <w:lang w:val="en-US" w:eastAsia="zh-CN"/>
              </w:rPr>
              <w:t>1）</w:t>
            </w:r>
            <w:r>
              <w:rPr>
                <w:rFonts w:hint="default"/>
                <w:color w:val="auto"/>
                <w:lang w:val="en-US" w:eastAsia="zh-CN"/>
              </w:rPr>
              <w:t>保修期限：3年，由厂家提供三年质保和长期指导维护，安装部署调试完，并对现场数据库业务负责老师进行培训指导，达到数据库初级维护工程师水平。</w:t>
            </w:r>
          </w:p>
          <w:p>
            <w:pPr>
              <w:pStyle w:val="8"/>
              <w:bidi w:val="0"/>
              <w:ind w:firstLine="480" w:firstLineChars="200"/>
              <w:jc w:val="both"/>
              <w:rPr>
                <w:rFonts w:hint="default"/>
                <w:color w:val="auto"/>
                <w:lang w:val="en-US" w:eastAsia="zh-CN"/>
              </w:rPr>
            </w:pPr>
            <w:r>
              <w:rPr>
                <w:rFonts w:hint="eastAsia"/>
                <w:color w:val="auto"/>
                <w:lang w:val="en-US" w:eastAsia="zh-CN"/>
              </w:rPr>
              <w:t>2）</w:t>
            </w:r>
            <w:r>
              <w:rPr>
                <w:rFonts w:hint="default"/>
                <w:color w:val="auto"/>
                <w:lang w:val="en-US" w:eastAsia="zh-CN"/>
              </w:rPr>
              <w:t>硬件服务：包含备品备件；提供季度硬件设备巡检维护服务，出具相应报告；用户出现任何硬件设备及操作系统技术故障承诺1小时内响应，2小时内到现场。</w:t>
            </w:r>
          </w:p>
          <w:p>
            <w:pPr>
              <w:pStyle w:val="8"/>
              <w:bidi w:val="0"/>
              <w:ind w:firstLine="480" w:firstLineChars="200"/>
              <w:jc w:val="both"/>
              <w:rPr>
                <w:rFonts w:hint="default"/>
                <w:color w:val="auto"/>
                <w:lang w:val="en-US" w:eastAsia="zh-CN"/>
              </w:rPr>
            </w:pPr>
            <w:r>
              <w:rPr>
                <w:rFonts w:hint="eastAsia"/>
                <w:color w:val="auto"/>
                <w:lang w:val="en-US" w:eastAsia="zh-CN"/>
              </w:rPr>
              <w:t>3）</w:t>
            </w:r>
            <w:r>
              <w:rPr>
                <w:rFonts w:hint="default"/>
                <w:color w:val="auto"/>
                <w:lang w:val="en-US" w:eastAsia="zh-CN"/>
              </w:rPr>
              <w:t>软件维保服务：提供7*24小时的电话支持服务；</w:t>
            </w:r>
          </w:p>
          <w:p>
            <w:pPr>
              <w:pStyle w:val="8"/>
              <w:bidi w:val="0"/>
              <w:ind w:firstLine="480" w:firstLineChars="200"/>
              <w:jc w:val="both"/>
              <w:rPr>
                <w:rFonts w:hint="default"/>
                <w:color w:val="auto"/>
                <w:lang w:val="en-US" w:eastAsia="zh-CN"/>
              </w:rPr>
            </w:pPr>
            <w:r>
              <w:rPr>
                <w:rFonts w:hint="default"/>
                <w:color w:val="auto"/>
                <w:lang w:val="en-US" w:eastAsia="zh-CN"/>
              </w:rPr>
              <w:t>提供每年按需不限次数的Oralce数据库软件请求式现场服务；提供季度数据库系统巡检维护服务，出具相应报告；提供数据库补丁升级服务；每年度形成一次数据库稳定性评估建议报告。</w:t>
            </w:r>
          </w:p>
          <w:p>
            <w:pPr>
              <w:pStyle w:val="8"/>
              <w:bidi w:val="0"/>
              <w:ind w:firstLine="480" w:firstLineChars="200"/>
              <w:jc w:val="both"/>
              <w:rPr>
                <w:rFonts w:hint="default"/>
                <w:color w:val="auto"/>
                <w:lang w:val="en-US" w:eastAsia="zh-CN"/>
              </w:rPr>
            </w:pPr>
            <w:r>
              <w:rPr>
                <w:rFonts w:hint="eastAsia"/>
                <w:color w:val="auto"/>
                <w:lang w:val="en-US" w:eastAsia="zh-CN"/>
              </w:rPr>
              <w:t>4）</w:t>
            </w:r>
            <w:r>
              <w:rPr>
                <w:rFonts w:hint="default"/>
                <w:color w:val="auto"/>
                <w:lang w:val="en-US" w:eastAsia="zh-CN"/>
              </w:rPr>
              <w:t>数据迁移：负责原有业务的数据迁移服务，包含数据库一体机硬件上架、数据库软件安装、集群部署；原有数据库数据迁移、测试；并联调上线，支持数据库平滑迁移和稳定运行，为保证数据安全性要求必须采用私有化部署模式，所有数据不允许出学校内网。</w:t>
            </w:r>
          </w:p>
          <w:p>
            <w:pPr>
              <w:pStyle w:val="8"/>
              <w:bidi w:val="0"/>
              <w:ind w:firstLine="480" w:firstLineChars="200"/>
              <w:jc w:val="both"/>
              <w:rPr>
                <w:rFonts w:hint="default"/>
                <w:color w:val="auto"/>
                <w:lang w:val="en-US" w:eastAsia="zh-CN"/>
              </w:rPr>
            </w:pPr>
            <w:r>
              <w:rPr>
                <w:rFonts w:hint="eastAsia"/>
                <w:color w:val="auto"/>
                <w:lang w:val="en-US" w:eastAsia="zh-CN"/>
              </w:rPr>
              <w:t>5）</w:t>
            </w:r>
            <w:r>
              <w:rPr>
                <w:rFonts w:hint="default"/>
                <w:color w:val="auto"/>
                <w:lang w:val="en-US" w:eastAsia="zh-CN"/>
              </w:rPr>
              <w:t>数据库调优及支持系统的优化调整：对整体数据库不定期的给出优化方案，并在经过学校允许的情况下进行优化配置，并将配置结果以书面文档交付给学校，如果经第三方监测，应用系统访问不畅的原因定位在数据库层面，需要在定位此问题的3天内解决该问题。</w:t>
            </w:r>
          </w:p>
          <w:p>
            <w:pPr>
              <w:pStyle w:val="8"/>
              <w:bidi w:val="0"/>
              <w:ind w:firstLine="480" w:firstLineChars="200"/>
              <w:jc w:val="both"/>
              <w:rPr>
                <w:rFonts w:hint="default"/>
                <w:color w:val="auto"/>
                <w:lang w:val="en-US" w:eastAsia="zh-CN"/>
              </w:rPr>
            </w:pPr>
            <w:r>
              <w:rPr>
                <w:rFonts w:hint="eastAsia"/>
                <w:color w:val="auto"/>
                <w:lang w:val="en-US" w:eastAsia="zh-CN"/>
              </w:rPr>
              <w:t>6）</w:t>
            </w:r>
            <w:r>
              <w:rPr>
                <w:rFonts w:hint="default"/>
                <w:color w:val="auto"/>
                <w:lang w:val="en-US" w:eastAsia="zh-CN"/>
              </w:rPr>
              <w:t>其他技术支持：在校园应用系统遇到数据库层面的性能瓶颈时，3天内应派驻有经验工程师协助进行排查问题、提出具体可操作的优化建议方案，直到解决问题为止。</w:t>
            </w:r>
          </w:p>
          <w:p>
            <w:pPr>
              <w:pStyle w:val="8"/>
              <w:bidi w:val="0"/>
              <w:ind w:firstLine="480" w:firstLineChars="200"/>
              <w:jc w:val="both"/>
              <w:rPr>
                <w:rFonts w:hint="default"/>
                <w:color w:val="auto"/>
                <w:lang w:val="en-US" w:eastAsia="zh-CN"/>
              </w:rPr>
            </w:pPr>
            <w:r>
              <w:rPr>
                <w:rFonts w:hint="eastAsia"/>
                <w:color w:val="auto"/>
                <w:lang w:val="en-US" w:eastAsia="zh-CN"/>
              </w:rPr>
              <w:t>8）</w:t>
            </w:r>
            <w:r>
              <w:rPr>
                <w:rFonts w:hint="default"/>
                <w:color w:val="auto"/>
                <w:lang w:val="en-US" w:eastAsia="zh-CN"/>
              </w:rPr>
              <w:t>运行要求：预安装Oracle RAC环境，支持12C，19C，21C等版本，保证甲方业务系统稳定运行。</w:t>
            </w:r>
          </w:p>
          <w:p>
            <w:pPr>
              <w:pStyle w:val="8"/>
              <w:bidi w:val="0"/>
              <w:ind w:firstLine="480" w:firstLineChars="200"/>
              <w:jc w:val="both"/>
              <w:rPr>
                <w:rFonts w:hint="default"/>
                <w:color w:val="auto"/>
                <w:lang w:val="en-US" w:eastAsia="zh-CN"/>
              </w:rPr>
            </w:pPr>
            <w:r>
              <w:rPr>
                <w:rFonts w:hint="eastAsia"/>
                <w:color w:val="auto"/>
                <w:lang w:val="en-US" w:eastAsia="zh-CN"/>
              </w:rPr>
              <w:t>9）</w:t>
            </w:r>
            <w:r>
              <w:rPr>
                <w:rFonts w:hint="default"/>
                <w:color w:val="auto"/>
                <w:lang w:val="en-US" w:eastAsia="zh-CN"/>
              </w:rPr>
              <w:t>培训：培训三名OCP认证工程师，并取得相应认证证书。</w:t>
            </w:r>
          </w:p>
          <w:p>
            <w:pPr>
              <w:pStyle w:val="8"/>
              <w:bidi w:val="0"/>
              <w:ind w:firstLine="480" w:firstLineChars="200"/>
              <w:jc w:val="both"/>
              <w:rPr>
                <w:rFonts w:hint="default"/>
                <w:color w:val="auto"/>
                <w:lang w:val="en-US" w:eastAsia="zh-CN"/>
              </w:rPr>
            </w:pPr>
            <w:r>
              <w:rPr>
                <w:rFonts w:hint="eastAsia"/>
                <w:color w:val="auto"/>
                <w:lang w:val="en-US" w:eastAsia="zh-CN"/>
              </w:rPr>
              <w:t>10）</w:t>
            </w:r>
            <w:r>
              <w:rPr>
                <w:rFonts w:hint="default"/>
                <w:color w:val="auto"/>
                <w:lang w:val="en-US" w:eastAsia="zh-CN"/>
              </w:rPr>
              <w:t>安全保障：在重要时期、敏感时期以及进行攻防演练期间协助信息网络安全防御等方面的工作，确保整系统的安全稳定运行。针对学校出具的安全漏洞进行安全漏洞修复,要求高危漏洞进行24小时内响应处理并48小时处理完毕；中、低危漏洞进行72小时响应处理完毕。</w:t>
            </w:r>
          </w:p>
        </w:tc>
        <w:tc>
          <w:tcPr>
            <w:tcW w:w="816" w:type="dxa"/>
            <w:tcBorders>
              <w:top w:val="single" w:color="auto" w:sz="4" w:space="0"/>
              <w:left w:val="single" w:color="auto" w:sz="4" w:space="0"/>
              <w:bottom w:val="single" w:color="auto" w:sz="4" w:space="0"/>
              <w:right w:val="single" w:color="auto" w:sz="4" w:space="0"/>
            </w:tcBorders>
            <w:vAlign w:val="center"/>
          </w:tcPr>
          <w:p>
            <w:pPr>
              <w:pStyle w:val="8"/>
              <w:bidi w:val="0"/>
              <w:jc w:val="center"/>
              <w:rPr>
                <w:rFonts w:hint="eastAsia"/>
                <w:color w:val="auto"/>
              </w:rPr>
            </w:pPr>
            <w:r>
              <w:rPr>
                <w:rFonts w:hint="eastAsia"/>
                <w:color w:val="auto"/>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pStyle w:val="8"/>
              <w:bidi w:val="0"/>
              <w:jc w:val="center"/>
              <w:rPr>
                <w:rFonts w:hint="eastAsia"/>
                <w:color w:val="auto"/>
              </w:rPr>
            </w:pPr>
            <w:r>
              <w:rPr>
                <w:rFonts w:hint="eastAsia"/>
                <w:color w:val="auto"/>
              </w:rPr>
              <w:t>2</w:t>
            </w:r>
          </w:p>
        </w:tc>
        <w:tc>
          <w:tcPr>
            <w:tcW w:w="1116" w:type="dxa"/>
            <w:tcBorders>
              <w:top w:val="single" w:color="auto" w:sz="4" w:space="0"/>
              <w:left w:val="single" w:color="auto" w:sz="4" w:space="0"/>
              <w:bottom w:val="single" w:color="auto" w:sz="4" w:space="0"/>
              <w:right w:val="single" w:color="auto" w:sz="4" w:space="0"/>
            </w:tcBorders>
            <w:vAlign w:val="center"/>
          </w:tcPr>
          <w:p>
            <w:pPr>
              <w:pStyle w:val="8"/>
              <w:bidi w:val="0"/>
              <w:jc w:val="center"/>
              <w:rPr>
                <w:rFonts w:hint="eastAsia"/>
                <w:color w:val="auto"/>
              </w:rPr>
            </w:pPr>
            <w:r>
              <w:rPr>
                <w:rFonts w:hint="eastAsia"/>
                <w:color w:val="auto"/>
              </w:rPr>
              <w:t>地图定位引擎接口</w:t>
            </w:r>
          </w:p>
        </w:tc>
        <w:tc>
          <w:tcPr>
            <w:tcW w:w="6228" w:type="dxa"/>
            <w:tcBorders>
              <w:top w:val="single" w:color="auto" w:sz="4" w:space="0"/>
              <w:left w:val="single" w:color="auto" w:sz="4" w:space="0"/>
              <w:bottom w:val="single" w:color="auto" w:sz="4" w:space="0"/>
              <w:right w:val="single" w:color="auto" w:sz="4" w:space="0"/>
            </w:tcBorders>
            <w:vAlign w:val="center"/>
          </w:tcPr>
          <w:p>
            <w:pPr>
              <w:pStyle w:val="8"/>
              <w:bidi w:val="0"/>
              <w:ind w:firstLine="482" w:firstLineChars="200"/>
              <w:jc w:val="both"/>
              <w:rPr>
                <w:rFonts w:hint="eastAsia"/>
                <w:color w:val="auto"/>
              </w:rPr>
            </w:pPr>
            <w:r>
              <w:rPr>
                <w:rFonts w:hint="eastAsia"/>
                <w:b/>
                <w:bCs/>
                <w:color w:val="auto"/>
                <w:lang w:val="en-US" w:eastAsia="zh-CN"/>
              </w:rPr>
              <w:t>1、功能要求：</w:t>
            </w:r>
            <w:r>
              <w:rPr>
                <w:rFonts w:hint="eastAsia"/>
                <w:color w:val="auto"/>
              </w:rPr>
              <w:t>满足学校每天晨午检定位</w:t>
            </w:r>
          </w:p>
          <w:p>
            <w:pPr>
              <w:pStyle w:val="8"/>
              <w:bidi w:val="0"/>
              <w:ind w:firstLine="482" w:firstLineChars="200"/>
              <w:jc w:val="both"/>
              <w:rPr>
                <w:rFonts w:hint="eastAsia"/>
                <w:color w:val="auto"/>
                <w:lang w:val="en-US" w:eastAsia="zh-CN"/>
              </w:rPr>
            </w:pPr>
            <w:r>
              <w:rPr>
                <w:rFonts w:hint="eastAsia"/>
                <w:b/>
                <w:bCs/>
                <w:color w:val="auto"/>
                <w:lang w:val="en-US" w:eastAsia="zh-CN"/>
              </w:rPr>
              <w:t>2、技术要求：</w:t>
            </w:r>
          </w:p>
          <w:p>
            <w:pPr>
              <w:pStyle w:val="8"/>
              <w:bidi w:val="0"/>
              <w:ind w:firstLine="480" w:firstLineChars="200"/>
              <w:jc w:val="both"/>
              <w:rPr>
                <w:rFonts w:hint="eastAsia"/>
                <w:color w:val="auto"/>
                <w:lang w:val="en-US" w:eastAsia="zh-CN"/>
              </w:rPr>
            </w:pPr>
            <w:r>
              <w:rPr>
                <w:rFonts w:hint="eastAsia"/>
                <w:color w:val="auto"/>
                <w:lang w:val="en-US" w:eastAsia="zh-CN"/>
              </w:rPr>
              <w:t>1）基础API响应服务时长：以开放平台16个基础API大盘做为统计口径，在高德服务器端产生的所有请求的分钟平均响应时长，99.5%可控制在300ms以内。</w:t>
            </w:r>
          </w:p>
          <w:p>
            <w:pPr>
              <w:pStyle w:val="8"/>
              <w:bidi w:val="0"/>
              <w:ind w:firstLine="480" w:firstLineChars="200"/>
              <w:jc w:val="both"/>
              <w:rPr>
                <w:rFonts w:hint="eastAsia"/>
                <w:color w:val="auto"/>
                <w:lang w:val="en-US" w:eastAsia="zh-CN"/>
              </w:rPr>
            </w:pPr>
            <w:r>
              <w:rPr>
                <w:rFonts w:hint="eastAsia"/>
                <w:color w:val="auto"/>
                <w:lang w:val="en-US" w:eastAsia="zh-CN"/>
              </w:rPr>
              <w:t>2）可用性：服务全年可用时长/全年总时长&gt; =99.9% ，全年故障时长不超过8.76小时。</w:t>
            </w:r>
          </w:p>
          <w:p>
            <w:pPr>
              <w:pStyle w:val="8"/>
              <w:bidi w:val="0"/>
              <w:ind w:firstLine="480" w:firstLineChars="200"/>
              <w:jc w:val="both"/>
              <w:rPr>
                <w:rFonts w:hint="eastAsia"/>
                <w:color w:val="auto"/>
                <w:lang w:val="en-US" w:eastAsia="zh-CN"/>
              </w:rPr>
            </w:pPr>
            <w:r>
              <w:rPr>
                <w:rFonts w:hint="eastAsia"/>
                <w:color w:val="auto"/>
                <w:lang w:val="en-US" w:eastAsia="zh-CN"/>
              </w:rPr>
              <w:t>3）基础API服务监控月报：每个月初发上一个自然月的服务质量监控月报至官网订阅邮箱和注册邮箱，内容包括16个基础API接口的服务响应时长数据。</w:t>
            </w:r>
          </w:p>
          <w:p>
            <w:pPr>
              <w:pStyle w:val="8"/>
              <w:bidi w:val="0"/>
              <w:ind w:firstLine="480" w:firstLineChars="200"/>
              <w:jc w:val="both"/>
              <w:rPr>
                <w:rFonts w:hint="eastAsia"/>
                <w:color w:val="auto"/>
                <w:lang w:val="en-US" w:eastAsia="zh-CN"/>
              </w:rPr>
            </w:pPr>
            <w:r>
              <w:rPr>
                <w:rFonts w:hint="eastAsia"/>
                <w:color w:val="auto"/>
                <w:lang w:val="en-US" w:eastAsia="zh-CN"/>
              </w:rPr>
              <w:t>4）数据合规资讯月度推送：按月以邮件形式发送针对近期数据合规相关的资讯解读。</w:t>
            </w:r>
          </w:p>
          <w:p>
            <w:pPr>
              <w:pStyle w:val="8"/>
              <w:bidi w:val="0"/>
              <w:ind w:firstLine="480" w:firstLineChars="200"/>
              <w:jc w:val="both"/>
              <w:rPr>
                <w:rFonts w:hint="eastAsia"/>
                <w:color w:val="auto"/>
                <w:lang w:val="en-US" w:eastAsia="zh-CN"/>
              </w:rPr>
            </w:pPr>
            <w:r>
              <w:rPr>
                <w:rFonts w:hint="eastAsia"/>
                <w:color w:val="auto"/>
                <w:lang w:val="en-US" w:eastAsia="zh-CN"/>
              </w:rPr>
              <w:t>5）数据合规交流研讨：定期举办数据合规方面的线上或线下培训。</w:t>
            </w:r>
          </w:p>
          <w:p>
            <w:pPr>
              <w:pStyle w:val="8"/>
              <w:bidi w:val="0"/>
              <w:ind w:firstLine="480" w:firstLineChars="200"/>
              <w:jc w:val="both"/>
              <w:rPr>
                <w:rFonts w:hint="eastAsia"/>
                <w:color w:val="auto"/>
                <w:lang w:val="en-US" w:eastAsia="zh-CN"/>
              </w:rPr>
            </w:pPr>
            <w:r>
              <w:rPr>
                <w:rFonts w:hint="eastAsia"/>
                <w:color w:val="auto"/>
                <w:lang w:val="en-US" w:eastAsia="zh-CN"/>
              </w:rPr>
              <w:t>6）在线客服：在官网提供在线客服入口，实时响应客户咨询问题;群服务用户群内实现7*24小时服务。</w:t>
            </w:r>
          </w:p>
          <w:p>
            <w:pPr>
              <w:pStyle w:val="8"/>
              <w:bidi w:val="0"/>
              <w:ind w:firstLine="480" w:firstLineChars="200"/>
              <w:jc w:val="both"/>
              <w:rPr>
                <w:rFonts w:hint="eastAsia"/>
                <w:color w:val="auto"/>
                <w:lang w:val="en-US" w:eastAsia="zh-CN"/>
              </w:rPr>
            </w:pPr>
            <w:r>
              <w:rPr>
                <w:rFonts w:hint="eastAsia"/>
                <w:color w:val="auto"/>
                <w:lang w:val="en-US" w:eastAsia="zh-CN"/>
              </w:rPr>
              <w:t>7）咨询工单响应时长：响应时间小于2小时。</w:t>
            </w:r>
          </w:p>
          <w:p>
            <w:pPr>
              <w:pStyle w:val="8"/>
              <w:bidi w:val="0"/>
              <w:ind w:firstLine="480" w:firstLineChars="200"/>
              <w:jc w:val="both"/>
              <w:rPr>
                <w:rFonts w:hint="eastAsia"/>
                <w:color w:val="auto"/>
                <w:lang w:val="en-US" w:eastAsia="zh-CN"/>
              </w:rPr>
            </w:pPr>
            <w:r>
              <w:rPr>
                <w:rFonts w:hint="eastAsia"/>
                <w:color w:val="auto"/>
                <w:lang w:val="en-US" w:eastAsia="zh-CN"/>
              </w:rPr>
              <w:t>8）线上\线下培训：开放平台会不定期举办产品能力和数据合规方面的线上/线下培训，购买商用服务客户可在培训既定名额下优先参与。</w:t>
            </w:r>
          </w:p>
          <w:p>
            <w:pPr>
              <w:pStyle w:val="8"/>
              <w:bidi w:val="0"/>
              <w:ind w:firstLine="480" w:firstLineChars="200"/>
              <w:jc w:val="both"/>
              <w:rPr>
                <w:rFonts w:hint="eastAsia"/>
                <w:color w:val="auto"/>
                <w:lang w:val="en-US" w:eastAsia="zh-CN"/>
              </w:rPr>
            </w:pPr>
            <w:r>
              <w:rPr>
                <w:rFonts w:hint="eastAsia"/>
                <w:color w:val="auto"/>
                <w:lang w:val="en-US" w:eastAsia="zh-CN"/>
              </w:rPr>
              <w:t>9）服务期：一年</w:t>
            </w:r>
          </w:p>
          <w:p>
            <w:pPr>
              <w:pStyle w:val="8"/>
              <w:bidi w:val="0"/>
              <w:ind w:firstLine="482" w:firstLineChars="200"/>
              <w:jc w:val="both"/>
              <w:rPr>
                <w:rFonts w:hint="eastAsia"/>
                <w:color w:val="auto"/>
                <w:lang w:val="en-US" w:eastAsia="zh-CN"/>
              </w:rPr>
            </w:pPr>
            <w:r>
              <w:rPr>
                <w:rFonts w:hint="eastAsia"/>
                <w:b/>
                <w:bCs/>
                <w:color w:val="auto"/>
                <w:lang w:val="en-US" w:eastAsia="zh-CN"/>
              </w:rPr>
              <w:t>3、售后服务：1年</w:t>
            </w:r>
          </w:p>
        </w:tc>
        <w:tc>
          <w:tcPr>
            <w:tcW w:w="816" w:type="dxa"/>
            <w:tcBorders>
              <w:top w:val="single" w:color="auto" w:sz="4" w:space="0"/>
              <w:left w:val="single" w:color="auto" w:sz="4" w:space="0"/>
              <w:bottom w:val="single" w:color="auto" w:sz="4" w:space="0"/>
              <w:right w:val="single" w:color="auto" w:sz="4" w:space="0"/>
            </w:tcBorders>
            <w:vAlign w:val="center"/>
          </w:tcPr>
          <w:p>
            <w:pPr>
              <w:pStyle w:val="8"/>
              <w:bidi w:val="0"/>
              <w:jc w:val="center"/>
              <w:rPr>
                <w:rFonts w:hint="eastAsia"/>
                <w:color w:val="auto"/>
              </w:rPr>
            </w:pPr>
            <w:r>
              <w:rPr>
                <w:rFonts w:hint="eastAsia"/>
                <w:color w:val="auto"/>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pStyle w:val="8"/>
              <w:bidi w:val="0"/>
              <w:jc w:val="center"/>
              <w:rPr>
                <w:rFonts w:hint="eastAsia"/>
                <w:color w:val="auto"/>
              </w:rPr>
            </w:pPr>
            <w:r>
              <w:rPr>
                <w:rFonts w:hint="eastAsia"/>
                <w:color w:val="auto"/>
              </w:rPr>
              <w:t>3</w:t>
            </w:r>
          </w:p>
        </w:tc>
        <w:tc>
          <w:tcPr>
            <w:tcW w:w="1116" w:type="dxa"/>
            <w:tcBorders>
              <w:top w:val="single" w:color="auto" w:sz="4" w:space="0"/>
              <w:left w:val="single" w:color="auto" w:sz="4" w:space="0"/>
              <w:bottom w:val="single" w:color="auto" w:sz="4" w:space="0"/>
              <w:right w:val="single" w:color="auto" w:sz="4" w:space="0"/>
            </w:tcBorders>
            <w:vAlign w:val="center"/>
          </w:tcPr>
          <w:p>
            <w:pPr>
              <w:pStyle w:val="8"/>
              <w:bidi w:val="0"/>
              <w:jc w:val="center"/>
              <w:rPr>
                <w:rFonts w:hint="eastAsia"/>
                <w:color w:val="auto"/>
              </w:rPr>
            </w:pPr>
            <w:r>
              <w:rPr>
                <w:rFonts w:hint="eastAsia"/>
                <w:color w:val="auto"/>
              </w:rPr>
              <w:t>报表制作和报表检索引擎</w:t>
            </w:r>
          </w:p>
        </w:tc>
        <w:tc>
          <w:tcPr>
            <w:tcW w:w="6228" w:type="dxa"/>
            <w:tcBorders>
              <w:top w:val="single" w:color="auto" w:sz="4" w:space="0"/>
              <w:left w:val="single" w:color="auto" w:sz="4" w:space="0"/>
              <w:bottom w:val="single" w:color="auto" w:sz="4" w:space="0"/>
              <w:right w:val="single" w:color="auto" w:sz="4" w:space="0"/>
            </w:tcBorders>
            <w:vAlign w:val="center"/>
          </w:tcPr>
          <w:p>
            <w:pPr>
              <w:pStyle w:val="8"/>
              <w:bidi w:val="0"/>
              <w:ind w:firstLine="482" w:firstLineChars="200"/>
              <w:jc w:val="both"/>
              <w:rPr>
                <w:rFonts w:hint="eastAsia"/>
                <w:color w:val="auto"/>
              </w:rPr>
            </w:pPr>
            <w:r>
              <w:rPr>
                <w:rFonts w:hint="eastAsia"/>
                <w:b/>
                <w:bCs/>
                <w:color w:val="auto"/>
                <w:lang w:val="en-US" w:eastAsia="zh-CN"/>
              </w:rPr>
              <w:t>1、功能要求：</w:t>
            </w:r>
            <w:r>
              <w:rPr>
                <w:rFonts w:hint="eastAsia"/>
                <w:color w:val="auto"/>
              </w:rPr>
              <w:t>办事大厅的报表制作和检索</w:t>
            </w:r>
          </w:p>
          <w:p>
            <w:pPr>
              <w:pStyle w:val="8"/>
              <w:bidi w:val="0"/>
              <w:ind w:firstLine="482" w:firstLineChars="200"/>
              <w:jc w:val="both"/>
              <w:rPr>
                <w:rFonts w:hint="eastAsia"/>
                <w:b/>
                <w:bCs/>
                <w:color w:val="auto"/>
                <w:lang w:val="en-US" w:eastAsia="zh-CN"/>
              </w:rPr>
            </w:pPr>
            <w:r>
              <w:rPr>
                <w:rFonts w:hint="eastAsia"/>
                <w:b/>
                <w:bCs/>
                <w:color w:val="auto"/>
                <w:lang w:val="en-US" w:eastAsia="zh-CN"/>
              </w:rPr>
              <w:t>2、技术要求：</w:t>
            </w:r>
          </w:p>
          <w:p>
            <w:pPr>
              <w:pStyle w:val="8"/>
              <w:bidi w:val="0"/>
              <w:ind w:firstLine="480" w:firstLineChars="200"/>
              <w:jc w:val="both"/>
              <w:rPr>
                <w:rFonts w:hint="eastAsia"/>
                <w:color w:val="auto"/>
                <w:lang w:val="en-US" w:eastAsia="zh-CN"/>
              </w:rPr>
            </w:pPr>
            <w:r>
              <w:rPr>
                <w:rFonts w:hint="eastAsia"/>
                <w:color w:val="auto"/>
                <w:lang w:val="en-US" w:eastAsia="zh-CN"/>
              </w:rPr>
              <w:t>1）报表数量：提供支撑办事大厅60个以上的报表制作和报表检索引擎需求</w:t>
            </w:r>
          </w:p>
          <w:p>
            <w:pPr>
              <w:pStyle w:val="8"/>
              <w:bidi w:val="0"/>
              <w:ind w:firstLine="480" w:firstLineChars="200"/>
              <w:jc w:val="both"/>
              <w:rPr>
                <w:rFonts w:hint="eastAsia"/>
                <w:color w:val="auto"/>
                <w:lang w:val="en-US" w:eastAsia="zh-CN"/>
              </w:rPr>
            </w:pPr>
            <w:r>
              <w:rPr>
                <w:rFonts w:hint="eastAsia"/>
                <w:color w:val="auto"/>
                <w:lang w:val="en-US" w:eastAsia="zh-CN"/>
              </w:rPr>
              <w:t>2）报表功能：提供报表内数据的检索、导入导出等功能接口</w:t>
            </w:r>
          </w:p>
          <w:p>
            <w:pPr>
              <w:pStyle w:val="8"/>
              <w:bidi w:val="0"/>
              <w:ind w:firstLine="480" w:firstLineChars="200"/>
              <w:jc w:val="both"/>
              <w:rPr>
                <w:rFonts w:hint="eastAsia"/>
                <w:color w:val="auto"/>
                <w:lang w:val="en-US" w:eastAsia="zh-CN"/>
              </w:rPr>
            </w:pPr>
            <w:r>
              <w:rPr>
                <w:rFonts w:hint="eastAsia"/>
                <w:color w:val="auto"/>
                <w:lang w:val="en-US" w:eastAsia="zh-CN"/>
              </w:rPr>
              <w:t>3）报表响应时间：校园网基本环境、终端基本配置的情况下，1万条记录报表的导出时间不超过5秒</w:t>
            </w:r>
          </w:p>
          <w:p>
            <w:pPr>
              <w:pStyle w:val="8"/>
              <w:bidi w:val="0"/>
              <w:ind w:firstLine="480" w:firstLineChars="200"/>
              <w:jc w:val="both"/>
              <w:rPr>
                <w:rFonts w:hint="eastAsia"/>
                <w:color w:val="auto"/>
                <w:lang w:val="en-US" w:eastAsia="zh-CN"/>
              </w:rPr>
            </w:pPr>
            <w:r>
              <w:rPr>
                <w:rFonts w:hint="eastAsia"/>
                <w:color w:val="auto"/>
                <w:lang w:val="en-US" w:eastAsia="zh-CN"/>
              </w:rPr>
              <w:t>4）服务期：一年</w:t>
            </w:r>
          </w:p>
          <w:p>
            <w:pPr>
              <w:pStyle w:val="8"/>
              <w:bidi w:val="0"/>
              <w:ind w:firstLine="482" w:firstLineChars="200"/>
              <w:jc w:val="both"/>
              <w:rPr>
                <w:rFonts w:hint="eastAsia"/>
                <w:color w:val="auto"/>
                <w:lang w:val="en-US" w:eastAsia="zh-CN"/>
              </w:rPr>
            </w:pPr>
            <w:r>
              <w:rPr>
                <w:rFonts w:hint="eastAsia"/>
                <w:b/>
                <w:bCs/>
                <w:color w:val="auto"/>
                <w:lang w:val="en-US" w:eastAsia="zh-CN"/>
              </w:rPr>
              <w:t>3、售后服务：1年</w:t>
            </w:r>
          </w:p>
        </w:tc>
        <w:tc>
          <w:tcPr>
            <w:tcW w:w="816" w:type="dxa"/>
            <w:tcBorders>
              <w:top w:val="single" w:color="auto" w:sz="4" w:space="0"/>
              <w:left w:val="single" w:color="auto" w:sz="4" w:space="0"/>
              <w:bottom w:val="single" w:color="auto" w:sz="4" w:space="0"/>
              <w:right w:val="single" w:color="auto" w:sz="4" w:space="0"/>
            </w:tcBorders>
            <w:vAlign w:val="center"/>
          </w:tcPr>
          <w:p>
            <w:pPr>
              <w:pStyle w:val="8"/>
              <w:bidi w:val="0"/>
              <w:jc w:val="center"/>
              <w:rPr>
                <w:rFonts w:hint="eastAsia"/>
                <w:color w:val="auto"/>
              </w:rPr>
            </w:pPr>
            <w:r>
              <w:rPr>
                <w:rFonts w:hint="eastAsia"/>
                <w:color w:val="auto"/>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pStyle w:val="8"/>
              <w:bidi w:val="0"/>
              <w:jc w:val="center"/>
              <w:rPr>
                <w:rFonts w:hint="eastAsia" w:eastAsia="宋体"/>
                <w:color w:val="auto"/>
                <w:lang w:val="en-US" w:eastAsia="zh-CN"/>
              </w:rPr>
            </w:pPr>
            <w:r>
              <w:rPr>
                <w:rFonts w:hint="eastAsia"/>
                <w:color w:val="auto"/>
                <w:lang w:val="en-US" w:eastAsia="zh-CN"/>
              </w:rPr>
              <w:t>4</w:t>
            </w:r>
          </w:p>
        </w:tc>
        <w:tc>
          <w:tcPr>
            <w:tcW w:w="1116" w:type="dxa"/>
            <w:tcBorders>
              <w:top w:val="single" w:color="auto" w:sz="4" w:space="0"/>
              <w:left w:val="single" w:color="auto" w:sz="4" w:space="0"/>
              <w:bottom w:val="single" w:color="auto" w:sz="4" w:space="0"/>
              <w:right w:val="single" w:color="auto" w:sz="4" w:space="0"/>
            </w:tcBorders>
            <w:vAlign w:val="center"/>
          </w:tcPr>
          <w:p>
            <w:pPr>
              <w:pStyle w:val="8"/>
              <w:bidi w:val="0"/>
              <w:jc w:val="center"/>
              <w:rPr>
                <w:rFonts w:hint="eastAsia"/>
                <w:color w:val="auto"/>
              </w:rPr>
            </w:pPr>
            <w:r>
              <w:rPr>
                <w:rFonts w:hint="eastAsia"/>
                <w:color w:val="auto"/>
              </w:rPr>
              <w:t>系统总体要求</w:t>
            </w:r>
          </w:p>
        </w:tc>
        <w:tc>
          <w:tcPr>
            <w:tcW w:w="6228" w:type="dxa"/>
            <w:tcBorders>
              <w:top w:val="single" w:color="auto" w:sz="4" w:space="0"/>
              <w:left w:val="single" w:color="auto" w:sz="4" w:space="0"/>
              <w:bottom w:val="single" w:color="auto" w:sz="4" w:space="0"/>
              <w:right w:val="single" w:color="auto" w:sz="4" w:space="0"/>
            </w:tcBorders>
            <w:vAlign w:val="center"/>
          </w:tcPr>
          <w:p>
            <w:pPr>
              <w:pStyle w:val="4"/>
              <w:bidi w:val="0"/>
              <w:rPr>
                <w:rFonts w:hint="eastAsia"/>
                <w:color w:val="auto"/>
                <w:lang w:val="en-US" w:eastAsia="zh-CN"/>
              </w:rPr>
            </w:pPr>
            <w:r>
              <w:rPr>
                <w:rFonts w:hint="eastAsia"/>
                <w:color w:val="auto"/>
              </w:rPr>
              <w:t>品牌要求国际国内知名品牌，且服务器和存储必须是同一厂商，不接受全部或部分组件OEM产品，</w:t>
            </w:r>
            <w:r>
              <w:rPr>
                <w:rFonts w:hint="eastAsia"/>
                <w:color w:val="auto"/>
                <w:lang w:val="en-US" w:eastAsia="zh-CN"/>
              </w:rPr>
              <w:t>本章所列</w:t>
            </w:r>
            <w:r>
              <w:rPr>
                <w:rFonts w:hint="eastAsia"/>
                <w:color w:val="auto"/>
              </w:rPr>
              <w:t>技术要求为最低要求。</w:t>
            </w:r>
          </w:p>
        </w:tc>
        <w:tc>
          <w:tcPr>
            <w:tcW w:w="816" w:type="dxa"/>
            <w:tcBorders>
              <w:top w:val="single" w:color="auto" w:sz="4" w:space="0"/>
              <w:left w:val="single" w:color="auto" w:sz="4" w:space="0"/>
              <w:bottom w:val="single" w:color="auto" w:sz="4" w:space="0"/>
              <w:right w:val="single" w:color="auto" w:sz="4" w:space="0"/>
            </w:tcBorders>
            <w:vAlign w:val="center"/>
          </w:tcPr>
          <w:p>
            <w:pPr>
              <w:pStyle w:val="8"/>
              <w:bidi w:val="0"/>
              <w:jc w:val="center"/>
              <w:rPr>
                <w:rFonts w:hint="eastAsia" w:eastAsia="宋体"/>
                <w:color w:val="auto"/>
                <w:lang w:val="en-US" w:eastAsia="zh-CN"/>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3YmMwZGU1NmEzYjVhYzQ5OGJkMzFhMjczN2NiY2UifQ=="/>
  </w:docVars>
  <w:rsids>
    <w:rsidRoot w:val="42FE0788"/>
    <w:rsid w:val="193800E3"/>
    <w:rsid w:val="25746AD7"/>
    <w:rsid w:val="42FE07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4"/>
    <w:basedOn w:val="1"/>
    <w:next w:val="1"/>
    <w:qFormat/>
    <w:uiPriority w:val="0"/>
    <w:pPr>
      <w:keepNext/>
      <w:keepLines/>
      <w:adjustRightInd w:val="0"/>
      <w:spacing w:line="360" w:lineRule="auto"/>
      <w:outlineLvl w:val="3"/>
    </w:pPr>
    <w:rPr>
      <w:rFonts w:ascii="宋体" w:hAnsi="宋体" w:eastAsia="宋体" w:cs="宋体"/>
      <w:b/>
      <w:kern w:val="0"/>
      <w:sz w:val="2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b/>
      <w:sz w:val="28"/>
    </w:rPr>
  </w:style>
  <w:style w:type="paragraph" w:styleId="4">
    <w:name w:val="Normal Indent"/>
    <w:basedOn w:val="1"/>
    <w:next w:val="5"/>
    <w:qFormat/>
    <w:uiPriority w:val="0"/>
    <w:pPr>
      <w:spacing w:line="360" w:lineRule="auto"/>
      <w:ind w:firstLine="562" w:firstLineChars="200"/>
    </w:pPr>
    <w:rPr>
      <w:rFonts w:ascii="宋体" w:hAnsi="宋体" w:cs="宋体"/>
      <w:sz w:val="24"/>
    </w:rPr>
  </w:style>
  <w:style w:type="paragraph" w:styleId="5">
    <w:name w:val="toc 4"/>
    <w:basedOn w:val="1"/>
    <w:next w:val="1"/>
    <w:qFormat/>
    <w:uiPriority w:val="0"/>
    <w:pPr>
      <w:ind w:left="630"/>
      <w:jc w:val="left"/>
    </w:pPr>
    <w:rPr>
      <w:sz w:val="18"/>
      <w:szCs w:val="18"/>
    </w:rPr>
  </w:style>
  <w:style w:type="paragraph" w:customStyle="1" w:styleId="8">
    <w:name w:val="表格"/>
    <w:basedOn w:val="1"/>
    <w:qFormat/>
    <w:uiPriority w:val="0"/>
    <w:pPr>
      <w:adjustRightInd w:val="0"/>
      <w:snapToGrid w:val="0"/>
      <w:spacing w:line="360" w:lineRule="auto"/>
      <w:jc w:val="center"/>
    </w:pPr>
    <w:rPr>
      <w:rFonts w:ascii="宋体" w:hAnsi="宋体" w:cs="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2486</Words>
  <Characters>2731</Characters>
  <Lines>0</Lines>
  <Paragraphs>0</Paragraphs>
  <TotalTime>0</TotalTime>
  <ScaleCrop>false</ScaleCrop>
  <LinksUpToDate>false</LinksUpToDate>
  <CharactersWithSpaces>2764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2022-11-13T07:44:00Z</dcterms:created>
  <dc:creator>好好的</dc:creator>
  <cp:lastModifiedBy>好好的</cp:lastModifiedBy>
  <dcterms:modified xsi:type="dcterms:W3CDTF">2022-11-13T08:18:24Z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EB7C14B36C4D4B00B6DD206563609772</vt:lpwstr>
  </property>
</Properties>
</file>