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lang w:val="en-US" w:eastAsia="zh-CN" w:bidi="ar-SA"/>
        </w:rPr>
        <w:t xml:space="preserve"> </w:t>
      </w:r>
      <w:bookmarkStart w:id="0" w:name="_Toc30718"/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lang w:val="en-US" w:eastAsia="zh-CN" w:bidi="ar-SA"/>
        </w:rPr>
        <w:t>采购要求</w:t>
      </w:r>
      <w:bookmarkEnd w:id="0"/>
    </w:p>
    <w:tbl>
      <w:tblPr>
        <w:tblStyle w:val="6"/>
        <w:tblW w:w="50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27"/>
        <w:gridCol w:w="6014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" w:hAnsi="仿宋" w:eastAsia="仿宋" w:cs="Courier New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" w:hAnsi="仿宋" w:eastAsia="仿宋" w:cs="Courier New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" w:hAnsi="仿宋" w:eastAsia="仿宋" w:cs="Courier New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" w:hAnsi="仿宋" w:eastAsia="仿宋" w:cs="Courier New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b/>
                <w:bCs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高压氢气泄漏扩散实验箱</w:t>
            </w:r>
          </w:p>
        </w:tc>
        <w:tc>
          <w:tcPr>
            <w:tcW w:w="3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1、供气系统：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 配气接口：2路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 操作形式：自动控制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1.3 配气精度：≤0.1%FS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1.4 高压气动阀耐压：≥50 MPa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2、高压储气罐（需附国家本安型防爆资质鉴定证书）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 最大耐压：50MPa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 形状：体积为10L的圆柱形容器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 控温范围：RT+10~200℃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 控温精度：≤±2℃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 测温范围：室温~200℃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2.6 温度测量精度：≤±0.05℃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2.7 储罐内附加磁力搅拌系统（防爆电机、调速器，高温磁铁、搅拌密封系统）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3、可视化箱体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 最大耐压：≥10MPa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 尺寸：1500*1200*1100mm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3.3 光学视窗：预留3面可视窗，6个通风窗。光学可视窗材质要求为蓝宝石（透过率：λ（OH）=70%、λ（O）=80%、λ（H）=80%，平行度：＜1分，面形N＜1/英寸）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3.4 泄爆装置：可视化箱体尾部加装泄爆设备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 形状：矩形箱体预留侧面可打开面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4、真空系统：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4.1 需满足高压储气罐真空度小于300Pa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5、压力采集系统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 可视化有限空间配置动态压力传感器4支，测量范围0-50MPa，采集频率≥500kHz, 非线性误差≤1.0%FS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6、自动化控制与数据采集系统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6.1实验平台配套软件应实现供气系统、喷射系统、数据采集系统、压力控制系统等一体化自动控制，包括供气系统与高压储气罐之间的自动闭锁。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6.2数据采集平台：处理器主频≥3.0GHz，数据存储容量≥500Gb，浓度、压力、速度等变化数据的实时显示、记录软件。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7、浓度采集系统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7.1可视化箱体内配置氢浓度传感器20支，测量范围0-40000PPM 0-100%LEL，采集频率≥500kHz, 非线性误差≤1.0%FS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8、其他要求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8.1 上述所有实验装置集成于一个实验平台，且供气系统、高压储气罐、可视化箱体等关键部件应实现可拆卸安装功能。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8.2 涉及高压的特殊容器需附厂家出厂检测报告文件。</w:t>
            </w:r>
          </w:p>
          <w:p>
            <w:pPr>
              <w:pStyle w:val="2"/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连接箱体的管路密封性能高、防爆性要求高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ECAEB"/>
    <w:multiLevelType w:val="singleLevel"/>
    <w:tmpl w:val="F20ECAEB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ZjdmNzg2NGM5Y2E2ZDkzNmM4ZGFmNTM2MjgwNzYifQ=="/>
  </w:docVars>
  <w:rsids>
    <w:rsidRoot w:val="5BD607C0"/>
    <w:rsid w:val="5BD6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left="720"/>
      <w:contextualSpacing/>
    </w:pPr>
    <w:rPr>
      <w:rFonts w:ascii="Times New Roman" w:hAnsi="Times New Roman"/>
      <w:szCs w:val="24"/>
    </w:rPr>
  </w:style>
  <w:style w:type="paragraph" w:styleId="3">
    <w:name w:val="Body Text"/>
    <w:basedOn w:val="1"/>
    <w:next w:val="1"/>
    <w:qFormat/>
    <w:uiPriority w:val="0"/>
    <w:rPr>
      <w:color w:val="993300"/>
      <w:kern w:val="0"/>
      <w:sz w:val="24"/>
      <w:szCs w:val="24"/>
    </w:rPr>
  </w:style>
  <w:style w:type="paragraph" w:styleId="4">
    <w:name w:val="Plain Text"/>
    <w:basedOn w:val="1"/>
    <w:qFormat/>
    <w:uiPriority w:val="0"/>
    <w:pPr>
      <w:spacing w:line="324" w:lineRule="auto"/>
    </w:pPr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2022-11-13T02:45:00Z</dcterms:created>
  <dc:creator>李广华（花嫁盛典）</dc:creator>
  <cp:lastModifiedBy>李广华（花嫁盛典）</cp:lastModifiedBy>
  <dcterms:modified xsi:type="dcterms:W3CDTF">2022-11-13T02:46:00Z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173D3595D7D54BECA1326DCB5DF75E90</vt:lpwstr>
  </property>
</Properties>
</file>