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Fonts w:hint="eastAsia" w:ascii="宋体" w:hAnsi="宋体" w:eastAsia="宋体" w:cs="宋体"/>
          <w:b/>
          <w:bCs/>
          <w:kern w:val="44"/>
          <w:sz w:val="28"/>
          <w:szCs w:val="28"/>
          <w:lang w:val="en-US" w:eastAsia="zh-CN" w:bidi="ar-SA"/>
        </w:rPr>
      </w:pPr>
      <w:bookmarkStart w:id="0" w:name="_Toc6652"/>
      <w:r>
        <w:rPr>
          <w:rFonts w:hint="eastAsia" w:ascii="宋体" w:hAnsi="宋体" w:eastAsia="宋体" w:cs="宋体"/>
          <w:b/>
          <w:bCs/>
          <w:kern w:val="44"/>
          <w:sz w:val="28"/>
          <w:szCs w:val="28"/>
          <w:lang w:val="en-US" w:eastAsia="zh-CN" w:bidi="ar-SA"/>
        </w:rPr>
        <w:t>项目编号：</w:t>
      </w:r>
      <w:r>
        <w:rPr>
          <w:rFonts w:hint="eastAsia" w:ascii="宋体" w:hAnsi="宋体" w:cs="宋体"/>
          <w:b/>
          <w:bCs/>
          <w:kern w:val="44"/>
          <w:sz w:val="28"/>
          <w:szCs w:val="28"/>
          <w:lang w:val="en-US" w:eastAsia="zh-CN" w:bidi="ar-SA"/>
        </w:rPr>
        <w:t>ZHZB2022-FW-1025</w:t>
      </w:r>
      <w:bookmarkEnd w:id="0"/>
    </w:p>
    <w:p>
      <w:pPr>
        <w:outlineLvl w:val="9"/>
        <w:rPr>
          <w:rFonts w:hint="eastAsia" w:cs="Times New Roman"/>
          <w:b/>
          <w:bCs/>
          <w:kern w:val="44"/>
          <w:sz w:val="32"/>
          <w:szCs w:val="32"/>
          <w:lang w:val="en-US" w:eastAsia="zh-CN" w:bidi="ar-SA"/>
        </w:rPr>
      </w:pPr>
    </w:p>
    <w:p>
      <w:pPr>
        <w:rPr>
          <w:rFonts w:hint="eastAsia" w:cs="Times New Roman"/>
          <w:b/>
          <w:bCs/>
          <w:kern w:val="44"/>
          <w:sz w:val="32"/>
          <w:szCs w:val="32"/>
          <w:lang w:val="en-US" w:eastAsia="zh-CN" w:bidi="ar-SA"/>
        </w:rPr>
      </w:pPr>
    </w:p>
    <w:p>
      <w:pPr>
        <w:pStyle w:val="10"/>
        <w:rPr>
          <w:rFonts w:hint="eastAsia" w:cs="Times New Roman"/>
          <w:b/>
          <w:bCs/>
          <w:kern w:val="44"/>
          <w:sz w:val="32"/>
          <w:szCs w:val="32"/>
          <w:lang w:val="en-US" w:eastAsia="zh-CN" w:bidi="ar-SA"/>
        </w:rPr>
      </w:pPr>
    </w:p>
    <w:p>
      <w:pPr>
        <w:pStyle w:val="11"/>
        <w:rPr>
          <w:rFonts w:hint="eastAsia"/>
          <w:lang w:val="en-US" w:eastAsia="zh-CN"/>
        </w:rPr>
      </w:pPr>
    </w:p>
    <w:p>
      <w:pPr>
        <w:pStyle w:val="11"/>
        <w:rPr>
          <w:rFonts w:hint="eastAsia"/>
          <w:lang w:val="en-US" w:eastAsia="zh-CN"/>
        </w:rPr>
      </w:pPr>
    </w:p>
    <w:p>
      <w:pPr>
        <w:jc w:val="center"/>
        <w:outlineLvl w:val="9"/>
        <w:rPr>
          <w:rFonts w:hint="eastAsia" w:ascii="宋体" w:hAnsi="宋体" w:cs="宋体"/>
          <w:b/>
          <w:bCs/>
          <w:sz w:val="44"/>
          <w:szCs w:val="44"/>
          <w:lang w:eastAsia="zh-CN"/>
        </w:rPr>
      </w:pPr>
      <w:bookmarkStart w:id="1" w:name="_Toc22574"/>
      <w:r>
        <w:rPr>
          <w:rFonts w:hint="eastAsia" w:ascii="宋体" w:hAnsi="宋体" w:cs="宋体"/>
          <w:b/>
          <w:bCs/>
          <w:sz w:val="44"/>
          <w:szCs w:val="44"/>
          <w:lang w:eastAsia="zh-CN"/>
        </w:rPr>
        <w:t>陕西省森林草原湿地综合监测项目</w:t>
      </w:r>
      <w:bookmarkEnd w:id="1"/>
    </w:p>
    <w:p>
      <w:pPr>
        <w:jc w:val="center"/>
        <w:outlineLvl w:val="9"/>
        <w:rPr>
          <w:rFonts w:hint="eastAsia" w:ascii="宋体" w:hAnsi="宋体" w:cs="宋体"/>
          <w:b/>
          <w:bCs/>
          <w:sz w:val="44"/>
          <w:szCs w:val="44"/>
          <w:lang w:eastAsia="zh-CN"/>
        </w:rPr>
      </w:pPr>
      <w:bookmarkStart w:id="2" w:name="_Toc15222"/>
      <w:r>
        <w:rPr>
          <w:rFonts w:hint="eastAsia" w:ascii="宋体" w:hAnsi="宋体" w:cs="宋体"/>
          <w:b/>
          <w:bCs/>
          <w:sz w:val="44"/>
          <w:szCs w:val="44"/>
          <w:lang w:eastAsia="zh-CN"/>
        </w:rPr>
        <w:t>林草湿图斑监测专题数据库数据处理服务</w:t>
      </w:r>
      <w:bookmarkEnd w:id="2"/>
    </w:p>
    <w:p>
      <w:pPr>
        <w:pStyle w:val="10"/>
        <w:outlineLvl w:val="9"/>
        <w:rPr>
          <w:rFonts w:hint="eastAsia" w:ascii="宋体" w:hAnsi="宋体" w:cs="宋体"/>
          <w:b/>
          <w:bCs/>
          <w:sz w:val="44"/>
          <w:szCs w:val="44"/>
          <w:lang w:eastAsia="zh-CN"/>
        </w:rPr>
      </w:pPr>
    </w:p>
    <w:p>
      <w:pPr>
        <w:pStyle w:val="11"/>
        <w:outlineLvl w:val="9"/>
        <w:rPr>
          <w:rFonts w:hint="eastAsia" w:ascii="宋体" w:hAnsi="宋体" w:cs="宋体"/>
          <w:b/>
          <w:bCs/>
          <w:sz w:val="44"/>
          <w:szCs w:val="44"/>
          <w:lang w:eastAsia="zh-CN"/>
        </w:rPr>
      </w:pPr>
    </w:p>
    <w:p>
      <w:pPr>
        <w:pStyle w:val="11"/>
        <w:jc w:val="both"/>
        <w:outlineLvl w:val="9"/>
        <w:rPr>
          <w:rFonts w:hint="eastAsia" w:ascii="宋体" w:hAnsi="宋体" w:cs="宋体"/>
          <w:b/>
          <w:bCs/>
          <w:sz w:val="44"/>
          <w:szCs w:val="44"/>
          <w:lang w:val="en-US" w:eastAsia="zh-CN"/>
        </w:rPr>
      </w:pPr>
    </w:p>
    <w:p>
      <w:pPr>
        <w:pStyle w:val="11"/>
        <w:jc w:val="center"/>
        <w:outlineLvl w:val="9"/>
        <w:rPr>
          <w:rFonts w:hint="eastAsia" w:ascii="宋体" w:hAnsi="宋体" w:cs="宋体"/>
          <w:b/>
          <w:bCs/>
          <w:sz w:val="44"/>
          <w:szCs w:val="44"/>
          <w:lang w:val="en-US" w:eastAsia="zh-CN"/>
        </w:rPr>
      </w:pPr>
      <w:bookmarkStart w:id="3" w:name="_Toc17595"/>
      <w:r>
        <w:rPr>
          <w:rFonts w:hint="eastAsia" w:ascii="宋体" w:hAnsi="宋体" w:cs="宋体"/>
          <w:b/>
          <w:bCs/>
          <w:sz w:val="44"/>
          <w:szCs w:val="44"/>
          <w:lang w:val="en-US" w:eastAsia="zh-CN"/>
        </w:rPr>
        <w:t>竞争性磋商文件</w:t>
      </w:r>
      <w:bookmarkEnd w:id="3"/>
    </w:p>
    <w:p>
      <w:pPr>
        <w:pStyle w:val="11"/>
        <w:jc w:val="center"/>
        <w:outlineLvl w:val="9"/>
        <w:rPr>
          <w:rFonts w:hint="eastAsia" w:ascii="宋体" w:hAnsi="宋体" w:cs="宋体"/>
          <w:b/>
          <w:bCs/>
          <w:sz w:val="44"/>
          <w:szCs w:val="44"/>
          <w:lang w:val="en-US" w:eastAsia="zh-CN"/>
        </w:rPr>
      </w:pPr>
    </w:p>
    <w:p>
      <w:pPr>
        <w:pStyle w:val="11"/>
        <w:jc w:val="center"/>
        <w:outlineLvl w:val="9"/>
        <w:rPr>
          <w:rFonts w:hint="eastAsia" w:ascii="宋体" w:hAnsi="宋体" w:cs="宋体"/>
          <w:b/>
          <w:bCs/>
          <w:sz w:val="44"/>
          <w:szCs w:val="44"/>
          <w:lang w:val="en-US" w:eastAsia="zh-CN"/>
        </w:rPr>
      </w:pPr>
    </w:p>
    <w:p>
      <w:pPr>
        <w:pStyle w:val="11"/>
        <w:jc w:val="center"/>
        <w:outlineLvl w:val="9"/>
        <w:rPr>
          <w:rFonts w:hint="eastAsia" w:ascii="宋体" w:hAnsi="宋体" w:cs="宋体"/>
          <w:b/>
          <w:bCs/>
          <w:sz w:val="28"/>
          <w:szCs w:val="28"/>
          <w:lang w:val="en-US" w:eastAsia="zh-CN"/>
        </w:rPr>
      </w:pPr>
      <w:bookmarkStart w:id="4" w:name="_Toc10627"/>
      <w:r>
        <w:rPr>
          <w:rFonts w:hint="eastAsia" w:ascii="宋体" w:hAnsi="宋体" w:cs="宋体"/>
          <w:b/>
          <w:bCs/>
          <w:sz w:val="28"/>
          <w:szCs w:val="28"/>
          <w:lang w:val="en-US" w:eastAsia="zh-CN"/>
        </w:rPr>
        <w:t>采购代理机构：陕西中海招标有限公司</w:t>
      </w:r>
      <w:bookmarkEnd w:id="4"/>
    </w:p>
    <w:p>
      <w:pPr>
        <w:pStyle w:val="11"/>
        <w:jc w:val="center"/>
        <w:outlineLvl w:val="9"/>
        <w:rPr>
          <w:rFonts w:hint="eastAsia" w:ascii="Times New Roman" w:hAnsi="Times New Roman" w:eastAsia="宋体" w:cs="Times New Roman"/>
          <w:b/>
          <w:bCs/>
          <w:kern w:val="44"/>
          <w:sz w:val="32"/>
          <w:szCs w:val="32"/>
          <w:lang w:val="en-US" w:eastAsia="zh-CN" w:bidi="ar-SA"/>
        </w:rPr>
        <w:sectPr>
          <w:headerReference r:id="rId3" w:type="default"/>
          <w:footerReference r:id="rId4" w:type="default"/>
          <w:pgSz w:w="11906" w:h="16838"/>
          <w:pgMar w:top="1418" w:right="1418" w:bottom="1418" w:left="1418" w:header="964" w:footer="964" w:gutter="0"/>
          <w:pgNumType w:fmt="numberInDash"/>
          <w:cols w:space="720" w:num="1"/>
          <w:docGrid w:linePitch="312" w:charSpace="0"/>
        </w:sectPr>
      </w:pPr>
      <w:bookmarkStart w:id="5" w:name="_Toc27541"/>
      <w:r>
        <w:rPr>
          <w:rFonts w:hint="eastAsia" w:ascii="宋体" w:hAnsi="宋体" w:cs="宋体"/>
          <w:b/>
          <w:bCs/>
          <w:sz w:val="28"/>
          <w:szCs w:val="28"/>
          <w:lang w:val="en-US" w:eastAsia="zh-CN"/>
        </w:rPr>
        <w:t>日期：二〇二二年十月</w:t>
      </w:r>
      <w:bookmarkEnd w:id="5"/>
    </w:p>
    <w:p>
      <w:pPr>
        <w:rPr>
          <w:b/>
          <w:bCs/>
        </w:rPr>
      </w:pPr>
    </w:p>
    <w:p/>
    <w:p>
      <w:pPr>
        <w:pStyle w:val="2"/>
        <w:numPr>
          <w:ilvl w:val="0"/>
          <w:numId w:val="0"/>
        </w:numPr>
        <w:ind w:left="2520" w:leftChars="0"/>
      </w:pPr>
    </w:p>
    <w:p/>
    <w:sdt>
      <w:sdtPr>
        <w:rPr>
          <w:rFonts w:ascii="宋体" w:hAnsi="宋体" w:eastAsia="宋体" w:cs="Times New Roman"/>
          <w:b/>
          <w:bCs/>
          <w:kern w:val="2"/>
          <w:sz w:val="28"/>
          <w:szCs w:val="28"/>
          <w:lang w:val="en-US" w:eastAsia="zh-CN" w:bidi="ar-SA"/>
        </w:rPr>
        <w:id w:val="147459971"/>
        <w15:color w:val="DBDBDB"/>
        <w:docPartObj>
          <w:docPartGallery w:val="Table of Contents"/>
          <w:docPartUnique/>
        </w:docPartObj>
      </w:sdtPr>
      <w:sdtEndPr>
        <w:rPr>
          <w:rFonts w:ascii="宋体" w:hAnsi="宋体" w:eastAsia="宋体" w:cs="Times New Roman"/>
          <w:b/>
          <w:bCs/>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b/>
              <w:bCs/>
              <w:sz w:val="28"/>
              <w:szCs w:val="28"/>
            </w:rPr>
          </w:pPr>
          <w:bookmarkStart w:id="6" w:name="_Toc300"/>
          <w:r>
            <w:rPr>
              <w:rFonts w:ascii="宋体" w:hAnsi="宋体" w:eastAsia="宋体"/>
              <w:b/>
              <w:bCs/>
              <w:sz w:val="28"/>
              <w:szCs w:val="28"/>
            </w:rPr>
            <w:t>目录</w:t>
          </w:r>
        </w:p>
        <w:p>
          <w:pPr>
            <w:pStyle w:val="20"/>
            <w:tabs>
              <w:tab w:val="right" w:leader="dot" w:pos="9070"/>
            </w:tabs>
            <w:rPr>
              <w:b/>
              <w:bCs/>
              <w:sz w:val="32"/>
              <w:szCs w:val="32"/>
            </w:rPr>
          </w:pPr>
          <w:r>
            <w:rPr>
              <w:b/>
              <w:bCs/>
              <w:sz w:val="32"/>
              <w:szCs w:val="32"/>
            </w:rPr>
            <w:fldChar w:fldCharType="begin"/>
          </w:r>
          <w:r>
            <w:rPr>
              <w:b/>
              <w:bCs/>
              <w:sz w:val="32"/>
              <w:szCs w:val="32"/>
            </w:rPr>
            <w:instrText xml:space="preserve">TOC \o "1-1" \h \u </w:instrText>
          </w:r>
          <w:r>
            <w:rPr>
              <w:b/>
              <w:bCs/>
              <w:sz w:val="32"/>
              <w:szCs w:val="32"/>
            </w:rPr>
            <w:fldChar w:fldCharType="separate"/>
          </w:r>
        </w:p>
        <w:p>
          <w:pPr>
            <w:pStyle w:val="20"/>
            <w:tabs>
              <w:tab w:val="right" w:leader="dot" w:pos="9070"/>
            </w:tabs>
            <w:rPr>
              <w:b/>
              <w:bCs/>
              <w:sz w:val="32"/>
              <w:szCs w:val="32"/>
            </w:rPr>
          </w:pPr>
          <w:r>
            <w:rPr>
              <w:b/>
              <w:bCs/>
              <w:sz w:val="32"/>
              <w:szCs w:val="32"/>
            </w:rPr>
            <w:fldChar w:fldCharType="begin"/>
          </w:r>
          <w:r>
            <w:rPr>
              <w:b/>
              <w:bCs/>
              <w:sz w:val="32"/>
              <w:szCs w:val="32"/>
            </w:rPr>
            <w:instrText xml:space="preserve"> HYPERLINK \l _Toc15756 </w:instrText>
          </w:r>
          <w:r>
            <w:rPr>
              <w:b/>
              <w:bCs/>
              <w:sz w:val="32"/>
              <w:szCs w:val="32"/>
            </w:rPr>
            <w:fldChar w:fldCharType="separate"/>
          </w:r>
          <w:r>
            <w:rPr>
              <w:rFonts w:hint="eastAsia" w:cs="Times New Roman"/>
              <w:b/>
              <w:bCs/>
              <w:kern w:val="44"/>
              <w:sz w:val="32"/>
              <w:szCs w:val="32"/>
              <w:lang w:val="en-US" w:eastAsia="zh-CN" w:bidi="ar-SA"/>
            </w:rPr>
            <w:t xml:space="preserve">第一章   </w:t>
          </w:r>
          <w:r>
            <w:rPr>
              <w:rFonts w:hint="eastAsia" w:ascii="Times New Roman" w:hAnsi="Times New Roman" w:eastAsia="宋体" w:cs="Times New Roman"/>
              <w:b/>
              <w:bCs/>
              <w:kern w:val="44"/>
              <w:sz w:val="32"/>
              <w:szCs w:val="32"/>
              <w:lang w:val="en-US" w:eastAsia="zh-CN" w:bidi="ar-SA"/>
            </w:rPr>
            <w:t>竞争性磋商公告</w:t>
          </w:r>
          <w:r>
            <w:rPr>
              <w:b/>
              <w:bCs/>
              <w:sz w:val="32"/>
              <w:szCs w:val="32"/>
            </w:rPr>
            <w:tab/>
          </w:r>
          <w:r>
            <w:rPr>
              <w:b/>
              <w:bCs/>
              <w:sz w:val="32"/>
              <w:szCs w:val="32"/>
            </w:rPr>
            <w:fldChar w:fldCharType="begin"/>
          </w:r>
          <w:r>
            <w:rPr>
              <w:b/>
              <w:bCs/>
              <w:sz w:val="32"/>
              <w:szCs w:val="32"/>
            </w:rPr>
            <w:instrText xml:space="preserve"> PAGEREF _Toc15756 \h </w:instrText>
          </w:r>
          <w:r>
            <w:rPr>
              <w:b/>
              <w:bCs/>
              <w:sz w:val="32"/>
              <w:szCs w:val="32"/>
            </w:rPr>
            <w:fldChar w:fldCharType="separate"/>
          </w:r>
          <w:r>
            <w:rPr>
              <w:b/>
              <w:bCs/>
              <w:sz w:val="32"/>
              <w:szCs w:val="32"/>
            </w:rPr>
            <w:t>- 2 -</w:t>
          </w:r>
          <w:r>
            <w:rPr>
              <w:b/>
              <w:bCs/>
              <w:sz w:val="32"/>
              <w:szCs w:val="32"/>
            </w:rPr>
            <w:fldChar w:fldCharType="end"/>
          </w:r>
          <w:r>
            <w:rPr>
              <w:b/>
              <w:bCs/>
              <w:sz w:val="32"/>
              <w:szCs w:val="32"/>
            </w:rPr>
            <w:fldChar w:fldCharType="end"/>
          </w:r>
        </w:p>
        <w:p>
          <w:pPr>
            <w:pStyle w:val="20"/>
            <w:tabs>
              <w:tab w:val="right" w:leader="dot" w:pos="9070"/>
            </w:tabs>
            <w:rPr>
              <w:b/>
              <w:bCs/>
              <w:sz w:val="32"/>
              <w:szCs w:val="32"/>
            </w:rPr>
          </w:pPr>
        </w:p>
        <w:p>
          <w:pPr>
            <w:pStyle w:val="20"/>
            <w:tabs>
              <w:tab w:val="right" w:leader="dot" w:pos="9070"/>
            </w:tabs>
            <w:rPr>
              <w:b/>
              <w:bCs/>
              <w:sz w:val="32"/>
              <w:szCs w:val="32"/>
            </w:rPr>
          </w:pPr>
          <w:r>
            <w:rPr>
              <w:b/>
              <w:bCs/>
              <w:sz w:val="32"/>
              <w:szCs w:val="32"/>
            </w:rPr>
            <w:fldChar w:fldCharType="begin"/>
          </w:r>
          <w:r>
            <w:rPr>
              <w:b/>
              <w:bCs/>
              <w:sz w:val="32"/>
              <w:szCs w:val="32"/>
            </w:rPr>
            <w:instrText xml:space="preserve"> HYPERLINK \l _Toc13950 </w:instrText>
          </w:r>
          <w:r>
            <w:rPr>
              <w:b/>
              <w:bCs/>
              <w:sz w:val="32"/>
              <w:szCs w:val="32"/>
            </w:rPr>
            <w:fldChar w:fldCharType="separate"/>
          </w:r>
          <w:r>
            <w:rPr>
              <w:rFonts w:hint="eastAsia" w:ascii="Times New Roman" w:hAnsi="Times New Roman" w:cs="Times New Roman"/>
              <w:b/>
              <w:bCs/>
              <w:kern w:val="44"/>
              <w:sz w:val="32"/>
              <w:szCs w:val="32"/>
              <w:lang w:val="en-US" w:eastAsia="zh-CN" w:bidi="ar-SA"/>
            </w:rPr>
            <w:t>第二章   供应商须知</w:t>
          </w:r>
          <w:r>
            <w:rPr>
              <w:b/>
              <w:bCs/>
              <w:sz w:val="32"/>
              <w:szCs w:val="32"/>
            </w:rPr>
            <w:tab/>
          </w:r>
          <w:r>
            <w:rPr>
              <w:b/>
              <w:bCs/>
              <w:sz w:val="32"/>
              <w:szCs w:val="32"/>
            </w:rPr>
            <w:fldChar w:fldCharType="begin"/>
          </w:r>
          <w:r>
            <w:rPr>
              <w:b/>
              <w:bCs/>
              <w:sz w:val="32"/>
              <w:szCs w:val="32"/>
            </w:rPr>
            <w:instrText xml:space="preserve"> PAGEREF _Toc13950 \h </w:instrText>
          </w:r>
          <w:r>
            <w:rPr>
              <w:b/>
              <w:bCs/>
              <w:sz w:val="32"/>
              <w:szCs w:val="32"/>
            </w:rPr>
            <w:fldChar w:fldCharType="separate"/>
          </w:r>
          <w:r>
            <w:rPr>
              <w:b/>
              <w:bCs/>
              <w:sz w:val="32"/>
              <w:szCs w:val="32"/>
            </w:rPr>
            <w:t>- 5 -</w:t>
          </w:r>
          <w:r>
            <w:rPr>
              <w:b/>
              <w:bCs/>
              <w:sz w:val="32"/>
              <w:szCs w:val="32"/>
            </w:rPr>
            <w:fldChar w:fldCharType="end"/>
          </w:r>
          <w:r>
            <w:rPr>
              <w:b/>
              <w:bCs/>
              <w:sz w:val="32"/>
              <w:szCs w:val="32"/>
            </w:rPr>
            <w:fldChar w:fldCharType="end"/>
          </w:r>
        </w:p>
        <w:p>
          <w:pPr>
            <w:pStyle w:val="20"/>
            <w:tabs>
              <w:tab w:val="right" w:leader="dot" w:pos="9070"/>
            </w:tabs>
            <w:rPr>
              <w:b/>
              <w:bCs/>
              <w:sz w:val="32"/>
              <w:szCs w:val="32"/>
            </w:rPr>
          </w:pPr>
        </w:p>
        <w:p>
          <w:pPr>
            <w:pStyle w:val="20"/>
            <w:tabs>
              <w:tab w:val="right" w:leader="dot" w:pos="9070"/>
            </w:tabs>
            <w:rPr>
              <w:b/>
              <w:bCs/>
              <w:sz w:val="32"/>
              <w:szCs w:val="32"/>
            </w:rPr>
          </w:pPr>
          <w:r>
            <w:rPr>
              <w:b/>
              <w:bCs/>
              <w:sz w:val="32"/>
              <w:szCs w:val="32"/>
            </w:rPr>
            <w:fldChar w:fldCharType="begin"/>
          </w:r>
          <w:r>
            <w:rPr>
              <w:b/>
              <w:bCs/>
              <w:sz w:val="32"/>
              <w:szCs w:val="32"/>
            </w:rPr>
            <w:instrText xml:space="preserve"> HYPERLINK \l _Toc12861 </w:instrText>
          </w:r>
          <w:r>
            <w:rPr>
              <w:b/>
              <w:bCs/>
              <w:sz w:val="32"/>
              <w:szCs w:val="32"/>
            </w:rPr>
            <w:fldChar w:fldCharType="separate"/>
          </w:r>
          <w:r>
            <w:rPr>
              <w:rFonts w:hint="eastAsia" w:ascii="Times New Roman" w:hAnsi="Times New Roman" w:cs="Times New Roman"/>
              <w:b/>
              <w:bCs/>
              <w:kern w:val="44"/>
              <w:sz w:val="32"/>
              <w:szCs w:val="32"/>
              <w:lang w:val="en-US" w:eastAsia="zh-CN" w:bidi="ar-SA"/>
            </w:rPr>
            <w:t>第三章   评标办法</w:t>
          </w:r>
          <w:r>
            <w:rPr>
              <w:b/>
              <w:bCs/>
              <w:sz w:val="32"/>
              <w:szCs w:val="32"/>
            </w:rPr>
            <w:tab/>
          </w:r>
          <w:r>
            <w:rPr>
              <w:b/>
              <w:bCs/>
              <w:sz w:val="32"/>
              <w:szCs w:val="32"/>
            </w:rPr>
            <w:fldChar w:fldCharType="begin"/>
          </w:r>
          <w:r>
            <w:rPr>
              <w:b/>
              <w:bCs/>
              <w:sz w:val="32"/>
              <w:szCs w:val="32"/>
            </w:rPr>
            <w:instrText xml:space="preserve"> PAGEREF _Toc12861 \h </w:instrText>
          </w:r>
          <w:r>
            <w:rPr>
              <w:b/>
              <w:bCs/>
              <w:sz w:val="32"/>
              <w:szCs w:val="32"/>
            </w:rPr>
            <w:fldChar w:fldCharType="separate"/>
          </w:r>
          <w:r>
            <w:rPr>
              <w:b/>
              <w:bCs/>
              <w:sz w:val="32"/>
              <w:szCs w:val="32"/>
            </w:rPr>
            <w:t>- 22 -</w:t>
          </w:r>
          <w:r>
            <w:rPr>
              <w:b/>
              <w:bCs/>
              <w:sz w:val="32"/>
              <w:szCs w:val="32"/>
            </w:rPr>
            <w:fldChar w:fldCharType="end"/>
          </w:r>
          <w:r>
            <w:rPr>
              <w:b/>
              <w:bCs/>
              <w:sz w:val="32"/>
              <w:szCs w:val="32"/>
            </w:rPr>
            <w:fldChar w:fldCharType="end"/>
          </w:r>
        </w:p>
        <w:p>
          <w:pPr>
            <w:pStyle w:val="20"/>
            <w:tabs>
              <w:tab w:val="right" w:leader="dot" w:pos="9070"/>
            </w:tabs>
            <w:rPr>
              <w:b/>
              <w:bCs/>
              <w:sz w:val="32"/>
              <w:szCs w:val="32"/>
            </w:rPr>
          </w:pPr>
        </w:p>
        <w:p>
          <w:pPr>
            <w:pStyle w:val="20"/>
            <w:tabs>
              <w:tab w:val="right" w:leader="dot" w:pos="9070"/>
            </w:tabs>
            <w:rPr>
              <w:b/>
              <w:bCs/>
              <w:sz w:val="32"/>
              <w:szCs w:val="32"/>
            </w:rPr>
          </w:pPr>
          <w:r>
            <w:rPr>
              <w:b/>
              <w:bCs/>
              <w:sz w:val="32"/>
              <w:szCs w:val="32"/>
            </w:rPr>
            <w:fldChar w:fldCharType="begin"/>
          </w:r>
          <w:r>
            <w:rPr>
              <w:b/>
              <w:bCs/>
              <w:sz w:val="32"/>
              <w:szCs w:val="32"/>
            </w:rPr>
            <w:instrText xml:space="preserve"> HYPERLINK \l _Toc22283 </w:instrText>
          </w:r>
          <w:r>
            <w:rPr>
              <w:b/>
              <w:bCs/>
              <w:sz w:val="32"/>
              <w:szCs w:val="32"/>
            </w:rPr>
            <w:fldChar w:fldCharType="separate"/>
          </w:r>
          <w:r>
            <w:rPr>
              <w:rFonts w:hint="eastAsia" w:ascii="Times New Roman" w:hAnsi="Times New Roman" w:cs="Times New Roman"/>
              <w:b/>
              <w:bCs/>
              <w:kern w:val="44"/>
              <w:sz w:val="32"/>
              <w:szCs w:val="32"/>
              <w:lang w:val="en-US" w:eastAsia="zh-CN" w:bidi="ar-SA"/>
            </w:rPr>
            <w:t>第四章   采购需求</w:t>
          </w:r>
          <w:r>
            <w:rPr>
              <w:b/>
              <w:bCs/>
              <w:sz w:val="32"/>
              <w:szCs w:val="32"/>
            </w:rPr>
            <w:tab/>
          </w:r>
          <w:r>
            <w:rPr>
              <w:b/>
              <w:bCs/>
              <w:sz w:val="32"/>
              <w:szCs w:val="32"/>
            </w:rPr>
            <w:fldChar w:fldCharType="begin"/>
          </w:r>
          <w:r>
            <w:rPr>
              <w:b/>
              <w:bCs/>
              <w:sz w:val="32"/>
              <w:szCs w:val="32"/>
            </w:rPr>
            <w:instrText xml:space="preserve"> PAGEREF _Toc22283 \h </w:instrText>
          </w:r>
          <w:r>
            <w:rPr>
              <w:b/>
              <w:bCs/>
              <w:sz w:val="32"/>
              <w:szCs w:val="32"/>
            </w:rPr>
            <w:fldChar w:fldCharType="separate"/>
          </w:r>
          <w:r>
            <w:rPr>
              <w:b/>
              <w:bCs/>
              <w:sz w:val="32"/>
              <w:szCs w:val="32"/>
            </w:rPr>
            <w:t>- 33 -</w:t>
          </w:r>
          <w:r>
            <w:rPr>
              <w:b/>
              <w:bCs/>
              <w:sz w:val="32"/>
              <w:szCs w:val="32"/>
            </w:rPr>
            <w:fldChar w:fldCharType="end"/>
          </w:r>
          <w:r>
            <w:rPr>
              <w:b/>
              <w:bCs/>
              <w:sz w:val="32"/>
              <w:szCs w:val="32"/>
            </w:rPr>
            <w:fldChar w:fldCharType="end"/>
          </w:r>
        </w:p>
        <w:p>
          <w:pPr>
            <w:pStyle w:val="20"/>
            <w:tabs>
              <w:tab w:val="right" w:leader="dot" w:pos="9070"/>
            </w:tabs>
            <w:rPr>
              <w:b/>
              <w:bCs/>
              <w:sz w:val="32"/>
              <w:szCs w:val="32"/>
            </w:rPr>
          </w:pPr>
        </w:p>
        <w:p>
          <w:pPr>
            <w:pStyle w:val="20"/>
            <w:tabs>
              <w:tab w:val="right" w:leader="dot" w:pos="9070"/>
            </w:tabs>
            <w:rPr>
              <w:b/>
              <w:bCs/>
              <w:sz w:val="32"/>
              <w:szCs w:val="32"/>
            </w:rPr>
          </w:pPr>
          <w:r>
            <w:rPr>
              <w:b/>
              <w:bCs/>
              <w:sz w:val="32"/>
              <w:szCs w:val="32"/>
            </w:rPr>
            <w:fldChar w:fldCharType="begin"/>
          </w:r>
          <w:r>
            <w:rPr>
              <w:b/>
              <w:bCs/>
              <w:sz w:val="32"/>
              <w:szCs w:val="32"/>
            </w:rPr>
            <w:instrText xml:space="preserve"> HYPERLINK \l _Toc19247 </w:instrText>
          </w:r>
          <w:r>
            <w:rPr>
              <w:b/>
              <w:bCs/>
              <w:sz w:val="32"/>
              <w:szCs w:val="32"/>
            </w:rPr>
            <w:fldChar w:fldCharType="separate"/>
          </w:r>
          <w:r>
            <w:rPr>
              <w:rFonts w:hint="eastAsia" w:ascii="Times New Roman" w:hAnsi="Times New Roman" w:cs="Times New Roman"/>
              <w:b/>
              <w:bCs/>
              <w:kern w:val="44"/>
              <w:sz w:val="32"/>
              <w:szCs w:val="32"/>
              <w:lang w:val="en-US" w:eastAsia="zh-CN" w:bidi="ar-SA"/>
            </w:rPr>
            <w:t>第五章   商务要求</w:t>
          </w:r>
          <w:r>
            <w:rPr>
              <w:b/>
              <w:bCs/>
              <w:sz w:val="32"/>
              <w:szCs w:val="32"/>
            </w:rPr>
            <w:tab/>
          </w:r>
          <w:r>
            <w:rPr>
              <w:b/>
              <w:bCs/>
              <w:sz w:val="32"/>
              <w:szCs w:val="32"/>
            </w:rPr>
            <w:fldChar w:fldCharType="begin"/>
          </w:r>
          <w:r>
            <w:rPr>
              <w:b/>
              <w:bCs/>
              <w:sz w:val="32"/>
              <w:szCs w:val="32"/>
            </w:rPr>
            <w:instrText xml:space="preserve"> PAGEREF _Toc19247 \h </w:instrText>
          </w:r>
          <w:r>
            <w:rPr>
              <w:b/>
              <w:bCs/>
              <w:sz w:val="32"/>
              <w:szCs w:val="32"/>
            </w:rPr>
            <w:fldChar w:fldCharType="separate"/>
          </w:r>
          <w:r>
            <w:rPr>
              <w:b/>
              <w:bCs/>
              <w:sz w:val="32"/>
              <w:szCs w:val="32"/>
            </w:rPr>
            <w:t>- 36 -</w:t>
          </w:r>
          <w:r>
            <w:rPr>
              <w:b/>
              <w:bCs/>
              <w:sz w:val="32"/>
              <w:szCs w:val="32"/>
            </w:rPr>
            <w:fldChar w:fldCharType="end"/>
          </w:r>
          <w:r>
            <w:rPr>
              <w:b/>
              <w:bCs/>
              <w:sz w:val="32"/>
              <w:szCs w:val="32"/>
            </w:rPr>
            <w:fldChar w:fldCharType="end"/>
          </w:r>
        </w:p>
        <w:p>
          <w:pPr>
            <w:pStyle w:val="20"/>
            <w:tabs>
              <w:tab w:val="right" w:leader="dot" w:pos="9070"/>
            </w:tabs>
            <w:rPr>
              <w:b/>
              <w:bCs/>
              <w:sz w:val="32"/>
              <w:szCs w:val="32"/>
            </w:rPr>
          </w:pPr>
        </w:p>
        <w:p>
          <w:pPr>
            <w:pStyle w:val="20"/>
            <w:tabs>
              <w:tab w:val="right" w:leader="dot" w:pos="9070"/>
            </w:tabs>
            <w:rPr>
              <w:b/>
              <w:bCs/>
              <w:sz w:val="32"/>
              <w:szCs w:val="32"/>
            </w:rPr>
          </w:pPr>
          <w:r>
            <w:rPr>
              <w:b/>
              <w:bCs/>
              <w:sz w:val="32"/>
              <w:szCs w:val="32"/>
            </w:rPr>
            <w:fldChar w:fldCharType="begin"/>
          </w:r>
          <w:r>
            <w:rPr>
              <w:b/>
              <w:bCs/>
              <w:sz w:val="32"/>
              <w:szCs w:val="32"/>
            </w:rPr>
            <w:instrText xml:space="preserve"> HYPERLINK \l _Toc1798 </w:instrText>
          </w:r>
          <w:r>
            <w:rPr>
              <w:b/>
              <w:bCs/>
              <w:sz w:val="32"/>
              <w:szCs w:val="32"/>
            </w:rPr>
            <w:fldChar w:fldCharType="separate"/>
          </w:r>
          <w:r>
            <w:rPr>
              <w:rFonts w:hint="eastAsia" w:ascii="Times New Roman" w:hAnsi="Times New Roman" w:cs="Times New Roman"/>
              <w:b/>
              <w:bCs/>
              <w:kern w:val="44"/>
              <w:sz w:val="32"/>
              <w:szCs w:val="32"/>
              <w:lang w:val="en-US" w:eastAsia="zh-CN" w:bidi="ar-SA"/>
            </w:rPr>
            <w:t>第六章   合同主要条款</w:t>
          </w:r>
          <w:r>
            <w:rPr>
              <w:b/>
              <w:bCs/>
              <w:sz w:val="32"/>
              <w:szCs w:val="32"/>
            </w:rPr>
            <w:tab/>
          </w:r>
          <w:r>
            <w:rPr>
              <w:b/>
              <w:bCs/>
              <w:sz w:val="32"/>
              <w:szCs w:val="32"/>
            </w:rPr>
            <w:fldChar w:fldCharType="begin"/>
          </w:r>
          <w:r>
            <w:rPr>
              <w:b/>
              <w:bCs/>
              <w:sz w:val="32"/>
              <w:szCs w:val="32"/>
            </w:rPr>
            <w:instrText xml:space="preserve"> PAGEREF _Toc1798 \h </w:instrText>
          </w:r>
          <w:r>
            <w:rPr>
              <w:b/>
              <w:bCs/>
              <w:sz w:val="32"/>
              <w:szCs w:val="32"/>
            </w:rPr>
            <w:fldChar w:fldCharType="separate"/>
          </w:r>
          <w:r>
            <w:rPr>
              <w:b/>
              <w:bCs/>
              <w:sz w:val="32"/>
              <w:szCs w:val="32"/>
            </w:rPr>
            <w:t>- 37 -</w:t>
          </w:r>
          <w:r>
            <w:rPr>
              <w:b/>
              <w:bCs/>
              <w:sz w:val="32"/>
              <w:szCs w:val="32"/>
            </w:rPr>
            <w:fldChar w:fldCharType="end"/>
          </w:r>
          <w:r>
            <w:rPr>
              <w:b/>
              <w:bCs/>
              <w:sz w:val="32"/>
              <w:szCs w:val="32"/>
            </w:rPr>
            <w:fldChar w:fldCharType="end"/>
          </w:r>
        </w:p>
        <w:p>
          <w:pPr>
            <w:pStyle w:val="20"/>
            <w:tabs>
              <w:tab w:val="right" w:leader="dot" w:pos="9070"/>
            </w:tabs>
            <w:rPr>
              <w:b/>
              <w:bCs/>
              <w:sz w:val="32"/>
              <w:szCs w:val="32"/>
            </w:rPr>
          </w:pPr>
        </w:p>
        <w:p>
          <w:pPr>
            <w:pStyle w:val="20"/>
            <w:tabs>
              <w:tab w:val="right" w:leader="dot" w:pos="9070"/>
            </w:tabs>
            <w:rPr>
              <w:b/>
              <w:bCs/>
              <w:sz w:val="32"/>
              <w:szCs w:val="32"/>
            </w:rPr>
          </w:pPr>
          <w:r>
            <w:rPr>
              <w:b/>
              <w:bCs/>
              <w:sz w:val="32"/>
              <w:szCs w:val="32"/>
            </w:rPr>
            <w:fldChar w:fldCharType="begin"/>
          </w:r>
          <w:r>
            <w:rPr>
              <w:b/>
              <w:bCs/>
              <w:sz w:val="32"/>
              <w:szCs w:val="32"/>
            </w:rPr>
            <w:instrText xml:space="preserve"> HYPERLINK \l _Toc2794 </w:instrText>
          </w:r>
          <w:r>
            <w:rPr>
              <w:b/>
              <w:bCs/>
              <w:sz w:val="32"/>
              <w:szCs w:val="32"/>
            </w:rPr>
            <w:fldChar w:fldCharType="separate"/>
          </w:r>
          <w:r>
            <w:rPr>
              <w:rFonts w:hint="eastAsia" w:ascii="Times New Roman" w:hAnsi="Times New Roman" w:cs="Times New Roman"/>
              <w:b/>
              <w:bCs/>
              <w:kern w:val="44"/>
              <w:sz w:val="32"/>
              <w:szCs w:val="32"/>
              <w:lang w:val="en-US" w:eastAsia="zh-CN" w:bidi="ar-SA"/>
            </w:rPr>
            <w:t>第七章   磋商响应文件格式</w:t>
          </w:r>
          <w:r>
            <w:rPr>
              <w:b/>
              <w:bCs/>
              <w:sz w:val="32"/>
              <w:szCs w:val="32"/>
            </w:rPr>
            <w:tab/>
          </w:r>
          <w:r>
            <w:rPr>
              <w:b/>
              <w:bCs/>
              <w:sz w:val="32"/>
              <w:szCs w:val="32"/>
            </w:rPr>
            <w:fldChar w:fldCharType="begin"/>
          </w:r>
          <w:r>
            <w:rPr>
              <w:b/>
              <w:bCs/>
              <w:sz w:val="32"/>
              <w:szCs w:val="32"/>
            </w:rPr>
            <w:instrText xml:space="preserve"> PAGEREF _Toc2794 \h </w:instrText>
          </w:r>
          <w:r>
            <w:rPr>
              <w:b/>
              <w:bCs/>
              <w:sz w:val="32"/>
              <w:szCs w:val="32"/>
            </w:rPr>
            <w:fldChar w:fldCharType="separate"/>
          </w:r>
          <w:r>
            <w:rPr>
              <w:b/>
              <w:bCs/>
              <w:sz w:val="32"/>
              <w:szCs w:val="32"/>
            </w:rPr>
            <w:t>- 40 -</w:t>
          </w:r>
          <w:r>
            <w:rPr>
              <w:b/>
              <w:bCs/>
              <w:sz w:val="32"/>
              <w:szCs w:val="32"/>
            </w:rPr>
            <w:fldChar w:fldCharType="end"/>
          </w:r>
          <w:r>
            <w:rPr>
              <w:b/>
              <w:bCs/>
              <w:sz w:val="32"/>
              <w:szCs w:val="32"/>
            </w:rPr>
            <w:fldChar w:fldCharType="end"/>
          </w:r>
        </w:p>
        <w:p>
          <w:pPr>
            <w:rPr>
              <w:b/>
              <w:bCs/>
              <w:sz w:val="21"/>
              <w:szCs w:val="21"/>
            </w:rPr>
          </w:pPr>
          <w:r>
            <w:rPr>
              <w:b/>
              <w:bCs/>
              <w:sz w:val="32"/>
              <w:szCs w:val="32"/>
            </w:rPr>
            <w:fldChar w:fldCharType="end"/>
          </w:r>
        </w:p>
      </w:sdtContent>
    </w:sdt>
    <w:p>
      <w:pPr>
        <w:rPr>
          <w:rFonts w:hint="eastAsia" w:cs="Times New Roman"/>
          <w:b/>
          <w:bCs/>
          <w:kern w:val="44"/>
          <w:sz w:val="36"/>
          <w:szCs w:val="36"/>
          <w:lang w:val="en-US" w:eastAsia="zh-CN" w:bidi="ar-SA"/>
        </w:rPr>
      </w:pPr>
      <w:r>
        <w:rPr>
          <w:rFonts w:hint="eastAsia" w:cs="Times New Roman"/>
          <w:b/>
          <w:bCs/>
          <w:kern w:val="44"/>
          <w:sz w:val="36"/>
          <w:szCs w:val="36"/>
          <w:lang w:val="en-US" w:eastAsia="zh-CN" w:bidi="ar-SA"/>
        </w:rPr>
        <w:br w:type="page"/>
      </w: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sz w:val="28"/>
          <w:szCs w:val="28"/>
          <w:lang w:eastAsia="zh-CN"/>
        </w:rPr>
      </w:pPr>
      <w:bookmarkStart w:id="7" w:name="_Toc15756"/>
      <w:r>
        <w:rPr>
          <w:rFonts w:hint="eastAsia" w:cs="Times New Roman"/>
          <w:b/>
          <w:bCs/>
          <w:kern w:val="44"/>
          <w:sz w:val="32"/>
          <w:szCs w:val="32"/>
          <w:lang w:val="en-US" w:eastAsia="zh-CN" w:bidi="ar-SA"/>
        </w:rPr>
        <w:t xml:space="preserve">第一章   </w:t>
      </w:r>
      <w:r>
        <w:rPr>
          <w:rFonts w:hint="eastAsia" w:ascii="Times New Roman" w:hAnsi="Times New Roman" w:eastAsia="宋体" w:cs="Times New Roman"/>
          <w:b/>
          <w:bCs/>
          <w:kern w:val="44"/>
          <w:sz w:val="32"/>
          <w:szCs w:val="32"/>
          <w:lang w:val="en-US" w:eastAsia="zh-CN" w:bidi="ar-SA"/>
        </w:rPr>
        <w:t>竞争性磋商公告</w:t>
      </w:r>
      <w:bookmarkEnd w:id="6"/>
      <w:bookmarkEnd w:id="7"/>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00" w:lineRule="exact"/>
        <w:ind w:left="0" w:right="0"/>
        <w:jc w:val="left"/>
        <w:textAlignment w:val="auto"/>
        <w:rPr>
          <w:rFonts w:ascii="微软雅黑" w:hAnsi="微软雅黑" w:eastAsia="微软雅黑" w:cs="微软雅黑"/>
          <w:b w:val="0"/>
          <w:bCs w:val="0"/>
          <w:i w:val="0"/>
          <w:iCs w:val="0"/>
          <w:caps w:val="0"/>
          <w:color w:val="333333"/>
          <w:spacing w:val="0"/>
          <w:sz w:val="21"/>
          <w:szCs w:val="21"/>
        </w:rPr>
      </w:pPr>
      <w:r>
        <w:rPr>
          <w:rStyle w:val="19"/>
          <w:rFonts w:hint="eastAsia" w:ascii="宋体" w:hAnsi="宋体" w:eastAsia="宋体" w:cs="宋体"/>
          <w:b/>
          <w:bCs/>
          <w:i w:val="0"/>
          <w:iCs w:val="0"/>
          <w:caps w:val="0"/>
          <w:color w:val="333333"/>
          <w:spacing w:val="0"/>
          <w:sz w:val="24"/>
          <w:szCs w:val="24"/>
          <w:shd w:val="clear" w:fill="FFFFFF"/>
        </w:rPr>
        <w:t>项目概况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陕西省森林草原湿地综合监测项目林草湿图斑监测专题数据库数据处理服务采购项目的潜在供应商应在陕西省西安市莲湖区西关正街60号英达大厦809室获取采购文件，并于 2022年11月15日 14时00分 （北京时间）前提交响应文件。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00" w:lineRule="exact"/>
        <w:ind w:left="0" w:right="0"/>
        <w:jc w:val="left"/>
        <w:textAlignment w:val="auto"/>
        <w:rPr>
          <w:rStyle w:val="19"/>
          <w:rFonts w:hint="eastAsia" w:ascii="宋体" w:hAnsi="宋体" w:eastAsia="宋体" w:cs="宋体"/>
          <w:b/>
          <w:bCs/>
          <w:i w:val="0"/>
          <w:iCs w:val="0"/>
          <w:caps w:val="0"/>
          <w:color w:val="333333"/>
          <w:spacing w:val="0"/>
          <w:sz w:val="24"/>
          <w:szCs w:val="24"/>
          <w:shd w:val="clear" w:fill="FFFFFF"/>
        </w:rPr>
      </w:pPr>
      <w:r>
        <w:rPr>
          <w:rStyle w:val="19"/>
          <w:rFonts w:hint="eastAsia" w:ascii="宋体" w:hAnsi="宋体" w:eastAsia="宋体" w:cs="宋体"/>
          <w:b/>
          <w:bCs/>
          <w:i w:val="0"/>
          <w:iCs w:val="0"/>
          <w:caps w:val="0"/>
          <w:color w:val="333333"/>
          <w:spacing w:val="0"/>
          <w:sz w:val="24"/>
          <w:szCs w:val="24"/>
          <w:shd w:val="clear" w:fill="FFFFFF"/>
        </w:rPr>
        <w:t>一、项目基本情况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项目编号：ZHZB2022-FW-1025</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项目名称：陕西省森林草原湿地综合监测项目林草湿图斑监测专题数据库数据处理服务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采购方式：竞争性磋商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预算金额：500,000.00元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采购需求：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合同包1(林草湿图斑监测专题数据库数据处理服务):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合同包预算金额：500,000.00元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合同包最高限价：500,000.00元</w:t>
      </w:r>
    </w:p>
    <w:tbl>
      <w:tblPr>
        <w:tblStyle w:val="16"/>
        <w:tblW w:w="10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8"/>
        <w:gridCol w:w="1709"/>
        <w:gridCol w:w="3061"/>
        <w:gridCol w:w="849"/>
        <w:gridCol w:w="1510"/>
        <w:gridCol w:w="1185"/>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tblHeader/>
        </w:trPr>
        <w:tc>
          <w:tcPr>
            <w:tcW w:w="6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lang w:val="en-US" w:eastAsia="zh-CN"/>
              </w:rPr>
              <w:t>品目号</w:t>
            </w:r>
          </w:p>
        </w:tc>
        <w:tc>
          <w:tcPr>
            <w:tcW w:w="17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lang w:val="en-US" w:eastAsia="zh-CN"/>
              </w:rPr>
              <w:t>品目名称</w:t>
            </w:r>
          </w:p>
        </w:tc>
        <w:tc>
          <w:tcPr>
            <w:tcW w:w="30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lang w:val="en-US" w:eastAsia="zh-CN"/>
              </w:rPr>
              <w:t>采购标的</w:t>
            </w:r>
          </w:p>
        </w:tc>
        <w:tc>
          <w:tcPr>
            <w:tcW w:w="8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lang w:val="en-US" w:eastAsia="zh-CN"/>
              </w:rPr>
              <w:t>数量（单位）</w:t>
            </w:r>
          </w:p>
        </w:tc>
        <w:tc>
          <w:tcPr>
            <w:tcW w:w="15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lang w:val="en-US" w:eastAsia="zh-CN"/>
              </w:rPr>
              <w:t>技术规格、参数及要求</w:t>
            </w:r>
          </w:p>
        </w:tc>
        <w:tc>
          <w:tcPr>
            <w:tcW w:w="11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lang w:val="en-US" w:eastAsia="zh-CN"/>
              </w:rPr>
              <w:t>品目预算(元)</w:t>
            </w:r>
          </w:p>
        </w:tc>
        <w:tc>
          <w:tcPr>
            <w:tcW w:w="11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6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lang w:val="en-US" w:eastAsia="zh-CN"/>
              </w:rPr>
              <w:t>1-1</w:t>
            </w:r>
          </w:p>
        </w:tc>
        <w:tc>
          <w:tcPr>
            <w:tcW w:w="17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lang w:val="en-US" w:eastAsia="zh-CN"/>
              </w:rPr>
              <w:t>数据加工处理服务</w:t>
            </w:r>
          </w:p>
        </w:tc>
        <w:tc>
          <w:tcPr>
            <w:tcW w:w="30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lang w:val="en-US" w:eastAsia="zh-CN"/>
              </w:rPr>
              <w:t>林草湿图斑监测专题数据库数据处理服务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lang w:val="en-US" w:eastAsia="zh-CN"/>
              </w:rPr>
              <w:t>500,000.00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lang w:val="en-US" w:eastAsia="zh-CN"/>
              </w:rPr>
              <w:t>500,000.00</w:t>
            </w:r>
          </w:p>
        </w:tc>
      </w:tr>
    </w:tbl>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合同履行期限：无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00" w:lineRule="exact"/>
        <w:ind w:left="0" w:right="0"/>
        <w:jc w:val="left"/>
        <w:textAlignment w:val="auto"/>
        <w:rPr>
          <w:rStyle w:val="19"/>
          <w:rFonts w:hint="eastAsia" w:ascii="宋体" w:hAnsi="宋体" w:eastAsia="宋体" w:cs="宋体"/>
          <w:b/>
          <w:bCs/>
          <w:i w:val="0"/>
          <w:iCs w:val="0"/>
          <w:caps w:val="0"/>
          <w:color w:val="333333"/>
          <w:spacing w:val="0"/>
          <w:sz w:val="24"/>
          <w:szCs w:val="24"/>
          <w:shd w:val="clear" w:fill="FFFFFF"/>
        </w:rPr>
      </w:pPr>
      <w:r>
        <w:rPr>
          <w:rStyle w:val="19"/>
          <w:rFonts w:hint="eastAsia" w:ascii="宋体" w:hAnsi="宋体" w:eastAsia="宋体" w:cs="宋体"/>
          <w:b/>
          <w:bCs/>
          <w:i w:val="0"/>
          <w:iCs w:val="0"/>
          <w:caps w:val="0"/>
          <w:color w:val="333333"/>
          <w:spacing w:val="0"/>
          <w:sz w:val="24"/>
          <w:szCs w:val="24"/>
          <w:shd w:val="clear" w:fill="FFFFFF"/>
        </w:rPr>
        <w:t>二、申请人的资格要求：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2.落实政府采购政策需满足的资格要求：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合同包1(林草湿图斑监测专题数据库数据处理服务)落实政府采购政策需满足的资格要求如下:</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财政部农业农村部国家乡村振兴局关于运用政府采购政策支持乡村产业振兴的通知》（财库〔2021〕19号）；（9）《陕西省中小企业政府采购信用融资办法》（陕财办采〔2018〕23号）；（10）其它需要满足的政策。</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3.本项目的特定资格要求：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合同包1(林草湿图斑监测专题数据库数据处理服务)特定资格要求如下:</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提供合格有效的法人或者其他组织的营业执照等证明文件，自然人的身份证明；（2）提供法定代表人授权书（附法定代表人、被授权人身份证复印件）及被授权人身份证原件（法定代表人直接参加投标，须提供法定代表人身份证明及身份证原件）；（3）财务状况报告：提供2021年度的财务审计报告（至少包括资产负债表和利润表，成立时间至提交磋商响应文件截止时间不足一年的可提供成立后任意时段的资产负债表），或开标时间前六个月内基本存款账户开户银行出具的资信证明；（4）税收缴纳证明：提供磋商截止日前近一年内任意一个月的纳税证明或完税证明（任意税种），依法免税的单位应提供相关证明材料；（5）社会保障资金缴纳证明：提供磋商截止日前一年内已缴存的至少一个月的社会保障资金缴存单据或社保机构开具的社会保险参保缴费情况证明，依法不需要缴纳社会保障资金的单位应提供相关证明材料；（6）不得为列入“信用中国”网站（www.creditchina.gov.cn）及“中国政府采购网”网站（http://www.ccgp.gov.cn/）中失信被执行人和重大税收违法案件当事人名单的投标人；（7）提供具有履行本合同所必需的设备和专业技术能力的说明及承诺书；（8）参加政府采购活动前3年内，在经营活动中没有重大违法记录的书面声明；（9）本项目不接受联合体磋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00" w:lineRule="exact"/>
        <w:ind w:left="0" w:right="0"/>
        <w:jc w:val="left"/>
        <w:textAlignment w:val="auto"/>
        <w:rPr>
          <w:rStyle w:val="19"/>
          <w:rFonts w:hint="eastAsia" w:ascii="宋体" w:hAnsi="宋体" w:eastAsia="宋体" w:cs="宋体"/>
          <w:b/>
          <w:bCs/>
          <w:i w:val="0"/>
          <w:iCs w:val="0"/>
          <w:caps w:val="0"/>
          <w:color w:val="333333"/>
          <w:spacing w:val="0"/>
          <w:sz w:val="24"/>
          <w:szCs w:val="24"/>
          <w:shd w:val="clear" w:fill="FFFFFF"/>
        </w:rPr>
      </w:pPr>
      <w:r>
        <w:rPr>
          <w:rStyle w:val="19"/>
          <w:rFonts w:hint="eastAsia" w:ascii="宋体" w:hAnsi="宋体" w:eastAsia="宋体" w:cs="宋体"/>
          <w:b/>
          <w:bCs/>
          <w:i w:val="0"/>
          <w:iCs w:val="0"/>
          <w:caps w:val="0"/>
          <w:color w:val="333333"/>
          <w:spacing w:val="0"/>
          <w:sz w:val="24"/>
          <w:szCs w:val="24"/>
          <w:shd w:val="clear" w:fill="FFFFFF"/>
        </w:rPr>
        <w:t>三、获取招标文件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时间：2022年11月01日至2022年11月07日，每天上午09:00:00至12:00:00 ，下午14:00:00至17:00:00（北京时间）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途径：陕西省西安市莲湖区西关正街60号英达大厦809室</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方式：现场获取</w:t>
      </w:r>
      <w:r>
        <w:rPr>
          <w:rFonts w:hint="eastAsia" w:cs="宋体"/>
          <w:i w:val="0"/>
          <w:iCs w:val="0"/>
          <w:caps w:val="0"/>
          <w:color w:val="333333"/>
          <w:spacing w:val="0"/>
          <w:sz w:val="24"/>
          <w:szCs w:val="24"/>
          <w:shd w:val="clear" w:fill="FFFFFF"/>
          <w:lang w:val="en-US" w:eastAsia="zh-CN"/>
        </w:rPr>
        <w:t xml:space="preserve">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售价： 500元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00" w:lineRule="exact"/>
        <w:ind w:left="0" w:right="0"/>
        <w:jc w:val="left"/>
        <w:textAlignment w:val="auto"/>
        <w:rPr>
          <w:rStyle w:val="19"/>
          <w:rFonts w:hint="eastAsia" w:ascii="宋体" w:hAnsi="宋体" w:eastAsia="宋体" w:cs="宋体"/>
          <w:b/>
          <w:bCs/>
          <w:i w:val="0"/>
          <w:iCs w:val="0"/>
          <w:caps w:val="0"/>
          <w:color w:val="333333"/>
          <w:spacing w:val="0"/>
          <w:sz w:val="24"/>
          <w:szCs w:val="24"/>
          <w:shd w:val="clear" w:fill="FFFFFF"/>
        </w:rPr>
      </w:pPr>
      <w:r>
        <w:rPr>
          <w:rStyle w:val="19"/>
          <w:rFonts w:hint="eastAsia" w:ascii="宋体" w:hAnsi="宋体" w:eastAsia="宋体" w:cs="宋体"/>
          <w:b/>
          <w:bCs/>
          <w:i w:val="0"/>
          <w:iCs w:val="0"/>
          <w:caps w:val="0"/>
          <w:color w:val="333333"/>
          <w:spacing w:val="0"/>
          <w:sz w:val="24"/>
          <w:szCs w:val="24"/>
          <w:shd w:val="clear" w:fill="FFFFFF"/>
        </w:rPr>
        <w:t>四、提交投标文件截止时间、开标时间和地点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时间：</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022年11月15日 14时00分00秒（北京时间）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提交投标文件地点：陕西省西安市莲湖区西关正街60号英达大厦809室</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开标地点：陕西省西安市莲湖区西关正街60号英达大厦809室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00" w:lineRule="exact"/>
        <w:ind w:left="0" w:right="0"/>
        <w:jc w:val="left"/>
        <w:textAlignment w:val="auto"/>
        <w:rPr>
          <w:rStyle w:val="19"/>
          <w:rFonts w:hint="eastAsia" w:ascii="宋体" w:hAnsi="宋体" w:eastAsia="宋体" w:cs="宋体"/>
          <w:b/>
          <w:bCs/>
          <w:i w:val="0"/>
          <w:iCs w:val="0"/>
          <w:caps w:val="0"/>
          <w:color w:val="333333"/>
          <w:spacing w:val="0"/>
          <w:sz w:val="24"/>
          <w:szCs w:val="24"/>
          <w:shd w:val="clear" w:fill="FFFFFF"/>
        </w:rPr>
      </w:pPr>
      <w:r>
        <w:rPr>
          <w:rStyle w:val="19"/>
          <w:rFonts w:hint="eastAsia" w:ascii="宋体" w:hAnsi="宋体" w:eastAsia="宋体" w:cs="宋体"/>
          <w:b/>
          <w:bCs/>
          <w:i w:val="0"/>
          <w:iCs w:val="0"/>
          <w:caps w:val="0"/>
          <w:color w:val="333333"/>
          <w:spacing w:val="0"/>
          <w:sz w:val="24"/>
          <w:szCs w:val="24"/>
          <w:shd w:val="clear" w:fill="FFFFFF"/>
        </w:rPr>
        <w:t>五、公告期限</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自本公告发布之日起3个工作日。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00" w:lineRule="exact"/>
        <w:ind w:left="0" w:right="0"/>
        <w:jc w:val="left"/>
        <w:textAlignment w:val="auto"/>
        <w:rPr>
          <w:rStyle w:val="19"/>
          <w:rFonts w:hint="eastAsia" w:ascii="宋体" w:hAnsi="宋体" w:eastAsia="宋体" w:cs="宋体"/>
          <w:b/>
          <w:bCs/>
          <w:i w:val="0"/>
          <w:iCs w:val="0"/>
          <w:caps w:val="0"/>
          <w:color w:val="333333"/>
          <w:spacing w:val="0"/>
          <w:sz w:val="24"/>
          <w:szCs w:val="24"/>
          <w:shd w:val="clear" w:fill="FFFFFF"/>
        </w:rPr>
      </w:pPr>
      <w:r>
        <w:rPr>
          <w:rStyle w:val="19"/>
          <w:rFonts w:hint="eastAsia" w:ascii="宋体" w:hAnsi="宋体" w:eastAsia="宋体" w:cs="宋体"/>
          <w:b/>
          <w:bCs/>
          <w:i w:val="0"/>
          <w:iCs w:val="0"/>
          <w:caps w:val="0"/>
          <w:color w:val="333333"/>
          <w:spacing w:val="0"/>
          <w:sz w:val="24"/>
          <w:szCs w:val="24"/>
          <w:shd w:val="clear" w:fill="FFFFFF"/>
        </w:rPr>
        <w:t>六、其他补充事宜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1）凡有意参加本项目的供应商，请携带单位介绍信、经办人身份证原件及复印件加盖公章至陕西省西安市莲湖区西关正街60号英达大厦809室领取竞争性磋商文件；（2）请供应商按照《陕西省财政厅关于政府采购供应商注册登记有关事项的通知》中的要求，通过陕西省政府采购网（http://www.ccgp-shaanxi.gov.cn/）注册登记加入陕西省政府采购供应商库；（3）标书金额：500.00元/套，文件费以现金形式收取，售后不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00" w:lineRule="exact"/>
        <w:ind w:left="0" w:right="0"/>
        <w:jc w:val="left"/>
        <w:textAlignment w:val="auto"/>
        <w:rPr>
          <w:rStyle w:val="19"/>
          <w:rFonts w:hint="eastAsia" w:ascii="宋体" w:hAnsi="宋体" w:eastAsia="宋体" w:cs="宋体"/>
          <w:b/>
          <w:bCs/>
          <w:i w:val="0"/>
          <w:iCs w:val="0"/>
          <w:caps w:val="0"/>
          <w:color w:val="333333"/>
          <w:spacing w:val="0"/>
          <w:sz w:val="24"/>
          <w:szCs w:val="24"/>
          <w:shd w:val="clear" w:fill="FFFFFF"/>
        </w:rPr>
      </w:pPr>
      <w:r>
        <w:rPr>
          <w:rStyle w:val="19"/>
          <w:rFonts w:hint="eastAsia" w:ascii="宋体" w:hAnsi="宋体" w:eastAsia="宋体" w:cs="宋体"/>
          <w:b/>
          <w:bCs/>
          <w:i w:val="0"/>
          <w:iCs w:val="0"/>
          <w:caps w:val="0"/>
          <w:color w:val="333333"/>
          <w:spacing w:val="0"/>
          <w:sz w:val="24"/>
          <w:szCs w:val="24"/>
          <w:shd w:val="clear" w:fill="FFFFFF"/>
        </w:rPr>
        <w:t>七、对本次招标提出询问，请按以下方式联系。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1.采购人信息</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名称：陕西省林业调查规划院</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地址：西安市西关正街233号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联系方式：13772516733</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2.采购代理机构信息</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名称：陕西中海招标有限公司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地址：陕西省西安市莲湖区西关正街60号英达大厦809室</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联系方式：029-89351688-608</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3.项目联系方式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项目联系人：樊静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电话：029-89351688-608</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rPr>
        <w:br w:type="page"/>
      </w:r>
    </w:p>
    <w:p>
      <w:pPr>
        <w:spacing w:line="360" w:lineRule="auto"/>
        <w:jc w:val="center"/>
        <w:outlineLvl w:val="0"/>
        <w:rPr>
          <w:rFonts w:hint="eastAsia" w:ascii="Times New Roman" w:hAnsi="Times New Roman" w:cs="Times New Roman"/>
          <w:b/>
          <w:bCs/>
          <w:kern w:val="44"/>
          <w:sz w:val="32"/>
          <w:szCs w:val="32"/>
          <w:lang w:val="en-US" w:eastAsia="zh-CN" w:bidi="ar-SA"/>
        </w:rPr>
      </w:pPr>
      <w:bookmarkStart w:id="8" w:name="_Toc13950"/>
      <w:bookmarkStart w:id="9" w:name="_Toc14657"/>
      <w:r>
        <w:rPr>
          <w:rFonts w:hint="eastAsia" w:ascii="Times New Roman" w:hAnsi="Times New Roman" w:cs="Times New Roman"/>
          <w:b/>
          <w:bCs/>
          <w:kern w:val="44"/>
          <w:sz w:val="32"/>
          <w:szCs w:val="32"/>
          <w:lang w:val="en-US" w:eastAsia="zh-CN" w:bidi="ar-SA"/>
        </w:rPr>
        <w:t>第二章   供应商须知</w:t>
      </w:r>
      <w:bookmarkEnd w:id="8"/>
      <w:bookmarkEnd w:id="9"/>
    </w:p>
    <w:p>
      <w:pPr>
        <w:bidi w:val="0"/>
        <w:jc w:val="center"/>
        <w:outlineLvl w:val="2"/>
        <w:rPr>
          <w:rFonts w:hint="eastAsia"/>
          <w:sz w:val="24"/>
          <w:szCs w:val="32"/>
          <w:lang w:val="en-US" w:eastAsia="zh-CN"/>
        </w:rPr>
      </w:pPr>
      <w:r>
        <w:rPr>
          <w:rFonts w:hint="eastAsia"/>
          <w:sz w:val="24"/>
          <w:szCs w:val="32"/>
          <w:lang w:val="en-US" w:eastAsia="zh-CN"/>
        </w:rPr>
        <w:t>供应商须知前附表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873"/>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序号</w:t>
            </w:r>
          </w:p>
        </w:tc>
        <w:tc>
          <w:tcPr>
            <w:tcW w:w="2024" w:type="dxa"/>
            <w:vAlign w:val="center"/>
          </w:tcPr>
          <w:p>
            <w:pPr>
              <w:spacing w:line="240" w:lineRule="auto"/>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条款名称</w:t>
            </w:r>
          </w:p>
        </w:tc>
        <w:tc>
          <w:tcPr>
            <w:tcW w:w="6806" w:type="dxa"/>
          </w:tcPr>
          <w:p>
            <w:pPr>
              <w:spacing w:line="240" w:lineRule="auto"/>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2024" w:type="dxa"/>
            <w:vAlign w:val="center"/>
          </w:tcPr>
          <w:p>
            <w:pPr>
              <w:spacing w:line="240" w:lineRule="auto"/>
              <w:jc w:val="center"/>
              <w:rPr>
                <w:rFonts w:hint="eastAsia" w:ascii="宋体" w:hAnsi="宋体" w:eastAsia="宋体" w:cs="宋体"/>
                <w:b w:val="0"/>
                <w:bCs w:val="0"/>
                <w:sz w:val="24"/>
                <w:szCs w:val="24"/>
                <w:vertAlign w:val="baseline"/>
                <w:lang w:eastAsia="zh-CN"/>
              </w:rPr>
            </w:pPr>
            <w:r>
              <w:rPr>
                <w:rFonts w:hint="eastAsia" w:ascii="宋体" w:hAnsi="宋体" w:cs="宋体"/>
                <w:b w:val="0"/>
                <w:bCs w:val="0"/>
                <w:sz w:val="24"/>
                <w:szCs w:val="24"/>
                <w:vertAlign w:val="baseline"/>
                <w:lang w:eastAsia="zh-CN"/>
              </w:rPr>
              <w:t>采购人</w:t>
            </w:r>
          </w:p>
        </w:tc>
        <w:tc>
          <w:tcPr>
            <w:tcW w:w="6806" w:type="dxa"/>
          </w:tcPr>
          <w:p>
            <w:pPr>
              <w:spacing w:line="360" w:lineRule="auto"/>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名</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eastAsia="zh-CN"/>
              </w:rPr>
              <w:t>称：</w:t>
            </w:r>
            <w:r>
              <w:rPr>
                <w:rFonts w:hint="eastAsia" w:ascii="宋体" w:hAnsi="宋体" w:eastAsia="宋体" w:cs="宋体"/>
                <w:sz w:val="24"/>
                <w:szCs w:val="24"/>
                <w:lang w:eastAsia="zh-CN"/>
              </w:rPr>
              <w:t>陕西省林业调查规划院</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址：西安市莲湖区西关正街</w:t>
            </w:r>
            <w:r>
              <w:rPr>
                <w:rFonts w:hint="eastAsia" w:ascii="宋体" w:hAnsi="宋体" w:eastAsia="宋体" w:cs="宋体"/>
                <w:sz w:val="24"/>
                <w:szCs w:val="24"/>
                <w:lang w:val="en-US" w:eastAsia="zh-CN"/>
              </w:rPr>
              <w:t>233号</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cs="宋体"/>
                <w:i w:val="0"/>
                <w:iCs w:val="0"/>
                <w:caps w:val="0"/>
                <w:color w:val="auto"/>
                <w:spacing w:val="0"/>
                <w:sz w:val="24"/>
                <w:szCs w:val="24"/>
                <w:shd w:val="clear" w:fill="FFFFFF"/>
                <w:lang w:val="en-US" w:eastAsia="zh-CN"/>
              </w:rPr>
              <w:t>薛老师</w:t>
            </w:r>
          </w:p>
          <w:p>
            <w:pPr>
              <w:bidi w:val="0"/>
              <w:spacing w:line="360" w:lineRule="auto"/>
              <w:rPr>
                <w:rFonts w:hint="eastAsia" w:ascii="宋体" w:hAnsi="宋体" w:eastAsia="宋体" w:cs="宋体"/>
                <w:b w:val="0"/>
                <w:bCs w:val="0"/>
                <w:sz w:val="24"/>
                <w:szCs w:val="24"/>
                <w:vertAlign w:val="baseline"/>
                <w:lang w:eastAsia="zh-CN"/>
              </w:rPr>
            </w:pPr>
            <w:r>
              <w:rPr>
                <w:rFonts w:hint="eastAsia" w:ascii="宋体" w:hAnsi="宋体" w:eastAsia="宋体" w:cs="宋体"/>
                <w:sz w:val="24"/>
                <w:szCs w:val="24"/>
              </w:rPr>
              <w:t>电  话：</w:t>
            </w:r>
            <w:r>
              <w:rPr>
                <w:rFonts w:hint="eastAsia" w:ascii="宋体" w:hAnsi="宋体" w:eastAsia="宋体" w:cs="宋体"/>
                <w:i w:val="0"/>
                <w:iCs w:val="0"/>
                <w:caps w:val="0"/>
                <w:color w:val="auto"/>
                <w:spacing w:val="0"/>
                <w:sz w:val="24"/>
                <w:szCs w:val="24"/>
                <w:shd w:val="clear" w:fill="FFFFFF"/>
              </w:rPr>
              <w:t>137 7251 6733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w:t>
            </w:r>
          </w:p>
        </w:tc>
        <w:tc>
          <w:tcPr>
            <w:tcW w:w="2024" w:type="dxa"/>
            <w:vAlign w:val="center"/>
          </w:tcPr>
          <w:p>
            <w:pPr>
              <w:spacing w:line="240" w:lineRule="auto"/>
              <w:jc w:val="center"/>
              <w:rPr>
                <w:rFonts w:hint="eastAsia" w:ascii="宋体" w:hAnsi="宋体" w:eastAsia="宋体" w:cs="宋体"/>
                <w:b w:val="0"/>
                <w:bCs w:val="0"/>
                <w:sz w:val="24"/>
                <w:szCs w:val="24"/>
                <w:vertAlign w:val="baseline"/>
                <w:lang w:eastAsia="zh-CN"/>
              </w:rPr>
            </w:pPr>
            <w:r>
              <w:rPr>
                <w:rFonts w:hint="eastAsia" w:ascii="宋体" w:hAnsi="宋体" w:cs="宋体"/>
                <w:b w:val="0"/>
                <w:bCs w:val="0"/>
                <w:sz w:val="24"/>
                <w:szCs w:val="24"/>
                <w:vertAlign w:val="baseline"/>
                <w:lang w:eastAsia="zh-CN"/>
              </w:rPr>
              <w:t>采购代理机构</w:t>
            </w:r>
          </w:p>
        </w:tc>
        <w:tc>
          <w:tcPr>
            <w:tcW w:w="6806" w:type="dxa"/>
          </w:tcPr>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称</w:t>
            </w:r>
            <w:r>
              <w:rPr>
                <w:rFonts w:hint="eastAsia" w:ascii="宋体" w:hAnsi="宋体" w:eastAsia="宋体" w:cs="宋体"/>
                <w:sz w:val="24"/>
                <w:szCs w:val="24"/>
              </w:rPr>
              <w:t>：</w:t>
            </w:r>
            <w:r>
              <w:rPr>
                <w:rFonts w:hint="eastAsia" w:ascii="宋体" w:hAnsi="宋体" w:eastAsia="宋体" w:cs="宋体"/>
                <w:sz w:val="24"/>
                <w:szCs w:val="24"/>
                <w:lang w:eastAsia="zh-CN"/>
              </w:rPr>
              <w:t>陕西中海</w:t>
            </w:r>
            <w:r>
              <w:rPr>
                <w:rFonts w:hint="eastAsia" w:ascii="宋体" w:hAnsi="宋体" w:cs="宋体"/>
                <w:sz w:val="24"/>
                <w:szCs w:val="24"/>
                <w:lang w:eastAsia="zh-CN"/>
              </w:rPr>
              <w:t>招标</w:t>
            </w:r>
            <w:r>
              <w:rPr>
                <w:rFonts w:hint="eastAsia" w:ascii="宋体" w:hAnsi="宋体" w:eastAsia="宋体" w:cs="宋体"/>
                <w:sz w:val="24"/>
                <w:szCs w:val="24"/>
                <w:lang w:eastAsia="zh-CN"/>
              </w:rPr>
              <w:t>有限公司</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地  址：西安市莲湖区西关正街英达大厦809室</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i w:val="0"/>
                <w:iCs w:val="0"/>
                <w:caps w:val="0"/>
                <w:color w:val="auto"/>
                <w:spacing w:val="0"/>
                <w:sz w:val="24"/>
                <w:szCs w:val="24"/>
                <w:shd w:val="clear" w:fill="FFFFFF"/>
              </w:rPr>
              <w:t>樊静</w:t>
            </w:r>
          </w:p>
          <w:p>
            <w:pPr>
              <w:bidi w:val="0"/>
              <w:spacing w:line="360" w:lineRule="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话：029-89351688-60</w:t>
            </w:r>
            <w:r>
              <w:rPr>
                <w:rFonts w:hint="eastAsia" w:ascii="宋体" w:hAnsi="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3</w:t>
            </w:r>
          </w:p>
        </w:tc>
        <w:tc>
          <w:tcPr>
            <w:tcW w:w="2024" w:type="dxa"/>
            <w:vAlign w:val="center"/>
          </w:tcPr>
          <w:p>
            <w:pPr>
              <w:spacing w:line="360" w:lineRule="auto"/>
              <w:jc w:val="center"/>
              <w:rPr>
                <w:rFonts w:hint="eastAsia" w:ascii="宋体" w:hAnsi="宋体" w:eastAsia="宋体" w:cs="宋体"/>
                <w:b w:val="0"/>
                <w:bCs w:val="0"/>
                <w:sz w:val="24"/>
                <w:szCs w:val="24"/>
                <w:vertAlign w:val="baseline"/>
                <w:lang w:eastAsia="zh-CN"/>
              </w:rPr>
            </w:pPr>
            <w:r>
              <w:rPr>
                <w:rFonts w:hint="eastAsia" w:ascii="宋体" w:hAnsi="宋体" w:cs="宋体"/>
                <w:b w:val="0"/>
                <w:bCs w:val="0"/>
                <w:sz w:val="24"/>
                <w:szCs w:val="24"/>
                <w:vertAlign w:val="baseline"/>
                <w:lang w:eastAsia="zh-CN"/>
              </w:rPr>
              <w:t>采购项目名称</w:t>
            </w:r>
          </w:p>
        </w:tc>
        <w:tc>
          <w:tcPr>
            <w:tcW w:w="6806" w:type="dxa"/>
          </w:tcPr>
          <w:p>
            <w:pPr>
              <w:spacing w:line="360" w:lineRule="auto"/>
              <w:rPr>
                <w:rFonts w:hint="eastAsia" w:ascii="宋体" w:hAnsi="宋体" w:eastAsia="宋体" w:cs="宋体"/>
                <w:b w:val="0"/>
                <w:bCs w:val="0"/>
                <w:sz w:val="24"/>
                <w:szCs w:val="24"/>
                <w:vertAlign w:val="baseline"/>
              </w:rPr>
            </w:pPr>
            <w:r>
              <w:rPr>
                <w:rFonts w:hint="eastAsia" w:ascii="宋体" w:hAnsi="宋体" w:cs="宋体"/>
                <w:sz w:val="24"/>
                <w:szCs w:val="24"/>
                <w:lang w:eastAsia="zh-CN"/>
              </w:rPr>
              <w:t>陕西省森林草原湿地综合监测项目林草湿图斑监测专题数据库数据处理服务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4</w:t>
            </w:r>
          </w:p>
        </w:tc>
        <w:tc>
          <w:tcPr>
            <w:tcW w:w="2024" w:type="dxa"/>
            <w:vAlign w:val="center"/>
          </w:tcPr>
          <w:p>
            <w:pPr>
              <w:spacing w:line="360" w:lineRule="auto"/>
              <w:jc w:val="center"/>
              <w:rPr>
                <w:rFonts w:hint="eastAsia" w:ascii="宋体" w:hAnsi="宋体" w:eastAsia="宋体" w:cs="宋体"/>
                <w:b w:val="0"/>
                <w:bCs w:val="0"/>
                <w:sz w:val="24"/>
                <w:szCs w:val="24"/>
                <w:vertAlign w:val="baseline"/>
                <w:lang w:eastAsia="zh-CN"/>
              </w:rPr>
            </w:pPr>
            <w:r>
              <w:rPr>
                <w:rFonts w:hint="eastAsia" w:ascii="宋体" w:hAnsi="宋体" w:cs="宋体"/>
                <w:b w:val="0"/>
                <w:bCs w:val="0"/>
                <w:sz w:val="24"/>
                <w:szCs w:val="24"/>
                <w:vertAlign w:val="baseline"/>
                <w:lang w:eastAsia="zh-CN"/>
              </w:rPr>
              <w:t>采购预算</w:t>
            </w:r>
          </w:p>
        </w:tc>
        <w:tc>
          <w:tcPr>
            <w:tcW w:w="6806" w:type="dxa"/>
          </w:tcPr>
          <w:p>
            <w:pPr>
              <w:spacing w:line="360" w:lineRule="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5</w:t>
            </w:r>
          </w:p>
        </w:tc>
        <w:tc>
          <w:tcPr>
            <w:tcW w:w="2024" w:type="dxa"/>
            <w:vAlign w:val="center"/>
          </w:tcPr>
          <w:p>
            <w:pPr>
              <w:spacing w:line="360" w:lineRule="auto"/>
              <w:jc w:val="center"/>
              <w:rPr>
                <w:rFonts w:hint="eastAsia" w:ascii="宋体" w:hAnsi="宋体" w:eastAsia="宋体" w:cs="宋体"/>
                <w:b w:val="0"/>
                <w:bCs w:val="0"/>
                <w:sz w:val="24"/>
                <w:szCs w:val="24"/>
                <w:vertAlign w:val="baseline"/>
                <w:lang w:eastAsia="zh-CN"/>
              </w:rPr>
            </w:pPr>
            <w:r>
              <w:rPr>
                <w:rFonts w:hint="eastAsia" w:ascii="宋体" w:hAnsi="宋体" w:cs="宋体"/>
                <w:b w:val="0"/>
                <w:bCs w:val="0"/>
                <w:sz w:val="24"/>
                <w:szCs w:val="24"/>
                <w:vertAlign w:val="baseline"/>
                <w:lang w:eastAsia="zh-CN"/>
              </w:rPr>
              <w:t>采购规模</w:t>
            </w:r>
          </w:p>
        </w:tc>
        <w:tc>
          <w:tcPr>
            <w:tcW w:w="6806" w:type="dxa"/>
          </w:tcPr>
          <w:p>
            <w:pPr>
              <w:spacing w:line="360" w:lineRule="auto"/>
              <w:rPr>
                <w:rFonts w:hint="eastAsia" w:ascii="宋体" w:hAnsi="宋体" w:eastAsia="宋体" w:cs="宋体"/>
                <w:b w:val="0"/>
                <w:bCs w:val="0"/>
                <w:sz w:val="24"/>
                <w:szCs w:val="24"/>
                <w:vertAlign w:val="baseline"/>
                <w:lang w:eastAsia="zh-CN"/>
              </w:rPr>
            </w:pPr>
            <w:r>
              <w:rPr>
                <w:rFonts w:hint="eastAsia" w:ascii="宋体" w:hAnsi="宋体" w:cs="宋体"/>
                <w:b w:val="0"/>
                <w:bCs w:val="0"/>
                <w:sz w:val="24"/>
                <w:szCs w:val="24"/>
                <w:vertAlign w:val="baseline"/>
                <w:lang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6</w:t>
            </w:r>
          </w:p>
        </w:tc>
        <w:tc>
          <w:tcPr>
            <w:tcW w:w="2024" w:type="dxa"/>
            <w:vAlign w:val="center"/>
          </w:tcPr>
          <w:p>
            <w:pPr>
              <w:spacing w:line="360" w:lineRule="auto"/>
              <w:jc w:val="center"/>
              <w:rPr>
                <w:rFonts w:hint="eastAsia" w:ascii="宋体" w:hAnsi="宋体" w:eastAsia="宋体" w:cs="宋体"/>
                <w:b w:val="0"/>
                <w:bCs w:val="0"/>
                <w:sz w:val="24"/>
                <w:szCs w:val="24"/>
                <w:highlight w:val="none"/>
                <w:vertAlign w:val="baseline"/>
                <w:lang w:eastAsia="zh-CN"/>
              </w:rPr>
            </w:pPr>
            <w:r>
              <w:rPr>
                <w:rFonts w:hint="eastAsia" w:ascii="宋体" w:hAnsi="宋体" w:cs="宋体"/>
                <w:b w:val="0"/>
                <w:bCs w:val="0"/>
                <w:sz w:val="24"/>
                <w:szCs w:val="24"/>
                <w:highlight w:val="none"/>
                <w:shd w:val="clear"/>
                <w:vertAlign w:val="baseline"/>
                <w:lang w:eastAsia="zh-CN"/>
              </w:rPr>
              <w:t>项目交付期限</w:t>
            </w:r>
          </w:p>
        </w:tc>
        <w:tc>
          <w:tcPr>
            <w:tcW w:w="6806" w:type="dxa"/>
          </w:tcPr>
          <w:p>
            <w:pPr>
              <w:spacing w:line="360" w:lineRule="auto"/>
              <w:rPr>
                <w:rFonts w:hint="default" w:ascii="宋体" w:hAnsi="宋体" w:eastAsia="宋体" w:cs="宋体"/>
                <w:b w:val="0"/>
                <w:bCs w:val="0"/>
                <w:sz w:val="24"/>
                <w:szCs w:val="24"/>
                <w:highlight w:val="none"/>
                <w:vertAlign w:val="baseline"/>
                <w:lang w:val="en-US" w:eastAsia="zh-CN"/>
              </w:rPr>
            </w:pPr>
            <w:r>
              <w:rPr>
                <w:rFonts w:hint="eastAsia"/>
                <w:sz w:val="24"/>
                <w:szCs w:val="24"/>
                <w:highlight w:val="none"/>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7</w:t>
            </w:r>
          </w:p>
        </w:tc>
        <w:tc>
          <w:tcPr>
            <w:tcW w:w="2024" w:type="dxa"/>
            <w:vAlign w:val="center"/>
          </w:tcPr>
          <w:p>
            <w:pPr>
              <w:spacing w:line="360" w:lineRule="auto"/>
              <w:jc w:val="center"/>
              <w:rPr>
                <w:rFonts w:hint="eastAsia" w:ascii="宋体" w:hAnsi="宋体" w:eastAsia="宋体" w:cs="宋体"/>
                <w:b w:val="0"/>
                <w:bCs w:val="0"/>
                <w:sz w:val="24"/>
                <w:szCs w:val="24"/>
                <w:highlight w:val="yellow"/>
                <w:vertAlign w:val="baseline"/>
                <w:lang w:eastAsia="zh-CN"/>
              </w:rPr>
            </w:pPr>
            <w:r>
              <w:rPr>
                <w:rFonts w:hint="eastAsia" w:ascii="宋体" w:hAnsi="宋体" w:cs="宋体"/>
                <w:b w:val="0"/>
                <w:bCs w:val="0"/>
                <w:sz w:val="24"/>
                <w:szCs w:val="24"/>
                <w:highlight w:val="yellow"/>
                <w:vertAlign w:val="baseline"/>
                <w:lang w:eastAsia="zh-CN"/>
              </w:rPr>
              <w:t>服务标准</w:t>
            </w:r>
          </w:p>
        </w:tc>
        <w:tc>
          <w:tcPr>
            <w:tcW w:w="6806" w:type="dxa"/>
          </w:tcPr>
          <w:p>
            <w:pPr>
              <w:spacing w:line="360" w:lineRule="auto"/>
              <w:rPr>
                <w:rFonts w:hint="eastAsia" w:ascii="宋体" w:hAnsi="宋体" w:eastAsia="宋体" w:cs="宋体"/>
                <w:b w:val="0"/>
                <w:bCs w:val="0"/>
                <w:sz w:val="24"/>
                <w:szCs w:val="24"/>
                <w:highlight w:val="yellow"/>
                <w:vertAlign w:val="baseline"/>
                <w:lang w:eastAsia="zh-CN"/>
              </w:rPr>
            </w:pPr>
            <w:r>
              <w:rPr>
                <w:rFonts w:hint="eastAsia" w:ascii="宋体" w:hAnsi="宋体" w:eastAsia="宋体" w:cs="宋体"/>
                <w:b w:val="0"/>
                <w:bCs w:val="0"/>
                <w:kern w:val="2"/>
                <w:sz w:val="24"/>
                <w:szCs w:val="24"/>
                <w:highlight w:val="yellow"/>
                <w:vertAlign w:val="baseline"/>
                <w:lang w:val="en-US" w:eastAsia="zh-CN" w:bidi="ar-SA"/>
              </w:rPr>
              <w:t>组织专家验收，数据通过逻辑检查，被国家相关部门认可接收。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8</w:t>
            </w:r>
          </w:p>
        </w:tc>
        <w:tc>
          <w:tcPr>
            <w:tcW w:w="2024" w:type="dxa"/>
            <w:vAlign w:val="center"/>
          </w:tcPr>
          <w:p>
            <w:pPr>
              <w:spacing w:line="240" w:lineRule="auto"/>
              <w:jc w:val="center"/>
              <w:rPr>
                <w:rFonts w:hint="eastAsia" w:ascii="宋体" w:hAnsi="宋体" w:cs="宋体"/>
                <w:b w:val="0"/>
                <w:bCs w:val="0"/>
                <w:sz w:val="24"/>
                <w:szCs w:val="24"/>
                <w:highlight w:val="yellow"/>
                <w:vertAlign w:val="baseline"/>
                <w:lang w:eastAsia="zh-CN"/>
              </w:rPr>
            </w:pPr>
            <w:r>
              <w:rPr>
                <w:rFonts w:hint="eastAsia" w:ascii="宋体" w:hAnsi="宋体" w:cs="宋体"/>
                <w:b w:val="0"/>
                <w:bCs w:val="0"/>
                <w:sz w:val="24"/>
                <w:szCs w:val="24"/>
                <w:vertAlign w:val="baseline"/>
                <w:lang w:eastAsia="zh-CN"/>
              </w:rPr>
              <w:t>供应商资格要求</w:t>
            </w:r>
          </w:p>
        </w:tc>
        <w:tc>
          <w:tcPr>
            <w:tcW w:w="6806"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宋体" w:hAnsi="宋体" w:cs="宋体"/>
                <w:b w:val="0"/>
                <w:bCs w:val="0"/>
                <w:sz w:val="24"/>
                <w:szCs w:val="24"/>
                <w:highlight w:val="yellow"/>
                <w:vertAlign w:val="baseline"/>
                <w:lang w:eastAsia="zh-CN"/>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kern w:val="2"/>
                <w:sz w:val="24"/>
                <w:szCs w:val="24"/>
                <w:lang w:val="en-US" w:eastAsia="zh-CN" w:bidi="ar-SA"/>
              </w:rPr>
              <w:t>1）提供合格有效的法人或者其他组织的营业执照等证明文件，自然人的身份证明；（2）提供法定代表人授权书（附法定代表人、被授权人身份证复印件）及被授权人身份证原件（法定代表人直接参加投标，须提供法定代表人身份证明及身份证原件）；（3）财务状况报告：提供2021年度的财务审计报告（至少包括资产负债表和利润表，成立时间至提交磋商响应文件截止时间不足一年的可提供成立后任意时段的资产负债表），或开标时间前六个月内基本存款账户开户银行出具的资信证明；（4）税收缴纳证明：提供磋商截止日前近一年内任意一个月的纳税证明或完税证明（任意税种），依法免税的单位应提供相关证明材料；（5）社会保障资金缴纳证明：提供磋商截止日前一年内已缴存的至少一个月的社会保障资金缴存单据或社保机构开具的社会保险参保缴费情况证明，依法不需要缴纳社会保障资金的单位应提供相关证明材料；（6）不得为列入“信用中国”网站（www.creditchina.gov.cn）及“中国政府采购网”网站（http://www.ccgp.gov.cn/）中列入失信被执行人和重大税收违法案件当事人名单的投标人；（7）提供具有履行本合同所必需的设备和专业技术能力的说明及承诺书；（8）参加政府采购活动前3年内，在经营活动中没有重大违法记录的书面声明；（9）本项目不接受联合体磋商</w:t>
            </w:r>
            <w:r>
              <w:rPr>
                <w:rFonts w:hint="eastAsia" w:ascii="宋体" w:hAnsi="宋体" w:eastAsia="宋体" w:cs="宋体"/>
                <w:i w:val="0"/>
                <w:iCs w:val="0"/>
                <w:caps w:val="0"/>
                <w:color w:val="333333"/>
                <w:spacing w:val="0"/>
                <w:sz w:val="24"/>
                <w:szCs w:val="24"/>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9</w:t>
            </w:r>
          </w:p>
        </w:tc>
        <w:tc>
          <w:tcPr>
            <w:tcW w:w="2024" w:type="dxa"/>
            <w:vAlign w:val="center"/>
          </w:tcPr>
          <w:p>
            <w:pPr>
              <w:spacing w:line="500" w:lineRule="exact"/>
              <w:jc w:val="center"/>
              <w:rPr>
                <w:rFonts w:hint="eastAsia" w:ascii="宋体" w:hAnsi="宋体" w:cs="宋体"/>
                <w:b w:val="0"/>
                <w:bCs w:val="0"/>
                <w:sz w:val="24"/>
                <w:szCs w:val="24"/>
                <w:vertAlign w:val="baseline"/>
                <w:lang w:eastAsia="zh-CN"/>
              </w:rPr>
            </w:pPr>
            <w:r>
              <w:rPr>
                <w:rFonts w:hint="eastAsia" w:ascii="宋体" w:hAnsi="宋体" w:cs="宋体"/>
                <w:sz w:val="24"/>
                <w:szCs w:val="24"/>
                <w:lang w:eastAsia="zh-CN"/>
              </w:rPr>
              <w:t>磋商</w:t>
            </w:r>
            <w:r>
              <w:rPr>
                <w:rFonts w:hint="eastAsia" w:ascii="宋体" w:hAnsi="宋体" w:eastAsia="宋体" w:cs="宋体"/>
                <w:sz w:val="24"/>
                <w:szCs w:val="24"/>
              </w:rPr>
              <w:t>保证金</w:t>
            </w:r>
          </w:p>
        </w:tc>
        <w:tc>
          <w:tcPr>
            <w:tcW w:w="6806" w:type="dxa"/>
            <w:vAlign w:val="center"/>
          </w:tcPr>
          <w:p>
            <w:pPr>
              <w:spacing w:line="360" w:lineRule="auto"/>
              <w:jc w:val="left"/>
              <w:rPr>
                <w:rFonts w:hint="eastAsia" w:ascii="宋体" w:hAnsi="宋体" w:eastAsia="宋体" w:cs="宋体"/>
                <w:b/>
                <w:bCs/>
                <w:sz w:val="24"/>
                <w:szCs w:val="24"/>
                <w:lang w:val="en-US" w:eastAsia="zh-CN"/>
              </w:rPr>
            </w:pPr>
            <w:r>
              <w:rPr>
                <w:rFonts w:hint="eastAsia" w:ascii="宋体" w:hAnsi="宋体" w:cs="宋体"/>
                <w:b/>
                <w:bCs/>
                <w:sz w:val="24"/>
                <w:szCs w:val="24"/>
                <w:lang w:eastAsia="zh-CN"/>
              </w:rPr>
              <w:t>磋商</w:t>
            </w:r>
            <w:r>
              <w:rPr>
                <w:rFonts w:hint="eastAsia" w:ascii="宋体" w:hAnsi="宋体" w:eastAsia="宋体" w:cs="宋体"/>
                <w:b/>
                <w:bCs/>
                <w:sz w:val="24"/>
                <w:szCs w:val="24"/>
                <w:lang w:eastAsia="zh-CN"/>
              </w:rPr>
              <w:t>保证金金额</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人民币</w:t>
            </w:r>
            <w:r>
              <w:rPr>
                <w:rFonts w:hint="eastAsia" w:ascii="宋体" w:hAnsi="宋体" w:cs="宋体"/>
                <w:b/>
                <w:bCs/>
                <w:sz w:val="24"/>
                <w:szCs w:val="24"/>
                <w:lang w:val="en-US" w:eastAsia="zh-CN"/>
              </w:rPr>
              <w:t>壹万元整</w:t>
            </w:r>
            <w:r>
              <w:rPr>
                <w:rFonts w:hint="eastAsia" w:ascii="宋体" w:hAnsi="宋体" w:eastAsia="宋体" w:cs="宋体"/>
                <w:b/>
                <w:bCs/>
                <w:sz w:val="24"/>
                <w:szCs w:val="24"/>
                <w:lang w:val="en-US" w:eastAsia="zh-CN"/>
              </w:rPr>
              <w:t>元整（¥：</w:t>
            </w:r>
            <w:r>
              <w:rPr>
                <w:rFonts w:hint="eastAsia" w:ascii="宋体" w:hAnsi="宋体" w:cs="宋体"/>
                <w:b/>
                <w:bCs/>
                <w:sz w:val="24"/>
                <w:szCs w:val="24"/>
                <w:lang w:val="en-US" w:eastAsia="zh-CN"/>
              </w:rPr>
              <w:t>10000</w:t>
            </w:r>
            <w:r>
              <w:rPr>
                <w:rFonts w:hint="eastAsia" w:ascii="宋体" w:hAnsi="宋体" w:eastAsia="宋体" w:cs="宋体"/>
                <w:b/>
                <w:bCs/>
                <w:sz w:val="24"/>
                <w:szCs w:val="24"/>
                <w:lang w:val="en-US" w:eastAsia="zh-CN"/>
              </w:rPr>
              <w:t>.00元）</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采用银行转账、电汇等非现金的形式对公形式交纳，</w:t>
            </w:r>
            <w:r>
              <w:rPr>
                <w:rFonts w:hint="eastAsia" w:ascii="宋体" w:hAnsi="宋体" w:cs="宋体"/>
                <w:sz w:val="24"/>
                <w:szCs w:val="24"/>
                <w:lang w:eastAsia="zh-CN"/>
              </w:rPr>
              <w:t>磋商</w:t>
            </w:r>
            <w:r>
              <w:rPr>
                <w:rFonts w:hint="eastAsia" w:ascii="宋体" w:hAnsi="宋体" w:eastAsia="宋体" w:cs="宋体"/>
                <w:sz w:val="24"/>
                <w:szCs w:val="24"/>
                <w:lang w:eastAsia="zh-CN"/>
              </w:rPr>
              <w:t>保证金</w:t>
            </w:r>
            <w:r>
              <w:rPr>
                <w:rFonts w:hint="eastAsia" w:ascii="宋体" w:hAnsi="宋体" w:eastAsia="宋体" w:cs="宋体"/>
                <w:sz w:val="24"/>
                <w:szCs w:val="24"/>
              </w:rPr>
              <w:t>交纳截止时间为</w:t>
            </w:r>
            <w:r>
              <w:rPr>
                <w:rFonts w:hint="eastAsia" w:ascii="宋体" w:hAnsi="宋体" w:eastAsia="宋体" w:cs="宋体"/>
                <w:b/>
                <w:bCs/>
                <w:sz w:val="24"/>
                <w:szCs w:val="24"/>
                <w:highlight w:val="none"/>
                <w:lang w:eastAsia="zh-CN"/>
              </w:rPr>
              <w:t>开标</w:t>
            </w:r>
            <w:r>
              <w:rPr>
                <w:rFonts w:hint="eastAsia" w:ascii="宋体" w:hAnsi="宋体" w:eastAsia="宋体" w:cs="宋体"/>
                <w:b/>
                <w:bCs/>
                <w:sz w:val="24"/>
                <w:szCs w:val="24"/>
                <w:highlight w:val="none"/>
              </w:rPr>
              <w:t>前</w:t>
            </w:r>
            <w:r>
              <w:rPr>
                <w:rFonts w:hint="eastAsia" w:ascii="宋体" w:hAnsi="宋体" w:eastAsia="宋体" w:cs="宋体"/>
                <w:b/>
                <w:bCs/>
                <w:sz w:val="24"/>
                <w:szCs w:val="24"/>
                <w:highlight w:val="none"/>
                <w:lang w:eastAsia="zh-CN"/>
              </w:rPr>
              <w:t>一</w:t>
            </w:r>
            <w:r>
              <w:rPr>
                <w:rFonts w:hint="eastAsia" w:ascii="宋体" w:hAnsi="宋体" w:cs="宋体"/>
                <w:b/>
                <w:bCs/>
                <w:sz w:val="24"/>
                <w:szCs w:val="24"/>
                <w:highlight w:val="none"/>
                <w:lang w:eastAsia="zh-CN"/>
              </w:rPr>
              <w:t>个工作日</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202</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年</w:t>
            </w:r>
            <w:r>
              <w:rPr>
                <w:rFonts w:hint="eastAsia" w:ascii="宋体" w:hAnsi="宋体" w:cs="宋体"/>
                <w:b/>
                <w:bCs/>
                <w:sz w:val="24"/>
                <w:szCs w:val="24"/>
                <w:highlight w:val="none"/>
                <w:lang w:val="en-US" w:eastAsia="zh-CN"/>
              </w:rPr>
              <w:t>11</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14</w:t>
            </w:r>
            <w:r>
              <w:rPr>
                <w:rFonts w:hint="eastAsia" w:ascii="宋体" w:hAnsi="宋体" w:eastAsia="宋体" w:cs="宋体"/>
                <w:b/>
                <w:bCs/>
                <w:sz w:val="24"/>
                <w:szCs w:val="24"/>
                <w:highlight w:val="none"/>
                <w:lang w:val="en-US" w:eastAsia="zh-CN"/>
              </w:rPr>
              <w:t>日17:00整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rPr>
              <w:t>以到账时间为准</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rPr>
              <w:t>且应在开标前致电代理机构财务部门确认保证金到账情况。（注</w:t>
            </w:r>
            <w:r>
              <w:rPr>
                <w:rFonts w:hint="eastAsia" w:ascii="宋体" w:hAnsi="宋体" w:cs="宋体"/>
                <w:sz w:val="24"/>
                <w:szCs w:val="24"/>
                <w:lang w:eastAsia="zh-CN"/>
              </w:rPr>
              <w:t>：磋商</w:t>
            </w:r>
            <w:r>
              <w:rPr>
                <w:rFonts w:hint="eastAsia" w:ascii="宋体" w:hAnsi="宋体" w:eastAsia="宋体" w:cs="宋体"/>
                <w:sz w:val="24"/>
                <w:szCs w:val="24"/>
                <w:lang w:eastAsia="zh-CN"/>
              </w:rPr>
              <w:t>保证金</w:t>
            </w:r>
            <w:r>
              <w:rPr>
                <w:rFonts w:hint="eastAsia" w:ascii="宋体" w:hAnsi="宋体" w:eastAsia="宋体" w:cs="宋体"/>
                <w:sz w:val="24"/>
                <w:szCs w:val="24"/>
              </w:rPr>
              <w:t>须以</w:t>
            </w:r>
            <w:r>
              <w:rPr>
                <w:rFonts w:hint="eastAsia" w:ascii="宋体" w:hAnsi="宋体" w:cs="宋体"/>
                <w:sz w:val="24"/>
                <w:szCs w:val="24"/>
                <w:lang w:eastAsia="zh-CN"/>
              </w:rPr>
              <w:t>供应商</w:t>
            </w:r>
            <w:r>
              <w:rPr>
                <w:rFonts w:hint="eastAsia" w:ascii="宋体" w:hAnsi="宋体" w:eastAsia="宋体" w:cs="宋体"/>
                <w:sz w:val="24"/>
                <w:szCs w:val="24"/>
                <w:lang w:eastAsia="zh-CN"/>
              </w:rPr>
              <w:t>单位</w:t>
            </w:r>
            <w:r>
              <w:rPr>
                <w:rFonts w:hint="eastAsia" w:ascii="宋体" w:hAnsi="宋体" w:eastAsia="宋体" w:cs="宋体"/>
                <w:sz w:val="24"/>
                <w:szCs w:val="24"/>
              </w:rPr>
              <w:t>名称汇款）。</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名：陕西中海</w:t>
            </w:r>
            <w:r>
              <w:rPr>
                <w:rFonts w:hint="eastAsia" w:ascii="宋体" w:hAnsi="宋体" w:cs="宋体"/>
                <w:sz w:val="24"/>
                <w:szCs w:val="24"/>
                <w:lang w:eastAsia="zh-CN"/>
              </w:rPr>
              <w:t>招标</w:t>
            </w:r>
            <w:r>
              <w:rPr>
                <w:rFonts w:hint="eastAsia" w:ascii="宋体" w:hAnsi="宋体" w:eastAsia="宋体" w:cs="宋体"/>
                <w:sz w:val="24"/>
                <w:szCs w:val="24"/>
              </w:rPr>
              <w:t>有限公司</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开户行：中国银行西安二环世纪星支行营业部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行  号：1047 9100 3702</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号</w:t>
            </w:r>
            <w:r>
              <w:rPr>
                <w:rFonts w:hint="eastAsia" w:ascii="宋体" w:hAnsi="宋体" w:eastAsia="宋体" w:cs="宋体"/>
                <w:sz w:val="24"/>
                <w:szCs w:val="24"/>
              </w:rPr>
              <w:t>：1020 0176 8739</w:t>
            </w:r>
          </w:p>
          <w:p>
            <w:pPr>
              <w:spacing w:line="360" w:lineRule="auto"/>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附  言：</w:t>
            </w:r>
            <w:r>
              <w:rPr>
                <w:rFonts w:hint="eastAsia" w:ascii="宋体" w:hAnsi="宋体" w:cs="宋体"/>
                <w:b/>
                <w:bCs/>
                <w:sz w:val="24"/>
                <w:szCs w:val="24"/>
                <w:highlight w:val="none"/>
                <w:lang w:eastAsia="zh-CN"/>
              </w:rPr>
              <w:t>ZHZB2022-FW-1025</w:t>
            </w:r>
            <w:r>
              <w:rPr>
                <w:rFonts w:hint="eastAsia" w:ascii="宋体" w:hAnsi="宋体" w:cs="宋体"/>
                <w:b/>
                <w:bCs/>
                <w:sz w:val="24"/>
                <w:szCs w:val="24"/>
                <w:highlight w:val="none"/>
                <w:lang w:val="en-US" w:eastAsia="zh-CN"/>
              </w:rPr>
              <w:t>磋商</w:t>
            </w:r>
            <w:r>
              <w:rPr>
                <w:rFonts w:hint="eastAsia" w:ascii="宋体" w:hAnsi="宋体" w:eastAsia="宋体" w:cs="宋体"/>
                <w:b/>
                <w:bCs/>
                <w:sz w:val="24"/>
                <w:szCs w:val="24"/>
                <w:highlight w:val="none"/>
                <w:lang w:val="en-US" w:eastAsia="zh-CN"/>
              </w:rPr>
              <w:t>保证金</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依据规定应通过</w:t>
            </w:r>
            <w:r>
              <w:rPr>
                <w:rFonts w:hint="eastAsia" w:ascii="宋体" w:hAnsi="宋体" w:cs="宋体"/>
                <w:sz w:val="24"/>
                <w:szCs w:val="24"/>
                <w:lang w:eastAsia="zh-CN"/>
              </w:rPr>
              <w:t>供应商</w:t>
            </w:r>
            <w:r>
              <w:rPr>
                <w:rFonts w:hint="eastAsia" w:ascii="宋体" w:hAnsi="宋体" w:eastAsia="宋体" w:cs="宋体"/>
                <w:sz w:val="24"/>
                <w:szCs w:val="24"/>
              </w:rPr>
              <w:t>单位基本户转帐，不收取现金。</w:t>
            </w:r>
            <w:r>
              <w:rPr>
                <w:rFonts w:hint="eastAsia" w:ascii="宋体" w:hAnsi="宋体" w:cs="宋体"/>
                <w:sz w:val="24"/>
                <w:szCs w:val="24"/>
                <w:lang w:eastAsia="zh-CN"/>
              </w:rPr>
              <w:t>供应商</w:t>
            </w:r>
            <w:r>
              <w:rPr>
                <w:rFonts w:hint="eastAsia" w:ascii="宋体" w:hAnsi="宋体" w:eastAsia="宋体" w:cs="宋体"/>
                <w:sz w:val="24"/>
                <w:szCs w:val="24"/>
              </w:rPr>
              <w:t>在</w:t>
            </w:r>
            <w:r>
              <w:rPr>
                <w:rFonts w:hint="eastAsia" w:ascii="宋体" w:hAnsi="宋体" w:cs="宋体"/>
                <w:sz w:val="24"/>
                <w:szCs w:val="24"/>
                <w:lang w:eastAsia="zh-CN"/>
              </w:rPr>
              <w:t>磋商</w:t>
            </w:r>
            <w:r>
              <w:rPr>
                <w:rFonts w:hint="eastAsia" w:ascii="宋体" w:hAnsi="宋体" w:eastAsia="宋体" w:cs="宋体"/>
                <w:sz w:val="24"/>
                <w:szCs w:val="24"/>
              </w:rPr>
              <w:t>保证金到达我公司</w:t>
            </w:r>
            <w:r>
              <w:rPr>
                <w:rFonts w:hint="eastAsia" w:ascii="宋体" w:hAnsi="宋体" w:eastAsia="宋体" w:cs="宋体"/>
                <w:sz w:val="24"/>
                <w:szCs w:val="24"/>
                <w:lang w:eastAsia="zh-CN"/>
              </w:rPr>
              <w:t>账</w:t>
            </w:r>
            <w:r>
              <w:rPr>
                <w:rFonts w:hint="eastAsia" w:ascii="宋体" w:hAnsi="宋体" w:eastAsia="宋体" w:cs="宋体"/>
                <w:sz w:val="24"/>
                <w:szCs w:val="24"/>
              </w:rPr>
              <w:t>户后，请与我公司财务联系开具收据事宜。</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联系人：樊女士  联系电话029-89351688-602。</w:t>
            </w:r>
          </w:p>
          <w:p>
            <w:pPr>
              <w:spacing w:line="360" w:lineRule="auto"/>
              <w:jc w:val="left"/>
              <w:rPr>
                <w:rFonts w:hint="eastAsia" w:eastAsia="宋体"/>
                <w:lang w:eastAsia="zh-CN"/>
              </w:rPr>
            </w:pPr>
            <w:r>
              <w:rPr>
                <w:rFonts w:hint="eastAsia" w:ascii="宋体" w:hAnsi="宋体" w:eastAsia="宋体" w:cs="宋体"/>
                <w:b/>
                <w:bCs/>
                <w:sz w:val="24"/>
                <w:szCs w:val="24"/>
                <w:lang w:eastAsia="zh-CN"/>
              </w:rPr>
              <w:t>开标时作为</w:t>
            </w:r>
            <w:r>
              <w:rPr>
                <w:rFonts w:hint="eastAsia" w:ascii="宋体" w:hAnsi="宋体" w:cs="宋体"/>
                <w:b/>
                <w:bCs/>
                <w:sz w:val="24"/>
                <w:szCs w:val="24"/>
                <w:lang w:eastAsia="zh-CN"/>
              </w:rPr>
              <w:t>磋商</w:t>
            </w:r>
            <w:r>
              <w:rPr>
                <w:rFonts w:hint="eastAsia" w:ascii="宋体" w:hAnsi="宋体" w:eastAsia="宋体" w:cs="宋体"/>
                <w:b/>
                <w:bCs/>
                <w:sz w:val="24"/>
                <w:szCs w:val="24"/>
                <w:lang w:eastAsia="zh-CN"/>
              </w:rPr>
              <w:t>保证金交付凭证；</w:t>
            </w:r>
            <w:r>
              <w:rPr>
                <w:rFonts w:hint="eastAsia" w:ascii="宋体" w:hAnsi="宋体" w:cs="宋体"/>
                <w:b/>
                <w:bCs/>
                <w:sz w:val="24"/>
                <w:szCs w:val="24"/>
                <w:lang w:eastAsia="zh-CN"/>
              </w:rPr>
              <w:t>供应商</w:t>
            </w:r>
            <w:r>
              <w:rPr>
                <w:rFonts w:hint="eastAsia" w:ascii="宋体" w:hAnsi="宋体" w:eastAsia="宋体" w:cs="宋体"/>
                <w:b/>
                <w:bCs/>
                <w:sz w:val="24"/>
                <w:szCs w:val="24"/>
                <w:lang w:eastAsia="zh-CN"/>
              </w:rPr>
              <w:t>须在</w:t>
            </w:r>
            <w:r>
              <w:rPr>
                <w:rFonts w:hint="eastAsia" w:ascii="宋体" w:hAnsi="宋体" w:cs="宋体"/>
                <w:b/>
                <w:bCs/>
                <w:sz w:val="24"/>
                <w:szCs w:val="24"/>
                <w:lang w:eastAsia="zh-CN"/>
              </w:rPr>
              <w:t>磋商</w:t>
            </w:r>
            <w:r>
              <w:rPr>
                <w:rFonts w:hint="eastAsia" w:ascii="宋体" w:hAnsi="宋体" w:eastAsia="宋体" w:cs="宋体"/>
                <w:b/>
                <w:bCs/>
                <w:sz w:val="24"/>
                <w:szCs w:val="24"/>
                <w:lang w:eastAsia="zh-CN"/>
              </w:rPr>
              <w:t>文件中附此收据复印件；退还保证金时须返还此收据。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10</w:t>
            </w:r>
          </w:p>
        </w:tc>
        <w:tc>
          <w:tcPr>
            <w:tcW w:w="2024" w:type="dxa"/>
            <w:vAlign w:val="center"/>
          </w:tcPr>
          <w:p>
            <w:pPr>
              <w:adjustRightInd w:val="0"/>
              <w:snapToGrid w:val="0"/>
              <w:spacing w:line="360" w:lineRule="auto"/>
              <w:jc w:val="center"/>
              <w:rPr>
                <w:rFonts w:hint="eastAsia" w:ascii="宋体" w:hAnsi="宋体" w:cs="宋体"/>
                <w:b w:val="0"/>
                <w:bCs w:val="0"/>
                <w:sz w:val="24"/>
                <w:szCs w:val="24"/>
                <w:vertAlign w:val="baseline"/>
                <w:lang w:eastAsia="zh-CN"/>
              </w:rPr>
            </w:pPr>
            <w:r>
              <w:rPr>
                <w:rFonts w:hint="eastAsia" w:ascii="宋体" w:hAnsi="宋体" w:eastAsia="宋体" w:cs="宋体"/>
                <w:color w:val="000000" w:themeColor="text1"/>
                <w:sz w:val="24"/>
                <w:szCs w:val="24"/>
                <w14:textFill>
                  <w14:solidFill>
                    <w14:schemeClr w14:val="tx1"/>
                  </w14:solidFill>
                </w14:textFill>
              </w:rPr>
              <w:t>是否接受联合体</w:t>
            </w:r>
          </w:p>
        </w:tc>
        <w:tc>
          <w:tcPr>
            <w:tcW w:w="6806" w:type="dxa"/>
            <w:vAlign w:val="center"/>
          </w:tcPr>
          <w:p>
            <w:pPr>
              <w:adjustRightInd w:val="0"/>
              <w:snapToGrid w:val="0"/>
              <w:spacing w:line="360" w:lineRule="auto"/>
              <w:jc w:val="both"/>
              <w:rPr>
                <w:rFonts w:hint="eastAsia" w:cs="宋体"/>
                <w:b/>
                <w:bCs/>
                <w:sz w:val="24"/>
                <w:szCs w:val="24"/>
                <w:vertAlign w:val="baseline"/>
                <w:lang w:eastAsia="zh-CN"/>
              </w:rPr>
            </w:pPr>
            <w:r>
              <w:rPr>
                <w:rFonts w:hint="eastAsia" w:ascii="宋体" w:hAnsi="宋体" w:eastAsia="宋体" w:cs="宋体"/>
                <w:color w:val="000000" w:themeColor="text1"/>
                <w:sz w:val="24"/>
                <w:szCs w:val="24"/>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11</w:t>
            </w:r>
          </w:p>
        </w:tc>
        <w:tc>
          <w:tcPr>
            <w:tcW w:w="2024" w:type="dxa"/>
            <w:vAlign w:val="center"/>
          </w:tcPr>
          <w:p>
            <w:pPr>
              <w:adjustRightInd w:val="0"/>
              <w:snapToGrid w:val="0"/>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分包</w:t>
            </w:r>
          </w:p>
        </w:tc>
        <w:tc>
          <w:tcPr>
            <w:tcW w:w="6806" w:type="dxa"/>
            <w:vAlign w:val="center"/>
          </w:tcPr>
          <w:p>
            <w:pPr>
              <w:adjustRightInd w:val="0"/>
              <w:snapToGrid w:val="0"/>
              <w:spacing w:line="360" w:lineRule="auto"/>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12</w:t>
            </w:r>
          </w:p>
        </w:tc>
        <w:tc>
          <w:tcPr>
            <w:tcW w:w="2024" w:type="dxa"/>
            <w:vAlign w:val="center"/>
          </w:tcPr>
          <w:p>
            <w:pPr>
              <w:adjustRightInd w:val="0"/>
              <w:snapToGrid w:val="0"/>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踏勘现场</w:t>
            </w:r>
          </w:p>
        </w:tc>
        <w:tc>
          <w:tcPr>
            <w:tcW w:w="6806" w:type="dxa"/>
            <w:vAlign w:val="center"/>
          </w:tcPr>
          <w:p>
            <w:pPr>
              <w:adjustRightInd w:val="0"/>
              <w:snapToGrid w:val="0"/>
              <w:spacing w:line="360" w:lineRule="auto"/>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13</w:t>
            </w:r>
          </w:p>
        </w:tc>
        <w:tc>
          <w:tcPr>
            <w:tcW w:w="2024" w:type="dxa"/>
            <w:vAlign w:val="center"/>
          </w:tcPr>
          <w:p>
            <w:pPr>
              <w:adjustRightInd w:val="0"/>
              <w:snapToGrid w:val="0"/>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供应商要求澄清的截止时间</w:t>
            </w:r>
          </w:p>
        </w:tc>
        <w:tc>
          <w:tcPr>
            <w:tcW w:w="6806" w:type="dxa"/>
            <w:vAlign w:val="center"/>
          </w:tcPr>
          <w:p>
            <w:pPr>
              <w:adjustRightInd w:val="0"/>
              <w:snapToGrid w:val="0"/>
              <w:spacing w:line="360" w:lineRule="auto"/>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响应文件递交截止时间</w:t>
            </w:r>
            <w:r>
              <w:rPr>
                <w:rFonts w:hint="eastAsia" w:ascii="宋体" w:hAnsi="宋体" w:eastAsia="宋体" w:cs="宋体"/>
                <w:color w:val="000000" w:themeColor="text1"/>
                <w:sz w:val="24"/>
                <w:szCs w:val="24"/>
                <w:highlight w:val="none"/>
                <w14:textFill>
                  <w14:solidFill>
                    <w14:schemeClr w14:val="tx1"/>
                  </w14:solidFill>
                </w14:textFill>
              </w:rPr>
              <w:t>5日</w:t>
            </w:r>
            <w:r>
              <w:rPr>
                <w:rFonts w:hint="eastAsia" w:ascii="宋体" w:hAnsi="宋体" w:eastAsia="宋体" w:cs="宋体"/>
                <w:color w:val="000000" w:themeColor="text1"/>
                <w:sz w:val="24"/>
                <w:szCs w:val="24"/>
                <w14:textFill>
                  <w14:solidFill>
                    <w14:schemeClr w14:val="tx1"/>
                  </w14:solidFill>
                </w14:textFill>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14</w:t>
            </w:r>
          </w:p>
        </w:tc>
        <w:tc>
          <w:tcPr>
            <w:tcW w:w="2024" w:type="dxa"/>
            <w:vAlign w:val="center"/>
          </w:tcPr>
          <w:p>
            <w:pPr>
              <w:adjustRightInd w:val="0"/>
              <w:snapToGrid w:val="0"/>
              <w:ind w:left="720" w:leftChars="0" w:hanging="720" w:hangingChars="3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质疑函送达方式</w:t>
            </w:r>
          </w:p>
        </w:tc>
        <w:tc>
          <w:tcPr>
            <w:tcW w:w="6806" w:type="dxa"/>
            <w:vAlign w:val="center"/>
          </w:tcPr>
          <w:p>
            <w:pPr>
              <w:adjustRightInd w:val="0"/>
              <w:snapToGrid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质疑提出人应将质疑函原件委派专人或通过邮寄方式在知道或者应知其权益受到损害之日起</w:t>
            </w:r>
            <w:r>
              <w:rPr>
                <w:rFonts w:hint="eastAsia" w:ascii="宋体" w:hAnsi="宋体" w:eastAsia="宋体" w:cs="宋体"/>
                <w:color w:val="000000" w:themeColor="text1"/>
                <w:sz w:val="24"/>
                <w:szCs w:val="24"/>
                <w:highlight w:val="none"/>
                <w14:textFill>
                  <w14:solidFill>
                    <w14:schemeClr w14:val="tx1"/>
                  </w14:solidFill>
                </w14:textFill>
              </w:rPr>
              <w:t>7个工作日</w:t>
            </w:r>
            <w:r>
              <w:rPr>
                <w:rFonts w:hint="eastAsia" w:ascii="宋体" w:hAnsi="宋体" w:eastAsia="宋体" w:cs="宋体"/>
                <w:color w:val="000000" w:themeColor="text1"/>
                <w:sz w:val="24"/>
                <w:szCs w:val="24"/>
                <w14:textFill>
                  <w14:solidFill>
                    <w14:schemeClr w14:val="tx1"/>
                  </w14:solidFill>
                </w14:textFill>
              </w:rPr>
              <w:t>内送达采购代理机构。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456" w:type="dxa"/>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15</w:t>
            </w:r>
          </w:p>
        </w:tc>
        <w:tc>
          <w:tcPr>
            <w:tcW w:w="2024" w:type="dxa"/>
            <w:vAlign w:val="center"/>
          </w:tcPr>
          <w:p>
            <w:pPr>
              <w:adjustRightInd w:val="0"/>
              <w:snapToGrid w:val="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有效期</w:t>
            </w:r>
          </w:p>
        </w:tc>
        <w:tc>
          <w:tcPr>
            <w:tcW w:w="6806" w:type="dxa"/>
            <w:vAlign w:val="center"/>
          </w:tcPr>
          <w:p>
            <w:pPr>
              <w:adjustRightInd w:val="0"/>
              <w:snapToGrid w:val="0"/>
              <w:spacing w:line="360" w:lineRule="auto"/>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90日历天（从</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16</w:t>
            </w:r>
          </w:p>
        </w:tc>
        <w:tc>
          <w:tcPr>
            <w:tcW w:w="2024" w:type="dxa"/>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sz w:val="24"/>
                <w:szCs w:val="24"/>
                <w:highlight w:val="none"/>
                <w:lang w:val="en-US" w:eastAsia="zh-CN"/>
              </w:rPr>
              <w:t>近年财务状况的年份要求</w:t>
            </w:r>
          </w:p>
        </w:tc>
        <w:tc>
          <w:tcPr>
            <w:tcW w:w="6806" w:type="dxa"/>
            <w:vAlign w:val="center"/>
          </w:tcPr>
          <w:p>
            <w:pPr>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sz w:val="24"/>
                <w:szCs w:val="24"/>
                <w:highlight w:val="none"/>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17</w:t>
            </w:r>
          </w:p>
        </w:tc>
        <w:tc>
          <w:tcPr>
            <w:tcW w:w="2024" w:type="dxa"/>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z w:val="24"/>
                <w:szCs w:val="24"/>
                <w:highlight w:val="none"/>
                <w:lang w:val="en-US" w:eastAsia="zh-CN"/>
              </w:rPr>
              <w:t>近年完成的类似项目情况的时间要求</w:t>
            </w:r>
          </w:p>
        </w:tc>
        <w:tc>
          <w:tcPr>
            <w:tcW w:w="6806" w:type="dxa"/>
            <w:vAlign w:val="center"/>
          </w:tcPr>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z w:val="24"/>
                <w:szCs w:val="24"/>
                <w:highlight w:val="none"/>
                <w:lang w:val="en-US" w:eastAsia="zh-CN"/>
              </w:rPr>
              <w:t>2019年至提交响应文件截止时间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18</w:t>
            </w:r>
          </w:p>
        </w:tc>
        <w:tc>
          <w:tcPr>
            <w:tcW w:w="2024" w:type="dxa"/>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14:textFill>
                  <w14:solidFill>
                    <w14:schemeClr w14:val="tx1"/>
                  </w14:solidFill>
                </w14:textFill>
              </w:rPr>
              <w:t>是否允许递交备选响应方案</w:t>
            </w:r>
          </w:p>
        </w:tc>
        <w:tc>
          <w:tcPr>
            <w:tcW w:w="6806" w:type="dxa"/>
            <w:vAlign w:val="center"/>
          </w:tcPr>
          <w:p>
            <w:pPr>
              <w:spacing w:line="276"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19</w:t>
            </w:r>
          </w:p>
        </w:tc>
        <w:tc>
          <w:tcPr>
            <w:tcW w:w="2024" w:type="dxa"/>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14:textFill>
                  <w14:solidFill>
                    <w14:schemeClr w14:val="tx1"/>
                  </w14:solidFill>
                </w14:textFill>
              </w:rPr>
              <w:t>响应文件份数要求</w:t>
            </w:r>
          </w:p>
        </w:tc>
        <w:tc>
          <w:tcPr>
            <w:tcW w:w="6806" w:type="dxa"/>
            <w:vAlign w:val="center"/>
          </w:tcPr>
          <w:p>
            <w:pPr>
              <w:spacing w:line="360" w:lineRule="auto"/>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磋商文件正本壹份,副本贰份；</w:t>
            </w:r>
          </w:p>
          <w:p>
            <w:pPr>
              <w:spacing w:line="360" w:lineRule="auto"/>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提交与整套磋商文件正本内容一致的电子文档份数：电子版U盘壹份(U盘单独密封)。</w:t>
            </w:r>
          </w:p>
          <w:p>
            <w:pPr>
              <w:spacing w:line="360" w:lineRule="auto"/>
              <w:jc w:val="both"/>
              <w:rPr>
                <w:rFonts w:hint="eastAsia"/>
                <w:lang w:val="en-US" w:eastAsia="zh-CN"/>
              </w:rPr>
            </w:pPr>
            <w:r>
              <w:rPr>
                <w:rFonts w:hint="eastAsia" w:ascii="宋体" w:hAnsi="宋体" w:eastAsia="宋体" w:cs="宋体"/>
                <w:b w:val="0"/>
                <w:bCs w:val="0"/>
                <w:kern w:val="2"/>
                <w:sz w:val="24"/>
                <w:szCs w:val="24"/>
                <w:lang w:val="en-US" w:eastAsia="zh-CN" w:bidi="ar-SA"/>
              </w:rPr>
              <w:t>携带法定代表人或授权委托代理人身份证明及身份证原件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20</w:t>
            </w:r>
          </w:p>
        </w:tc>
        <w:tc>
          <w:tcPr>
            <w:tcW w:w="2024" w:type="dxa"/>
            <w:vAlign w:val="center"/>
          </w:tcPr>
          <w:p>
            <w:pPr>
              <w:spacing w:line="44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文件装订要求</w:t>
            </w:r>
          </w:p>
        </w:tc>
        <w:tc>
          <w:tcPr>
            <w:tcW w:w="6806" w:type="dxa"/>
            <w:vAlign w:val="center"/>
          </w:tcPr>
          <w:p>
            <w:pPr>
              <w:spacing w:line="276" w:lineRule="auto"/>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正、副本均须用A4纸装订成册(图页可除外)，须按磋商文件第</w:t>
            </w:r>
            <w:r>
              <w:rPr>
                <w:rFonts w:hint="eastAsia" w:ascii="宋体" w:hAnsi="宋体" w:cs="宋体"/>
                <w:color w:val="000000" w:themeColor="text1"/>
                <w:sz w:val="24"/>
                <w:szCs w:val="24"/>
                <w:lang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章“磋商</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文件格式”的排序编制目录并逐页标注页码，不得采用活页夹和硬皮封面装订，正、副本应分开装袋密封。副本可用正本复印，正、副本不一致时以正本为准。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21</w:t>
            </w:r>
          </w:p>
        </w:tc>
        <w:tc>
          <w:tcPr>
            <w:tcW w:w="2024" w:type="dxa"/>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封套上应载明的信息</w:t>
            </w:r>
          </w:p>
        </w:tc>
        <w:tc>
          <w:tcPr>
            <w:tcW w:w="6806" w:type="dxa"/>
            <w:vAlign w:val="center"/>
          </w:tcPr>
          <w:p>
            <w:pPr>
              <w:bidi w:val="0"/>
              <w:spacing w:line="360" w:lineRule="auto"/>
              <w:rPr>
                <w:rFonts w:hint="default" w:eastAsia="宋体"/>
                <w:sz w:val="24"/>
                <w:szCs w:val="32"/>
                <w:lang w:val="en-US" w:eastAsia="zh-CN"/>
              </w:rPr>
            </w:pPr>
            <w:r>
              <w:rPr>
                <w:rFonts w:hint="eastAsia"/>
                <w:sz w:val="24"/>
                <w:szCs w:val="32"/>
              </w:rPr>
              <w:t>采购项目名称：</w:t>
            </w:r>
            <w:r>
              <w:rPr>
                <w:rFonts w:hint="eastAsia"/>
                <w:sz w:val="24"/>
                <w:szCs w:val="32"/>
                <w:lang w:val="en-US" w:eastAsia="zh-CN"/>
              </w:rPr>
              <w:t xml:space="preserve">                  </w:t>
            </w:r>
            <w:r>
              <w:rPr>
                <w:rFonts w:hint="eastAsia"/>
                <w:sz w:val="24"/>
                <w:szCs w:val="32"/>
              </w:rPr>
              <w:t>项目编号：</w:t>
            </w:r>
          </w:p>
          <w:p>
            <w:pPr>
              <w:bidi w:val="0"/>
              <w:spacing w:line="360" w:lineRule="auto"/>
              <w:rPr>
                <w:rFonts w:hint="eastAsia"/>
                <w:sz w:val="24"/>
                <w:szCs w:val="32"/>
              </w:rPr>
            </w:pPr>
            <w:r>
              <w:rPr>
                <w:rFonts w:hint="eastAsia"/>
                <w:sz w:val="24"/>
                <w:szCs w:val="32"/>
                <w:lang w:eastAsia="zh-CN"/>
              </w:rPr>
              <w:t>供应商</w:t>
            </w:r>
            <w:r>
              <w:rPr>
                <w:rFonts w:hint="eastAsia"/>
                <w:sz w:val="24"/>
                <w:szCs w:val="32"/>
              </w:rPr>
              <w:t>名称：</w:t>
            </w:r>
          </w:p>
          <w:p>
            <w:pPr>
              <w:bidi w:val="0"/>
              <w:spacing w:line="360" w:lineRule="auto"/>
              <w:rPr>
                <w:rFonts w:hint="eastAsia"/>
                <w:sz w:val="24"/>
                <w:szCs w:val="32"/>
              </w:rPr>
            </w:pPr>
            <w:r>
              <w:rPr>
                <w:rFonts w:hint="eastAsia"/>
                <w:sz w:val="24"/>
                <w:szCs w:val="32"/>
                <w:lang w:eastAsia="zh-CN"/>
              </w:rPr>
              <w:t>供应商</w:t>
            </w:r>
            <w:r>
              <w:rPr>
                <w:rFonts w:hint="eastAsia"/>
                <w:sz w:val="24"/>
                <w:szCs w:val="32"/>
              </w:rPr>
              <w:t>地址：</w:t>
            </w:r>
          </w:p>
          <w:p>
            <w:pPr>
              <w:spacing w:line="276" w:lineRule="auto"/>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sz w:val="24"/>
                <w:szCs w:val="24"/>
                <w:highlight w:val="none"/>
                <w:lang w:val="en-US" w:eastAsia="zh-CN"/>
              </w:rPr>
              <w:t>于2022年11月15日14:00时启封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22</w:t>
            </w:r>
          </w:p>
        </w:tc>
        <w:tc>
          <w:tcPr>
            <w:tcW w:w="0" w:type="auto"/>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提交响应文件截止时间</w:t>
            </w:r>
          </w:p>
        </w:tc>
        <w:tc>
          <w:tcPr>
            <w:tcW w:w="0" w:type="auto"/>
            <w:vAlign w:val="center"/>
          </w:tcPr>
          <w:p>
            <w:pPr>
              <w:pStyle w:val="9"/>
              <w:topLinePunct/>
              <w:ind w:left="105" w:leftChars="5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kern w:val="2"/>
                <w:sz w:val="24"/>
                <w:szCs w:val="24"/>
                <w:highlight w:val="none"/>
                <w:lang w:val="en-US" w:eastAsia="zh-CN" w:bidi="ar-SA"/>
              </w:rPr>
              <w:t>20</w:t>
            </w:r>
            <w:r>
              <w:rPr>
                <w:rFonts w:hint="eastAsia" w:hAnsi="宋体" w:cs="宋体"/>
                <w:kern w:val="2"/>
                <w:sz w:val="24"/>
                <w:szCs w:val="24"/>
                <w:highlight w:val="none"/>
                <w:lang w:val="en-US" w:eastAsia="zh-CN" w:bidi="ar-SA"/>
              </w:rPr>
              <w:t>22</w:t>
            </w:r>
            <w:r>
              <w:rPr>
                <w:rFonts w:hint="eastAsia" w:ascii="宋体" w:hAnsi="宋体" w:eastAsia="宋体" w:cs="宋体"/>
                <w:kern w:val="2"/>
                <w:sz w:val="24"/>
                <w:szCs w:val="24"/>
                <w:highlight w:val="none"/>
                <w:lang w:val="en-US" w:eastAsia="zh-CN" w:bidi="ar-SA"/>
              </w:rPr>
              <w:t>年</w:t>
            </w:r>
            <w:r>
              <w:rPr>
                <w:rFonts w:hint="eastAsia" w:hAnsi="宋体" w:cs="宋体"/>
                <w:kern w:val="2"/>
                <w:sz w:val="24"/>
                <w:szCs w:val="24"/>
                <w:highlight w:val="none"/>
                <w:lang w:val="en-US" w:eastAsia="zh-CN" w:bidi="ar-SA"/>
              </w:rPr>
              <w:t>11</w:t>
            </w:r>
            <w:r>
              <w:rPr>
                <w:rFonts w:hint="eastAsia" w:ascii="宋体" w:hAnsi="宋体" w:eastAsia="宋体" w:cs="宋体"/>
                <w:kern w:val="2"/>
                <w:sz w:val="24"/>
                <w:szCs w:val="24"/>
                <w:highlight w:val="none"/>
                <w:lang w:val="en-US" w:eastAsia="zh-CN" w:bidi="ar-SA"/>
              </w:rPr>
              <w:t>月</w:t>
            </w:r>
            <w:r>
              <w:rPr>
                <w:rFonts w:hint="eastAsia" w:hAnsi="宋体" w:cs="宋体"/>
                <w:kern w:val="2"/>
                <w:sz w:val="24"/>
                <w:szCs w:val="24"/>
                <w:highlight w:val="none"/>
                <w:lang w:val="en-US" w:eastAsia="zh-CN" w:bidi="ar-SA"/>
              </w:rPr>
              <w:t>15</w:t>
            </w:r>
            <w:r>
              <w:rPr>
                <w:rFonts w:hint="eastAsia" w:ascii="宋体" w:hAnsi="宋体" w:eastAsia="宋体" w:cs="宋体"/>
                <w:kern w:val="2"/>
                <w:sz w:val="24"/>
                <w:szCs w:val="24"/>
                <w:highlight w:val="none"/>
                <w:lang w:val="en-US" w:eastAsia="zh-CN" w:bidi="ar-SA"/>
              </w:rPr>
              <w:t>日14:00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23</w:t>
            </w:r>
          </w:p>
        </w:tc>
        <w:tc>
          <w:tcPr>
            <w:tcW w:w="0" w:type="auto"/>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递交响应文件地点</w:t>
            </w:r>
          </w:p>
        </w:tc>
        <w:tc>
          <w:tcPr>
            <w:tcW w:w="0" w:type="auto"/>
            <w:vAlign w:val="center"/>
          </w:tcPr>
          <w:p>
            <w:pPr>
              <w:pStyle w:val="9"/>
              <w:topLinePunct/>
              <w:ind w:left="105" w:leftChars="5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eastAsia="zh-CN"/>
              </w:rPr>
              <w:t>西安市莲湖区西关正街英达大厦809室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24</w:t>
            </w:r>
          </w:p>
        </w:tc>
        <w:tc>
          <w:tcPr>
            <w:tcW w:w="0" w:type="auto"/>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sz w:val="24"/>
                <w:szCs w:val="24"/>
              </w:rPr>
              <w:t>响应文件是否退还</w:t>
            </w:r>
          </w:p>
        </w:tc>
        <w:tc>
          <w:tcPr>
            <w:tcW w:w="0" w:type="auto"/>
            <w:vAlign w:val="center"/>
          </w:tcPr>
          <w:p>
            <w:pPr>
              <w:adjustRightInd w:val="0"/>
              <w:snapToGrid w:val="0"/>
              <w:jc w:val="both"/>
              <w:rPr>
                <w:rFonts w:hint="eastAsia" w:ascii="宋体" w:hAnsi="宋体" w:eastAsia="宋体" w:cs="宋体"/>
                <w:color w:val="000000" w:themeColor="text1"/>
                <w:kern w:val="2"/>
                <w:sz w:val="24"/>
                <w:szCs w:val="24"/>
                <w:highlight w:val="red"/>
                <w:lang w:val="en-US" w:eastAsia="zh-CN" w:bidi="ar-SA"/>
                <w14:textFill>
                  <w14:solidFill>
                    <w14:schemeClr w14:val="tx1"/>
                  </w14:solidFill>
                </w14:textFill>
              </w:rPr>
            </w:pPr>
            <w:r>
              <w:rPr>
                <w:rFonts w:hint="eastAsia" w:ascii="宋体" w:hAnsi="宋体"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25</w:t>
            </w:r>
          </w:p>
        </w:tc>
        <w:tc>
          <w:tcPr>
            <w:tcW w:w="0" w:type="auto"/>
            <w:vAlign w:val="center"/>
          </w:tcPr>
          <w:p>
            <w:pPr>
              <w:adjustRightInd w:val="0"/>
              <w:snapToGrid w:val="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sz w:val="24"/>
                <w:szCs w:val="24"/>
              </w:rPr>
              <w:t>磋商大会程序</w:t>
            </w:r>
          </w:p>
        </w:tc>
        <w:tc>
          <w:tcPr>
            <w:tcW w:w="0" w:type="auto"/>
            <w:vAlign w:val="center"/>
          </w:tcPr>
          <w:p>
            <w:pPr>
              <w:snapToGrid w:val="0"/>
              <w:spacing w:line="276" w:lineRule="auto"/>
              <w:ind w:left="2"/>
              <w:jc w:val="both"/>
              <w:rPr>
                <w:rFonts w:hint="eastAsia" w:ascii="宋体" w:hAnsi="宋体" w:eastAsia="宋体" w:cs="宋体"/>
                <w:sz w:val="24"/>
                <w:szCs w:val="24"/>
              </w:rPr>
            </w:pPr>
            <w:r>
              <w:rPr>
                <w:rFonts w:hint="eastAsia" w:ascii="宋体" w:hAnsi="宋体" w:eastAsia="宋体" w:cs="宋体"/>
                <w:sz w:val="24"/>
                <w:szCs w:val="24"/>
              </w:rPr>
              <w:t>响应文件的密封检查:磋商大会</w:t>
            </w:r>
            <w:r>
              <w:rPr>
                <w:rFonts w:hint="eastAsia" w:ascii="宋体" w:hAnsi="宋体" w:eastAsia="宋体" w:cs="宋体"/>
                <w:bCs/>
                <w:sz w:val="24"/>
                <w:szCs w:val="24"/>
              </w:rPr>
              <w:t>现场集中检查，</w:t>
            </w:r>
            <w:r>
              <w:rPr>
                <w:rFonts w:hint="eastAsia" w:ascii="宋体" w:hAnsi="宋体" w:eastAsia="宋体" w:cs="宋体"/>
                <w:sz w:val="24"/>
                <w:szCs w:val="24"/>
              </w:rPr>
              <w:t>由</w:t>
            </w:r>
            <w:r>
              <w:rPr>
                <w:rFonts w:hint="eastAsia" w:ascii="宋体" w:hAnsi="宋体" w:eastAsia="宋体" w:cs="宋体"/>
                <w:color w:val="333333"/>
                <w:sz w:val="24"/>
                <w:szCs w:val="24"/>
              </w:rPr>
              <w:t>供应商</w:t>
            </w:r>
            <w:r>
              <w:rPr>
                <w:rFonts w:hint="eastAsia" w:ascii="宋体" w:hAnsi="宋体" w:eastAsia="宋体" w:cs="宋体"/>
                <w:sz w:val="24"/>
                <w:szCs w:val="24"/>
              </w:rPr>
              <w:t>和监标人检查响应文件的密封情况。</w:t>
            </w:r>
          </w:p>
          <w:p>
            <w:pPr>
              <w:adjustRightInd w:val="0"/>
              <w:snapToGrid w:val="0"/>
              <w:jc w:val="both"/>
              <w:rPr>
                <w:rFonts w:hint="eastAsia" w:ascii="宋体" w:hAnsi="宋体" w:eastAsia="宋体" w:cs="宋体"/>
                <w:color w:val="000000" w:themeColor="text1"/>
                <w:kern w:val="2"/>
                <w:sz w:val="24"/>
                <w:szCs w:val="24"/>
                <w:highlight w:val="yellow"/>
                <w:lang w:val="en-US" w:eastAsia="zh-CN" w:bidi="ar-SA"/>
                <w14:textFill>
                  <w14:solidFill>
                    <w14:schemeClr w14:val="tx1"/>
                  </w14:solidFill>
                </w14:textFill>
              </w:rPr>
            </w:pPr>
            <w:r>
              <w:rPr>
                <w:rFonts w:hint="eastAsia" w:ascii="宋体" w:hAnsi="宋体" w:eastAsia="宋体" w:cs="宋体"/>
                <w:sz w:val="24"/>
                <w:szCs w:val="24"/>
              </w:rPr>
              <w:t>开启顺序：</w:t>
            </w:r>
            <w:r>
              <w:rPr>
                <w:rFonts w:hint="eastAsia" w:ascii="宋体" w:hAnsi="宋体" w:cs="宋体"/>
                <w:sz w:val="24"/>
                <w:szCs w:val="24"/>
                <w:lang w:eastAsia="zh-CN"/>
              </w:rPr>
              <w:t>随机开启磋商响应文件</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26</w:t>
            </w:r>
          </w:p>
        </w:tc>
        <w:tc>
          <w:tcPr>
            <w:tcW w:w="0" w:type="auto"/>
            <w:vAlign w:val="center"/>
          </w:tcPr>
          <w:p>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竞争性磋商小组（</w:t>
            </w:r>
            <w:r>
              <w:rPr>
                <w:rFonts w:hint="eastAsia" w:ascii="宋体" w:hAnsi="宋体" w:eastAsia="宋体" w:cs="宋体"/>
                <w:snapToGrid w:val="0"/>
                <w:kern w:val="0"/>
                <w:sz w:val="24"/>
                <w:szCs w:val="24"/>
              </w:rPr>
              <w:t>以下简称磋商小组</w:t>
            </w:r>
            <w:r>
              <w:rPr>
                <w:rFonts w:hint="eastAsia" w:ascii="宋体" w:hAnsi="宋体" w:eastAsia="宋体" w:cs="宋体"/>
                <w:sz w:val="24"/>
                <w:szCs w:val="24"/>
              </w:rPr>
              <w:t>）的组建</w:t>
            </w:r>
          </w:p>
        </w:tc>
        <w:tc>
          <w:tcPr>
            <w:tcW w:w="0" w:type="auto"/>
            <w:vAlign w:val="center"/>
          </w:tcPr>
          <w:p>
            <w:pPr>
              <w:adjustRightInd w:val="0"/>
              <w:snapToGrid w:val="0"/>
              <w:spacing w:line="276" w:lineRule="auto"/>
              <w:jc w:val="both"/>
              <w:rPr>
                <w:rFonts w:hint="eastAsia" w:ascii="宋体" w:hAnsi="宋体" w:eastAsia="宋体" w:cs="宋体"/>
                <w:sz w:val="24"/>
                <w:szCs w:val="24"/>
                <w:lang w:eastAsia="zh-CN"/>
              </w:rPr>
            </w:pPr>
            <w:r>
              <w:rPr>
                <w:rFonts w:hint="eastAsia" w:ascii="宋体" w:hAnsi="宋体" w:eastAsia="宋体" w:cs="宋体"/>
                <w:sz w:val="24"/>
                <w:szCs w:val="24"/>
              </w:rPr>
              <w:t>磋商小组构成：3人，其中</w:t>
            </w:r>
            <w:r>
              <w:rPr>
                <w:rFonts w:hint="eastAsia" w:ascii="宋体" w:hAnsi="宋体" w:eastAsia="宋体" w:cs="宋体"/>
                <w:sz w:val="24"/>
                <w:szCs w:val="24"/>
                <w:lang w:eastAsia="zh-CN"/>
              </w:rPr>
              <w:t>采购人</w:t>
            </w:r>
            <w:r>
              <w:rPr>
                <w:rFonts w:hint="eastAsia" w:ascii="宋体" w:hAnsi="宋体" w:eastAsia="宋体" w:cs="宋体"/>
                <w:sz w:val="24"/>
                <w:szCs w:val="24"/>
              </w:rPr>
              <w:t>代表 1人，专家2 人</w:t>
            </w:r>
            <w:r>
              <w:rPr>
                <w:rFonts w:hint="eastAsia" w:ascii="宋体" w:hAnsi="宋体" w:eastAsia="宋体" w:cs="宋体"/>
                <w:sz w:val="24"/>
                <w:szCs w:val="24"/>
                <w:lang w:eastAsia="zh-CN"/>
              </w:rPr>
              <w:t>。</w:t>
            </w:r>
          </w:p>
          <w:p>
            <w:pPr>
              <w:pStyle w:val="6"/>
              <w:rPr>
                <w:rFonts w:hint="eastAsia" w:ascii="宋体" w:hAnsi="宋体" w:eastAsia="宋体" w:cs="宋体"/>
                <w:kern w:val="2"/>
                <w:sz w:val="24"/>
                <w:szCs w:val="24"/>
                <w:lang w:val="en-US" w:eastAsia="zh-CN" w:bidi="ar-SA"/>
              </w:rPr>
            </w:pPr>
            <w:r>
              <w:rPr>
                <w:rFonts w:hint="eastAsia" w:ascii="宋体" w:hAnsi="宋体" w:eastAsia="宋体" w:cs="宋体"/>
                <w:b w:val="0"/>
                <w:bCs w:val="0"/>
                <w:snapToGrid w:val="0"/>
                <w:kern w:val="0"/>
                <w:sz w:val="24"/>
                <w:szCs w:val="24"/>
                <w:lang w:val="en-US" w:eastAsia="zh-CN" w:bidi="ar-SA"/>
              </w:rPr>
              <w:t>评审专家确定方式：磋商大会前24小时内从《陕西省政府采购评审专家库》中随机抽取。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27</w:t>
            </w:r>
          </w:p>
        </w:tc>
        <w:tc>
          <w:tcPr>
            <w:tcW w:w="0" w:type="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确定成交供应商方式</w:t>
            </w:r>
          </w:p>
        </w:tc>
        <w:tc>
          <w:tcPr>
            <w:tcW w:w="0" w:type="auto"/>
            <w:vAlign w:val="center"/>
          </w:tcPr>
          <w:p>
            <w:pPr>
              <w:adjustRightInd w:val="0"/>
              <w:snapToGrid w:val="0"/>
              <w:jc w:val="both"/>
              <w:rPr>
                <w:rFonts w:hint="eastAsia"/>
                <w:lang w:val="en-US" w:eastAsia="zh-CN"/>
              </w:rPr>
            </w:pPr>
            <w:r>
              <w:rPr>
                <w:rFonts w:hint="eastAsia" w:ascii="宋体" w:hAnsi="宋体" w:cs="宋体"/>
                <w:sz w:val="24"/>
                <w:szCs w:val="24"/>
                <w:highlight w:val="none"/>
                <w:lang w:eastAsia="zh-CN"/>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0" w:type="auto"/>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28</w:t>
            </w:r>
          </w:p>
        </w:tc>
        <w:tc>
          <w:tcPr>
            <w:tcW w:w="0" w:type="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成交结果公示媒介</w:t>
            </w:r>
          </w:p>
        </w:tc>
        <w:tc>
          <w:tcPr>
            <w:tcW w:w="0" w:type="auto"/>
            <w:vAlign w:val="center"/>
          </w:tcPr>
          <w:p>
            <w:pPr>
              <w:adjustRightInd w:val="0"/>
              <w:snapToGrid w:val="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《陕西</w:t>
            </w:r>
            <w:r>
              <w:rPr>
                <w:rFonts w:hint="eastAsia" w:ascii="宋体" w:hAnsi="宋体" w:cs="宋体"/>
                <w:sz w:val="24"/>
                <w:szCs w:val="24"/>
                <w:lang w:eastAsia="zh-CN"/>
              </w:rPr>
              <w:t>省政府采购网</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29</w:t>
            </w:r>
          </w:p>
        </w:tc>
        <w:tc>
          <w:tcPr>
            <w:tcW w:w="0" w:type="auto"/>
            <w:vAlign w:val="center"/>
          </w:tcPr>
          <w:p>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b/>
                <w:bCs/>
                <w:color w:val="000000" w:themeColor="text1"/>
                <w:sz w:val="24"/>
                <w:szCs w:val="24"/>
                <w14:textFill>
                  <w14:solidFill>
                    <w14:schemeClr w14:val="tx1"/>
                  </w14:solidFill>
                </w14:textFill>
              </w:rPr>
              <w:t>代理服务费</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代理服务费由中标单位承担，由各</w:t>
            </w:r>
            <w:r>
              <w:rPr>
                <w:rFonts w:hint="eastAsia" w:ascii="宋体" w:hAnsi="宋体" w:cs="宋体"/>
                <w:b/>
                <w:bCs/>
                <w:color w:val="000000" w:themeColor="text1"/>
                <w:sz w:val="24"/>
                <w:szCs w:val="24"/>
                <w:lang w:eastAsia="zh-CN"/>
                <w14:textFill>
                  <w14:solidFill>
                    <w14:schemeClr w14:val="tx1"/>
                  </w14:solidFill>
                </w14:textFill>
              </w:rPr>
              <w:t>供应商</w:t>
            </w:r>
            <w:r>
              <w:rPr>
                <w:rFonts w:hint="eastAsia" w:ascii="宋体" w:hAnsi="宋体" w:eastAsia="宋体" w:cs="宋体"/>
                <w:b/>
                <w:bCs/>
                <w:color w:val="000000" w:themeColor="text1"/>
                <w:sz w:val="24"/>
                <w:szCs w:val="24"/>
                <w14:textFill>
                  <w14:solidFill>
                    <w14:schemeClr w14:val="tx1"/>
                  </w14:solidFill>
                </w14:textFill>
              </w:rPr>
              <w:t>在</w:t>
            </w:r>
            <w:r>
              <w:rPr>
                <w:rFonts w:hint="eastAsia" w:ascii="宋体" w:hAnsi="宋体" w:cs="宋体"/>
                <w:b/>
                <w:bCs/>
                <w:color w:val="000000" w:themeColor="text1"/>
                <w:sz w:val="24"/>
                <w:szCs w:val="24"/>
                <w:lang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报价时予以考虑，计入报价。代理服务费按照国家计委价格［2002］1980号文件和修改后的发改办价格[2011]</w:t>
            </w:r>
            <w:r>
              <w:rPr>
                <w:rFonts w:hint="eastAsia" w:ascii="宋体" w:hAnsi="宋体" w:cs="宋体"/>
                <w:b/>
                <w:bCs/>
                <w:color w:val="000000" w:themeColor="text1"/>
                <w:sz w:val="24"/>
                <w:szCs w:val="24"/>
                <w:lang w:val="en-US" w:eastAsia="zh-CN"/>
                <w14:textFill>
                  <w14:solidFill>
                    <w14:schemeClr w14:val="tx1"/>
                  </w14:solidFill>
                </w14:textFill>
              </w:rPr>
              <w:t>857</w:t>
            </w:r>
            <w:r>
              <w:rPr>
                <w:rFonts w:hint="eastAsia" w:ascii="宋体" w:hAnsi="宋体" w:eastAsia="宋体" w:cs="宋体"/>
                <w:b/>
                <w:bCs/>
                <w:color w:val="000000" w:themeColor="text1"/>
                <w:sz w:val="24"/>
                <w:szCs w:val="24"/>
                <w14:textFill>
                  <w14:solidFill>
                    <w14:schemeClr w14:val="tx1"/>
                  </w14:solidFill>
                </w14:textFill>
              </w:rPr>
              <w:t>号文件规定的相应费率标准收取。</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2"/>
                <w:sz w:val="24"/>
                <w:szCs w:val="24"/>
                <w:lang w:val="en-US" w:eastAsia="zh-CN" w:bidi="ar-SA"/>
              </w:rPr>
            </w:pPr>
            <w:r>
              <w:rPr>
                <w:rFonts w:hint="eastAsia" w:ascii="宋体" w:hAnsi="宋体" w:cs="宋体"/>
                <w:b/>
                <w:bCs/>
                <w:color w:val="000000" w:themeColor="text1"/>
                <w:sz w:val="24"/>
                <w:szCs w:val="24"/>
                <w:lang w:eastAsia="zh-CN"/>
                <w14:textFill>
                  <w14:solidFill>
                    <w14:schemeClr w14:val="tx1"/>
                  </w14:solidFill>
                </w14:textFill>
              </w:rPr>
              <w:t>供应商</w:t>
            </w:r>
            <w:r>
              <w:rPr>
                <w:rFonts w:hint="eastAsia" w:ascii="宋体" w:hAnsi="宋体" w:eastAsia="宋体" w:cs="宋体"/>
                <w:b/>
                <w:bCs/>
                <w:color w:val="000000" w:themeColor="text1"/>
                <w:sz w:val="24"/>
                <w:szCs w:val="24"/>
                <w14:textFill>
                  <w14:solidFill>
                    <w14:schemeClr w14:val="tx1"/>
                  </w14:solidFill>
                </w14:textFill>
              </w:rPr>
              <w:t>将代理服务费计入</w:t>
            </w:r>
            <w:r>
              <w:rPr>
                <w:rFonts w:hint="eastAsia" w:ascii="宋体" w:hAnsi="宋体" w:cs="宋体"/>
                <w:b/>
                <w:bCs/>
                <w:color w:val="000000" w:themeColor="text1"/>
                <w:sz w:val="24"/>
                <w:szCs w:val="24"/>
                <w:lang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报价但不单独列明，成交单位在领取成交通知书前，须向</w:t>
            </w:r>
            <w:r>
              <w:rPr>
                <w:rFonts w:hint="eastAsia" w:ascii="宋体" w:hAnsi="宋体" w:cs="宋体"/>
                <w:b/>
                <w:bCs/>
                <w:color w:val="000000" w:themeColor="text1"/>
                <w:sz w:val="24"/>
                <w:szCs w:val="24"/>
                <w:lang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30</w:t>
            </w:r>
          </w:p>
        </w:tc>
        <w:tc>
          <w:tcPr>
            <w:tcW w:w="0" w:type="auto"/>
            <w:vAlign w:val="center"/>
          </w:tcPr>
          <w:p>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b/>
                <w:bCs/>
                <w:color w:val="000000" w:themeColor="text1"/>
                <w:sz w:val="24"/>
                <w:szCs w:val="24"/>
                <w14:textFill>
                  <w14:solidFill>
                    <w14:schemeClr w14:val="tx1"/>
                  </w14:solidFill>
                </w14:textFill>
              </w:rPr>
              <w:t>代理服务费的支付方式</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b/>
                <w:bCs/>
                <w:sz w:val="24"/>
                <w:szCs w:val="24"/>
                <w:lang w:val="en-US" w:eastAsia="zh-CN"/>
              </w:rPr>
            </w:pPr>
            <w:r>
              <w:rPr>
                <w:rFonts w:hint="eastAsia"/>
                <w:b/>
                <w:bCs/>
                <w:sz w:val="24"/>
                <w:szCs w:val="24"/>
                <w:lang w:val="en-US" w:eastAsia="zh-CN"/>
              </w:rPr>
              <w:t>代理服务费以转账、电汇或现金等形式交纳。</w:t>
            </w:r>
          </w:p>
          <w:p>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户</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名：陕西中海</w:t>
            </w:r>
            <w:r>
              <w:rPr>
                <w:rFonts w:hint="eastAsia" w:ascii="宋体" w:hAnsi="宋体" w:cs="宋体"/>
                <w:b/>
                <w:bCs/>
                <w:sz w:val="24"/>
                <w:szCs w:val="24"/>
                <w:lang w:eastAsia="zh-CN"/>
              </w:rPr>
              <w:t>招标</w:t>
            </w:r>
            <w:r>
              <w:rPr>
                <w:rFonts w:hint="eastAsia" w:ascii="宋体" w:hAnsi="宋体" w:eastAsia="宋体" w:cs="宋体"/>
                <w:b/>
                <w:bCs/>
                <w:sz w:val="24"/>
                <w:szCs w:val="24"/>
              </w:rPr>
              <w:t>有限公司</w:t>
            </w:r>
          </w:p>
          <w:p>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开户行：中国银行西安二环世纪星支行营业部</w:t>
            </w:r>
          </w:p>
          <w:p>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行  号：1047 9100 3702</w:t>
            </w:r>
          </w:p>
          <w:p>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eastAsia="zh-CN"/>
              </w:rPr>
              <w:t>账</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号</w:t>
            </w:r>
            <w:r>
              <w:rPr>
                <w:rFonts w:hint="eastAsia" w:ascii="宋体" w:hAnsi="宋体" w:eastAsia="宋体" w:cs="宋体"/>
                <w:b/>
                <w:bCs/>
                <w:sz w:val="24"/>
                <w:szCs w:val="24"/>
              </w:rPr>
              <w:t>：1020 0176 8739</w:t>
            </w:r>
          </w:p>
        </w:tc>
      </w:tr>
    </w:tbl>
    <w:p>
      <w:pPr>
        <w:rPr>
          <w:rFonts w:hint="default"/>
          <w:lang w:val="en-US" w:eastAsia="zh-CN"/>
        </w:rPr>
      </w:pPr>
      <w:r>
        <w:rPr>
          <w:rFonts w:hint="default"/>
          <w:lang w:val="en-US" w:eastAsia="zh-CN"/>
        </w:rPr>
        <w:br w:type="page"/>
      </w:r>
    </w:p>
    <w:p>
      <w:pPr>
        <w:keepNext w:val="0"/>
        <w:keepLines w:val="0"/>
        <w:pageBreakBefore w:val="0"/>
        <w:widowControl/>
        <w:suppressLineNumbers w:val="0"/>
        <w:kinsoku/>
        <w:wordWrap/>
        <w:overflowPunct/>
        <w:topLinePunct w:val="0"/>
        <w:autoSpaceDE/>
        <w:autoSpaceDN/>
        <w:bidi w:val="0"/>
        <w:adjustRightInd/>
        <w:spacing w:line="360" w:lineRule="auto"/>
        <w:ind w:firstLine="562" w:firstLineChars="200"/>
        <w:jc w:val="left"/>
        <w:textAlignment w:val="auto"/>
        <w:outlineLvl w:val="1"/>
        <w:rPr>
          <w:sz w:val="28"/>
          <w:szCs w:val="28"/>
        </w:rPr>
      </w:pPr>
      <w:r>
        <w:rPr>
          <w:rFonts w:hint="eastAsia" w:ascii="宋体" w:hAnsi="宋体" w:eastAsia="宋体" w:cs="宋体"/>
          <w:b/>
          <w:bCs/>
          <w:color w:val="000000"/>
          <w:kern w:val="0"/>
          <w:sz w:val="28"/>
          <w:szCs w:val="28"/>
          <w:lang w:val="en-US" w:eastAsia="zh-CN" w:bidi="ar"/>
        </w:rPr>
        <w:t xml:space="preserve">一、总 则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1. 适用范围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1.1 本磋商文件仅适用于本次竞争性磋商所叙述的项目采购。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2. 名词解释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2.1 采 购 人：</w:t>
      </w:r>
      <w:r>
        <w:rPr>
          <w:rFonts w:hint="eastAsia" w:ascii="宋体" w:hAnsi="宋体" w:eastAsia="宋体" w:cs="宋体"/>
          <w:sz w:val="24"/>
          <w:szCs w:val="24"/>
          <w:lang w:eastAsia="zh-CN"/>
        </w:rPr>
        <w:t>陕西省林业调查规划院</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eastAsia="宋体"/>
          <w:sz w:val="24"/>
          <w:szCs w:val="24"/>
          <w:lang w:val="en-US" w:eastAsia="zh-CN"/>
        </w:rPr>
      </w:pPr>
      <w:r>
        <w:rPr>
          <w:rFonts w:hint="eastAsia" w:ascii="宋体" w:hAnsi="宋体" w:eastAsia="宋体" w:cs="宋体"/>
          <w:color w:val="000000"/>
          <w:kern w:val="0"/>
          <w:sz w:val="24"/>
          <w:szCs w:val="24"/>
          <w:lang w:val="en-US" w:eastAsia="zh-CN" w:bidi="ar"/>
        </w:rPr>
        <w:t>2.2 监督机构：</w:t>
      </w:r>
      <w:r>
        <w:rPr>
          <w:rFonts w:hint="eastAsia" w:ascii="宋体" w:hAnsi="宋体" w:cs="宋体"/>
          <w:sz w:val="24"/>
          <w:szCs w:val="24"/>
          <w:lang w:eastAsia="zh-CN"/>
        </w:rPr>
        <w:t>陕西省林业厅</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2.3 采购代理机构：陕西中海招标有限公司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2.4 供应商：响应和符合磋商文件规定资格条件和参加磋商的法人或其他组织或自然人。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3. 合格的供应商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3.1 合格的供应商应具备以下条件：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（1）具备且满足“竞争性磋商公告”的要求；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（2）向采购代理机构购买了磋商文件并登记备案；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（3）向采购代理机构交纳了磋商保证金；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（4）一个供应商只能提交一个磋商文件，法定代表人为同一人的两个及两个以上法人，不得同时参加本项目磋商；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（5）有隶属关系的两个公司或有控股关系的两个公司不能同时参加同一项目的磋商；</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（6）遵守国家有关的法律、法规和条例；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（7）磋商文件和法律、行政法规规定的其他条件。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4. 磋商费用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不论磋商结果如何，供应商应自行承担所有与准备和参加磋商相关的全部费用。 </w:t>
      </w:r>
    </w:p>
    <w:p>
      <w:pPr>
        <w:keepNext w:val="0"/>
        <w:keepLines w:val="0"/>
        <w:pageBreakBefore w:val="0"/>
        <w:widowControl/>
        <w:suppressLineNumbers w:val="0"/>
        <w:kinsoku/>
        <w:wordWrap/>
        <w:overflowPunct/>
        <w:topLinePunct w:val="0"/>
        <w:autoSpaceDE/>
        <w:autoSpaceDN/>
        <w:bidi w:val="0"/>
        <w:adjustRightInd/>
        <w:spacing w:line="360" w:lineRule="auto"/>
        <w:ind w:firstLine="562" w:firstLineChars="200"/>
        <w:jc w:val="left"/>
        <w:textAlignment w:val="auto"/>
        <w:outlineLvl w:val="1"/>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二、磋商文件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5．磋商文件的构成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5.1 本磋商文件包括以下内容：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 xml:space="preserve">（1）竞争性磋商公告；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（2）供应商须知；</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 xml:space="preserve">（3）评标办法；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 xml:space="preserve">（4）采购需求；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 xml:space="preserve">（5）商务要求；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 xml:space="preserve">（6）合同主要条款；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 xml:space="preserve">（7）磋商响应文件格式。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5.2 供应商应认真阅读和充分理解磋商文件中所有的事项、格式条款和规范要求。供应商没有对磋商文件做出全面的实质性响应是供应商的风险。没有按照磋商文件要求作出实质性响应的将按无效磋商处理。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6. 磋商文件的澄清和修改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6.1 在磋商截止时间前，采购代理机构无论出于何种原因，可以对磋商文件进行澄清或者修改。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6.2 采购代理机构对已发出的磋商文件进行必要的澄清或者修改的，应在磋商文件要求提交磋商</w:t>
      </w:r>
      <w:r>
        <w:rPr>
          <w:rFonts w:hint="eastAsia" w:ascii="宋体" w:hAnsi="宋体" w:cs="宋体"/>
          <w:color w:val="000000"/>
          <w:kern w:val="0"/>
          <w:sz w:val="24"/>
          <w:szCs w:val="24"/>
          <w:lang w:val="en-US" w:eastAsia="zh-CN" w:bidi="ar"/>
        </w:rPr>
        <w:t>响应</w:t>
      </w:r>
      <w:r>
        <w:rPr>
          <w:rFonts w:hint="eastAsia" w:ascii="宋体" w:hAnsi="宋体" w:eastAsia="宋体" w:cs="宋体"/>
          <w:color w:val="000000"/>
          <w:kern w:val="0"/>
          <w:sz w:val="24"/>
          <w:szCs w:val="24"/>
          <w:lang w:val="en-US" w:eastAsia="zh-CN" w:bidi="ar"/>
        </w:rPr>
        <w:t xml:space="preserve">文件截止时间五日前，不足五日应延长至五日。澄清或者修改内容在采购发布媒体上发布更正公告，并以书面形式通知所有磋商文件收受人，且作为磋商文件的组成部分。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b/>
          <w:bCs/>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3 供应商要求对磋商文件进行澄清的，或认为有必要与采购代理机构进行技术交流的，均应在磋商截止时间 5 日前按磋商文件中的联系方式，以书面形式通知采购代理机构，采购代理机构以书面形式予以答复，或认为有必要召开答疑会。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6.4 在磋商截止时间前，采购代理机构可以视采购具体情况，延长磋商时间，并在磋商文件要求提交磋商响应文件的截止时间前，将变更时间以书面形式通知所有购买了磋商文件的供应商，同时在原信息发布媒体上发布变更公告。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7. 答疑会和现场勘查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不组织。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8．磋商文件的解释权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磋商文件的解释权归采购代理机构，如发现磋商文件内容与现行法律法规不相符的情况，以现行法律法规为准。 </w:t>
      </w:r>
    </w:p>
    <w:p>
      <w:pPr>
        <w:keepNext w:val="0"/>
        <w:keepLines w:val="0"/>
        <w:pageBreakBefore w:val="0"/>
        <w:widowControl/>
        <w:suppressLineNumbers w:val="0"/>
        <w:kinsoku/>
        <w:wordWrap/>
        <w:overflowPunct/>
        <w:topLinePunct w:val="0"/>
        <w:autoSpaceDE/>
        <w:autoSpaceDN/>
        <w:bidi w:val="0"/>
        <w:adjustRightInd/>
        <w:spacing w:line="360" w:lineRule="auto"/>
        <w:ind w:firstLine="562" w:firstLineChars="200"/>
        <w:jc w:val="left"/>
        <w:textAlignment w:val="auto"/>
        <w:outlineLvl w:val="1"/>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三、磋商响应文件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9．供应商资格要求</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9.1 供应商应具备下列条件：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（1）具有独立承担民事责任的能力；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（2）具有良好的商业信誉和健全的财务会计制度；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（3）具有履行合同所必须的设备和专业技术能力；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（4）有依法交纳税收和社会保障资金的良好记录；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（5）参加本次磋商前 3 年内，在经营活动中没有重大违法记录；</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（6）法律、行政法规规定的其他条件。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9.2 供应商应提供下列材料：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（1）提供合格有效的法人或者其他组织的营业执照等证明文件，自然人的身份证明；</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（2）提供法定代表人授权书（附法定代表人、被授权人身份证复印件）及被授权人身份证原件（法定代表人直接参加投标，须提供法定代表人身份证明及身份证原件）；</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（3）财务状况报告：提供</w:t>
      </w:r>
      <w:r>
        <w:rPr>
          <w:rFonts w:hint="eastAsia" w:ascii="宋体" w:hAnsi="宋体" w:cs="宋体"/>
          <w:i w:val="0"/>
          <w:iCs w:val="0"/>
          <w:caps w:val="0"/>
          <w:color w:val="333333"/>
          <w:spacing w:val="0"/>
          <w:sz w:val="24"/>
          <w:szCs w:val="24"/>
          <w:shd w:val="clear" w:fill="FFFFFF"/>
          <w:lang w:eastAsia="zh-CN"/>
        </w:rPr>
        <w:t>2021</w:t>
      </w:r>
      <w:r>
        <w:rPr>
          <w:rFonts w:hint="eastAsia" w:ascii="宋体" w:hAnsi="宋体" w:eastAsia="宋体" w:cs="宋体"/>
          <w:i w:val="0"/>
          <w:iCs w:val="0"/>
          <w:caps w:val="0"/>
          <w:color w:val="333333"/>
          <w:spacing w:val="0"/>
          <w:sz w:val="24"/>
          <w:szCs w:val="24"/>
          <w:shd w:val="clear" w:fill="FFFFFF"/>
        </w:rPr>
        <w:t>年度的财务审计报告（至少包括资产负债表和利润表，成立时间至提交磋商响应文件截止时间不足一年的可提供成立后任意时段的资产负债表），或开标时间前六个月内基本存款账户开户银行出具的资信证明；</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（4）税收缴纳证明：提供磋商截止日前近一年内任意一个月的纳税证明或完税证明（任意税种），依法免税的单位应提供相关证明材料；</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（6）不得为列入“信用中国”网站（www.creditchina.gov.cn）及“中国政府采购网”网站（http://www.ccgp.gov.cn/）中列入失信被执行人和重大税收违法案件当事人名单的投标人；</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（7）提供具有履行本合同所必需的设备和专业技术能力的说明及承诺书；</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（8）参加政府采购活动前3年内，在经营活动中没有重大违法记录的书面声明；</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（9）本项目不接受联合体磋商。</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注：上述资质文件为必备资质，资格审查时，缺少一项或某项达不到磋商文件要求的按无效磋商</w:t>
      </w:r>
      <w:r>
        <w:rPr>
          <w:rFonts w:hint="eastAsia" w:ascii="宋体" w:hAnsi="宋体" w:cs="宋体"/>
          <w:b/>
          <w:bCs/>
          <w:color w:val="000000"/>
          <w:kern w:val="0"/>
          <w:sz w:val="24"/>
          <w:szCs w:val="24"/>
          <w:lang w:val="en-US" w:eastAsia="zh-CN" w:bidi="ar"/>
        </w:rPr>
        <w:t>响应</w:t>
      </w:r>
      <w:r>
        <w:rPr>
          <w:rFonts w:hint="eastAsia" w:ascii="宋体" w:hAnsi="宋体" w:eastAsia="宋体" w:cs="宋体"/>
          <w:b/>
          <w:bCs/>
          <w:color w:val="000000"/>
          <w:kern w:val="0"/>
          <w:sz w:val="24"/>
          <w:szCs w:val="24"/>
          <w:lang w:val="en-US" w:eastAsia="zh-CN" w:bidi="ar"/>
        </w:rPr>
        <w:t xml:space="preserve">文件处理。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10.磋商</w:t>
      </w:r>
      <w:r>
        <w:rPr>
          <w:rFonts w:hint="eastAsia" w:ascii="宋体" w:hAnsi="宋体" w:cs="宋体"/>
          <w:b/>
          <w:bCs/>
          <w:color w:val="000000"/>
          <w:kern w:val="0"/>
          <w:sz w:val="24"/>
          <w:szCs w:val="24"/>
          <w:lang w:val="en-US" w:eastAsia="zh-CN" w:bidi="ar"/>
        </w:rPr>
        <w:t>响应</w:t>
      </w:r>
      <w:r>
        <w:rPr>
          <w:rFonts w:hint="eastAsia" w:ascii="宋体" w:hAnsi="宋体" w:eastAsia="宋体" w:cs="宋体"/>
          <w:b/>
          <w:bCs/>
          <w:color w:val="000000"/>
          <w:kern w:val="0"/>
          <w:sz w:val="24"/>
          <w:szCs w:val="24"/>
          <w:lang w:val="en-US" w:eastAsia="zh-CN" w:bidi="ar"/>
        </w:rPr>
        <w:t xml:space="preserve">文件的语言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10.1 供应商提交的磋商响应文件以及供应商与采购代理机构就有关磋商的所有来往书面文件均须使用中文。磋商响应文件中如附有外文资料，必须逐一对应翻译成中文并加盖供应商公章后附在相关外文资料后面，否则，供应商的磋商响应文件将作为无效磋商处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10.2 翻译的中文资料与外文资料如果出现差异和矛盾时，以中文为准。但不能故意错误翻译，否则，供应商的磋商文件将作为无效磋商处理。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11．计量单位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除技术规格及要求中另有规定外，本采购项下的磋商均采用国家法定的计量单位。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12. 磋商货币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本次磋商项目的磋商均以人民币报价。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13. 知识产权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13.1 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13.2 采购人享有本项目实施过程中产生的知识成果及知识产权。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14．磋商响应文件的组成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供应商应按照磋商文件的规定和要求编制磋商响应文件。供应商拟在中标后将中标项目的非主体、非关键性工作交由他人完成的，应当在磋商响应文件中载明。供应商编写的磋商响应文件应包括下列部分：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14.1 报价部分。</w:t>
      </w:r>
      <w:r>
        <w:rPr>
          <w:rFonts w:hint="eastAsia" w:ascii="宋体" w:hAnsi="宋体" w:eastAsia="宋体" w:cs="宋体"/>
          <w:color w:val="000000"/>
          <w:kern w:val="0"/>
          <w:sz w:val="24"/>
          <w:szCs w:val="24"/>
          <w:lang w:val="en-US" w:eastAsia="zh-CN" w:bidi="ar"/>
        </w:rPr>
        <w:t>供应商按照磋商文件要求填写</w:t>
      </w:r>
      <w:r>
        <w:rPr>
          <w:rFonts w:hint="eastAsia" w:ascii="宋体" w:hAnsi="宋体" w:eastAsia="宋体" w:cs="宋体"/>
          <w:color w:val="000000"/>
          <w:kern w:val="0"/>
          <w:sz w:val="24"/>
          <w:szCs w:val="24"/>
          <w:highlight w:val="none"/>
          <w:lang w:val="en-US" w:eastAsia="zh-CN" w:bidi="ar"/>
        </w:rPr>
        <w:t>“开标一览表”</w:t>
      </w:r>
      <w:r>
        <w:rPr>
          <w:rFonts w:hint="eastAsia" w:ascii="宋体" w:hAnsi="宋体" w:eastAsia="宋体" w:cs="宋体"/>
          <w:color w:val="000000"/>
          <w:kern w:val="0"/>
          <w:sz w:val="24"/>
          <w:szCs w:val="24"/>
          <w:lang w:val="en-US" w:eastAsia="zh-CN" w:bidi="ar"/>
        </w:rPr>
        <w:t xml:space="preserve">。 本次磋商报价要求：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14.1.1 供应商报价超出采购预算，作为不实质性响应磋商文件，按无效磋商处理。供应商的报价是供应商响应本磋商项目要求的全部工作内容的价格体现，包括供应商完成本项目所需的一切费用。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14.1.2 供应商只允许有一个报价，并且在合同履行过程中是固定不变的，任何有选择或可调整的报价将不予接受，并按无效磋商处理。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14.1.3 供应商不得以低于成本的报价参加磋商。若磋商小组成员认为某个供应商的报价明显低于其他通过符合性审查的供应商的报价，有可能影响产品质量或者不能诚信履约的，应当要求其在评标现场合理的时间内提供书面说明，必要时提交相关证明材料；供应商不能证明其报价合理性的，磋商小组应将其作为无效磋商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highlight w:val="none"/>
        </w:rPr>
      </w:pPr>
      <w:r>
        <w:rPr>
          <w:rFonts w:hint="eastAsia" w:ascii="宋体" w:hAnsi="宋体" w:cs="宋体"/>
          <w:color w:val="000000"/>
          <w:kern w:val="0"/>
          <w:sz w:val="24"/>
          <w:szCs w:val="24"/>
          <w:highlight w:val="none"/>
          <w:lang w:val="en-US" w:eastAsia="zh-CN" w:bidi="ar"/>
        </w:rPr>
        <w:t>14.1.4 本项目采取二次报价。</w:t>
      </w:r>
      <w:r>
        <w:rPr>
          <w:rFonts w:hint="eastAsia" w:ascii="宋体" w:hAnsi="宋体"/>
          <w:sz w:val="24"/>
          <w:highlight w:val="none"/>
        </w:rPr>
        <w:t>二次报价为最终报价，在满足磋商文件所有实质性要求前提下，提交最终报价。如采购需求没有实质性变化，各供应商的报价应逐次降低，二次报价超过一次报价的，为无效报价，按无效文件处理。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14.2 技术部分。</w:t>
      </w:r>
      <w:r>
        <w:rPr>
          <w:rFonts w:hint="eastAsia" w:ascii="宋体" w:hAnsi="宋体" w:eastAsia="宋体" w:cs="宋体"/>
          <w:color w:val="000000"/>
          <w:kern w:val="0"/>
          <w:sz w:val="24"/>
          <w:szCs w:val="24"/>
          <w:lang w:val="en-US" w:eastAsia="zh-CN" w:bidi="ar"/>
        </w:rPr>
        <w:t>供应商按照磋商文件要求做出的技术应答，主要是针对磋商项目的技术指标、参数和技术要求做出的实质性响应和满足，不得出现负偏离</w:t>
      </w:r>
      <w:r>
        <w:rPr>
          <w:rFonts w:hint="eastAsia" w:ascii="宋体" w:hAnsi="宋体" w:cs="宋体"/>
          <w:color w:val="000000"/>
          <w:kern w:val="0"/>
          <w:sz w:val="24"/>
          <w:szCs w:val="24"/>
          <w:lang w:val="en-US" w:eastAsia="zh-CN" w:bidi="ar"/>
        </w:rPr>
        <w:t>，否则作为无效磋商处理</w:t>
      </w: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14.3 商务部分。</w:t>
      </w:r>
      <w:r>
        <w:rPr>
          <w:rFonts w:hint="eastAsia" w:ascii="宋体" w:hAnsi="宋体" w:eastAsia="宋体" w:cs="宋体"/>
          <w:color w:val="000000"/>
          <w:kern w:val="0"/>
          <w:sz w:val="24"/>
          <w:szCs w:val="24"/>
          <w:lang w:val="en-US" w:eastAsia="zh-CN" w:bidi="ar"/>
        </w:rPr>
        <w:t>供应商按照磋商文件要求做出完全响应，提供有关资质证明文件</w:t>
      </w:r>
      <w:r>
        <w:rPr>
          <w:rFonts w:hint="eastAsia" w:ascii="宋体" w:hAnsi="宋体" w:cs="宋体"/>
          <w:color w:val="000000"/>
          <w:kern w:val="0"/>
          <w:sz w:val="24"/>
          <w:szCs w:val="24"/>
          <w:lang w:val="en-US" w:eastAsia="zh-CN" w:bidi="ar"/>
        </w:rPr>
        <w:t>，未能提供相关证明文件或提供的文件不能满足磋商文件要求，作为无效磋商处理</w:t>
      </w:r>
      <w:r>
        <w:rPr>
          <w:rFonts w:hint="eastAsia" w:ascii="宋体" w:hAnsi="宋体" w:eastAsia="宋体" w:cs="宋体"/>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14.4 </w:t>
      </w:r>
      <w:r>
        <w:rPr>
          <w:rFonts w:hint="eastAsia" w:ascii="宋体" w:hAnsi="宋体" w:eastAsia="宋体" w:cs="宋体"/>
          <w:b/>
          <w:bCs/>
          <w:color w:val="000000"/>
          <w:kern w:val="0"/>
          <w:sz w:val="24"/>
          <w:szCs w:val="24"/>
          <w:lang w:val="en-US" w:eastAsia="zh-CN" w:bidi="ar"/>
        </w:rPr>
        <w:t xml:space="preserve">证明产品和服务符合磋商文件规定相关文件可以是文字资料、图纸、数据等，所有证明文件，表达意思必须统一。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15．磋商保证金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lang w:val="en-US" w:eastAsia="zh-CN" w:bidi="ar"/>
        </w:rPr>
        <w:t>15.1 磋商保证金数额见供应商须知前附表。</w:t>
      </w:r>
      <w:r>
        <w:rPr>
          <w:rFonts w:hint="eastAsia" w:ascii="宋体" w:hAnsi="宋体" w:eastAsia="宋体" w:cs="宋体"/>
          <w:color w:val="000000"/>
          <w:kern w:val="0"/>
          <w:sz w:val="24"/>
          <w:szCs w:val="24"/>
          <w:highlight w:val="none"/>
          <w:lang w:val="en-US" w:eastAsia="zh-CN" w:bidi="ar"/>
        </w:rPr>
        <w:t xml:space="preserve">供应商磋商时，必须以人民币提交足额的磋商保证金，并作为其磋商的一部分。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15.2 磋商保证金的提交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15.2.1 开标现场不办理磋商保证金事宜。未按磋商文件要求在规定时间前（以银行实际到账时间为准）缴纳规定数额磋商保证金的磋商将被拒绝。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15.2.2 磋商保证金以银行转账或者金融机构、担保机构出具的保函等非现金形式提交。</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（1）以银行转账交纳保证金的，可以采取支票、电汇、网银、汇票、本票等方式缴纳。</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（2）以信用担保函形式交纳保证金的，应按磋商文件规定的格式提交，且是陕西省财政部门认定的具有开具磋商保函资格的单位开具的保函。供应商违约，开具保函单位承担连带责任。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使用汇票（银行承兑汇票、商业承兑汇票）提交磋商保证金的，供应商必须提前把汇票送至公司财务，以保证财务有足够的时间到银行办理入账手续，入账后方可开具保证金收据。汇票签发时，汇票到期日最好签发为磋商截止日前 3 日，不到期的应拒收。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15.3 磋商保证金的退还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15.3.1 未中标供应商的磋商保证金在中标通知书发出之日起 5 个工作日内全额退还。中标供应商的磋商保证金，在合同签订生效后 5 个工作日内</w:t>
      </w:r>
      <w:r>
        <w:rPr>
          <w:rFonts w:hint="eastAsia" w:ascii="宋体" w:hAnsi="宋体" w:cs="宋体"/>
          <w:color w:val="000000"/>
          <w:kern w:val="0"/>
          <w:sz w:val="24"/>
          <w:szCs w:val="24"/>
          <w:lang w:val="en-US" w:eastAsia="zh-CN" w:bidi="ar"/>
        </w:rPr>
        <w:t>，中标供应商须执中标合同原件一份（交由代理机构备案）及保证金收据原件办理</w:t>
      </w:r>
      <w:r>
        <w:rPr>
          <w:rFonts w:hint="eastAsia" w:ascii="宋体" w:hAnsi="宋体" w:eastAsia="宋体" w:cs="宋体"/>
          <w:color w:val="000000"/>
          <w:kern w:val="0"/>
          <w:sz w:val="24"/>
          <w:szCs w:val="24"/>
          <w:lang w:val="en-US" w:eastAsia="zh-CN" w:bidi="ar"/>
        </w:rPr>
        <w:t xml:space="preserve">退还。未及时办理退还者，由供应商自行负责。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15.3.2 供应商所交纳的磋商保证金不计利息。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15.3.3 下列任何情况发生时，采购代理机构将不予退还供应商交纳的磋商保证金；情节严重的，由财政部门将其列入不良行为纪录名单，在一至三年内禁止参加采购活动，并予以通报：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（1）供应商在提交磋商响应文件截止时间后撤回磋商响应文件的；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（2）供应商在磋商响应文件中提供虚假材料的；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（3）除因不可抗力或磋商文件认可的情形以外，中标供应商不与采购人签订合同的；</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（4）由于中标供应商的原因未能按规定支付磋商代理服务费；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（5）供应商与采购人、其他供应商或采购代理机构恶意串通的；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（6）法律法规规定的其他内容。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15.3.4 磋商保证金退还方式：银行转账。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15.3.5 磋商保证金退还程序：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highlight w:val="yellow"/>
        </w:rPr>
      </w:pPr>
      <w:r>
        <w:rPr>
          <w:rFonts w:hint="eastAsia" w:ascii="宋体" w:hAnsi="宋体" w:eastAsia="宋体" w:cs="宋体"/>
          <w:color w:val="000000"/>
          <w:kern w:val="0"/>
          <w:sz w:val="24"/>
          <w:szCs w:val="24"/>
          <w:lang w:val="en-US" w:eastAsia="zh-CN" w:bidi="ar"/>
        </w:rPr>
        <w:t>退还磋商保证金手续。代理机构在中标通知书发出后五个工作日内退还未中标供应商保证金。</w:t>
      </w:r>
      <w:r>
        <w:rPr>
          <w:rFonts w:hint="eastAsia" w:ascii="宋体" w:hAnsi="宋体" w:eastAsia="宋体" w:cs="宋体"/>
          <w:color w:val="000000"/>
          <w:kern w:val="0"/>
          <w:sz w:val="24"/>
          <w:szCs w:val="24"/>
          <w:highlight w:val="none"/>
          <w:lang w:val="en-US" w:eastAsia="zh-CN" w:bidi="ar"/>
        </w:rPr>
        <w:t xml:space="preserve">中标人在合同签订后 5 个工作日内须向采购代理机构提供合同原件一份并持采购代理机构出具的保证金交纳凭据原件办理保证金退还事宜。因供应商原因导致退还不及时的，责任自负。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15.3.6 磋商保证金收据丢失处理办法。供应商通过银行转账（基本账户）形式交纳磋商保证金的，因收款收据丢失，在提供下列资料后，方可在30日内将磋商保证金退还至供应商银行基本账户：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（1）开据单位证明，说明丢失情况，加盖公章及法人章；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（2）保证金收据复印件加盖公章。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16．磋商有效期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16.1 磋商有效期见供应商须知前附表。磋商有效期短于此规定期限的磋商，将按无效磋商处理。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16.2 特殊情况下，采购代理机构可于磋商有效期满之前要求供应商同意延长有效期，要求与答复均应为书面形式。供应商可以拒绝上述要求，其磋商保证金不被没收。拒绝延长磋商有效期的供应商不得再参与该项目后续采购活动。同意延长磋商有效期的供应商不能修改其磋商响应文件，关于磋商保证金的有关规定在延长的磋商有效期内继续有效。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17．磋商响应文件的制作和签署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17.1 磋商响应文件应根据磋商文件的要求制作。供应商应填写全称，同时加盖公章，签署、盖章和内容应完整，如有遗漏，将被视为无效磋商。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17.2 磋商</w:t>
      </w:r>
      <w:r>
        <w:rPr>
          <w:rFonts w:hint="eastAsia" w:ascii="宋体" w:hAnsi="宋体" w:cs="宋体"/>
          <w:color w:val="000000"/>
          <w:kern w:val="0"/>
          <w:sz w:val="24"/>
          <w:szCs w:val="24"/>
          <w:lang w:val="en-US" w:eastAsia="zh-CN" w:bidi="ar"/>
        </w:rPr>
        <w:t>响应</w:t>
      </w:r>
      <w:r>
        <w:rPr>
          <w:rFonts w:hint="eastAsia" w:ascii="宋体" w:hAnsi="宋体" w:eastAsia="宋体" w:cs="宋体"/>
          <w:color w:val="000000"/>
          <w:kern w:val="0"/>
          <w:sz w:val="24"/>
          <w:szCs w:val="24"/>
          <w:lang w:val="en-US" w:eastAsia="zh-CN" w:bidi="ar"/>
        </w:rPr>
        <w:t xml:space="preserve">文件格式。供应商应严格按照磋商文件第七章提供的“磋商响应文件格式”填写相关内容。除明确允许供应商可以自行编写的外，供应商不得以“磋商响应文件格式”规定之外的方式填写相关内容。否则，供应商提供的磋商响应文件将作为无效磋商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17.3 对于没有格式要求的磋商响应文件由供应商自行编写。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17.4 供应商应按“磋商须知前附表”准备磋商响应文件正本、副本和相应的电子文件。磋商响应文件的正本和副本应在其封面右上角清楚地标明“正本”或“副本”字样。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若正本和副本有不一致的内容，以正本书面磋商响应文件为准。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17.5 磋商响应文件的正本和副本均需打印或用不褪色、不变质的墨水书写，并由供应商的法定代表人或其授权代表在规定签章处签字或盖章。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17.6 磋商响应文件的打印和书写应清楚工整，任何行间插字、涂改或增删，必须由供应商的法定代表人（或其授权代表）签字或盖个人印鉴。字迹潦草、表达不清或可能导致非唯一理解的磋商文件可能视为无效磋商。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17.7 磋商响应文件正本和副本必须装订成册并逐页编码。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17.8 电子文件制作要求，电子文件与纸质正本磋商响应文件的内容应保持一致，具有同等法律效力。 </w:t>
      </w:r>
    </w:p>
    <w:p>
      <w:pPr>
        <w:keepNext w:val="0"/>
        <w:keepLines w:val="0"/>
        <w:pageBreakBefore w:val="0"/>
        <w:widowControl/>
        <w:suppressLineNumbers w:val="0"/>
        <w:kinsoku/>
        <w:wordWrap/>
        <w:overflowPunct/>
        <w:topLinePunct w:val="0"/>
        <w:autoSpaceDE/>
        <w:autoSpaceDN/>
        <w:bidi w:val="0"/>
        <w:adjustRightInd/>
        <w:spacing w:line="360" w:lineRule="auto"/>
        <w:ind w:firstLine="562" w:firstLineChars="200"/>
        <w:jc w:val="left"/>
        <w:textAlignment w:val="auto"/>
        <w:outlineLvl w:val="1"/>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四、磋商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18.磋商内容要求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各供应商应仔细阅读采购磋商文件中的所有事项、格式、条款和要求，对磋商文件的全部内容及要求作出实质性响应，提交相应资料。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19、磋商响应文件的密封和标注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19.1 供应商应在磋商响应文件正本、副本的封面上注明供应商名称、采购项目编号、项目名称字样。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19.2 磋商响应文件正本、所有副本(所有副本密封在一个密封袋内)应分别装袋密封，电子文件放置正本袋内，密封袋上应分别标上“正本”、“副本”字样，并注明</w:t>
      </w:r>
      <w:r>
        <w:rPr>
          <w:rFonts w:hint="eastAsia" w:ascii="宋体" w:hAnsi="宋体" w:cs="宋体"/>
          <w:color w:val="000000"/>
          <w:kern w:val="0"/>
          <w:sz w:val="24"/>
          <w:szCs w:val="24"/>
          <w:lang w:val="en-US" w:eastAsia="zh-CN" w:bidi="ar"/>
        </w:rPr>
        <w:t>采购项目名称、项目编号、</w:t>
      </w:r>
      <w:r>
        <w:rPr>
          <w:rFonts w:hint="eastAsia" w:ascii="宋体" w:hAnsi="宋体" w:eastAsia="宋体" w:cs="宋体"/>
          <w:color w:val="000000"/>
          <w:kern w:val="0"/>
          <w:sz w:val="24"/>
          <w:szCs w:val="24"/>
          <w:lang w:val="en-US" w:eastAsia="zh-CN" w:bidi="ar"/>
        </w:rPr>
        <w:t>供应商名称、</w:t>
      </w:r>
      <w:r>
        <w:rPr>
          <w:rFonts w:hint="eastAsia" w:ascii="宋体" w:hAnsi="宋体" w:cs="宋体"/>
          <w:color w:val="000000"/>
          <w:kern w:val="0"/>
          <w:sz w:val="24"/>
          <w:szCs w:val="24"/>
          <w:lang w:val="en-US" w:eastAsia="zh-CN" w:bidi="ar"/>
        </w:rPr>
        <w:t>供应商地址、</w:t>
      </w:r>
      <w:r>
        <w:rPr>
          <w:rFonts w:hint="eastAsia" w:ascii="宋体" w:hAnsi="宋体" w:eastAsia="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val="en-US" w:eastAsia="zh-CN" w:bidi="ar"/>
        </w:rPr>
        <w:t>于（</w:t>
      </w:r>
      <w:r>
        <w:rPr>
          <w:rFonts w:hint="eastAsia" w:ascii="宋体" w:hAnsi="宋体" w:eastAsia="宋体" w:cs="宋体"/>
          <w:color w:val="000000"/>
          <w:kern w:val="0"/>
          <w:sz w:val="24"/>
          <w:szCs w:val="24"/>
          <w:highlight w:val="none"/>
          <w:lang w:val="en-US" w:eastAsia="zh-CN" w:bidi="ar"/>
        </w:rPr>
        <w:t>开标</w:t>
      </w:r>
      <w:r>
        <w:rPr>
          <w:rFonts w:hint="eastAsia" w:ascii="宋体" w:hAnsi="宋体" w:cs="宋体"/>
          <w:color w:val="000000"/>
          <w:kern w:val="0"/>
          <w:sz w:val="24"/>
          <w:szCs w:val="24"/>
          <w:highlight w:val="none"/>
          <w:lang w:val="en-US" w:eastAsia="zh-CN" w:bidi="ar"/>
        </w:rPr>
        <w:t>时间）</w:t>
      </w:r>
      <w:r>
        <w:rPr>
          <w:rFonts w:hint="eastAsia" w:ascii="宋体" w:hAnsi="宋体" w:eastAsia="宋体" w:cs="宋体"/>
          <w:color w:val="000000"/>
          <w:kern w:val="0"/>
          <w:sz w:val="24"/>
          <w:szCs w:val="24"/>
          <w:highlight w:val="none"/>
          <w:lang w:val="en-US" w:eastAsia="zh-CN" w:bidi="ar"/>
        </w:rPr>
        <w:t>启封”</w:t>
      </w:r>
      <w:r>
        <w:rPr>
          <w:rFonts w:hint="eastAsia" w:ascii="宋体" w:hAnsi="宋体" w:cs="宋体"/>
          <w:color w:val="000000"/>
          <w:kern w:val="0"/>
          <w:sz w:val="24"/>
          <w:szCs w:val="24"/>
          <w:highlight w:val="none"/>
          <w:lang w:val="en-US" w:eastAsia="zh-CN" w:bidi="ar"/>
        </w:rPr>
        <w:t>等</w:t>
      </w:r>
      <w:r>
        <w:rPr>
          <w:rFonts w:hint="eastAsia" w:ascii="宋体" w:hAnsi="宋体" w:eastAsia="宋体" w:cs="宋体"/>
          <w:color w:val="000000"/>
          <w:kern w:val="0"/>
          <w:sz w:val="24"/>
          <w:szCs w:val="24"/>
          <w:highlight w:val="none"/>
          <w:lang w:val="en-US" w:eastAsia="zh-CN" w:bidi="ar"/>
        </w:rPr>
        <w:t>字样</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19.3 所有外层密封袋的封口处，加封条密封，应粘贴牢固，并加盖密封章（供应商公章及法定代表人私章）。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19.4 未按以上要求进行密封和标注的磋商文件，将按无效磋商处理。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20.磋商响应文件的递交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20.1 供应商应在磋商文件规定的磋商截止时间前，将磋商响应文件按供应商须知前附表的规定密封后送达开标地点。磋商截止时间以后送达的磋商响应文件将被拒绝。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20.2 本次磋商不接受邮寄的磋商响应文件。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21.磋商响应文件的修改和撤回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21.1 供应商在递交了磋商响应文件后，可以修改或撤回其磋商响应文件，但必须在规定的磋商截止时间前，以书面形式通知采购代理机构。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21.2 供应商的修改书或撤回通知书，应由其法定代表人或授权代表签署并盖单位公章。修改书应按</w:t>
      </w:r>
      <w:r>
        <w:rPr>
          <w:rFonts w:hint="eastAsia" w:ascii="宋体" w:hAnsi="宋体" w:eastAsia="宋体" w:cs="宋体"/>
          <w:color w:val="000000"/>
          <w:kern w:val="0"/>
          <w:sz w:val="24"/>
          <w:szCs w:val="24"/>
          <w:highlight w:val="none"/>
          <w:lang w:val="en-US" w:eastAsia="zh-CN" w:bidi="ar"/>
        </w:rPr>
        <w:t>磋商须知第 19 条</w:t>
      </w:r>
      <w:r>
        <w:rPr>
          <w:rFonts w:hint="eastAsia" w:ascii="宋体" w:hAnsi="宋体" w:eastAsia="宋体" w:cs="宋体"/>
          <w:color w:val="000000"/>
          <w:kern w:val="0"/>
          <w:sz w:val="24"/>
          <w:szCs w:val="24"/>
          <w:lang w:val="en-US" w:eastAsia="zh-CN" w:bidi="ar"/>
        </w:rPr>
        <w:t xml:space="preserve">规定进行密封和标注，并在密封袋上标注“磋商响应文件修改”或“磋商响应文件撤回通知”字样，“修改文件”作为磋商响应文件的组成部分；采购代理机构不退还供应商已撤回的磋商响应文件（包括纸质和电子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21.3 在磋商截止时间之后，供应商不得对其递交的磋商响应文件做任何修改或撤回。</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22.磋商纪律要求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供应商参加磋商不得有下列情形之一：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（1）提供虚假材料谋取中标；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（2）采取不正当手段诋毁、排挤其他供应商；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（3）与采购单位、其他供应商恶意串通；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（4）向采购人、采购代理机构、磋商小组成员行贿或者提供其他不正当利益；</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（5）在磋商过程中与采购单位进行协商谈判；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（6）拒绝有关部门的监督检查或者向监督检查部门提供虚假情况。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有上述情形之一的，属于不合格供应商，其磋商或中标资格将被取消。 </w:t>
      </w:r>
    </w:p>
    <w:p>
      <w:pPr>
        <w:keepNext w:val="0"/>
        <w:keepLines w:val="0"/>
        <w:pageBreakBefore w:val="0"/>
        <w:widowControl/>
        <w:suppressLineNumbers w:val="0"/>
        <w:kinsoku/>
        <w:wordWrap/>
        <w:overflowPunct/>
        <w:topLinePunct w:val="0"/>
        <w:autoSpaceDE/>
        <w:autoSpaceDN/>
        <w:bidi w:val="0"/>
        <w:adjustRightInd/>
        <w:spacing w:line="360" w:lineRule="auto"/>
        <w:ind w:firstLine="562" w:firstLineChars="200"/>
        <w:jc w:val="left"/>
        <w:textAlignment w:val="auto"/>
        <w:outlineLvl w:val="1"/>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五、开标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23.开标时间和地点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23.1 采购代理机构在供应商须知前附表中规定的磋商截至时间和地点组织开标，采购人、供应商须派代表参加并签到以证明其出席。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23.2 开标时，采购代理机构邀请有关监督管理机构对开标进行现场监督。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24.开标程序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24.1 开标会议由采购代理机构主持。主持人按照磋商文件规定的开标时间宣布开标，按照规定要求主持开标会。开标将按以下程序进行（但不限于）：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（1）宣布开标会开始并致辞。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（2）宣布会场纪律和有关注意事项。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（3）宣布参加开标会的现场监督人员和主持人、唱标、会议记录等磋商工作人员，根据“供应商签到表”宣布参加磋商的供应商名单。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（4）宣布检查磋商响应文件的密封情况。由供应商或其推荐的代表与监督管理机构共同检查磋商响应文件密封情况，经检查无误后，签字确认。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（5）开标。对磋商响应文件的密封确认无误后，由采购代理机构工作人员按照顺序，按照供应商须知前附表规定的开启顺序当众开启响应文件，公布项目名称、供应商名称等内容，并记录在案</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highlight w:val="none"/>
          <w:lang w:val="en-US" w:eastAsia="zh-CN" w:bidi="ar"/>
        </w:rPr>
        <w:t>由</w:t>
      </w:r>
      <w:r>
        <w:rPr>
          <w:rFonts w:hint="eastAsia" w:ascii="宋体" w:hAnsi="宋体" w:cs="宋体"/>
          <w:color w:val="000000"/>
          <w:kern w:val="0"/>
          <w:sz w:val="24"/>
          <w:szCs w:val="24"/>
          <w:highlight w:val="none"/>
          <w:lang w:val="en-US" w:eastAsia="zh-CN" w:bidi="ar"/>
        </w:rPr>
        <w:t>采购人代表及</w:t>
      </w:r>
      <w:r>
        <w:rPr>
          <w:rFonts w:hint="eastAsia" w:ascii="宋体" w:hAnsi="宋体" w:eastAsia="宋体" w:cs="宋体"/>
          <w:color w:val="000000"/>
          <w:kern w:val="0"/>
          <w:sz w:val="24"/>
          <w:szCs w:val="24"/>
          <w:highlight w:val="none"/>
          <w:lang w:val="en-US" w:eastAsia="zh-CN" w:bidi="ar"/>
        </w:rPr>
        <w:t>监督人签字确认。</w:t>
      </w:r>
      <w:r>
        <w:rPr>
          <w:rFonts w:hint="eastAsia" w:ascii="宋体" w:hAnsi="宋体" w:eastAsia="宋体" w:cs="宋体"/>
          <w:color w:val="000000"/>
          <w:kern w:val="0"/>
          <w:sz w:val="24"/>
          <w:szCs w:val="24"/>
          <w:lang w:val="en-US" w:eastAsia="zh-CN" w:bidi="ar"/>
        </w:rPr>
        <w:t>开标过程由采购代理机构指定专人记录。</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（6）宣布开标会结束。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24.2 采购代理机构对开标过程进行全程摄（录）像、文字记录，并存档备查。 </w:t>
      </w:r>
    </w:p>
    <w:p>
      <w:pPr>
        <w:keepNext w:val="0"/>
        <w:keepLines w:val="0"/>
        <w:pageBreakBefore w:val="0"/>
        <w:widowControl/>
        <w:suppressLineNumbers w:val="0"/>
        <w:kinsoku/>
        <w:wordWrap/>
        <w:overflowPunct/>
        <w:topLinePunct w:val="0"/>
        <w:autoSpaceDE/>
        <w:autoSpaceDN/>
        <w:bidi w:val="0"/>
        <w:adjustRightInd/>
        <w:spacing w:line="360" w:lineRule="auto"/>
        <w:ind w:firstLine="562" w:firstLineChars="200"/>
        <w:jc w:val="left"/>
        <w:textAlignment w:val="auto"/>
        <w:outlineLvl w:val="1"/>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六、评标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25.磋商小组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25.1 </w:t>
      </w:r>
      <w:r>
        <w:rPr>
          <w:rFonts w:hint="eastAsia" w:ascii="宋体" w:hAnsi="宋体" w:eastAsia="宋体" w:cs="宋体"/>
          <w:sz w:val="24"/>
          <w:szCs w:val="24"/>
        </w:rPr>
        <w:t>磋商小组由采购人代表和评审专家组成，采购人代表和评审专家人数见供应商须知前附表</w:t>
      </w:r>
      <w:r>
        <w:rPr>
          <w:rFonts w:hint="eastAsia" w:ascii="宋体" w:hAnsi="宋体" w:eastAsia="宋体" w:cs="宋体"/>
          <w:color w:val="000000"/>
          <w:kern w:val="0"/>
          <w:sz w:val="24"/>
          <w:szCs w:val="24"/>
          <w:lang w:val="en-US" w:eastAsia="zh-CN" w:bidi="ar"/>
        </w:rPr>
        <w:t xml:space="preserve">。磋商小组于开标前在陕西省财政厅专家库中随机抽取。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25.2 </w:t>
      </w:r>
      <w:r>
        <w:rPr>
          <w:rFonts w:hint="eastAsia" w:ascii="宋体" w:hAnsi="宋体" w:eastAsia="宋体" w:cs="宋体"/>
          <w:sz w:val="24"/>
          <w:szCs w:val="24"/>
        </w:rPr>
        <w:t>磋商小组</w:t>
      </w:r>
      <w:r>
        <w:rPr>
          <w:rFonts w:hint="eastAsia" w:ascii="宋体" w:hAnsi="宋体" w:eastAsia="宋体" w:cs="宋体"/>
          <w:color w:val="000000"/>
          <w:kern w:val="0"/>
          <w:sz w:val="24"/>
          <w:szCs w:val="24"/>
          <w:lang w:val="en-US" w:eastAsia="zh-CN" w:bidi="ar"/>
        </w:rPr>
        <w:t xml:space="preserve">成员到位后，推荐一名评审专家担任组长，并由评审组长负责组织该项目评审工作。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25.3 磋商小组成员有下列情形之一的，应当回避： </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（1）参加采购活动前3年内与供应商存在劳动关系；</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（2）参加采购活动前3年内担任供应商的董事、监事：</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（3）参加采购活动前3年内是供应商的控</w:t>
      </w:r>
      <w:r>
        <w:rPr>
          <w:rFonts w:hint="eastAsia" w:ascii="宋体" w:hAnsi="宋体" w:cs="宋体"/>
          <w:sz w:val="24"/>
          <w:szCs w:val="24"/>
          <w:lang w:eastAsia="zh-CN"/>
        </w:rPr>
        <w:t>股</w:t>
      </w:r>
      <w:r>
        <w:rPr>
          <w:rFonts w:hint="eastAsia" w:ascii="宋体" w:hAnsi="宋体" w:eastAsia="宋体" w:cs="宋体"/>
          <w:sz w:val="24"/>
          <w:szCs w:val="24"/>
        </w:rPr>
        <w:t>股东或者实际</w:t>
      </w:r>
      <w:r>
        <w:rPr>
          <w:rFonts w:hint="eastAsia" w:ascii="宋体" w:hAnsi="宋体" w:cs="宋体"/>
          <w:sz w:val="24"/>
          <w:szCs w:val="24"/>
          <w:lang w:eastAsia="zh-CN"/>
        </w:rPr>
        <w:t>控</w:t>
      </w:r>
      <w:r>
        <w:rPr>
          <w:rFonts w:hint="eastAsia" w:ascii="宋体" w:hAnsi="宋体" w:eastAsia="宋体" w:cs="宋体"/>
          <w:sz w:val="24"/>
          <w:szCs w:val="24"/>
        </w:rPr>
        <w:t>制人；</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（4）与供应商的法定代表人或者负责人有夫妻、直系血亲、三代以内旁系血亲或者近姻关系；</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（5）曾因在招标、评标以及其他与招标投标有关活动中从事违法行为而受过行政处罚或刑事处罚的</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sz w:val="24"/>
          <w:szCs w:val="24"/>
        </w:rPr>
      </w:pPr>
      <w:r>
        <w:rPr>
          <w:rFonts w:hint="eastAsia" w:ascii="宋体" w:hAnsi="宋体" w:eastAsia="宋体" w:cs="宋体"/>
          <w:sz w:val="24"/>
          <w:szCs w:val="24"/>
        </w:rPr>
        <w:t>（6）与供应商有其他可能影响政府采购活动公平、公正进行的关系。</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26.评标原则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26.1 评标原则应遵循公平、公正、科学和择优的原则。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26.2 磋商小组有权对整个磋商过程中出现的一切问题，根据《中华人民共和国政府采购法》、《中华人民共和国政府采购法实施条例》、《政府采购货物和服务招标投标管理办法》、《政府采购竞争性磋商采购方式管理暂行办法》以及《财政部关于政府采购争性磋商采购方式管理暂行办法</w:t>
      </w:r>
      <w:r>
        <w:rPr>
          <w:rFonts w:hint="eastAsia" w:ascii="宋体" w:hAnsi="宋体" w:cs="宋体"/>
          <w:color w:val="000000"/>
          <w:kern w:val="0"/>
          <w:sz w:val="24"/>
          <w:szCs w:val="24"/>
          <w:lang w:val="en-US" w:eastAsia="zh-CN" w:bidi="ar"/>
        </w:rPr>
        <w:t>有关问题的补充通知</w:t>
      </w:r>
      <w:r>
        <w:rPr>
          <w:rFonts w:hint="eastAsia" w:ascii="宋体" w:hAnsi="宋体" w:eastAsia="宋体" w:cs="宋体"/>
          <w:color w:val="000000"/>
          <w:kern w:val="0"/>
          <w:sz w:val="24"/>
          <w:szCs w:val="24"/>
          <w:lang w:val="en-US" w:eastAsia="zh-CN" w:bidi="ar"/>
        </w:rPr>
        <w:t xml:space="preserve">》等相关规定进行处理。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27. 评标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27.1 磋商小组严格按照磋商文件规定的</w:t>
      </w:r>
      <w:r>
        <w:rPr>
          <w:rFonts w:hint="eastAsia" w:ascii="宋体" w:hAnsi="宋体" w:eastAsia="宋体" w:cs="宋体"/>
          <w:color w:val="000000"/>
          <w:kern w:val="0"/>
          <w:sz w:val="24"/>
          <w:szCs w:val="24"/>
          <w:highlight w:val="none"/>
          <w:lang w:val="en-US" w:eastAsia="zh-CN" w:bidi="ar"/>
        </w:rPr>
        <w:t>评标方法及标准</w:t>
      </w:r>
      <w:r>
        <w:rPr>
          <w:rFonts w:hint="eastAsia" w:ascii="宋体" w:hAnsi="宋体" w:eastAsia="宋体" w:cs="宋体"/>
          <w:color w:val="000000"/>
          <w:kern w:val="0"/>
          <w:sz w:val="24"/>
          <w:szCs w:val="24"/>
          <w:lang w:val="en-US" w:eastAsia="zh-CN" w:bidi="ar"/>
        </w:rPr>
        <w:t xml:space="preserve">对各磋商响应文件进行评审。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27.2 磋商小组独立履行下列职责：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（1）审查磋商响应文件是否符合磋商文件要求，并作出评价；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（2）要求供应商对磋商响应文件有关事项作出解释或者澄清；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（3）推荐中标候选供应商名单，或者受采购人委托按照事先确定的办法直接确定中标供应商；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（4）向采购人或者有关部门报告非法干预评标工作的行为。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27.3 评标过程严格保密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（1）开标后，直至授予中标人合同为止，凡属于对磋商响应文件的审查、澄清、评价和比较的有关资料以及中标候选人的推荐情况，与评标有关的其他任何情况均严格保密；</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（2）供应商对磋商小组的评标过程或合同授予决定施加影响的任何行为都可能导致其磋商被拒绝。 </w:t>
      </w:r>
    </w:p>
    <w:p>
      <w:pPr>
        <w:keepNext w:val="0"/>
        <w:keepLines w:val="0"/>
        <w:pageBreakBefore w:val="0"/>
        <w:widowControl/>
        <w:suppressLineNumbers w:val="0"/>
        <w:kinsoku/>
        <w:wordWrap/>
        <w:overflowPunct/>
        <w:topLinePunct w:val="0"/>
        <w:autoSpaceDE/>
        <w:autoSpaceDN/>
        <w:bidi w:val="0"/>
        <w:adjustRightInd/>
        <w:spacing w:line="360" w:lineRule="auto"/>
        <w:ind w:firstLine="562" w:firstLineChars="200"/>
        <w:jc w:val="left"/>
        <w:textAlignment w:val="auto"/>
        <w:outlineLvl w:val="1"/>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七、定标 </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9"/>
        <w:rPr>
          <w:rFonts w:hint="default"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28、定标</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28.1 确定成交供应商方式</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采购人应当自收到评审报告之日起5个工作日内，从评审报告提出的成交候选供应商中，按照得分排序由高到低的原则确定成交供应商，也可以书面授权磋商小组直接确定成交供应商。</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28.2 成交公告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 xml:space="preserve"> （1）采购代理机构在磋商结束后二个工作日内将磋商结果报告送达采购人，采购人在收到磋商结果报告后五个工作日内，按照磋商结果报告中推荐的成交候选供应商顺序确定成交供应商，同时书面复函采购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bCs/>
          <w:kern w:val="44"/>
          <w:sz w:val="24"/>
          <w:szCs w:val="24"/>
          <w:highlight w:val="none"/>
          <w:lang w:val="en-US" w:eastAsia="zh-CN" w:bidi="ar-SA"/>
        </w:rPr>
      </w:pPr>
      <w:r>
        <w:rPr>
          <w:rFonts w:hint="eastAsia" w:ascii="宋体" w:hAnsi="宋体"/>
          <w:sz w:val="24"/>
          <w:szCs w:val="24"/>
          <w:highlight w:val="none"/>
        </w:rPr>
        <w:t xml:space="preserve"> （2）采购代理机构收到采购人“成交复函”后，二个工作日内在财政部门指定的政府采购信息媒体上发布公告，公示期无异议后，向成交供应商发出“成交通知书”。</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28.3成交结果质疑</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供应商认为成交结果使自己的权益受到损害的，可以在知道或者应知其权益受到损害之日起7个工作日内，以书面形式一次性向采购人、采购代理机构提出质疑。</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28.4成交供应商履约能力审查</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成交供应商的经营、财务状况发生较大变化或存在违法行为，采购人认为可能影响其履约能力的，将在发出成交通知书前提请原磋商小组按照磋商文件规定的标准和方法进行审查确认。</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28.5 成交通知</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在公告成交结果的同时，采购人以书面形式向成交供应商发出成交通知书，同时将成交结果通知其他参加磋商的供应商。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成交通知书发出后，采购人不得违法改变成交结果，成交供应商无正当理由不得放弃。</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28</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w:t>
      </w:r>
      <w:r>
        <w:rPr>
          <w:rFonts w:hint="eastAsia" w:ascii="宋体" w:hAnsi="宋体" w:cs="宋体"/>
          <w:b/>
          <w:bCs/>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签订合同</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采购人应当自成交通知书发出之日起30日内，按照磋商文件和成交供应商响应文件的规定，与成交供应商签订书面合同。所签订的合同不得对磋商文件确定的事项和成交供应商响应文件作实质性修改。</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采购人不得向成交供应商提出任何不合理的要求作为签订合同的条件。</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成交供应商无正当理由拒签合同的，采购人取消其成交资格。</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 xml:space="preserve">.3 </w:t>
      </w:r>
      <w:r>
        <w:rPr>
          <w:rFonts w:hint="eastAsia" w:ascii="宋体" w:hAnsi="宋体" w:eastAsia="宋体" w:cs="宋体"/>
          <w:color w:val="000000" w:themeColor="text1"/>
          <w:sz w:val="24"/>
          <w:szCs w:val="24"/>
          <w:highlight w:val="none"/>
          <w14:textFill>
            <w14:solidFill>
              <w14:schemeClr w14:val="tx1"/>
            </w14:solidFill>
          </w14:textFill>
        </w:rPr>
        <w:t>发出成交通知书后，采购人无正当理由拒签合同的，给成交供应商造成损失的，应当赔偿损失。</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 xml:space="preserve">.4 </w:t>
      </w:r>
      <w:r>
        <w:rPr>
          <w:rFonts w:hint="eastAsia" w:ascii="宋体" w:hAnsi="宋体" w:eastAsia="宋体" w:cs="宋体"/>
          <w:color w:val="000000" w:themeColor="text1"/>
          <w:sz w:val="24"/>
          <w:szCs w:val="24"/>
          <w:highlight w:val="none"/>
          <w14:textFill>
            <w14:solidFill>
              <w14:schemeClr w14:val="tx1"/>
            </w14:solidFill>
          </w14:textFill>
        </w:rPr>
        <w:t>成交供应商拒绝签订政府采购合同的，采购人可以按照第7.1款原则确定其他供应商作为成交供应商并签订政府采购合同，也可以重新开展采购活动。拒绝签订政府采购合同的成交供应商不得参加对该项目重新开展的采购活动。</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联合体成交的，联合体各方应当共同与采购人签订合同，就成交项目向采购人承担连带责任。</w:t>
      </w:r>
    </w:p>
    <w:p>
      <w:pPr>
        <w:keepNext w:val="0"/>
        <w:keepLines w:val="0"/>
        <w:pageBreakBefore w:val="0"/>
        <w:widowControl/>
        <w:suppressLineNumbers w:val="0"/>
        <w:kinsoku/>
        <w:wordWrap/>
        <w:overflowPunct/>
        <w:topLinePunct w:val="0"/>
        <w:autoSpaceDE/>
        <w:autoSpaceDN/>
        <w:bidi w:val="0"/>
        <w:adjustRightInd/>
        <w:spacing w:line="360" w:lineRule="auto"/>
        <w:ind w:firstLine="562" w:firstLineChars="200"/>
        <w:jc w:val="left"/>
        <w:textAlignment w:val="auto"/>
        <w:outlineLvl w:val="1"/>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八、代理服务费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29. 代理服务费的数额及交纳方式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29.1 中标供应商在领取《中标通知书》之前，应向采购代理机构交纳代理服务费。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29.2 代理服务费依据《国家计委关于印发磋商代理服务收费管理暂行办法的通知》（计价格【2002】1980 号）和国家发改委办公厅颁发的《关于磋商代理服务收费有关问题的通知》（发改办价格【2003】857 号）文件规定标准收取。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29.3 代理服务费以转账、电汇或现金等形式交纳。不得用磋商保证金冲抵。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29.4 中标供应商未按 </w:t>
      </w:r>
      <w:r>
        <w:rPr>
          <w:rFonts w:hint="eastAsia" w:ascii="宋体" w:hAnsi="宋体" w:eastAsia="宋体" w:cs="宋体"/>
          <w:color w:val="000000"/>
          <w:kern w:val="0"/>
          <w:sz w:val="24"/>
          <w:szCs w:val="24"/>
          <w:highlight w:val="none"/>
          <w:lang w:val="en-US" w:eastAsia="zh-CN" w:bidi="ar"/>
        </w:rPr>
        <w:t>29.1 条款</w:t>
      </w:r>
      <w:r>
        <w:rPr>
          <w:rFonts w:hint="eastAsia" w:ascii="宋体" w:hAnsi="宋体" w:eastAsia="宋体" w:cs="宋体"/>
          <w:color w:val="000000"/>
          <w:kern w:val="0"/>
          <w:sz w:val="24"/>
          <w:szCs w:val="24"/>
          <w:lang w:val="en-US" w:eastAsia="zh-CN" w:bidi="ar"/>
        </w:rPr>
        <w:t xml:space="preserve">规定交纳磋商代理服务费的，其磋商保证金将被采购代理机构全额没收。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29.5 中标单位服务费交纳信息 </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户</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名：陕西中海</w:t>
      </w:r>
      <w:r>
        <w:rPr>
          <w:rFonts w:hint="eastAsia" w:ascii="宋体" w:hAnsi="宋体" w:cs="宋体"/>
          <w:b/>
          <w:bCs/>
          <w:sz w:val="24"/>
          <w:szCs w:val="24"/>
          <w:lang w:eastAsia="zh-CN"/>
        </w:rPr>
        <w:t>招标</w:t>
      </w:r>
      <w:r>
        <w:rPr>
          <w:rFonts w:hint="eastAsia" w:ascii="宋体" w:hAnsi="宋体" w:eastAsia="宋体" w:cs="宋体"/>
          <w:b/>
          <w:bCs/>
          <w:sz w:val="24"/>
          <w:szCs w:val="24"/>
        </w:rPr>
        <w:t>有限公司</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开户行：中国银行西安二环世纪星支行营业部</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行  号：1047 9100 3702</w:t>
      </w:r>
    </w:p>
    <w:p>
      <w:pPr>
        <w:pStyle w:val="10"/>
        <w:keepNext w:val="0"/>
        <w:keepLines w:val="0"/>
        <w:pageBreakBefore w:val="0"/>
        <w:kinsoku/>
        <w:wordWrap/>
        <w:overflowPunct/>
        <w:topLinePunct w:val="0"/>
        <w:autoSpaceDE/>
        <w:autoSpaceDN/>
        <w:bidi w:val="0"/>
        <w:adjustRightInd/>
        <w:spacing w:line="360" w:lineRule="auto"/>
        <w:ind w:firstLine="482" w:firstLineChars="200"/>
        <w:textAlignment w:val="auto"/>
      </w:pPr>
      <w:r>
        <w:rPr>
          <w:rFonts w:hint="eastAsia" w:ascii="宋体" w:hAnsi="宋体" w:eastAsia="宋体" w:cs="宋体"/>
          <w:b/>
          <w:bCs/>
          <w:sz w:val="24"/>
          <w:szCs w:val="24"/>
          <w:lang w:eastAsia="zh-CN"/>
        </w:rPr>
        <w:t>账</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号</w:t>
      </w:r>
      <w:r>
        <w:rPr>
          <w:rFonts w:hint="eastAsia" w:ascii="宋体" w:hAnsi="宋体" w:eastAsia="宋体" w:cs="宋体"/>
          <w:b/>
          <w:bCs/>
          <w:sz w:val="24"/>
          <w:szCs w:val="24"/>
        </w:rPr>
        <w:t>：1020 0176 8739</w:t>
      </w:r>
    </w:p>
    <w:p>
      <w:pPr>
        <w:keepNext w:val="0"/>
        <w:keepLines w:val="0"/>
        <w:pageBreakBefore w:val="0"/>
        <w:widowControl/>
        <w:suppressLineNumbers w:val="0"/>
        <w:kinsoku/>
        <w:wordWrap/>
        <w:overflowPunct/>
        <w:topLinePunct w:val="0"/>
        <w:autoSpaceDE/>
        <w:autoSpaceDN/>
        <w:bidi w:val="0"/>
        <w:adjustRightInd/>
        <w:spacing w:line="360" w:lineRule="auto"/>
        <w:ind w:firstLine="562" w:firstLineChars="200"/>
        <w:jc w:val="left"/>
        <w:textAlignment w:val="auto"/>
        <w:outlineLvl w:val="1"/>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九、质疑与投诉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30. 质疑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30.1 质疑与投诉事宜依据《中华人民共和国政府采购法》、《中华人民共和国财政部令（第 20 号）》、《政府采购法实施条例（国务院第 658 号令）》及《陕财办采资（2016）53 号》规定执行。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30.2 出现供应商认为采购文件、采购过程和中标、成交结果使自己的权益受到损害的，可以在知道或者应知其权益受到损害之日起七个工作日内，以书面形式向采购人提出质疑。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30.3 采购人或者采购代理机构应当在 3 个工作日内对供应商依法提出的询问作出答复。供应商提出的询问或者质疑超出采购人对采购代理机构委托授权范围的，采购代理机构应当告知供应商向采购人提出。采购评审专家应当配合采购人或者采购代理机构答复供应商的询问和质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30.4 出现供应商认为采购文件、采购过程、中标和成交结果使自己的合法权益受到损害的，应当首先依法向采购人、采购代理机构提出质疑。对采购人、采购代理机构的质疑答复不满意，或者采购人、采购代理机构未在规定期限内作出答复的，供应商可以在答复期满后 15 个工作日内向同级财政部门提起投诉。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31.关于质疑函的提交：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31.1 一件质疑函只能针对一个项目提出质疑，质疑人需要对两个（含）以上项目提出质疑的，应当分别提交质疑函。根据“谁主张、谁举证”的原则，质疑事项必要的证据材料应当由质疑人提供。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31.2 质疑函必须由法定代表人签署本人姓名（或印盖本人姓名章）并加盖单位公章，不得加盖合同专用章等各种形式的专用章。质疑函由参加采购项目的授权代表签署本人姓名（或印盖本人姓名章）的，应当同时提供法定代表人允许其办理质疑事项的特别授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31.3 采购代理机构于收到质疑函后一个工作日内对质疑函的形式进行审查，符合条件的质疑，予以受理并向质疑人发出质疑签收单。收到质疑函原件并向质疑人发出质疑签收单之日，为质疑正式受理之日。质疑处理工作在受理质疑事项后七个工作日内完成。对于供应商依法提出的询问事项，应当在三个工作日内作出答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31.4 质疑受理时采购项目评审工作已经完成的,质疑事项由采购项目的原评审委员会进行复核，质疑受理时尚未成立评审委员会的，应当从财政部专家库中随机抽取专家组建评审委员会进行复核。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31.5 质疑处理过程中，质疑人要求撤回质疑的，应当以书面方式提交质疑撤销函，由法定代表人签署本人姓名（或印盖本人姓名章）并加盖单位公章。采购代理机构收到质疑撤销函后，上报有关监督部门视具体情况决定是否终止质疑处理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31.6 供应商进行虚假和恶意质疑的，采购代理机构将提请有关部门将其列入不良记录名单，在一至三年内禁止其参加政府采购活动，并在相关媒体上公布处理决定。</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32.投诉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供应商和其他利害关系人认为本次采购活动违反法律、法规和规章规定的，有权向有关监督机构投诉。</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spacing w:line="360" w:lineRule="auto"/>
        <w:jc w:val="center"/>
        <w:outlineLvl w:val="0"/>
        <w:rPr>
          <w:rFonts w:hint="eastAsia" w:ascii="Times New Roman" w:hAnsi="Times New Roman" w:cs="Times New Roman"/>
          <w:b/>
          <w:bCs/>
          <w:kern w:val="44"/>
          <w:sz w:val="32"/>
          <w:szCs w:val="32"/>
          <w:lang w:val="en-US" w:eastAsia="zh-CN" w:bidi="ar-SA"/>
        </w:rPr>
      </w:pPr>
      <w:bookmarkStart w:id="10" w:name="_Toc12861"/>
      <w:bookmarkStart w:id="11" w:name="_Toc12073"/>
      <w:r>
        <w:rPr>
          <w:rFonts w:hint="eastAsia" w:ascii="Times New Roman" w:hAnsi="Times New Roman" w:cs="Times New Roman"/>
          <w:b/>
          <w:bCs/>
          <w:kern w:val="44"/>
          <w:sz w:val="32"/>
          <w:szCs w:val="32"/>
          <w:lang w:val="en-US" w:eastAsia="zh-CN" w:bidi="ar-SA"/>
        </w:rPr>
        <w:t>第三章   评标办法</w:t>
      </w:r>
      <w:bookmarkEnd w:id="10"/>
      <w:bookmarkEnd w:id="11"/>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根据《中华人民共和国政府采购法》、《中华人民共和国政府采购法实施条例》、《政府采购货物和服务招标投标管理办法》、《政府采购竞争性磋商采购方式管理暂行办法》以及《财政部关于政府采购争性磋商采购方式管理暂行办法有关问题的补充通知》等法律规章，结合采购项目特点制定本评标办法。 </w:t>
      </w:r>
    </w:p>
    <w:p>
      <w:pPr>
        <w:keepNext w:val="0"/>
        <w:keepLines w:val="0"/>
        <w:pageBreakBefore w:val="0"/>
        <w:widowControl/>
        <w:suppressLineNumbers w:val="0"/>
        <w:kinsoku/>
        <w:wordWrap/>
        <w:overflowPunct/>
        <w:topLinePunct w:val="0"/>
        <w:autoSpaceDE/>
        <w:autoSpaceDN/>
        <w:bidi w:val="0"/>
        <w:adjustRightInd/>
        <w:spacing w:line="360" w:lineRule="auto"/>
        <w:ind w:firstLine="562" w:firstLineChars="200"/>
        <w:jc w:val="left"/>
        <w:textAlignment w:val="auto"/>
        <w:outlineLvl w:val="1"/>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一、评标程序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1.本采购项目评标按照下列工作程序进行：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（1）磋商响应文件初审；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（2）澄清有关问题；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（3）比较与评价；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（4）推荐中标供应商名单；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（5）编写评标报告。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.磋商响应文件初审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2.1 磋商响应文件资格性审查，包括资质审查及有效性审查；即对供应商的资质及磋商响应文件资格证明文件、磋商保证金交纳情况有效性进行审查，以确保供应商是否具备相应资格；符合性审查，即对磋商响应文件的完整性和对磋商文件的响应程度进行审查，以确定是否对磋商文件实在性内容作出响应。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2.2 在资格性、符合性检查时，磋商响应文件被认定无效磋商的，不得进入后续评标环节。</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 磋商响应文件的澄清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 为有助于磋商响应文件的审查、比较和评价，磋商小组可要求供应商对其磋商响应文件中非实质性的有关问题进行澄清、说明或者补正。有关澄清、说明或者补正的要求和答复应以书面（含电传、传真）形式提交，并由其法定代表人（或授权代表人）签字。供应商的澄清、说明或者补正不得超出磋商文件的范围或者改变磋商响应文件的实质性内容。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 磋商响应文件比较与评价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4.1 以磋商文件为依据，对磋商响应文件分别从磋商报价、技术指标、产品和服务质量及售后保证、履约能力等方面进行比较和评价，并按照百分制进行综合赋分。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4.2 磋商小组认定实质性响应磋商文件的磋商是磋商响应文件与磋商文件要求的全部条款、条件和规格相符，没有实质性负偏离。磋商小组决定磋商响应文件的响应性依据磋商响应文件本身的内容，而不寻求外部的证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4.3 如果磋商响应文件没有实质性响应磋商文件的要求，磋商小组将予以拒绝。磋商供应商不得通过修正或撤消不合要求的偏离或保留从而使其磋商成为实质性响应的磋商。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4.4 磋商小组只对确定为实质性响应磋商文件要求的磋商文件，根据磋商文件的要求采用相同的评标程序、评分办法及标准进行评价和比较。</w:t>
      </w:r>
    </w:p>
    <w:p>
      <w:pPr>
        <w:keepNext w:val="0"/>
        <w:keepLines w:val="0"/>
        <w:pageBreakBefore w:val="0"/>
        <w:widowControl/>
        <w:suppressLineNumbers w:val="0"/>
        <w:kinsoku/>
        <w:wordWrap/>
        <w:overflowPunct/>
        <w:topLinePunct w:val="0"/>
        <w:autoSpaceDE/>
        <w:autoSpaceDN/>
        <w:bidi w:val="0"/>
        <w:adjustRightInd/>
        <w:spacing w:line="360" w:lineRule="auto"/>
        <w:ind w:firstLine="562" w:firstLineChars="200"/>
        <w:jc w:val="left"/>
        <w:textAlignment w:val="auto"/>
        <w:outlineLvl w:val="1"/>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二、定标及定标程序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（见第二章第 28 条） </w:t>
      </w:r>
    </w:p>
    <w:p>
      <w:pPr>
        <w:keepNext w:val="0"/>
        <w:keepLines w:val="0"/>
        <w:pageBreakBefore w:val="0"/>
        <w:widowControl/>
        <w:suppressLineNumbers w:val="0"/>
        <w:kinsoku/>
        <w:wordWrap/>
        <w:overflowPunct/>
        <w:topLinePunct w:val="0"/>
        <w:autoSpaceDE/>
        <w:autoSpaceDN/>
        <w:bidi w:val="0"/>
        <w:adjustRightInd/>
        <w:spacing w:line="360" w:lineRule="auto"/>
        <w:ind w:firstLine="562" w:firstLineChars="200"/>
        <w:jc w:val="left"/>
        <w:textAlignment w:val="auto"/>
        <w:outlineLvl w:val="1"/>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三、评标方法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rPr>
      </w:pPr>
      <w:r>
        <w:rPr>
          <w:rFonts w:hint="eastAsia" w:ascii="宋体" w:hAnsi="宋体" w:eastAsia="宋体" w:cs="宋体"/>
          <w:color w:val="000000"/>
          <w:kern w:val="0"/>
          <w:sz w:val="24"/>
          <w:szCs w:val="24"/>
          <w:lang w:val="en-US" w:eastAsia="zh-CN" w:bidi="ar"/>
        </w:rPr>
        <w:t>1. 本采购项目评标方法采用综合评分法。</w:t>
      </w:r>
      <w:r>
        <w:rPr>
          <w:rFonts w:hint="eastAsia" w:ascii="宋体" w:hAnsi="宋体"/>
          <w:sz w:val="24"/>
        </w:rPr>
        <w:t>二次报价为最终报价，在满足磋商文件所有实质性要求前提下，提交最终报价。如采购需求没有实质性变化，各供应商的报价应逐次降低，二次报价超过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且最后报价相同的，按照技术指标优劣顺序推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磋商响应文件中如果出现计算错误，可按以下原则进行修正：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（1）磋商响应文件中的大写金额与小写金额不一致的，以大写金额为准；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（2）磋商响应文件中的总价金额与按单价计算的汇总金额不一致的，以单价计算的汇总金额为准；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（3）磋商响应文件中的单价金额有明显小数点错误的，以总价为准，并修改单价；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（4）磋商响应文件中图表与文字表述不一致的，以文字表述为准；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（5）磋商响应文件正本与副本不一致的，以正本为准；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（6）对不同文字文本磋商响应文件的解释发生异议的，以中文文本为准。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按上述修正错误的方法调整的磋商报价应对供应商具有约束力。如果磋商供应商不接受修正后的价格，其磋商将被拒绝。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 磋商响应文件中，若某项有不合理报价（或零报价、漏报价）的，经磋商小组评审后，此项得分为零，不参与磋商报价分值的计算。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 评委打分超过得分界限或未按本办法赋分时，该评委的打分，按废票处理。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 评标过程中，各种数字的计算结果，均保留两位小数，第三位“四舍五入”，但计算百分数时应精确到千分位，万分位“四舍五入”。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 针对本项目材料提供相同品牌且通过资格审查、符合性审查的不同供应商，按一家供应商计算，评审后得分最高的供应商获得中标人推荐资格；评审得分相同的，磋商报价低的供应商获得中标人推荐资格.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 评标过程中，若出现本评标办法以外的特殊情况时，将暂停评标，待磋商小组商榷后，再进行评定。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w:t>
      </w:r>
      <w:r>
        <w:rPr>
          <w:rFonts w:hint="eastAsia" w:ascii="宋体" w:hAnsi="宋体" w:eastAsia="宋体" w:cs="宋体"/>
          <w:color w:val="000000"/>
          <w:kern w:val="0"/>
          <w:sz w:val="24"/>
          <w:szCs w:val="24"/>
          <w:highlight w:val="none"/>
          <w:lang w:val="en-US" w:eastAsia="zh-CN" w:bidi="ar"/>
        </w:rPr>
        <w:t xml:space="preserve">评标过程中，若出现合格供应商只有2家的，采购活动可以继续进行；少于 2 家时，采购人应当终止采购活动，发布项目终止采购公告并说明原因，重新开展采购活动。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 排名第一的候选人，主动放弃中标，或因不可抗力不能履行合同，或被查实存在影响中标结果的违法行为等情形，已不再符合中标条件的，采购人可以按照磋商小组提出的中标候选人名单排序依次确定其他中标候选人为中标人。 </w:t>
      </w:r>
    </w:p>
    <w:p>
      <w:pPr>
        <w:keepNext w:val="0"/>
        <w:keepLines w:val="0"/>
        <w:pageBreakBefore w:val="0"/>
        <w:widowControl/>
        <w:suppressLineNumbers w:val="0"/>
        <w:kinsoku/>
        <w:wordWrap/>
        <w:overflowPunct/>
        <w:topLinePunct w:val="0"/>
        <w:autoSpaceDE/>
        <w:autoSpaceDN/>
        <w:bidi w:val="0"/>
        <w:adjustRightInd/>
        <w:spacing w:line="360" w:lineRule="auto"/>
        <w:ind w:firstLine="562" w:firstLineChars="200"/>
        <w:jc w:val="left"/>
        <w:textAlignment w:val="auto"/>
        <w:outlineLvl w:val="1"/>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四、评标细则及标准（综合评分法）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 本次综合评分的主要因素是：</w:t>
      </w:r>
      <w:r>
        <w:rPr>
          <w:rFonts w:hint="eastAsia" w:ascii="宋体" w:hAnsi="宋体" w:eastAsia="宋体" w:cs="宋体"/>
          <w:color w:val="000000"/>
          <w:kern w:val="0"/>
          <w:sz w:val="24"/>
          <w:szCs w:val="24"/>
          <w:highlight w:val="none"/>
          <w:lang w:val="en-US" w:eastAsia="zh-CN" w:bidi="ar"/>
        </w:rPr>
        <w:t>价格、商务响应、技术方案</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小型和微型企业货物（产品）的价格评分标准。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2.1 对小型、微型企业货物（产品）的价格给予 6%的扣除，用扣除后的价格参与评审。</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 参加本项目磋商的小型、微型企业，应按磋商文件要求，提供《小微企业声明函》、政府相关部门开具的中小企业证明函（提供其他中小企业制造的货物时还需提供货物制造商的声明函、证明函），未提供的不视为小微企业。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 小型、微型企业按《政府采购促进中小企业发展暂行办法》（财库【2011】181 号）和《关于印发中小企业划分标准规定的通知》（工信部联企业【2011】300 号）文件规定标准确认。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 .监狱企业货物（产品）的价格评分标准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 根据财库【2014】68 号文件《财政部司法部关于政府采购支持监狱企业发展有关问题的通知》的规定，参加项目的监狱企业视同小型、微型企业，在货物（产品）的价格给予 6%的扣除，用扣除后的价格参与评审。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 参加项目的监狱企业，应当提供由省级以上监狱管理局、戒毒管理局（含新疆生产建设兵团）出具的属于监狱企业的证明文件（提供其他监狱企业制造的货物时，还需提供货物制造商的声明函、证明函），未提供的不视为监狱企业。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 节能、环保产品的价格评分标准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4.1 根据国办发【2007】51 号文件《国务院办公厅关于建立政府强制采购节能产品制度的通知》和财库【2006】90 号文件《财政部、国家环保总局联合印发&lt;关于环境标志产品政府采购实施的意见&gt;》的规定，在技术、服务等满足采购需求的前提下，对国家认定的节能环保产品给予价格评标总分值 4%的加分。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4.2 供 应 商 提 供 的 节 能 、 环 保 产 品 应 为 中 国 政 府 采 购 网（http://www.ccgp.gov.cn/）、国家环境保护总局（http://www.sepa.gov.cn/）、中国绿色采购网（http://www.cgpn. cn/）等媒体公告的节能环保产品，供应商须提供产品清单的网页截图等证明材料。未提供的不视为节能、环保产品。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4.3 节能环保产品的有效时间以中国环境标志产品认证证书有效截止日期为准，超过认证证书有效截止日期的自动失效。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 残疾人福利性单位货物（产品）的价格评分标准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5.1 对残疾人福利型单位货物（产品）的价格给予 6%的扣除，用扣除后的价格参与评审。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5.2 参加本项目磋商的残疾人福利性单位，应按磋商文件要求，提供《残疾人福利性单位声明函》（见磋商文件格式），并对声明函的真实性负责，未提供的不视为残疾人福利性单位。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5.3 残疾人福利性单位按《三部门联合发布关于促进残疾人就业政府采购政策的通知》（财库【2017】141 号）文件规定标准确认。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注：供应商同时具备小微企业、监狱企业及残疾人福利性单位等价格评分标准的，以最优的计取，不重复享受政策。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 除价格因素外，磋商小组成员应依据磋商文件规定的评分标准和方法独立对其他因素进行比较打分。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 资格性审查：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7.1 资质审查：由采购人或采购代理机构对各供应商提交的资质进行审查，缺其中一项或某项达不到磋商文件要求，均按无效文件处理；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7.2 资质有效性评审：磋商文件中的资质证明文件为必备资质，采购人或采购代理机构对各供应商磋商响应文件中的资质证明文件进行审查，缺其中一项或某项达不到磋商文件要求，均按无效文件处理。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有效评审的内容： </w:t>
      </w:r>
    </w:p>
    <w:p>
      <w:pPr>
        <w:keepNext w:val="0"/>
        <w:keepLines w:val="0"/>
        <w:pageBreakBefore w:val="0"/>
        <w:widowControl/>
        <w:numPr>
          <w:ilvl w:val="0"/>
          <w:numId w:val="2"/>
        </w:numPr>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提供合格有效的法人或者其他组织的营业执照等证明文件，自然人的身份证明；</w:t>
      </w:r>
    </w:p>
    <w:p>
      <w:pPr>
        <w:keepNext w:val="0"/>
        <w:keepLines w:val="0"/>
        <w:pageBreakBefore w:val="0"/>
        <w:widowControl/>
        <w:numPr>
          <w:ilvl w:val="0"/>
          <w:numId w:val="2"/>
        </w:numPr>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提供法定代表人授权书（附法定代表人、被授权人身份证复印件）及被授权人身份证原件（法定代表人直接参加投标，须提供法定代表人身份证明及身份证原件）；</w:t>
      </w:r>
    </w:p>
    <w:p>
      <w:pPr>
        <w:keepNext w:val="0"/>
        <w:keepLines w:val="0"/>
        <w:pageBreakBefore w:val="0"/>
        <w:widowControl/>
        <w:numPr>
          <w:ilvl w:val="0"/>
          <w:numId w:val="2"/>
        </w:numPr>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财务状况报告：提供</w:t>
      </w:r>
      <w:r>
        <w:rPr>
          <w:rFonts w:hint="eastAsia" w:ascii="宋体" w:hAnsi="宋体" w:cs="宋体"/>
          <w:i w:val="0"/>
          <w:iCs w:val="0"/>
          <w:caps w:val="0"/>
          <w:color w:val="333333"/>
          <w:spacing w:val="0"/>
          <w:sz w:val="24"/>
          <w:szCs w:val="24"/>
          <w:shd w:val="clear" w:fill="FFFFFF"/>
          <w:lang w:eastAsia="zh-CN"/>
        </w:rPr>
        <w:t>2021</w:t>
      </w:r>
      <w:r>
        <w:rPr>
          <w:rFonts w:hint="eastAsia" w:ascii="宋体" w:hAnsi="宋体" w:eastAsia="宋体" w:cs="宋体"/>
          <w:i w:val="0"/>
          <w:iCs w:val="0"/>
          <w:caps w:val="0"/>
          <w:color w:val="333333"/>
          <w:spacing w:val="0"/>
          <w:sz w:val="24"/>
          <w:szCs w:val="24"/>
          <w:shd w:val="clear" w:fill="FFFFFF"/>
        </w:rPr>
        <w:t>年度的财务审计报告（至少包括资产负债表和利润表，成立时间至提交磋商响应文件截止时间不足一年的可提供成立后任意时段的资产负债表），或开标时间前六个月内基本存款账户开户银行出具的资信证明；</w:t>
      </w:r>
    </w:p>
    <w:p>
      <w:pPr>
        <w:keepNext w:val="0"/>
        <w:keepLines w:val="0"/>
        <w:pageBreakBefore w:val="0"/>
        <w:widowControl/>
        <w:numPr>
          <w:ilvl w:val="0"/>
          <w:numId w:val="2"/>
        </w:numPr>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税收缴纳证明：提供磋商截止日前近一年内任意一个月的纳税证明或完税证明（任意税种），依法免税的单位应提供相关证明材料；</w:t>
      </w:r>
    </w:p>
    <w:p>
      <w:pPr>
        <w:keepNext w:val="0"/>
        <w:keepLines w:val="0"/>
        <w:pageBreakBefore w:val="0"/>
        <w:widowControl/>
        <w:numPr>
          <w:ilvl w:val="0"/>
          <w:numId w:val="2"/>
        </w:numPr>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社会保障资金缴纳证明：提供磋商截止日前一年内已缴存的至少一个月的社会保障资金缴存单据或社保机构开具的社会保险参保缴费情况证明，依法不需要缴纳社会保障资金的单位应提供相关证明材料；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numPr>
          <w:ilvl w:val="0"/>
          <w:numId w:val="2"/>
        </w:numPr>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不得为列入“信用中国”网站（www.creditchina.gov.cn）及“中国政府采购网”网站（http://www.ccgp.gov.cn/）中列入失信被执行人和重大税收违法案件当事人名单的投标人；</w:t>
      </w:r>
    </w:p>
    <w:p>
      <w:pPr>
        <w:keepNext w:val="0"/>
        <w:keepLines w:val="0"/>
        <w:pageBreakBefore w:val="0"/>
        <w:widowControl/>
        <w:numPr>
          <w:ilvl w:val="0"/>
          <w:numId w:val="2"/>
        </w:numPr>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提供具有履行本合同所必需的设备和专业技术能力的说明及承诺书；</w:t>
      </w:r>
    </w:p>
    <w:p>
      <w:pPr>
        <w:keepNext w:val="0"/>
        <w:keepLines w:val="0"/>
        <w:pageBreakBefore w:val="0"/>
        <w:widowControl/>
        <w:numPr>
          <w:ilvl w:val="0"/>
          <w:numId w:val="2"/>
        </w:numPr>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参加政府采购活动前3年内，在经营活动中没有重大违法记录的书面声明；</w:t>
      </w:r>
    </w:p>
    <w:p>
      <w:pPr>
        <w:keepNext w:val="0"/>
        <w:keepLines w:val="0"/>
        <w:pageBreakBefore w:val="0"/>
        <w:widowControl/>
        <w:numPr>
          <w:ilvl w:val="0"/>
          <w:numId w:val="2"/>
        </w:numPr>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本项目不接受联合体磋商。</w:t>
      </w:r>
    </w:p>
    <w:p>
      <w:pPr>
        <w:spacing w:line="360" w:lineRule="auto"/>
        <w:ind w:firstLine="482" w:firstLineChars="200"/>
        <w:outlineLvl w:val="9"/>
        <w:rPr>
          <w:rFonts w:hint="default"/>
          <w:sz w:val="24"/>
          <w:szCs w:val="24"/>
          <w:lang w:val="en-US" w:eastAsia="zh-CN"/>
        </w:rPr>
      </w:pPr>
      <w:r>
        <w:rPr>
          <w:rFonts w:hint="eastAsia" w:ascii="宋体" w:hAnsi="宋体" w:eastAsia="宋体" w:cs="宋体"/>
          <w:b/>
          <w:bCs/>
          <w:color w:val="000000"/>
          <w:kern w:val="0"/>
          <w:sz w:val="24"/>
          <w:szCs w:val="24"/>
          <w:lang w:val="en-US" w:eastAsia="zh-CN" w:bidi="ar"/>
        </w:rPr>
        <w:t>注：上述资质文件为必备资质，资格审查时，缺少一项或某项达不到磋商文件要求的按无效磋商</w:t>
      </w:r>
      <w:r>
        <w:rPr>
          <w:rFonts w:hint="eastAsia" w:ascii="宋体" w:hAnsi="宋体" w:cs="宋体"/>
          <w:b/>
          <w:bCs/>
          <w:color w:val="000000"/>
          <w:kern w:val="0"/>
          <w:sz w:val="24"/>
          <w:szCs w:val="24"/>
          <w:lang w:val="en-US" w:eastAsia="zh-CN" w:bidi="ar"/>
        </w:rPr>
        <w:t>响应</w:t>
      </w:r>
      <w:r>
        <w:rPr>
          <w:rFonts w:hint="eastAsia" w:ascii="宋体" w:hAnsi="宋体" w:eastAsia="宋体" w:cs="宋体"/>
          <w:b/>
          <w:bCs/>
          <w:color w:val="000000"/>
          <w:kern w:val="0"/>
          <w:sz w:val="24"/>
          <w:szCs w:val="24"/>
          <w:lang w:val="en-US" w:eastAsia="zh-CN" w:bidi="ar"/>
        </w:rPr>
        <w:t>文件处理。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 符合性评审：主要对供应商磋商响应文件进行商务和技术符合性的审定。出现下列情形之一者，其磋商响应文件按无效文件处理：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156"/>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pageBreakBefore w:val="0"/>
              <w:kinsoku/>
              <w:wordWrap/>
              <w:overflowPunct/>
              <w:topLinePunct w:val="0"/>
              <w:autoSpaceDE/>
              <w:autoSpaceDN/>
              <w:bidi w:val="0"/>
              <w:adjustRightInd/>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color w:val="000000"/>
                <w:kern w:val="0"/>
                <w:sz w:val="24"/>
                <w:szCs w:val="24"/>
                <w:lang w:val="en-US" w:eastAsia="zh-CN" w:bidi="ar"/>
              </w:rPr>
              <w:br w:type="page"/>
            </w:r>
            <w:r>
              <w:rPr>
                <w:rFonts w:hint="eastAsia" w:ascii="宋体" w:hAnsi="宋体" w:eastAsia="宋体" w:cs="宋体"/>
                <w:b/>
                <w:bCs/>
                <w:sz w:val="24"/>
                <w:szCs w:val="24"/>
                <w:vertAlign w:val="baseline"/>
                <w:lang w:eastAsia="zh-CN"/>
              </w:rPr>
              <w:t>序号</w:t>
            </w:r>
          </w:p>
        </w:tc>
        <w:tc>
          <w:tcPr>
            <w:tcW w:w="3156"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评审项目</w:t>
            </w:r>
          </w:p>
        </w:tc>
        <w:tc>
          <w:tcPr>
            <w:tcW w:w="4657"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10"/>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156"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磋商响应文件的签署盖章</w:t>
            </w:r>
          </w:p>
        </w:tc>
        <w:tc>
          <w:tcPr>
            <w:tcW w:w="4657" w:type="dxa"/>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磋商响应文件上法定代表人或其授权代表人的签字齐全并加盖公章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10"/>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156" w:type="dxa"/>
            <w:vAlign w:val="center"/>
          </w:tcPr>
          <w:p>
            <w:pPr>
              <w:pStyle w:val="10"/>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磋商响应文件的格式</w:t>
            </w:r>
          </w:p>
        </w:tc>
        <w:tc>
          <w:tcPr>
            <w:tcW w:w="4657" w:type="dxa"/>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应符合“磋商响应文件格式”要求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10"/>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156"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报价唯一</w:t>
            </w:r>
            <w:r>
              <w:rPr>
                <w:rFonts w:hint="eastAsia" w:ascii="宋体" w:hAnsi="宋体" w:cs="宋体"/>
                <w:color w:val="000000"/>
                <w:kern w:val="0"/>
                <w:sz w:val="24"/>
                <w:szCs w:val="24"/>
                <w:lang w:val="en-US" w:eastAsia="zh-CN" w:bidi="ar"/>
              </w:rPr>
              <w:t>且合理</w:t>
            </w:r>
          </w:p>
        </w:tc>
        <w:tc>
          <w:tcPr>
            <w:tcW w:w="4657" w:type="dxa"/>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只能有一个有效报价，不得提交选择性报价，且报价不超过采购预算或投标报价明显低于成本价却能合理说明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10"/>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156"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保证金交纳</w:t>
            </w:r>
          </w:p>
        </w:tc>
        <w:tc>
          <w:tcPr>
            <w:tcW w:w="4657" w:type="dxa"/>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按要求提供保证金交纳凭证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10"/>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highlight w:val="yellow"/>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3156"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highlight w:val="yellow"/>
                <w:vertAlign w:val="baseline"/>
              </w:rPr>
            </w:pPr>
            <w:r>
              <w:rPr>
                <w:rFonts w:hint="eastAsia" w:ascii="宋体" w:hAnsi="宋体" w:eastAsia="宋体" w:cs="宋体"/>
                <w:color w:val="000000"/>
                <w:kern w:val="0"/>
                <w:sz w:val="24"/>
                <w:szCs w:val="24"/>
                <w:lang w:val="en-US" w:eastAsia="zh-CN" w:bidi="ar"/>
              </w:rPr>
              <w:t>磋商响应文件份数</w:t>
            </w:r>
          </w:p>
        </w:tc>
        <w:tc>
          <w:tcPr>
            <w:tcW w:w="4657" w:type="dxa"/>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yellow"/>
                <w:vertAlign w:val="baseline"/>
              </w:rPr>
            </w:pPr>
            <w:r>
              <w:rPr>
                <w:rFonts w:hint="eastAsia" w:ascii="宋体" w:hAnsi="宋体" w:eastAsia="宋体" w:cs="宋体"/>
                <w:color w:val="000000"/>
                <w:kern w:val="0"/>
                <w:sz w:val="24"/>
                <w:szCs w:val="24"/>
                <w:lang w:val="en-US" w:eastAsia="zh-CN" w:bidi="ar"/>
              </w:rPr>
              <w:t>应符合“投标供应商须知前附表”规定的正本、副本、电子文件数量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10"/>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156"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磋商响应文件内容</w:t>
            </w:r>
            <w:r>
              <w:rPr>
                <w:rFonts w:hint="eastAsia" w:ascii="宋体" w:hAnsi="宋体" w:cs="宋体"/>
                <w:color w:val="000000"/>
                <w:kern w:val="0"/>
                <w:sz w:val="24"/>
                <w:szCs w:val="24"/>
                <w:lang w:val="en-US" w:eastAsia="zh-CN" w:bidi="ar"/>
              </w:rPr>
              <w:t>及对</w:t>
            </w:r>
            <w:r>
              <w:rPr>
                <w:rFonts w:hint="eastAsia" w:ascii="宋体" w:hAnsi="宋体" w:eastAsia="宋体" w:cs="宋体"/>
                <w:color w:val="000000"/>
                <w:kern w:val="0"/>
                <w:sz w:val="24"/>
                <w:szCs w:val="24"/>
                <w:lang w:val="en-US" w:eastAsia="zh-CN" w:bidi="ar"/>
              </w:rPr>
              <w:t>磋商文件响应程度</w:t>
            </w:r>
          </w:p>
        </w:tc>
        <w:tc>
          <w:tcPr>
            <w:tcW w:w="4657" w:type="dxa"/>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磋商响应文件内容齐全、无遗漏</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10"/>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3156"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vertAlign w:val="baseline"/>
              </w:rPr>
            </w:pPr>
            <w:r>
              <w:rPr>
                <w:rFonts w:hint="eastAsia" w:ascii="宋体" w:hAnsi="宋体" w:cs="宋体"/>
                <w:color w:val="000000"/>
                <w:kern w:val="0"/>
                <w:sz w:val="24"/>
                <w:szCs w:val="24"/>
                <w:highlight w:val="none"/>
                <w:lang w:val="en-US" w:eastAsia="zh-CN" w:bidi="ar"/>
              </w:rPr>
              <w:t>磋商</w:t>
            </w:r>
            <w:r>
              <w:rPr>
                <w:rFonts w:hint="eastAsia" w:ascii="宋体" w:hAnsi="宋体" w:eastAsia="宋体" w:cs="宋体"/>
                <w:color w:val="000000"/>
                <w:kern w:val="0"/>
                <w:sz w:val="24"/>
                <w:szCs w:val="24"/>
                <w:highlight w:val="none"/>
                <w:lang w:val="en-US" w:eastAsia="zh-CN" w:bidi="ar"/>
              </w:rPr>
              <w:t>有效期</w:t>
            </w:r>
          </w:p>
        </w:tc>
        <w:tc>
          <w:tcPr>
            <w:tcW w:w="4657" w:type="dxa"/>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应满足磋商文件中的规定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10"/>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3156" w:type="dxa"/>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其他</w:t>
            </w:r>
          </w:p>
        </w:tc>
        <w:tc>
          <w:tcPr>
            <w:tcW w:w="4657" w:type="dxa"/>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磋商响应文件符合法律法规要求的</w:t>
            </w:r>
          </w:p>
        </w:tc>
      </w:tr>
    </w:tbl>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9.非实质性偏离是指磋商响应文件在实质上响应磋商文件的要求，但在个别地方存在一些不规则、不一致、不完整的内容，并且澄清、说明或者补正这些内容不会改变磋商响应文件的实质性内容。以下情况属于非实质性偏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（1）文字表述的内容含义不明确；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（2）同类问题表述不一致；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（3）有明显文字和计算错误；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（4）提供的技术信息和数据资料不完整；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（5）磋商响应文件未按磋商文件要求进行装订或未编制目录、页码；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（6）磋商小组认定的其他非实质性偏离。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磋商响应文件有上述（1）至（4）情形之一的，磋商小组应当书面要求供应商在规定的时间内予以澄清、说明或补正。供应商拒不或在规定的时间内没有进行澄清、说明或补正或澄清、说明、补正的内容也不能说明问题的，视为磋商响应文件制作不规范，按每一项非实质性偏离进行扣分处理，直至该项分值扣完为止。磋商小组不接受供应商主动提出的澄清、说明或补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10. 在磋商响应文件初审过程中，如果出现磋商小组成员意见不一致的情况，按照少数服从多数的原则确定。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11. 综合评分明细表（满分 100 分）</w:t>
      </w:r>
    </w:p>
    <w:tbl>
      <w:tblPr>
        <w:tblStyle w:val="16"/>
        <w:tblW w:w="49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9"/>
        <w:gridCol w:w="1245"/>
        <w:gridCol w:w="5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409" w:type="pct"/>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368" w:type="pct"/>
            <w:gridSpan w:val="2"/>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评分因素及分值权重</w:t>
            </w:r>
          </w:p>
        </w:tc>
        <w:tc>
          <w:tcPr>
            <w:tcW w:w="3221" w:type="pct"/>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409" w:type="pct"/>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68" w:type="pct"/>
            <w:gridSpan w:val="2"/>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价格部分（10）</w:t>
            </w:r>
          </w:p>
        </w:tc>
        <w:tc>
          <w:tcPr>
            <w:tcW w:w="3221" w:type="pct"/>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满足磋商文件要求且磋商价格最低的磋商报价为评标基准价，其价格分为满分，其他供应商的价格分统一按照下列公式计算：</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磋商报价得分＝（评标基准价/磋商报价）×10分。</w:t>
            </w:r>
          </w:p>
          <w:p>
            <w:pPr>
              <w:keepNext/>
              <w:keepLines/>
              <w:spacing w:before="280" w:after="290" w:line="360" w:lineRule="auto"/>
              <w:outlineLvl w:val="3"/>
              <w:rPr>
                <w:rFonts w:hint="eastAsia" w:ascii="宋体" w:hAnsi="宋体" w:eastAsia="宋体" w:cs="宋体"/>
                <w:b/>
                <w:bCs/>
                <w:sz w:val="24"/>
                <w:szCs w:val="24"/>
              </w:rPr>
            </w:pPr>
            <w:r>
              <w:rPr>
                <w:rFonts w:hint="eastAsia" w:ascii="宋体" w:hAnsi="宋体" w:eastAsia="宋体" w:cs="宋体"/>
                <w:b/>
                <w:bCs/>
                <w:sz w:val="24"/>
                <w:szCs w:val="24"/>
              </w:rPr>
              <w:t>注：符合国家相关规定的小微企业、监狱企业、残疾人福利性单位优惠条件的供应商，价格给予</w:t>
            </w:r>
            <w:r>
              <w:rPr>
                <w:rFonts w:hint="eastAsia" w:ascii="宋体" w:hAnsi="宋体" w:cs="宋体"/>
                <w:b/>
                <w:bCs/>
                <w:sz w:val="24"/>
                <w:szCs w:val="24"/>
                <w:lang w:val="en-US" w:eastAsia="zh-CN"/>
              </w:rPr>
              <w:t>10</w:t>
            </w:r>
            <w:r>
              <w:rPr>
                <w:rFonts w:hint="eastAsia" w:ascii="宋体" w:hAnsi="宋体" w:eastAsia="宋体" w:cs="宋体"/>
                <w:b/>
                <w:bCs/>
                <w:sz w:val="24"/>
                <w:szCs w:val="24"/>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409" w:type="pct"/>
            <w:vMerge w:val="restart"/>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690" w:type="pct"/>
            <w:vMerge w:val="restart"/>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商务部分（30）</w:t>
            </w:r>
          </w:p>
        </w:tc>
        <w:tc>
          <w:tcPr>
            <w:tcW w:w="677" w:type="pct"/>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企业实力</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10分</w:t>
            </w:r>
          </w:p>
        </w:tc>
        <w:tc>
          <w:tcPr>
            <w:tcW w:w="3221" w:type="pct"/>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1.以下证书，供应商每提供1项得2分，未提供不得分，满分10分。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（1）软件企业证书；（0-2分）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（2）林业调查规划设计资质证书；（0-2分）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highlight w:val="none"/>
              </w:rPr>
              <w:t>A级及以上企业信用等级证书（信用中国可查）</w:t>
            </w:r>
            <w:r>
              <w:rPr>
                <w:rFonts w:hint="eastAsia" w:ascii="宋体" w:hAnsi="宋体" w:eastAsia="宋体" w:cs="宋体"/>
                <w:sz w:val="24"/>
                <w:szCs w:val="24"/>
              </w:rPr>
              <w:t>；（0-2分）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（4）国家级高新技术企业证书。（0-2分）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（5）林业类相关计算机软件著作权证书。（0-2分）（每提供一个得0.5分，满分2分）</w:t>
            </w:r>
          </w:p>
          <w:p>
            <w:pPr>
              <w:keepNext/>
              <w:keepLines/>
              <w:spacing w:before="280" w:after="290" w:line="360" w:lineRule="auto"/>
              <w:outlineLvl w:val="3"/>
              <w:rPr>
                <w:rFonts w:hint="eastAsia" w:ascii="宋体" w:hAnsi="宋体" w:eastAsia="宋体" w:cs="宋体"/>
                <w:b/>
                <w:bCs/>
                <w:sz w:val="24"/>
                <w:szCs w:val="24"/>
              </w:rPr>
            </w:pPr>
            <w:r>
              <w:rPr>
                <w:rFonts w:hint="eastAsia" w:ascii="宋体" w:hAnsi="宋体" w:eastAsia="宋体" w:cs="宋体"/>
                <w:b/>
                <w:bCs/>
                <w:sz w:val="24"/>
                <w:szCs w:val="24"/>
              </w:rPr>
              <w:t>注：磋商响应文件内提供证书复印件，加盖供应商公章。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trPr>
        <w:tc>
          <w:tcPr>
            <w:tcW w:w="409" w:type="pct"/>
            <w:vMerge w:val="continue"/>
            <w:vAlign w:val="center"/>
          </w:tcPr>
          <w:p>
            <w:pPr>
              <w:snapToGrid w:val="0"/>
              <w:spacing w:line="360" w:lineRule="auto"/>
              <w:ind w:firstLine="480" w:firstLineChars="200"/>
              <w:jc w:val="center"/>
              <w:rPr>
                <w:rFonts w:hint="eastAsia" w:ascii="宋体" w:hAnsi="宋体" w:eastAsia="宋体" w:cs="宋体"/>
                <w:sz w:val="24"/>
                <w:szCs w:val="24"/>
                <w:highlight w:val="yellow"/>
              </w:rPr>
            </w:pPr>
          </w:p>
        </w:tc>
        <w:tc>
          <w:tcPr>
            <w:tcW w:w="690" w:type="pct"/>
            <w:vMerge w:val="continue"/>
            <w:vAlign w:val="center"/>
          </w:tcPr>
          <w:p>
            <w:pPr>
              <w:snapToGrid w:val="0"/>
              <w:spacing w:line="360" w:lineRule="auto"/>
              <w:ind w:firstLine="480" w:firstLineChars="200"/>
              <w:jc w:val="center"/>
              <w:rPr>
                <w:rFonts w:hint="eastAsia" w:ascii="宋体" w:hAnsi="宋体" w:eastAsia="宋体" w:cs="宋体"/>
                <w:sz w:val="24"/>
                <w:szCs w:val="24"/>
                <w:highlight w:val="yellow"/>
              </w:rPr>
            </w:pPr>
          </w:p>
        </w:tc>
        <w:tc>
          <w:tcPr>
            <w:tcW w:w="677" w:type="pct"/>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人员配备</w:t>
            </w:r>
          </w:p>
          <w:p>
            <w:pPr>
              <w:snapToGrid w:val="0"/>
              <w:spacing w:line="360" w:lineRule="auto"/>
              <w:jc w:val="center"/>
              <w:rPr>
                <w:rFonts w:hint="eastAsia" w:ascii="宋体" w:hAnsi="宋体" w:eastAsia="宋体" w:cs="宋体"/>
                <w:sz w:val="24"/>
                <w:szCs w:val="24"/>
                <w:highlight w:val="yellow"/>
              </w:rPr>
            </w:pPr>
            <w:r>
              <w:rPr>
                <w:rFonts w:hint="eastAsia" w:ascii="宋体" w:hAnsi="宋体" w:eastAsia="宋体" w:cs="宋体"/>
                <w:sz w:val="24"/>
                <w:szCs w:val="24"/>
              </w:rPr>
              <w:t>10分</w:t>
            </w:r>
          </w:p>
        </w:tc>
        <w:tc>
          <w:tcPr>
            <w:tcW w:w="3221" w:type="pct"/>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（1）提供完整的项目团队信息和分工信息，项目负责人信息明确，组织结构完整。（0-2分）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（2）本项目负责人具有林业正高级职称（教授、研究员或教授级高工）资格得5分，具有林业高级职称（副教授、副研究员或高工）资格得3分。（0-5分）</w:t>
            </w:r>
          </w:p>
          <w:p>
            <w:pPr>
              <w:snapToGrid w:val="0"/>
              <w:spacing w:line="360" w:lineRule="auto"/>
              <w:rPr>
                <w:rFonts w:hint="eastAsia" w:ascii="宋体" w:hAnsi="宋体" w:eastAsia="宋体" w:cs="宋体"/>
                <w:strike w:val="0"/>
                <w:sz w:val="24"/>
                <w:szCs w:val="24"/>
              </w:rPr>
            </w:pPr>
            <w:r>
              <w:rPr>
                <w:rFonts w:hint="eastAsia" w:ascii="宋体" w:hAnsi="宋体" w:eastAsia="宋体" w:cs="宋体"/>
                <w:strike w:val="0"/>
                <w:dstrike w:val="0"/>
                <w:sz w:val="24"/>
                <w:szCs w:val="24"/>
              </w:rPr>
              <w:t>（3）近三年内</w:t>
            </w:r>
            <w:r>
              <w:rPr>
                <w:rFonts w:hint="eastAsia" w:ascii="宋体" w:hAnsi="宋体" w:eastAsia="宋体" w:cs="宋体"/>
                <w:strike w:val="0"/>
                <w:dstrike w:val="0"/>
                <w:sz w:val="24"/>
                <w:szCs w:val="24"/>
                <w:highlight w:val="none"/>
              </w:rPr>
              <w:t>获得省级以上（包含省级）林业类</w:t>
            </w:r>
            <w:r>
              <w:rPr>
                <w:rFonts w:hint="eastAsia" w:ascii="宋体" w:hAnsi="宋体" w:eastAsia="宋体" w:cs="宋体"/>
                <w:strike w:val="0"/>
                <w:dstrike w:val="0"/>
                <w:sz w:val="24"/>
                <w:szCs w:val="24"/>
              </w:rPr>
              <w:t>相关科学技术进步奖项的，得3分。（3分）</w:t>
            </w:r>
          </w:p>
          <w:p>
            <w:pPr>
              <w:keepNext/>
              <w:keepLines/>
              <w:spacing w:before="280" w:after="290" w:line="360" w:lineRule="auto"/>
              <w:outlineLvl w:val="3"/>
              <w:rPr>
                <w:rFonts w:hint="eastAsia" w:ascii="宋体" w:hAnsi="宋体" w:eastAsia="宋体" w:cs="宋体"/>
                <w:b/>
                <w:bCs/>
                <w:sz w:val="24"/>
                <w:szCs w:val="24"/>
              </w:rPr>
            </w:pPr>
            <w:r>
              <w:rPr>
                <w:rFonts w:hint="eastAsia" w:ascii="宋体" w:hAnsi="宋体" w:eastAsia="宋体" w:cs="宋体"/>
                <w:b/>
                <w:bCs/>
                <w:sz w:val="24"/>
                <w:szCs w:val="24"/>
              </w:rPr>
              <w:t>注：需提供相关证明文件复印件，否则不得分。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409" w:type="pct"/>
            <w:vMerge w:val="continue"/>
            <w:vAlign w:val="center"/>
          </w:tcPr>
          <w:p>
            <w:pPr>
              <w:snapToGrid w:val="0"/>
              <w:spacing w:line="360" w:lineRule="auto"/>
              <w:ind w:firstLine="480" w:firstLineChars="200"/>
              <w:jc w:val="center"/>
              <w:rPr>
                <w:rFonts w:hint="eastAsia" w:ascii="宋体" w:hAnsi="宋体" w:eastAsia="宋体" w:cs="宋体"/>
                <w:sz w:val="24"/>
                <w:szCs w:val="24"/>
                <w:highlight w:val="yellow"/>
              </w:rPr>
            </w:pPr>
          </w:p>
        </w:tc>
        <w:tc>
          <w:tcPr>
            <w:tcW w:w="690" w:type="pct"/>
            <w:vMerge w:val="continue"/>
            <w:vAlign w:val="center"/>
          </w:tcPr>
          <w:p>
            <w:pPr>
              <w:snapToGrid w:val="0"/>
              <w:spacing w:line="360" w:lineRule="auto"/>
              <w:ind w:firstLine="480" w:firstLineChars="200"/>
              <w:jc w:val="center"/>
              <w:rPr>
                <w:rFonts w:hint="eastAsia" w:ascii="宋体" w:hAnsi="宋体" w:eastAsia="宋体" w:cs="宋体"/>
                <w:sz w:val="24"/>
                <w:szCs w:val="24"/>
                <w:highlight w:val="yellow"/>
              </w:rPr>
            </w:pPr>
          </w:p>
        </w:tc>
        <w:tc>
          <w:tcPr>
            <w:tcW w:w="677" w:type="pct"/>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业绩</w:t>
            </w:r>
          </w:p>
          <w:p>
            <w:pPr>
              <w:snapToGrid w:val="0"/>
              <w:spacing w:line="360" w:lineRule="auto"/>
              <w:jc w:val="center"/>
              <w:rPr>
                <w:rFonts w:hint="eastAsia" w:ascii="宋体" w:hAnsi="宋体" w:eastAsia="宋体" w:cs="宋体"/>
                <w:sz w:val="24"/>
                <w:szCs w:val="24"/>
                <w:highlight w:val="yellow"/>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分</w:t>
            </w:r>
          </w:p>
        </w:tc>
        <w:tc>
          <w:tcPr>
            <w:tcW w:w="3221" w:type="pct"/>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供应商提供201</w:t>
            </w:r>
            <w:r>
              <w:rPr>
                <w:rFonts w:hint="eastAsia" w:ascii="宋体" w:hAnsi="宋体" w:cs="宋体"/>
                <w:sz w:val="24"/>
                <w:szCs w:val="24"/>
                <w:lang w:val="en-US" w:eastAsia="zh-CN"/>
              </w:rPr>
              <w:t>9</w:t>
            </w:r>
            <w:r>
              <w:rPr>
                <w:rFonts w:hint="eastAsia" w:ascii="宋体" w:hAnsi="宋体" w:eastAsia="宋体" w:cs="宋体"/>
                <w:sz w:val="24"/>
                <w:szCs w:val="24"/>
              </w:rPr>
              <w:t>年起至递交磋商文件截止时间内</w:t>
            </w:r>
            <w:r>
              <w:rPr>
                <w:rFonts w:hint="eastAsia" w:ascii="宋体" w:hAnsi="宋体" w:cs="宋体"/>
                <w:sz w:val="24"/>
                <w:szCs w:val="24"/>
                <w:lang w:eastAsia="zh-CN"/>
              </w:rPr>
              <w:t>同类型</w:t>
            </w:r>
            <w:r>
              <w:rPr>
                <w:rFonts w:hint="eastAsia" w:ascii="宋体" w:hAnsi="宋体" w:eastAsia="宋体" w:cs="宋体"/>
                <w:sz w:val="24"/>
                <w:szCs w:val="24"/>
              </w:rPr>
              <w:t>服务相关项目业绩合同，每提供一个得</w:t>
            </w:r>
            <w:r>
              <w:rPr>
                <w:rFonts w:hint="eastAsia" w:ascii="宋体" w:hAnsi="宋体" w:cs="宋体"/>
                <w:sz w:val="24"/>
                <w:szCs w:val="24"/>
                <w:lang w:val="en-US" w:eastAsia="zh-CN"/>
              </w:rPr>
              <w:t>2</w:t>
            </w:r>
            <w:r>
              <w:rPr>
                <w:rFonts w:hint="eastAsia" w:ascii="宋体" w:hAnsi="宋体" w:eastAsia="宋体" w:cs="宋体"/>
                <w:sz w:val="24"/>
                <w:szCs w:val="24"/>
              </w:rPr>
              <w:t>分，不提供不得分，满分1</w:t>
            </w:r>
            <w:r>
              <w:rPr>
                <w:rFonts w:hint="eastAsia" w:ascii="宋体" w:hAnsi="宋体" w:cs="宋体"/>
                <w:sz w:val="24"/>
                <w:szCs w:val="24"/>
                <w:lang w:val="en-US" w:eastAsia="zh-CN"/>
              </w:rPr>
              <w:t>2</w:t>
            </w:r>
            <w:bookmarkStart w:id="70" w:name="_GoBack"/>
            <w:bookmarkEnd w:id="70"/>
            <w:r>
              <w:rPr>
                <w:rFonts w:hint="eastAsia" w:ascii="宋体" w:hAnsi="宋体" w:eastAsia="宋体" w:cs="宋体"/>
                <w:sz w:val="24"/>
                <w:szCs w:val="24"/>
              </w:rPr>
              <w:t>分。（0-</w:t>
            </w:r>
            <w:r>
              <w:rPr>
                <w:rFonts w:hint="eastAsia" w:ascii="宋体" w:hAnsi="宋体" w:cs="宋体"/>
                <w:sz w:val="24"/>
                <w:szCs w:val="24"/>
                <w:lang w:val="en-US" w:eastAsia="zh-CN"/>
              </w:rPr>
              <w:t>12</w:t>
            </w:r>
            <w:r>
              <w:rPr>
                <w:rFonts w:hint="eastAsia" w:ascii="宋体" w:hAnsi="宋体" w:eastAsia="宋体" w:cs="宋体"/>
                <w:sz w:val="24"/>
                <w:szCs w:val="24"/>
              </w:rPr>
              <w:t>分）</w:t>
            </w:r>
          </w:p>
          <w:p>
            <w:pPr>
              <w:keepNext/>
              <w:keepLines/>
              <w:spacing w:before="280" w:after="290" w:line="360" w:lineRule="auto"/>
              <w:outlineLvl w:val="3"/>
              <w:rPr>
                <w:rFonts w:hint="eastAsia" w:ascii="宋体" w:hAnsi="宋体" w:eastAsia="宋体" w:cs="宋体"/>
                <w:b/>
                <w:bCs/>
                <w:sz w:val="24"/>
                <w:szCs w:val="24"/>
              </w:rPr>
            </w:pPr>
            <w:r>
              <w:rPr>
                <w:rFonts w:hint="eastAsia" w:ascii="宋体" w:hAnsi="宋体" w:eastAsia="宋体" w:cs="宋体"/>
                <w:b/>
                <w:bCs/>
                <w:sz w:val="24"/>
                <w:szCs w:val="24"/>
              </w:rPr>
              <w:t>注：提供有效合同复印件并加盖供应商公章，否则不得分。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09" w:type="pct"/>
            <w:vMerge w:val="restart"/>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690" w:type="pct"/>
            <w:vMerge w:val="restart"/>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技术部分</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（60）</w:t>
            </w:r>
          </w:p>
        </w:tc>
        <w:tc>
          <w:tcPr>
            <w:tcW w:w="677" w:type="pct"/>
            <w:vAlign w:val="center"/>
          </w:tcPr>
          <w:p>
            <w:pPr>
              <w:snapToGrid w:val="0"/>
              <w:spacing w:line="360" w:lineRule="auto"/>
              <w:jc w:val="center"/>
              <w:rPr>
                <w:rFonts w:hint="eastAsia" w:ascii="宋体" w:hAnsi="宋体" w:eastAsia="宋体" w:cs="宋体"/>
                <w:sz w:val="24"/>
                <w:szCs w:val="24"/>
                <w:highlight w:val="yellow"/>
              </w:rPr>
            </w:pPr>
            <w:r>
              <w:rPr>
                <w:rFonts w:hint="eastAsia" w:ascii="宋体" w:hAnsi="宋体" w:eastAsia="宋体" w:cs="宋体"/>
                <w:sz w:val="24"/>
                <w:szCs w:val="24"/>
              </w:rPr>
              <w:t>技术要求（</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3221" w:type="pct"/>
            <w:vAlign w:val="center"/>
          </w:tcPr>
          <w:p>
            <w:pPr>
              <w:numPr>
                <w:ilvl w:val="0"/>
                <w:numId w:val="0"/>
              </w:numPr>
              <w:snapToGrid w:val="0"/>
              <w:spacing w:line="360" w:lineRule="auto"/>
              <w:rPr>
                <w:rFonts w:hint="eastAsia" w:ascii="宋体" w:hAnsi="宋体" w:eastAsia="宋体" w:cs="宋体"/>
                <w:sz w:val="24"/>
                <w:szCs w:val="24"/>
                <w:highlight w:val="yellow"/>
              </w:rPr>
            </w:pPr>
            <w:r>
              <w:rPr>
                <w:rFonts w:hint="eastAsia" w:ascii="宋体" w:hAnsi="宋体" w:eastAsia="宋体" w:cs="宋体"/>
                <w:sz w:val="24"/>
                <w:szCs w:val="24"/>
              </w:rPr>
              <w:t>对“第四章  采购需求”要求的技术内容做逐项响应，全部满足的得5分，一项不满足扣1分，扣完为止。（0-5分）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409" w:type="pct"/>
            <w:vMerge w:val="continue"/>
            <w:vAlign w:val="center"/>
          </w:tcPr>
          <w:p>
            <w:pPr>
              <w:snapToGrid w:val="0"/>
              <w:spacing w:line="360" w:lineRule="auto"/>
              <w:ind w:firstLine="480" w:firstLineChars="200"/>
              <w:jc w:val="center"/>
              <w:rPr>
                <w:rFonts w:hint="eastAsia" w:ascii="宋体" w:hAnsi="宋体" w:eastAsia="宋体" w:cs="宋体"/>
                <w:sz w:val="24"/>
                <w:szCs w:val="24"/>
                <w:highlight w:val="yellow"/>
              </w:rPr>
            </w:pPr>
          </w:p>
        </w:tc>
        <w:tc>
          <w:tcPr>
            <w:tcW w:w="690" w:type="pct"/>
            <w:vMerge w:val="continue"/>
            <w:vAlign w:val="center"/>
          </w:tcPr>
          <w:p>
            <w:pPr>
              <w:snapToGrid w:val="0"/>
              <w:spacing w:line="360" w:lineRule="auto"/>
              <w:ind w:firstLine="480" w:firstLineChars="200"/>
              <w:jc w:val="center"/>
              <w:rPr>
                <w:rFonts w:hint="eastAsia" w:ascii="宋体" w:hAnsi="宋体" w:eastAsia="宋体" w:cs="宋体"/>
                <w:sz w:val="24"/>
                <w:szCs w:val="24"/>
                <w:highlight w:val="yellow"/>
              </w:rPr>
            </w:pPr>
          </w:p>
        </w:tc>
        <w:tc>
          <w:tcPr>
            <w:tcW w:w="677" w:type="pct"/>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总体方案（13分）</w:t>
            </w:r>
          </w:p>
        </w:tc>
        <w:tc>
          <w:tcPr>
            <w:tcW w:w="3221" w:type="pct"/>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供应商提供的总体建设方案，需求分析到位，目标清晰合理，数据库</w:t>
            </w:r>
            <w:r>
              <w:rPr>
                <w:rFonts w:hint="eastAsia" w:ascii="宋体" w:hAnsi="宋体" w:cs="宋体"/>
                <w:sz w:val="24"/>
                <w:szCs w:val="24"/>
                <w:lang w:eastAsia="zh-CN"/>
              </w:rPr>
              <w:t>处理</w:t>
            </w:r>
            <w:r>
              <w:rPr>
                <w:rFonts w:hint="eastAsia" w:ascii="宋体" w:hAnsi="宋体" w:eastAsia="宋体" w:cs="宋体"/>
                <w:sz w:val="24"/>
                <w:szCs w:val="24"/>
              </w:rPr>
              <w:t>思路明确。由磋商小组对供应商响应内容的优良程度打分。（0-13分）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（优9.1-13分、良4.1-9分、一般0-4分）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09" w:type="pct"/>
            <w:vMerge w:val="continue"/>
            <w:vAlign w:val="center"/>
          </w:tcPr>
          <w:p>
            <w:pPr>
              <w:snapToGrid w:val="0"/>
              <w:spacing w:line="360" w:lineRule="auto"/>
              <w:ind w:firstLine="480" w:firstLineChars="200"/>
              <w:jc w:val="center"/>
              <w:rPr>
                <w:rFonts w:hint="eastAsia" w:ascii="宋体" w:hAnsi="宋体" w:eastAsia="宋体" w:cs="宋体"/>
                <w:sz w:val="24"/>
                <w:szCs w:val="24"/>
                <w:highlight w:val="yellow"/>
              </w:rPr>
            </w:pPr>
          </w:p>
        </w:tc>
        <w:tc>
          <w:tcPr>
            <w:tcW w:w="690" w:type="pct"/>
            <w:vMerge w:val="continue"/>
            <w:vAlign w:val="center"/>
          </w:tcPr>
          <w:p>
            <w:pPr>
              <w:snapToGrid w:val="0"/>
              <w:spacing w:line="360" w:lineRule="auto"/>
              <w:ind w:firstLine="480" w:firstLineChars="200"/>
              <w:jc w:val="center"/>
              <w:rPr>
                <w:rFonts w:hint="eastAsia" w:ascii="宋体" w:hAnsi="宋体" w:eastAsia="宋体" w:cs="宋体"/>
                <w:sz w:val="24"/>
                <w:szCs w:val="24"/>
                <w:highlight w:val="yellow"/>
              </w:rPr>
            </w:pPr>
          </w:p>
        </w:tc>
        <w:tc>
          <w:tcPr>
            <w:tcW w:w="677" w:type="pct"/>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技术方案（15分）</w:t>
            </w:r>
          </w:p>
        </w:tc>
        <w:tc>
          <w:tcPr>
            <w:tcW w:w="3221" w:type="pct"/>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根据供应商对本项目的数据整理、标准化处理、数据备份措施、安全设计进行综合对比。由评标专家对供应商响应内容的优良程度打分。（0-15分）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（优10.1-15分、良5.1-10分、一般0-5分）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09" w:type="pct"/>
            <w:vMerge w:val="continue"/>
            <w:vAlign w:val="center"/>
          </w:tcPr>
          <w:p>
            <w:pPr>
              <w:snapToGrid w:val="0"/>
              <w:spacing w:line="360" w:lineRule="auto"/>
              <w:ind w:firstLine="480" w:firstLineChars="200"/>
              <w:jc w:val="center"/>
              <w:rPr>
                <w:rFonts w:hint="eastAsia" w:ascii="宋体" w:hAnsi="宋体" w:eastAsia="宋体" w:cs="宋体"/>
                <w:sz w:val="24"/>
                <w:szCs w:val="24"/>
                <w:highlight w:val="yellow"/>
              </w:rPr>
            </w:pPr>
          </w:p>
        </w:tc>
        <w:tc>
          <w:tcPr>
            <w:tcW w:w="690" w:type="pct"/>
            <w:vMerge w:val="continue"/>
            <w:vAlign w:val="center"/>
          </w:tcPr>
          <w:p>
            <w:pPr>
              <w:snapToGrid w:val="0"/>
              <w:spacing w:line="360" w:lineRule="auto"/>
              <w:ind w:firstLine="480" w:firstLineChars="200"/>
              <w:jc w:val="center"/>
              <w:rPr>
                <w:rFonts w:hint="eastAsia" w:ascii="宋体" w:hAnsi="宋体" w:eastAsia="宋体" w:cs="宋体"/>
                <w:sz w:val="24"/>
                <w:szCs w:val="24"/>
                <w:highlight w:val="yellow"/>
              </w:rPr>
            </w:pPr>
          </w:p>
        </w:tc>
        <w:tc>
          <w:tcPr>
            <w:tcW w:w="677" w:type="pct"/>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服务进度计划安排和质量管理措施（10分）</w:t>
            </w:r>
          </w:p>
        </w:tc>
        <w:tc>
          <w:tcPr>
            <w:tcW w:w="3221" w:type="pct"/>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供应商按采购人要求有明确的质量保证目标，质量管理措施，供应商须提供详细的服务组织方案磋商小组对供应商响应内容进行对比，根据优良程度打分。（0-10分）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（优秀：7.1-10分；良好：3.1-7 分；一般：0-3分）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09" w:type="pct"/>
            <w:vMerge w:val="continue"/>
            <w:vAlign w:val="center"/>
          </w:tcPr>
          <w:p>
            <w:pPr>
              <w:snapToGrid w:val="0"/>
              <w:spacing w:line="360" w:lineRule="auto"/>
              <w:ind w:firstLine="480" w:firstLineChars="200"/>
              <w:jc w:val="center"/>
              <w:rPr>
                <w:rFonts w:hint="eastAsia" w:ascii="宋体" w:hAnsi="宋体" w:eastAsia="宋体" w:cs="宋体"/>
                <w:sz w:val="24"/>
                <w:szCs w:val="24"/>
                <w:highlight w:val="yellow"/>
              </w:rPr>
            </w:pPr>
          </w:p>
        </w:tc>
        <w:tc>
          <w:tcPr>
            <w:tcW w:w="690" w:type="pct"/>
            <w:vMerge w:val="continue"/>
            <w:vAlign w:val="center"/>
          </w:tcPr>
          <w:p>
            <w:pPr>
              <w:snapToGrid w:val="0"/>
              <w:spacing w:line="360" w:lineRule="auto"/>
              <w:ind w:firstLine="480" w:firstLineChars="200"/>
              <w:jc w:val="center"/>
              <w:rPr>
                <w:rFonts w:hint="eastAsia" w:ascii="宋体" w:hAnsi="宋体" w:eastAsia="宋体" w:cs="宋体"/>
                <w:sz w:val="24"/>
                <w:szCs w:val="24"/>
                <w:highlight w:val="yellow"/>
              </w:rPr>
            </w:pPr>
          </w:p>
        </w:tc>
        <w:tc>
          <w:tcPr>
            <w:tcW w:w="677" w:type="pct"/>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培训方案</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（5分）</w:t>
            </w:r>
          </w:p>
        </w:tc>
        <w:tc>
          <w:tcPr>
            <w:tcW w:w="3221" w:type="pct"/>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为保证采购人需求，制定培训方案，供应商提供的培训方案，培训计划培训内容安排合理可行，内容计划详细完整，保证使用单位能熟练操作维护和正常使用。由磋商小组自主赋分。（0-5分）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（优秀：3.1-5分；良好：1.1-3 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09" w:type="pct"/>
            <w:vMerge w:val="continue"/>
            <w:vAlign w:val="center"/>
          </w:tcPr>
          <w:p>
            <w:pPr>
              <w:snapToGrid w:val="0"/>
              <w:spacing w:line="360" w:lineRule="auto"/>
              <w:ind w:firstLine="480" w:firstLineChars="200"/>
              <w:jc w:val="center"/>
              <w:rPr>
                <w:rFonts w:hint="eastAsia" w:ascii="宋体" w:hAnsi="宋体" w:eastAsia="宋体" w:cs="宋体"/>
                <w:sz w:val="24"/>
                <w:szCs w:val="24"/>
                <w:highlight w:val="yellow"/>
              </w:rPr>
            </w:pPr>
          </w:p>
        </w:tc>
        <w:tc>
          <w:tcPr>
            <w:tcW w:w="690" w:type="pct"/>
            <w:vMerge w:val="continue"/>
            <w:vAlign w:val="center"/>
          </w:tcPr>
          <w:p>
            <w:pPr>
              <w:snapToGrid w:val="0"/>
              <w:spacing w:line="360" w:lineRule="auto"/>
              <w:ind w:firstLine="480" w:firstLineChars="200"/>
              <w:jc w:val="center"/>
              <w:rPr>
                <w:rFonts w:hint="eastAsia" w:ascii="宋体" w:hAnsi="宋体" w:eastAsia="宋体" w:cs="宋体"/>
                <w:sz w:val="24"/>
                <w:szCs w:val="24"/>
                <w:highlight w:val="yellow"/>
              </w:rPr>
            </w:pPr>
          </w:p>
        </w:tc>
        <w:tc>
          <w:tcPr>
            <w:tcW w:w="677" w:type="pct"/>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售后服务（10分）</w:t>
            </w:r>
          </w:p>
        </w:tc>
        <w:tc>
          <w:tcPr>
            <w:tcW w:w="3221" w:type="pct"/>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（1）磋商响应方案对本项目的后期维护管理、技术支持及服务，有关于售后服务措施、质保期承诺函、人员结构及承担能力具体的措施，且措施切实可行。由磋商小组自主赋分。（0-5分）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（优秀：3.1-5分；良好：1.1-3 分；一般：0-1分）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（2）供应商提供完善的售后服务，对数据库升级调整。根据提供售后服务响应时间及完善程度。由磋商小组自主赋分。（0-5分）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（优秀：3.1-5分；良好：1.1-3 分；一般：0-1分）</w:t>
            </w:r>
          </w:p>
        </w:tc>
      </w:tr>
    </w:tbl>
    <w:p>
      <w:pPr>
        <w:keepNext w:val="0"/>
        <w:keepLines w:val="0"/>
        <w:pageBreakBefore w:val="0"/>
        <w:kinsoku/>
        <w:wordWrap/>
        <w:overflowPunct/>
        <w:topLinePunct w:val="0"/>
        <w:autoSpaceDE/>
        <w:autoSpaceDN/>
        <w:bidi w:val="0"/>
        <w:adjustRightInd/>
        <w:textAlignment w:val="auto"/>
        <w:rPr>
          <w:rFonts w:hint="eastAsia" w:ascii="宋体" w:hAnsi="宋体" w:eastAsia="宋体" w:cs="宋体"/>
          <w:b/>
          <w:bCs/>
          <w:color w:val="000000"/>
          <w:kern w:val="0"/>
          <w:sz w:val="28"/>
          <w:szCs w:val="28"/>
          <w:lang w:val="en-US" w:eastAsia="zh-CN" w:bidi="ar"/>
        </w:rPr>
      </w:pPr>
    </w:p>
    <w:p>
      <w:pP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br w:type="page"/>
      </w:r>
    </w:p>
    <w:p>
      <w:pPr>
        <w:keepNext w:val="0"/>
        <w:keepLines w:val="0"/>
        <w:pageBreakBefore w:val="0"/>
        <w:widowControl/>
        <w:suppressLineNumbers w:val="0"/>
        <w:kinsoku/>
        <w:wordWrap/>
        <w:overflowPunct/>
        <w:topLinePunct w:val="0"/>
        <w:autoSpaceDE/>
        <w:autoSpaceDN/>
        <w:bidi w:val="0"/>
        <w:adjustRightInd/>
        <w:spacing w:line="360" w:lineRule="auto"/>
        <w:ind w:firstLine="562" w:firstLineChars="200"/>
        <w:jc w:val="left"/>
        <w:textAlignment w:val="auto"/>
        <w:outlineLvl w:val="1"/>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五、评标专家在采购活动中承担以下义务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 遵纪守法，客观、公正、廉洁地履行职责。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2. 按照采购法律法规和采购文件的规定要求对供应商的资格条件和供应商提供的产品价格、技术、商务、服务等方面严格进行评判，提供科学合理、公平公正的评审意见，参与起草评审报告，并予签字确认。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 保守秘密。不得透露磋商文件咨询情况，不得泄漏供应商的磋商文件及知悉的商业秘密，不得向供应商透露评审情况。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4. 发现供应商在采购活动中有不正当竞争或恶意串通等违规行为，及时向采购代理机构或财政部门报告并加以制止。发现采购人、采购代理机构及其工作人员在采购活动中有干预评审、发表倾向性和歧视性言论、受贿或者接受供应商的其他好处及其他违法违规行为，及时向财政部门报告。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5. 解答有关方面对采购评审工作中有关问题的询问，配合采购人或者采购代理机构答复供应商质疑，配合财政部门的投诉处理工作等事宜。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6. 法律、法规和规章规定的其他义务。 </w:t>
      </w:r>
    </w:p>
    <w:p>
      <w:pPr>
        <w:keepNext w:val="0"/>
        <w:keepLines w:val="0"/>
        <w:pageBreakBefore w:val="0"/>
        <w:widowControl/>
        <w:suppressLineNumbers w:val="0"/>
        <w:kinsoku/>
        <w:wordWrap/>
        <w:overflowPunct/>
        <w:topLinePunct w:val="0"/>
        <w:autoSpaceDE/>
        <w:autoSpaceDN/>
        <w:bidi w:val="0"/>
        <w:adjustRightInd/>
        <w:spacing w:line="360" w:lineRule="auto"/>
        <w:ind w:firstLine="562" w:firstLineChars="200"/>
        <w:jc w:val="left"/>
        <w:textAlignment w:val="auto"/>
        <w:outlineLvl w:val="1"/>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六、评审专家在采购活动中应当遵守以下工作纪律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 应邀按时参加评审和咨询活动。遇特殊情况不能出席或途中遇阻不能按时参加评审或咨询的，应及时告知采购代理机构，不得私自转托他人。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 不得参加与自己有利害关系的采购项目的评审活动。对与自己有利害关系的评审项目，如受到邀请，应主动提出回避。行政监督部门、采购人或采购代理机构也可要求该评审专家回避。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 评审或咨询过程中关闭通讯设备，不得与外界联系。因发生不可预见情况，确实需要与外界联系的，应当有在场工作人员陪同。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4. 评审过程中，不得发表影响评审公正的倾向性、歧视性言论；不得征询或者接受采购人的倾向性意见；不得以任何明示或暗示的方式要求参加该采购项目的供应商以澄清、说明或补正为借口，表达与其原磋商文件原意不同的新意见；不得以采购文件没有规定的方法和标准作为评审的依据；不得违反规定的评审格式评分和撰写评审意见；不得拒绝对自己的评审意见签字确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5. 在咨询工作中，严格执行国家产业政策和产品标准，认真听取咨询方的合理要求，提出科学合理的、无倾向性和歧视性的咨询方案，并对所提出的意见和建议承担个人责任。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 有关部门（机构）制定的其他评审工作纪律。</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spacing w:line="360" w:lineRule="auto"/>
        <w:jc w:val="center"/>
        <w:outlineLvl w:val="0"/>
        <w:rPr>
          <w:rFonts w:hint="eastAsia" w:ascii="Times New Roman" w:hAnsi="Times New Roman" w:cs="Times New Roman"/>
          <w:b/>
          <w:bCs/>
          <w:kern w:val="44"/>
          <w:sz w:val="32"/>
          <w:szCs w:val="32"/>
          <w:lang w:val="en-US" w:eastAsia="zh-CN" w:bidi="ar-SA"/>
        </w:rPr>
      </w:pPr>
      <w:bookmarkStart w:id="12" w:name="_Toc22283"/>
      <w:bookmarkStart w:id="13" w:name="_Toc17065"/>
      <w:r>
        <w:rPr>
          <w:rFonts w:hint="eastAsia" w:ascii="Times New Roman" w:hAnsi="Times New Roman" w:cs="Times New Roman"/>
          <w:b/>
          <w:bCs/>
          <w:kern w:val="44"/>
          <w:sz w:val="32"/>
          <w:szCs w:val="32"/>
          <w:lang w:val="en-US" w:eastAsia="zh-CN" w:bidi="ar-SA"/>
        </w:rPr>
        <w:t>第四章   采购需求</w:t>
      </w:r>
      <w:bookmarkEnd w:id="12"/>
      <w:bookmarkEnd w:id="13"/>
      <w:bookmarkStart w:id="14" w:name="_Toc75266502"/>
      <w:bookmarkStart w:id="15" w:name="_Toc77257869"/>
    </w:p>
    <w:bookmarkEnd w:id="14"/>
    <w:bookmarkEnd w:id="15"/>
    <w:p>
      <w:pPr>
        <w:spacing w:line="360" w:lineRule="auto"/>
        <w:jc w:val="left"/>
        <w:rPr>
          <w:rFonts w:ascii="Times New Roman" w:hAnsi="Times New Roman" w:cs="Times New Roman"/>
          <w:b/>
          <w:bCs/>
          <w:sz w:val="28"/>
          <w:szCs w:val="28"/>
        </w:rPr>
      </w:pPr>
      <w:r>
        <w:rPr>
          <w:rFonts w:ascii="Times New Roman" w:hAnsi="Times New Roman" w:cs="Times New Roman"/>
          <w:b/>
          <w:bCs/>
          <w:sz w:val="28"/>
          <w:szCs w:val="28"/>
        </w:rPr>
        <w:t>一、采购需求一览表</w:t>
      </w:r>
    </w:p>
    <w:tbl>
      <w:tblPr>
        <w:tblStyle w:val="16"/>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924"/>
        <w:gridCol w:w="1044"/>
        <w:gridCol w:w="297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adjustRightInd w:val="0"/>
              <w:snapToGrid w:val="0"/>
              <w:spacing w:before="62" w:beforeLines="20" w:after="62" w:afterLines="20" w:line="360" w:lineRule="auto"/>
              <w:jc w:val="center"/>
              <w:rPr>
                <w:rFonts w:ascii="Times New Roman" w:hAnsi="Times New Roman" w:cs="Times New Roman"/>
                <w:b/>
                <w:kern w:val="0"/>
                <w:szCs w:val="21"/>
              </w:rPr>
            </w:pPr>
            <w:r>
              <w:rPr>
                <w:rFonts w:ascii="Times New Roman" w:hAnsi="Times New Roman" w:cs="Times New Roman"/>
                <w:b/>
                <w:kern w:val="0"/>
                <w:szCs w:val="21"/>
              </w:rPr>
              <w:t>序号</w:t>
            </w:r>
          </w:p>
        </w:tc>
        <w:tc>
          <w:tcPr>
            <w:tcW w:w="2924" w:type="dxa"/>
            <w:vAlign w:val="center"/>
          </w:tcPr>
          <w:p>
            <w:pPr>
              <w:adjustRightInd w:val="0"/>
              <w:snapToGrid w:val="0"/>
              <w:spacing w:before="62" w:beforeLines="20" w:after="62" w:afterLines="20" w:line="360" w:lineRule="auto"/>
              <w:jc w:val="center"/>
              <w:rPr>
                <w:rFonts w:ascii="Times New Roman" w:hAnsi="Times New Roman" w:cs="Times New Roman"/>
                <w:b/>
                <w:kern w:val="0"/>
                <w:szCs w:val="21"/>
              </w:rPr>
            </w:pPr>
            <w:r>
              <w:rPr>
                <w:rFonts w:ascii="Times New Roman" w:hAnsi="Times New Roman" w:cs="Times New Roman"/>
                <w:b/>
                <w:kern w:val="0"/>
                <w:szCs w:val="21"/>
              </w:rPr>
              <w:t>采购内容</w:t>
            </w:r>
          </w:p>
        </w:tc>
        <w:tc>
          <w:tcPr>
            <w:tcW w:w="1044" w:type="dxa"/>
          </w:tcPr>
          <w:p>
            <w:pPr>
              <w:adjustRightInd w:val="0"/>
              <w:snapToGrid w:val="0"/>
              <w:spacing w:before="62" w:beforeLines="20" w:after="62" w:afterLines="2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数量</w:t>
            </w:r>
          </w:p>
        </w:tc>
        <w:tc>
          <w:tcPr>
            <w:tcW w:w="2977" w:type="dxa"/>
            <w:vAlign w:val="center"/>
          </w:tcPr>
          <w:p>
            <w:pPr>
              <w:adjustRightInd w:val="0"/>
              <w:snapToGrid w:val="0"/>
              <w:spacing w:before="62" w:beforeLines="20" w:after="62" w:afterLines="20" w:line="360" w:lineRule="auto"/>
              <w:jc w:val="center"/>
              <w:rPr>
                <w:rFonts w:ascii="Times New Roman" w:hAnsi="Times New Roman" w:cs="Times New Roman"/>
                <w:b/>
                <w:kern w:val="0"/>
                <w:szCs w:val="21"/>
              </w:rPr>
            </w:pPr>
            <w:r>
              <w:rPr>
                <w:rFonts w:ascii="Times New Roman" w:hAnsi="Times New Roman" w:cs="Times New Roman"/>
                <w:b/>
                <w:kern w:val="0"/>
                <w:szCs w:val="21"/>
              </w:rPr>
              <w:t>技术要求</w:t>
            </w:r>
          </w:p>
        </w:tc>
        <w:tc>
          <w:tcPr>
            <w:tcW w:w="1701" w:type="dxa"/>
            <w:vAlign w:val="center"/>
          </w:tcPr>
          <w:p>
            <w:pPr>
              <w:adjustRightInd w:val="0"/>
              <w:snapToGrid w:val="0"/>
              <w:spacing w:before="62" w:beforeLines="20" w:after="62" w:afterLines="20" w:line="360" w:lineRule="auto"/>
              <w:jc w:val="center"/>
              <w:rPr>
                <w:rFonts w:ascii="Times New Roman" w:hAnsi="Times New Roman" w:cs="Times New Roman"/>
                <w:b/>
                <w:kern w:val="0"/>
                <w:szCs w:val="21"/>
              </w:rPr>
            </w:pPr>
            <w:r>
              <w:rPr>
                <w:rFonts w:ascii="Times New Roman" w:hAnsi="Times New Roman" w:cs="Times New Roman"/>
                <w:b/>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ascii="Times New Roman" w:hAnsi="Times New Roman" w:cs="Times New Roman"/>
                <w:kern w:val="0"/>
                <w:szCs w:val="21"/>
              </w:rPr>
              <w:t>1</w:t>
            </w:r>
          </w:p>
        </w:tc>
        <w:tc>
          <w:tcPr>
            <w:tcW w:w="2924"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hint="eastAsia" w:ascii="Times New Roman" w:hAnsi="Times New Roman" w:cs="Times New Roman"/>
                <w:kern w:val="0"/>
                <w:szCs w:val="21"/>
              </w:rPr>
              <w:t>本底数据库预处理、检查及分发</w:t>
            </w:r>
          </w:p>
        </w:tc>
        <w:tc>
          <w:tcPr>
            <w:tcW w:w="1044" w:type="dxa"/>
          </w:tcPr>
          <w:p>
            <w:pPr>
              <w:adjustRightInd w:val="0"/>
              <w:snapToGrid w:val="0"/>
              <w:spacing w:before="62" w:beforeLines="20" w:after="62" w:afterLines="20" w:line="360" w:lineRule="auto"/>
              <w:jc w:val="center"/>
              <w:rPr>
                <w:rFonts w:ascii="Times New Roman" w:hAnsi="Times New Roman" w:cs="Times New Roman"/>
                <w:kern w:val="0"/>
                <w:szCs w:val="21"/>
              </w:rPr>
            </w:pPr>
            <w:r>
              <w:rPr>
                <w:rFonts w:hint="eastAsia" w:ascii="Times New Roman" w:hAnsi="Times New Roman" w:cs="Times New Roman"/>
                <w:kern w:val="0"/>
                <w:szCs w:val="21"/>
              </w:rPr>
              <w:t>1套</w:t>
            </w:r>
          </w:p>
        </w:tc>
        <w:tc>
          <w:tcPr>
            <w:tcW w:w="2977"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ascii="Times New Roman" w:hAnsi="Times New Roman" w:cs="Times New Roman"/>
                <w:kern w:val="0"/>
                <w:szCs w:val="21"/>
              </w:rPr>
              <w:t>详见</w:t>
            </w:r>
            <w:r>
              <w:rPr>
                <w:rFonts w:hint="eastAsia" w:ascii="Times New Roman" w:hAnsi="Times New Roman" w:cs="Times New Roman"/>
                <w:kern w:val="0"/>
                <w:szCs w:val="21"/>
              </w:rPr>
              <w:t>“技术要求”</w:t>
            </w:r>
          </w:p>
        </w:tc>
        <w:tc>
          <w:tcPr>
            <w:tcW w:w="1701"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ascii="Times New Roman" w:hAnsi="Times New Roman" w:cs="Times New Roman"/>
                <w:kern w:val="0"/>
                <w:szCs w:val="21"/>
              </w:rPr>
              <w:t>1</w:t>
            </w:r>
            <w:r>
              <w:rPr>
                <w:rFonts w:hint="eastAsia" w:ascii="Times New Roman" w:hAnsi="Times New Roman" w:cs="Times New Roman"/>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hint="eastAsia" w:ascii="Times New Roman" w:hAnsi="Times New Roman" w:cs="Times New Roman"/>
                <w:kern w:val="0"/>
                <w:szCs w:val="21"/>
              </w:rPr>
              <w:t>2</w:t>
            </w:r>
          </w:p>
        </w:tc>
        <w:tc>
          <w:tcPr>
            <w:tcW w:w="2924"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hint="eastAsia" w:ascii="Times New Roman" w:hAnsi="Times New Roman" w:cs="Times New Roman"/>
                <w:kern w:val="0"/>
                <w:szCs w:val="21"/>
              </w:rPr>
              <w:t>林草湿变化数据库检查、分发及汇总</w:t>
            </w:r>
          </w:p>
        </w:tc>
        <w:tc>
          <w:tcPr>
            <w:tcW w:w="1044" w:type="dxa"/>
          </w:tcPr>
          <w:p>
            <w:pPr>
              <w:adjustRightInd w:val="0"/>
              <w:snapToGrid w:val="0"/>
              <w:spacing w:before="62" w:beforeLines="20" w:after="62" w:afterLines="20" w:line="360" w:lineRule="auto"/>
              <w:jc w:val="center"/>
              <w:rPr>
                <w:rFonts w:ascii="Times New Roman" w:hAnsi="Times New Roman" w:cs="Times New Roman"/>
                <w:kern w:val="0"/>
                <w:szCs w:val="21"/>
              </w:rPr>
            </w:pPr>
            <w:r>
              <w:rPr>
                <w:rFonts w:hint="eastAsia" w:ascii="Times New Roman" w:hAnsi="Times New Roman" w:cs="Times New Roman"/>
                <w:kern w:val="0"/>
                <w:szCs w:val="21"/>
              </w:rPr>
              <w:t>1套</w:t>
            </w:r>
          </w:p>
        </w:tc>
        <w:tc>
          <w:tcPr>
            <w:tcW w:w="2977"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ascii="Times New Roman" w:hAnsi="Times New Roman" w:cs="Times New Roman"/>
                <w:kern w:val="0"/>
                <w:szCs w:val="21"/>
              </w:rPr>
              <w:t>详见</w:t>
            </w:r>
            <w:r>
              <w:rPr>
                <w:rFonts w:hint="eastAsia" w:ascii="Times New Roman" w:hAnsi="Times New Roman" w:cs="Times New Roman"/>
                <w:kern w:val="0"/>
                <w:szCs w:val="21"/>
              </w:rPr>
              <w:t>“技术要求”</w:t>
            </w:r>
          </w:p>
        </w:tc>
        <w:tc>
          <w:tcPr>
            <w:tcW w:w="1701"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ascii="Times New Roman" w:hAnsi="Times New Roman" w:cs="Times New Roman"/>
                <w:kern w:val="0"/>
                <w:szCs w:val="21"/>
              </w:rPr>
              <w:t>1</w:t>
            </w:r>
            <w:r>
              <w:rPr>
                <w:rFonts w:hint="eastAsia" w:ascii="Times New Roman" w:hAnsi="Times New Roman" w:cs="Times New Roman"/>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hint="eastAsia" w:ascii="Times New Roman" w:hAnsi="Times New Roman" w:cs="Times New Roman"/>
                <w:kern w:val="0"/>
                <w:szCs w:val="21"/>
              </w:rPr>
              <w:t>3</w:t>
            </w:r>
          </w:p>
        </w:tc>
        <w:tc>
          <w:tcPr>
            <w:tcW w:w="2924"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hint="eastAsia" w:ascii="Times New Roman" w:hAnsi="Times New Roman" w:cs="Times New Roman"/>
                <w:kern w:val="0"/>
                <w:szCs w:val="21"/>
              </w:rPr>
              <w:t>林草湿成果数据库生成、检查与分发</w:t>
            </w:r>
          </w:p>
        </w:tc>
        <w:tc>
          <w:tcPr>
            <w:tcW w:w="1044" w:type="dxa"/>
          </w:tcPr>
          <w:p>
            <w:pPr>
              <w:adjustRightInd w:val="0"/>
              <w:snapToGrid w:val="0"/>
              <w:spacing w:before="62" w:beforeLines="20" w:after="62" w:afterLines="20" w:line="360" w:lineRule="auto"/>
              <w:jc w:val="center"/>
              <w:rPr>
                <w:rFonts w:ascii="Times New Roman" w:hAnsi="Times New Roman" w:cs="Times New Roman"/>
                <w:kern w:val="0"/>
                <w:szCs w:val="21"/>
              </w:rPr>
            </w:pPr>
            <w:r>
              <w:rPr>
                <w:rFonts w:hint="eastAsia" w:ascii="Times New Roman" w:hAnsi="Times New Roman" w:cs="Times New Roman"/>
                <w:kern w:val="0"/>
                <w:szCs w:val="21"/>
              </w:rPr>
              <w:t>1套</w:t>
            </w:r>
          </w:p>
        </w:tc>
        <w:tc>
          <w:tcPr>
            <w:tcW w:w="2977"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ascii="Times New Roman" w:hAnsi="Times New Roman" w:cs="Times New Roman"/>
                <w:kern w:val="0"/>
                <w:szCs w:val="21"/>
              </w:rPr>
              <w:t>详见</w:t>
            </w:r>
            <w:r>
              <w:rPr>
                <w:rFonts w:hint="eastAsia" w:ascii="Times New Roman" w:hAnsi="Times New Roman" w:cs="Times New Roman"/>
                <w:kern w:val="0"/>
                <w:szCs w:val="21"/>
              </w:rPr>
              <w:t>“技术要求”</w:t>
            </w:r>
          </w:p>
        </w:tc>
        <w:tc>
          <w:tcPr>
            <w:tcW w:w="1701"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ascii="Times New Roman" w:hAnsi="Times New Roman" w:cs="Times New Roman"/>
                <w:kern w:val="0"/>
                <w:szCs w:val="21"/>
              </w:rPr>
              <w:t>1</w:t>
            </w:r>
            <w:r>
              <w:rPr>
                <w:rFonts w:hint="eastAsia" w:ascii="Times New Roman" w:hAnsi="Times New Roman" w:cs="Times New Roman"/>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hint="eastAsia" w:ascii="Times New Roman" w:hAnsi="Times New Roman" w:cs="Times New Roman"/>
                <w:kern w:val="0"/>
                <w:szCs w:val="21"/>
              </w:rPr>
              <w:t>4</w:t>
            </w:r>
          </w:p>
        </w:tc>
        <w:tc>
          <w:tcPr>
            <w:tcW w:w="2924"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hint="eastAsia" w:ascii="Times New Roman" w:hAnsi="Times New Roman" w:cs="Times New Roman"/>
                <w:kern w:val="0"/>
                <w:szCs w:val="21"/>
              </w:rPr>
              <w:t>林草湿数据汇总及成果生成</w:t>
            </w:r>
          </w:p>
        </w:tc>
        <w:tc>
          <w:tcPr>
            <w:tcW w:w="1044" w:type="dxa"/>
          </w:tcPr>
          <w:p>
            <w:pPr>
              <w:adjustRightInd w:val="0"/>
              <w:snapToGrid w:val="0"/>
              <w:spacing w:before="62" w:beforeLines="20" w:after="62" w:afterLines="20" w:line="360" w:lineRule="auto"/>
              <w:jc w:val="center"/>
              <w:rPr>
                <w:rFonts w:ascii="Times New Roman" w:hAnsi="Times New Roman" w:cs="Times New Roman"/>
                <w:kern w:val="0"/>
                <w:szCs w:val="21"/>
              </w:rPr>
            </w:pPr>
            <w:r>
              <w:rPr>
                <w:rFonts w:hint="eastAsia" w:ascii="Times New Roman" w:hAnsi="Times New Roman" w:cs="Times New Roman"/>
                <w:kern w:val="0"/>
                <w:szCs w:val="21"/>
              </w:rPr>
              <w:t>1套</w:t>
            </w:r>
          </w:p>
        </w:tc>
        <w:tc>
          <w:tcPr>
            <w:tcW w:w="2977"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ascii="Times New Roman" w:hAnsi="Times New Roman" w:cs="Times New Roman"/>
                <w:kern w:val="0"/>
                <w:szCs w:val="21"/>
              </w:rPr>
              <w:t>详见</w:t>
            </w:r>
            <w:r>
              <w:rPr>
                <w:rFonts w:hint="eastAsia" w:ascii="Times New Roman" w:hAnsi="Times New Roman" w:cs="Times New Roman"/>
                <w:kern w:val="0"/>
                <w:szCs w:val="21"/>
              </w:rPr>
              <w:t>“技术要求”</w:t>
            </w:r>
          </w:p>
        </w:tc>
        <w:tc>
          <w:tcPr>
            <w:tcW w:w="1701"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ascii="Times New Roman" w:hAnsi="Times New Roman" w:cs="Times New Roman"/>
                <w:kern w:val="0"/>
                <w:szCs w:val="21"/>
              </w:rPr>
              <w:t>1</w:t>
            </w:r>
            <w:r>
              <w:rPr>
                <w:rFonts w:hint="eastAsia" w:ascii="Times New Roman" w:hAnsi="Times New Roman" w:cs="Times New Roman"/>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hint="eastAsia" w:ascii="Times New Roman" w:hAnsi="Times New Roman" w:cs="Times New Roman"/>
                <w:kern w:val="0"/>
                <w:szCs w:val="21"/>
              </w:rPr>
              <w:t>5</w:t>
            </w:r>
          </w:p>
        </w:tc>
        <w:tc>
          <w:tcPr>
            <w:tcW w:w="2924"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hint="eastAsia" w:ascii="Times New Roman" w:hAnsi="Times New Roman" w:cs="Times New Roman"/>
                <w:kern w:val="0"/>
                <w:szCs w:val="21"/>
              </w:rPr>
              <w:t>数据检查汇总工具</w:t>
            </w:r>
          </w:p>
        </w:tc>
        <w:tc>
          <w:tcPr>
            <w:tcW w:w="1044" w:type="dxa"/>
          </w:tcPr>
          <w:p>
            <w:pPr>
              <w:adjustRightInd w:val="0"/>
              <w:snapToGrid w:val="0"/>
              <w:spacing w:before="62" w:beforeLines="20" w:after="62" w:afterLines="20" w:line="360" w:lineRule="auto"/>
              <w:jc w:val="center"/>
              <w:rPr>
                <w:rFonts w:ascii="Times New Roman" w:hAnsi="Times New Roman" w:cs="Times New Roman"/>
                <w:kern w:val="0"/>
                <w:szCs w:val="21"/>
              </w:rPr>
            </w:pPr>
            <w:r>
              <w:rPr>
                <w:rFonts w:hint="eastAsia" w:ascii="Times New Roman" w:hAnsi="Times New Roman" w:cs="Times New Roman"/>
                <w:kern w:val="0"/>
                <w:szCs w:val="21"/>
              </w:rPr>
              <w:t>1套</w:t>
            </w:r>
          </w:p>
        </w:tc>
        <w:tc>
          <w:tcPr>
            <w:tcW w:w="2977"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ascii="Times New Roman" w:hAnsi="Times New Roman" w:cs="Times New Roman"/>
                <w:kern w:val="0"/>
                <w:szCs w:val="21"/>
              </w:rPr>
              <w:t>详见</w:t>
            </w:r>
            <w:r>
              <w:rPr>
                <w:rFonts w:hint="eastAsia" w:ascii="Times New Roman" w:hAnsi="Times New Roman" w:cs="Times New Roman"/>
                <w:kern w:val="0"/>
                <w:szCs w:val="21"/>
              </w:rPr>
              <w:t>“技术要求”</w:t>
            </w:r>
          </w:p>
        </w:tc>
        <w:tc>
          <w:tcPr>
            <w:tcW w:w="1701" w:type="dxa"/>
            <w:vAlign w:val="center"/>
          </w:tcPr>
          <w:p>
            <w:pPr>
              <w:adjustRightInd w:val="0"/>
              <w:snapToGrid w:val="0"/>
              <w:spacing w:before="62" w:beforeLines="20" w:after="62" w:afterLines="20" w:line="360" w:lineRule="auto"/>
              <w:jc w:val="center"/>
              <w:rPr>
                <w:rFonts w:ascii="Times New Roman" w:hAnsi="Times New Roman" w:cs="Times New Roman"/>
                <w:kern w:val="0"/>
                <w:szCs w:val="21"/>
              </w:rPr>
            </w:pPr>
            <w:r>
              <w:rPr>
                <w:rFonts w:ascii="Times New Roman" w:hAnsi="Times New Roman" w:cs="Times New Roman"/>
                <w:kern w:val="0"/>
                <w:szCs w:val="21"/>
              </w:rPr>
              <w:t>1</w:t>
            </w:r>
            <w:r>
              <w:rPr>
                <w:rFonts w:hint="eastAsia" w:ascii="Times New Roman" w:hAnsi="Times New Roman" w:cs="Times New Roman"/>
                <w:kern w:val="0"/>
                <w:szCs w:val="21"/>
              </w:rPr>
              <w:t>项</w:t>
            </w:r>
          </w:p>
        </w:tc>
      </w:tr>
    </w:tbl>
    <w:p>
      <w:pPr>
        <w:spacing w:line="360" w:lineRule="auto"/>
        <w:jc w:val="left"/>
        <w:rPr>
          <w:rFonts w:ascii="Times New Roman" w:hAnsi="Times New Roman" w:cs="Times New Roman"/>
          <w:b/>
          <w:bCs/>
          <w:sz w:val="28"/>
          <w:szCs w:val="28"/>
        </w:rPr>
      </w:pPr>
      <w:r>
        <w:rPr>
          <w:rFonts w:ascii="Times New Roman" w:hAnsi="Times New Roman" w:cs="Times New Roman"/>
          <w:b/>
          <w:bCs/>
          <w:sz w:val="28"/>
          <w:szCs w:val="28"/>
        </w:rPr>
        <w:t>二、技术要求</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按照国家林业和草原局制定的《</w:t>
      </w:r>
      <w:r>
        <w:rPr>
          <w:rFonts w:ascii="Times New Roman" w:hAnsi="Times New Roman" w:cs="Times New Roman"/>
          <w:sz w:val="24"/>
        </w:rPr>
        <w:t>2022</w:t>
      </w:r>
      <w:r>
        <w:rPr>
          <w:rFonts w:hint="eastAsia" w:ascii="Times New Roman" w:hAnsi="Times New Roman" w:cs="Times New Roman"/>
          <w:sz w:val="24"/>
        </w:rPr>
        <w:t>年全国森林、草原、湿地调查监测技术规程》《</w:t>
      </w:r>
      <w:r>
        <w:rPr>
          <w:rFonts w:ascii="Times New Roman" w:hAnsi="Times New Roman" w:cs="Times New Roman"/>
          <w:sz w:val="24"/>
        </w:rPr>
        <w:t>2022</w:t>
      </w:r>
      <w:r>
        <w:rPr>
          <w:rFonts w:hint="eastAsia" w:ascii="Times New Roman" w:hAnsi="Times New Roman" w:cs="Times New Roman"/>
          <w:sz w:val="24"/>
        </w:rPr>
        <w:t>年全国森林草原湿地调查监测操作手册（试行）》《</w:t>
      </w:r>
      <w:r>
        <w:rPr>
          <w:rFonts w:ascii="Times New Roman" w:hAnsi="Times New Roman" w:cs="Times New Roman"/>
          <w:sz w:val="24"/>
        </w:rPr>
        <w:t>2022</w:t>
      </w:r>
      <w:r>
        <w:rPr>
          <w:rFonts w:hint="eastAsia" w:ascii="Times New Roman" w:hAnsi="Times New Roman" w:cs="Times New Roman"/>
          <w:sz w:val="24"/>
        </w:rPr>
        <w:t>年林草生态综合监测补充规定（国家级公益林部分）》以及陕西省林业局制定的《</w:t>
      </w:r>
      <w:r>
        <w:rPr>
          <w:rFonts w:ascii="Times New Roman" w:hAnsi="Times New Roman" w:cs="Times New Roman"/>
          <w:sz w:val="24"/>
        </w:rPr>
        <w:t>2022</w:t>
      </w:r>
      <w:r>
        <w:rPr>
          <w:rFonts w:hint="eastAsia" w:ascii="Times New Roman" w:hAnsi="Times New Roman" w:cs="Times New Roman"/>
          <w:sz w:val="24"/>
        </w:rPr>
        <w:t>年陕西省林草湿图斑监测技术操作细则》《2022年陕西省林草湿图斑监测操作办法》等文件中关于图斑监测的技术要求，完成下列工作：</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1、</w:t>
      </w:r>
      <w:r>
        <w:rPr>
          <w:rFonts w:hint="eastAsia" w:ascii="Times New Roman" w:hAnsi="Times New Roman" w:cs="Times New Roman"/>
          <w:b/>
          <w:bCs/>
          <w:sz w:val="24"/>
        </w:rPr>
        <w:t>本底数据库预处理、检查及分发</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收集本底资源小班数据、融合前小班数据、生态公益林数据整理、处理、检查与分发，具体要求如下：</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（1）数据库入库：将全省本底资源小班数据、融合前资源小班数据、国家级公益林图斑数据进行整理、汇总，并入库到数据库中。</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（2）数据分析：基于融合前小班、本底小班、国家公益林小班进行相关空间分析，提取差异并分析筛选出疑似错误图斑、属性缺失图斑、国家级公益林不一致图斑。</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（3）图斑分发：将</w:t>
      </w:r>
      <w:bookmarkStart w:id="16" w:name="_Hlk117853495"/>
      <w:r>
        <w:rPr>
          <w:rFonts w:hint="eastAsia" w:ascii="Times New Roman" w:hAnsi="Times New Roman" w:cs="Times New Roman"/>
          <w:sz w:val="24"/>
        </w:rPr>
        <w:t>疑似错误图斑、属性缺失图斑、国家级公益林不一致图斑</w:t>
      </w:r>
      <w:bookmarkEnd w:id="16"/>
      <w:r>
        <w:rPr>
          <w:rFonts w:hint="eastAsia" w:ascii="Times New Roman" w:hAnsi="Times New Roman" w:cs="Times New Roman"/>
          <w:sz w:val="24"/>
        </w:rPr>
        <w:t>按照县为单位形成数据包，分发至各县，用于县级单位核实工作。</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2、</w:t>
      </w:r>
      <w:r>
        <w:rPr>
          <w:rFonts w:hint="eastAsia" w:ascii="Times New Roman" w:hAnsi="Times New Roman" w:cs="Times New Roman"/>
          <w:b/>
          <w:bCs/>
          <w:sz w:val="24"/>
        </w:rPr>
        <w:t>林草湿变化数据库检查、分发及汇总</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 xml:space="preserve">完成全省林草湿变化数据库的图形与属性质量检查服务，并将结果反馈给区县进行修改，最终收集汇总，具体要求如下：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（1）核实图斑库拓扑检查：检查各县核实图斑成果是否存在重叠、多部件、细碎、跨村界等图形拓扑情况；</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核实图斑完整性检查：检查各县核实图斑成果是否覆盖到了所有省级下发的待核实图斑（疑似错误图斑、属性缺失图斑、国家级公益林不一致图斑）；检查各县核实图斑成果中涉及“疑似错误图斑、属性缺失图斑、国家级公益林不一致”的部分是否正确修改；</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（3）核实图斑属性检查：检查各县核实图斑成果是否符合国家核实图斑属性检查规则。</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（4）检查结果输出：将以上检查结果形成检查结果说明，反馈给各县级更新单位。</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5</w:t>
      </w:r>
      <w:r>
        <w:rPr>
          <w:rFonts w:hint="eastAsia" w:ascii="Times New Roman" w:hAnsi="Times New Roman" w:cs="Times New Roman"/>
          <w:sz w:val="24"/>
        </w:rPr>
        <w:t>）核实成果汇总：将各县核实图斑数据进行汇总并入库到数据库中，构建全省统一存储的核实成果库。</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3</w:t>
      </w:r>
      <w:r>
        <w:rPr>
          <w:rFonts w:hint="eastAsia" w:ascii="Times New Roman" w:hAnsi="Times New Roman" w:cs="Times New Roman"/>
          <w:b/>
          <w:bCs/>
          <w:sz w:val="24"/>
        </w:rPr>
        <w:t>、林草湿成果数据库生成、检查与分发</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利用全省林草湿变化数据库产出全省林草湿成果数据库，并提供该数据库的图形与属性质检，并将检查结果分发到区县，具体要求如下：</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）年度更新成果生成：将国家下发林草湿本底数据与核实成果数据进行叠加处理，形成陕西省2</w:t>
      </w:r>
      <w:r>
        <w:rPr>
          <w:rFonts w:ascii="Times New Roman" w:hAnsi="Times New Roman" w:cs="Times New Roman"/>
          <w:sz w:val="24"/>
        </w:rPr>
        <w:t>022</w:t>
      </w:r>
      <w:r>
        <w:rPr>
          <w:rFonts w:hint="eastAsia" w:ascii="Times New Roman" w:hAnsi="Times New Roman" w:cs="Times New Roman"/>
          <w:sz w:val="24"/>
        </w:rPr>
        <w:t>年林草湿成果库。</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（2）图形检查：对更新成果库进行重叠、缝隙、跨村界、细碎、多部件等拓扑检查，并提取错误问题反馈至县级单位进行数据修改。</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（3）属性检查：对更新成果按照国家成果图斑属性检查规则进行检查，并提取错误问题反馈至县级单位进行数据修改。</w:t>
      </w:r>
    </w:p>
    <w:p>
      <w:pPr>
        <w:spacing w:line="360" w:lineRule="auto"/>
        <w:ind w:firstLine="480" w:firstLineChars="200"/>
        <w:rPr>
          <w:rFonts w:ascii="Times New Roman" w:hAnsi="Times New Roman" w:cs="Times New Roman"/>
          <w:b/>
          <w:bCs/>
          <w:sz w:val="24"/>
        </w:rPr>
      </w:pPr>
      <w:r>
        <w:rPr>
          <w:rFonts w:ascii="Times New Roman" w:hAnsi="Times New Roman" w:cs="Times New Roman"/>
          <w:sz w:val="24"/>
        </w:rPr>
        <w:t xml:space="preserve"> </w:t>
      </w:r>
      <w:r>
        <w:rPr>
          <w:rFonts w:ascii="Times New Roman" w:hAnsi="Times New Roman" w:cs="Times New Roman"/>
          <w:b/>
          <w:bCs/>
          <w:sz w:val="24"/>
        </w:rPr>
        <w:t>4</w:t>
      </w:r>
      <w:r>
        <w:rPr>
          <w:rFonts w:hint="eastAsia" w:ascii="Times New Roman" w:hAnsi="Times New Roman" w:cs="Times New Roman"/>
          <w:b/>
          <w:bCs/>
          <w:sz w:val="24"/>
        </w:rPr>
        <w:t>、林草湿数据成果生成</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 xml:space="preserve">汇总林草湿数据库成果，并按照国家林业和草原局、陕西省林业局要求，进行统计成果及指标数据的生成，具体要求如下：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（1）按照国家图斑监测的要求，输出林草湿资源数据统计报表；</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（2）根据国家林业和草原局、陕西省林业局要求，对林草湿图斑监测数据进行相关处理，使数据成果符合国家和省级要求，并能够输出相关关键指标值。</w:t>
      </w:r>
    </w:p>
    <w:p>
      <w:pPr>
        <w:spacing w:line="360" w:lineRule="auto"/>
        <w:ind w:firstLine="480" w:firstLineChars="200"/>
        <w:rPr>
          <w:rFonts w:ascii="Times New Roman" w:hAnsi="Times New Roman" w:cs="Times New Roman"/>
          <w:sz w:val="24"/>
        </w:rPr>
      </w:pP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5</w:t>
      </w:r>
      <w:r>
        <w:rPr>
          <w:rFonts w:hint="eastAsia" w:ascii="Times New Roman" w:hAnsi="Times New Roman" w:cs="Times New Roman"/>
          <w:b/>
          <w:bCs/>
          <w:sz w:val="24"/>
        </w:rPr>
        <w:t>、检查汇总工具</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提供数据入库、汇总、检查及统计工具，为成果的汇总、检查和管理提供工具支撑。</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数据入库</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满足将省</w:t>
      </w:r>
      <w:r>
        <w:rPr>
          <w:rFonts w:hint="eastAsia" w:ascii="Times New Roman" w:hAnsi="Times New Roman" w:cs="Times New Roman"/>
          <w:sz w:val="24"/>
        </w:rPr>
        <w:t>级</w:t>
      </w:r>
      <w:r>
        <w:rPr>
          <w:rFonts w:ascii="Times New Roman" w:hAnsi="Times New Roman" w:cs="Times New Roman"/>
          <w:sz w:val="24"/>
        </w:rPr>
        <w:t>本底数据、国家下发变化图斑数据、</w:t>
      </w:r>
      <w:r>
        <w:rPr>
          <w:rFonts w:hint="eastAsia" w:ascii="Times New Roman" w:hAnsi="Times New Roman" w:cs="Times New Roman"/>
          <w:sz w:val="24"/>
        </w:rPr>
        <w:t>差异图斑、</w:t>
      </w:r>
      <w:r>
        <w:rPr>
          <w:rFonts w:ascii="Times New Roman" w:hAnsi="Times New Roman" w:cs="Times New Roman"/>
          <w:sz w:val="24"/>
        </w:rPr>
        <w:t>政区界数据导入到数据库中。</w:t>
      </w:r>
      <w:r>
        <w:rPr>
          <w:rFonts w:hint="eastAsia" w:ascii="Times New Roman" w:hAnsi="Times New Roman" w:cs="Times New Roman"/>
          <w:sz w:val="24"/>
        </w:rPr>
        <w:t>要求省级数据库能够支撑存储全省2</w:t>
      </w:r>
      <w:r>
        <w:rPr>
          <w:rFonts w:ascii="Times New Roman" w:hAnsi="Times New Roman" w:cs="Times New Roman"/>
          <w:sz w:val="24"/>
        </w:rPr>
        <w:t>000</w:t>
      </w:r>
      <w:r>
        <w:rPr>
          <w:rFonts w:hint="eastAsia" w:ascii="Times New Roman" w:hAnsi="Times New Roman" w:cs="Times New Roman"/>
          <w:sz w:val="24"/>
        </w:rPr>
        <w:t>万小班数据量</w:t>
      </w:r>
      <w:r>
        <w:rPr>
          <w:rFonts w:ascii="Times New Roman" w:hAnsi="Times New Roman" w:cs="Times New Roman"/>
          <w:sz w:val="24"/>
        </w:rPr>
        <w:t>。</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2</w:t>
      </w:r>
      <w:r>
        <w:rPr>
          <w:rFonts w:hint="eastAsia" w:ascii="Times New Roman" w:hAnsi="Times New Roman" w:cs="Times New Roman"/>
          <w:sz w:val="24"/>
        </w:rPr>
        <w:t>）核实图斑汇总</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实现将全省各县调查完成核实图斑汇总到省级数据库中，为数据检查和更新做准备。</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3</w:t>
      </w:r>
      <w:r>
        <w:rPr>
          <w:rFonts w:hint="eastAsia" w:ascii="Times New Roman" w:hAnsi="Times New Roman" w:cs="Times New Roman"/>
          <w:sz w:val="24"/>
        </w:rPr>
        <w:t>）核实图斑质检</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整合国家标准质检规则和陕西省自有逻辑规则，对各县完成的核实图斑成果进行数据质量检查工作，且能够满足省级用户自定义质检规则。</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4</w:t>
      </w:r>
      <w:r>
        <w:rPr>
          <w:rFonts w:hint="eastAsia" w:ascii="Times New Roman" w:hAnsi="Times New Roman" w:cs="Times New Roman"/>
          <w:sz w:val="24"/>
        </w:rPr>
        <w:t>）报表统计</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实现符合国家图斑监测技术规程要求的统计报表，能够进行</w:t>
      </w:r>
      <w:r>
        <w:rPr>
          <w:rFonts w:ascii="Times New Roman" w:hAnsi="Times New Roman" w:cs="Times New Roman"/>
          <w:sz w:val="24"/>
        </w:rPr>
        <w:t>省市县三级统计</w:t>
      </w:r>
      <w:r>
        <w:rPr>
          <w:rFonts w:hint="eastAsia" w:ascii="Times New Roman" w:hAnsi="Times New Roman" w:cs="Times New Roman"/>
          <w:sz w:val="24"/>
        </w:rPr>
        <w:t>，要求能够支撑2</w:t>
      </w:r>
      <w:r>
        <w:rPr>
          <w:rFonts w:ascii="Times New Roman" w:hAnsi="Times New Roman" w:cs="Times New Roman"/>
          <w:sz w:val="24"/>
        </w:rPr>
        <w:t>000</w:t>
      </w:r>
      <w:r>
        <w:rPr>
          <w:rFonts w:hint="eastAsia" w:ascii="Times New Roman" w:hAnsi="Times New Roman" w:cs="Times New Roman"/>
          <w:sz w:val="24"/>
        </w:rPr>
        <w:t>万小班数据量的统计</w:t>
      </w:r>
      <w:r>
        <w:rPr>
          <w:rFonts w:ascii="Times New Roman" w:hAnsi="Times New Roman" w:cs="Times New Roman"/>
          <w:sz w:val="24"/>
        </w:rPr>
        <w:t>。</w:t>
      </w:r>
      <w:r>
        <w:rPr>
          <w:rFonts w:hint="eastAsia" w:ascii="Times New Roman" w:hAnsi="Times New Roman" w:cs="Times New Roman"/>
          <w:sz w:val="24"/>
        </w:rPr>
        <w:t>省级用户可以根据需要，通过报表配置功能自行制作新的统计报表。</w:t>
      </w:r>
    </w:p>
    <w:p>
      <w:pPr>
        <w:pStyle w:val="2"/>
        <w:numPr>
          <w:ilvl w:val="0"/>
          <w:numId w:val="0"/>
        </w:numPr>
        <w:ind w:left="2520" w:leftChars="0"/>
        <w:rPr>
          <w:rFonts w:hint="eastAsia" w:ascii="Times New Roman" w:hAnsi="Times New Roman" w:cs="Times New Roman"/>
          <w:sz w:val="24"/>
        </w:rPr>
      </w:pPr>
    </w:p>
    <w:p>
      <w:pPr>
        <w:rPr>
          <w:rFonts w:hint="eastAsia" w:ascii="Times New Roman" w:hAnsi="Times New Roman" w:cs="Times New Roman"/>
          <w:sz w:val="24"/>
        </w:rPr>
      </w:pPr>
    </w:p>
    <w:p>
      <w:pPr>
        <w:pStyle w:val="2"/>
        <w:numPr>
          <w:ilvl w:val="0"/>
          <w:numId w:val="0"/>
        </w:numPr>
        <w:ind w:left="2520" w:leftChars="0"/>
        <w:rPr>
          <w:rFonts w:hint="eastAsia" w:ascii="Times New Roman" w:hAnsi="Times New Roman" w:cs="Times New Roman"/>
          <w:sz w:val="24"/>
        </w:rPr>
      </w:pPr>
    </w:p>
    <w:p>
      <w:pPr>
        <w:rPr>
          <w:rFonts w:hint="eastAsia" w:ascii="Times New Roman" w:hAnsi="Times New Roman" w:cs="Times New Roman"/>
          <w:sz w:val="24"/>
        </w:rPr>
      </w:pPr>
    </w:p>
    <w:p>
      <w:pPr>
        <w:pStyle w:val="2"/>
        <w:numPr>
          <w:ilvl w:val="0"/>
          <w:numId w:val="0"/>
        </w:numPr>
        <w:ind w:left="2520" w:leftChars="0"/>
        <w:rPr>
          <w:rFonts w:hint="eastAsia"/>
        </w:rPr>
      </w:pPr>
    </w:p>
    <w:p>
      <w:pPr>
        <w:rPr>
          <w:rFonts w:hint="eastAsia" w:ascii="Times New Roman" w:hAnsi="Times New Roman" w:cs="Times New Roman"/>
          <w:sz w:val="24"/>
        </w:rPr>
      </w:pPr>
    </w:p>
    <w:p>
      <w:pPr>
        <w:pStyle w:val="2"/>
        <w:numPr>
          <w:ilvl w:val="0"/>
          <w:numId w:val="0"/>
        </w:numPr>
        <w:ind w:left="2520" w:leftChars="0"/>
        <w:rPr>
          <w:rFonts w:hint="eastAsia" w:ascii="Times New Roman" w:hAnsi="Times New Roman" w:cs="Times New Roman"/>
          <w:sz w:val="24"/>
        </w:rPr>
      </w:pPr>
    </w:p>
    <w:p>
      <w:pPr>
        <w:rPr>
          <w:rFonts w:hint="eastAsia" w:ascii="Times New Roman" w:hAnsi="Times New Roman" w:cs="Times New Roman"/>
          <w:sz w:val="24"/>
        </w:rPr>
      </w:pPr>
    </w:p>
    <w:p>
      <w:pPr>
        <w:pStyle w:val="2"/>
        <w:numPr>
          <w:ilvl w:val="0"/>
          <w:numId w:val="0"/>
        </w:numPr>
        <w:ind w:left="2520" w:leftChars="0"/>
        <w:rPr>
          <w:rFonts w:hint="eastAsia" w:ascii="Times New Roman" w:hAnsi="Times New Roman" w:cs="Times New Roman"/>
          <w:sz w:val="24"/>
        </w:rPr>
      </w:pPr>
    </w:p>
    <w:p>
      <w:pPr>
        <w:rPr>
          <w:rFonts w:hint="eastAsia" w:ascii="Times New Roman" w:hAnsi="Times New Roman" w:cs="Times New Roman"/>
          <w:sz w:val="24"/>
        </w:rPr>
      </w:pPr>
    </w:p>
    <w:p>
      <w:pPr>
        <w:pStyle w:val="2"/>
        <w:numPr>
          <w:ilvl w:val="0"/>
          <w:numId w:val="0"/>
        </w:numPr>
        <w:ind w:left="2520" w:leftChars="0"/>
        <w:rPr>
          <w:rFonts w:hint="eastAsia"/>
        </w:rPr>
      </w:pPr>
    </w:p>
    <w:p>
      <w:pPr>
        <w:pStyle w:val="2"/>
        <w:numPr>
          <w:ilvl w:val="0"/>
          <w:numId w:val="0"/>
        </w:numPr>
        <w:ind w:left="2520" w:leftChars="0"/>
      </w:pPr>
    </w:p>
    <w:p>
      <w:pPr>
        <w:spacing w:line="360" w:lineRule="auto"/>
        <w:ind w:firstLine="480" w:firstLineChars="200"/>
        <w:rPr>
          <w:rFonts w:ascii="Times New Roman" w:hAnsi="Times New Roman" w:cs="Times New Roman"/>
          <w:sz w:val="24"/>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spacing w:line="360" w:lineRule="auto"/>
        <w:jc w:val="center"/>
        <w:outlineLvl w:val="0"/>
        <w:rPr>
          <w:rFonts w:hint="eastAsia" w:ascii="Times New Roman" w:hAnsi="Times New Roman" w:cs="Times New Roman"/>
          <w:b/>
          <w:bCs/>
          <w:kern w:val="44"/>
          <w:sz w:val="32"/>
          <w:szCs w:val="32"/>
          <w:lang w:val="en-US" w:eastAsia="zh-CN" w:bidi="ar-SA"/>
        </w:rPr>
      </w:pPr>
      <w:bookmarkStart w:id="17" w:name="_Toc19247"/>
      <w:bookmarkStart w:id="18" w:name="_Toc2862"/>
      <w:r>
        <w:rPr>
          <w:rFonts w:hint="eastAsia" w:ascii="Times New Roman" w:hAnsi="Times New Roman" w:cs="Times New Roman"/>
          <w:b/>
          <w:bCs/>
          <w:kern w:val="44"/>
          <w:sz w:val="32"/>
          <w:szCs w:val="32"/>
          <w:lang w:val="en-US" w:eastAsia="zh-CN" w:bidi="ar-SA"/>
        </w:rPr>
        <w:t>第五章   商务要求</w:t>
      </w:r>
      <w:bookmarkEnd w:id="17"/>
      <w:bookmarkEnd w:id="18"/>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sz w:val="24"/>
          <w:szCs w:val="24"/>
          <w:highlight w:val="none"/>
        </w:rPr>
      </w:pPr>
      <w:r>
        <w:rPr>
          <w:rFonts w:hint="eastAsia" w:ascii="宋体" w:hAnsi="宋体" w:eastAsia="宋体" w:cs="宋体"/>
          <w:b/>
          <w:bCs/>
          <w:color w:val="000000"/>
          <w:kern w:val="0"/>
          <w:sz w:val="24"/>
          <w:szCs w:val="24"/>
          <w:lang w:val="en-US" w:eastAsia="zh-CN" w:bidi="ar"/>
        </w:rPr>
        <w:t>1、</w:t>
      </w:r>
      <w:r>
        <w:rPr>
          <w:rFonts w:hint="eastAsia" w:ascii="宋体" w:hAnsi="宋体" w:cs="宋体"/>
          <w:b/>
          <w:bCs/>
          <w:color w:val="000000"/>
          <w:kern w:val="0"/>
          <w:sz w:val="24"/>
          <w:szCs w:val="24"/>
          <w:lang w:val="en-US" w:eastAsia="zh-CN" w:bidi="ar"/>
        </w:rPr>
        <w:t>服务标准</w:t>
      </w:r>
      <w:r>
        <w:rPr>
          <w:rFonts w:hint="eastAsia" w:ascii="宋体" w:hAnsi="宋体" w:eastAsia="宋体" w:cs="宋体"/>
          <w:b/>
          <w:bCs/>
          <w:color w:val="000000"/>
          <w:kern w:val="0"/>
          <w:sz w:val="24"/>
          <w:szCs w:val="24"/>
          <w:lang w:val="en-US" w:eastAsia="zh-CN" w:bidi="ar"/>
        </w:rPr>
        <w:t>：</w:t>
      </w:r>
      <w:r>
        <w:rPr>
          <w:rFonts w:hint="eastAsia" w:ascii="宋体" w:hAnsi="宋体" w:eastAsia="宋体" w:cs="宋体"/>
          <w:b w:val="0"/>
          <w:bCs w:val="0"/>
          <w:kern w:val="2"/>
          <w:sz w:val="24"/>
          <w:szCs w:val="24"/>
          <w:highlight w:val="none"/>
          <w:vertAlign w:val="baseline"/>
          <w:lang w:val="en-US" w:eastAsia="zh-CN" w:bidi="ar-SA"/>
        </w:rPr>
        <w:t>组织专家验收，数据通过逻辑检查，被国家相关部门认可接收</w:t>
      </w:r>
      <w:r>
        <w:rPr>
          <w:rFonts w:hint="eastAsia" w:ascii="宋体" w:hAnsi="宋体" w:cs="宋体"/>
          <w:b w:val="0"/>
          <w:bCs w:val="0"/>
          <w:kern w:val="2"/>
          <w:sz w:val="24"/>
          <w:szCs w:val="24"/>
          <w:highlight w:val="none"/>
          <w:vertAlign w:val="baseli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sz w:val="24"/>
          <w:szCs w:val="24"/>
        </w:rPr>
      </w:pPr>
      <w:r>
        <w:rPr>
          <w:rFonts w:hint="eastAsia" w:ascii="宋体" w:hAnsi="宋体" w:cs="宋体"/>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、交货地点：</w:t>
      </w:r>
      <w:r>
        <w:rPr>
          <w:rFonts w:hint="eastAsia" w:ascii="宋体" w:hAnsi="宋体" w:eastAsia="宋体" w:cs="宋体"/>
          <w:color w:val="000000"/>
          <w:kern w:val="0"/>
          <w:sz w:val="24"/>
          <w:szCs w:val="24"/>
          <w:lang w:val="en-US" w:eastAsia="zh-CN" w:bidi="ar"/>
        </w:rPr>
        <w:t xml:space="preserve">采购人指定地点。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color w:val="000000"/>
          <w:kern w:val="0"/>
          <w:sz w:val="24"/>
          <w:szCs w:val="24"/>
          <w:lang w:val="en-US" w:eastAsia="zh-CN" w:bidi="ar"/>
        </w:rPr>
      </w:pPr>
      <w:r>
        <w:rPr>
          <w:rFonts w:hint="eastAsia" w:ascii="宋体" w:hAnsi="宋体" w:cs="宋体"/>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w:t>
      </w:r>
      <w:r>
        <w:rPr>
          <w:rFonts w:hint="eastAsia" w:ascii="宋体" w:hAnsi="宋体" w:cs="宋体"/>
          <w:b/>
          <w:bCs/>
          <w:color w:val="000000"/>
          <w:kern w:val="0"/>
          <w:sz w:val="24"/>
          <w:szCs w:val="24"/>
          <w:lang w:val="en-US" w:eastAsia="zh-CN" w:bidi="ar"/>
        </w:rPr>
        <w:t>项目交付期限</w:t>
      </w:r>
      <w:r>
        <w:rPr>
          <w:rFonts w:hint="eastAsia" w:ascii="宋体" w:hAnsi="宋体" w:eastAsia="宋体" w:cs="宋体"/>
          <w:b/>
          <w:bCs/>
          <w:color w:val="000000"/>
          <w:kern w:val="0"/>
          <w:sz w:val="24"/>
          <w:szCs w:val="24"/>
          <w:lang w:val="en-US" w:eastAsia="zh-CN" w:bidi="ar"/>
        </w:rPr>
        <w:t>：</w:t>
      </w:r>
      <w:r>
        <w:rPr>
          <w:rFonts w:hint="eastAsia" w:ascii="宋体" w:hAnsi="宋体" w:cs="宋体"/>
          <w:color w:val="000000"/>
          <w:kern w:val="0"/>
          <w:sz w:val="24"/>
          <w:szCs w:val="24"/>
          <w:lang w:val="en-US" w:eastAsia="zh-CN" w:bidi="ar"/>
        </w:rPr>
        <w:t>90天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sz w:val="24"/>
          <w:szCs w:val="24"/>
        </w:rPr>
      </w:pPr>
      <w:r>
        <w:rPr>
          <w:rFonts w:hint="eastAsia" w:ascii="宋体" w:hAnsi="宋体" w:cs="宋体"/>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、合同价款：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合同总价包括：从项目实施至验收合格等所有其他有关各项的含税费用。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sz w:val="24"/>
          <w:szCs w:val="24"/>
        </w:rPr>
      </w:pPr>
      <w:r>
        <w:rPr>
          <w:rFonts w:hint="eastAsia" w:ascii="宋体" w:hAnsi="宋体" w:cs="宋体"/>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、付款方式：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.1 付款方式：供应商自报。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.2 支付方式：银行转账。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sz w:val="24"/>
          <w:szCs w:val="24"/>
        </w:rPr>
      </w:pPr>
      <w:r>
        <w:rPr>
          <w:rFonts w:hint="eastAsia" w:ascii="宋体" w:hAnsi="宋体" w:cs="宋体"/>
          <w:b/>
          <w:bCs/>
          <w:color w:val="000000"/>
          <w:kern w:val="0"/>
          <w:sz w:val="24"/>
          <w:szCs w:val="24"/>
          <w:lang w:val="en-US" w:eastAsia="zh-CN" w:bidi="ar"/>
        </w:rPr>
        <w:t>6</w:t>
      </w:r>
      <w:r>
        <w:rPr>
          <w:rFonts w:hint="eastAsia" w:ascii="宋体" w:hAnsi="宋体" w:eastAsia="宋体" w:cs="宋体"/>
          <w:b/>
          <w:bCs/>
          <w:color w:val="000000"/>
          <w:kern w:val="0"/>
          <w:sz w:val="24"/>
          <w:szCs w:val="24"/>
          <w:lang w:val="en-US" w:eastAsia="zh-CN" w:bidi="ar"/>
        </w:rPr>
        <w:t xml:space="preserve">、项目检验与验收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.1 中标供应商向采购人提交项目实施过程中的所有资料。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.2 验收须以合同、磋商文件及磋商响应文件、澄清及国家相应的标准、规范等为依据。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sz w:val="24"/>
          <w:szCs w:val="24"/>
        </w:rPr>
      </w:pPr>
      <w:r>
        <w:rPr>
          <w:rFonts w:hint="eastAsia" w:ascii="宋体" w:hAnsi="宋体" w:cs="宋体"/>
          <w:b/>
          <w:bCs/>
          <w:color w:val="000000"/>
          <w:kern w:val="0"/>
          <w:sz w:val="24"/>
          <w:szCs w:val="24"/>
          <w:lang w:val="en-US" w:eastAsia="zh-CN" w:bidi="ar"/>
        </w:rPr>
        <w:t>7</w:t>
      </w:r>
      <w:r>
        <w:rPr>
          <w:rFonts w:hint="eastAsia" w:ascii="宋体" w:hAnsi="宋体" w:eastAsia="宋体" w:cs="宋体"/>
          <w:b/>
          <w:bCs/>
          <w:color w:val="000000"/>
          <w:kern w:val="0"/>
          <w:sz w:val="24"/>
          <w:szCs w:val="24"/>
          <w:lang w:val="en-US" w:eastAsia="zh-CN" w:bidi="ar"/>
        </w:rPr>
        <w:t xml:space="preserve">、合同的变更、中止、终止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合同一经签订，不得擅自变更、中止或者终止合同。对确需变更、调整或者中止、终止合同的，由双方协商解决。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sz w:val="24"/>
          <w:szCs w:val="24"/>
        </w:rPr>
      </w:pPr>
      <w:r>
        <w:rPr>
          <w:rFonts w:hint="eastAsia" w:ascii="宋体" w:hAnsi="宋体" w:cs="宋体"/>
          <w:b/>
          <w:bCs/>
          <w:color w:val="000000"/>
          <w:kern w:val="0"/>
          <w:sz w:val="24"/>
          <w:szCs w:val="24"/>
          <w:lang w:val="en-US" w:eastAsia="zh-CN" w:bidi="ar"/>
        </w:rPr>
        <w:t>8</w:t>
      </w:r>
      <w:r>
        <w:rPr>
          <w:rFonts w:hint="eastAsia" w:ascii="宋体" w:hAnsi="宋体" w:eastAsia="宋体" w:cs="宋体"/>
          <w:b/>
          <w:bCs/>
          <w:color w:val="000000"/>
          <w:kern w:val="0"/>
          <w:sz w:val="24"/>
          <w:szCs w:val="24"/>
          <w:lang w:val="en-US" w:eastAsia="zh-CN" w:bidi="ar"/>
        </w:rPr>
        <w:t xml:space="preserve">、合同争议的处理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合同在履行过程中发生的争议，当事人双方应协商解决，协商达不成一致时，可向采购方所在地仲裁委员会申请仲裁或者向人民法院提请诉讼。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sz w:val="24"/>
          <w:szCs w:val="24"/>
        </w:rPr>
      </w:pPr>
      <w:r>
        <w:rPr>
          <w:rFonts w:hint="eastAsia" w:ascii="宋体" w:hAnsi="宋体" w:cs="宋体"/>
          <w:b/>
          <w:bCs/>
          <w:color w:val="000000"/>
          <w:kern w:val="0"/>
          <w:sz w:val="24"/>
          <w:szCs w:val="24"/>
          <w:lang w:val="en-US" w:eastAsia="zh-CN" w:bidi="ar"/>
        </w:rPr>
        <w:t>9</w:t>
      </w:r>
      <w:r>
        <w:rPr>
          <w:rFonts w:hint="eastAsia" w:ascii="宋体" w:hAnsi="宋体" w:eastAsia="宋体" w:cs="宋体"/>
          <w:b/>
          <w:bCs/>
          <w:color w:val="000000"/>
          <w:kern w:val="0"/>
          <w:sz w:val="24"/>
          <w:szCs w:val="24"/>
          <w:lang w:val="en-US" w:eastAsia="zh-CN" w:bidi="ar"/>
        </w:rPr>
        <w:t xml:space="preserve">、违约责任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 xml:space="preserve">.1 依据《中华人民共和国合同法》、《中华人民共和国政府采购法》的相关条款和本合同约定的相关条款执行。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.2 中标供应商未按合同要求履行，不符合磋商文件</w:t>
      </w:r>
      <w:r>
        <w:rPr>
          <w:rFonts w:hint="eastAsia" w:ascii="宋体" w:hAnsi="宋体" w:cs="宋体"/>
          <w:color w:val="000000"/>
          <w:kern w:val="0"/>
          <w:sz w:val="24"/>
          <w:szCs w:val="24"/>
          <w:lang w:val="en-US" w:eastAsia="zh-CN" w:bidi="ar"/>
        </w:rPr>
        <w:t>采购</w:t>
      </w:r>
      <w:r>
        <w:rPr>
          <w:rFonts w:hint="eastAsia" w:ascii="宋体" w:hAnsi="宋体" w:eastAsia="宋体" w:cs="宋体"/>
          <w:color w:val="000000"/>
          <w:kern w:val="0"/>
          <w:sz w:val="24"/>
          <w:szCs w:val="24"/>
          <w:lang w:val="en-US" w:eastAsia="zh-CN" w:bidi="ar"/>
        </w:rPr>
        <w:t>需求，中标供应商必须无条件</w:t>
      </w:r>
      <w:r>
        <w:rPr>
          <w:rFonts w:hint="eastAsia" w:ascii="宋体" w:hAnsi="宋体" w:cs="宋体"/>
          <w:color w:val="000000"/>
          <w:kern w:val="0"/>
          <w:sz w:val="24"/>
          <w:szCs w:val="24"/>
          <w:lang w:val="en-US" w:eastAsia="zh-CN" w:bidi="ar"/>
        </w:rPr>
        <w:t>调整服务方案</w:t>
      </w:r>
      <w:r>
        <w:rPr>
          <w:rFonts w:hint="eastAsia" w:ascii="宋体" w:hAnsi="宋体" w:eastAsia="宋体" w:cs="宋体"/>
          <w:color w:val="000000"/>
          <w:kern w:val="0"/>
          <w:sz w:val="24"/>
          <w:szCs w:val="24"/>
          <w:lang w:val="en-US" w:eastAsia="zh-CN" w:bidi="ar"/>
        </w:rPr>
        <w:t>，提高技术，完善质量，否则，采购人有权终止合同，并对中标供应商的违约行为进行追究并依法向中标供应商进行经济索赔。</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spacing w:line="360" w:lineRule="auto"/>
        <w:jc w:val="center"/>
        <w:outlineLvl w:val="0"/>
        <w:rPr>
          <w:rFonts w:hint="eastAsia" w:ascii="Times New Roman" w:hAnsi="Times New Roman" w:cs="Times New Roman"/>
          <w:b/>
          <w:bCs/>
          <w:kern w:val="44"/>
          <w:sz w:val="32"/>
          <w:szCs w:val="32"/>
          <w:lang w:val="en-US" w:eastAsia="zh-CN" w:bidi="ar-SA"/>
        </w:rPr>
      </w:pPr>
      <w:bookmarkStart w:id="19" w:name="_Toc1798"/>
      <w:bookmarkStart w:id="20" w:name="_Toc16512"/>
      <w:r>
        <w:rPr>
          <w:rFonts w:hint="eastAsia" w:ascii="Times New Roman" w:hAnsi="Times New Roman" w:cs="Times New Roman"/>
          <w:b/>
          <w:bCs/>
          <w:kern w:val="44"/>
          <w:sz w:val="32"/>
          <w:szCs w:val="32"/>
          <w:lang w:val="en-US" w:eastAsia="zh-CN" w:bidi="ar-SA"/>
        </w:rPr>
        <w:t>第六章   合同主要条款</w:t>
      </w:r>
      <w:bookmarkEnd w:id="19"/>
      <w:bookmarkEnd w:id="2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依据《中华人民共和国合同法》、《中华人民共和国政府采购法》与项目行业有关的法律法规，以及采购项目（项目编号：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的《竞争性磋商文件》，乙方的《磋商响应文件》及《成交通知书》，甲、乙双方同意签订本合同。详细技术说明及其他有关合同项目的特定信息由合同附件予以说明，合同附件及本项目的《竞争性磋商文件》、《磋商响应文件》、《成交通知书》等均为本合同的组成部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第一条 项目基本情况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eastAsia="zh-CN"/>
        </w:rPr>
      </w:pPr>
      <w:r>
        <w:rPr>
          <w:rFonts w:hint="eastAsia" w:ascii="宋体" w:hAnsi="宋体" w:eastAsia="宋体" w:cs="宋体"/>
          <w:color w:val="000000"/>
          <w:kern w:val="0"/>
          <w:sz w:val="24"/>
          <w:szCs w:val="24"/>
          <w:lang w:val="en-US" w:eastAsia="zh-CN" w:bidi="ar"/>
        </w:rPr>
        <w:t>本项目内容为</w:t>
      </w:r>
      <w:r>
        <w:rPr>
          <w:rFonts w:hint="eastAsia" w:ascii="宋体" w:hAnsi="宋体" w:cs="宋体"/>
          <w:sz w:val="24"/>
          <w:szCs w:val="24"/>
          <w:lang w:val="en-US" w:eastAsia="zh-CN"/>
        </w:rPr>
        <w:t xml:space="preserve">: </w:t>
      </w:r>
      <w:r>
        <w:rPr>
          <w:rFonts w:hint="eastAsia" w:ascii="宋体" w:hAnsi="宋体" w:cs="宋体"/>
          <w:sz w:val="24"/>
          <w:szCs w:val="24"/>
          <w:lang w:eastAsia="zh-CN"/>
        </w:rPr>
        <w:t>陕西省森林草原湿地综合监测项目林草湿图斑监测专题数据库数据处理服务</w:t>
      </w:r>
      <w:r>
        <w:rPr>
          <w:rFonts w:hint="eastAsia" w:ascii="宋体" w:hAnsi="宋体" w:cs="宋体"/>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sz w:val="24"/>
          <w:szCs w:val="24"/>
          <w:lang w:eastAsia="zh-CN"/>
        </w:rPr>
      </w:pPr>
      <w:r>
        <w:rPr>
          <w:rFonts w:hint="eastAsia" w:ascii="宋体" w:hAnsi="宋体" w:cs="宋体"/>
          <w:b/>
          <w:bCs/>
          <w:sz w:val="24"/>
          <w:szCs w:val="24"/>
          <w:lang w:val="en-US" w:eastAsia="zh-CN"/>
        </w:rPr>
        <w:t>第二条 合同期限</w:t>
      </w:r>
      <w:r>
        <w:rPr>
          <w:rFonts w:hint="eastAsia" w:ascii="宋体" w:hAnsi="宋体" w:cs="宋体"/>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第三条 服务内容与服务标准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1、服务内容: </w:t>
      </w:r>
      <w:r>
        <w:rPr>
          <w:rFonts w:hint="eastAsia" w:ascii="宋体" w:hAnsi="宋体" w:cs="宋体"/>
          <w:sz w:val="24"/>
          <w:szCs w:val="24"/>
          <w:lang w:eastAsia="zh-CN"/>
        </w:rPr>
        <w:t>陕西省森林草原湿地综合监测项目林草湿图斑监测专题数据库数据处理服务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kern w:val="2"/>
          <w:sz w:val="24"/>
          <w:szCs w:val="24"/>
          <w:highlight w:val="none"/>
          <w:vertAlign w:val="baseline"/>
          <w:lang w:val="en-US" w:eastAsia="zh-CN" w:bidi="ar-SA"/>
        </w:rPr>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服务</w:t>
      </w:r>
      <w:r>
        <w:rPr>
          <w:rFonts w:hint="eastAsia" w:ascii="宋体" w:hAnsi="宋体" w:eastAsia="宋体" w:cs="宋体"/>
          <w:color w:val="000000"/>
          <w:kern w:val="0"/>
          <w:sz w:val="24"/>
          <w:szCs w:val="24"/>
          <w:highlight w:val="none"/>
          <w:lang w:val="en-US" w:eastAsia="zh-CN" w:bidi="ar"/>
        </w:rPr>
        <w:t>标准</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b w:val="0"/>
          <w:bCs w:val="0"/>
          <w:kern w:val="2"/>
          <w:sz w:val="24"/>
          <w:szCs w:val="24"/>
          <w:highlight w:val="none"/>
          <w:vertAlign w:val="baseline"/>
          <w:lang w:val="en-US" w:eastAsia="zh-CN" w:bidi="ar-SA"/>
        </w:rPr>
        <w:t>组织专家验收，数据通过逻辑检查，被国家相关部门认可接收</w:t>
      </w:r>
      <w:r>
        <w:rPr>
          <w:rFonts w:hint="eastAsia" w:ascii="宋体" w:hAnsi="宋体" w:cs="宋体"/>
          <w:b w:val="0"/>
          <w:bCs w:val="0"/>
          <w:kern w:val="2"/>
          <w:sz w:val="24"/>
          <w:szCs w:val="24"/>
          <w:highlight w:val="none"/>
          <w:vertAlign w:val="baseli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3、</w:t>
      </w:r>
      <w:r>
        <w:rPr>
          <w:rFonts w:hint="eastAsia" w:ascii="宋体" w:hAnsi="宋体" w:cs="宋体"/>
          <w:color w:val="000000"/>
          <w:kern w:val="0"/>
          <w:sz w:val="24"/>
          <w:szCs w:val="24"/>
          <w:lang w:val="en-US" w:eastAsia="zh-CN" w:bidi="ar"/>
        </w:rPr>
        <w:t>项目交付期限</w:t>
      </w:r>
      <w:r>
        <w:rPr>
          <w:rFonts w:hint="eastAsia" w:ascii="宋体" w:hAnsi="宋体" w:eastAsia="宋体" w:cs="宋体"/>
          <w:color w:val="000000"/>
          <w:kern w:val="0"/>
          <w:sz w:val="24"/>
          <w:szCs w:val="24"/>
          <w:lang w:val="en-US" w:eastAsia="zh-CN" w:bidi="ar"/>
        </w:rPr>
        <w:t>：</w:t>
      </w:r>
      <w:r>
        <w:rPr>
          <w:rFonts w:hint="eastAsia"/>
          <w:sz w:val="24"/>
          <w:szCs w:val="24"/>
          <w:lang w:val="en-US" w:eastAsia="zh-CN"/>
        </w:rPr>
        <w:t>90天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u w:val="single"/>
        </w:rPr>
      </w:pPr>
      <w:r>
        <w:rPr>
          <w:rFonts w:hint="eastAsia" w:ascii="宋体" w:hAnsi="宋体" w:eastAsia="宋体" w:cs="宋体"/>
          <w:b/>
          <w:bCs/>
          <w:color w:val="000000"/>
          <w:kern w:val="0"/>
          <w:sz w:val="24"/>
          <w:szCs w:val="24"/>
          <w:lang w:val="en-US" w:eastAsia="zh-CN" w:bidi="ar"/>
        </w:rPr>
        <w:t xml:space="preserve">第四条 服务费支付方式: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第五条 知识产权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乙方应保证所提供的服务或其任何一部分均不会侵犯任何第三方的专利权、商标权或著作权。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第六条 无产权瑕疵条款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乙方保证所提供的服务的所有权完全属于乙方且无任何抵押、查封等产权瑕疵。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如有产权瑕疵的，视为乙方违约。乙方应负担由此而产生的一切损失。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第七条 甲方的权利和义务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2、甲方有权依据双方签订的考评办法对乙方提供的服务进行定期考评。当考评结果未达到标准时，有权依据考评办法约定的数额扣除履约保证金。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3、负责检查监督乙方管理工作的实施及制度的执行情况。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4、根据本合同规定，按时向乙方支付应付服务费用。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5、国家法律、法规所规定由甲方承担的其它责任。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第八条 乙方的权利和义务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1、对本合同规定的委托服务范围内的项目享有管理权及服务义务。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2、根据本合同的规定向甲方收取相关服务费用，并有权在本项目管理范围内管理及合理使用。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3、及时向甲方通告本项目服务范围内有关服务的重大事项，及时配合处理投诉。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4、接受项目行业管理部门及政府有关部门的指导，接受甲方的监督。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5、国家法律、法规所规定由乙方承担的其它责任。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第九条 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甲乙双方必须遵守本合同并执行合同中的各项规定，保证本合同的正常履行。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1、任何一方无故解除合同或有违反本合同规定的其他情形，均属于违约行为，应承担赔偿责任。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2、乙方迟延交付项目或在约定时间内交付项目不符合要求的，应当承担按每日合同总价款</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%违约金，超过甲方允许的期间的，甲方有权解除合同，并要求乙方支付合同总价款</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%的违约金。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3、如因乙方工作质量达不到本合同、磋商文件及乙方响应磋商文件的约定要求时，甲方有权解除合同，并要求其支付合同总价款</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%的违约金，若因此影响项目进度和造成社会不良影响的，给国家、甲方造成损失的，乙方应当负赔偿责任。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如因乙方工作人员在履行职务过程中的的疏忽、失职、过错等故意或者过失原因给甲方及第三方造成损失或侵害，乙方对此均应承担全部的赔偿责任，若因此给甲方造成损失，乙方应当赔偿，同时甲方有权解除合同，并要求其支付合同总价款</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%的违约金。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第十条 不可抗力事件处理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1、在合同有效期内，任何一方因不可抗力事件导致不能履行合同，则合同履行期可延长，其延长期与不可抗力影响期相同。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2、不可抗力事件发生后，应立即通知对方，并寄送有关权威机构出具的证明。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3、不可抗力事件延续</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天以上，双方应通过友好协商，确定是否继续履行合同。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第十一条 解决合同纠纷的方式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1、在执行本合同中发生的或与本合同有关的争端，双方应通过友好协商解决，经协商不能达成协议时，应提交甲方所在地人民法院。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第十二条 合同生效及其他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1、合同经双方法定代表人或授权委托代理人签字并加盖单位公章后生效。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2、合同执行中涉及采购资金和采购内容修改或补充的，须经审批，并签书面补充协议报备案，方可作为主合同不可分割的一部分。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3、本合同一式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份，自双方签章之日起起效。甲方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份，乙方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份(回执采购代理机构 1 份)，具有同等法律效力。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第十三条 附件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1、磋商文件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2、磋商响应文件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3、修改澄清文件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4、成交通知书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5、其他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甲方： （盖章）                          乙方：（盖章）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法定代表人（授权代表）：                 法定代表人（授权代表）：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地址：                                   地址：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开户银行：                               开户银行：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账号：                                   账号：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电话：                                   电话：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传真：                                   传真：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签约日期：     年    月    日         签约日期：     年    月    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jc w:val="center"/>
        <w:outlineLvl w:val="0"/>
        <w:rPr>
          <w:rFonts w:hint="eastAsia" w:ascii="Times New Roman" w:hAnsi="Times New Roman" w:cs="Times New Roman"/>
          <w:b/>
          <w:bCs/>
          <w:kern w:val="44"/>
          <w:sz w:val="32"/>
          <w:szCs w:val="32"/>
          <w:lang w:val="en-US" w:eastAsia="zh-CN" w:bidi="ar-SA"/>
        </w:rPr>
      </w:pPr>
      <w:bookmarkStart w:id="21" w:name="_Toc2794"/>
      <w:bookmarkStart w:id="22" w:name="_Toc27673"/>
      <w:r>
        <w:rPr>
          <w:rFonts w:hint="eastAsia" w:ascii="Times New Roman" w:hAnsi="Times New Roman" w:cs="Times New Roman"/>
          <w:b/>
          <w:bCs/>
          <w:kern w:val="44"/>
          <w:sz w:val="32"/>
          <w:szCs w:val="32"/>
          <w:lang w:val="en-US" w:eastAsia="zh-CN" w:bidi="ar-SA"/>
        </w:rPr>
        <w:t>第七章   磋商响应文件格式</w:t>
      </w:r>
      <w:bookmarkEnd w:id="21"/>
      <w:bookmarkEnd w:id="22"/>
    </w:p>
    <w:p>
      <w:pPr>
        <w:outlineLvl w:val="9"/>
        <w:rPr>
          <w:rFonts w:hint="eastAsia" w:ascii="宋体" w:hAnsi="宋体" w:eastAsia="宋体" w:cs="宋体"/>
          <w:b/>
          <w:bCs/>
          <w:kern w:val="44"/>
          <w:sz w:val="28"/>
          <w:szCs w:val="28"/>
          <w:lang w:val="en-US" w:eastAsia="zh-CN" w:bidi="ar-SA"/>
        </w:rPr>
      </w:pPr>
      <w:bookmarkStart w:id="23" w:name="_Toc29147"/>
    </w:p>
    <w:p>
      <w:pPr>
        <w:outlineLvl w:val="9"/>
        <w:rPr>
          <w:rFonts w:hint="eastAsia" w:ascii="宋体" w:hAnsi="宋体" w:eastAsia="宋体" w:cs="宋体"/>
          <w:b/>
          <w:bCs/>
          <w:kern w:val="44"/>
          <w:sz w:val="28"/>
          <w:szCs w:val="28"/>
          <w:lang w:val="en-US" w:eastAsia="zh-CN" w:bidi="ar-SA"/>
        </w:rPr>
      </w:pPr>
    </w:p>
    <w:p>
      <w:pPr>
        <w:outlineLvl w:val="9"/>
        <w:rPr>
          <w:rFonts w:hint="eastAsia" w:ascii="宋体" w:hAnsi="宋体" w:eastAsia="宋体" w:cs="宋体"/>
          <w:b/>
          <w:bCs/>
          <w:kern w:val="44"/>
          <w:sz w:val="28"/>
          <w:szCs w:val="28"/>
          <w:lang w:val="en-US" w:eastAsia="zh-CN" w:bidi="ar-SA"/>
        </w:rPr>
      </w:pPr>
      <w:r>
        <w:rPr>
          <w:rFonts w:hint="eastAsia" w:ascii="宋体" w:hAnsi="宋体" w:eastAsia="宋体" w:cs="宋体"/>
          <w:b/>
          <w:bCs/>
          <w:kern w:val="44"/>
          <w:sz w:val="28"/>
          <w:szCs w:val="28"/>
          <w:lang w:val="en-US" w:eastAsia="zh-CN" w:bidi="ar-SA"/>
        </w:rPr>
        <w:t>项目编号：</w:t>
      </w:r>
      <w:bookmarkEnd w:id="23"/>
      <w:r>
        <w:rPr>
          <w:rFonts w:hint="eastAsia" w:ascii="宋体" w:hAnsi="宋体" w:cs="宋体"/>
          <w:b/>
          <w:bCs/>
          <w:kern w:val="44"/>
          <w:sz w:val="28"/>
          <w:szCs w:val="28"/>
          <w:lang w:val="en-US" w:eastAsia="zh-CN" w:bidi="ar-SA"/>
        </w:rPr>
        <w:t>ZHZB2022-FW-1025</w:t>
      </w:r>
    </w:p>
    <w:p>
      <w:pPr>
        <w:pStyle w:val="11"/>
        <w:rPr>
          <w:rFonts w:hint="eastAsia"/>
          <w:lang w:val="en-US"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r>
        <w:rPr>
          <w:rFonts w:hint="eastAsia" w:ascii="宋体" w:hAnsi="宋体" w:cs="宋体"/>
          <w:b/>
          <w:bCs/>
          <w:sz w:val="44"/>
          <w:szCs w:val="44"/>
          <w:lang w:eastAsia="zh-CN"/>
        </w:rPr>
        <w:t>陕西省森林草原湿地综合监测项目</w:t>
      </w:r>
    </w:p>
    <w:p>
      <w:pPr>
        <w:jc w:val="center"/>
        <w:rPr>
          <w:rFonts w:hint="eastAsia" w:ascii="宋体" w:hAnsi="宋体" w:cs="宋体"/>
          <w:b/>
          <w:bCs/>
          <w:sz w:val="44"/>
          <w:szCs w:val="44"/>
          <w:lang w:eastAsia="zh-CN"/>
        </w:rPr>
      </w:pPr>
      <w:r>
        <w:rPr>
          <w:rFonts w:hint="eastAsia" w:ascii="宋体" w:hAnsi="宋体" w:cs="宋体"/>
          <w:b/>
          <w:bCs/>
          <w:sz w:val="44"/>
          <w:szCs w:val="44"/>
          <w:lang w:eastAsia="zh-CN"/>
        </w:rPr>
        <w:t>林草湿图斑监测专题数据库数据处理服务</w:t>
      </w:r>
    </w:p>
    <w:p>
      <w:pPr>
        <w:pStyle w:val="11"/>
        <w:jc w:val="both"/>
        <w:rPr>
          <w:rFonts w:hint="eastAsia" w:ascii="宋体" w:hAnsi="宋体" w:cs="宋体"/>
          <w:b/>
          <w:bCs/>
          <w:sz w:val="44"/>
          <w:szCs w:val="44"/>
          <w:lang w:val="en-US" w:eastAsia="zh-CN"/>
        </w:rPr>
      </w:pPr>
    </w:p>
    <w:p>
      <w:pPr>
        <w:pStyle w:val="11"/>
        <w:jc w:val="center"/>
        <w:rPr>
          <w:rFonts w:hint="eastAsia" w:ascii="宋体" w:hAnsi="宋体" w:cs="宋体"/>
          <w:b/>
          <w:bCs/>
          <w:sz w:val="44"/>
          <w:szCs w:val="44"/>
          <w:lang w:val="en-US" w:eastAsia="zh-CN"/>
        </w:rPr>
      </w:pPr>
    </w:p>
    <w:p>
      <w:pPr>
        <w:pStyle w:val="11"/>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磋商响应文件</w:t>
      </w:r>
    </w:p>
    <w:p>
      <w:pPr>
        <w:pStyle w:val="11"/>
        <w:jc w:val="both"/>
        <w:rPr>
          <w:rFonts w:hint="eastAsia" w:ascii="宋体" w:hAnsi="宋体" w:cs="宋体"/>
          <w:b/>
          <w:bCs/>
          <w:sz w:val="44"/>
          <w:szCs w:val="44"/>
          <w:lang w:val="en-US" w:eastAsia="zh-CN"/>
        </w:rPr>
      </w:pPr>
    </w:p>
    <w:p>
      <w:pPr>
        <w:pStyle w:val="11"/>
        <w:jc w:val="both"/>
        <w:rPr>
          <w:rFonts w:hint="eastAsia" w:ascii="宋体" w:hAnsi="宋体" w:cs="宋体"/>
          <w:b/>
          <w:bCs/>
          <w:sz w:val="44"/>
          <w:szCs w:val="44"/>
          <w:lang w:val="en-US" w:eastAsia="zh-CN"/>
        </w:rPr>
      </w:pPr>
    </w:p>
    <w:p>
      <w:pPr>
        <w:pStyle w:val="11"/>
        <w:ind w:firstLine="1124" w:firstLineChars="400"/>
        <w:jc w:val="left"/>
        <w:outlineLvl w:val="9"/>
        <w:rPr>
          <w:rFonts w:hint="eastAsia" w:ascii="宋体" w:hAnsi="宋体" w:cs="宋体"/>
          <w:b/>
          <w:bCs/>
          <w:sz w:val="28"/>
          <w:szCs w:val="28"/>
          <w:lang w:val="en-US" w:eastAsia="zh-CN"/>
        </w:rPr>
      </w:pPr>
      <w:bookmarkStart w:id="24" w:name="_Toc32599"/>
      <w:r>
        <w:rPr>
          <w:rFonts w:hint="eastAsia" w:ascii="宋体" w:hAnsi="宋体" w:cs="宋体"/>
          <w:b/>
          <w:bCs/>
          <w:sz w:val="28"/>
          <w:szCs w:val="28"/>
          <w:lang w:val="en-US" w:eastAsia="zh-CN"/>
        </w:rPr>
        <w:t>供应商（单位名称加盖公章）：</w:t>
      </w:r>
      <w:bookmarkEnd w:id="24"/>
    </w:p>
    <w:p>
      <w:pPr>
        <w:pStyle w:val="11"/>
        <w:ind w:firstLine="1124" w:firstLineChars="400"/>
        <w:jc w:val="left"/>
        <w:outlineLvl w:val="9"/>
        <w:rPr>
          <w:rFonts w:hint="default" w:ascii="宋体" w:hAnsi="宋体" w:cs="宋体"/>
          <w:b/>
          <w:bCs/>
          <w:sz w:val="28"/>
          <w:szCs w:val="28"/>
          <w:lang w:val="en-US" w:eastAsia="zh-CN"/>
        </w:rPr>
      </w:pPr>
      <w:bookmarkStart w:id="25" w:name="_Toc12214"/>
      <w:r>
        <w:rPr>
          <w:rFonts w:hint="eastAsia" w:ascii="宋体" w:hAnsi="宋体" w:cs="宋体"/>
          <w:b/>
          <w:bCs/>
          <w:sz w:val="28"/>
          <w:szCs w:val="28"/>
          <w:lang w:val="en-US" w:eastAsia="zh-CN"/>
        </w:rPr>
        <w:t>日期：   年   月   日</w:t>
      </w:r>
      <w:bookmarkEnd w:id="25"/>
    </w:p>
    <w:p>
      <w:pPr>
        <w:keepNext w:val="0"/>
        <w:keepLines w:val="0"/>
        <w:widowControl/>
        <w:suppressLineNumbers w:val="0"/>
        <w:jc w:val="center"/>
        <w:rPr>
          <w:rFonts w:hint="eastAsia"/>
          <w:lang w:val="en-US" w:eastAsia="zh-CN"/>
        </w:rPr>
      </w:pPr>
      <w:r>
        <w:rPr>
          <w:rFonts w:hint="eastAsia"/>
          <w:lang w:val="en-US" w:eastAsia="zh-CN"/>
        </w:rPr>
        <w:br w:type="page"/>
      </w:r>
      <w:r>
        <w:rPr>
          <w:rFonts w:hint="eastAsia" w:ascii="宋体" w:hAnsi="宋体" w:eastAsia="宋体" w:cs="宋体"/>
          <w:color w:val="000000"/>
          <w:kern w:val="0"/>
          <w:sz w:val="28"/>
          <w:szCs w:val="28"/>
          <w:lang w:val="en-US" w:eastAsia="zh-CN" w:bidi="ar"/>
        </w:rPr>
        <w:t>目</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录</w:t>
      </w:r>
    </w:p>
    <w:p>
      <w:pPr>
        <w:keepNext w:val="0"/>
        <w:keepLines w:val="0"/>
        <w:widowControl/>
        <w:suppressLineNumbers w:val="0"/>
        <w:spacing w:line="360" w:lineRule="auto"/>
        <w:jc w:val="left"/>
        <w:outlineLvl w:val="9"/>
        <w:rPr>
          <w:rFonts w:hint="eastAsia" w:ascii="宋体" w:hAnsi="宋体" w:eastAsia="宋体" w:cs="宋体"/>
          <w:sz w:val="28"/>
          <w:szCs w:val="28"/>
        </w:rPr>
      </w:pPr>
      <w:bookmarkStart w:id="26" w:name="_Toc2195"/>
      <w:r>
        <w:rPr>
          <w:rFonts w:hint="eastAsia" w:ascii="宋体" w:hAnsi="宋体" w:eastAsia="宋体" w:cs="宋体"/>
          <w:color w:val="000000"/>
          <w:kern w:val="0"/>
          <w:sz w:val="28"/>
          <w:szCs w:val="28"/>
          <w:lang w:val="en-US" w:eastAsia="zh-CN" w:bidi="ar"/>
        </w:rPr>
        <w:t>一、磋商函</w:t>
      </w:r>
      <w:bookmarkEnd w:id="26"/>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line="360" w:lineRule="auto"/>
        <w:jc w:val="left"/>
        <w:outlineLvl w:val="9"/>
        <w:rPr>
          <w:rFonts w:hint="eastAsia" w:ascii="宋体" w:hAnsi="宋体" w:eastAsia="宋体" w:cs="宋体"/>
          <w:sz w:val="28"/>
          <w:szCs w:val="28"/>
        </w:rPr>
      </w:pPr>
      <w:bookmarkStart w:id="27" w:name="_Toc8896"/>
      <w:r>
        <w:rPr>
          <w:rFonts w:hint="eastAsia" w:ascii="宋体" w:hAnsi="宋体" w:eastAsia="宋体" w:cs="宋体"/>
          <w:color w:val="000000"/>
          <w:kern w:val="0"/>
          <w:sz w:val="28"/>
          <w:szCs w:val="28"/>
          <w:lang w:val="en-US" w:eastAsia="zh-CN" w:bidi="ar"/>
        </w:rPr>
        <w:t>二、开标一览表</w:t>
      </w:r>
      <w:bookmarkEnd w:id="27"/>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line="360" w:lineRule="auto"/>
        <w:jc w:val="left"/>
        <w:outlineLvl w:val="9"/>
        <w:rPr>
          <w:rFonts w:hint="eastAsia" w:ascii="宋体" w:hAnsi="宋体" w:eastAsia="宋体" w:cs="宋体"/>
          <w:sz w:val="28"/>
          <w:szCs w:val="28"/>
        </w:rPr>
      </w:pPr>
      <w:bookmarkStart w:id="28" w:name="_Toc32219"/>
      <w:r>
        <w:rPr>
          <w:rFonts w:hint="eastAsia" w:ascii="宋体" w:hAnsi="宋体" w:eastAsia="宋体" w:cs="宋体"/>
          <w:color w:val="000000"/>
          <w:kern w:val="0"/>
          <w:sz w:val="28"/>
          <w:szCs w:val="28"/>
          <w:lang w:val="en-US" w:eastAsia="zh-CN" w:bidi="ar"/>
        </w:rPr>
        <w:t>三、技术要求偏离表</w:t>
      </w:r>
      <w:bookmarkEnd w:id="28"/>
    </w:p>
    <w:p>
      <w:pPr>
        <w:keepNext w:val="0"/>
        <w:keepLines w:val="0"/>
        <w:widowControl/>
        <w:suppressLineNumbers w:val="0"/>
        <w:spacing w:line="360" w:lineRule="auto"/>
        <w:jc w:val="left"/>
        <w:outlineLvl w:val="9"/>
        <w:rPr>
          <w:rFonts w:hint="eastAsia" w:ascii="宋体" w:hAnsi="宋体" w:eastAsia="宋体" w:cs="宋体"/>
          <w:sz w:val="28"/>
          <w:szCs w:val="28"/>
        </w:rPr>
      </w:pPr>
      <w:bookmarkStart w:id="29" w:name="_Toc26585"/>
      <w:r>
        <w:rPr>
          <w:rFonts w:hint="eastAsia" w:ascii="宋体" w:hAnsi="宋体" w:eastAsia="宋体" w:cs="宋体"/>
          <w:color w:val="000000"/>
          <w:kern w:val="0"/>
          <w:sz w:val="28"/>
          <w:szCs w:val="28"/>
          <w:lang w:val="en-US" w:eastAsia="zh-CN" w:bidi="ar"/>
        </w:rPr>
        <w:t>四、商务响应偏离表</w:t>
      </w:r>
      <w:bookmarkEnd w:id="29"/>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line="360" w:lineRule="auto"/>
        <w:jc w:val="left"/>
        <w:outlineLvl w:val="9"/>
        <w:rPr>
          <w:rFonts w:hint="eastAsia" w:ascii="宋体" w:hAnsi="宋体" w:eastAsia="宋体" w:cs="宋体"/>
          <w:color w:val="000000"/>
          <w:kern w:val="0"/>
          <w:sz w:val="28"/>
          <w:szCs w:val="28"/>
          <w:lang w:val="en-US" w:eastAsia="zh-CN" w:bidi="ar"/>
        </w:rPr>
      </w:pPr>
      <w:bookmarkStart w:id="30" w:name="_Toc3937"/>
      <w:r>
        <w:rPr>
          <w:rFonts w:hint="eastAsia" w:ascii="宋体" w:hAnsi="宋体" w:eastAsia="宋体" w:cs="宋体"/>
          <w:color w:val="000000"/>
          <w:kern w:val="0"/>
          <w:sz w:val="28"/>
          <w:szCs w:val="28"/>
          <w:lang w:val="en-US" w:eastAsia="zh-CN" w:bidi="ar"/>
        </w:rPr>
        <w:t>五、项目实施方案</w:t>
      </w:r>
      <w:bookmarkEnd w:id="30"/>
    </w:p>
    <w:p>
      <w:pPr>
        <w:keepNext w:val="0"/>
        <w:keepLines w:val="0"/>
        <w:widowControl/>
        <w:suppressLineNumbers w:val="0"/>
        <w:spacing w:line="360" w:lineRule="auto"/>
        <w:jc w:val="left"/>
        <w:outlineLvl w:val="9"/>
        <w:rPr>
          <w:rFonts w:hint="eastAsia" w:ascii="宋体" w:hAnsi="宋体" w:eastAsia="宋体" w:cs="宋体"/>
          <w:sz w:val="28"/>
          <w:szCs w:val="28"/>
        </w:rPr>
      </w:pPr>
      <w:bookmarkStart w:id="31" w:name="_Toc8689"/>
      <w:r>
        <w:rPr>
          <w:rFonts w:hint="eastAsia" w:ascii="宋体" w:hAnsi="宋体" w:eastAsia="宋体" w:cs="宋体"/>
          <w:color w:val="000000"/>
          <w:kern w:val="0"/>
          <w:sz w:val="28"/>
          <w:szCs w:val="28"/>
          <w:lang w:val="en-US" w:eastAsia="zh-CN" w:bidi="ar"/>
        </w:rPr>
        <w:t>六、资格证明文件</w:t>
      </w:r>
      <w:bookmarkEnd w:id="31"/>
    </w:p>
    <w:p>
      <w:pPr>
        <w:keepNext w:val="0"/>
        <w:keepLines w:val="0"/>
        <w:widowControl/>
        <w:suppressLineNumbers w:val="0"/>
        <w:spacing w:line="360" w:lineRule="auto"/>
        <w:jc w:val="left"/>
        <w:outlineLvl w:val="9"/>
        <w:rPr>
          <w:rFonts w:hint="eastAsia" w:ascii="宋体" w:hAnsi="宋体" w:eastAsia="宋体" w:cs="宋体"/>
          <w:sz w:val="28"/>
          <w:szCs w:val="28"/>
        </w:rPr>
      </w:pPr>
      <w:bookmarkStart w:id="32" w:name="_Toc25016"/>
      <w:r>
        <w:rPr>
          <w:rFonts w:hint="eastAsia" w:ascii="宋体" w:hAnsi="宋体" w:eastAsia="宋体" w:cs="宋体"/>
          <w:color w:val="000000"/>
          <w:kern w:val="0"/>
          <w:sz w:val="28"/>
          <w:szCs w:val="28"/>
          <w:lang w:val="en-US" w:eastAsia="zh-CN" w:bidi="ar"/>
        </w:rPr>
        <w:t>七、小微企业、监狱企业、残疾人福利单位的声明函或证明材料</w:t>
      </w:r>
      <w:bookmarkEnd w:id="32"/>
      <w:r>
        <w:rPr>
          <w:rFonts w:hint="eastAsia" w:ascii="宋体" w:hAnsi="宋体" w:eastAsia="宋体" w:cs="宋体"/>
          <w:color w:val="000000"/>
          <w:kern w:val="0"/>
          <w:sz w:val="28"/>
          <w:szCs w:val="28"/>
          <w:lang w:val="en-US" w:eastAsia="zh-CN" w:bidi="ar"/>
        </w:rPr>
        <w:t xml:space="preserve"> </w:t>
      </w:r>
    </w:p>
    <w:p>
      <w:pPr>
        <w:spacing w:line="360" w:lineRule="auto"/>
        <w:jc w:val="both"/>
        <w:outlineLvl w:val="9"/>
        <w:rPr>
          <w:rFonts w:hint="eastAsia" w:ascii="宋体" w:hAnsi="宋体" w:eastAsia="宋体" w:cs="宋体"/>
          <w:sz w:val="28"/>
          <w:szCs w:val="28"/>
        </w:rPr>
      </w:pPr>
      <w:bookmarkStart w:id="33" w:name="_Toc17196"/>
      <w:r>
        <w:rPr>
          <w:rFonts w:hint="eastAsia" w:ascii="宋体" w:hAnsi="宋体" w:eastAsia="宋体" w:cs="宋体"/>
          <w:color w:val="000000"/>
          <w:kern w:val="0"/>
          <w:sz w:val="28"/>
          <w:szCs w:val="28"/>
          <w:lang w:val="en-US" w:eastAsia="zh-CN" w:bidi="ar"/>
        </w:rPr>
        <w:t>八、节能、环保设备（产品）认证证书（若有）</w:t>
      </w:r>
      <w:bookmarkEnd w:id="33"/>
    </w:p>
    <w:p>
      <w:pPr>
        <w:keepNext w:val="0"/>
        <w:keepLines w:val="0"/>
        <w:widowControl/>
        <w:suppressLineNumbers w:val="0"/>
        <w:spacing w:line="360" w:lineRule="auto"/>
        <w:jc w:val="left"/>
        <w:outlineLvl w:val="9"/>
        <w:rPr>
          <w:rFonts w:hint="eastAsia" w:ascii="宋体" w:hAnsi="宋体" w:eastAsia="宋体" w:cs="宋体"/>
          <w:sz w:val="28"/>
          <w:szCs w:val="28"/>
        </w:rPr>
      </w:pPr>
      <w:bookmarkStart w:id="34" w:name="_Toc26343"/>
      <w:r>
        <w:rPr>
          <w:rFonts w:hint="eastAsia" w:ascii="宋体" w:hAnsi="宋体" w:eastAsia="宋体" w:cs="宋体"/>
          <w:color w:val="000000"/>
          <w:kern w:val="0"/>
          <w:sz w:val="28"/>
          <w:szCs w:val="28"/>
          <w:lang w:val="en-US" w:eastAsia="zh-CN" w:bidi="ar"/>
        </w:rPr>
        <w:t>九、投标供应商认为有必要补充说明的事项</w:t>
      </w:r>
      <w:bookmarkEnd w:id="34"/>
    </w:p>
    <w:p>
      <w:pPr>
        <w:rPr>
          <w:rFonts w:hint="eastAsia"/>
          <w:lang w:val="en-US" w:eastAsia="zh-CN"/>
        </w:rPr>
      </w:pPr>
    </w:p>
    <w:p>
      <w:pP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br w:type="page"/>
      </w:r>
    </w:p>
    <w:p>
      <w:pPr>
        <w:keepNext w:val="0"/>
        <w:keepLines w:val="0"/>
        <w:widowControl/>
        <w:suppressLineNumbers w:val="0"/>
        <w:jc w:val="center"/>
        <w:outlineLvl w:val="1"/>
      </w:pPr>
      <w:bookmarkStart w:id="35" w:name="_Toc25629"/>
      <w:r>
        <w:rPr>
          <w:rFonts w:hint="eastAsia" w:ascii="宋体" w:hAnsi="宋体" w:eastAsia="宋体" w:cs="宋体"/>
          <w:b/>
          <w:bCs/>
          <w:color w:val="000000"/>
          <w:kern w:val="0"/>
          <w:sz w:val="31"/>
          <w:szCs w:val="31"/>
          <w:lang w:val="en-US" w:eastAsia="zh-CN" w:bidi="ar"/>
        </w:rPr>
        <w:t>一、磋商函</w:t>
      </w:r>
      <w:bookmarkEnd w:id="35"/>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致：（采购代理机构名称）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我方全面研究了</w:t>
      </w:r>
      <w:r>
        <w:rPr>
          <w:rFonts w:hint="eastAsia" w:ascii="宋体" w:hAnsi="宋体" w:eastAsia="宋体" w:cs="宋体"/>
          <w:color w:val="000000"/>
          <w:kern w:val="0"/>
          <w:sz w:val="24"/>
          <w:szCs w:val="24"/>
          <w:u w:val="single"/>
          <w:lang w:val="en-US" w:eastAsia="zh-CN" w:bidi="ar"/>
        </w:rPr>
        <w:t xml:space="preserve">   （采购项目名称）   </w:t>
      </w:r>
      <w:r>
        <w:rPr>
          <w:rFonts w:hint="eastAsia" w:ascii="宋体" w:hAnsi="宋体" w:eastAsia="宋体" w:cs="宋体"/>
          <w:color w:val="000000"/>
          <w:kern w:val="0"/>
          <w:sz w:val="24"/>
          <w:szCs w:val="24"/>
          <w:lang w:val="en-US" w:eastAsia="zh-CN" w:bidi="ar"/>
        </w:rPr>
        <w:t>磋商文件的全部内容，决定参加贵单位组织的本项目磋商。</w:t>
      </w:r>
      <w:r>
        <w:rPr>
          <w:rFonts w:hint="eastAsia" w:ascii="宋体" w:hAnsi="宋体" w:eastAsia="宋体" w:cs="宋体"/>
          <w:color w:val="000000"/>
          <w:kern w:val="0"/>
          <w:sz w:val="24"/>
          <w:szCs w:val="24"/>
          <w:u w:val="single"/>
          <w:lang w:val="en-US" w:eastAsia="zh-CN" w:bidi="ar"/>
        </w:rPr>
        <w:t xml:space="preserve">   （供应商名称）   </w:t>
      </w:r>
      <w:r>
        <w:rPr>
          <w:rFonts w:hint="eastAsia" w:ascii="宋体" w:hAnsi="宋体" w:eastAsia="宋体" w:cs="宋体"/>
          <w:color w:val="000000"/>
          <w:kern w:val="0"/>
          <w:sz w:val="24"/>
          <w:szCs w:val="24"/>
          <w:lang w:val="en-US" w:eastAsia="zh-CN" w:bidi="ar"/>
        </w:rPr>
        <w:t>正式授权</w:t>
      </w:r>
      <w:r>
        <w:rPr>
          <w:rFonts w:hint="eastAsia" w:ascii="宋体" w:hAnsi="宋体" w:eastAsia="宋体" w:cs="宋体"/>
          <w:color w:val="000000"/>
          <w:kern w:val="0"/>
          <w:sz w:val="24"/>
          <w:szCs w:val="24"/>
          <w:u w:val="single"/>
          <w:lang w:val="en-US" w:eastAsia="zh-CN" w:bidi="ar"/>
        </w:rPr>
        <w:t>（姓名、职务）</w:t>
      </w:r>
      <w:r>
        <w:rPr>
          <w:rFonts w:hint="eastAsia" w:ascii="宋体" w:hAnsi="宋体" w:eastAsia="宋体" w:cs="宋体"/>
          <w:color w:val="000000"/>
          <w:kern w:val="0"/>
          <w:sz w:val="24"/>
          <w:szCs w:val="24"/>
          <w:lang w:val="en-US" w:eastAsia="zh-CN" w:bidi="ar"/>
        </w:rPr>
        <w:t>代表我方全权处理本项目磋商的有关事宜。</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在此，我方郑重声明以下诸点,并负法律责任。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1、我方自愿按照磋商文件规定的各项要求向采购人提供所需服务。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2、按照磋商文件的规定，我方磋商报价为人民币大写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none"/>
          <w:lang w:val="en-US" w:eastAsia="zh-CN" w:bidi="ar"/>
        </w:rPr>
        <w:t>元</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3、我方已仔细阅读了磋商文件的全部内容，并同意和放弃对磋商文件不明或误解而询问、质疑和投诉的权利。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4、如我方中标：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（1）我方在收到中标通知书后，在中标通知书规定的期限内与采购人签订合同。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（2）我方将严格履行合同规定的责任和义务，保证于合同签字生效后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内完成并交付采购人验收。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（3）磋商有效期自动延长至合同履行完毕。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（4）我方保证按规定和标准向贵方交纳代理服务费。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5、我方完全理解并同意磋商文件中有关不退还磋商保证金条款所规定的情形。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6、我方愿意提供采购人可能另外要求的，与磋商有关的任何文件资料，并保证我方已提供和将要提供的文件资料是真实、准确的。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7、我方为本项目提交的磋商响应文件正本 1 份，副本 3 份，电子文件U盘 1 份。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8、我方完全理解最低报价不是中标的唯一条件，且尊重磋商小组的评标结论和定标结果。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9、有关本项目的所有函电，请按下列地址联系：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供应商名称：（盖章）</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法定代表人或授权代表（签名或盖章）：</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color w:val="000000"/>
          <w:kern w:val="0"/>
          <w:sz w:val="24"/>
          <w:szCs w:val="24"/>
          <w:u w:val="single"/>
          <w:lang w:val="en-US" w:eastAsia="zh-CN" w:bidi="ar"/>
        </w:rPr>
      </w:pPr>
      <w:r>
        <w:rPr>
          <w:rFonts w:hint="eastAsia" w:ascii="宋体" w:hAnsi="宋体" w:eastAsia="宋体" w:cs="宋体"/>
          <w:color w:val="000000"/>
          <w:kern w:val="0"/>
          <w:sz w:val="24"/>
          <w:szCs w:val="24"/>
          <w:lang w:val="en-US" w:eastAsia="zh-CN" w:bidi="ar"/>
        </w:rPr>
        <w:t>通讯地址：</w:t>
      </w:r>
      <w:r>
        <w:rPr>
          <w:rFonts w:hint="eastAsia" w:ascii="宋体" w:hAnsi="宋体" w:cs="宋体"/>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邮政编码：</w:t>
      </w:r>
      <w:r>
        <w:rPr>
          <w:rFonts w:hint="eastAsia" w:ascii="宋体" w:hAnsi="宋体" w:cs="宋体"/>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联系电话：</w:t>
      </w:r>
      <w:r>
        <w:rPr>
          <w:rFonts w:hint="eastAsia" w:ascii="宋体" w:hAnsi="宋体" w:cs="宋体"/>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传</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真：</w:t>
      </w:r>
      <w:r>
        <w:rPr>
          <w:rFonts w:hint="eastAsia" w:ascii="宋体" w:hAnsi="宋体" w:cs="宋体"/>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电子邮件</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开户银行: </w:t>
      </w:r>
      <w:r>
        <w:rPr>
          <w:rFonts w:hint="eastAsia" w:ascii="宋体" w:hAnsi="宋体" w:cs="宋体"/>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帐</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号：</w:t>
      </w:r>
      <w:r>
        <w:rPr>
          <w:rFonts w:hint="eastAsia" w:ascii="宋体" w:hAnsi="宋体" w:cs="宋体"/>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日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期：</w:t>
      </w:r>
      <w:r>
        <w:rPr>
          <w:rFonts w:hint="eastAsia" w:ascii="宋体" w:hAnsi="宋体" w:cs="宋体"/>
          <w:color w:val="000000"/>
          <w:kern w:val="0"/>
          <w:sz w:val="24"/>
          <w:szCs w:val="24"/>
          <w:u w:val="single"/>
          <w:lang w:val="en-US" w:eastAsia="zh-CN" w:bidi="ar"/>
        </w:rPr>
        <w:t xml:space="preserve">                                                 </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keepNext w:val="0"/>
        <w:keepLines w:val="0"/>
        <w:widowControl/>
        <w:suppressLineNumbers w:val="0"/>
        <w:jc w:val="center"/>
        <w:outlineLvl w:val="1"/>
      </w:pPr>
      <w:bookmarkStart w:id="36" w:name="_Toc12600"/>
      <w:r>
        <w:rPr>
          <w:rFonts w:hint="eastAsia" w:ascii="宋体" w:hAnsi="宋体" w:eastAsia="宋体" w:cs="宋体"/>
          <w:b/>
          <w:bCs/>
          <w:color w:val="000000"/>
          <w:kern w:val="0"/>
          <w:sz w:val="31"/>
          <w:szCs w:val="31"/>
          <w:lang w:val="en-US" w:eastAsia="zh-CN" w:bidi="ar"/>
        </w:rPr>
        <w:t>二、开标一览表</w:t>
      </w:r>
      <w:bookmarkEnd w:id="36"/>
    </w:p>
    <w:tbl>
      <w:tblPr>
        <w:tblStyle w:val="17"/>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2460"/>
        <w:gridCol w:w="3805"/>
        <w:gridCol w:w="2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exact"/>
          <w:jc w:val="center"/>
        </w:trPr>
        <w:tc>
          <w:tcPr>
            <w:tcW w:w="699" w:type="dxa"/>
            <w:vAlign w:val="center"/>
          </w:tcPr>
          <w:p>
            <w:pPr>
              <w:snapToGrid w:val="0"/>
              <w:spacing w:line="360" w:lineRule="auto"/>
              <w:jc w:val="center"/>
              <w:rPr>
                <w:rFonts w:ascii="宋体" w:hAnsi="宋体"/>
                <w:b/>
                <w:sz w:val="24"/>
                <w:szCs w:val="24"/>
              </w:rPr>
            </w:pPr>
            <w:r>
              <w:rPr>
                <w:rFonts w:hint="eastAsia" w:ascii="宋体" w:hAnsi="宋体"/>
                <w:b/>
                <w:sz w:val="24"/>
                <w:szCs w:val="24"/>
              </w:rPr>
              <w:t>序号</w:t>
            </w:r>
          </w:p>
        </w:tc>
        <w:tc>
          <w:tcPr>
            <w:tcW w:w="2460" w:type="dxa"/>
            <w:vAlign w:val="center"/>
          </w:tcPr>
          <w:p>
            <w:pPr>
              <w:snapToGrid w:val="0"/>
              <w:spacing w:line="360" w:lineRule="auto"/>
              <w:jc w:val="center"/>
              <w:rPr>
                <w:rFonts w:ascii="宋体" w:hAnsi="宋体"/>
                <w:b/>
                <w:sz w:val="24"/>
                <w:szCs w:val="24"/>
              </w:rPr>
            </w:pPr>
            <w:r>
              <w:rPr>
                <w:rFonts w:hint="eastAsia" w:ascii="宋体" w:hAnsi="宋体"/>
                <w:b/>
                <w:sz w:val="24"/>
                <w:szCs w:val="24"/>
              </w:rPr>
              <w:t>名称</w:t>
            </w:r>
          </w:p>
        </w:tc>
        <w:tc>
          <w:tcPr>
            <w:tcW w:w="3805" w:type="dxa"/>
            <w:vAlign w:val="center"/>
          </w:tcPr>
          <w:p>
            <w:pPr>
              <w:snapToGrid w:val="0"/>
              <w:spacing w:line="360" w:lineRule="auto"/>
              <w:jc w:val="center"/>
              <w:rPr>
                <w:rFonts w:ascii="宋体" w:hAnsi="宋体"/>
                <w:b/>
                <w:sz w:val="24"/>
                <w:szCs w:val="24"/>
              </w:rPr>
            </w:pPr>
            <w:r>
              <w:rPr>
                <w:rFonts w:hint="eastAsia" w:ascii="宋体" w:hAnsi="宋体"/>
                <w:b/>
                <w:sz w:val="24"/>
                <w:szCs w:val="24"/>
              </w:rPr>
              <w:t>约定内容</w:t>
            </w:r>
          </w:p>
        </w:tc>
        <w:tc>
          <w:tcPr>
            <w:tcW w:w="2322" w:type="dxa"/>
            <w:vAlign w:val="center"/>
          </w:tcPr>
          <w:p>
            <w:pPr>
              <w:snapToGrid w:val="0"/>
              <w:spacing w:line="360" w:lineRule="auto"/>
              <w:jc w:val="center"/>
              <w:rPr>
                <w:rFonts w:ascii="宋体" w:hAnsi="宋体"/>
                <w:b/>
                <w:sz w:val="24"/>
                <w:szCs w:val="24"/>
              </w:rPr>
            </w:pPr>
            <w:r>
              <w:rPr>
                <w:rFonts w:hint="eastAsia" w:ascii="宋体" w:hAnsi="宋体"/>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exact"/>
          <w:jc w:val="center"/>
        </w:trPr>
        <w:tc>
          <w:tcPr>
            <w:tcW w:w="699" w:type="dxa"/>
            <w:vAlign w:val="center"/>
          </w:tcPr>
          <w:p>
            <w:pPr>
              <w:snapToGrid w:val="0"/>
              <w:spacing w:line="360" w:lineRule="auto"/>
              <w:jc w:val="center"/>
              <w:rPr>
                <w:rFonts w:ascii="宋体" w:hAnsi="宋体"/>
                <w:sz w:val="24"/>
                <w:szCs w:val="24"/>
              </w:rPr>
            </w:pPr>
            <w:r>
              <w:rPr>
                <w:rFonts w:hint="eastAsia" w:ascii="宋体" w:hAnsi="宋体"/>
                <w:sz w:val="24"/>
                <w:szCs w:val="24"/>
              </w:rPr>
              <w:t>1</w:t>
            </w:r>
          </w:p>
        </w:tc>
        <w:tc>
          <w:tcPr>
            <w:tcW w:w="2460" w:type="dxa"/>
            <w:vAlign w:val="center"/>
          </w:tcPr>
          <w:p>
            <w:pPr>
              <w:snapToGrid w:val="0"/>
              <w:spacing w:line="360" w:lineRule="auto"/>
              <w:jc w:val="center"/>
              <w:rPr>
                <w:rFonts w:ascii="宋体" w:hAnsi="宋体"/>
                <w:b/>
                <w:sz w:val="24"/>
                <w:szCs w:val="24"/>
              </w:rPr>
            </w:pPr>
            <w:r>
              <w:rPr>
                <w:rFonts w:hint="eastAsia" w:ascii="宋体" w:hAnsi="宋体"/>
                <w:b/>
                <w:sz w:val="24"/>
                <w:szCs w:val="24"/>
              </w:rPr>
              <w:t>项目名称</w:t>
            </w:r>
          </w:p>
        </w:tc>
        <w:tc>
          <w:tcPr>
            <w:tcW w:w="3805" w:type="dxa"/>
            <w:vAlign w:val="center"/>
          </w:tcPr>
          <w:p>
            <w:pPr>
              <w:snapToGrid w:val="0"/>
              <w:spacing w:line="360" w:lineRule="auto"/>
              <w:jc w:val="center"/>
              <w:rPr>
                <w:rFonts w:hint="default" w:ascii="宋体" w:hAnsi="宋体" w:eastAsia="宋体"/>
                <w:b/>
                <w:sz w:val="24"/>
                <w:szCs w:val="24"/>
                <w:u w:val="single"/>
                <w:lang w:val="en-US" w:eastAsia="zh-CN"/>
              </w:rPr>
            </w:pPr>
          </w:p>
        </w:tc>
        <w:tc>
          <w:tcPr>
            <w:tcW w:w="2322" w:type="dxa"/>
            <w:vAlign w:val="center"/>
          </w:tcPr>
          <w:p>
            <w:pPr>
              <w:snapToGrid w:val="0"/>
              <w:spacing w:line="360" w:lineRule="auto"/>
              <w:jc w:val="center"/>
              <w:rPr>
                <w:rFonts w:ascii="宋体" w:hAns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exact"/>
          <w:jc w:val="center"/>
        </w:trPr>
        <w:tc>
          <w:tcPr>
            <w:tcW w:w="699" w:type="dxa"/>
            <w:vAlign w:val="center"/>
          </w:tcPr>
          <w:p>
            <w:pPr>
              <w:snapToGrid w:val="0"/>
              <w:spacing w:line="360" w:lineRule="auto"/>
              <w:jc w:val="center"/>
              <w:rPr>
                <w:rFonts w:ascii="宋体" w:hAnsi="宋体"/>
                <w:sz w:val="24"/>
                <w:szCs w:val="24"/>
              </w:rPr>
            </w:pPr>
            <w:r>
              <w:rPr>
                <w:rFonts w:hint="eastAsia" w:ascii="宋体" w:hAnsi="宋体"/>
                <w:sz w:val="24"/>
                <w:szCs w:val="24"/>
              </w:rPr>
              <w:t>2</w:t>
            </w:r>
          </w:p>
        </w:tc>
        <w:tc>
          <w:tcPr>
            <w:tcW w:w="2460" w:type="dxa"/>
            <w:vAlign w:val="center"/>
          </w:tcPr>
          <w:p>
            <w:pPr>
              <w:snapToGrid w:val="0"/>
              <w:spacing w:line="360" w:lineRule="auto"/>
              <w:jc w:val="center"/>
              <w:rPr>
                <w:rFonts w:ascii="宋体" w:hAnsi="宋体"/>
                <w:b/>
                <w:sz w:val="24"/>
                <w:szCs w:val="24"/>
              </w:rPr>
            </w:pPr>
            <w:r>
              <w:rPr>
                <w:rFonts w:hint="eastAsia" w:ascii="宋体" w:hAnsi="宋体"/>
                <w:b/>
                <w:sz w:val="24"/>
                <w:szCs w:val="24"/>
              </w:rPr>
              <w:t>采购项目编号</w:t>
            </w:r>
          </w:p>
        </w:tc>
        <w:tc>
          <w:tcPr>
            <w:tcW w:w="3805" w:type="dxa"/>
            <w:vAlign w:val="center"/>
          </w:tcPr>
          <w:p>
            <w:pPr>
              <w:snapToGrid w:val="0"/>
              <w:spacing w:line="360" w:lineRule="auto"/>
              <w:jc w:val="center"/>
              <w:rPr>
                <w:rFonts w:ascii="宋体" w:hAnsi="宋体"/>
                <w:b/>
                <w:sz w:val="24"/>
                <w:szCs w:val="24"/>
              </w:rPr>
            </w:pPr>
          </w:p>
        </w:tc>
        <w:tc>
          <w:tcPr>
            <w:tcW w:w="2322" w:type="dxa"/>
            <w:vAlign w:val="center"/>
          </w:tcPr>
          <w:p>
            <w:pPr>
              <w:snapToGrid w:val="0"/>
              <w:spacing w:line="360" w:lineRule="auto"/>
              <w:jc w:val="center"/>
              <w:rPr>
                <w:rFonts w:ascii="宋体" w:hAns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exact"/>
          <w:jc w:val="center"/>
        </w:trPr>
        <w:tc>
          <w:tcPr>
            <w:tcW w:w="699" w:type="dxa"/>
            <w:vAlign w:val="center"/>
          </w:tcPr>
          <w:p>
            <w:pPr>
              <w:snapToGrid w:val="0"/>
              <w:spacing w:line="360" w:lineRule="auto"/>
              <w:jc w:val="center"/>
              <w:rPr>
                <w:rFonts w:ascii="宋体" w:hAnsi="宋体"/>
                <w:sz w:val="24"/>
                <w:szCs w:val="24"/>
              </w:rPr>
            </w:pPr>
            <w:r>
              <w:rPr>
                <w:rFonts w:hint="eastAsia" w:ascii="宋体" w:hAnsi="宋体"/>
                <w:sz w:val="24"/>
                <w:szCs w:val="24"/>
              </w:rPr>
              <w:t>3</w:t>
            </w:r>
          </w:p>
        </w:tc>
        <w:tc>
          <w:tcPr>
            <w:tcW w:w="2460" w:type="dxa"/>
            <w:vAlign w:val="center"/>
          </w:tcPr>
          <w:p>
            <w:pPr>
              <w:snapToGrid w:val="0"/>
              <w:spacing w:line="360" w:lineRule="auto"/>
              <w:jc w:val="center"/>
              <w:rPr>
                <w:rFonts w:ascii="宋体" w:hAnsi="宋体"/>
                <w:sz w:val="24"/>
                <w:szCs w:val="24"/>
              </w:rPr>
            </w:pPr>
            <w:r>
              <w:rPr>
                <w:rFonts w:hint="eastAsia" w:ascii="宋体" w:hAnsi="宋体"/>
                <w:sz w:val="24"/>
                <w:szCs w:val="24"/>
              </w:rPr>
              <w:t>磋商</w:t>
            </w:r>
            <w:r>
              <w:rPr>
                <w:rFonts w:ascii="宋体" w:hAnsi="宋体"/>
                <w:sz w:val="24"/>
                <w:szCs w:val="24"/>
              </w:rPr>
              <w:t>报价</w:t>
            </w:r>
          </w:p>
          <w:p>
            <w:pPr>
              <w:snapToGrid w:val="0"/>
              <w:spacing w:line="360" w:lineRule="auto"/>
              <w:jc w:val="center"/>
              <w:rPr>
                <w:rFonts w:ascii="宋体" w:hAnsi="宋体"/>
                <w:sz w:val="24"/>
                <w:szCs w:val="24"/>
              </w:rPr>
            </w:pPr>
            <w:r>
              <w:rPr>
                <w:rFonts w:hint="eastAsia" w:ascii="宋体" w:hAnsi="宋体"/>
                <w:sz w:val="24"/>
                <w:szCs w:val="24"/>
              </w:rPr>
              <w:t>（总价）</w:t>
            </w:r>
          </w:p>
        </w:tc>
        <w:tc>
          <w:tcPr>
            <w:tcW w:w="3805" w:type="dxa"/>
            <w:vAlign w:val="center"/>
          </w:tcPr>
          <w:p>
            <w:pPr>
              <w:snapToGrid w:val="0"/>
              <w:spacing w:line="360" w:lineRule="auto"/>
              <w:jc w:val="left"/>
              <w:rPr>
                <w:rFonts w:ascii="宋体" w:hAnsi="宋体"/>
                <w:sz w:val="24"/>
                <w:szCs w:val="24"/>
                <w:u w:val="single"/>
              </w:rPr>
            </w:pPr>
            <w:r>
              <w:rPr>
                <w:rFonts w:ascii="宋体" w:hAnsi="宋体"/>
                <w:sz w:val="24"/>
                <w:szCs w:val="24"/>
              </w:rPr>
              <w:t>小写金额</w:t>
            </w:r>
            <w:r>
              <w:rPr>
                <w:rFonts w:hint="eastAsia" w:ascii="宋体" w:hAnsi="宋体"/>
                <w:sz w:val="24"/>
                <w:szCs w:val="24"/>
              </w:rPr>
              <w:t>：</w:t>
            </w:r>
            <w:r>
              <w:rPr>
                <w:rFonts w:hint="eastAsia" w:ascii="宋体" w:hAnsi="宋体"/>
                <w:color w:val="000000" w:themeColor="text1"/>
                <w:sz w:val="24"/>
                <w:szCs w:val="24"/>
                <w14:textFill>
                  <w14:solidFill>
                    <w14:schemeClr w14:val="tx1"/>
                  </w14:solidFill>
                </w14:textFill>
              </w:rPr>
              <w:t>¥</w:t>
            </w:r>
          </w:p>
          <w:p>
            <w:pPr>
              <w:snapToGrid w:val="0"/>
              <w:spacing w:line="360" w:lineRule="auto"/>
              <w:jc w:val="left"/>
              <w:rPr>
                <w:rFonts w:ascii="宋体" w:hAnsi="宋体"/>
                <w:sz w:val="24"/>
                <w:szCs w:val="24"/>
              </w:rPr>
            </w:pPr>
            <w:r>
              <w:rPr>
                <w:rFonts w:hint="eastAsia" w:ascii="宋体" w:hAnsi="宋体"/>
                <w:sz w:val="24"/>
                <w:szCs w:val="24"/>
              </w:rPr>
              <w:t>大写金额（人民币）：</w:t>
            </w:r>
          </w:p>
        </w:tc>
        <w:tc>
          <w:tcPr>
            <w:tcW w:w="2322" w:type="dxa"/>
            <w:vAlign w:val="center"/>
          </w:tcPr>
          <w:p>
            <w:pPr>
              <w:snapToGrid w:val="0"/>
              <w:spacing w:line="360"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exact"/>
          <w:jc w:val="center"/>
        </w:trPr>
        <w:tc>
          <w:tcPr>
            <w:tcW w:w="699" w:type="dxa"/>
            <w:vAlign w:val="center"/>
          </w:tcPr>
          <w:p>
            <w:pPr>
              <w:snapToGrid w:val="0"/>
              <w:spacing w:line="360" w:lineRule="auto"/>
              <w:jc w:val="center"/>
              <w:rPr>
                <w:rFonts w:ascii="宋体" w:hAnsi="宋体"/>
                <w:sz w:val="24"/>
                <w:szCs w:val="24"/>
              </w:rPr>
            </w:pPr>
            <w:r>
              <w:rPr>
                <w:rFonts w:hint="eastAsia" w:ascii="宋体" w:hAnsi="宋体"/>
                <w:sz w:val="24"/>
                <w:szCs w:val="24"/>
              </w:rPr>
              <w:t>4</w:t>
            </w:r>
          </w:p>
        </w:tc>
        <w:tc>
          <w:tcPr>
            <w:tcW w:w="2460" w:type="dxa"/>
            <w:vAlign w:val="center"/>
          </w:tcPr>
          <w:p>
            <w:pPr>
              <w:snapToGrid w:val="0"/>
              <w:spacing w:line="360" w:lineRule="auto"/>
              <w:jc w:val="center"/>
              <w:rPr>
                <w:rFonts w:ascii="宋体" w:hAnsi="宋体"/>
                <w:sz w:val="24"/>
                <w:szCs w:val="24"/>
              </w:rPr>
            </w:pPr>
            <w:r>
              <w:rPr>
                <w:rFonts w:hint="eastAsia" w:ascii="宋体" w:hAnsi="宋体" w:cs="宋体"/>
                <w:b w:val="0"/>
                <w:bCs w:val="0"/>
                <w:sz w:val="24"/>
                <w:szCs w:val="24"/>
                <w:highlight w:val="none"/>
                <w:shd w:val="clear"/>
                <w:vertAlign w:val="baseline"/>
                <w:lang w:eastAsia="zh-CN"/>
              </w:rPr>
              <w:t>项目交付期限</w:t>
            </w:r>
          </w:p>
        </w:tc>
        <w:tc>
          <w:tcPr>
            <w:tcW w:w="3805" w:type="dxa"/>
            <w:vAlign w:val="center"/>
          </w:tcPr>
          <w:p>
            <w:pPr>
              <w:snapToGrid w:val="0"/>
              <w:spacing w:line="360" w:lineRule="auto"/>
              <w:jc w:val="left"/>
              <w:rPr>
                <w:rFonts w:ascii="宋体" w:hAnsi="宋体"/>
                <w:sz w:val="24"/>
                <w:szCs w:val="24"/>
              </w:rPr>
            </w:pPr>
          </w:p>
        </w:tc>
        <w:tc>
          <w:tcPr>
            <w:tcW w:w="2322" w:type="dxa"/>
            <w:vAlign w:val="center"/>
          </w:tcPr>
          <w:p>
            <w:pPr>
              <w:snapToGrid w:val="0"/>
              <w:spacing w:line="360"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699" w:type="dxa"/>
            <w:vAlign w:val="center"/>
          </w:tcPr>
          <w:p>
            <w:pPr>
              <w:snapToGrid w:val="0"/>
              <w:spacing w:line="360" w:lineRule="auto"/>
              <w:jc w:val="center"/>
              <w:rPr>
                <w:rFonts w:ascii="宋体" w:hAnsi="宋体"/>
                <w:sz w:val="24"/>
                <w:szCs w:val="24"/>
              </w:rPr>
            </w:pPr>
            <w:r>
              <w:rPr>
                <w:rFonts w:hint="eastAsia" w:ascii="宋体" w:hAnsi="宋体"/>
                <w:sz w:val="24"/>
                <w:szCs w:val="24"/>
              </w:rPr>
              <w:t>5</w:t>
            </w:r>
          </w:p>
        </w:tc>
        <w:tc>
          <w:tcPr>
            <w:tcW w:w="2460" w:type="dxa"/>
            <w:vAlign w:val="center"/>
          </w:tcPr>
          <w:p>
            <w:pPr>
              <w:snapToGrid w:val="0"/>
              <w:spacing w:line="360" w:lineRule="auto"/>
              <w:jc w:val="center"/>
              <w:rPr>
                <w:rFonts w:hint="eastAsia" w:ascii="宋体" w:hAnsi="宋体" w:eastAsia="宋体"/>
                <w:sz w:val="24"/>
                <w:szCs w:val="24"/>
                <w:lang w:eastAsia="zh-CN"/>
              </w:rPr>
            </w:pPr>
            <w:r>
              <w:rPr>
                <w:rFonts w:hint="eastAsia" w:ascii="宋体" w:hAnsi="宋体"/>
                <w:sz w:val="24"/>
                <w:szCs w:val="24"/>
              </w:rPr>
              <w:t>服务</w:t>
            </w:r>
            <w:r>
              <w:rPr>
                <w:rFonts w:hint="eastAsia" w:ascii="宋体" w:hAnsi="宋体"/>
                <w:sz w:val="24"/>
                <w:szCs w:val="24"/>
                <w:lang w:eastAsia="zh-CN"/>
              </w:rPr>
              <w:t>标准</w:t>
            </w:r>
          </w:p>
        </w:tc>
        <w:tc>
          <w:tcPr>
            <w:tcW w:w="3805" w:type="dxa"/>
            <w:vAlign w:val="center"/>
          </w:tcPr>
          <w:p>
            <w:pPr>
              <w:snapToGrid w:val="0"/>
              <w:spacing w:line="360" w:lineRule="auto"/>
              <w:jc w:val="center"/>
              <w:rPr>
                <w:rFonts w:ascii="宋体" w:hAnsi="宋体"/>
                <w:sz w:val="24"/>
                <w:szCs w:val="24"/>
              </w:rPr>
            </w:pPr>
          </w:p>
        </w:tc>
        <w:tc>
          <w:tcPr>
            <w:tcW w:w="2322" w:type="dxa"/>
            <w:vAlign w:val="center"/>
          </w:tcPr>
          <w:p>
            <w:pPr>
              <w:snapToGrid w:val="0"/>
              <w:spacing w:line="360"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exact"/>
          <w:jc w:val="center"/>
        </w:trPr>
        <w:tc>
          <w:tcPr>
            <w:tcW w:w="699" w:type="dxa"/>
            <w:vAlign w:val="center"/>
          </w:tcPr>
          <w:p>
            <w:pPr>
              <w:snapToGrid w:val="0"/>
              <w:spacing w:line="360" w:lineRule="auto"/>
              <w:jc w:val="center"/>
              <w:rPr>
                <w:rFonts w:ascii="宋体" w:hAnsi="宋体"/>
                <w:sz w:val="24"/>
                <w:szCs w:val="24"/>
              </w:rPr>
            </w:pPr>
            <w:r>
              <w:rPr>
                <w:rFonts w:hint="eastAsia" w:ascii="宋体" w:hAnsi="宋体"/>
                <w:sz w:val="24"/>
                <w:szCs w:val="24"/>
              </w:rPr>
              <w:t>6</w:t>
            </w:r>
          </w:p>
        </w:tc>
        <w:tc>
          <w:tcPr>
            <w:tcW w:w="2460" w:type="dxa"/>
            <w:vAlign w:val="center"/>
          </w:tcPr>
          <w:p>
            <w:pPr>
              <w:snapToGrid w:val="0"/>
              <w:spacing w:line="360" w:lineRule="auto"/>
              <w:jc w:val="center"/>
              <w:rPr>
                <w:rFonts w:ascii="宋体" w:hAnsi="宋体"/>
                <w:sz w:val="24"/>
                <w:szCs w:val="24"/>
              </w:rPr>
            </w:pPr>
            <w:r>
              <w:rPr>
                <w:rFonts w:ascii="宋体" w:hAnsi="宋体"/>
                <w:sz w:val="24"/>
                <w:szCs w:val="24"/>
              </w:rPr>
              <w:t>其他声明</w:t>
            </w:r>
            <w:r>
              <w:rPr>
                <w:rFonts w:hint="eastAsia" w:ascii="宋体" w:hAnsi="宋体"/>
                <w:sz w:val="24"/>
                <w:szCs w:val="24"/>
              </w:rPr>
              <w:t>（承诺）</w:t>
            </w:r>
          </w:p>
        </w:tc>
        <w:tc>
          <w:tcPr>
            <w:tcW w:w="3805" w:type="dxa"/>
            <w:vAlign w:val="center"/>
          </w:tcPr>
          <w:p>
            <w:pPr>
              <w:snapToGrid w:val="0"/>
              <w:spacing w:line="360" w:lineRule="auto"/>
              <w:jc w:val="center"/>
              <w:rPr>
                <w:rFonts w:ascii="宋体" w:hAnsi="宋体"/>
                <w:sz w:val="24"/>
                <w:szCs w:val="24"/>
              </w:rPr>
            </w:pPr>
          </w:p>
        </w:tc>
        <w:tc>
          <w:tcPr>
            <w:tcW w:w="2322" w:type="dxa"/>
            <w:vAlign w:val="center"/>
          </w:tcPr>
          <w:p>
            <w:pPr>
              <w:snapToGrid w:val="0"/>
              <w:spacing w:line="360" w:lineRule="auto"/>
              <w:jc w:val="center"/>
              <w:rPr>
                <w:rFonts w:ascii="宋体" w:hAnsi="宋体"/>
                <w:sz w:val="24"/>
                <w:szCs w:val="24"/>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w:t>
      </w:r>
    </w:p>
    <w:p>
      <w:pPr>
        <w:keepNext w:val="0"/>
        <w:keepLines w:val="0"/>
        <w:widowControl/>
        <w:suppressLineNumbers w:val="0"/>
        <w:spacing w:line="360" w:lineRule="auto"/>
        <w:jc w:val="left"/>
        <w:rPr>
          <w:sz w:val="24"/>
          <w:szCs w:val="24"/>
        </w:rPr>
      </w:pPr>
      <w:r>
        <w:rPr>
          <w:rFonts w:hint="eastAsia" w:ascii="宋体" w:hAnsi="宋体" w:eastAsia="宋体" w:cs="宋体"/>
          <w:b w:val="0"/>
          <w:bCs w:val="0"/>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报价应按磋商总价填写，最多保留小数点后两位。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2、此开标一览表</w:t>
      </w:r>
      <w:r>
        <w:rPr>
          <w:rFonts w:hint="eastAsia" w:ascii="宋体" w:hAnsi="宋体" w:cs="宋体"/>
          <w:color w:val="000000"/>
          <w:kern w:val="0"/>
          <w:sz w:val="24"/>
          <w:szCs w:val="24"/>
          <w:lang w:val="en-US" w:eastAsia="zh-CN" w:bidi="ar"/>
        </w:rPr>
        <w:t>磋商</w:t>
      </w:r>
      <w:r>
        <w:rPr>
          <w:rFonts w:hint="eastAsia" w:ascii="宋体" w:hAnsi="宋体" w:eastAsia="宋体" w:cs="宋体"/>
          <w:color w:val="000000"/>
          <w:kern w:val="0"/>
          <w:sz w:val="24"/>
          <w:szCs w:val="24"/>
          <w:lang w:val="en-US" w:eastAsia="zh-CN" w:bidi="ar"/>
        </w:rPr>
        <w:t xml:space="preserve">报价与磋商函报价一致。 </w:t>
      </w:r>
    </w:p>
    <w:p>
      <w:pPr>
        <w:keepNext w:val="0"/>
        <w:keepLines w:val="0"/>
        <w:widowControl/>
        <w:suppressLineNumbers w:val="0"/>
        <w:ind w:firstLine="5760" w:firstLineChars="24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5760" w:firstLineChars="24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5760" w:firstLineChars="24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5760" w:firstLineChars="24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5760" w:firstLineChars="24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ind w:firstLine="4080" w:firstLineChars="1700"/>
        <w:jc w:val="left"/>
      </w:pPr>
      <w:r>
        <w:rPr>
          <w:rFonts w:hint="eastAsia" w:ascii="宋体" w:hAnsi="宋体" w:eastAsia="宋体" w:cs="宋体"/>
          <w:color w:val="000000"/>
          <w:kern w:val="0"/>
          <w:sz w:val="24"/>
          <w:szCs w:val="24"/>
          <w:lang w:val="en-US" w:eastAsia="zh-CN" w:bidi="ar"/>
        </w:rPr>
        <w:t xml:space="preserve">供应商：（盖章） </w:t>
      </w:r>
    </w:p>
    <w:p>
      <w:pPr>
        <w:keepNext w:val="0"/>
        <w:keepLines w:val="0"/>
        <w:widowControl/>
        <w:suppressLineNumbers w:val="0"/>
        <w:spacing w:line="360" w:lineRule="auto"/>
        <w:ind w:firstLine="4080" w:firstLineChars="1700"/>
        <w:jc w:val="left"/>
      </w:pPr>
      <w:r>
        <w:rPr>
          <w:rFonts w:hint="eastAsia" w:ascii="宋体" w:hAnsi="宋体" w:eastAsia="宋体" w:cs="宋体"/>
          <w:color w:val="000000"/>
          <w:kern w:val="0"/>
          <w:sz w:val="24"/>
          <w:szCs w:val="24"/>
          <w:lang w:val="en-US" w:eastAsia="zh-CN" w:bidi="ar"/>
        </w:rPr>
        <w:t xml:space="preserve">法定代表人（签名或盖章）： </w:t>
      </w:r>
    </w:p>
    <w:p>
      <w:pPr>
        <w:keepNext w:val="0"/>
        <w:keepLines w:val="0"/>
        <w:widowControl/>
        <w:suppressLineNumbers w:val="0"/>
        <w:spacing w:line="360" w:lineRule="auto"/>
        <w:ind w:firstLine="4080" w:firstLineChars="17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 年 月 日</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pStyle w:val="10"/>
        <w:numPr>
          <w:ilvl w:val="0"/>
          <w:numId w:val="3"/>
        </w:numPr>
        <w:jc w:val="center"/>
        <w:outlineLvl w:val="1"/>
        <w:rPr>
          <w:rFonts w:hint="eastAsia" w:ascii="宋体" w:hAnsi="宋体" w:eastAsia="宋体" w:cs="宋体"/>
          <w:b/>
          <w:bCs/>
          <w:color w:val="000000"/>
          <w:kern w:val="0"/>
          <w:sz w:val="31"/>
          <w:szCs w:val="31"/>
          <w:lang w:val="en-US" w:eastAsia="zh-CN" w:bidi="ar"/>
        </w:rPr>
      </w:pPr>
      <w:bookmarkStart w:id="37" w:name="_Toc16867"/>
      <w:r>
        <w:rPr>
          <w:rFonts w:hint="eastAsia" w:ascii="宋体" w:hAnsi="宋体" w:eastAsia="宋体" w:cs="宋体"/>
          <w:b/>
          <w:bCs/>
          <w:color w:val="000000"/>
          <w:kern w:val="0"/>
          <w:sz w:val="31"/>
          <w:szCs w:val="31"/>
          <w:lang w:val="en-US" w:eastAsia="zh-CN" w:bidi="ar"/>
        </w:rPr>
        <w:t>技术要求偏离表</w:t>
      </w:r>
      <w:bookmarkEnd w:id="37"/>
    </w:p>
    <w:p>
      <w:pPr>
        <w:pStyle w:val="11"/>
        <w:numPr>
          <w:ilvl w:val="0"/>
          <w:numId w:val="0"/>
        </w:numPr>
        <w:rPr>
          <w:rFonts w:hint="default"/>
          <w:lang w:val="en-US" w:eastAsia="zh-CN"/>
        </w:rPr>
      </w:pPr>
      <w:r>
        <w:rPr>
          <w:rFonts w:hint="eastAsia"/>
          <w:lang w:val="en-US" w:eastAsia="zh-CN"/>
        </w:rPr>
        <w:t>采购项目名称：                                                 项目编号：</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696"/>
        <w:gridCol w:w="1704"/>
        <w:gridCol w:w="1704"/>
        <w:gridCol w:w="17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l2br w:val="nil"/>
              <w:tr2bl w:val="nil"/>
            </w:tcBorders>
          </w:tcPr>
          <w:p>
            <w:pPr>
              <w:pStyle w:val="11"/>
              <w:numPr>
                <w:ilvl w:val="0"/>
                <w:numId w:val="0"/>
              </w:numPr>
              <w:jc w:val="center"/>
              <w:rPr>
                <w:rFonts w:hint="default"/>
                <w:vertAlign w:val="baseline"/>
                <w:lang w:val="en-US" w:eastAsia="zh-CN"/>
              </w:rPr>
            </w:pPr>
            <w:r>
              <w:rPr>
                <w:rFonts w:hint="eastAsia"/>
                <w:vertAlign w:val="baseline"/>
                <w:lang w:val="en-US" w:eastAsia="zh-CN"/>
              </w:rPr>
              <w:t>序号</w:t>
            </w:r>
          </w:p>
        </w:tc>
        <w:tc>
          <w:tcPr>
            <w:tcW w:w="2696" w:type="dxa"/>
            <w:tcBorders>
              <w:tl2br w:val="nil"/>
              <w:tr2bl w:val="nil"/>
            </w:tcBorders>
          </w:tcPr>
          <w:p>
            <w:pPr>
              <w:pStyle w:val="11"/>
              <w:numPr>
                <w:ilvl w:val="0"/>
                <w:numId w:val="0"/>
              </w:numPr>
              <w:jc w:val="center"/>
              <w:rPr>
                <w:rFonts w:hint="default"/>
                <w:vertAlign w:val="baseline"/>
                <w:lang w:val="en-US" w:eastAsia="zh-CN"/>
              </w:rPr>
            </w:pPr>
            <w:r>
              <w:rPr>
                <w:rFonts w:hint="eastAsia"/>
                <w:vertAlign w:val="baseline"/>
                <w:lang w:val="en-US" w:eastAsia="zh-CN"/>
              </w:rPr>
              <w:t>名称</w:t>
            </w:r>
          </w:p>
        </w:tc>
        <w:tc>
          <w:tcPr>
            <w:tcW w:w="1704" w:type="dxa"/>
            <w:tcBorders>
              <w:tl2br w:val="nil"/>
              <w:tr2bl w:val="nil"/>
            </w:tcBorders>
          </w:tcPr>
          <w:p>
            <w:pPr>
              <w:pStyle w:val="11"/>
              <w:numPr>
                <w:ilvl w:val="0"/>
                <w:numId w:val="0"/>
              </w:numPr>
              <w:jc w:val="center"/>
              <w:rPr>
                <w:rFonts w:hint="default"/>
                <w:vertAlign w:val="baseline"/>
                <w:lang w:val="en-US" w:eastAsia="zh-CN"/>
              </w:rPr>
            </w:pPr>
            <w:r>
              <w:rPr>
                <w:rFonts w:hint="eastAsia"/>
                <w:vertAlign w:val="baseline"/>
                <w:lang w:val="en-US" w:eastAsia="zh-CN"/>
              </w:rPr>
              <w:t>磋商文件要求</w:t>
            </w:r>
          </w:p>
        </w:tc>
        <w:tc>
          <w:tcPr>
            <w:tcW w:w="1704" w:type="dxa"/>
            <w:tcBorders>
              <w:tl2br w:val="nil"/>
              <w:tr2bl w:val="nil"/>
            </w:tcBorders>
          </w:tcPr>
          <w:p>
            <w:pPr>
              <w:pStyle w:val="11"/>
              <w:numPr>
                <w:ilvl w:val="0"/>
                <w:numId w:val="0"/>
              </w:numPr>
              <w:jc w:val="center"/>
              <w:rPr>
                <w:rFonts w:hint="default"/>
                <w:vertAlign w:val="baseline"/>
                <w:lang w:val="en-US" w:eastAsia="zh-CN"/>
              </w:rPr>
            </w:pPr>
            <w:r>
              <w:rPr>
                <w:rFonts w:hint="eastAsia"/>
                <w:vertAlign w:val="baseline"/>
                <w:lang w:val="en-US" w:eastAsia="zh-CN"/>
              </w:rPr>
              <w:t>磋商响应</w:t>
            </w:r>
          </w:p>
        </w:tc>
        <w:tc>
          <w:tcPr>
            <w:tcW w:w="1704" w:type="dxa"/>
            <w:tcBorders>
              <w:tl2br w:val="nil"/>
              <w:tr2bl w:val="nil"/>
            </w:tcBorders>
          </w:tcPr>
          <w:p>
            <w:pPr>
              <w:pStyle w:val="11"/>
              <w:numPr>
                <w:ilvl w:val="0"/>
                <w:numId w:val="0"/>
              </w:numPr>
              <w:jc w:val="center"/>
              <w:rPr>
                <w:rFonts w:hint="eastAsia"/>
                <w:vertAlign w:val="baseline"/>
                <w:lang w:val="en-US" w:eastAsia="zh-CN"/>
              </w:rPr>
            </w:pPr>
            <w:r>
              <w:rPr>
                <w:rFonts w:hint="eastAsia"/>
                <w:vertAlign w:val="baseline"/>
                <w:lang w:val="en-US" w:eastAsia="zh-CN"/>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l2br w:val="nil"/>
              <w:tr2bl w:val="nil"/>
            </w:tcBorders>
          </w:tcPr>
          <w:p>
            <w:pPr>
              <w:pStyle w:val="11"/>
              <w:numPr>
                <w:ilvl w:val="0"/>
                <w:numId w:val="0"/>
              </w:numPr>
              <w:jc w:val="center"/>
              <w:rPr>
                <w:rFonts w:hint="default"/>
                <w:vertAlign w:val="baseline"/>
                <w:lang w:val="en-US" w:eastAsia="zh-CN"/>
              </w:rPr>
            </w:pPr>
          </w:p>
        </w:tc>
        <w:tc>
          <w:tcPr>
            <w:tcW w:w="2696"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l2br w:val="nil"/>
              <w:tr2bl w:val="nil"/>
            </w:tcBorders>
          </w:tcPr>
          <w:p>
            <w:pPr>
              <w:pStyle w:val="11"/>
              <w:numPr>
                <w:ilvl w:val="0"/>
                <w:numId w:val="0"/>
              </w:numPr>
              <w:jc w:val="center"/>
              <w:rPr>
                <w:rFonts w:hint="default"/>
                <w:vertAlign w:val="baseline"/>
                <w:lang w:val="en-US" w:eastAsia="zh-CN"/>
              </w:rPr>
            </w:pPr>
          </w:p>
        </w:tc>
        <w:tc>
          <w:tcPr>
            <w:tcW w:w="2696"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l2br w:val="nil"/>
              <w:tr2bl w:val="nil"/>
            </w:tcBorders>
          </w:tcPr>
          <w:p>
            <w:pPr>
              <w:pStyle w:val="11"/>
              <w:numPr>
                <w:ilvl w:val="0"/>
                <w:numId w:val="0"/>
              </w:numPr>
              <w:jc w:val="center"/>
              <w:rPr>
                <w:rFonts w:hint="default"/>
                <w:vertAlign w:val="baseline"/>
                <w:lang w:val="en-US" w:eastAsia="zh-CN"/>
              </w:rPr>
            </w:pPr>
          </w:p>
        </w:tc>
        <w:tc>
          <w:tcPr>
            <w:tcW w:w="2696"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l2br w:val="nil"/>
              <w:tr2bl w:val="nil"/>
            </w:tcBorders>
          </w:tcPr>
          <w:p>
            <w:pPr>
              <w:pStyle w:val="11"/>
              <w:numPr>
                <w:ilvl w:val="0"/>
                <w:numId w:val="0"/>
              </w:numPr>
              <w:jc w:val="center"/>
              <w:rPr>
                <w:rFonts w:hint="default"/>
                <w:vertAlign w:val="baseline"/>
                <w:lang w:val="en-US" w:eastAsia="zh-CN"/>
              </w:rPr>
            </w:pPr>
          </w:p>
        </w:tc>
        <w:tc>
          <w:tcPr>
            <w:tcW w:w="2696"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l2br w:val="nil"/>
              <w:tr2bl w:val="nil"/>
            </w:tcBorders>
          </w:tcPr>
          <w:p>
            <w:pPr>
              <w:pStyle w:val="11"/>
              <w:numPr>
                <w:ilvl w:val="0"/>
                <w:numId w:val="0"/>
              </w:numPr>
              <w:jc w:val="center"/>
              <w:rPr>
                <w:rFonts w:hint="default"/>
                <w:vertAlign w:val="baseline"/>
                <w:lang w:val="en-US" w:eastAsia="zh-CN"/>
              </w:rPr>
            </w:pPr>
          </w:p>
        </w:tc>
        <w:tc>
          <w:tcPr>
            <w:tcW w:w="2696"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l2br w:val="nil"/>
              <w:tr2bl w:val="nil"/>
            </w:tcBorders>
          </w:tcPr>
          <w:p>
            <w:pPr>
              <w:pStyle w:val="11"/>
              <w:numPr>
                <w:ilvl w:val="0"/>
                <w:numId w:val="0"/>
              </w:numPr>
              <w:jc w:val="center"/>
              <w:rPr>
                <w:rFonts w:hint="default"/>
                <w:vertAlign w:val="baseline"/>
                <w:lang w:val="en-US" w:eastAsia="zh-CN"/>
              </w:rPr>
            </w:pPr>
          </w:p>
        </w:tc>
        <w:tc>
          <w:tcPr>
            <w:tcW w:w="2696"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l2br w:val="nil"/>
              <w:tr2bl w:val="nil"/>
            </w:tcBorders>
          </w:tcPr>
          <w:p>
            <w:pPr>
              <w:pStyle w:val="11"/>
              <w:numPr>
                <w:ilvl w:val="0"/>
                <w:numId w:val="0"/>
              </w:numPr>
              <w:jc w:val="center"/>
              <w:rPr>
                <w:rFonts w:hint="default"/>
                <w:vertAlign w:val="baseline"/>
                <w:lang w:val="en-US" w:eastAsia="zh-CN"/>
              </w:rPr>
            </w:pPr>
          </w:p>
        </w:tc>
        <w:tc>
          <w:tcPr>
            <w:tcW w:w="2696"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c>
          <w:tcPr>
            <w:tcW w:w="1704" w:type="dxa"/>
            <w:tcBorders>
              <w:tl2br w:val="nil"/>
              <w:tr2bl w:val="nil"/>
            </w:tcBorders>
          </w:tcPr>
          <w:p>
            <w:pPr>
              <w:pStyle w:val="11"/>
              <w:numPr>
                <w:ilvl w:val="0"/>
                <w:numId w:val="0"/>
              </w:numPr>
              <w:jc w:val="center"/>
              <w:rPr>
                <w:rFonts w:hint="default"/>
                <w:vertAlign w:val="baseline"/>
                <w:lang w:val="en-US" w:eastAsia="zh-CN"/>
              </w:rPr>
            </w:pPr>
          </w:p>
        </w:tc>
      </w:tr>
    </w:tbl>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注：1. 本表应严格按照“第四章 采购需求”中的技术要求填写；“磋商文件要求”须按磋商文件的技术要求填写；“磋商响应”为供应商所提供的参数；“偏离及其影响”填写：优于或低于。若完全响应磋商文件的不用再此表列出。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2．供应商必须据实填写，不得虚假响应，否则将取消其磋商或中标资格，并按有关规定进行处罚。</w:t>
      </w:r>
      <w:r>
        <w:rPr>
          <w:rFonts w:hint="eastAsia" w:ascii="宋体" w:hAnsi="宋体" w:eastAsia="宋体" w:cs="宋体"/>
          <w:color w:val="000000"/>
          <w:kern w:val="0"/>
          <w:sz w:val="22"/>
          <w:szCs w:val="22"/>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ind w:firstLine="4080" w:firstLineChars="1700"/>
        <w:jc w:val="left"/>
      </w:pPr>
      <w:r>
        <w:rPr>
          <w:rFonts w:hint="eastAsia" w:ascii="宋体" w:hAnsi="宋体" w:eastAsia="宋体" w:cs="宋体"/>
          <w:color w:val="000000"/>
          <w:kern w:val="0"/>
          <w:sz w:val="24"/>
          <w:szCs w:val="24"/>
          <w:lang w:val="en-US" w:eastAsia="zh-CN" w:bidi="ar"/>
        </w:rPr>
        <w:t xml:space="preserve">供应商：（盖章） </w:t>
      </w:r>
    </w:p>
    <w:p>
      <w:pPr>
        <w:keepNext w:val="0"/>
        <w:keepLines w:val="0"/>
        <w:widowControl/>
        <w:suppressLineNumbers w:val="0"/>
        <w:spacing w:line="360" w:lineRule="auto"/>
        <w:ind w:firstLine="4080" w:firstLineChars="1700"/>
        <w:jc w:val="left"/>
      </w:pPr>
      <w:r>
        <w:rPr>
          <w:rFonts w:hint="eastAsia" w:ascii="宋体" w:hAnsi="宋体" w:eastAsia="宋体" w:cs="宋体"/>
          <w:color w:val="000000"/>
          <w:kern w:val="0"/>
          <w:sz w:val="24"/>
          <w:szCs w:val="24"/>
          <w:lang w:val="en-US" w:eastAsia="zh-CN" w:bidi="ar"/>
        </w:rPr>
        <w:t xml:space="preserve">法定代表人（签名或盖章）： </w:t>
      </w:r>
    </w:p>
    <w:p>
      <w:pPr>
        <w:keepNext w:val="0"/>
        <w:keepLines w:val="0"/>
        <w:widowControl/>
        <w:suppressLineNumbers w:val="0"/>
        <w:spacing w:line="360" w:lineRule="auto"/>
        <w:ind w:firstLine="4080" w:firstLineChars="17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 年 月 日</w:t>
      </w:r>
    </w:p>
    <w:p>
      <w:pPr>
        <w:numPr>
          <w:ilvl w:val="0"/>
          <w:numId w:val="3"/>
        </w:numPr>
        <w:ind w:left="0" w:leftChars="0" w:firstLine="0" w:firstLineChars="0"/>
        <w:jc w:val="center"/>
        <w:outlineLvl w:val="1"/>
        <w:rPr>
          <w:rFonts w:hint="eastAsia" w:ascii="宋体" w:hAnsi="宋体" w:eastAsia="宋体" w:cs="宋体"/>
          <w:b/>
          <w:bCs/>
          <w:color w:val="000000"/>
          <w:kern w:val="0"/>
          <w:sz w:val="31"/>
          <w:szCs w:val="31"/>
          <w:lang w:val="en-US" w:eastAsia="zh-CN" w:bidi="ar"/>
        </w:rPr>
      </w:pPr>
      <w:r>
        <w:rPr>
          <w:rFonts w:hint="eastAsia" w:ascii="宋体" w:hAnsi="宋体" w:eastAsia="宋体" w:cs="宋体"/>
          <w:color w:val="000000"/>
          <w:kern w:val="0"/>
          <w:sz w:val="24"/>
          <w:szCs w:val="24"/>
          <w:lang w:val="en-US" w:eastAsia="zh-CN" w:bidi="ar"/>
        </w:rPr>
        <w:br w:type="page"/>
      </w:r>
      <w:bookmarkStart w:id="38" w:name="_Toc5469"/>
      <w:r>
        <w:rPr>
          <w:rFonts w:hint="eastAsia" w:ascii="宋体" w:hAnsi="宋体" w:eastAsia="宋体" w:cs="宋体"/>
          <w:b/>
          <w:bCs/>
          <w:color w:val="000000"/>
          <w:kern w:val="0"/>
          <w:sz w:val="31"/>
          <w:szCs w:val="31"/>
          <w:lang w:val="en-US" w:eastAsia="zh-CN" w:bidi="ar"/>
        </w:rPr>
        <w:t>商务响应偏离表</w:t>
      </w:r>
      <w:bookmarkEnd w:id="38"/>
    </w:p>
    <w:p>
      <w:pPr>
        <w:numPr>
          <w:ilvl w:val="0"/>
          <w:numId w:val="0"/>
        </w:numPr>
        <w:ind w:leftChars="0"/>
        <w:jc w:val="both"/>
        <w:rPr>
          <w:rFonts w:hint="default"/>
          <w:lang w:val="en-US" w:eastAsia="zh-CN"/>
        </w:rPr>
      </w:pPr>
      <w:r>
        <w:rPr>
          <w:rFonts w:hint="eastAsia"/>
          <w:lang w:val="en-US" w:eastAsia="zh-CN"/>
        </w:rPr>
        <w:t>采购项目名称：                                                 项目编号：</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3120"/>
        <w:gridCol w:w="2928"/>
        <w:gridCol w:w="15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Borders>
              <w:tl2br w:val="nil"/>
              <w:tr2bl w:val="nil"/>
            </w:tcBorders>
          </w:tcPr>
          <w:p>
            <w:pPr>
              <w:pStyle w:val="11"/>
              <w:numPr>
                <w:ilvl w:val="0"/>
                <w:numId w:val="0"/>
              </w:numPr>
              <w:jc w:val="center"/>
              <w:rPr>
                <w:rFonts w:hint="default"/>
                <w:vertAlign w:val="baseline"/>
                <w:lang w:val="en-US" w:eastAsia="zh-CN"/>
              </w:rPr>
            </w:pPr>
            <w:r>
              <w:rPr>
                <w:rFonts w:hint="eastAsia"/>
                <w:vertAlign w:val="baseline"/>
                <w:lang w:val="en-US" w:eastAsia="zh-CN"/>
              </w:rPr>
              <w:t>序号</w:t>
            </w:r>
          </w:p>
        </w:tc>
        <w:tc>
          <w:tcPr>
            <w:tcW w:w="3120" w:type="dxa"/>
            <w:tcBorders>
              <w:tl2br w:val="nil"/>
              <w:tr2bl w:val="nil"/>
            </w:tcBorders>
          </w:tcPr>
          <w:p>
            <w:pPr>
              <w:pStyle w:val="11"/>
              <w:numPr>
                <w:ilvl w:val="0"/>
                <w:numId w:val="0"/>
              </w:numPr>
              <w:jc w:val="center"/>
              <w:rPr>
                <w:rFonts w:hint="default"/>
                <w:vertAlign w:val="baseline"/>
                <w:lang w:val="en-US" w:eastAsia="zh-CN"/>
              </w:rPr>
            </w:pPr>
            <w:r>
              <w:rPr>
                <w:rFonts w:hint="eastAsia"/>
                <w:vertAlign w:val="baseline"/>
                <w:lang w:val="en-US" w:eastAsia="zh-CN"/>
              </w:rPr>
              <w:t>磋商文件商务要求</w:t>
            </w:r>
          </w:p>
        </w:tc>
        <w:tc>
          <w:tcPr>
            <w:tcW w:w="2928" w:type="dxa"/>
            <w:tcBorders>
              <w:tl2br w:val="nil"/>
              <w:tr2bl w:val="nil"/>
            </w:tcBorders>
          </w:tcPr>
          <w:p>
            <w:pPr>
              <w:pStyle w:val="11"/>
              <w:numPr>
                <w:ilvl w:val="0"/>
                <w:numId w:val="0"/>
              </w:numPr>
              <w:jc w:val="center"/>
              <w:rPr>
                <w:rFonts w:hint="default"/>
                <w:vertAlign w:val="baseline"/>
                <w:lang w:val="en-US" w:eastAsia="zh-CN"/>
              </w:rPr>
            </w:pPr>
            <w:r>
              <w:rPr>
                <w:rFonts w:hint="eastAsia"/>
                <w:vertAlign w:val="baseline"/>
                <w:lang w:val="en-US" w:eastAsia="zh-CN"/>
              </w:rPr>
              <w:t>磋商响应</w:t>
            </w:r>
          </w:p>
        </w:tc>
        <w:tc>
          <w:tcPr>
            <w:tcW w:w="1584" w:type="dxa"/>
            <w:tcBorders>
              <w:tl2br w:val="nil"/>
              <w:tr2bl w:val="nil"/>
            </w:tcBorders>
          </w:tcPr>
          <w:p>
            <w:pPr>
              <w:pStyle w:val="11"/>
              <w:numPr>
                <w:ilvl w:val="0"/>
                <w:numId w:val="0"/>
              </w:numPr>
              <w:jc w:val="center"/>
              <w:rPr>
                <w:rFonts w:hint="eastAsia"/>
                <w:vertAlign w:val="baseline"/>
                <w:lang w:val="en-US" w:eastAsia="zh-CN"/>
              </w:rPr>
            </w:pPr>
            <w:r>
              <w:rPr>
                <w:rFonts w:hint="eastAsia"/>
                <w:vertAlign w:val="baseline"/>
                <w:lang w:val="en-US" w:eastAsia="zh-CN"/>
              </w:rPr>
              <w:t>偏离及影响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Borders>
              <w:tl2br w:val="nil"/>
              <w:tr2bl w:val="nil"/>
            </w:tcBorders>
          </w:tcPr>
          <w:p>
            <w:pPr>
              <w:pStyle w:val="11"/>
              <w:numPr>
                <w:ilvl w:val="0"/>
                <w:numId w:val="0"/>
              </w:numPr>
              <w:jc w:val="center"/>
              <w:rPr>
                <w:rFonts w:hint="default"/>
                <w:vertAlign w:val="baseline"/>
                <w:lang w:val="en-US" w:eastAsia="zh-CN"/>
              </w:rPr>
            </w:pPr>
          </w:p>
        </w:tc>
        <w:tc>
          <w:tcPr>
            <w:tcW w:w="3120" w:type="dxa"/>
            <w:tcBorders>
              <w:tl2br w:val="nil"/>
              <w:tr2bl w:val="nil"/>
            </w:tcBorders>
          </w:tcPr>
          <w:p>
            <w:pPr>
              <w:pStyle w:val="11"/>
              <w:numPr>
                <w:ilvl w:val="0"/>
                <w:numId w:val="0"/>
              </w:numPr>
              <w:jc w:val="center"/>
              <w:rPr>
                <w:rFonts w:hint="default"/>
                <w:vertAlign w:val="baseline"/>
                <w:lang w:val="en-US" w:eastAsia="zh-CN"/>
              </w:rPr>
            </w:pPr>
          </w:p>
        </w:tc>
        <w:tc>
          <w:tcPr>
            <w:tcW w:w="2928" w:type="dxa"/>
            <w:tcBorders>
              <w:tl2br w:val="nil"/>
              <w:tr2bl w:val="nil"/>
            </w:tcBorders>
          </w:tcPr>
          <w:p>
            <w:pPr>
              <w:pStyle w:val="11"/>
              <w:numPr>
                <w:ilvl w:val="0"/>
                <w:numId w:val="0"/>
              </w:numPr>
              <w:jc w:val="center"/>
              <w:rPr>
                <w:rFonts w:hint="default"/>
                <w:vertAlign w:val="baseline"/>
                <w:lang w:val="en-US" w:eastAsia="zh-CN"/>
              </w:rPr>
            </w:pPr>
          </w:p>
        </w:tc>
        <w:tc>
          <w:tcPr>
            <w:tcW w:w="1584" w:type="dxa"/>
            <w:tcBorders>
              <w:tl2br w:val="nil"/>
              <w:tr2bl w:val="nil"/>
            </w:tcBorders>
          </w:tcPr>
          <w:p>
            <w:pPr>
              <w:pStyle w:val="11"/>
              <w:numPr>
                <w:ilvl w:val="0"/>
                <w:numId w:val="0"/>
              </w:numPr>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Borders>
              <w:tl2br w:val="nil"/>
              <w:tr2bl w:val="nil"/>
            </w:tcBorders>
          </w:tcPr>
          <w:p>
            <w:pPr>
              <w:pStyle w:val="11"/>
              <w:numPr>
                <w:ilvl w:val="0"/>
                <w:numId w:val="0"/>
              </w:numPr>
              <w:jc w:val="center"/>
              <w:rPr>
                <w:rFonts w:hint="default"/>
                <w:vertAlign w:val="baseline"/>
                <w:lang w:val="en-US" w:eastAsia="zh-CN"/>
              </w:rPr>
            </w:pPr>
          </w:p>
        </w:tc>
        <w:tc>
          <w:tcPr>
            <w:tcW w:w="3120" w:type="dxa"/>
            <w:tcBorders>
              <w:tl2br w:val="nil"/>
              <w:tr2bl w:val="nil"/>
            </w:tcBorders>
          </w:tcPr>
          <w:p>
            <w:pPr>
              <w:pStyle w:val="11"/>
              <w:numPr>
                <w:ilvl w:val="0"/>
                <w:numId w:val="0"/>
              </w:numPr>
              <w:jc w:val="center"/>
              <w:rPr>
                <w:rFonts w:hint="default"/>
                <w:vertAlign w:val="baseline"/>
                <w:lang w:val="en-US" w:eastAsia="zh-CN"/>
              </w:rPr>
            </w:pPr>
          </w:p>
        </w:tc>
        <w:tc>
          <w:tcPr>
            <w:tcW w:w="2928" w:type="dxa"/>
            <w:tcBorders>
              <w:tl2br w:val="nil"/>
              <w:tr2bl w:val="nil"/>
            </w:tcBorders>
          </w:tcPr>
          <w:p>
            <w:pPr>
              <w:pStyle w:val="11"/>
              <w:numPr>
                <w:ilvl w:val="0"/>
                <w:numId w:val="0"/>
              </w:numPr>
              <w:jc w:val="center"/>
              <w:rPr>
                <w:rFonts w:hint="default"/>
                <w:vertAlign w:val="baseline"/>
                <w:lang w:val="en-US" w:eastAsia="zh-CN"/>
              </w:rPr>
            </w:pPr>
          </w:p>
        </w:tc>
        <w:tc>
          <w:tcPr>
            <w:tcW w:w="1584" w:type="dxa"/>
            <w:tcBorders>
              <w:tl2br w:val="nil"/>
              <w:tr2bl w:val="nil"/>
            </w:tcBorders>
          </w:tcPr>
          <w:p>
            <w:pPr>
              <w:pStyle w:val="11"/>
              <w:numPr>
                <w:ilvl w:val="0"/>
                <w:numId w:val="0"/>
              </w:numPr>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Borders>
              <w:tl2br w:val="nil"/>
              <w:tr2bl w:val="nil"/>
            </w:tcBorders>
          </w:tcPr>
          <w:p>
            <w:pPr>
              <w:pStyle w:val="11"/>
              <w:numPr>
                <w:ilvl w:val="0"/>
                <w:numId w:val="0"/>
              </w:numPr>
              <w:jc w:val="center"/>
              <w:rPr>
                <w:rFonts w:hint="default"/>
                <w:vertAlign w:val="baseline"/>
                <w:lang w:val="en-US" w:eastAsia="zh-CN"/>
              </w:rPr>
            </w:pPr>
          </w:p>
        </w:tc>
        <w:tc>
          <w:tcPr>
            <w:tcW w:w="3120" w:type="dxa"/>
            <w:tcBorders>
              <w:tl2br w:val="nil"/>
              <w:tr2bl w:val="nil"/>
            </w:tcBorders>
          </w:tcPr>
          <w:p>
            <w:pPr>
              <w:pStyle w:val="11"/>
              <w:numPr>
                <w:ilvl w:val="0"/>
                <w:numId w:val="0"/>
              </w:numPr>
              <w:jc w:val="center"/>
              <w:rPr>
                <w:rFonts w:hint="default"/>
                <w:vertAlign w:val="baseline"/>
                <w:lang w:val="en-US" w:eastAsia="zh-CN"/>
              </w:rPr>
            </w:pPr>
          </w:p>
        </w:tc>
        <w:tc>
          <w:tcPr>
            <w:tcW w:w="2928" w:type="dxa"/>
            <w:tcBorders>
              <w:tl2br w:val="nil"/>
              <w:tr2bl w:val="nil"/>
            </w:tcBorders>
          </w:tcPr>
          <w:p>
            <w:pPr>
              <w:pStyle w:val="11"/>
              <w:numPr>
                <w:ilvl w:val="0"/>
                <w:numId w:val="0"/>
              </w:numPr>
              <w:jc w:val="center"/>
              <w:rPr>
                <w:rFonts w:hint="default"/>
                <w:vertAlign w:val="baseline"/>
                <w:lang w:val="en-US" w:eastAsia="zh-CN"/>
              </w:rPr>
            </w:pPr>
          </w:p>
        </w:tc>
        <w:tc>
          <w:tcPr>
            <w:tcW w:w="1584" w:type="dxa"/>
            <w:tcBorders>
              <w:tl2br w:val="nil"/>
              <w:tr2bl w:val="nil"/>
            </w:tcBorders>
          </w:tcPr>
          <w:p>
            <w:pPr>
              <w:pStyle w:val="11"/>
              <w:numPr>
                <w:ilvl w:val="0"/>
                <w:numId w:val="0"/>
              </w:numPr>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Borders>
              <w:tl2br w:val="nil"/>
              <w:tr2bl w:val="nil"/>
            </w:tcBorders>
          </w:tcPr>
          <w:p>
            <w:pPr>
              <w:pStyle w:val="11"/>
              <w:numPr>
                <w:ilvl w:val="0"/>
                <w:numId w:val="0"/>
              </w:numPr>
              <w:jc w:val="center"/>
              <w:rPr>
                <w:rFonts w:hint="default"/>
                <w:vertAlign w:val="baseline"/>
                <w:lang w:val="en-US" w:eastAsia="zh-CN"/>
              </w:rPr>
            </w:pPr>
          </w:p>
        </w:tc>
        <w:tc>
          <w:tcPr>
            <w:tcW w:w="3120" w:type="dxa"/>
            <w:tcBorders>
              <w:tl2br w:val="nil"/>
              <w:tr2bl w:val="nil"/>
            </w:tcBorders>
          </w:tcPr>
          <w:p>
            <w:pPr>
              <w:pStyle w:val="11"/>
              <w:numPr>
                <w:ilvl w:val="0"/>
                <w:numId w:val="0"/>
              </w:numPr>
              <w:jc w:val="center"/>
              <w:rPr>
                <w:rFonts w:hint="default"/>
                <w:vertAlign w:val="baseline"/>
                <w:lang w:val="en-US" w:eastAsia="zh-CN"/>
              </w:rPr>
            </w:pPr>
          </w:p>
        </w:tc>
        <w:tc>
          <w:tcPr>
            <w:tcW w:w="2928" w:type="dxa"/>
            <w:tcBorders>
              <w:tl2br w:val="nil"/>
              <w:tr2bl w:val="nil"/>
            </w:tcBorders>
          </w:tcPr>
          <w:p>
            <w:pPr>
              <w:pStyle w:val="11"/>
              <w:numPr>
                <w:ilvl w:val="0"/>
                <w:numId w:val="0"/>
              </w:numPr>
              <w:jc w:val="center"/>
              <w:rPr>
                <w:rFonts w:hint="default"/>
                <w:vertAlign w:val="baseline"/>
                <w:lang w:val="en-US" w:eastAsia="zh-CN"/>
              </w:rPr>
            </w:pPr>
          </w:p>
        </w:tc>
        <w:tc>
          <w:tcPr>
            <w:tcW w:w="1584" w:type="dxa"/>
            <w:tcBorders>
              <w:tl2br w:val="nil"/>
              <w:tr2bl w:val="nil"/>
            </w:tcBorders>
          </w:tcPr>
          <w:p>
            <w:pPr>
              <w:pStyle w:val="11"/>
              <w:numPr>
                <w:ilvl w:val="0"/>
                <w:numId w:val="0"/>
              </w:numPr>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Borders>
              <w:tl2br w:val="nil"/>
              <w:tr2bl w:val="nil"/>
            </w:tcBorders>
          </w:tcPr>
          <w:p>
            <w:pPr>
              <w:pStyle w:val="11"/>
              <w:numPr>
                <w:ilvl w:val="0"/>
                <w:numId w:val="0"/>
              </w:numPr>
              <w:jc w:val="center"/>
              <w:rPr>
                <w:rFonts w:hint="default"/>
                <w:vertAlign w:val="baseline"/>
                <w:lang w:val="en-US" w:eastAsia="zh-CN"/>
              </w:rPr>
            </w:pPr>
          </w:p>
        </w:tc>
        <w:tc>
          <w:tcPr>
            <w:tcW w:w="3120" w:type="dxa"/>
            <w:tcBorders>
              <w:tl2br w:val="nil"/>
              <w:tr2bl w:val="nil"/>
            </w:tcBorders>
          </w:tcPr>
          <w:p>
            <w:pPr>
              <w:pStyle w:val="11"/>
              <w:numPr>
                <w:ilvl w:val="0"/>
                <w:numId w:val="0"/>
              </w:numPr>
              <w:jc w:val="center"/>
              <w:rPr>
                <w:rFonts w:hint="default"/>
                <w:vertAlign w:val="baseline"/>
                <w:lang w:val="en-US" w:eastAsia="zh-CN"/>
              </w:rPr>
            </w:pPr>
          </w:p>
        </w:tc>
        <w:tc>
          <w:tcPr>
            <w:tcW w:w="2928" w:type="dxa"/>
            <w:tcBorders>
              <w:tl2br w:val="nil"/>
              <w:tr2bl w:val="nil"/>
            </w:tcBorders>
          </w:tcPr>
          <w:p>
            <w:pPr>
              <w:pStyle w:val="11"/>
              <w:numPr>
                <w:ilvl w:val="0"/>
                <w:numId w:val="0"/>
              </w:numPr>
              <w:jc w:val="center"/>
              <w:rPr>
                <w:rFonts w:hint="default"/>
                <w:vertAlign w:val="baseline"/>
                <w:lang w:val="en-US" w:eastAsia="zh-CN"/>
              </w:rPr>
            </w:pPr>
          </w:p>
        </w:tc>
        <w:tc>
          <w:tcPr>
            <w:tcW w:w="1584" w:type="dxa"/>
            <w:tcBorders>
              <w:tl2br w:val="nil"/>
              <w:tr2bl w:val="nil"/>
            </w:tcBorders>
          </w:tcPr>
          <w:p>
            <w:pPr>
              <w:pStyle w:val="11"/>
              <w:numPr>
                <w:ilvl w:val="0"/>
                <w:numId w:val="0"/>
              </w:numPr>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Borders>
              <w:tl2br w:val="nil"/>
              <w:tr2bl w:val="nil"/>
            </w:tcBorders>
          </w:tcPr>
          <w:p>
            <w:pPr>
              <w:pStyle w:val="11"/>
              <w:numPr>
                <w:ilvl w:val="0"/>
                <w:numId w:val="0"/>
              </w:numPr>
              <w:jc w:val="center"/>
              <w:rPr>
                <w:rFonts w:hint="default"/>
                <w:vertAlign w:val="baseline"/>
                <w:lang w:val="en-US" w:eastAsia="zh-CN"/>
              </w:rPr>
            </w:pPr>
          </w:p>
        </w:tc>
        <w:tc>
          <w:tcPr>
            <w:tcW w:w="3120" w:type="dxa"/>
            <w:tcBorders>
              <w:tl2br w:val="nil"/>
              <w:tr2bl w:val="nil"/>
            </w:tcBorders>
          </w:tcPr>
          <w:p>
            <w:pPr>
              <w:pStyle w:val="11"/>
              <w:numPr>
                <w:ilvl w:val="0"/>
                <w:numId w:val="0"/>
              </w:numPr>
              <w:jc w:val="center"/>
              <w:rPr>
                <w:rFonts w:hint="default"/>
                <w:vertAlign w:val="baseline"/>
                <w:lang w:val="en-US" w:eastAsia="zh-CN"/>
              </w:rPr>
            </w:pPr>
          </w:p>
        </w:tc>
        <w:tc>
          <w:tcPr>
            <w:tcW w:w="2928" w:type="dxa"/>
            <w:tcBorders>
              <w:tl2br w:val="nil"/>
              <w:tr2bl w:val="nil"/>
            </w:tcBorders>
          </w:tcPr>
          <w:p>
            <w:pPr>
              <w:pStyle w:val="11"/>
              <w:numPr>
                <w:ilvl w:val="0"/>
                <w:numId w:val="0"/>
              </w:numPr>
              <w:jc w:val="center"/>
              <w:rPr>
                <w:rFonts w:hint="default"/>
                <w:vertAlign w:val="baseline"/>
                <w:lang w:val="en-US" w:eastAsia="zh-CN"/>
              </w:rPr>
            </w:pPr>
          </w:p>
        </w:tc>
        <w:tc>
          <w:tcPr>
            <w:tcW w:w="1584" w:type="dxa"/>
            <w:tcBorders>
              <w:tl2br w:val="nil"/>
              <w:tr2bl w:val="nil"/>
            </w:tcBorders>
          </w:tcPr>
          <w:p>
            <w:pPr>
              <w:pStyle w:val="11"/>
              <w:numPr>
                <w:ilvl w:val="0"/>
                <w:numId w:val="0"/>
              </w:numPr>
              <w:jc w:val="center"/>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Borders>
              <w:tl2br w:val="nil"/>
              <w:tr2bl w:val="nil"/>
            </w:tcBorders>
          </w:tcPr>
          <w:p>
            <w:pPr>
              <w:pStyle w:val="11"/>
              <w:numPr>
                <w:ilvl w:val="0"/>
                <w:numId w:val="0"/>
              </w:numPr>
              <w:jc w:val="center"/>
              <w:rPr>
                <w:rFonts w:hint="default"/>
                <w:vertAlign w:val="baseline"/>
                <w:lang w:val="en-US" w:eastAsia="zh-CN"/>
              </w:rPr>
            </w:pPr>
          </w:p>
        </w:tc>
        <w:tc>
          <w:tcPr>
            <w:tcW w:w="3120" w:type="dxa"/>
            <w:tcBorders>
              <w:tl2br w:val="nil"/>
              <w:tr2bl w:val="nil"/>
            </w:tcBorders>
          </w:tcPr>
          <w:p>
            <w:pPr>
              <w:pStyle w:val="11"/>
              <w:numPr>
                <w:ilvl w:val="0"/>
                <w:numId w:val="0"/>
              </w:numPr>
              <w:jc w:val="center"/>
              <w:rPr>
                <w:rFonts w:hint="default"/>
                <w:vertAlign w:val="baseline"/>
                <w:lang w:val="en-US" w:eastAsia="zh-CN"/>
              </w:rPr>
            </w:pPr>
          </w:p>
        </w:tc>
        <w:tc>
          <w:tcPr>
            <w:tcW w:w="2928" w:type="dxa"/>
            <w:tcBorders>
              <w:tl2br w:val="nil"/>
              <w:tr2bl w:val="nil"/>
            </w:tcBorders>
          </w:tcPr>
          <w:p>
            <w:pPr>
              <w:pStyle w:val="11"/>
              <w:numPr>
                <w:ilvl w:val="0"/>
                <w:numId w:val="0"/>
              </w:numPr>
              <w:jc w:val="center"/>
              <w:rPr>
                <w:rFonts w:hint="default"/>
                <w:vertAlign w:val="baseline"/>
                <w:lang w:val="en-US" w:eastAsia="zh-CN"/>
              </w:rPr>
            </w:pPr>
          </w:p>
        </w:tc>
        <w:tc>
          <w:tcPr>
            <w:tcW w:w="1584" w:type="dxa"/>
            <w:tcBorders>
              <w:tl2br w:val="nil"/>
              <w:tr2bl w:val="nil"/>
            </w:tcBorders>
          </w:tcPr>
          <w:p>
            <w:pPr>
              <w:pStyle w:val="11"/>
              <w:numPr>
                <w:ilvl w:val="0"/>
                <w:numId w:val="0"/>
              </w:numPr>
              <w:jc w:val="center"/>
              <w:rPr>
                <w:rFonts w:hint="default"/>
                <w:vertAlign w:val="baseline"/>
                <w:lang w:val="en-US" w:eastAsia="zh-CN"/>
              </w:rPr>
            </w:pPr>
          </w:p>
        </w:tc>
      </w:tr>
    </w:tbl>
    <w:p>
      <w:pPr>
        <w:rPr>
          <w:rFonts w:hint="eastAsia" w:ascii="宋体" w:hAnsi="宋体" w:eastAsia="宋体" w:cs="宋体"/>
          <w:b/>
          <w:bCs/>
          <w:color w:val="000000"/>
          <w:kern w:val="0"/>
          <w:sz w:val="30"/>
          <w:szCs w:val="30"/>
          <w:lang w:val="en-US" w:eastAsia="zh-CN" w:bidi="ar"/>
        </w:rPr>
      </w:pP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注：1. 本表应严格按照“第</w:t>
      </w:r>
      <w:r>
        <w:rPr>
          <w:rFonts w:hint="eastAsia" w:ascii="宋体" w:hAnsi="宋体" w:cs="宋体"/>
          <w:color w:val="000000"/>
          <w:kern w:val="0"/>
          <w:sz w:val="24"/>
          <w:szCs w:val="24"/>
          <w:lang w:val="en-US" w:eastAsia="zh-CN" w:bidi="ar"/>
        </w:rPr>
        <w:t>五</w:t>
      </w:r>
      <w:r>
        <w:rPr>
          <w:rFonts w:hint="eastAsia" w:ascii="宋体" w:hAnsi="宋体" w:eastAsia="宋体" w:cs="宋体"/>
          <w:color w:val="000000"/>
          <w:kern w:val="0"/>
          <w:sz w:val="24"/>
          <w:szCs w:val="24"/>
          <w:lang w:val="en-US" w:eastAsia="zh-CN" w:bidi="ar"/>
        </w:rPr>
        <w:t xml:space="preserve">章 </w:t>
      </w:r>
      <w:r>
        <w:rPr>
          <w:rFonts w:hint="eastAsia" w:ascii="宋体" w:hAnsi="宋体" w:cs="宋体"/>
          <w:color w:val="000000"/>
          <w:kern w:val="0"/>
          <w:sz w:val="24"/>
          <w:szCs w:val="24"/>
          <w:lang w:val="en-US" w:eastAsia="zh-CN" w:bidi="ar"/>
        </w:rPr>
        <w:t>商务要求</w:t>
      </w:r>
      <w:r>
        <w:rPr>
          <w:rFonts w:hint="eastAsia" w:ascii="宋体" w:hAnsi="宋体" w:eastAsia="宋体" w:cs="宋体"/>
          <w:color w:val="000000"/>
          <w:kern w:val="0"/>
          <w:sz w:val="24"/>
          <w:szCs w:val="24"/>
          <w:lang w:val="en-US" w:eastAsia="zh-CN" w:bidi="ar"/>
        </w:rPr>
        <w:t>”中</w:t>
      </w:r>
      <w:r>
        <w:rPr>
          <w:rFonts w:hint="eastAsia" w:ascii="宋体" w:hAnsi="宋体" w:cs="宋体"/>
          <w:color w:val="000000"/>
          <w:kern w:val="0"/>
          <w:sz w:val="24"/>
          <w:szCs w:val="24"/>
          <w:lang w:val="en-US" w:eastAsia="zh-CN" w:bidi="ar"/>
        </w:rPr>
        <w:t>所包含</w:t>
      </w:r>
      <w:r>
        <w:rPr>
          <w:rFonts w:hint="eastAsia" w:ascii="宋体" w:hAnsi="宋体" w:eastAsia="宋体" w:cs="宋体"/>
          <w:color w:val="000000"/>
          <w:kern w:val="0"/>
          <w:sz w:val="24"/>
          <w:szCs w:val="24"/>
          <w:lang w:val="en-US" w:eastAsia="zh-CN" w:bidi="ar"/>
        </w:rPr>
        <w:t>的</w:t>
      </w:r>
      <w:r>
        <w:rPr>
          <w:rFonts w:hint="eastAsia" w:ascii="宋体" w:hAnsi="宋体" w:cs="宋体"/>
          <w:color w:val="000000"/>
          <w:kern w:val="0"/>
          <w:sz w:val="24"/>
          <w:szCs w:val="24"/>
          <w:lang w:val="en-US" w:eastAsia="zh-CN" w:bidi="ar"/>
        </w:rPr>
        <w:t>商务条款进行</w:t>
      </w:r>
      <w:r>
        <w:rPr>
          <w:rFonts w:hint="eastAsia" w:ascii="宋体" w:hAnsi="宋体" w:eastAsia="宋体" w:cs="宋体"/>
          <w:color w:val="000000"/>
          <w:kern w:val="0"/>
          <w:sz w:val="24"/>
          <w:szCs w:val="24"/>
          <w:lang w:val="en-US" w:eastAsia="zh-CN" w:bidi="ar"/>
        </w:rPr>
        <w:t>填写；“磋商文件</w:t>
      </w:r>
      <w:r>
        <w:rPr>
          <w:rFonts w:hint="eastAsia" w:ascii="宋体" w:hAnsi="宋体" w:cs="宋体"/>
          <w:color w:val="000000"/>
          <w:kern w:val="0"/>
          <w:sz w:val="24"/>
          <w:szCs w:val="24"/>
          <w:lang w:val="en-US" w:eastAsia="zh-CN" w:bidi="ar"/>
        </w:rPr>
        <w:t>商务</w:t>
      </w:r>
      <w:r>
        <w:rPr>
          <w:rFonts w:hint="eastAsia" w:ascii="宋体" w:hAnsi="宋体" w:eastAsia="宋体" w:cs="宋体"/>
          <w:color w:val="000000"/>
          <w:kern w:val="0"/>
          <w:sz w:val="24"/>
          <w:szCs w:val="24"/>
          <w:lang w:val="en-US" w:eastAsia="zh-CN" w:bidi="ar"/>
        </w:rPr>
        <w:t>要求”须按磋商文件的</w:t>
      </w:r>
      <w:r>
        <w:rPr>
          <w:rFonts w:hint="eastAsia" w:ascii="宋体" w:hAnsi="宋体" w:cs="宋体"/>
          <w:color w:val="000000"/>
          <w:kern w:val="0"/>
          <w:sz w:val="24"/>
          <w:szCs w:val="24"/>
          <w:lang w:val="en-US" w:eastAsia="zh-CN" w:bidi="ar"/>
        </w:rPr>
        <w:t>商务</w:t>
      </w:r>
      <w:r>
        <w:rPr>
          <w:rFonts w:hint="eastAsia" w:ascii="宋体" w:hAnsi="宋体" w:eastAsia="宋体" w:cs="宋体"/>
          <w:color w:val="000000"/>
          <w:kern w:val="0"/>
          <w:sz w:val="24"/>
          <w:szCs w:val="24"/>
          <w:lang w:val="en-US" w:eastAsia="zh-CN" w:bidi="ar"/>
        </w:rPr>
        <w:t>要求填写；“磋商响应”为供应商所</w:t>
      </w:r>
      <w:r>
        <w:rPr>
          <w:rFonts w:hint="eastAsia" w:ascii="宋体" w:hAnsi="宋体" w:cs="宋体"/>
          <w:color w:val="000000"/>
          <w:kern w:val="0"/>
          <w:sz w:val="24"/>
          <w:szCs w:val="24"/>
          <w:lang w:val="en-US" w:eastAsia="zh-CN" w:bidi="ar"/>
        </w:rPr>
        <w:t>响应的商务条款</w:t>
      </w:r>
      <w:r>
        <w:rPr>
          <w:rFonts w:hint="eastAsia" w:ascii="宋体" w:hAnsi="宋体" w:eastAsia="宋体" w:cs="宋体"/>
          <w:color w:val="000000"/>
          <w:kern w:val="0"/>
          <w:sz w:val="24"/>
          <w:szCs w:val="24"/>
          <w:lang w:val="en-US" w:eastAsia="zh-CN" w:bidi="ar"/>
        </w:rPr>
        <w:t xml:space="preserve">；“偏离及其影响”填写：优于或低于。若完全响应磋商文件的不用再此表列出。 </w:t>
      </w:r>
    </w:p>
    <w:p>
      <w:pPr>
        <w:numPr>
          <w:ilvl w:val="0"/>
          <w:numId w:val="4"/>
        </w:numPr>
        <w:spacing w:line="360" w:lineRule="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供应商必须据实填写，不得虚假响应，否则将取消其磋商或中标资格，并按有关规定进行处罚。</w:t>
      </w:r>
    </w:p>
    <w:p>
      <w:pPr>
        <w:numPr>
          <w:ilvl w:val="0"/>
          <w:numId w:val="0"/>
        </w:numPr>
        <w:spacing w:line="360" w:lineRule="auto"/>
        <w:rPr>
          <w:rFonts w:hint="eastAsia" w:ascii="宋体" w:hAnsi="宋体" w:eastAsia="宋体" w:cs="宋体"/>
          <w:b/>
          <w:bCs/>
          <w:color w:val="000000"/>
          <w:kern w:val="0"/>
          <w:sz w:val="30"/>
          <w:szCs w:val="30"/>
          <w:lang w:val="en-US" w:eastAsia="zh-CN" w:bidi="ar"/>
        </w:rPr>
      </w:pPr>
    </w:p>
    <w:p>
      <w:pPr>
        <w:numPr>
          <w:ilvl w:val="0"/>
          <w:numId w:val="0"/>
        </w:numPr>
        <w:spacing w:line="360" w:lineRule="auto"/>
        <w:rPr>
          <w:rFonts w:hint="eastAsia" w:ascii="宋体" w:hAnsi="宋体" w:eastAsia="宋体" w:cs="宋体"/>
          <w:b/>
          <w:bCs/>
          <w:color w:val="000000"/>
          <w:kern w:val="0"/>
          <w:sz w:val="30"/>
          <w:szCs w:val="30"/>
          <w:lang w:val="en-US" w:eastAsia="zh-CN" w:bidi="ar"/>
        </w:rPr>
      </w:pPr>
    </w:p>
    <w:p>
      <w:pPr>
        <w:keepNext w:val="0"/>
        <w:keepLines w:val="0"/>
        <w:widowControl/>
        <w:suppressLineNumbers w:val="0"/>
        <w:spacing w:line="360" w:lineRule="auto"/>
        <w:ind w:firstLine="4080" w:firstLineChars="1700"/>
        <w:jc w:val="left"/>
      </w:pPr>
      <w:r>
        <w:rPr>
          <w:rFonts w:hint="eastAsia" w:ascii="宋体" w:hAnsi="宋体" w:eastAsia="宋体" w:cs="宋体"/>
          <w:color w:val="000000"/>
          <w:kern w:val="0"/>
          <w:sz w:val="24"/>
          <w:szCs w:val="24"/>
          <w:lang w:val="en-US" w:eastAsia="zh-CN" w:bidi="ar"/>
        </w:rPr>
        <w:t xml:space="preserve">供应商：（盖章） </w:t>
      </w:r>
    </w:p>
    <w:p>
      <w:pPr>
        <w:keepNext w:val="0"/>
        <w:keepLines w:val="0"/>
        <w:widowControl/>
        <w:suppressLineNumbers w:val="0"/>
        <w:spacing w:line="360" w:lineRule="auto"/>
        <w:ind w:firstLine="4080" w:firstLineChars="1700"/>
        <w:jc w:val="left"/>
      </w:pPr>
      <w:r>
        <w:rPr>
          <w:rFonts w:hint="eastAsia" w:ascii="宋体" w:hAnsi="宋体" w:eastAsia="宋体" w:cs="宋体"/>
          <w:color w:val="000000"/>
          <w:kern w:val="0"/>
          <w:sz w:val="24"/>
          <w:szCs w:val="24"/>
          <w:lang w:val="en-US" w:eastAsia="zh-CN" w:bidi="ar"/>
        </w:rPr>
        <w:t xml:space="preserve">法定代表人（签名或盖章）： </w:t>
      </w:r>
    </w:p>
    <w:p>
      <w:pPr>
        <w:numPr>
          <w:ilvl w:val="0"/>
          <w:numId w:val="0"/>
        </w:numPr>
        <w:spacing w:line="360" w:lineRule="auto"/>
        <w:ind w:firstLine="4080" w:firstLineChars="17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 年 月 日</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pStyle w:val="4"/>
        <w:jc w:val="center"/>
        <w:outlineLvl w:val="1"/>
        <w:rPr>
          <w:rFonts w:hint="eastAsia" w:eastAsia="宋体"/>
          <w:b/>
          <w:bCs/>
          <w:sz w:val="32"/>
          <w:lang w:eastAsia="zh-CN"/>
        </w:rPr>
      </w:pPr>
      <w:bookmarkStart w:id="39" w:name="_Toc561"/>
      <w:r>
        <w:rPr>
          <w:rFonts w:hint="eastAsia"/>
          <w:b/>
          <w:bCs/>
          <w:sz w:val="32"/>
          <w:lang w:eastAsia="zh-CN"/>
        </w:rPr>
        <w:t>五、项目实施方案</w:t>
      </w:r>
      <w:bookmarkEnd w:id="39"/>
    </w:p>
    <w:p>
      <w:pPr>
        <w:widowControl/>
        <w:jc w:val="center"/>
        <w:rPr>
          <w:rFonts w:hint="eastAsia" w:ascii="宋体" w:hAnsi="宋体" w:eastAsia="宋体"/>
          <w:b w:val="0"/>
          <w:bCs w:val="0"/>
          <w:sz w:val="24"/>
          <w:szCs w:val="24"/>
          <w:lang w:eastAsia="zh-CN"/>
        </w:rPr>
        <w:sectPr>
          <w:footerReference r:id="rId5" w:type="default"/>
          <w:pgSz w:w="11906" w:h="16838"/>
          <w:pgMar w:top="1418" w:right="1418" w:bottom="1418" w:left="1418" w:header="964" w:footer="964" w:gutter="0"/>
          <w:pgNumType w:fmt="numberInDash" w:start="1"/>
          <w:cols w:space="720" w:num="1"/>
          <w:docGrid w:linePitch="312" w:charSpace="0"/>
        </w:sectPr>
      </w:pPr>
      <w:r>
        <w:rPr>
          <w:rFonts w:hint="eastAsia" w:ascii="宋体" w:hAnsi="宋体"/>
          <w:b w:val="0"/>
          <w:bCs w:val="0"/>
          <w:sz w:val="24"/>
          <w:szCs w:val="24"/>
          <w:lang w:eastAsia="zh-CN"/>
        </w:rPr>
        <w:t>（格式自拟，内容包含但不限于评审内容</w:t>
      </w:r>
      <w:r>
        <w:rPr>
          <w:rFonts w:hint="eastAsia" w:ascii="宋体" w:hAnsi="宋体" w:cs="宋体"/>
          <w:b w:val="0"/>
          <w:bCs w:val="0"/>
          <w:sz w:val="24"/>
          <w:szCs w:val="24"/>
        </w:rPr>
        <w:t>技术</w:t>
      </w:r>
      <w:r>
        <w:rPr>
          <w:rFonts w:hint="eastAsia" w:ascii="宋体" w:hAnsi="宋体" w:cs="宋体"/>
          <w:b w:val="0"/>
          <w:bCs w:val="0"/>
          <w:sz w:val="24"/>
          <w:szCs w:val="24"/>
          <w:lang w:eastAsia="zh-CN"/>
        </w:rPr>
        <w:t>部分及商务部分所包含内容</w:t>
      </w:r>
      <w:r>
        <w:rPr>
          <w:rFonts w:hint="eastAsia" w:ascii="宋体" w:hAnsi="宋体"/>
          <w:b w:val="0"/>
          <w:bCs w:val="0"/>
          <w:sz w:val="24"/>
          <w:szCs w:val="24"/>
          <w:lang w:eastAsia="zh-CN"/>
        </w:rPr>
        <w:t>）</w:t>
      </w:r>
    </w:p>
    <w:p>
      <w:pPr>
        <w:numPr>
          <w:ilvl w:val="0"/>
          <w:numId w:val="0"/>
        </w:numPr>
        <w:spacing w:line="360" w:lineRule="auto"/>
        <w:ind w:leftChars="0"/>
        <w:jc w:val="center"/>
        <w:outlineLvl w:val="1"/>
        <w:rPr>
          <w:rFonts w:hint="eastAsia" w:ascii="宋体" w:hAnsi="宋体" w:eastAsia="宋体" w:cs="宋体"/>
          <w:b/>
          <w:bCs/>
          <w:color w:val="000000"/>
          <w:kern w:val="0"/>
          <w:sz w:val="30"/>
          <w:szCs w:val="30"/>
          <w:lang w:val="en-US" w:eastAsia="zh-CN" w:bidi="ar"/>
        </w:rPr>
      </w:pPr>
      <w:bookmarkStart w:id="40" w:name="_Toc24286"/>
      <w:r>
        <w:rPr>
          <w:rFonts w:hint="eastAsia" w:ascii="宋体" w:hAnsi="宋体" w:cs="宋体"/>
          <w:b/>
          <w:bCs/>
          <w:color w:val="000000"/>
          <w:kern w:val="0"/>
          <w:sz w:val="30"/>
          <w:szCs w:val="30"/>
          <w:lang w:val="en-US" w:eastAsia="zh-CN" w:bidi="ar"/>
        </w:rPr>
        <w:t>六</w:t>
      </w:r>
      <w:r>
        <w:rPr>
          <w:rFonts w:hint="eastAsia" w:ascii="宋体" w:hAnsi="宋体" w:eastAsia="宋体" w:cs="宋体"/>
          <w:b/>
          <w:bCs/>
          <w:color w:val="000000"/>
          <w:kern w:val="0"/>
          <w:sz w:val="30"/>
          <w:szCs w:val="30"/>
          <w:lang w:val="en-US" w:eastAsia="zh-CN" w:bidi="ar"/>
        </w:rPr>
        <w:t>、资格证明文件</w:t>
      </w:r>
      <w:bookmarkEnd w:id="40"/>
    </w:p>
    <w:p>
      <w:pPr>
        <w:keepNext w:val="0"/>
        <w:keepLines w:val="0"/>
        <w:widowControl/>
        <w:suppressLineNumbers w:val="0"/>
        <w:spacing w:line="480" w:lineRule="auto"/>
        <w:jc w:val="left"/>
        <w:outlineLvl w:val="9"/>
      </w:pPr>
      <w:bookmarkStart w:id="41" w:name="_Toc5253"/>
      <w:r>
        <w:rPr>
          <w:rFonts w:hint="eastAsia" w:ascii="宋体" w:hAnsi="宋体" w:eastAsia="宋体" w:cs="宋体"/>
          <w:b/>
          <w:bCs/>
          <w:color w:val="000000"/>
          <w:kern w:val="0"/>
          <w:sz w:val="28"/>
          <w:szCs w:val="28"/>
          <w:lang w:val="en-US" w:eastAsia="zh-CN" w:bidi="ar"/>
        </w:rPr>
        <w:t>供应商参加本次磋商必须提供以下资格证明文件</w:t>
      </w:r>
      <w:r>
        <w:rPr>
          <w:rFonts w:hint="eastAsia" w:ascii="宋体" w:hAnsi="宋体" w:eastAsia="宋体" w:cs="宋体"/>
          <w:b/>
          <w:bCs/>
          <w:color w:val="000000"/>
          <w:kern w:val="0"/>
          <w:sz w:val="24"/>
          <w:szCs w:val="24"/>
          <w:lang w:val="en-US" w:eastAsia="zh-CN" w:bidi="ar"/>
        </w:rPr>
        <w:t>：</w:t>
      </w:r>
      <w:bookmarkEnd w:id="41"/>
      <w:r>
        <w:rPr>
          <w:rFonts w:hint="eastAsia" w:ascii="宋体" w:hAnsi="宋体" w:eastAsia="宋体" w:cs="宋体"/>
          <w:b/>
          <w:bCs/>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rPr>
      </w:pPr>
      <w:r>
        <w:rPr>
          <w:rFonts w:hint="eastAsia" w:ascii="宋体" w:hAnsi="宋体" w:cs="宋体"/>
          <w:i w:val="0"/>
          <w:iCs w:val="0"/>
          <w:caps w:val="0"/>
          <w:color w:val="333333"/>
          <w:spacing w:val="0"/>
          <w:sz w:val="24"/>
          <w:szCs w:val="24"/>
          <w:shd w:val="clear" w:fill="FFFFFF"/>
          <w:lang w:eastAsia="zh-CN"/>
        </w:rPr>
        <w:t>（</w:t>
      </w:r>
      <w:r>
        <w:rPr>
          <w:rFonts w:hint="eastAsia" w:ascii="宋体" w:hAnsi="宋体" w:cs="宋体"/>
          <w:i w:val="0"/>
          <w:iCs w:val="0"/>
          <w:caps w:val="0"/>
          <w:color w:val="333333"/>
          <w:spacing w:val="0"/>
          <w:sz w:val="24"/>
          <w:szCs w:val="24"/>
          <w:shd w:val="clear" w:fill="FFFFFF"/>
          <w:lang w:val="en-US" w:eastAsia="zh-CN"/>
        </w:rPr>
        <w:t>1</w:t>
      </w:r>
      <w:r>
        <w:rPr>
          <w:rFonts w:hint="eastAsia" w:ascii="宋体" w:hAnsi="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提供合格有效的法人或者其他组织的营业执照等证明文件，自然人的身份证明；</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rPr>
      </w:pPr>
      <w:r>
        <w:rPr>
          <w:rFonts w:hint="eastAsia" w:ascii="宋体" w:hAnsi="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提供法定代表人授权书（附法定代表人、被授权人身份证复印件）及被授权人身份证原件（法定代表人直接参加投标，须提供法定代表人身份证明及身份证原件）；</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int="eastAsia" w:ascii="宋体" w:hAnsi="宋体" w:cs="宋体"/>
          <w:i w:val="0"/>
          <w:iCs w:val="0"/>
          <w:caps w:val="0"/>
          <w:color w:val="333333"/>
          <w:spacing w:val="0"/>
          <w:sz w:val="24"/>
          <w:szCs w:val="24"/>
          <w:shd w:val="clear" w:fill="FFFFFF"/>
          <w:lang w:eastAsia="zh-CN"/>
        </w:rPr>
      </w:pPr>
      <w:r>
        <w:rPr>
          <w:rFonts w:hint="eastAsia" w:ascii="宋体" w:hAnsi="宋体" w:cs="宋体"/>
          <w:i w:val="0"/>
          <w:iCs w:val="0"/>
          <w:caps w:val="0"/>
          <w:color w:val="333333"/>
          <w:spacing w:val="0"/>
          <w:sz w:val="24"/>
          <w:szCs w:val="24"/>
          <w:shd w:val="clear" w:fill="FFFFFF"/>
          <w:lang w:eastAsia="zh-CN"/>
        </w:rPr>
        <w:t>（</w:t>
      </w:r>
      <w:r>
        <w:rPr>
          <w:rFonts w:hint="eastAsia" w:ascii="宋体" w:hAnsi="宋体" w:cs="宋体"/>
          <w:i w:val="0"/>
          <w:iCs w:val="0"/>
          <w:caps w:val="0"/>
          <w:color w:val="333333"/>
          <w:spacing w:val="0"/>
          <w:sz w:val="24"/>
          <w:szCs w:val="24"/>
          <w:shd w:val="clear" w:fill="FFFFFF"/>
          <w:lang w:val="en-US" w:eastAsia="zh-CN"/>
        </w:rPr>
        <w:t>3</w:t>
      </w:r>
      <w:r>
        <w:rPr>
          <w:rFonts w:hint="eastAsia" w:ascii="宋体" w:hAnsi="宋体" w:cs="宋体"/>
          <w:i w:val="0"/>
          <w:iCs w:val="0"/>
          <w:caps w:val="0"/>
          <w:color w:val="333333"/>
          <w:spacing w:val="0"/>
          <w:sz w:val="24"/>
          <w:szCs w:val="24"/>
          <w:shd w:val="clear" w:fill="FFFFFF"/>
          <w:lang w:eastAsia="zh-CN"/>
        </w:rPr>
        <w:t>）财务状况报告：提供2021年度的财务审计报告（至少包括资产负债表和利润表，成立时间至提交磋商响应文件截止时间不足一年的可提供成立后任意时段的资产负债表），或开标时间前六个月内基本存款账户开户银行出具的资信证明；</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int="eastAsia" w:ascii="宋体" w:hAnsi="宋体" w:cs="宋体"/>
          <w:i w:val="0"/>
          <w:iCs w:val="0"/>
          <w:caps w:val="0"/>
          <w:color w:val="333333"/>
          <w:spacing w:val="0"/>
          <w:sz w:val="24"/>
          <w:szCs w:val="24"/>
          <w:shd w:val="clear" w:fill="FFFFFF"/>
          <w:lang w:eastAsia="zh-CN"/>
        </w:rPr>
      </w:pPr>
      <w:r>
        <w:rPr>
          <w:rFonts w:hint="eastAsia" w:ascii="宋体" w:hAnsi="宋体" w:cs="宋体"/>
          <w:i w:val="0"/>
          <w:iCs w:val="0"/>
          <w:caps w:val="0"/>
          <w:color w:val="333333"/>
          <w:spacing w:val="0"/>
          <w:sz w:val="24"/>
          <w:szCs w:val="24"/>
          <w:shd w:val="clear" w:fill="FFFFFF"/>
          <w:lang w:eastAsia="zh-CN"/>
        </w:rPr>
        <w:t>（</w:t>
      </w:r>
      <w:r>
        <w:rPr>
          <w:rFonts w:hint="eastAsia" w:ascii="宋体" w:hAnsi="宋体" w:cs="宋体"/>
          <w:i w:val="0"/>
          <w:iCs w:val="0"/>
          <w:caps w:val="0"/>
          <w:color w:val="333333"/>
          <w:spacing w:val="0"/>
          <w:sz w:val="24"/>
          <w:szCs w:val="24"/>
          <w:shd w:val="clear" w:fill="FFFFFF"/>
          <w:lang w:val="en-US" w:eastAsia="zh-CN"/>
        </w:rPr>
        <w:t>4</w:t>
      </w:r>
      <w:r>
        <w:rPr>
          <w:rFonts w:hint="eastAsia" w:ascii="宋体" w:hAnsi="宋体" w:cs="宋体"/>
          <w:i w:val="0"/>
          <w:iCs w:val="0"/>
          <w:caps w:val="0"/>
          <w:color w:val="333333"/>
          <w:spacing w:val="0"/>
          <w:sz w:val="24"/>
          <w:szCs w:val="24"/>
          <w:shd w:val="clear" w:fill="FFFFFF"/>
          <w:lang w:eastAsia="zh-CN"/>
        </w:rPr>
        <w:t>）税收缴纳证明：提供磋商截止日前近一年内任意一个月的纳税证明或完税证明（任意税种），依法免税的单位应提供相关证明材料；</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int="eastAsia" w:ascii="宋体" w:hAnsi="宋体" w:cs="宋体"/>
          <w:i w:val="0"/>
          <w:iCs w:val="0"/>
          <w:caps w:val="0"/>
          <w:color w:val="333333"/>
          <w:spacing w:val="0"/>
          <w:sz w:val="24"/>
          <w:szCs w:val="24"/>
          <w:shd w:val="clear" w:fill="FFFFFF"/>
          <w:lang w:eastAsia="zh-CN"/>
        </w:rPr>
      </w:pPr>
      <w:r>
        <w:rPr>
          <w:rFonts w:hint="eastAsia" w:ascii="宋体" w:hAnsi="宋体" w:cs="宋体"/>
          <w:i w:val="0"/>
          <w:iCs w:val="0"/>
          <w:caps w:val="0"/>
          <w:color w:val="333333"/>
          <w:spacing w:val="0"/>
          <w:sz w:val="24"/>
          <w:szCs w:val="24"/>
          <w:shd w:val="clear" w:fill="FFFFFF"/>
          <w:lang w:eastAsia="zh-CN"/>
        </w:rPr>
        <w:t>（</w:t>
      </w:r>
      <w:r>
        <w:rPr>
          <w:rFonts w:hint="eastAsia" w:ascii="宋体" w:hAnsi="宋体" w:cs="宋体"/>
          <w:i w:val="0"/>
          <w:iCs w:val="0"/>
          <w:caps w:val="0"/>
          <w:color w:val="333333"/>
          <w:spacing w:val="0"/>
          <w:sz w:val="24"/>
          <w:szCs w:val="24"/>
          <w:shd w:val="clear" w:fill="FFFFFF"/>
          <w:lang w:val="en-US" w:eastAsia="zh-CN"/>
        </w:rPr>
        <w:t>5</w:t>
      </w:r>
      <w:r>
        <w:rPr>
          <w:rFonts w:hint="eastAsia" w:ascii="宋体" w:hAnsi="宋体" w:cs="宋体"/>
          <w:i w:val="0"/>
          <w:iCs w:val="0"/>
          <w:caps w:val="0"/>
          <w:color w:val="333333"/>
          <w:spacing w:val="0"/>
          <w:sz w:val="24"/>
          <w:szCs w:val="24"/>
          <w:shd w:val="clear" w:fill="FFFFFF"/>
          <w:lang w:eastAsia="zh-CN"/>
        </w:rPr>
        <w:t>）社会保障资金缴纳证明：提供磋商截止日前一年内已缴存的至少一个月的社会保障资金缴存单据或社保机构开具的社会保险参保缴费情况证明，依法不需要缴纳社会保障资金的单位应提供相关证明材料；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int="eastAsia" w:ascii="宋体" w:hAnsi="宋体" w:cs="宋体"/>
          <w:i w:val="0"/>
          <w:iCs w:val="0"/>
          <w:caps w:val="0"/>
          <w:color w:val="333333"/>
          <w:spacing w:val="0"/>
          <w:sz w:val="24"/>
          <w:szCs w:val="24"/>
          <w:shd w:val="clear" w:fill="FFFFFF"/>
          <w:lang w:eastAsia="zh-CN"/>
        </w:rPr>
      </w:pPr>
      <w:r>
        <w:rPr>
          <w:rFonts w:hint="eastAsia" w:ascii="宋体" w:hAnsi="宋体" w:cs="宋体"/>
          <w:i w:val="0"/>
          <w:iCs w:val="0"/>
          <w:caps w:val="0"/>
          <w:color w:val="333333"/>
          <w:spacing w:val="0"/>
          <w:sz w:val="24"/>
          <w:szCs w:val="24"/>
          <w:shd w:val="clear" w:fill="FFFFFF"/>
          <w:lang w:eastAsia="zh-CN"/>
        </w:rPr>
        <w:t>（</w:t>
      </w:r>
      <w:r>
        <w:rPr>
          <w:rFonts w:hint="eastAsia" w:ascii="宋体" w:hAnsi="宋体" w:cs="宋体"/>
          <w:i w:val="0"/>
          <w:iCs w:val="0"/>
          <w:caps w:val="0"/>
          <w:color w:val="333333"/>
          <w:spacing w:val="0"/>
          <w:sz w:val="24"/>
          <w:szCs w:val="24"/>
          <w:shd w:val="clear" w:fill="FFFFFF"/>
          <w:lang w:val="en-US" w:eastAsia="zh-CN"/>
        </w:rPr>
        <w:t>6</w:t>
      </w:r>
      <w:r>
        <w:rPr>
          <w:rFonts w:hint="eastAsia" w:ascii="宋体" w:hAnsi="宋体" w:cs="宋体"/>
          <w:i w:val="0"/>
          <w:iCs w:val="0"/>
          <w:caps w:val="0"/>
          <w:color w:val="333333"/>
          <w:spacing w:val="0"/>
          <w:sz w:val="24"/>
          <w:szCs w:val="24"/>
          <w:shd w:val="clear" w:fill="FFFFFF"/>
          <w:lang w:eastAsia="zh-CN"/>
        </w:rPr>
        <w:t>）不得为列入“信用中国”网站（www.creditchina.gov.cn）及“中国政府采购网”网站（http://www.ccgp.gov.cn/）中列入失信被执行人和重大税收违法案件当事人名单的投标人；</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int="eastAsia" w:ascii="宋体" w:hAnsi="宋体" w:cs="宋体"/>
          <w:i w:val="0"/>
          <w:iCs w:val="0"/>
          <w:caps w:val="0"/>
          <w:color w:val="333333"/>
          <w:spacing w:val="0"/>
          <w:sz w:val="24"/>
          <w:szCs w:val="24"/>
          <w:shd w:val="clear" w:fill="FFFFFF"/>
          <w:lang w:eastAsia="zh-CN"/>
        </w:rPr>
      </w:pPr>
      <w:r>
        <w:rPr>
          <w:rFonts w:hint="eastAsia" w:ascii="宋体" w:hAnsi="宋体" w:cs="宋体"/>
          <w:i w:val="0"/>
          <w:iCs w:val="0"/>
          <w:caps w:val="0"/>
          <w:color w:val="333333"/>
          <w:spacing w:val="0"/>
          <w:sz w:val="24"/>
          <w:szCs w:val="24"/>
          <w:shd w:val="clear" w:fill="FFFFFF"/>
          <w:lang w:eastAsia="zh-CN"/>
        </w:rPr>
        <w:t>（</w:t>
      </w:r>
      <w:r>
        <w:rPr>
          <w:rFonts w:hint="eastAsia" w:ascii="宋体" w:hAnsi="宋体" w:cs="宋体"/>
          <w:i w:val="0"/>
          <w:iCs w:val="0"/>
          <w:caps w:val="0"/>
          <w:color w:val="333333"/>
          <w:spacing w:val="0"/>
          <w:sz w:val="24"/>
          <w:szCs w:val="24"/>
          <w:shd w:val="clear" w:fill="FFFFFF"/>
          <w:lang w:val="en-US" w:eastAsia="zh-CN"/>
        </w:rPr>
        <w:t>7</w:t>
      </w:r>
      <w:r>
        <w:rPr>
          <w:rFonts w:hint="eastAsia" w:ascii="宋体" w:hAnsi="宋体" w:cs="宋体"/>
          <w:i w:val="0"/>
          <w:iCs w:val="0"/>
          <w:caps w:val="0"/>
          <w:color w:val="333333"/>
          <w:spacing w:val="0"/>
          <w:sz w:val="24"/>
          <w:szCs w:val="24"/>
          <w:shd w:val="clear" w:fill="FFFFFF"/>
          <w:lang w:eastAsia="zh-CN"/>
        </w:rPr>
        <w:t>）提供具有履行本合同所必需的设备和专业技术能力的说明及承诺书；</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int="eastAsia" w:ascii="宋体" w:hAnsi="宋体" w:cs="宋体"/>
          <w:i w:val="0"/>
          <w:iCs w:val="0"/>
          <w:caps w:val="0"/>
          <w:color w:val="333333"/>
          <w:spacing w:val="0"/>
          <w:sz w:val="24"/>
          <w:szCs w:val="24"/>
          <w:shd w:val="clear" w:fill="FFFFFF"/>
          <w:lang w:eastAsia="zh-CN"/>
        </w:rPr>
      </w:pPr>
      <w:r>
        <w:rPr>
          <w:rFonts w:hint="eastAsia" w:ascii="宋体" w:hAnsi="宋体" w:cs="宋体"/>
          <w:i w:val="0"/>
          <w:iCs w:val="0"/>
          <w:caps w:val="0"/>
          <w:color w:val="333333"/>
          <w:spacing w:val="0"/>
          <w:sz w:val="24"/>
          <w:szCs w:val="24"/>
          <w:shd w:val="clear" w:fill="FFFFFF"/>
          <w:lang w:eastAsia="zh-CN"/>
        </w:rPr>
        <w:t>（</w:t>
      </w:r>
      <w:r>
        <w:rPr>
          <w:rFonts w:hint="eastAsia" w:ascii="宋体" w:hAnsi="宋体" w:cs="宋体"/>
          <w:i w:val="0"/>
          <w:iCs w:val="0"/>
          <w:caps w:val="0"/>
          <w:color w:val="333333"/>
          <w:spacing w:val="0"/>
          <w:sz w:val="24"/>
          <w:szCs w:val="24"/>
          <w:shd w:val="clear" w:fill="FFFFFF"/>
          <w:lang w:val="en-US" w:eastAsia="zh-CN"/>
        </w:rPr>
        <w:t>8</w:t>
      </w:r>
      <w:r>
        <w:rPr>
          <w:rFonts w:hint="eastAsia" w:ascii="宋体" w:hAnsi="宋体" w:cs="宋体"/>
          <w:i w:val="0"/>
          <w:iCs w:val="0"/>
          <w:caps w:val="0"/>
          <w:color w:val="333333"/>
          <w:spacing w:val="0"/>
          <w:sz w:val="24"/>
          <w:szCs w:val="24"/>
          <w:shd w:val="clear" w:fill="FFFFFF"/>
          <w:lang w:eastAsia="zh-CN"/>
        </w:rPr>
        <w:t>）参加政府采购活动前3年内，在经营活动中没有重大违法记录的书面声明；</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int="eastAsia" w:ascii="宋体" w:hAnsi="宋体" w:cs="宋体"/>
          <w:i w:val="0"/>
          <w:iCs w:val="0"/>
          <w:caps w:val="0"/>
          <w:color w:val="333333"/>
          <w:spacing w:val="0"/>
          <w:sz w:val="24"/>
          <w:szCs w:val="24"/>
          <w:shd w:val="clear" w:fill="FFFFFF"/>
          <w:lang w:eastAsia="zh-CN"/>
        </w:rPr>
      </w:pPr>
      <w:r>
        <w:rPr>
          <w:rFonts w:hint="eastAsia" w:ascii="宋体" w:hAnsi="宋体" w:cs="宋体"/>
          <w:i w:val="0"/>
          <w:iCs w:val="0"/>
          <w:caps w:val="0"/>
          <w:color w:val="333333"/>
          <w:spacing w:val="0"/>
          <w:sz w:val="24"/>
          <w:szCs w:val="24"/>
          <w:shd w:val="clear" w:fill="FFFFFF"/>
          <w:lang w:eastAsia="zh-CN"/>
        </w:rPr>
        <w:t>（</w:t>
      </w:r>
      <w:r>
        <w:rPr>
          <w:rFonts w:hint="eastAsia" w:ascii="宋体" w:hAnsi="宋体" w:cs="宋体"/>
          <w:i w:val="0"/>
          <w:iCs w:val="0"/>
          <w:caps w:val="0"/>
          <w:color w:val="333333"/>
          <w:spacing w:val="0"/>
          <w:sz w:val="24"/>
          <w:szCs w:val="24"/>
          <w:shd w:val="clear" w:fill="FFFFFF"/>
          <w:lang w:val="en-US" w:eastAsia="zh-CN"/>
        </w:rPr>
        <w:t>9</w:t>
      </w:r>
      <w:r>
        <w:rPr>
          <w:rFonts w:hint="eastAsia" w:ascii="宋体" w:hAnsi="宋体" w:cs="宋体"/>
          <w:i w:val="0"/>
          <w:iCs w:val="0"/>
          <w:caps w:val="0"/>
          <w:color w:val="333333"/>
          <w:spacing w:val="0"/>
          <w:sz w:val="24"/>
          <w:szCs w:val="24"/>
          <w:shd w:val="clear" w:fill="FFFFFF"/>
          <w:lang w:eastAsia="zh-CN"/>
        </w:rPr>
        <w:t>）本项目不接受联合体磋商。</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注：附复印件加盖公章。</w:t>
      </w:r>
    </w:p>
    <w:p>
      <w:pPr>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br w:type="page"/>
      </w:r>
    </w:p>
    <w:p>
      <w:pPr>
        <w:rPr>
          <w:rFonts w:hint="eastAsia" w:ascii="宋体" w:hAnsi="宋体" w:eastAsia="宋体" w:cs="宋体"/>
          <w:b/>
          <w:bCs/>
          <w:color w:val="000000"/>
          <w:kern w:val="0"/>
          <w:sz w:val="30"/>
          <w:szCs w:val="30"/>
          <w:lang w:val="en-US" w:eastAsia="zh-CN" w:bidi="ar"/>
        </w:rPr>
      </w:pPr>
      <w:r>
        <w:rPr>
          <w:rFonts w:hint="eastAsia" w:ascii="宋体" w:hAnsi="宋体" w:cs="宋体"/>
          <w:i w:val="0"/>
          <w:iCs w:val="0"/>
          <w:caps w:val="0"/>
          <w:color w:val="333333"/>
          <w:spacing w:val="0"/>
          <w:sz w:val="24"/>
          <w:szCs w:val="24"/>
          <w:shd w:val="clear" w:fill="FFFFFF"/>
          <w:lang w:eastAsia="zh-CN"/>
        </w:rPr>
        <w:t>（</w:t>
      </w:r>
      <w:r>
        <w:rPr>
          <w:rFonts w:hint="eastAsia" w:ascii="宋体" w:hAnsi="宋体" w:cs="宋体"/>
          <w:i w:val="0"/>
          <w:iCs w:val="0"/>
          <w:caps w:val="0"/>
          <w:color w:val="333333"/>
          <w:spacing w:val="0"/>
          <w:sz w:val="24"/>
          <w:szCs w:val="24"/>
          <w:shd w:val="clear" w:fill="FFFFFF"/>
          <w:lang w:val="en-US" w:eastAsia="zh-CN"/>
        </w:rPr>
        <w:t>1</w:t>
      </w:r>
      <w:r>
        <w:rPr>
          <w:rFonts w:hint="eastAsia" w:ascii="宋体" w:hAnsi="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提供合格有效的法人或者其他组织的营业执照等证明文件，自然人的身份证明</w:t>
      </w:r>
      <w:r>
        <w:rPr>
          <w:rFonts w:hint="eastAsia" w:ascii="宋体" w:hAnsi="宋体" w:eastAsia="宋体" w:cs="宋体"/>
          <w:b/>
          <w:bCs/>
          <w:color w:val="000000"/>
          <w:kern w:val="0"/>
          <w:sz w:val="30"/>
          <w:szCs w:val="30"/>
          <w:lang w:val="en-US" w:eastAsia="zh-CN" w:bidi="ar"/>
        </w:rPr>
        <w:br w:type="page"/>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w:t>
      </w:r>
      <w:r>
        <w:rPr>
          <w:rFonts w:hint="eastAsia" w:ascii="宋体" w:hAnsi="宋体" w:eastAsia="宋体" w:cs="宋体"/>
          <w:i w:val="0"/>
          <w:iCs w:val="0"/>
          <w:caps w:val="0"/>
          <w:color w:val="333333"/>
          <w:spacing w:val="0"/>
          <w:sz w:val="24"/>
          <w:szCs w:val="24"/>
          <w:shd w:val="clear" w:fill="FFFFFF"/>
        </w:rPr>
        <w:t>提供法定代表人授权书（附法定代表人、被授权人身份证复印件）及被授权人身份证原件（法定代表人直接参加投标，须提供法定代表人身份证明及身份证原件）</w:t>
      </w:r>
      <w:r>
        <w:rPr>
          <w:rFonts w:hint="eastAsia" w:ascii="宋体" w:hAnsi="宋体" w:cs="宋体"/>
          <w:sz w:val="24"/>
          <w:szCs w:val="24"/>
          <w:highlight w:val="none"/>
          <w:lang w:eastAsia="zh-CN"/>
        </w:rPr>
        <w:t>。</w:t>
      </w:r>
    </w:p>
    <w:p>
      <w:pPr>
        <w:jc w:val="center"/>
        <w:outlineLvl w:val="9"/>
        <w:rPr>
          <w:rFonts w:hint="eastAsia" w:eastAsia="宋体"/>
          <w:sz w:val="30"/>
          <w:szCs w:val="30"/>
          <w:lang w:eastAsia="zh-CN"/>
        </w:rPr>
      </w:pPr>
      <w:bookmarkStart w:id="42" w:name="_Toc12537"/>
      <w:r>
        <w:rPr>
          <w:rFonts w:hint="eastAsia"/>
          <w:sz w:val="30"/>
          <w:szCs w:val="30"/>
        </w:rPr>
        <w:t>法定代表人身份证明</w:t>
      </w:r>
      <w:bookmarkEnd w:id="42"/>
    </w:p>
    <w:p>
      <w:pPr>
        <w:spacing w:line="360" w:lineRule="auto"/>
        <w:ind w:firstLine="420" w:firstLineChars="200"/>
        <w:rPr>
          <w:rFonts w:ascii="宋体" w:hAnsi="宋体"/>
          <w:szCs w:val="21"/>
        </w:rPr>
      </w:pPr>
    </w:p>
    <w:p>
      <w:pPr>
        <w:spacing w:line="360" w:lineRule="auto"/>
        <w:ind w:firstLine="480" w:firstLineChars="200"/>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单位性质：</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hint="eastAsia"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lang w:eastAsia="zh-CN"/>
        </w:rPr>
        <w:t>供应商</w:t>
      </w:r>
      <w:r>
        <w:rPr>
          <w:rFonts w:hint="eastAsia" w:ascii="宋体" w:hAnsi="宋体"/>
          <w:sz w:val="24"/>
          <w:szCs w:val="24"/>
        </w:rPr>
        <w:t>名称）的法定代表人。</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特此证明。</w:t>
      </w:r>
    </w:p>
    <w:p>
      <w:pPr>
        <w:spacing w:line="360" w:lineRule="auto"/>
        <w:ind w:firstLine="480" w:firstLineChars="200"/>
        <w:rPr>
          <w:rFonts w:hint="eastAsia" w:ascii="宋体" w:hAnsi="宋体"/>
          <w:sz w:val="24"/>
          <w:szCs w:val="24"/>
        </w:rPr>
      </w:pPr>
      <w:r>
        <w:rPr>
          <w:rFonts w:hint="eastAsia" w:ascii="宋体" w:hAnsi="宋体"/>
          <w:sz w:val="24"/>
          <w:szCs w:val="24"/>
        </w:rPr>
        <w:t>附：法定代表人身份证复印件（正反面）</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3840" w:type="dxa"/>
            <w:vAlign w:val="center"/>
          </w:tcPr>
          <w:p>
            <w:pPr>
              <w:pStyle w:val="10"/>
              <w:jc w:val="center"/>
              <w:rPr>
                <w:rFonts w:hint="eastAsia" w:eastAsia="宋体"/>
                <w:vertAlign w:val="baseline"/>
                <w:lang w:eastAsia="zh-CN"/>
              </w:rPr>
            </w:pPr>
            <w:r>
              <w:rPr>
                <w:rFonts w:hint="eastAsia"/>
                <w:sz w:val="24"/>
                <w:szCs w:val="24"/>
                <w:lang w:eastAsia="zh-CN"/>
              </w:rPr>
              <w:t>（</w:t>
            </w:r>
            <w:r>
              <w:rPr>
                <w:rFonts w:hint="eastAsia" w:ascii="宋体" w:hAnsi="宋体"/>
                <w:sz w:val="24"/>
                <w:szCs w:val="24"/>
              </w:rPr>
              <w:t>法定代表人身份证复印件</w:t>
            </w:r>
            <w:r>
              <w:rPr>
                <w:rFonts w:hint="eastAsia"/>
                <w:sz w:val="24"/>
                <w:szCs w:val="24"/>
                <w:lang w:eastAsia="zh-CN"/>
              </w:rPr>
              <w:t>正面）</w:t>
            </w:r>
          </w:p>
        </w:tc>
        <w:tc>
          <w:tcPr>
            <w:tcW w:w="3840" w:type="dxa"/>
            <w:vAlign w:val="center"/>
          </w:tcPr>
          <w:p>
            <w:pPr>
              <w:pStyle w:val="10"/>
              <w:jc w:val="center"/>
              <w:rPr>
                <w:rFonts w:hint="eastAsia" w:eastAsia="宋体"/>
                <w:vertAlign w:val="baseline"/>
                <w:lang w:eastAsia="zh-CN"/>
              </w:rPr>
            </w:pPr>
            <w:r>
              <w:rPr>
                <w:rFonts w:hint="eastAsia"/>
                <w:sz w:val="24"/>
                <w:szCs w:val="24"/>
                <w:lang w:eastAsia="zh-CN"/>
              </w:rPr>
              <w:t>（</w:t>
            </w:r>
            <w:r>
              <w:rPr>
                <w:rFonts w:hint="eastAsia" w:ascii="宋体" w:hAnsi="宋体"/>
                <w:sz w:val="24"/>
                <w:szCs w:val="24"/>
              </w:rPr>
              <w:t>法定代表人身份证复印件</w:t>
            </w:r>
            <w:r>
              <w:rPr>
                <w:rFonts w:hint="eastAsia"/>
                <w:sz w:val="24"/>
                <w:szCs w:val="24"/>
                <w:lang w:eastAsia="zh-CN"/>
              </w:rPr>
              <w:t>反面）</w:t>
            </w:r>
          </w:p>
        </w:tc>
      </w:tr>
    </w:tbl>
    <w:p>
      <w:pPr>
        <w:pStyle w:val="10"/>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80" w:firstLineChars="200"/>
        <w:rPr>
          <w:rFonts w:ascii="宋体" w:hAnsi="宋体"/>
          <w:sz w:val="24"/>
          <w:szCs w:val="24"/>
        </w:rPr>
      </w:pPr>
    </w:p>
    <w:p>
      <w:pPr>
        <w:spacing w:line="360" w:lineRule="auto"/>
        <w:ind w:firstLine="4800" w:firstLineChars="2000"/>
        <w:rPr>
          <w:rFonts w:ascii="宋体" w:hAnsi="宋体"/>
          <w:sz w:val="24"/>
          <w:szCs w:val="24"/>
        </w:rPr>
      </w:pPr>
      <w:r>
        <w:rPr>
          <w:rFonts w:hint="eastAsia" w:ascii="宋体" w:hAnsi="宋体"/>
          <w:sz w:val="24"/>
          <w:szCs w:val="24"/>
        </w:rPr>
        <w:t>供应商：（盖单位章）</w:t>
      </w:r>
    </w:p>
    <w:p>
      <w:pPr>
        <w:spacing w:line="360" w:lineRule="auto"/>
        <w:ind w:firstLine="5160" w:firstLineChars="2150"/>
        <w:rPr>
          <w:rFonts w:ascii="宋体" w:hAnsi="宋体"/>
          <w:sz w:val="24"/>
          <w:szCs w:val="24"/>
          <w:u w:val="single"/>
        </w:rPr>
      </w:pPr>
    </w:p>
    <w:p>
      <w:pPr>
        <w:spacing w:line="360" w:lineRule="auto"/>
        <w:ind w:firstLine="5160" w:firstLineChars="2150"/>
        <w:rPr>
          <w:rFonts w:ascii="宋体" w:hAnsi="宋体"/>
          <w:sz w:val="24"/>
          <w:szCs w:val="24"/>
        </w:rPr>
      </w:pPr>
      <w:r>
        <w:rPr>
          <w:rFonts w:hint="eastAsia" w:ascii="宋体" w:hAnsi="宋体"/>
          <w:sz w:val="24"/>
          <w:szCs w:val="24"/>
        </w:rPr>
        <w:t>年  月  日</w:t>
      </w:r>
    </w:p>
    <w:p>
      <w:pPr>
        <w:spacing w:line="360" w:lineRule="auto"/>
        <w:ind w:firstLine="420" w:firstLineChars="200"/>
        <w:rPr>
          <w:rFonts w:ascii="宋体" w:hAnsi="宋体"/>
          <w:szCs w:val="21"/>
        </w:rPr>
        <w:sectPr>
          <w:pgSz w:w="11906" w:h="16838"/>
          <w:pgMar w:top="1418" w:right="1418" w:bottom="1418" w:left="1418" w:header="964" w:footer="964" w:gutter="0"/>
          <w:pgNumType w:fmt="numberInDash"/>
          <w:cols w:space="720" w:num="1"/>
          <w:docGrid w:linePitch="312" w:charSpace="0"/>
        </w:sectPr>
      </w:pPr>
    </w:p>
    <w:p>
      <w:pPr>
        <w:jc w:val="center"/>
        <w:outlineLvl w:val="9"/>
        <w:rPr>
          <w:sz w:val="32"/>
        </w:rPr>
      </w:pPr>
      <w:bookmarkStart w:id="43" w:name="_Toc294008728"/>
      <w:bookmarkStart w:id="44" w:name="_Toc307416305"/>
      <w:bookmarkStart w:id="45" w:name="_Toc263066834"/>
      <w:bookmarkStart w:id="46" w:name="_Toc275528291"/>
      <w:bookmarkStart w:id="47" w:name="_Toc307419491"/>
      <w:bookmarkStart w:id="48" w:name="_Toc51658017"/>
      <w:bookmarkStart w:id="49" w:name="_Toc532"/>
      <w:bookmarkStart w:id="50" w:name="_Toc307417602"/>
      <w:bookmarkStart w:id="51" w:name="_Toc307485369"/>
      <w:bookmarkStart w:id="52" w:name="_Toc289508271"/>
      <w:bookmarkStart w:id="53" w:name="_Toc2413"/>
      <w:bookmarkStart w:id="54" w:name="_Toc263370658"/>
      <w:bookmarkStart w:id="55" w:name="_Toc267471148"/>
      <w:bookmarkStart w:id="56" w:name="_Toc267473143"/>
      <w:bookmarkStart w:id="57" w:name="_Toc299198161"/>
      <w:bookmarkStart w:id="58" w:name="_Toc285029161"/>
      <w:bookmarkStart w:id="59" w:name="_Toc9010"/>
      <w:bookmarkStart w:id="60" w:name="_Toc23554"/>
      <w:bookmarkStart w:id="61" w:name="_Toc286417537"/>
      <w:r>
        <w:rPr>
          <w:rFonts w:hint="eastAsia"/>
          <w:sz w:val="32"/>
          <w:lang w:eastAsia="zh-CN"/>
        </w:rPr>
        <w:t>法定代表人</w:t>
      </w:r>
      <w:r>
        <w:rPr>
          <w:rFonts w:hint="eastAsia"/>
          <w:sz w:val="32"/>
        </w:rPr>
        <w:t>授权委托书</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spacing w:line="360" w:lineRule="auto"/>
        <w:ind w:firstLine="420" w:firstLineChars="200"/>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本人</w:t>
      </w:r>
      <w:r>
        <w:rPr>
          <w:rFonts w:hint="eastAsia" w:ascii="宋体" w:hAnsi="宋体"/>
          <w:sz w:val="24"/>
          <w:szCs w:val="24"/>
          <w:u w:val="single"/>
        </w:rPr>
        <w:t>（姓名）</w:t>
      </w:r>
      <w:r>
        <w:rPr>
          <w:rFonts w:hint="eastAsia" w:ascii="宋体" w:hAnsi="宋体"/>
          <w:sz w:val="24"/>
          <w:szCs w:val="24"/>
        </w:rPr>
        <w:t>系</w:t>
      </w:r>
      <w:r>
        <w:rPr>
          <w:rFonts w:hint="eastAsia" w:ascii="宋体" w:hAnsi="宋体"/>
          <w:sz w:val="24"/>
          <w:szCs w:val="24"/>
          <w:u w:val="single"/>
        </w:rPr>
        <w:t>（供应商名称）</w:t>
      </w:r>
      <w:r>
        <w:rPr>
          <w:rFonts w:hint="eastAsia" w:ascii="宋体" w:hAnsi="宋体"/>
          <w:sz w:val="24"/>
          <w:szCs w:val="24"/>
        </w:rPr>
        <w:t>的法定代表人，现委托</w:t>
      </w:r>
      <w:r>
        <w:rPr>
          <w:rFonts w:hint="eastAsia" w:ascii="宋体" w:hAnsi="宋体"/>
          <w:sz w:val="24"/>
          <w:szCs w:val="24"/>
          <w:u w:val="single"/>
        </w:rPr>
        <w:t>（姓名）</w:t>
      </w:r>
      <w:r>
        <w:rPr>
          <w:rFonts w:hint="eastAsia" w:ascii="宋体" w:hAnsi="宋体"/>
          <w:sz w:val="24"/>
          <w:szCs w:val="24"/>
        </w:rPr>
        <w:t>为我方代理人。代理人根据授权，以我方名义签署、澄清确认、递交、撤回、修改</w:t>
      </w:r>
      <w:r>
        <w:rPr>
          <w:rFonts w:hint="eastAsia" w:ascii="宋体" w:hAnsi="宋体"/>
          <w:sz w:val="24"/>
          <w:szCs w:val="24"/>
          <w:u w:val="single"/>
          <w:lang w:val="en-US" w:eastAsia="zh-CN"/>
        </w:rPr>
        <w:t xml:space="preserve"> </w:t>
      </w:r>
      <w:r>
        <w:rPr>
          <w:rFonts w:hint="eastAsia" w:ascii="宋体" w:hAnsi="宋体" w:cs="宋体"/>
          <w:sz w:val="24"/>
          <w:szCs w:val="24"/>
          <w:u w:val="single"/>
          <w:lang w:eastAsia="zh-CN"/>
        </w:rPr>
        <w:t>陕西省森林草原湿地综合监测项目林草湿图斑监测专题数据库数据处理服务</w:t>
      </w:r>
      <w:r>
        <w:rPr>
          <w:rFonts w:hint="eastAsia" w:ascii="宋体" w:hAnsi="宋体"/>
          <w:bCs/>
          <w:sz w:val="24"/>
          <w:szCs w:val="24"/>
          <w:u w:val="single"/>
          <w:lang w:val="en-US" w:eastAsia="zh-CN"/>
        </w:rPr>
        <w:t xml:space="preserve"> </w:t>
      </w:r>
      <w:r>
        <w:rPr>
          <w:rFonts w:hint="eastAsia" w:ascii="宋体" w:hAnsi="宋体"/>
          <w:sz w:val="24"/>
          <w:szCs w:val="24"/>
        </w:rPr>
        <w:t>响应文件、签订合同和处理有关事宜，其法律后果由我方承担。</w:t>
      </w:r>
    </w:p>
    <w:p>
      <w:pPr>
        <w:spacing w:line="360" w:lineRule="auto"/>
        <w:ind w:firstLine="480" w:firstLineChars="20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sz w:val="24"/>
          <w:szCs w:val="24"/>
        </w:rPr>
        <w:t>委托期限：</w:t>
      </w:r>
      <w:r>
        <w:rPr>
          <w:rFonts w:hint="eastAsia" w:ascii="宋体" w:hAnsi="宋体"/>
          <w:sz w:val="24"/>
          <w:szCs w:val="24"/>
          <w:u w:val="single"/>
          <w:lang w:val="en-US" w:eastAsia="zh-CN"/>
        </w:rPr>
        <w:t xml:space="preserve">                       </w:t>
      </w:r>
    </w:p>
    <w:p>
      <w:pPr>
        <w:spacing w:line="360" w:lineRule="auto"/>
        <w:ind w:firstLine="480" w:firstLineChars="200"/>
        <w:rPr>
          <w:rFonts w:ascii="宋体" w:hAnsi="宋体"/>
          <w:sz w:val="24"/>
          <w:szCs w:val="24"/>
        </w:rPr>
      </w:pPr>
      <w:r>
        <w:rPr>
          <w:rFonts w:hint="eastAsia" w:ascii="宋体" w:hAnsi="宋体"/>
          <w:sz w:val="24"/>
          <w:szCs w:val="24"/>
        </w:rPr>
        <w:t>代理人无转委托权。</w:t>
      </w:r>
    </w:p>
    <w:p>
      <w:pPr>
        <w:spacing w:line="360" w:lineRule="auto"/>
        <w:ind w:firstLine="480" w:firstLineChars="200"/>
        <w:rPr>
          <w:rFonts w:ascii="宋体" w:hAnsi="宋体"/>
          <w:sz w:val="24"/>
          <w:szCs w:val="24"/>
        </w:rPr>
      </w:pPr>
      <w:r>
        <w:rPr>
          <w:rFonts w:hint="eastAsia" w:ascii="宋体" w:cs="宋体"/>
          <w:sz w:val="24"/>
          <w:szCs w:val="24"/>
        </w:rPr>
        <w:t>附：法定代表人身份证复印件及委托代理人身份证复印件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0"/>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3820" w:type="dxa"/>
            <w:vAlign w:val="center"/>
          </w:tcPr>
          <w:p>
            <w:pPr>
              <w:pStyle w:val="10"/>
              <w:jc w:val="center"/>
              <w:rPr>
                <w:rFonts w:hint="eastAsia" w:eastAsia="宋体"/>
                <w:vertAlign w:val="baseline"/>
                <w:lang w:eastAsia="zh-CN"/>
              </w:rPr>
            </w:pPr>
            <w:r>
              <w:rPr>
                <w:rFonts w:hint="eastAsia"/>
                <w:sz w:val="24"/>
                <w:szCs w:val="24"/>
                <w:lang w:eastAsia="zh-CN"/>
              </w:rPr>
              <w:t>（</w:t>
            </w:r>
            <w:r>
              <w:rPr>
                <w:rFonts w:hint="eastAsia" w:ascii="宋体" w:hAnsi="宋体"/>
                <w:sz w:val="24"/>
                <w:szCs w:val="24"/>
              </w:rPr>
              <w:t>法定代表人身份证复印件</w:t>
            </w:r>
            <w:r>
              <w:rPr>
                <w:rFonts w:hint="eastAsia"/>
                <w:sz w:val="24"/>
                <w:szCs w:val="24"/>
                <w:lang w:eastAsia="zh-CN"/>
              </w:rPr>
              <w:t>正面）</w:t>
            </w:r>
          </w:p>
        </w:tc>
        <w:tc>
          <w:tcPr>
            <w:tcW w:w="3820" w:type="dxa"/>
            <w:vAlign w:val="center"/>
          </w:tcPr>
          <w:p>
            <w:pPr>
              <w:pStyle w:val="10"/>
              <w:jc w:val="center"/>
              <w:rPr>
                <w:rFonts w:hint="eastAsia" w:eastAsia="宋体"/>
                <w:vertAlign w:val="baseline"/>
                <w:lang w:eastAsia="zh-CN"/>
              </w:rPr>
            </w:pPr>
            <w:r>
              <w:rPr>
                <w:rFonts w:hint="eastAsia"/>
                <w:sz w:val="24"/>
                <w:szCs w:val="24"/>
                <w:lang w:eastAsia="zh-CN"/>
              </w:rPr>
              <w:t>（</w:t>
            </w:r>
            <w:r>
              <w:rPr>
                <w:rFonts w:hint="eastAsia" w:ascii="宋体" w:cs="宋体"/>
                <w:sz w:val="24"/>
                <w:szCs w:val="24"/>
              </w:rPr>
              <w:t>委托代理人</w:t>
            </w:r>
            <w:r>
              <w:rPr>
                <w:rFonts w:hint="eastAsia" w:ascii="宋体" w:hAnsi="宋体"/>
                <w:sz w:val="24"/>
                <w:szCs w:val="24"/>
              </w:rPr>
              <w:t>身份证复印件</w:t>
            </w:r>
            <w:r>
              <w:rPr>
                <w:rFonts w:hint="eastAsia"/>
                <w:sz w:val="24"/>
                <w:szCs w:val="24"/>
                <w:lang w:eastAsia="zh-CN"/>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3820" w:type="dxa"/>
            <w:vAlign w:val="center"/>
          </w:tcPr>
          <w:p>
            <w:pPr>
              <w:pStyle w:val="10"/>
              <w:jc w:val="center"/>
              <w:rPr>
                <w:rFonts w:hint="eastAsia"/>
                <w:sz w:val="24"/>
                <w:szCs w:val="24"/>
                <w:lang w:eastAsia="zh-CN"/>
              </w:rPr>
            </w:pPr>
            <w:r>
              <w:rPr>
                <w:rFonts w:hint="eastAsia"/>
                <w:sz w:val="24"/>
                <w:szCs w:val="24"/>
                <w:lang w:eastAsia="zh-CN"/>
              </w:rPr>
              <w:t>（</w:t>
            </w:r>
            <w:r>
              <w:rPr>
                <w:rFonts w:hint="eastAsia" w:ascii="宋体" w:hAnsi="宋体"/>
                <w:sz w:val="24"/>
                <w:szCs w:val="24"/>
              </w:rPr>
              <w:t>法定代表人身份证复印件</w:t>
            </w:r>
            <w:r>
              <w:rPr>
                <w:rFonts w:hint="eastAsia"/>
                <w:sz w:val="24"/>
                <w:szCs w:val="24"/>
                <w:lang w:eastAsia="zh-CN"/>
              </w:rPr>
              <w:t>反面）</w:t>
            </w:r>
          </w:p>
        </w:tc>
        <w:tc>
          <w:tcPr>
            <w:tcW w:w="3820" w:type="dxa"/>
            <w:vAlign w:val="center"/>
          </w:tcPr>
          <w:p>
            <w:pPr>
              <w:pStyle w:val="10"/>
              <w:jc w:val="center"/>
              <w:rPr>
                <w:rFonts w:hint="eastAsia"/>
                <w:sz w:val="24"/>
                <w:szCs w:val="24"/>
                <w:lang w:eastAsia="zh-CN"/>
              </w:rPr>
            </w:pPr>
            <w:r>
              <w:rPr>
                <w:rFonts w:hint="eastAsia"/>
                <w:sz w:val="24"/>
                <w:szCs w:val="24"/>
                <w:lang w:eastAsia="zh-CN"/>
              </w:rPr>
              <w:t>（</w:t>
            </w:r>
            <w:r>
              <w:rPr>
                <w:rFonts w:hint="eastAsia" w:ascii="宋体" w:cs="宋体"/>
                <w:sz w:val="24"/>
                <w:szCs w:val="24"/>
              </w:rPr>
              <w:t>委托代理人</w:t>
            </w:r>
            <w:r>
              <w:rPr>
                <w:rFonts w:hint="eastAsia" w:ascii="宋体" w:hAnsi="宋体"/>
                <w:sz w:val="24"/>
                <w:szCs w:val="24"/>
              </w:rPr>
              <w:t>身份证复印件</w:t>
            </w:r>
            <w:r>
              <w:rPr>
                <w:rFonts w:hint="eastAsia"/>
                <w:sz w:val="24"/>
                <w:szCs w:val="24"/>
                <w:lang w:eastAsia="zh-CN"/>
              </w:rPr>
              <w:t>反面）</w:t>
            </w:r>
          </w:p>
        </w:tc>
      </w:tr>
    </w:tbl>
    <w:p>
      <w:pPr>
        <w:spacing w:line="360" w:lineRule="auto"/>
        <w:rPr>
          <w:rFonts w:ascii="宋体" w:hAnsi="宋体"/>
          <w:szCs w:val="21"/>
        </w:rPr>
      </w:pPr>
    </w:p>
    <w:p>
      <w:pPr>
        <w:spacing w:line="600" w:lineRule="auto"/>
        <w:ind w:firstLine="4440" w:firstLineChars="1850"/>
        <w:rPr>
          <w:rFonts w:ascii="宋体" w:hAnsi="宋体"/>
          <w:sz w:val="24"/>
          <w:szCs w:val="24"/>
        </w:rPr>
      </w:pPr>
      <w:r>
        <w:rPr>
          <w:rFonts w:hint="eastAsia" w:ascii="宋体" w:hAnsi="宋体"/>
          <w:sz w:val="24"/>
          <w:szCs w:val="24"/>
        </w:rPr>
        <w:t>供应商：（盖单位章）</w:t>
      </w:r>
    </w:p>
    <w:p>
      <w:pPr>
        <w:spacing w:line="600" w:lineRule="auto"/>
        <w:ind w:firstLine="4320" w:firstLineChars="1800"/>
        <w:rPr>
          <w:rFonts w:ascii="宋体" w:hAnsi="宋体"/>
          <w:sz w:val="24"/>
          <w:szCs w:val="24"/>
        </w:rPr>
      </w:pPr>
      <w:r>
        <w:rPr>
          <w:rFonts w:hint="eastAsia" w:ascii="宋体" w:hAnsi="宋体"/>
          <w:sz w:val="24"/>
          <w:szCs w:val="24"/>
        </w:rPr>
        <w:t>法定代表人：（签字）</w:t>
      </w:r>
    </w:p>
    <w:p>
      <w:pPr>
        <w:spacing w:line="600" w:lineRule="auto"/>
        <w:ind w:firstLine="4320" w:firstLineChars="1800"/>
        <w:rPr>
          <w:rFonts w:ascii="宋体" w:hAnsi="宋体"/>
          <w:sz w:val="24"/>
          <w:szCs w:val="24"/>
        </w:rPr>
      </w:pPr>
      <w:r>
        <w:rPr>
          <w:rFonts w:hint="eastAsia" w:ascii="宋体" w:hAnsi="宋体"/>
          <w:sz w:val="24"/>
          <w:szCs w:val="24"/>
        </w:rPr>
        <w:t>身份证号码：</w:t>
      </w:r>
    </w:p>
    <w:p>
      <w:pPr>
        <w:spacing w:line="600" w:lineRule="auto"/>
        <w:ind w:firstLine="4320" w:firstLineChars="1800"/>
        <w:rPr>
          <w:rFonts w:ascii="宋体" w:hAnsi="宋体"/>
          <w:sz w:val="24"/>
          <w:szCs w:val="24"/>
        </w:rPr>
      </w:pPr>
      <w:r>
        <w:rPr>
          <w:rFonts w:hint="eastAsia" w:ascii="宋体" w:hAnsi="宋体"/>
          <w:sz w:val="24"/>
          <w:szCs w:val="24"/>
        </w:rPr>
        <w:t>委托代理人：（签字）</w:t>
      </w:r>
    </w:p>
    <w:p>
      <w:pPr>
        <w:spacing w:line="600" w:lineRule="auto"/>
        <w:ind w:firstLine="4440" w:firstLineChars="1850"/>
        <w:rPr>
          <w:rFonts w:ascii="宋体" w:hAnsi="宋体"/>
          <w:sz w:val="24"/>
          <w:szCs w:val="24"/>
        </w:rPr>
      </w:pPr>
      <w:r>
        <w:rPr>
          <w:rFonts w:hint="eastAsia" w:ascii="宋体" w:hAnsi="宋体"/>
          <w:sz w:val="24"/>
          <w:szCs w:val="24"/>
        </w:rPr>
        <w:t>身份证号码：</w:t>
      </w:r>
    </w:p>
    <w:p>
      <w:pPr>
        <w:spacing w:line="360" w:lineRule="auto"/>
        <w:ind w:firstLine="5760" w:firstLineChars="2400"/>
        <w:rPr>
          <w:rFonts w:ascii="宋体" w:hAnsi="宋体"/>
          <w:sz w:val="24"/>
          <w:szCs w:val="24"/>
        </w:rPr>
      </w:pPr>
      <w:r>
        <w:rPr>
          <w:rFonts w:hint="eastAsia" w:ascii="宋体" w:hAnsi="宋体"/>
          <w:sz w:val="24"/>
          <w:szCs w:val="24"/>
        </w:rPr>
        <w:t>年  月  日</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cs="宋体"/>
          <w:i w:val="0"/>
          <w:iCs w:val="0"/>
          <w:caps w:val="0"/>
          <w:color w:val="333333"/>
          <w:spacing w:val="0"/>
          <w:sz w:val="24"/>
          <w:szCs w:val="24"/>
          <w:shd w:val="clear" w:fill="FFFFFF"/>
          <w:lang w:eastAsia="zh-CN"/>
        </w:rPr>
        <w:t>财务状况报告：提供2021年度的财务审计报告（至少包括资产负债表和利润表，成立时间至提交磋商响应文件截止时间不足一年的可提供成立后任意时段的资产负债表），或开标时间前六个月内基本存款账户开户银行出具的资信证明。</w:t>
      </w:r>
    </w:p>
    <w:p>
      <w:pPr>
        <w:spacing w:line="360" w:lineRule="auto"/>
        <w:jc w:val="center"/>
        <w:outlineLvl w:val="9"/>
        <w:rPr>
          <w:rFonts w:ascii="宋体" w:hAnsi="宋体"/>
          <w:b/>
          <w:sz w:val="24"/>
        </w:rPr>
      </w:pPr>
      <w:bookmarkStart w:id="62" w:name="_Toc16203"/>
      <w:r>
        <w:rPr>
          <w:rFonts w:hint="eastAsia" w:ascii="宋体" w:hAnsi="宋体"/>
          <w:b/>
          <w:sz w:val="24"/>
        </w:rPr>
        <w:t>近年财务状况表</w:t>
      </w:r>
      <w:bookmarkEnd w:id="62"/>
    </w:p>
    <w:tbl>
      <w:tblPr>
        <w:tblStyle w:val="16"/>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35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名    称</w:t>
            </w:r>
          </w:p>
        </w:tc>
        <w:tc>
          <w:tcPr>
            <w:tcW w:w="35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highlight w:val="yellow"/>
              </w:rPr>
            </w:pPr>
            <w:r>
              <w:rPr>
                <w:rFonts w:hint="eastAsia" w:ascii="宋体" w:hAnsi="宋体" w:eastAsia="宋体" w:cs="宋体"/>
                <w:sz w:val="24"/>
                <w:szCs w:val="24"/>
                <w:highlight w:val="none"/>
                <w:u w:val="none"/>
              </w:rPr>
              <w:t xml:space="preserve"> </w:t>
            </w:r>
            <w:r>
              <w:rPr>
                <w:rFonts w:hint="eastAsia" w:ascii="宋体" w:hAnsi="宋体" w:cs="宋体"/>
                <w:sz w:val="24"/>
                <w:szCs w:val="24"/>
                <w:highlight w:val="none"/>
                <w:u w:val="none"/>
                <w:lang w:val="en-US" w:eastAsia="zh-CN"/>
              </w:rPr>
              <w:t xml:space="preserve">2021 </w:t>
            </w:r>
            <w:r>
              <w:rPr>
                <w:rFonts w:hint="eastAsia" w:ascii="宋体" w:hAnsi="宋体" w:eastAsia="宋体" w:cs="宋体"/>
                <w:sz w:val="24"/>
                <w:szCs w:val="24"/>
                <w:highlight w:val="none"/>
              </w:rPr>
              <w:t>年</w:t>
            </w: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highlight w:val="none"/>
                <w:u w:val="single"/>
                <w:lang w:eastAsia="zh-CN"/>
              </w:rPr>
            </w:pPr>
            <w:r>
              <w:rPr>
                <w:rFonts w:hint="eastAsia" w:ascii="宋体" w:hAnsi="宋体" w:cs="宋体"/>
                <w:sz w:val="24"/>
                <w:szCs w:val="24"/>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一、注册资金</w:t>
            </w:r>
          </w:p>
        </w:tc>
        <w:tc>
          <w:tcPr>
            <w:tcW w:w="35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二、净资产</w:t>
            </w:r>
          </w:p>
        </w:tc>
        <w:tc>
          <w:tcPr>
            <w:tcW w:w="35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三、总资产</w:t>
            </w:r>
          </w:p>
        </w:tc>
        <w:tc>
          <w:tcPr>
            <w:tcW w:w="35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四、固定资产</w:t>
            </w:r>
          </w:p>
        </w:tc>
        <w:tc>
          <w:tcPr>
            <w:tcW w:w="35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五、流动资产</w:t>
            </w:r>
          </w:p>
        </w:tc>
        <w:tc>
          <w:tcPr>
            <w:tcW w:w="35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六、流动负责</w:t>
            </w:r>
          </w:p>
        </w:tc>
        <w:tc>
          <w:tcPr>
            <w:tcW w:w="35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七、负债合计</w:t>
            </w:r>
          </w:p>
        </w:tc>
        <w:tc>
          <w:tcPr>
            <w:tcW w:w="35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八、营业收入</w:t>
            </w:r>
          </w:p>
        </w:tc>
        <w:tc>
          <w:tcPr>
            <w:tcW w:w="35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九、净利润</w:t>
            </w:r>
          </w:p>
        </w:tc>
        <w:tc>
          <w:tcPr>
            <w:tcW w:w="35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p>
        </w:tc>
      </w:tr>
    </w:tbl>
    <w:p>
      <w:pPr>
        <w:jc w:val="left"/>
        <w:rPr>
          <w:rFonts w:hint="eastAsia" w:ascii="宋体" w:hAnsi="宋体" w:eastAsia="宋体" w:cs="宋体"/>
          <w:sz w:val="24"/>
          <w:szCs w:val="24"/>
          <w:highlight w:val="none"/>
          <w:lang w:eastAsia="zh-CN"/>
        </w:rPr>
      </w:pPr>
    </w:p>
    <w:p>
      <w:pP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注：供应商若提供</w:t>
      </w:r>
      <w:r>
        <w:rPr>
          <w:rFonts w:hint="eastAsia" w:ascii="宋体" w:hAnsi="宋体" w:eastAsia="宋体" w:cs="宋体"/>
          <w:sz w:val="24"/>
          <w:szCs w:val="24"/>
          <w:highlight w:val="none"/>
        </w:rPr>
        <w:t>财务审计报告</w:t>
      </w:r>
      <w:r>
        <w:rPr>
          <w:rFonts w:hint="eastAsia" w:ascii="宋体" w:hAnsi="宋体" w:cs="宋体"/>
          <w:sz w:val="24"/>
          <w:szCs w:val="24"/>
          <w:highlight w:val="none"/>
          <w:lang w:eastAsia="zh-CN"/>
        </w:rPr>
        <w:t>须填写上表。</w:t>
      </w:r>
      <w:r>
        <w:rPr>
          <w:rFonts w:hint="eastAsia" w:ascii="宋体" w:hAnsi="宋体" w:eastAsia="宋体" w:cs="宋体"/>
          <w:sz w:val="24"/>
          <w:szCs w:val="24"/>
          <w:highlight w:val="none"/>
          <w:lang w:eastAsia="zh-CN"/>
        </w:rPr>
        <w:br w:type="page"/>
      </w:r>
    </w:p>
    <w:p>
      <w:pPr>
        <w:spacing w:line="360" w:lineRule="auto"/>
        <w:rPr>
          <w:rFonts w:hint="eastAsia" w:ascii="宋体" w:hAnsi="宋体" w:cs="宋体"/>
          <w:i w:val="0"/>
          <w:iCs w:val="0"/>
          <w:caps w:val="0"/>
          <w:color w:val="333333"/>
          <w:spacing w:val="0"/>
          <w:sz w:val="24"/>
          <w:szCs w:val="24"/>
          <w:shd w:val="clear" w:fill="FFFFFF"/>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cs="宋体"/>
          <w:i w:val="0"/>
          <w:iCs w:val="0"/>
          <w:caps w:val="0"/>
          <w:color w:val="333333"/>
          <w:spacing w:val="0"/>
          <w:sz w:val="24"/>
          <w:szCs w:val="24"/>
          <w:shd w:val="clear" w:fill="FFFFFF"/>
          <w:lang w:eastAsia="zh-CN"/>
        </w:rPr>
        <w:t>税收缴纳证明：提供磋商截止日前近一年内任意一个月的纳税证明或完税证明（任意税种），依法免税的单位应提供相关证明材料。</w:t>
      </w:r>
    </w:p>
    <w:p>
      <w:pPr>
        <w:spacing w:line="360" w:lineRule="auto"/>
        <w:rPr>
          <w:rFonts w:hint="eastAsia" w:ascii="宋体" w:hAnsi="宋体" w:eastAsia="宋体" w:cs="宋体"/>
          <w:sz w:val="24"/>
          <w:szCs w:val="24"/>
          <w:highlight w:val="none"/>
          <w:lang w:eastAsia="zh-CN"/>
        </w:rPr>
      </w:pPr>
      <w:r>
        <w:rPr>
          <w:rFonts w:hint="eastAsia" w:ascii="宋体" w:hAnsi="宋体" w:cs="宋体"/>
          <w:i w:val="0"/>
          <w:iCs w:val="0"/>
          <w:caps w:val="0"/>
          <w:color w:val="333333"/>
          <w:spacing w:val="0"/>
          <w:sz w:val="24"/>
          <w:szCs w:val="24"/>
          <w:shd w:val="clear" w:fill="FFFFFF"/>
          <w:lang w:eastAsia="zh-CN"/>
        </w:rPr>
        <w:br w:type="column"/>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cs="宋体"/>
          <w:i w:val="0"/>
          <w:iCs w:val="0"/>
          <w:caps w:val="0"/>
          <w:color w:val="333333"/>
          <w:spacing w:val="0"/>
          <w:sz w:val="24"/>
          <w:szCs w:val="24"/>
          <w:shd w:val="clear" w:fill="FFFFFF"/>
          <w:lang w:eastAsia="zh-CN"/>
        </w:rPr>
        <w:t>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cs="宋体"/>
          <w:sz w:val="24"/>
          <w:szCs w:val="24"/>
          <w:highlight w:val="none"/>
          <w:lang w:eastAsia="zh-CN"/>
        </w:rPr>
        <w:t>。</w:t>
      </w:r>
    </w:p>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cs="宋体"/>
          <w:i w:val="0"/>
          <w:iCs w:val="0"/>
          <w:caps w:val="0"/>
          <w:color w:val="333333"/>
          <w:spacing w:val="0"/>
          <w:sz w:val="24"/>
          <w:szCs w:val="24"/>
          <w:shd w:val="clear" w:fill="FFFFFF"/>
          <w:lang w:eastAsia="zh-CN"/>
        </w:rPr>
        <w:t>不得为列入“信用中国”网站（www.creditchina.gov.cn）及“中国政府采购网”网站（http://www.ccgp.gov.cn/）中列入失信被执行人和重大税收违法案件当事人名单的投标人</w:t>
      </w:r>
      <w:r>
        <w:rPr>
          <w:rFonts w:hint="eastAsia" w:ascii="宋体" w:hAnsi="宋体" w:cs="宋体"/>
          <w:sz w:val="24"/>
          <w:szCs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kern w:val="0"/>
          <w:sz w:val="24"/>
          <w:szCs w:val="20"/>
          <w:highlight w:val="none"/>
          <w:lang w:eastAsia="zh-CN"/>
        </w:rPr>
      </w:pPr>
      <w:r>
        <w:rPr>
          <w:rFonts w:hint="eastAsia" w:ascii="宋体" w:hAnsi="宋体" w:cs="宋体"/>
          <w:sz w:val="24"/>
          <w:szCs w:val="24"/>
          <w:highlight w:val="none"/>
          <w:lang w:eastAsia="zh-CN"/>
        </w:rPr>
        <w:br w:type="column"/>
      </w:r>
      <w:r>
        <w:rPr>
          <w:rFonts w:hint="eastAsia" w:ascii="宋体" w:hAnsi="宋体" w:cs="宋体"/>
          <w:i w:val="0"/>
          <w:iCs w:val="0"/>
          <w:caps w:val="0"/>
          <w:color w:val="333333"/>
          <w:spacing w:val="0"/>
          <w:sz w:val="24"/>
          <w:szCs w:val="24"/>
          <w:shd w:val="clear" w:fill="FFFFFF"/>
          <w:lang w:eastAsia="zh-CN"/>
        </w:rPr>
        <w:t>（</w:t>
      </w:r>
      <w:r>
        <w:rPr>
          <w:rFonts w:hint="eastAsia" w:ascii="宋体" w:hAnsi="宋体" w:cs="宋体"/>
          <w:i w:val="0"/>
          <w:iCs w:val="0"/>
          <w:caps w:val="0"/>
          <w:color w:val="333333"/>
          <w:spacing w:val="0"/>
          <w:sz w:val="24"/>
          <w:szCs w:val="24"/>
          <w:shd w:val="clear" w:fill="FFFFFF"/>
          <w:lang w:val="en-US" w:eastAsia="zh-CN"/>
        </w:rPr>
        <w:t>7）</w:t>
      </w:r>
      <w:r>
        <w:rPr>
          <w:rFonts w:hint="eastAsia" w:ascii="宋体" w:hAnsi="宋体" w:cs="宋体"/>
          <w:i w:val="0"/>
          <w:iCs w:val="0"/>
          <w:caps w:val="0"/>
          <w:color w:val="333333"/>
          <w:spacing w:val="0"/>
          <w:sz w:val="24"/>
          <w:szCs w:val="24"/>
          <w:shd w:val="clear" w:fill="FFFFFF"/>
          <w:lang w:eastAsia="zh-CN"/>
        </w:rPr>
        <w:t>提供具有履行本合同所必需的设备和专业技术能力的说明及承诺书</w:t>
      </w:r>
      <w:r>
        <w:rPr>
          <w:rFonts w:hint="eastAsia" w:ascii="宋体" w:hAnsi="宋体" w:cs="宋体"/>
          <w:kern w:val="0"/>
          <w:sz w:val="24"/>
          <w:szCs w:val="20"/>
          <w:highlight w:val="none"/>
          <w:lang w:eastAsia="zh-CN"/>
        </w:rPr>
        <w:t>。</w:t>
      </w:r>
    </w:p>
    <w:p>
      <w:pPr>
        <w:widowControl/>
        <w:shd w:val="clear" w:color="auto"/>
        <w:spacing w:line="360" w:lineRule="auto"/>
        <w:jc w:val="center"/>
        <w:rPr>
          <w:rFonts w:hint="eastAsia" w:ascii="宋体" w:hAnsi="宋体" w:eastAsia="宋体" w:cs="宋体"/>
          <w:kern w:val="0"/>
          <w:sz w:val="24"/>
          <w:szCs w:val="20"/>
          <w:highlight w:val="none"/>
        </w:rPr>
      </w:pPr>
    </w:p>
    <w:p>
      <w:pPr>
        <w:widowControl/>
        <w:shd w:val="clear" w:color="auto"/>
        <w:spacing w:line="360" w:lineRule="auto"/>
        <w:jc w:val="center"/>
        <w:rPr>
          <w:rFonts w:hint="eastAsia" w:ascii="宋体" w:hAnsi="宋体" w:eastAsia="宋体" w:cs="宋体"/>
          <w:kern w:val="0"/>
          <w:sz w:val="24"/>
          <w:szCs w:val="20"/>
          <w:highlight w:val="none"/>
        </w:rPr>
      </w:pPr>
    </w:p>
    <w:p>
      <w:pPr>
        <w:widowControl/>
        <w:shd w:val="clear" w:color="auto"/>
        <w:spacing w:line="360" w:lineRule="auto"/>
        <w:jc w:val="center"/>
        <w:rPr>
          <w:rFonts w:hint="eastAsia" w:ascii="宋体" w:hAnsi="宋体" w:cs="宋体-18030"/>
          <w:bCs/>
          <w:color w:val="000000"/>
          <w:sz w:val="24"/>
          <w:szCs w:val="32"/>
        </w:rPr>
      </w:pPr>
      <w:r>
        <w:rPr>
          <w:rFonts w:hint="eastAsia" w:ascii="宋体" w:hAnsi="宋体" w:eastAsia="宋体" w:cs="宋体"/>
          <w:kern w:val="0"/>
          <w:sz w:val="24"/>
          <w:szCs w:val="20"/>
          <w:highlight w:val="none"/>
        </w:rPr>
        <w:t>具有履行合同所必需的设备和专业技术能力承诺函</w:t>
      </w:r>
    </w:p>
    <w:p>
      <w:pPr>
        <w:widowControl/>
        <w:shd w:val="clear" w:color="auto"/>
        <w:spacing w:line="360" w:lineRule="auto"/>
        <w:rPr>
          <w:rFonts w:hint="eastAsia" w:ascii="宋体" w:hAnsi="宋体" w:cs="宋体-18030"/>
          <w:bCs/>
          <w:color w:val="000000"/>
          <w:sz w:val="24"/>
          <w:szCs w:val="32"/>
        </w:rPr>
      </w:pPr>
    </w:p>
    <w:p>
      <w:pPr>
        <w:widowControl/>
        <w:shd w:val="clear" w:color="auto"/>
        <w:spacing w:line="360" w:lineRule="auto"/>
        <w:rPr>
          <w:rFonts w:ascii="宋体" w:hAnsi="宋体" w:cs="宋体-18030"/>
          <w:bCs/>
          <w:color w:val="000000"/>
          <w:sz w:val="24"/>
          <w:szCs w:val="32"/>
        </w:rPr>
      </w:pPr>
      <w:r>
        <w:rPr>
          <w:rFonts w:hint="eastAsia" w:ascii="宋体" w:hAnsi="宋体" w:cs="宋体-18030"/>
          <w:bCs/>
          <w:color w:val="000000"/>
          <w:sz w:val="24"/>
          <w:szCs w:val="32"/>
        </w:rPr>
        <w:t>致：（采购人）</w:t>
      </w:r>
    </w:p>
    <w:p>
      <w:pPr>
        <w:widowControl/>
        <w:shd w:val="clear" w:color="auto"/>
        <w:spacing w:line="360" w:lineRule="auto"/>
        <w:ind w:firstLine="482"/>
        <w:rPr>
          <w:rFonts w:ascii="宋体" w:hAnsi="宋体" w:cs="宋体-18030"/>
          <w:bCs/>
          <w:color w:val="000000"/>
          <w:sz w:val="24"/>
          <w:szCs w:val="32"/>
        </w:rPr>
      </w:pPr>
      <w:r>
        <w:rPr>
          <w:rFonts w:hint="eastAsia" w:ascii="宋体" w:hAnsi="宋体" w:cs="宋体-18030"/>
          <w:bCs/>
          <w:color w:val="000000"/>
          <w:sz w:val="24"/>
          <w:szCs w:val="32"/>
        </w:rPr>
        <w:t>我公司承诺具备履行合同所必需的</w:t>
      </w:r>
      <w:r>
        <w:rPr>
          <w:rFonts w:hint="eastAsia" w:ascii="宋体" w:hAnsi="宋体" w:cs="宋体-18030"/>
          <w:bCs/>
          <w:color w:val="000000"/>
          <w:sz w:val="24"/>
          <w:szCs w:val="32"/>
          <w:lang w:eastAsia="zh-CN"/>
        </w:rPr>
        <w:t>设备和</w:t>
      </w:r>
      <w:r>
        <w:rPr>
          <w:rFonts w:hint="eastAsia" w:ascii="宋体" w:hAnsi="宋体" w:cs="宋体-18030"/>
          <w:bCs/>
          <w:color w:val="000000"/>
          <w:sz w:val="24"/>
          <w:szCs w:val="32"/>
        </w:rPr>
        <w:t>专业技术能力。</w:t>
      </w:r>
    </w:p>
    <w:p>
      <w:pPr>
        <w:spacing w:line="360" w:lineRule="auto"/>
        <w:ind w:firstLine="4920" w:firstLineChars="2050"/>
        <w:rPr>
          <w:rFonts w:ascii="宋体" w:hAnsi="宋体"/>
          <w:sz w:val="24"/>
          <w:szCs w:val="24"/>
        </w:rPr>
      </w:pPr>
    </w:p>
    <w:p>
      <w:pPr>
        <w:spacing w:line="360" w:lineRule="auto"/>
        <w:ind w:firstLine="4305" w:firstLineChars="2050"/>
        <w:rPr>
          <w:rFonts w:ascii="宋体" w:hAnsi="宋体"/>
          <w:szCs w:val="21"/>
        </w:rPr>
      </w:pPr>
    </w:p>
    <w:p>
      <w:pPr>
        <w:spacing w:line="360" w:lineRule="auto"/>
        <w:ind w:firstLine="4305" w:firstLineChars="2050"/>
        <w:rPr>
          <w:rFonts w:ascii="宋体" w:hAnsi="宋体"/>
          <w:szCs w:val="21"/>
        </w:rPr>
      </w:pPr>
    </w:p>
    <w:p>
      <w:pPr>
        <w:spacing w:line="360" w:lineRule="auto"/>
        <w:ind w:firstLine="4305" w:firstLineChars="2050"/>
        <w:rPr>
          <w:rFonts w:ascii="宋体" w:hAnsi="宋体"/>
          <w:szCs w:val="21"/>
        </w:rPr>
      </w:pPr>
    </w:p>
    <w:p>
      <w:pPr>
        <w:spacing w:line="360" w:lineRule="auto"/>
        <w:ind w:firstLine="4305" w:firstLineChars="2050"/>
        <w:rPr>
          <w:rFonts w:ascii="宋体" w:hAnsi="宋体"/>
          <w:szCs w:val="21"/>
        </w:rPr>
      </w:pPr>
    </w:p>
    <w:p>
      <w:pPr>
        <w:spacing w:line="360" w:lineRule="auto"/>
        <w:ind w:firstLine="4305" w:firstLineChars="2050"/>
        <w:rPr>
          <w:rFonts w:ascii="宋体" w:hAnsi="宋体"/>
          <w:szCs w:val="21"/>
        </w:rPr>
      </w:pPr>
    </w:p>
    <w:p>
      <w:pPr>
        <w:spacing w:line="360" w:lineRule="auto"/>
        <w:ind w:firstLine="4305" w:firstLineChars="2050"/>
        <w:rPr>
          <w:rFonts w:ascii="宋体" w:hAnsi="宋体"/>
          <w:szCs w:val="21"/>
        </w:rPr>
      </w:pPr>
    </w:p>
    <w:p>
      <w:pPr>
        <w:spacing w:line="360" w:lineRule="auto"/>
        <w:ind w:firstLine="4305" w:firstLineChars="2050"/>
        <w:rPr>
          <w:rFonts w:ascii="宋体" w:hAnsi="宋体"/>
          <w:szCs w:val="21"/>
        </w:rPr>
      </w:pPr>
    </w:p>
    <w:p>
      <w:pPr>
        <w:spacing w:line="360" w:lineRule="auto"/>
        <w:ind w:firstLine="4305" w:firstLineChars="2050"/>
        <w:rPr>
          <w:rFonts w:ascii="宋体" w:hAnsi="宋体"/>
          <w:szCs w:val="21"/>
        </w:rPr>
      </w:pPr>
    </w:p>
    <w:p>
      <w:pPr>
        <w:spacing w:line="360" w:lineRule="auto"/>
        <w:ind w:firstLine="4305" w:firstLineChars="2050"/>
        <w:rPr>
          <w:rFonts w:ascii="宋体" w:hAnsi="宋体"/>
          <w:szCs w:val="21"/>
        </w:rPr>
      </w:pPr>
    </w:p>
    <w:p>
      <w:pPr>
        <w:spacing w:line="360" w:lineRule="auto"/>
        <w:ind w:firstLine="4305" w:firstLineChars="2050"/>
        <w:rPr>
          <w:rFonts w:ascii="宋体" w:hAnsi="宋体"/>
          <w:szCs w:val="21"/>
        </w:rPr>
      </w:pPr>
    </w:p>
    <w:p>
      <w:pPr>
        <w:spacing w:line="360" w:lineRule="auto"/>
        <w:ind w:firstLine="4305" w:firstLineChars="2050"/>
        <w:rPr>
          <w:rFonts w:ascii="宋体" w:hAnsi="宋体"/>
          <w:szCs w:val="21"/>
        </w:rPr>
      </w:pPr>
    </w:p>
    <w:p>
      <w:pPr>
        <w:keepNext w:val="0"/>
        <w:keepLines w:val="0"/>
        <w:widowControl/>
        <w:suppressLineNumbers w:val="0"/>
        <w:spacing w:line="360" w:lineRule="auto"/>
        <w:ind w:firstLine="4080" w:firstLineChars="1700"/>
        <w:jc w:val="left"/>
      </w:pPr>
      <w:r>
        <w:rPr>
          <w:rFonts w:hint="eastAsia" w:ascii="宋体" w:hAnsi="宋体" w:eastAsia="宋体" w:cs="宋体"/>
          <w:color w:val="000000"/>
          <w:kern w:val="0"/>
          <w:sz w:val="24"/>
          <w:szCs w:val="24"/>
          <w:lang w:val="en-US" w:eastAsia="zh-CN" w:bidi="ar"/>
        </w:rPr>
        <w:t xml:space="preserve">供应商：（盖章） </w:t>
      </w:r>
    </w:p>
    <w:p>
      <w:pPr>
        <w:keepNext w:val="0"/>
        <w:keepLines w:val="0"/>
        <w:widowControl/>
        <w:suppressLineNumbers w:val="0"/>
        <w:spacing w:line="360" w:lineRule="auto"/>
        <w:ind w:firstLine="4080" w:firstLineChars="1700"/>
        <w:jc w:val="left"/>
      </w:pPr>
      <w:r>
        <w:rPr>
          <w:rFonts w:hint="eastAsia" w:ascii="宋体" w:hAnsi="宋体" w:eastAsia="宋体" w:cs="宋体"/>
          <w:color w:val="000000"/>
          <w:kern w:val="0"/>
          <w:sz w:val="24"/>
          <w:szCs w:val="24"/>
          <w:lang w:val="en-US" w:eastAsia="zh-CN" w:bidi="ar"/>
        </w:rPr>
        <w:t xml:space="preserve">法定代表人（签名或盖章）： </w:t>
      </w:r>
    </w:p>
    <w:p>
      <w:pPr>
        <w:keepNext w:val="0"/>
        <w:keepLines w:val="0"/>
        <w:widowControl/>
        <w:suppressLineNumbers w:val="0"/>
        <w:spacing w:line="360" w:lineRule="auto"/>
        <w:ind w:firstLine="4080" w:firstLineChars="17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 年 月 日</w:t>
      </w:r>
    </w:p>
    <w:p>
      <w:pPr>
        <w:rPr>
          <w:rFonts w:hint="eastAsia" w:ascii="宋体" w:hAnsi="宋体" w:eastAsia="宋体" w:cs="宋体"/>
          <w:kern w:val="0"/>
          <w:sz w:val="24"/>
          <w:szCs w:val="20"/>
          <w:highlight w:val="none"/>
          <w:lang w:eastAsia="zh-CN"/>
        </w:rPr>
      </w:pPr>
      <w:r>
        <w:rPr>
          <w:rFonts w:hint="eastAsia" w:ascii="宋体" w:hAnsi="宋体" w:eastAsia="宋体" w:cs="宋体"/>
          <w:kern w:val="0"/>
          <w:sz w:val="24"/>
          <w:szCs w:val="20"/>
          <w:highlight w:val="none"/>
          <w:lang w:eastAsia="zh-CN"/>
        </w:rPr>
        <w:br w:type="page"/>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kern w:val="0"/>
          <w:sz w:val="24"/>
          <w:szCs w:val="20"/>
          <w:highlight w:val="none"/>
          <w:lang w:eastAsia="zh-CN"/>
        </w:rPr>
        <w:t>（</w:t>
      </w:r>
      <w:r>
        <w:rPr>
          <w:rFonts w:hint="eastAsia" w:ascii="宋体" w:hAnsi="宋体" w:cs="宋体"/>
          <w:kern w:val="0"/>
          <w:sz w:val="24"/>
          <w:szCs w:val="20"/>
          <w:highlight w:val="none"/>
          <w:lang w:val="en-US" w:eastAsia="zh-CN"/>
        </w:rPr>
        <w:t>8）</w:t>
      </w:r>
      <w:r>
        <w:rPr>
          <w:rFonts w:hint="eastAsia" w:ascii="宋体" w:hAnsi="宋体" w:cs="宋体"/>
          <w:i w:val="0"/>
          <w:iCs w:val="0"/>
          <w:caps w:val="0"/>
          <w:color w:val="333333"/>
          <w:spacing w:val="0"/>
          <w:sz w:val="24"/>
          <w:szCs w:val="24"/>
          <w:shd w:val="clear" w:fill="FFFFFF"/>
          <w:lang w:eastAsia="zh-CN"/>
        </w:rPr>
        <w:t>参加政府采购活动前3年内，在经营活动中没有重大违法记录的书面声明</w:t>
      </w:r>
      <w:r>
        <w:rPr>
          <w:rFonts w:hint="eastAsia" w:ascii="宋体" w:hAnsi="宋体" w:cs="宋体"/>
          <w:sz w:val="24"/>
          <w:szCs w:val="24"/>
          <w:highlight w:val="none"/>
          <w:lang w:eastAsia="zh-CN"/>
        </w:rPr>
        <w:t>。</w:t>
      </w:r>
    </w:p>
    <w:p>
      <w:pPr>
        <w:widowControl/>
        <w:shd w:val="clear" w:color="auto"/>
        <w:spacing w:line="360" w:lineRule="auto"/>
        <w:jc w:val="center"/>
        <w:rPr>
          <w:rFonts w:hint="eastAsia" w:ascii="宋体" w:hAnsi="宋体" w:eastAsia="宋体" w:cs="宋体-18030"/>
          <w:bCs/>
          <w:color w:val="000000"/>
          <w:sz w:val="24"/>
          <w:szCs w:val="24"/>
          <w:lang w:eastAsia="zh-CN"/>
        </w:rPr>
      </w:pPr>
      <w:r>
        <w:rPr>
          <w:rFonts w:hint="eastAsia" w:ascii="宋体" w:hAnsi="宋体" w:cs="宋体-18030"/>
          <w:bCs/>
          <w:color w:val="000000"/>
          <w:sz w:val="24"/>
          <w:szCs w:val="24"/>
          <w:lang w:eastAsia="zh-CN"/>
        </w:rPr>
        <w:t>声明函</w:t>
      </w:r>
    </w:p>
    <w:p>
      <w:pPr>
        <w:widowControl/>
        <w:shd w:val="clear" w:color="auto"/>
        <w:spacing w:line="360" w:lineRule="auto"/>
        <w:rPr>
          <w:rFonts w:ascii="宋体" w:hAnsi="宋体" w:cs="宋体-18030"/>
          <w:bCs/>
          <w:color w:val="000000"/>
          <w:sz w:val="24"/>
          <w:szCs w:val="24"/>
        </w:rPr>
      </w:pPr>
      <w:r>
        <w:rPr>
          <w:rFonts w:hint="eastAsia" w:ascii="宋体" w:hAnsi="宋体" w:cs="宋体-18030"/>
          <w:bCs/>
          <w:color w:val="000000"/>
          <w:sz w:val="24"/>
          <w:szCs w:val="24"/>
        </w:rPr>
        <w:t>致：（采购人）</w:t>
      </w:r>
    </w:p>
    <w:p>
      <w:pPr>
        <w:widowControl/>
        <w:shd w:val="clear" w:color="auto"/>
        <w:spacing w:line="360" w:lineRule="auto"/>
        <w:ind w:firstLine="482"/>
        <w:rPr>
          <w:rFonts w:ascii="宋体" w:hAnsi="宋体" w:cs="宋体-18030"/>
          <w:bCs/>
          <w:color w:val="000000"/>
          <w:sz w:val="24"/>
          <w:szCs w:val="24"/>
        </w:rPr>
      </w:pPr>
      <w:r>
        <w:rPr>
          <w:rFonts w:hint="eastAsia" w:ascii="宋体" w:hAnsi="宋体" w:cs="宋体-18030"/>
          <w:bCs/>
          <w:color w:val="000000"/>
          <w:sz w:val="24"/>
          <w:szCs w:val="24"/>
        </w:rPr>
        <w:t>本单位郑重声明，根据《中华人民共和国政府采购法》及《中华人民共和国政府采购法实施条例》的规定，参加本项目政府采购活动前三年内，在经营活动中无重大违法记录，</w:t>
      </w:r>
      <w:r>
        <w:rPr>
          <w:rFonts w:ascii="宋体" w:hAnsi="宋体" w:cs="宋体-18030"/>
          <w:bCs/>
          <w:color w:val="000000"/>
          <w:sz w:val="24"/>
          <w:szCs w:val="24"/>
        </w:rPr>
        <w:t>未受到行政处罚或责令停业、吊销许可证（或执照）；未处于财产被接管、冻结</w:t>
      </w:r>
      <w:r>
        <w:rPr>
          <w:rFonts w:hint="eastAsia" w:ascii="宋体" w:hAnsi="宋体" w:cs="宋体-18030"/>
          <w:bCs/>
          <w:color w:val="000000"/>
          <w:sz w:val="24"/>
          <w:szCs w:val="24"/>
        </w:rPr>
        <w:t>、</w:t>
      </w:r>
      <w:r>
        <w:rPr>
          <w:rFonts w:ascii="宋体" w:hAnsi="宋体" w:cs="宋体-18030"/>
          <w:bCs/>
          <w:color w:val="000000"/>
          <w:sz w:val="24"/>
          <w:szCs w:val="24"/>
        </w:rPr>
        <w:t>破产状况</w:t>
      </w:r>
      <w:r>
        <w:rPr>
          <w:rFonts w:hint="eastAsia" w:ascii="宋体" w:hAnsi="宋体" w:cs="宋体-18030"/>
          <w:bCs/>
          <w:color w:val="000000"/>
          <w:sz w:val="24"/>
          <w:szCs w:val="24"/>
        </w:rPr>
        <w:t>。</w:t>
      </w:r>
    </w:p>
    <w:p>
      <w:pPr>
        <w:widowControl/>
        <w:shd w:val="clear" w:color="auto"/>
        <w:spacing w:line="360" w:lineRule="auto"/>
        <w:ind w:firstLine="482"/>
        <w:rPr>
          <w:rFonts w:ascii="宋体" w:hAnsi="宋体" w:cs="宋体-18030"/>
          <w:bCs/>
          <w:color w:val="000000"/>
          <w:sz w:val="24"/>
          <w:szCs w:val="24"/>
        </w:rPr>
      </w:pPr>
      <w:r>
        <w:rPr>
          <w:rFonts w:hint="eastAsia" w:ascii="宋体" w:hAnsi="宋体" w:cs="宋体-18030"/>
          <w:bCs/>
          <w:color w:val="000000"/>
          <w:sz w:val="24"/>
          <w:szCs w:val="24"/>
        </w:rPr>
        <w:t>本公司对上述声明的真实性负责。如有虚假，将依法承担相应责任。</w:t>
      </w:r>
    </w:p>
    <w:p>
      <w:pPr>
        <w:spacing w:line="360" w:lineRule="auto"/>
        <w:ind w:firstLine="4305" w:firstLineChars="2050"/>
        <w:rPr>
          <w:rFonts w:ascii="宋体" w:hAnsi="宋体"/>
          <w:szCs w:val="21"/>
        </w:rPr>
      </w:pPr>
    </w:p>
    <w:p>
      <w:pPr>
        <w:spacing w:line="360" w:lineRule="auto"/>
        <w:ind w:firstLine="4305" w:firstLineChars="2050"/>
        <w:rPr>
          <w:rFonts w:ascii="宋体" w:hAnsi="宋体"/>
          <w:szCs w:val="21"/>
        </w:rPr>
      </w:pPr>
    </w:p>
    <w:p>
      <w:pPr>
        <w:spacing w:line="360" w:lineRule="auto"/>
        <w:ind w:firstLine="4305" w:firstLineChars="2050"/>
        <w:rPr>
          <w:rFonts w:ascii="宋体" w:hAnsi="宋体"/>
          <w:szCs w:val="21"/>
        </w:rPr>
      </w:pPr>
    </w:p>
    <w:p>
      <w:pPr>
        <w:spacing w:line="360" w:lineRule="auto"/>
        <w:ind w:firstLine="4305" w:firstLineChars="2050"/>
        <w:rPr>
          <w:rFonts w:ascii="宋体" w:hAnsi="宋体"/>
          <w:szCs w:val="21"/>
        </w:rPr>
      </w:pPr>
    </w:p>
    <w:p>
      <w:pPr>
        <w:spacing w:line="360" w:lineRule="auto"/>
        <w:ind w:firstLine="4305" w:firstLineChars="2050"/>
        <w:rPr>
          <w:rFonts w:ascii="宋体" w:hAnsi="宋体"/>
          <w:szCs w:val="21"/>
        </w:rPr>
      </w:pPr>
    </w:p>
    <w:p>
      <w:pPr>
        <w:spacing w:line="360" w:lineRule="auto"/>
        <w:ind w:firstLine="4305" w:firstLineChars="2050"/>
        <w:rPr>
          <w:rFonts w:ascii="宋体" w:hAnsi="宋体"/>
          <w:szCs w:val="21"/>
        </w:rPr>
      </w:pPr>
    </w:p>
    <w:p>
      <w:pPr>
        <w:spacing w:line="360" w:lineRule="auto"/>
        <w:ind w:firstLine="4305" w:firstLineChars="2050"/>
        <w:rPr>
          <w:rFonts w:ascii="宋体" w:hAnsi="宋体"/>
          <w:szCs w:val="21"/>
        </w:rPr>
      </w:pPr>
    </w:p>
    <w:p>
      <w:pPr>
        <w:keepNext w:val="0"/>
        <w:keepLines w:val="0"/>
        <w:widowControl/>
        <w:suppressLineNumbers w:val="0"/>
        <w:spacing w:line="360" w:lineRule="auto"/>
        <w:ind w:firstLine="4080" w:firstLineChars="1700"/>
        <w:jc w:val="left"/>
      </w:pPr>
      <w:r>
        <w:rPr>
          <w:rFonts w:hint="eastAsia" w:ascii="宋体" w:hAnsi="宋体" w:eastAsia="宋体" w:cs="宋体"/>
          <w:color w:val="000000"/>
          <w:kern w:val="0"/>
          <w:sz w:val="24"/>
          <w:szCs w:val="24"/>
          <w:lang w:val="en-US" w:eastAsia="zh-CN" w:bidi="ar"/>
        </w:rPr>
        <w:t xml:space="preserve">供应商：（盖章） </w:t>
      </w:r>
    </w:p>
    <w:p>
      <w:pPr>
        <w:keepNext w:val="0"/>
        <w:keepLines w:val="0"/>
        <w:widowControl/>
        <w:suppressLineNumbers w:val="0"/>
        <w:spacing w:line="360" w:lineRule="auto"/>
        <w:ind w:firstLine="4080" w:firstLineChars="1700"/>
        <w:jc w:val="left"/>
      </w:pPr>
      <w:r>
        <w:rPr>
          <w:rFonts w:hint="eastAsia" w:ascii="宋体" w:hAnsi="宋体" w:eastAsia="宋体" w:cs="宋体"/>
          <w:color w:val="000000"/>
          <w:kern w:val="0"/>
          <w:sz w:val="24"/>
          <w:szCs w:val="24"/>
          <w:lang w:val="en-US" w:eastAsia="zh-CN" w:bidi="ar"/>
        </w:rPr>
        <w:t xml:space="preserve">法定代表人（签名或盖章）： </w:t>
      </w:r>
    </w:p>
    <w:p>
      <w:pPr>
        <w:keepNext w:val="0"/>
        <w:keepLines w:val="0"/>
        <w:widowControl/>
        <w:suppressLineNumbers w:val="0"/>
        <w:spacing w:line="360" w:lineRule="auto"/>
        <w:ind w:firstLine="4080" w:firstLineChars="17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 年 月 日</w:t>
      </w:r>
    </w:p>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p>
    <w:p>
      <w:pPr>
        <w:rPr>
          <w:rFonts w:hint="eastAsia" w:ascii="宋体" w:hAnsi="宋体" w:cs="宋体"/>
          <w:i w:val="0"/>
          <w:iCs w:val="0"/>
          <w:caps w:val="0"/>
          <w:color w:val="333333"/>
          <w:spacing w:val="0"/>
          <w:sz w:val="24"/>
          <w:szCs w:val="24"/>
          <w:shd w:val="clear" w:fill="FFFFFF"/>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int="eastAsia" w:ascii="宋体" w:hAnsi="宋体" w:cs="宋体"/>
          <w:i w:val="0"/>
          <w:iCs w:val="0"/>
          <w:caps w:val="0"/>
          <w:color w:val="333333"/>
          <w:spacing w:val="0"/>
          <w:sz w:val="24"/>
          <w:szCs w:val="24"/>
          <w:shd w:val="clear" w:fill="FFFFFF"/>
          <w:lang w:eastAsia="zh-CN"/>
        </w:rPr>
      </w:pPr>
      <w:r>
        <w:rPr>
          <w:rFonts w:hint="eastAsia" w:ascii="宋体" w:hAnsi="宋体" w:cs="宋体"/>
          <w:i w:val="0"/>
          <w:iCs w:val="0"/>
          <w:caps w:val="0"/>
          <w:color w:val="333333"/>
          <w:spacing w:val="0"/>
          <w:sz w:val="24"/>
          <w:szCs w:val="24"/>
          <w:shd w:val="clear" w:fill="FFFFFF"/>
          <w:lang w:eastAsia="zh-CN"/>
        </w:rPr>
        <w:t>（</w:t>
      </w:r>
      <w:r>
        <w:rPr>
          <w:rFonts w:hint="eastAsia" w:ascii="宋体" w:hAnsi="宋体" w:cs="宋体"/>
          <w:i w:val="0"/>
          <w:iCs w:val="0"/>
          <w:caps w:val="0"/>
          <w:color w:val="333333"/>
          <w:spacing w:val="0"/>
          <w:sz w:val="24"/>
          <w:szCs w:val="24"/>
          <w:shd w:val="clear" w:fill="FFFFFF"/>
          <w:lang w:val="en-US" w:eastAsia="zh-CN"/>
        </w:rPr>
        <w:t>9</w:t>
      </w:r>
      <w:r>
        <w:rPr>
          <w:rFonts w:hint="eastAsia" w:ascii="宋体" w:hAnsi="宋体" w:cs="宋体"/>
          <w:i w:val="0"/>
          <w:iCs w:val="0"/>
          <w:caps w:val="0"/>
          <w:color w:val="333333"/>
          <w:spacing w:val="0"/>
          <w:sz w:val="24"/>
          <w:szCs w:val="24"/>
          <w:shd w:val="clear" w:fill="FFFFFF"/>
          <w:lang w:eastAsia="zh-CN"/>
        </w:rPr>
        <w:t>）本项目不接受联合体磋商。</w:t>
      </w:r>
    </w:p>
    <w:p>
      <w:pPr>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br w:type="page"/>
      </w:r>
    </w:p>
    <w:p>
      <w:pPr>
        <w:pStyle w:val="4"/>
        <w:jc w:val="both"/>
        <w:outlineLvl w:val="1"/>
        <w:rPr>
          <w:rFonts w:hint="eastAsia" w:ascii="宋体" w:hAnsi="宋体" w:eastAsia="宋体" w:cs="宋体"/>
          <w:b/>
          <w:bCs/>
          <w:color w:val="000000"/>
          <w:kern w:val="0"/>
          <w:sz w:val="30"/>
          <w:szCs w:val="30"/>
          <w:lang w:val="en-US" w:eastAsia="zh-CN" w:bidi="ar"/>
        </w:rPr>
      </w:pPr>
      <w:bookmarkStart w:id="63" w:name="_Toc527969888"/>
      <w:bookmarkStart w:id="64" w:name="_Toc51658022"/>
      <w:bookmarkStart w:id="65" w:name="_Toc19010"/>
      <w:bookmarkStart w:id="66" w:name="_Toc7022"/>
      <w:bookmarkStart w:id="67" w:name="_Toc30932"/>
      <w:r>
        <w:rPr>
          <w:rFonts w:hint="eastAsia" w:ascii="宋体" w:hAnsi="宋体" w:cs="宋体"/>
          <w:b/>
          <w:bCs/>
          <w:color w:val="000000"/>
          <w:kern w:val="0"/>
          <w:sz w:val="30"/>
          <w:szCs w:val="30"/>
          <w:lang w:val="en-US" w:eastAsia="zh-CN" w:bidi="ar"/>
        </w:rPr>
        <w:t>七</w:t>
      </w:r>
      <w:r>
        <w:rPr>
          <w:rFonts w:hint="eastAsia" w:ascii="宋体" w:hAnsi="宋体" w:eastAsia="宋体" w:cs="宋体"/>
          <w:b/>
          <w:bCs/>
          <w:color w:val="000000"/>
          <w:kern w:val="0"/>
          <w:sz w:val="30"/>
          <w:szCs w:val="30"/>
          <w:lang w:val="en-US" w:eastAsia="zh-CN" w:bidi="ar"/>
        </w:rPr>
        <w:t>、</w:t>
      </w:r>
      <w:bookmarkEnd w:id="63"/>
      <w:r>
        <w:rPr>
          <w:rFonts w:hint="eastAsia" w:ascii="宋体" w:hAnsi="宋体" w:eastAsia="宋体" w:cs="宋体"/>
          <w:b/>
          <w:bCs/>
          <w:color w:val="000000"/>
          <w:kern w:val="0"/>
          <w:sz w:val="30"/>
          <w:szCs w:val="30"/>
          <w:lang w:val="en-US" w:eastAsia="zh-CN" w:bidi="ar"/>
        </w:rPr>
        <w:t>小微企业、监狱企业、残疾人福利单位的声明函或证明材料</w:t>
      </w:r>
      <w:bookmarkEnd w:id="64"/>
      <w:bookmarkEnd w:id="65"/>
      <w:bookmarkEnd w:id="66"/>
      <w:bookmarkEnd w:id="67"/>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（一）中小企业声明函</w:t>
      </w:r>
    </w:p>
    <w:p>
      <w:pPr>
        <w:widowControl/>
        <w:shd w:val="clear" w:color="auto"/>
        <w:spacing w:line="360" w:lineRule="auto"/>
        <w:ind w:firstLine="482"/>
        <w:rPr>
          <w:rFonts w:hint="eastAsia" w:ascii="宋体" w:hAnsi="宋体" w:eastAsia="宋体" w:cs="宋体"/>
          <w:bCs/>
          <w:color w:val="000000"/>
          <w:sz w:val="24"/>
          <w:szCs w:val="24"/>
        </w:rPr>
      </w:pPr>
      <w:r>
        <w:rPr>
          <w:rFonts w:hint="eastAsia" w:ascii="宋体" w:hAnsi="宋体" w:eastAsia="宋体" w:cs="宋体"/>
          <w:bCs/>
          <w:color w:val="000000"/>
          <w:sz w:val="24"/>
          <w:szCs w:val="24"/>
        </w:rPr>
        <w:t>本公司郑重声明，根据《政府采购促进中小企业发展暂行办法》（财库[2011]181号）的规定，本公司为（请填写：中型、小型、微型）企业。即，本公司同时满足以下条件：</w:t>
      </w:r>
    </w:p>
    <w:p>
      <w:pPr>
        <w:widowControl/>
        <w:shd w:val="clear" w:color="auto"/>
        <w:spacing w:line="360" w:lineRule="auto"/>
        <w:ind w:firstLine="482"/>
        <w:rPr>
          <w:rFonts w:hint="eastAsia" w:ascii="宋体" w:hAnsi="宋体" w:eastAsia="宋体" w:cs="宋体"/>
          <w:bCs/>
          <w:color w:val="000000"/>
          <w:sz w:val="24"/>
          <w:szCs w:val="24"/>
        </w:rPr>
      </w:pPr>
      <w:r>
        <w:rPr>
          <w:rFonts w:hint="eastAsia" w:ascii="宋体" w:hAnsi="宋体" w:eastAsia="宋体" w:cs="宋体"/>
          <w:bCs/>
          <w:color w:val="000000"/>
          <w:sz w:val="24"/>
          <w:szCs w:val="24"/>
        </w:rPr>
        <w:t>1.根据《工业和信息化部、国家统计局、国家发展和改革委员会、财政部关于印发中小企业划型标准规定的通知》（工信部联企业[2011]300号）规定的划分标准，本公司为（请填写：中型、小型、微型）企业。</w:t>
      </w:r>
    </w:p>
    <w:p>
      <w:pPr>
        <w:widowControl/>
        <w:shd w:val="clear" w:color="auto"/>
        <w:spacing w:line="360" w:lineRule="auto"/>
        <w:ind w:firstLine="482"/>
        <w:rPr>
          <w:rFonts w:hint="eastAsia" w:ascii="宋体" w:hAnsi="宋体" w:eastAsia="宋体" w:cs="宋体"/>
          <w:bCs/>
          <w:color w:val="000000"/>
          <w:sz w:val="24"/>
          <w:szCs w:val="24"/>
        </w:rPr>
      </w:pPr>
      <w:r>
        <w:rPr>
          <w:rFonts w:hint="eastAsia" w:ascii="宋体" w:hAnsi="宋体" w:eastAsia="宋体" w:cs="宋体"/>
          <w:bCs/>
          <w:color w:val="000000"/>
          <w:sz w:val="24"/>
          <w:szCs w:val="24"/>
        </w:rPr>
        <w:t>2.本公司参加单位的项目采购活动提供本企业制造的货物，由本企业承担工程、提供服务，或者提供其他（请填写：中型、小型、微型）企业制造的货物。本条所称货物不包括使用大型企业注册商标的货物。</w:t>
      </w:r>
    </w:p>
    <w:p>
      <w:pPr>
        <w:widowControl/>
        <w:shd w:val="clear" w:color="auto"/>
        <w:spacing w:line="360" w:lineRule="auto"/>
        <w:ind w:firstLine="482"/>
        <w:rPr>
          <w:rFonts w:hint="eastAsia" w:ascii="宋体" w:hAnsi="宋体" w:eastAsia="宋体" w:cs="宋体"/>
          <w:bCs/>
          <w:color w:val="000000"/>
          <w:sz w:val="24"/>
          <w:szCs w:val="24"/>
        </w:rPr>
      </w:pPr>
      <w:r>
        <w:rPr>
          <w:rFonts w:hint="eastAsia" w:ascii="宋体" w:hAnsi="宋体" w:eastAsia="宋体" w:cs="宋体"/>
          <w:bCs/>
          <w:color w:val="000000"/>
          <w:sz w:val="24"/>
          <w:szCs w:val="24"/>
        </w:rPr>
        <w:t>本公司对上述声明的真实性负责。如有虚假，将依法承担相应责任。</w:t>
      </w:r>
    </w:p>
    <w:p>
      <w:pPr>
        <w:spacing w:line="360" w:lineRule="auto"/>
        <w:ind w:firstLine="4920" w:firstLineChars="2050"/>
        <w:rPr>
          <w:rFonts w:hint="eastAsia" w:ascii="宋体" w:hAnsi="宋体" w:eastAsia="宋体" w:cs="宋体"/>
          <w:sz w:val="24"/>
          <w:szCs w:val="24"/>
        </w:rPr>
      </w:pPr>
    </w:p>
    <w:p>
      <w:pPr>
        <w:spacing w:line="360" w:lineRule="auto"/>
        <w:ind w:firstLine="4920" w:firstLineChars="2050"/>
        <w:rPr>
          <w:rFonts w:hint="eastAsia" w:ascii="宋体" w:hAnsi="宋体" w:eastAsia="宋体" w:cs="宋体"/>
          <w:sz w:val="24"/>
          <w:szCs w:val="24"/>
        </w:rPr>
      </w:pPr>
    </w:p>
    <w:p>
      <w:pPr>
        <w:spacing w:line="360" w:lineRule="auto"/>
        <w:ind w:firstLine="4920" w:firstLineChars="2050"/>
        <w:rPr>
          <w:rFonts w:hint="eastAsia" w:ascii="宋体" w:hAnsi="宋体" w:eastAsia="宋体" w:cs="宋体"/>
          <w:sz w:val="24"/>
          <w:szCs w:val="24"/>
        </w:rPr>
      </w:pPr>
    </w:p>
    <w:p>
      <w:pPr>
        <w:spacing w:line="360" w:lineRule="auto"/>
        <w:ind w:firstLine="4920" w:firstLineChars="2050"/>
        <w:rPr>
          <w:rFonts w:hint="eastAsia" w:ascii="宋体" w:hAnsi="宋体" w:eastAsia="宋体" w:cs="宋体"/>
          <w:sz w:val="24"/>
          <w:szCs w:val="24"/>
        </w:rPr>
      </w:pPr>
    </w:p>
    <w:p>
      <w:pPr>
        <w:spacing w:line="360" w:lineRule="auto"/>
        <w:ind w:firstLine="4920" w:firstLineChars="2050"/>
        <w:rPr>
          <w:rFonts w:hint="eastAsia" w:ascii="宋体" w:hAnsi="宋体" w:eastAsia="宋体" w:cs="宋体"/>
          <w:sz w:val="24"/>
          <w:szCs w:val="24"/>
        </w:rPr>
      </w:pPr>
    </w:p>
    <w:p>
      <w:pPr>
        <w:keepNext w:val="0"/>
        <w:keepLines w:val="0"/>
        <w:widowControl/>
        <w:suppressLineNumbers w:val="0"/>
        <w:spacing w:line="360" w:lineRule="auto"/>
        <w:ind w:firstLine="4080" w:firstLineChars="1700"/>
        <w:jc w:val="left"/>
      </w:pPr>
      <w:r>
        <w:rPr>
          <w:rFonts w:hint="eastAsia" w:ascii="宋体" w:hAnsi="宋体" w:eastAsia="宋体" w:cs="宋体"/>
          <w:color w:val="000000"/>
          <w:kern w:val="0"/>
          <w:sz w:val="24"/>
          <w:szCs w:val="24"/>
          <w:lang w:val="en-US" w:eastAsia="zh-CN" w:bidi="ar"/>
        </w:rPr>
        <w:t xml:space="preserve">供应商：（盖章） </w:t>
      </w:r>
    </w:p>
    <w:p>
      <w:pPr>
        <w:keepNext w:val="0"/>
        <w:keepLines w:val="0"/>
        <w:widowControl/>
        <w:suppressLineNumbers w:val="0"/>
        <w:spacing w:line="360" w:lineRule="auto"/>
        <w:ind w:firstLine="4080" w:firstLineChars="1700"/>
        <w:jc w:val="left"/>
      </w:pPr>
      <w:r>
        <w:rPr>
          <w:rFonts w:hint="eastAsia" w:ascii="宋体" w:hAnsi="宋体" w:eastAsia="宋体" w:cs="宋体"/>
          <w:color w:val="000000"/>
          <w:kern w:val="0"/>
          <w:sz w:val="24"/>
          <w:szCs w:val="24"/>
          <w:lang w:val="en-US" w:eastAsia="zh-CN" w:bidi="ar"/>
        </w:rPr>
        <w:t xml:space="preserve">法定代表人（签名或盖章）： </w:t>
      </w:r>
    </w:p>
    <w:p>
      <w:pPr>
        <w:keepNext w:val="0"/>
        <w:keepLines w:val="0"/>
        <w:widowControl/>
        <w:suppressLineNumbers w:val="0"/>
        <w:spacing w:line="360" w:lineRule="auto"/>
        <w:ind w:firstLine="4080" w:firstLineChars="17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 年 月 日</w:t>
      </w:r>
    </w:p>
    <w:p>
      <w:pPr>
        <w:widowControl/>
        <w:spacing w:line="360" w:lineRule="auto"/>
        <w:jc w:val="right"/>
        <w:rPr>
          <w:rFonts w:hint="eastAsia" w:ascii="宋体" w:hAnsi="宋体" w:eastAsia="宋体" w:cs="宋体"/>
          <w:sz w:val="24"/>
          <w:szCs w:val="24"/>
        </w:rPr>
      </w:pPr>
    </w:p>
    <w:p>
      <w:pPr>
        <w:widowControl/>
        <w:spacing w:line="360" w:lineRule="auto"/>
        <w:jc w:val="right"/>
        <w:rPr>
          <w:rFonts w:hint="eastAsia" w:ascii="宋体" w:hAnsi="宋体" w:eastAsia="宋体" w:cs="宋体"/>
          <w:sz w:val="24"/>
          <w:szCs w:val="24"/>
        </w:rPr>
      </w:pPr>
    </w:p>
    <w:p>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注：</w:t>
      </w:r>
      <w:r>
        <w:rPr>
          <w:rFonts w:hint="eastAsia" w:ascii="宋体" w:hAnsi="宋体" w:eastAsia="宋体" w:cs="宋体"/>
          <w:color w:val="000000" w:themeColor="text1"/>
          <w:kern w:val="0"/>
          <w:sz w:val="24"/>
          <w:szCs w:val="24"/>
          <w14:textFill>
            <w14:solidFill>
              <w14:schemeClr w14:val="tx1"/>
            </w14:solidFill>
          </w14:textFill>
        </w:rPr>
        <w:t>符合中小企业划型标准的企业请提供本函，不符合的不提供本函。</w:t>
      </w:r>
      <w:r>
        <w:rPr>
          <w:rFonts w:hint="eastAsia" w:ascii="宋体" w:hAnsi="宋体" w:eastAsia="宋体" w:cs="宋体"/>
          <w:color w:val="000000" w:themeColor="text1"/>
          <w:sz w:val="24"/>
          <w:szCs w:val="24"/>
          <w14:textFill>
            <w14:solidFill>
              <w14:schemeClr w14:val="tx1"/>
            </w14:solidFill>
          </w14:textFill>
        </w:rPr>
        <w:br w:type="page"/>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（二）监狱企业证明</w:t>
      </w:r>
    </w:p>
    <w:p>
      <w:pPr>
        <w:autoSpaceDE w:val="0"/>
        <w:autoSpaceDN w:val="0"/>
        <w:adjustRightInd w:val="0"/>
        <w:spacing w:line="360" w:lineRule="auto"/>
        <w:jc w:val="left"/>
        <w:rPr>
          <w:rFonts w:hint="eastAsia" w:ascii="宋体" w:hAnsi="宋体" w:eastAsia="宋体" w:cs="宋体"/>
          <w:color w:val="000000"/>
          <w:kern w:val="0"/>
          <w:sz w:val="24"/>
          <w:szCs w:val="24"/>
        </w:rPr>
      </w:pP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省级以上监狱管理局、戒毒管理局（含新疆生产建设兵团）出具的属于监狱企业的证明文件。</w:t>
      </w:r>
    </w:p>
    <w:p>
      <w:pPr>
        <w:widowControl/>
        <w:spacing w:line="360" w:lineRule="auto"/>
        <w:jc w:val="left"/>
        <w:rPr>
          <w:rFonts w:hint="eastAsia" w:ascii="宋体" w:hAnsi="宋体" w:eastAsia="宋体" w:cs="宋体"/>
          <w:color w:val="000000"/>
          <w:kern w:val="0"/>
          <w:sz w:val="24"/>
          <w:szCs w:val="24"/>
        </w:rPr>
      </w:pPr>
    </w:p>
    <w:p>
      <w:pPr>
        <w:widowControl/>
        <w:spacing w:line="360" w:lineRule="auto"/>
        <w:jc w:val="left"/>
        <w:rPr>
          <w:rFonts w:hint="eastAsia" w:ascii="宋体" w:hAnsi="宋体" w:eastAsia="宋体" w:cs="宋体"/>
          <w:color w:val="000000"/>
          <w:kern w:val="0"/>
          <w:sz w:val="24"/>
          <w:szCs w:val="24"/>
        </w:rPr>
      </w:pPr>
    </w:p>
    <w:p>
      <w:pPr>
        <w:widowControl/>
        <w:spacing w:line="360" w:lineRule="auto"/>
        <w:jc w:val="left"/>
        <w:rPr>
          <w:rFonts w:hint="eastAsia" w:ascii="宋体" w:hAnsi="宋体" w:eastAsia="宋体" w:cs="宋体"/>
          <w:color w:val="000000"/>
          <w:kern w:val="0"/>
          <w:sz w:val="24"/>
          <w:szCs w:val="24"/>
        </w:rPr>
      </w:pPr>
    </w:p>
    <w:p>
      <w:pPr>
        <w:widowControl/>
        <w:spacing w:line="360" w:lineRule="auto"/>
        <w:jc w:val="left"/>
        <w:rPr>
          <w:rFonts w:hint="eastAsia" w:ascii="宋体" w:hAnsi="宋体" w:eastAsia="宋体" w:cs="宋体"/>
          <w:color w:val="000000"/>
          <w:kern w:val="0"/>
          <w:sz w:val="24"/>
          <w:szCs w:val="24"/>
        </w:rPr>
      </w:pPr>
    </w:p>
    <w:p>
      <w:pPr>
        <w:widowControl/>
        <w:spacing w:line="360" w:lineRule="auto"/>
        <w:jc w:val="left"/>
        <w:rPr>
          <w:rFonts w:hint="eastAsia" w:ascii="宋体" w:hAnsi="宋体" w:eastAsia="宋体" w:cs="宋体"/>
          <w:color w:val="000000"/>
          <w:kern w:val="0"/>
          <w:sz w:val="24"/>
          <w:szCs w:val="24"/>
        </w:rPr>
      </w:pPr>
    </w:p>
    <w:p>
      <w:pPr>
        <w:widowControl/>
        <w:spacing w:line="360" w:lineRule="auto"/>
        <w:jc w:val="left"/>
        <w:rPr>
          <w:rFonts w:hint="eastAsia" w:ascii="宋体" w:hAnsi="宋体" w:eastAsia="宋体" w:cs="宋体"/>
          <w:color w:val="000000"/>
          <w:kern w:val="0"/>
          <w:sz w:val="24"/>
          <w:szCs w:val="24"/>
        </w:rPr>
      </w:pPr>
    </w:p>
    <w:p>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注：符合条件的监狱企业请提供本函，不符合的不提供本函。</w:t>
      </w:r>
      <w:r>
        <w:rPr>
          <w:rFonts w:hint="eastAsia" w:ascii="宋体" w:hAnsi="宋体" w:eastAsia="宋体" w:cs="宋体"/>
          <w:sz w:val="24"/>
          <w:szCs w:val="24"/>
        </w:rPr>
        <w:br w:type="page"/>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（三）残疾人福利性单位声明函</w:t>
      </w:r>
    </w:p>
    <w:p>
      <w:pPr>
        <w:widowControl/>
        <w:spacing w:line="360" w:lineRule="auto"/>
        <w:ind w:firstLine="480" w:firstLineChars="200"/>
        <w:jc w:val="left"/>
        <w:rPr>
          <w:rFonts w:hint="eastAsia" w:ascii="宋体" w:hAnsi="宋体" w:eastAsia="宋体" w:cs="宋体"/>
          <w:color w:val="000000"/>
          <w:kern w:val="0"/>
          <w:sz w:val="24"/>
          <w:szCs w:val="24"/>
        </w:rPr>
      </w:pP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本单位对上述声明的真实性负责。如有虚假，将依法承担相应责任。</w:t>
      </w:r>
    </w:p>
    <w:p>
      <w:pPr>
        <w:widowControl/>
        <w:spacing w:line="360" w:lineRule="auto"/>
        <w:jc w:val="left"/>
        <w:rPr>
          <w:rFonts w:hint="eastAsia" w:ascii="宋体" w:hAnsi="宋体" w:eastAsia="宋体" w:cs="宋体"/>
          <w:color w:val="000000"/>
          <w:kern w:val="0"/>
          <w:sz w:val="24"/>
          <w:szCs w:val="24"/>
        </w:rPr>
      </w:pPr>
    </w:p>
    <w:p>
      <w:pPr>
        <w:spacing w:line="360" w:lineRule="auto"/>
        <w:ind w:firstLine="4920" w:firstLineChars="2050"/>
        <w:rPr>
          <w:rFonts w:hint="eastAsia" w:ascii="宋体" w:hAnsi="宋体" w:eastAsia="宋体" w:cs="宋体"/>
          <w:sz w:val="24"/>
          <w:szCs w:val="24"/>
        </w:rPr>
      </w:pPr>
    </w:p>
    <w:p>
      <w:pPr>
        <w:spacing w:line="360" w:lineRule="auto"/>
        <w:ind w:firstLine="4920" w:firstLineChars="2050"/>
        <w:rPr>
          <w:rFonts w:hint="eastAsia" w:ascii="宋体" w:hAnsi="宋体" w:eastAsia="宋体" w:cs="宋体"/>
          <w:sz w:val="24"/>
          <w:szCs w:val="24"/>
        </w:rPr>
      </w:pPr>
    </w:p>
    <w:p>
      <w:pPr>
        <w:keepNext w:val="0"/>
        <w:keepLines w:val="0"/>
        <w:widowControl/>
        <w:suppressLineNumbers w:val="0"/>
        <w:spacing w:line="360" w:lineRule="auto"/>
        <w:ind w:firstLine="4080" w:firstLineChars="1700"/>
        <w:jc w:val="left"/>
      </w:pPr>
      <w:r>
        <w:rPr>
          <w:rFonts w:hint="eastAsia" w:ascii="宋体" w:hAnsi="宋体" w:eastAsia="宋体" w:cs="宋体"/>
          <w:color w:val="000000"/>
          <w:kern w:val="0"/>
          <w:sz w:val="24"/>
          <w:szCs w:val="24"/>
          <w:lang w:val="en-US" w:eastAsia="zh-CN" w:bidi="ar"/>
        </w:rPr>
        <w:t xml:space="preserve">供应商：（盖章） </w:t>
      </w:r>
    </w:p>
    <w:p>
      <w:pPr>
        <w:keepNext w:val="0"/>
        <w:keepLines w:val="0"/>
        <w:widowControl/>
        <w:suppressLineNumbers w:val="0"/>
        <w:spacing w:line="360" w:lineRule="auto"/>
        <w:ind w:firstLine="4080" w:firstLineChars="1700"/>
        <w:jc w:val="left"/>
      </w:pPr>
      <w:r>
        <w:rPr>
          <w:rFonts w:hint="eastAsia" w:ascii="宋体" w:hAnsi="宋体" w:eastAsia="宋体" w:cs="宋体"/>
          <w:color w:val="000000"/>
          <w:kern w:val="0"/>
          <w:sz w:val="24"/>
          <w:szCs w:val="24"/>
          <w:lang w:val="en-US" w:eastAsia="zh-CN" w:bidi="ar"/>
        </w:rPr>
        <w:t xml:space="preserve">法定代表人（签名或盖章）： </w:t>
      </w:r>
    </w:p>
    <w:p>
      <w:pPr>
        <w:keepNext w:val="0"/>
        <w:keepLines w:val="0"/>
        <w:widowControl/>
        <w:suppressLineNumbers w:val="0"/>
        <w:spacing w:line="360" w:lineRule="auto"/>
        <w:ind w:firstLine="4080" w:firstLineChars="17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 年 月 日</w:t>
      </w:r>
    </w:p>
    <w:p>
      <w:pPr>
        <w:widowControl/>
        <w:spacing w:line="360" w:lineRule="auto"/>
        <w:jc w:val="right"/>
        <w:rPr>
          <w:rFonts w:hint="eastAsia" w:ascii="宋体" w:hAnsi="宋体" w:eastAsia="宋体" w:cs="宋体"/>
          <w:sz w:val="24"/>
          <w:szCs w:val="24"/>
        </w:rPr>
      </w:pPr>
    </w:p>
    <w:p>
      <w:pPr>
        <w:widowControl/>
        <w:spacing w:line="360" w:lineRule="auto"/>
        <w:jc w:val="left"/>
        <w:rPr>
          <w:rFonts w:hint="eastAsia" w:ascii="宋体" w:hAnsi="宋体" w:eastAsia="宋体" w:cs="宋体"/>
          <w:color w:val="000000"/>
          <w:kern w:val="0"/>
          <w:sz w:val="24"/>
          <w:szCs w:val="24"/>
        </w:rPr>
      </w:pPr>
    </w:p>
    <w:p>
      <w:pPr>
        <w:widowControl/>
        <w:spacing w:line="360" w:lineRule="auto"/>
        <w:jc w:val="left"/>
        <w:rPr>
          <w:rFonts w:hint="eastAsia" w:ascii="宋体" w:hAnsi="宋体" w:eastAsia="宋体" w:cs="宋体"/>
          <w:color w:val="000000"/>
          <w:kern w:val="0"/>
          <w:sz w:val="24"/>
          <w:szCs w:val="24"/>
        </w:rPr>
      </w:pPr>
    </w:p>
    <w:p>
      <w:pPr>
        <w:widowControl/>
        <w:spacing w:line="360" w:lineRule="auto"/>
        <w:jc w:val="left"/>
        <w:rPr>
          <w:rFonts w:hint="eastAsia" w:ascii="宋体" w:hAnsi="宋体" w:eastAsia="宋体" w:cs="宋体"/>
          <w:color w:val="000000"/>
          <w:kern w:val="0"/>
          <w:sz w:val="24"/>
          <w:szCs w:val="24"/>
        </w:rPr>
      </w:pPr>
    </w:p>
    <w:p>
      <w:pPr>
        <w:widowControl/>
        <w:spacing w:line="360" w:lineRule="auto"/>
        <w:jc w:val="left"/>
        <w:rPr>
          <w:rFonts w:hint="eastAsia" w:ascii="宋体" w:hAnsi="宋体" w:eastAsia="宋体" w:cs="宋体"/>
          <w:color w:val="000000"/>
          <w:kern w:val="0"/>
          <w:sz w:val="24"/>
          <w:szCs w:val="24"/>
        </w:rPr>
      </w:pPr>
    </w:p>
    <w:p>
      <w:pPr>
        <w:widowControl/>
        <w:spacing w:line="360" w:lineRule="auto"/>
        <w:jc w:val="left"/>
        <w:rPr>
          <w:rFonts w:hint="eastAsia" w:ascii="宋体" w:hAnsi="宋体" w:eastAsia="宋体" w:cs="宋体"/>
          <w:color w:val="000000"/>
          <w:kern w:val="0"/>
          <w:sz w:val="24"/>
          <w:szCs w:val="24"/>
        </w:rPr>
      </w:pPr>
    </w:p>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注：符合条件的残疾人福利性单位请提供本函，不符合的不提供本函</w:t>
      </w:r>
    </w:p>
    <w:p>
      <w:pPr>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br w:type="page"/>
      </w:r>
    </w:p>
    <w:p>
      <w:pPr>
        <w:keepNext w:val="0"/>
        <w:keepLines w:val="0"/>
        <w:widowControl/>
        <w:suppressLineNumbers w:val="0"/>
        <w:jc w:val="center"/>
        <w:outlineLvl w:val="1"/>
        <w:rPr>
          <w:rFonts w:hint="eastAsia" w:ascii="宋体" w:hAnsi="宋体" w:eastAsia="宋体" w:cs="宋体"/>
          <w:b/>
          <w:bCs/>
          <w:color w:val="000000"/>
          <w:kern w:val="0"/>
          <w:sz w:val="30"/>
          <w:szCs w:val="30"/>
          <w:lang w:val="en-US" w:eastAsia="zh-CN" w:bidi="ar"/>
        </w:rPr>
      </w:pPr>
      <w:bookmarkStart w:id="68" w:name="_Toc9470"/>
      <w:r>
        <w:rPr>
          <w:rFonts w:hint="eastAsia" w:ascii="宋体" w:hAnsi="宋体" w:cs="宋体"/>
          <w:b/>
          <w:bCs/>
          <w:color w:val="000000"/>
          <w:kern w:val="0"/>
          <w:sz w:val="30"/>
          <w:szCs w:val="30"/>
          <w:lang w:val="en-US" w:eastAsia="zh-CN" w:bidi="ar"/>
        </w:rPr>
        <w:t>八</w:t>
      </w:r>
      <w:r>
        <w:rPr>
          <w:rFonts w:hint="eastAsia" w:ascii="宋体" w:hAnsi="宋体" w:eastAsia="宋体" w:cs="宋体"/>
          <w:b/>
          <w:bCs/>
          <w:color w:val="000000"/>
          <w:kern w:val="0"/>
          <w:sz w:val="30"/>
          <w:szCs w:val="30"/>
          <w:lang w:val="en-US" w:eastAsia="zh-CN" w:bidi="ar"/>
        </w:rPr>
        <w:t>、节能、环保设备（产品）认证证书（若有）</w:t>
      </w:r>
      <w:bookmarkEnd w:id="68"/>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（注：参与磋商的供应商具有节能、环保产品的应提供。）</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keepNext w:val="0"/>
        <w:keepLines w:val="0"/>
        <w:widowControl/>
        <w:suppressLineNumbers w:val="0"/>
        <w:jc w:val="center"/>
        <w:outlineLvl w:val="1"/>
      </w:pPr>
      <w:bookmarkStart w:id="69" w:name="_Toc6037"/>
      <w:r>
        <w:rPr>
          <w:rFonts w:hint="eastAsia" w:ascii="宋体" w:hAnsi="宋体" w:eastAsia="宋体" w:cs="宋体"/>
          <w:b/>
          <w:bCs/>
          <w:color w:val="000000"/>
          <w:kern w:val="0"/>
          <w:sz w:val="31"/>
          <w:szCs w:val="31"/>
          <w:lang w:val="en-US" w:eastAsia="zh-CN" w:bidi="ar"/>
        </w:rPr>
        <w:t>九、供应商认为有必要补充说明的事项</w:t>
      </w:r>
      <w:bookmarkEnd w:id="69"/>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int="eastAsia" w:ascii="宋体" w:hAnsi="宋体" w:cs="宋体"/>
          <w:i w:val="0"/>
          <w:iCs w:val="0"/>
          <w:caps w:val="0"/>
          <w:color w:val="333333"/>
          <w:spacing w:val="0"/>
          <w:sz w:val="24"/>
          <w:szCs w:val="24"/>
          <w:shd w:val="clear" w:fill="FFFFFF"/>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int="eastAsia" w:ascii="宋体" w:hAnsi="宋体" w:cs="宋体"/>
          <w:i w:val="0"/>
          <w:iCs w:val="0"/>
          <w:caps w:val="0"/>
          <w:color w:val="333333"/>
          <w:spacing w:val="0"/>
          <w:sz w:val="24"/>
          <w:szCs w:val="24"/>
          <w:shd w:val="clear" w:fill="FFFFFF"/>
          <w:lang w:eastAsia="zh-CN"/>
        </w:rPr>
      </w:pPr>
      <w:r>
        <w:rPr>
          <w:rFonts w:hint="eastAsia" w:ascii="宋体" w:hAnsi="宋体" w:cs="宋体"/>
          <w:i w:val="0"/>
          <w:iCs w:val="0"/>
          <w:caps w:val="0"/>
          <w:color w:val="333333"/>
          <w:spacing w:val="0"/>
          <w:sz w:val="24"/>
          <w:szCs w:val="24"/>
          <w:shd w:val="clear" w:fill="FFFFFF"/>
          <w:lang w:eastAsia="zh-CN"/>
        </w:rPr>
        <w:t>磋商保证金缴纳凭证</w:t>
      </w:r>
    </w:p>
    <w:p>
      <w:pPr>
        <w:pStyle w:val="11"/>
        <w:numPr>
          <w:ilvl w:val="0"/>
          <w:numId w:val="0"/>
        </w:numPr>
        <w:jc w:val="both"/>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2BA1F"/>
    <w:multiLevelType w:val="singleLevel"/>
    <w:tmpl w:val="9752BA1F"/>
    <w:lvl w:ilvl="0" w:tentative="0">
      <w:start w:val="2"/>
      <w:numFmt w:val="decimal"/>
      <w:lvlText w:val="%1."/>
      <w:lvlJc w:val="left"/>
      <w:pPr>
        <w:tabs>
          <w:tab w:val="left" w:pos="312"/>
        </w:tabs>
      </w:pPr>
    </w:lvl>
  </w:abstractNum>
  <w:abstractNum w:abstractNumId="1">
    <w:nsid w:val="006AE220"/>
    <w:multiLevelType w:val="singleLevel"/>
    <w:tmpl w:val="006AE220"/>
    <w:lvl w:ilvl="0" w:tentative="0">
      <w:start w:val="1"/>
      <w:numFmt w:val="decimal"/>
      <w:suff w:val="nothing"/>
      <w:lvlText w:val="（%1）"/>
      <w:lvlJc w:val="left"/>
    </w:lvl>
  </w:abstractNum>
  <w:abstractNum w:abstractNumId="2">
    <w:nsid w:val="0A14628B"/>
    <w:multiLevelType w:val="multilevel"/>
    <w:tmpl w:val="0A14628B"/>
    <w:lvl w:ilvl="0" w:tentative="0">
      <w:start w:val="1"/>
      <w:numFmt w:val="chineseCountingThousand"/>
      <w:pStyle w:val="3"/>
      <w:suff w:val="nothing"/>
      <w:lvlText w:val="第%1章"/>
      <w:lvlJc w:val="left"/>
      <w:pPr>
        <w:ind w:left="252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17937161"/>
    <w:multiLevelType w:val="singleLevel"/>
    <w:tmpl w:val="17937161"/>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ZjY3MWZhMzhiMzJiZTIzOTRkMGY5ZjRlM2FhOGUifQ=="/>
  </w:docVars>
  <w:rsids>
    <w:rsidRoot w:val="00000000"/>
    <w:rsid w:val="0101333C"/>
    <w:rsid w:val="013B1380"/>
    <w:rsid w:val="06165769"/>
    <w:rsid w:val="08C13D12"/>
    <w:rsid w:val="102A72F5"/>
    <w:rsid w:val="14495735"/>
    <w:rsid w:val="19E171E2"/>
    <w:rsid w:val="1C7E6481"/>
    <w:rsid w:val="25202314"/>
    <w:rsid w:val="2EF0730E"/>
    <w:rsid w:val="2FAF7047"/>
    <w:rsid w:val="305C0B80"/>
    <w:rsid w:val="323C0CD4"/>
    <w:rsid w:val="34871673"/>
    <w:rsid w:val="37981632"/>
    <w:rsid w:val="37DC5CF3"/>
    <w:rsid w:val="3AB23DE9"/>
    <w:rsid w:val="3E353C3E"/>
    <w:rsid w:val="3F4E5206"/>
    <w:rsid w:val="460C7E50"/>
    <w:rsid w:val="49D444F2"/>
    <w:rsid w:val="4A033835"/>
    <w:rsid w:val="4AAB1213"/>
    <w:rsid w:val="4D8A26F9"/>
    <w:rsid w:val="4EBD70EC"/>
    <w:rsid w:val="4F0A4F22"/>
    <w:rsid w:val="51387E45"/>
    <w:rsid w:val="52B5767C"/>
    <w:rsid w:val="5BEE2B88"/>
    <w:rsid w:val="5D3B2930"/>
    <w:rsid w:val="5D6319A3"/>
    <w:rsid w:val="620A47A1"/>
    <w:rsid w:val="626910C3"/>
    <w:rsid w:val="654900FB"/>
    <w:rsid w:val="6AED145B"/>
    <w:rsid w:val="6BF90833"/>
    <w:rsid w:val="746E5488"/>
    <w:rsid w:val="74AD42BF"/>
    <w:rsid w:val="752A52D1"/>
    <w:rsid w:val="796E5205"/>
    <w:rsid w:val="79B17BC5"/>
    <w:rsid w:val="7B79235D"/>
    <w:rsid w:val="7BDD2EF3"/>
    <w:rsid w:val="7C380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line="360" w:lineRule="auto"/>
      <w:outlineLvl w:val="0"/>
    </w:pPr>
    <w:rPr>
      <w:b/>
      <w:bCs/>
      <w:kern w:val="44"/>
      <w:sz w:val="32"/>
      <w:szCs w:val="44"/>
    </w:rPr>
  </w:style>
  <w:style w:type="paragraph" w:styleId="4">
    <w:name w:val="heading 2"/>
    <w:basedOn w:val="1"/>
    <w:next w:val="1"/>
    <w:qFormat/>
    <w:uiPriority w:val="9"/>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7"/>
    <w:qFormat/>
    <w:uiPriority w:val="0"/>
    <w:pPr>
      <w:keepNext/>
      <w:keepLines/>
      <w:spacing w:line="360" w:lineRule="auto"/>
      <w:outlineLvl w:val="3"/>
    </w:pPr>
    <w:rPr>
      <w:rFonts w:ascii="Arial" w:hAnsi="Arial"/>
      <w:b/>
      <w:bCs/>
      <w:szCs w:val="28"/>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39"/>
    <w:pPr>
      <w:spacing w:before="480" w:after="0" w:line="276" w:lineRule="auto"/>
      <w:outlineLvl w:val="9"/>
    </w:pPr>
    <w:rPr>
      <w:rFonts w:ascii="仿宋" w:hAnsi="仿宋" w:eastAsia="仿宋"/>
      <w:color w:val="000000"/>
      <w:kern w:val="0"/>
      <w:sz w:val="32"/>
      <w:szCs w:val="32"/>
    </w:rPr>
  </w:style>
  <w:style w:type="paragraph" w:styleId="7">
    <w:name w:val="Normal Indent"/>
    <w:basedOn w:val="1"/>
    <w:qFormat/>
    <w:uiPriority w:val="0"/>
    <w:pPr>
      <w:widowControl/>
      <w:ind w:firstLine="420" w:firstLineChars="200"/>
      <w:jc w:val="left"/>
    </w:pPr>
  </w:style>
  <w:style w:type="paragraph" w:styleId="9">
    <w:name w:val="Body Text 3"/>
    <w:basedOn w:val="1"/>
    <w:qFormat/>
    <w:uiPriority w:val="0"/>
    <w:rPr>
      <w:rFonts w:ascii="宋体"/>
      <w:sz w:val="24"/>
      <w:szCs w:val="20"/>
    </w:rPr>
  </w:style>
  <w:style w:type="paragraph" w:styleId="10">
    <w:name w:val="Body Text"/>
    <w:basedOn w:val="1"/>
    <w:next w:val="11"/>
    <w:qFormat/>
    <w:uiPriority w:val="0"/>
    <w:pPr>
      <w:spacing w:after="120"/>
    </w:pPr>
  </w:style>
  <w:style w:type="paragraph" w:styleId="11">
    <w:name w:val="Body Text 2"/>
    <w:basedOn w:val="1"/>
    <w:qFormat/>
    <w:uiPriority w:val="0"/>
    <w:pPr>
      <w:spacing w:after="120" w:afterLines="0" w:line="480" w:lineRule="auto"/>
    </w:pPr>
    <w:rPr>
      <w:rFonts w:ascii="Times New Roman" w:hAnsi="Times New Roman" w:cs="Times New Roman"/>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27814</Words>
  <Characters>29324</Characters>
  <Lines>0</Lines>
  <Paragraphs>0</Paragraphs>
  <TotalTime>18</TotalTime>
  <ScaleCrop>false</ScaleCrop>
  <LinksUpToDate>false</LinksUpToDate>
  <CharactersWithSpaces>31239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2022-10-31T09:29:00Z</cp:lastPrinted>
  <dcterms:modified xsi:type="dcterms:W3CDTF">2022-11-16T06:48:06Z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61BD4EADD9FC4C6B93F80CA25E1444CE</vt:lpwstr>
  </property>
</Properties>
</file>