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jc w:val="right"/>
        <w:rPr>
          <w:rFonts w:ascii="宋体" w:hAnsi="宋体" w:cs="宋体"/>
          <w:color w:val="auto"/>
        </w:rPr>
      </w:pPr>
      <w:r>
        <w:rPr>
          <w:rFonts w:hint="eastAsia" w:ascii="宋体" w:hAnsi="宋体" w:cs="宋体"/>
          <w:bCs/>
          <w:color w:val="auto"/>
          <w:sz w:val="32"/>
          <w:bdr w:val="single" w:color="auto" w:sz="4" w:space="0"/>
        </w:rPr>
        <w:t>政府采购项目</w:t>
      </w:r>
      <w:r>
        <w:rPr>
          <w:rFonts w:hint="eastAsia" w:ascii="宋体" w:hAnsi="宋体" w:cs="宋体"/>
          <w:bCs/>
          <w:color w:val="auto"/>
          <w:kern w:val="0"/>
          <w:sz w:val="30"/>
          <w:szCs w:val="30"/>
        </w:rPr>
        <w:t xml:space="preserve"> </w:t>
      </w:r>
    </w:p>
    <w:p>
      <w:pPr>
        <w:pStyle w:val="21"/>
        <w:rPr>
          <w:color w:val="auto"/>
        </w:rPr>
      </w:pPr>
    </w:p>
    <w:p>
      <w:pPr>
        <w:jc w:val="center"/>
        <w:rPr>
          <w:rFonts w:hint="default" w:ascii="宋体" w:hAnsi="宋体" w:eastAsia="宋体"/>
          <w:b/>
          <w:color w:val="auto"/>
          <w:sz w:val="52"/>
          <w:szCs w:val="52"/>
          <w:lang w:val="en-US" w:eastAsia="zh-CN"/>
        </w:rPr>
      </w:pPr>
      <w:r>
        <w:rPr>
          <w:rFonts w:hint="eastAsia" w:ascii="宋体" w:hAnsi="宋体"/>
          <w:b/>
          <w:color w:val="auto"/>
          <w:sz w:val="52"/>
          <w:szCs w:val="52"/>
          <w:lang w:eastAsia="zh-CN"/>
        </w:rPr>
        <w:t>西安科技大学物理实验教学中心升级改造建设项目（二次）</w:t>
      </w:r>
    </w:p>
    <w:p>
      <w:pPr>
        <w:rPr>
          <w:color w:val="auto"/>
        </w:rPr>
      </w:pPr>
    </w:p>
    <w:p>
      <w:pPr>
        <w:jc w:val="center"/>
        <w:rPr>
          <w:rFonts w:hint="default" w:eastAsia="宋体"/>
          <w:b/>
          <w:color w:val="auto"/>
          <w:sz w:val="100"/>
          <w:szCs w:val="100"/>
          <w:lang w:val="en-US" w:eastAsia="zh-CN"/>
        </w:rPr>
      </w:pPr>
      <w:r>
        <w:rPr>
          <w:rFonts w:hint="eastAsia" w:ascii="宋体" w:hAnsi="宋体" w:cs="宋体"/>
          <w:b/>
          <w:color w:val="auto"/>
          <w:sz w:val="36"/>
          <w:szCs w:val="36"/>
        </w:rPr>
        <w:t>项目编号：</w:t>
      </w:r>
      <w:r>
        <w:rPr>
          <w:rFonts w:hint="eastAsia" w:ascii="宋体" w:hAnsi="宋体" w:cs="宋体"/>
          <w:b/>
          <w:color w:val="auto"/>
          <w:sz w:val="36"/>
          <w:szCs w:val="36"/>
          <w:lang w:eastAsia="zh-CN"/>
        </w:rPr>
        <w:t>ZHZB-2022-JT-1184EC</w:t>
      </w:r>
    </w:p>
    <w:p>
      <w:pPr>
        <w:jc w:val="center"/>
        <w:rPr>
          <w:b/>
          <w:color w:val="auto"/>
          <w:sz w:val="100"/>
          <w:szCs w:val="100"/>
        </w:rPr>
      </w:pPr>
    </w:p>
    <w:p>
      <w:pPr>
        <w:jc w:val="center"/>
        <w:rPr>
          <w:b/>
          <w:color w:val="auto"/>
          <w:sz w:val="100"/>
          <w:szCs w:val="100"/>
        </w:rPr>
      </w:pPr>
      <w:r>
        <w:rPr>
          <w:rFonts w:hint="eastAsia"/>
          <w:b/>
          <w:color w:val="auto"/>
          <w:sz w:val="100"/>
          <w:szCs w:val="100"/>
        </w:rPr>
        <w:t>竞争性谈判文件</w:t>
      </w:r>
    </w:p>
    <w:p>
      <w:pPr>
        <w:pStyle w:val="21"/>
        <w:rPr>
          <w:color w:val="auto"/>
        </w:rPr>
      </w:pPr>
    </w:p>
    <w:p>
      <w:pPr>
        <w:rPr>
          <w:color w:val="auto"/>
        </w:rPr>
      </w:pPr>
    </w:p>
    <w:p>
      <w:pPr>
        <w:jc w:val="center"/>
        <w:rPr>
          <w:color w:val="auto"/>
        </w:rPr>
      </w:pPr>
      <w:r>
        <w:rPr>
          <w:rFonts w:hint="eastAsia" w:ascii="宋体" w:hAnsi="宋体" w:cs="宋体"/>
          <w:color w:val="auto"/>
        </w:rPr>
        <w:drawing>
          <wp:inline distT="0" distB="0" distL="114300" distR="114300">
            <wp:extent cx="2265045" cy="2265045"/>
            <wp:effectExtent l="0" t="0" r="1905" b="1905"/>
            <wp:docPr id="2" name="图片 1" descr="不带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不带字"/>
                    <pic:cNvPicPr>
                      <a:picLocks noChangeAspect="1"/>
                    </pic:cNvPicPr>
                  </pic:nvPicPr>
                  <pic:blipFill>
                    <a:blip r:embed="rId15"/>
                    <a:stretch>
                      <a:fillRect/>
                    </a:stretch>
                  </pic:blipFill>
                  <pic:spPr>
                    <a:xfrm>
                      <a:off x="0" y="0"/>
                      <a:ext cx="2265045" cy="2265045"/>
                    </a:xfrm>
                    <a:prstGeom prst="rect">
                      <a:avLst/>
                    </a:prstGeom>
                    <a:noFill/>
                    <a:ln>
                      <a:noFill/>
                    </a:ln>
                  </pic:spPr>
                </pic:pic>
              </a:graphicData>
            </a:graphic>
          </wp:inline>
        </w:drawing>
      </w:r>
    </w:p>
    <w:p>
      <w:pPr>
        <w:rPr>
          <w:color w:val="auto"/>
        </w:rPr>
      </w:pPr>
    </w:p>
    <w:p>
      <w:pPr>
        <w:rPr>
          <w:color w:val="auto"/>
        </w:rPr>
      </w:pPr>
    </w:p>
    <w:p>
      <w:pPr>
        <w:snapToGrid w:val="0"/>
        <w:spacing w:line="360" w:lineRule="auto"/>
        <w:ind w:left="1275" w:leftChars="607"/>
        <w:jc w:val="left"/>
        <w:rPr>
          <w:rFonts w:ascii="宋体" w:hAnsi="宋体" w:cs="宋体"/>
          <w:color w:val="auto"/>
          <w:kern w:val="0"/>
          <w:sz w:val="24"/>
          <w:u w:val="single"/>
        </w:rPr>
      </w:pPr>
      <w:r>
        <w:rPr>
          <w:rFonts w:hint="eastAsia" w:ascii="宋体" w:hAnsi="宋体" w:cs="宋体"/>
          <w:b/>
          <w:color w:val="auto"/>
          <w:sz w:val="32"/>
          <w:szCs w:val="32"/>
        </w:rPr>
        <w:t>采   购   人：</w:t>
      </w:r>
      <w:r>
        <w:rPr>
          <w:rFonts w:hint="eastAsia" w:ascii="宋体" w:hAnsi="宋体" w:cs="宋体"/>
          <w:b/>
          <w:color w:val="auto"/>
          <w:sz w:val="32"/>
          <w:szCs w:val="32"/>
          <w:u w:val="single"/>
        </w:rPr>
        <w:t>西安科技大学</w:t>
      </w:r>
    </w:p>
    <w:p>
      <w:pPr>
        <w:snapToGrid w:val="0"/>
        <w:spacing w:line="360" w:lineRule="auto"/>
        <w:ind w:left="1275" w:leftChars="607"/>
        <w:jc w:val="left"/>
        <w:rPr>
          <w:rFonts w:ascii="宋体" w:hAnsi="宋体" w:cs="宋体"/>
          <w:b/>
          <w:color w:val="auto"/>
          <w:spacing w:val="4"/>
          <w:sz w:val="28"/>
          <w:szCs w:val="28"/>
        </w:rPr>
      </w:pPr>
      <w:r>
        <w:rPr>
          <w:rFonts w:hint="eastAsia" w:ascii="宋体" w:hAnsi="宋体" w:cs="宋体"/>
          <w:b/>
          <w:color w:val="auto"/>
          <w:sz w:val="32"/>
          <w:szCs w:val="32"/>
        </w:rPr>
        <w:t>采购代理机构：</w:t>
      </w:r>
      <w:r>
        <w:rPr>
          <w:rFonts w:hint="eastAsia" w:ascii="宋体" w:hAnsi="宋体" w:cs="宋体"/>
          <w:b/>
          <w:color w:val="auto"/>
          <w:sz w:val="32"/>
          <w:szCs w:val="32"/>
          <w:u w:val="single"/>
        </w:rPr>
        <w:t>陕西正鸿招标有限公司</w:t>
      </w:r>
    </w:p>
    <w:p>
      <w:pPr>
        <w:snapToGrid w:val="0"/>
        <w:spacing w:line="360" w:lineRule="auto"/>
        <w:ind w:left="1275" w:leftChars="607"/>
        <w:jc w:val="left"/>
        <w:rPr>
          <w:rFonts w:ascii="宋体" w:hAnsi="宋体" w:cs="宋体"/>
          <w:b/>
          <w:color w:val="auto"/>
          <w:sz w:val="32"/>
          <w:szCs w:val="32"/>
        </w:rPr>
      </w:pPr>
      <w:r>
        <w:rPr>
          <w:rFonts w:hint="eastAsia" w:ascii="宋体" w:hAnsi="宋体" w:cs="宋体"/>
          <w:b/>
          <w:color w:val="auto"/>
          <w:sz w:val="32"/>
          <w:szCs w:val="32"/>
        </w:rPr>
        <w:t>时        间：</w:t>
      </w:r>
      <w:r>
        <w:rPr>
          <w:rFonts w:hint="eastAsia" w:ascii="宋体" w:hAnsi="宋体" w:cs="宋体"/>
          <w:b/>
          <w:color w:val="auto"/>
          <w:sz w:val="32"/>
          <w:szCs w:val="32"/>
          <w:u w:val="single"/>
        </w:rPr>
        <w:t>2022年11月</w:t>
      </w:r>
    </w:p>
    <w:p>
      <w:pPr>
        <w:tabs>
          <w:tab w:val="left" w:pos="720"/>
        </w:tabs>
        <w:spacing w:line="360" w:lineRule="auto"/>
        <w:ind w:left="2764" w:leftChars="1316" w:firstLine="885" w:firstLineChars="245"/>
        <w:rPr>
          <w:rFonts w:asciiTheme="minorEastAsia" w:hAnsiTheme="minorEastAsia" w:eastAsiaTheme="minorEastAsia" w:cstheme="minorEastAsia"/>
          <w:b/>
          <w:color w:val="auto"/>
          <w:sz w:val="36"/>
          <w:szCs w:val="36"/>
        </w:rPr>
        <w:sectPr>
          <w:headerReference r:id="rId4" w:type="first"/>
          <w:headerReference r:id="rId3" w:type="default"/>
          <w:footerReference r:id="rId5" w:type="even"/>
          <w:pgSz w:w="11906" w:h="16838"/>
          <w:pgMar w:top="1440" w:right="1800" w:bottom="1440" w:left="1800" w:header="851" w:footer="992" w:gutter="0"/>
          <w:cols w:space="425" w:num="1"/>
          <w:docGrid w:type="lines" w:linePitch="312" w:charSpace="0"/>
        </w:sectPr>
      </w:pPr>
    </w:p>
    <w:p>
      <w:pPr>
        <w:jc w:val="center"/>
        <w:rPr>
          <w:rFonts w:asciiTheme="minorEastAsia" w:hAnsiTheme="minorEastAsia" w:eastAsiaTheme="minorEastAsia" w:cstheme="minorEastAsia"/>
          <w:b/>
          <w:color w:val="auto"/>
          <w:sz w:val="36"/>
          <w:szCs w:val="36"/>
        </w:rPr>
      </w:pPr>
      <w:r>
        <w:rPr>
          <w:rFonts w:hint="eastAsia" w:asciiTheme="minorEastAsia" w:hAnsiTheme="minorEastAsia" w:eastAsiaTheme="minorEastAsia" w:cstheme="minorEastAsia"/>
          <w:b/>
          <w:color w:val="auto"/>
          <w:sz w:val="36"/>
          <w:szCs w:val="36"/>
        </w:rPr>
        <w:t>目  录</w:t>
      </w:r>
    </w:p>
    <w:p>
      <w:pPr>
        <w:rPr>
          <w:color w:val="auto"/>
        </w:rPr>
      </w:pPr>
    </w:p>
    <w:p>
      <w:pPr>
        <w:rPr>
          <w:color w:val="auto"/>
        </w:rPr>
      </w:pPr>
    </w:p>
    <w:sdt>
      <w:sdtPr>
        <w:rPr>
          <w:rFonts w:ascii="宋体" w:hAnsi="宋体"/>
          <w:b/>
          <w:bCs/>
          <w:caps/>
          <w:color w:val="auto"/>
          <w:sz w:val="28"/>
        </w:rPr>
        <w:id w:val="147456958"/>
        <w:docPartObj>
          <w:docPartGallery w:val="Table of Contents"/>
          <w:docPartUnique/>
        </w:docPartObj>
      </w:sdtPr>
      <w:sdtEndPr>
        <w:rPr>
          <w:rFonts w:asciiTheme="minorEastAsia" w:hAnsiTheme="minorEastAsia" w:eastAsiaTheme="minorEastAsia" w:cstheme="minorEastAsia"/>
          <w:b/>
          <w:bCs/>
          <w:caps/>
          <w:color w:val="auto"/>
          <w:sz w:val="20"/>
          <w:szCs w:val="24"/>
        </w:rPr>
      </w:sdtEndPr>
      <w:sdtContent>
        <w:p>
          <w:pPr>
            <w:jc w:val="center"/>
            <w:rPr>
              <w:color w:val="auto"/>
            </w:rPr>
          </w:pPr>
        </w:p>
        <w:p>
          <w:pPr>
            <w:pStyle w:val="33"/>
            <w:tabs>
              <w:tab w:val="right" w:leader="dot" w:pos="8879"/>
            </w:tabs>
            <w:rPr>
              <w:rFonts w:ascii="宋体" w:hAnsi="宋体" w:cs="宋体"/>
              <w:color w:val="auto"/>
            </w:rPr>
          </w:pP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TOC \o "1-1" \h \u </w:instrText>
          </w:r>
          <w:r>
            <w:rPr>
              <w:rFonts w:hint="eastAsia" w:ascii="宋体" w:hAnsi="宋体" w:cs="宋体"/>
              <w:color w:val="auto"/>
              <w:sz w:val="24"/>
              <w:szCs w:val="24"/>
            </w:rPr>
            <w:fldChar w:fldCharType="separate"/>
          </w:r>
          <w:r>
            <w:rPr>
              <w:color w:val="auto"/>
            </w:rPr>
            <w:fldChar w:fldCharType="begin"/>
          </w:r>
          <w:r>
            <w:rPr>
              <w:color w:val="auto"/>
            </w:rPr>
            <w:instrText xml:space="preserve"> HYPERLINK \l "_Toc29642" </w:instrText>
          </w:r>
          <w:r>
            <w:rPr>
              <w:color w:val="auto"/>
            </w:rPr>
            <w:fldChar w:fldCharType="separate"/>
          </w:r>
          <w:r>
            <w:rPr>
              <w:rFonts w:hint="eastAsia" w:ascii="宋体" w:hAnsi="宋体" w:cs="宋体"/>
              <w:color w:val="auto"/>
            </w:rPr>
            <w:t>第一章 竞争性谈判公告</w:t>
          </w:r>
          <w:r>
            <w:rPr>
              <w:rFonts w:hint="eastAsia" w:ascii="宋体" w:hAnsi="宋体" w:cs="宋体"/>
              <w:color w:val="auto"/>
            </w:rPr>
            <w:tab/>
          </w:r>
          <w:r>
            <w:rPr>
              <w:rFonts w:hint="eastAsia" w:ascii="宋体" w:hAnsi="宋体" w:cs="宋体"/>
              <w:color w:val="auto"/>
            </w:rPr>
            <w:fldChar w:fldCharType="begin"/>
          </w:r>
          <w:r>
            <w:rPr>
              <w:rFonts w:hint="eastAsia" w:ascii="宋体" w:hAnsi="宋体" w:cs="宋体"/>
              <w:color w:val="auto"/>
            </w:rPr>
            <w:instrText xml:space="preserve"> PAGEREF _Toc29642 \h </w:instrText>
          </w:r>
          <w:r>
            <w:rPr>
              <w:rFonts w:hint="eastAsia" w:ascii="宋体" w:hAnsi="宋体" w:cs="宋体"/>
              <w:color w:val="auto"/>
            </w:rPr>
            <w:fldChar w:fldCharType="separate"/>
          </w:r>
          <w:r>
            <w:rPr>
              <w:rFonts w:hint="eastAsia" w:ascii="宋体" w:hAnsi="宋体" w:cs="宋体"/>
              <w:color w:val="auto"/>
            </w:rPr>
            <w:t>2</w:t>
          </w:r>
          <w:r>
            <w:rPr>
              <w:rFonts w:hint="eastAsia" w:ascii="宋体" w:hAnsi="宋体" w:cs="宋体"/>
              <w:color w:val="auto"/>
            </w:rPr>
            <w:fldChar w:fldCharType="end"/>
          </w:r>
          <w:r>
            <w:rPr>
              <w:rFonts w:hint="eastAsia" w:ascii="宋体" w:hAnsi="宋体" w:cs="宋体"/>
              <w:color w:val="auto"/>
            </w:rPr>
            <w:fldChar w:fldCharType="end"/>
          </w:r>
        </w:p>
        <w:p>
          <w:pPr>
            <w:pStyle w:val="33"/>
            <w:tabs>
              <w:tab w:val="right" w:leader="dot" w:pos="8879"/>
            </w:tabs>
            <w:rPr>
              <w:rFonts w:ascii="宋体" w:hAnsi="宋体" w:cs="宋体"/>
              <w:color w:val="auto"/>
            </w:rPr>
          </w:pPr>
          <w:r>
            <w:rPr>
              <w:color w:val="auto"/>
            </w:rPr>
            <w:fldChar w:fldCharType="begin"/>
          </w:r>
          <w:r>
            <w:rPr>
              <w:color w:val="auto"/>
            </w:rPr>
            <w:instrText xml:space="preserve"> HYPERLINK \l "_Toc5942" </w:instrText>
          </w:r>
          <w:r>
            <w:rPr>
              <w:color w:val="auto"/>
            </w:rPr>
            <w:fldChar w:fldCharType="separate"/>
          </w:r>
          <w:r>
            <w:rPr>
              <w:rFonts w:hint="eastAsia" w:ascii="宋体" w:hAnsi="宋体" w:cs="宋体"/>
              <w:color w:val="auto"/>
            </w:rPr>
            <w:t>第二章 供应商须知</w:t>
          </w:r>
          <w:r>
            <w:rPr>
              <w:rFonts w:hint="eastAsia" w:ascii="宋体" w:hAnsi="宋体" w:cs="宋体"/>
              <w:color w:val="auto"/>
            </w:rPr>
            <w:tab/>
          </w:r>
          <w:r>
            <w:rPr>
              <w:rFonts w:hint="eastAsia" w:ascii="宋体" w:hAnsi="宋体" w:cs="宋体"/>
              <w:color w:val="auto"/>
            </w:rPr>
            <w:fldChar w:fldCharType="begin"/>
          </w:r>
          <w:r>
            <w:rPr>
              <w:rFonts w:hint="eastAsia" w:ascii="宋体" w:hAnsi="宋体" w:cs="宋体"/>
              <w:color w:val="auto"/>
            </w:rPr>
            <w:instrText xml:space="preserve"> PAGEREF _Toc5942 \h </w:instrText>
          </w:r>
          <w:r>
            <w:rPr>
              <w:rFonts w:hint="eastAsia" w:ascii="宋体" w:hAnsi="宋体" w:cs="宋体"/>
              <w:color w:val="auto"/>
            </w:rPr>
            <w:fldChar w:fldCharType="separate"/>
          </w:r>
          <w:r>
            <w:rPr>
              <w:rFonts w:hint="eastAsia" w:ascii="宋体" w:hAnsi="宋体" w:cs="宋体"/>
              <w:color w:val="auto"/>
            </w:rPr>
            <w:t>6</w:t>
          </w:r>
          <w:r>
            <w:rPr>
              <w:rFonts w:hint="eastAsia" w:ascii="宋体" w:hAnsi="宋体" w:cs="宋体"/>
              <w:color w:val="auto"/>
            </w:rPr>
            <w:fldChar w:fldCharType="end"/>
          </w:r>
          <w:r>
            <w:rPr>
              <w:rFonts w:hint="eastAsia" w:ascii="宋体" w:hAnsi="宋体" w:cs="宋体"/>
              <w:color w:val="auto"/>
            </w:rPr>
            <w:fldChar w:fldCharType="end"/>
          </w:r>
        </w:p>
        <w:p>
          <w:pPr>
            <w:pStyle w:val="33"/>
            <w:tabs>
              <w:tab w:val="right" w:leader="dot" w:pos="8879"/>
            </w:tabs>
            <w:rPr>
              <w:rFonts w:ascii="宋体" w:hAnsi="宋体" w:cs="宋体"/>
              <w:color w:val="auto"/>
            </w:rPr>
          </w:pPr>
          <w:r>
            <w:rPr>
              <w:color w:val="auto"/>
            </w:rPr>
            <w:fldChar w:fldCharType="begin"/>
          </w:r>
          <w:r>
            <w:rPr>
              <w:color w:val="auto"/>
            </w:rPr>
            <w:instrText xml:space="preserve"> HYPERLINK \l "_Toc25470" </w:instrText>
          </w:r>
          <w:r>
            <w:rPr>
              <w:color w:val="auto"/>
            </w:rPr>
            <w:fldChar w:fldCharType="separate"/>
          </w:r>
          <w:r>
            <w:rPr>
              <w:rFonts w:hint="eastAsia" w:ascii="宋体" w:hAnsi="宋体" w:cs="宋体"/>
              <w:color w:val="auto"/>
            </w:rPr>
            <w:t>第三章 采购内容及要求</w:t>
          </w:r>
          <w:r>
            <w:rPr>
              <w:rFonts w:hint="eastAsia" w:ascii="宋体" w:hAnsi="宋体" w:cs="宋体"/>
              <w:color w:val="auto"/>
            </w:rPr>
            <w:tab/>
          </w:r>
          <w:r>
            <w:rPr>
              <w:rFonts w:hint="eastAsia" w:ascii="宋体" w:hAnsi="宋体" w:cs="宋体"/>
              <w:color w:val="auto"/>
            </w:rPr>
            <w:fldChar w:fldCharType="begin"/>
          </w:r>
          <w:r>
            <w:rPr>
              <w:rFonts w:hint="eastAsia" w:ascii="宋体" w:hAnsi="宋体" w:cs="宋体"/>
              <w:color w:val="auto"/>
            </w:rPr>
            <w:instrText xml:space="preserve"> PAGEREF _Toc25470 \h </w:instrText>
          </w:r>
          <w:r>
            <w:rPr>
              <w:rFonts w:hint="eastAsia" w:ascii="宋体" w:hAnsi="宋体" w:cs="宋体"/>
              <w:color w:val="auto"/>
            </w:rPr>
            <w:fldChar w:fldCharType="separate"/>
          </w:r>
          <w:r>
            <w:rPr>
              <w:rFonts w:hint="eastAsia" w:ascii="宋体" w:hAnsi="宋体" w:cs="宋体"/>
              <w:color w:val="auto"/>
            </w:rPr>
            <w:t>27</w:t>
          </w:r>
          <w:r>
            <w:rPr>
              <w:rFonts w:hint="eastAsia" w:ascii="宋体" w:hAnsi="宋体" w:cs="宋体"/>
              <w:color w:val="auto"/>
            </w:rPr>
            <w:fldChar w:fldCharType="end"/>
          </w:r>
          <w:r>
            <w:rPr>
              <w:rFonts w:hint="eastAsia" w:ascii="宋体" w:hAnsi="宋体" w:cs="宋体"/>
              <w:color w:val="auto"/>
            </w:rPr>
            <w:fldChar w:fldCharType="end"/>
          </w:r>
        </w:p>
        <w:p>
          <w:pPr>
            <w:pStyle w:val="33"/>
            <w:tabs>
              <w:tab w:val="right" w:leader="dot" w:pos="8879"/>
            </w:tabs>
            <w:rPr>
              <w:rFonts w:ascii="宋体" w:hAnsi="宋体" w:cs="宋体"/>
              <w:color w:val="auto"/>
            </w:rPr>
          </w:pPr>
          <w:r>
            <w:rPr>
              <w:color w:val="auto"/>
            </w:rPr>
            <w:fldChar w:fldCharType="begin"/>
          </w:r>
          <w:r>
            <w:rPr>
              <w:color w:val="auto"/>
            </w:rPr>
            <w:instrText xml:space="preserve"> HYPERLINK \l "_Toc32241" </w:instrText>
          </w:r>
          <w:r>
            <w:rPr>
              <w:color w:val="auto"/>
            </w:rPr>
            <w:fldChar w:fldCharType="separate"/>
          </w:r>
          <w:r>
            <w:rPr>
              <w:rFonts w:hint="eastAsia" w:ascii="宋体" w:hAnsi="宋体" w:cs="宋体"/>
              <w:color w:val="auto"/>
            </w:rPr>
            <w:t>第四章 商务及合同主要条款</w:t>
          </w:r>
          <w:r>
            <w:rPr>
              <w:rFonts w:hint="eastAsia" w:ascii="宋体" w:hAnsi="宋体" w:cs="宋体"/>
              <w:color w:val="auto"/>
            </w:rPr>
            <w:tab/>
          </w:r>
          <w:r>
            <w:rPr>
              <w:rFonts w:hint="eastAsia" w:ascii="宋体" w:hAnsi="宋体" w:cs="宋体"/>
              <w:color w:val="auto"/>
            </w:rPr>
            <w:fldChar w:fldCharType="begin"/>
          </w:r>
          <w:r>
            <w:rPr>
              <w:rFonts w:hint="eastAsia" w:ascii="宋体" w:hAnsi="宋体" w:cs="宋体"/>
              <w:color w:val="auto"/>
            </w:rPr>
            <w:instrText xml:space="preserve"> PAGEREF _Toc32241 \h </w:instrText>
          </w:r>
          <w:r>
            <w:rPr>
              <w:rFonts w:hint="eastAsia" w:ascii="宋体" w:hAnsi="宋体" w:cs="宋体"/>
              <w:color w:val="auto"/>
            </w:rPr>
            <w:fldChar w:fldCharType="separate"/>
          </w:r>
          <w:r>
            <w:rPr>
              <w:rFonts w:hint="eastAsia" w:ascii="宋体" w:hAnsi="宋体" w:cs="宋体"/>
              <w:color w:val="auto"/>
            </w:rPr>
            <w:t>63</w:t>
          </w:r>
          <w:r>
            <w:rPr>
              <w:rFonts w:hint="eastAsia" w:ascii="宋体" w:hAnsi="宋体" w:cs="宋体"/>
              <w:color w:val="auto"/>
            </w:rPr>
            <w:fldChar w:fldCharType="end"/>
          </w:r>
          <w:r>
            <w:rPr>
              <w:rFonts w:hint="eastAsia" w:ascii="宋体" w:hAnsi="宋体" w:cs="宋体"/>
              <w:color w:val="auto"/>
            </w:rPr>
            <w:fldChar w:fldCharType="end"/>
          </w:r>
        </w:p>
        <w:p>
          <w:pPr>
            <w:pStyle w:val="33"/>
            <w:tabs>
              <w:tab w:val="right" w:leader="dot" w:pos="8879"/>
            </w:tabs>
            <w:rPr>
              <w:rFonts w:ascii="宋体" w:hAnsi="宋体" w:cs="宋体"/>
              <w:color w:val="auto"/>
            </w:rPr>
          </w:pPr>
          <w:r>
            <w:rPr>
              <w:color w:val="auto"/>
            </w:rPr>
            <w:fldChar w:fldCharType="begin"/>
          </w:r>
          <w:r>
            <w:rPr>
              <w:color w:val="auto"/>
            </w:rPr>
            <w:instrText xml:space="preserve"> HYPERLINK \l "_Toc2020" </w:instrText>
          </w:r>
          <w:r>
            <w:rPr>
              <w:color w:val="auto"/>
            </w:rPr>
            <w:fldChar w:fldCharType="separate"/>
          </w:r>
          <w:r>
            <w:rPr>
              <w:rFonts w:hint="eastAsia" w:ascii="宋体" w:hAnsi="宋体" w:cs="宋体"/>
              <w:color w:val="auto"/>
            </w:rPr>
            <w:t>第五章 谈判响应文件格式</w:t>
          </w:r>
          <w:r>
            <w:rPr>
              <w:rFonts w:hint="eastAsia" w:ascii="宋体" w:hAnsi="宋体" w:cs="宋体"/>
              <w:color w:val="auto"/>
            </w:rPr>
            <w:tab/>
          </w:r>
          <w:r>
            <w:rPr>
              <w:rFonts w:hint="eastAsia" w:ascii="宋体" w:hAnsi="宋体" w:cs="宋体"/>
              <w:color w:val="auto"/>
            </w:rPr>
            <w:fldChar w:fldCharType="begin"/>
          </w:r>
          <w:r>
            <w:rPr>
              <w:rFonts w:hint="eastAsia" w:ascii="宋体" w:hAnsi="宋体" w:cs="宋体"/>
              <w:color w:val="auto"/>
            </w:rPr>
            <w:instrText xml:space="preserve"> PAGEREF _Toc2020 \h </w:instrText>
          </w:r>
          <w:r>
            <w:rPr>
              <w:rFonts w:hint="eastAsia" w:ascii="宋体" w:hAnsi="宋体" w:cs="宋体"/>
              <w:color w:val="auto"/>
            </w:rPr>
            <w:fldChar w:fldCharType="separate"/>
          </w:r>
          <w:r>
            <w:rPr>
              <w:rFonts w:hint="eastAsia" w:ascii="宋体" w:hAnsi="宋体" w:cs="宋体"/>
              <w:color w:val="auto"/>
            </w:rPr>
            <w:t>66</w:t>
          </w:r>
          <w:r>
            <w:rPr>
              <w:rFonts w:hint="eastAsia" w:ascii="宋体" w:hAnsi="宋体" w:cs="宋体"/>
              <w:color w:val="auto"/>
            </w:rPr>
            <w:fldChar w:fldCharType="end"/>
          </w:r>
          <w:r>
            <w:rPr>
              <w:rFonts w:hint="eastAsia" w:ascii="宋体" w:hAnsi="宋体" w:cs="宋体"/>
              <w:color w:val="auto"/>
            </w:rPr>
            <w:fldChar w:fldCharType="end"/>
          </w:r>
        </w:p>
        <w:p>
          <w:pPr>
            <w:pStyle w:val="33"/>
            <w:tabs>
              <w:tab w:val="right" w:leader="dot" w:pos="8829"/>
            </w:tabs>
            <w:spacing w:line="600" w:lineRule="exact"/>
            <w:rPr>
              <w:rFonts w:asciiTheme="minorEastAsia" w:hAnsiTheme="minorEastAsia" w:eastAsiaTheme="minorEastAsia" w:cstheme="minorEastAsia"/>
              <w:color w:val="auto"/>
              <w:sz w:val="24"/>
              <w:szCs w:val="24"/>
            </w:rPr>
          </w:pPr>
          <w:r>
            <w:rPr>
              <w:rFonts w:hint="eastAsia" w:ascii="宋体" w:hAnsi="宋体" w:cs="宋体"/>
              <w:color w:val="auto"/>
              <w:szCs w:val="24"/>
            </w:rPr>
            <w:fldChar w:fldCharType="end"/>
          </w:r>
        </w:p>
      </w:sdtContent>
    </w:sdt>
    <w:p>
      <w:pPr>
        <w:pStyle w:val="3"/>
        <w:jc w:val="both"/>
        <w:rPr>
          <w:rFonts w:asciiTheme="minorEastAsia" w:hAnsiTheme="minorEastAsia" w:eastAsiaTheme="minorEastAsia" w:cstheme="minorEastAsia"/>
          <w:color w:val="auto"/>
          <w:sz w:val="30"/>
          <w:szCs w:val="30"/>
        </w:rPr>
      </w:pPr>
      <w:bookmarkStart w:id="0" w:name="_Toc3604_WPSOffice_Level1"/>
      <w:bookmarkStart w:id="1" w:name="_Toc27442_WPSOffice_Level1"/>
      <w:bookmarkStart w:id="2" w:name="_Toc18396"/>
    </w:p>
    <w:p>
      <w:pPr>
        <w:pStyle w:val="3"/>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tabs>
          <w:tab w:val="left" w:pos="5248"/>
        </w:tabs>
        <w:jc w:val="left"/>
        <w:rPr>
          <w:color w:val="auto"/>
        </w:rPr>
        <w:sectPr>
          <w:headerReference r:id="rId6" w:type="first"/>
          <w:footerReference r:id="rId8" w:type="first"/>
          <w:footerReference r:id="rId7" w:type="default"/>
          <w:footnotePr>
            <w:pos w:val="beneathText"/>
          </w:footnotePr>
          <w:pgSz w:w="11905" w:h="16838"/>
          <w:pgMar w:top="1440" w:right="1440" w:bottom="1440" w:left="1587" w:header="850" w:footer="992" w:gutter="0"/>
          <w:pgNumType w:start="1"/>
          <w:cols w:space="0" w:num="1"/>
          <w:titlePg/>
          <w:docGrid w:linePitch="312" w:charSpace="0"/>
        </w:sectPr>
      </w:pPr>
      <w:r>
        <w:rPr>
          <w:rFonts w:hint="eastAsia"/>
          <w:color w:val="auto"/>
        </w:rPr>
        <w:tab/>
      </w:r>
    </w:p>
    <w:p>
      <w:pPr>
        <w:pStyle w:val="3"/>
        <w:rPr>
          <w:color w:val="auto"/>
        </w:rPr>
      </w:pPr>
      <w:bookmarkStart w:id="3" w:name="_Toc29642"/>
      <w:r>
        <w:rPr>
          <w:rFonts w:hint="eastAsia"/>
          <w:color w:val="auto"/>
        </w:rPr>
        <w:t xml:space="preserve">第一章 </w:t>
      </w:r>
      <w:bookmarkEnd w:id="0"/>
      <w:bookmarkEnd w:id="1"/>
      <w:bookmarkEnd w:id="2"/>
      <w:bookmarkEnd w:id="3"/>
      <w:bookmarkStart w:id="4" w:name="_Toc246928893"/>
      <w:r>
        <w:rPr>
          <w:rFonts w:hint="eastAsia"/>
          <w:color w:val="auto"/>
        </w:rPr>
        <w:t>竞争性谈判公告</w:t>
      </w:r>
    </w:p>
    <w:p>
      <w:pPr>
        <w:pStyle w:val="3"/>
        <w:keepNext w:val="0"/>
        <w:keepLines w:val="0"/>
        <w:widowControl/>
        <w:spacing w:after="300" w:line="360" w:lineRule="auto"/>
        <w:textAlignment w:val="baseline"/>
        <w:rPr>
          <w:rStyle w:val="50"/>
          <w:rFonts w:ascii="宋体" w:hAnsi="宋体" w:cs="宋体"/>
          <w:b/>
          <w:color w:val="auto"/>
          <w:sz w:val="21"/>
          <w:szCs w:val="21"/>
          <w:shd w:val="clear" w:color="auto" w:fill="FFFFFF"/>
        </w:rPr>
      </w:pPr>
      <w:r>
        <w:rPr>
          <w:rFonts w:hint="eastAsia" w:ascii="宋体" w:hAnsi="宋体" w:cs="宋体"/>
          <w:color w:val="auto"/>
          <w:sz w:val="30"/>
          <w:szCs w:val="30"/>
          <w:shd w:val="clear" w:color="auto" w:fill="FFFFFF"/>
          <w:lang w:eastAsia="zh-CN"/>
        </w:rPr>
        <w:t>西安科技大学物理实验教学中心升级改造建设项目（二次）</w:t>
      </w:r>
      <w:r>
        <w:rPr>
          <w:rFonts w:hint="eastAsia" w:ascii="宋体" w:hAnsi="宋体" w:cs="宋体"/>
          <w:color w:val="auto"/>
          <w:sz w:val="30"/>
          <w:szCs w:val="30"/>
          <w:shd w:val="clear" w:color="auto" w:fill="FFFFFF"/>
        </w:rPr>
        <w:t>竞争性谈判公告</w:t>
      </w:r>
    </w:p>
    <w:tbl>
      <w:tblPr>
        <w:tblStyle w:val="48"/>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jc w:val="center"/>
        </w:trPr>
        <w:tc>
          <w:tcPr>
            <w:tcW w:w="8600" w:type="dxa"/>
          </w:tcPr>
          <w:p>
            <w:pPr>
              <w:pStyle w:val="8"/>
              <w:keepNext w:val="0"/>
              <w:keepLines w:val="0"/>
              <w:widowControl/>
              <w:spacing w:line="360" w:lineRule="auto"/>
              <w:jc w:val="left"/>
              <w:textAlignment w:val="baseline"/>
              <w:outlineLvl w:val="5"/>
              <w:rPr>
                <w:rFonts w:ascii="宋体" w:hAnsi="宋体" w:eastAsia="宋体" w:cs="宋体"/>
                <w:b w:val="0"/>
                <w:color w:val="auto"/>
                <w:szCs w:val="24"/>
              </w:rPr>
            </w:pPr>
            <w:r>
              <w:rPr>
                <w:rStyle w:val="50"/>
                <w:rFonts w:hint="eastAsia" w:ascii="宋体" w:hAnsi="宋体" w:cs="宋体"/>
                <w:b/>
                <w:color w:val="auto"/>
                <w:szCs w:val="24"/>
                <w:shd w:val="clear" w:color="auto" w:fill="FFFFFF"/>
              </w:rPr>
              <w:t>项目概况</w:t>
            </w:r>
          </w:p>
          <w:p>
            <w:pPr>
              <w:pStyle w:val="41"/>
              <w:spacing w:beforeAutospacing="0" w:afterAutospacing="0" w:line="360" w:lineRule="auto"/>
              <w:ind w:firstLine="480"/>
              <w:jc w:val="both"/>
              <w:textAlignment w:val="baseline"/>
              <w:rPr>
                <w:rStyle w:val="50"/>
                <w:rFonts w:ascii="宋体" w:hAnsi="宋体" w:cs="宋体"/>
                <w:color w:val="auto"/>
                <w:szCs w:val="24"/>
                <w:shd w:val="clear" w:color="auto" w:fill="FFFFFF"/>
              </w:rPr>
            </w:pPr>
            <w:r>
              <w:rPr>
                <w:rFonts w:hint="eastAsia" w:cs="宋体"/>
                <w:color w:val="auto"/>
                <w:szCs w:val="24"/>
                <w:shd w:val="clear" w:color="auto" w:fill="FFFFFF"/>
              </w:rPr>
              <w:t>物理实验教学中心升级改造建设项目的潜在供应商应在陕西省西安市雁塔区南二环东段凯森盛世一号A座4层408室获取采购文件，并于2022年11月26日 14时00分（北京时间）前提交响应文件。</w:t>
            </w:r>
          </w:p>
        </w:tc>
      </w:tr>
    </w:tbl>
    <w:p>
      <w:pPr>
        <w:pStyle w:val="41"/>
        <w:spacing w:beforeAutospacing="0" w:afterAutospacing="0" w:line="360" w:lineRule="auto"/>
        <w:jc w:val="both"/>
        <w:textAlignment w:val="baseline"/>
        <w:rPr>
          <w:rFonts w:cs="宋体"/>
          <w:color w:val="auto"/>
          <w:szCs w:val="24"/>
        </w:rPr>
      </w:pPr>
      <w:r>
        <w:rPr>
          <w:rStyle w:val="50"/>
          <w:rFonts w:hint="eastAsia" w:ascii="宋体" w:hAnsi="宋体" w:cs="宋体"/>
          <w:color w:val="auto"/>
          <w:szCs w:val="24"/>
          <w:shd w:val="clear" w:color="auto" w:fill="FFFFFF"/>
        </w:rPr>
        <w:t>一、项目基本情况</w:t>
      </w:r>
    </w:p>
    <w:p>
      <w:pPr>
        <w:pStyle w:val="41"/>
        <w:spacing w:beforeAutospacing="0" w:afterAutospacing="0" w:line="360" w:lineRule="auto"/>
        <w:ind w:firstLine="480"/>
        <w:jc w:val="both"/>
        <w:textAlignment w:val="baseline"/>
        <w:rPr>
          <w:rFonts w:hint="eastAsia" w:eastAsia="宋体" w:cs="宋体"/>
          <w:color w:val="auto"/>
          <w:szCs w:val="24"/>
          <w:shd w:val="clear" w:color="auto" w:fill="FFFFFF"/>
          <w:lang w:eastAsia="zh-CN"/>
        </w:rPr>
      </w:pPr>
      <w:r>
        <w:rPr>
          <w:rFonts w:hint="eastAsia" w:cs="宋体"/>
          <w:color w:val="auto"/>
          <w:szCs w:val="24"/>
          <w:shd w:val="clear" w:color="auto" w:fill="FFFFFF"/>
        </w:rPr>
        <w:t>项目编号：</w:t>
      </w:r>
      <w:r>
        <w:rPr>
          <w:rFonts w:hint="eastAsia" w:cs="宋体"/>
          <w:color w:val="auto"/>
          <w:szCs w:val="24"/>
          <w:shd w:val="clear" w:color="auto" w:fill="FFFFFF"/>
          <w:lang w:eastAsia="zh-CN"/>
        </w:rPr>
        <w:t>ZHZB-2022-JT-1184EC</w:t>
      </w:r>
    </w:p>
    <w:p>
      <w:pPr>
        <w:pStyle w:val="41"/>
        <w:spacing w:beforeAutospacing="0" w:afterAutospacing="0" w:line="360" w:lineRule="auto"/>
        <w:ind w:firstLine="480"/>
        <w:jc w:val="both"/>
        <w:textAlignment w:val="baseline"/>
        <w:rPr>
          <w:rFonts w:hint="default" w:eastAsia="宋体" w:cs="宋体"/>
          <w:b/>
          <w:color w:val="auto"/>
          <w:sz w:val="30"/>
          <w:szCs w:val="30"/>
          <w:shd w:val="clear" w:color="auto" w:fill="FFFFFF"/>
          <w:lang w:val="en-US" w:eastAsia="zh-CN"/>
        </w:rPr>
      </w:pPr>
      <w:r>
        <w:rPr>
          <w:rFonts w:hint="eastAsia" w:cs="宋体"/>
          <w:color w:val="auto"/>
          <w:szCs w:val="24"/>
          <w:shd w:val="clear" w:color="auto" w:fill="FFFFFF"/>
        </w:rPr>
        <w:t>项目名称：物理实验教学中心升级改造建设项目</w:t>
      </w:r>
      <w:r>
        <w:rPr>
          <w:rFonts w:hint="eastAsia" w:cs="宋体"/>
          <w:color w:val="auto"/>
          <w:szCs w:val="24"/>
          <w:shd w:val="clear" w:color="auto" w:fill="FFFFFF"/>
          <w:lang w:eastAsia="zh-CN"/>
        </w:rPr>
        <w:t>（</w:t>
      </w:r>
      <w:r>
        <w:rPr>
          <w:rFonts w:hint="eastAsia" w:cs="宋体"/>
          <w:color w:val="auto"/>
          <w:szCs w:val="24"/>
          <w:shd w:val="clear" w:color="auto" w:fill="FFFFFF"/>
          <w:lang w:val="en-US" w:eastAsia="zh-CN"/>
        </w:rPr>
        <w:t>二次）</w:t>
      </w:r>
    </w:p>
    <w:p>
      <w:pPr>
        <w:pStyle w:val="41"/>
        <w:spacing w:beforeAutospacing="0" w:afterAutospacing="0" w:line="360" w:lineRule="auto"/>
        <w:ind w:firstLine="480"/>
        <w:jc w:val="both"/>
        <w:textAlignment w:val="baseline"/>
        <w:rPr>
          <w:rFonts w:cs="宋体"/>
          <w:color w:val="auto"/>
          <w:szCs w:val="24"/>
          <w:shd w:val="clear" w:color="auto" w:fill="FFFFFF"/>
        </w:rPr>
      </w:pPr>
      <w:r>
        <w:rPr>
          <w:rFonts w:hint="eastAsia" w:cs="宋体"/>
          <w:color w:val="auto"/>
          <w:szCs w:val="24"/>
          <w:shd w:val="clear" w:color="auto" w:fill="FFFFFF"/>
        </w:rPr>
        <w:t>采购方式：竞争性谈判</w:t>
      </w:r>
    </w:p>
    <w:p>
      <w:pPr>
        <w:pStyle w:val="41"/>
        <w:spacing w:beforeAutospacing="0" w:afterAutospacing="0" w:line="360" w:lineRule="auto"/>
        <w:ind w:firstLine="480"/>
        <w:jc w:val="both"/>
        <w:textAlignment w:val="baseline"/>
        <w:rPr>
          <w:rFonts w:hint="eastAsia" w:eastAsia="宋体" w:cs="宋体"/>
          <w:color w:val="auto"/>
          <w:szCs w:val="24"/>
          <w:shd w:val="clear" w:color="auto" w:fill="FFFFFF"/>
          <w:lang w:eastAsia="zh-CN"/>
        </w:rPr>
      </w:pPr>
      <w:r>
        <w:rPr>
          <w:rFonts w:hint="eastAsia" w:cs="宋体"/>
          <w:color w:val="auto"/>
          <w:szCs w:val="24"/>
          <w:shd w:val="clear" w:color="auto" w:fill="FFFFFF"/>
        </w:rPr>
        <w:t>预算金额：</w:t>
      </w:r>
      <w:r>
        <w:rPr>
          <w:rFonts w:hint="eastAsia" w:cs="宋体"/>
          <w:color w:val="auto"/>
          <w:szCs w:val="24"/>
          <w:shd w:val="clear" w:color="auto" w:fill="FFFFFF"/>
          <w:lang w:eastAsia="zh-CN"/>
        </w:rPr>
        <w:t>1,200,000.00</w:t>
      </w:r>
    </w:p>
    <w:p>
      <w:pPr>
        <w:pStyle w:val="41"/>
        <w:spacing w:beforeAutospacing="0" w:afterAutospacing="0" w:line="360" w:lineRule="auto"/>
        <w:ind w:firstLine="480"/>
        <w:jc w:val="both"/>
        <w:textAlignment w:val="baseline"/>
        <w:rPr>
          <w:rFonts w:cs="宋体"/>
          <w:color w:val="auto"/>
          <w:szCs w:val="24"/>
          <w:shd w:val="clear" w:color="auto" w:fill="FFFFFF"/>
        </w:rPr>
      </w:pPr>
      <w:r>
        <w:rPr>
          <w:rFonts w:hint="eastAsia" w:cs="宋体"/>
          <w:color w:val="auto"/>
          <w:szCs w:val="24"/>
          <w:shd w:val="clear" w:color="auto" w:fill="FFFFFF"/>
        </w:rPr>
        <w:t>采购需求：</w:t>
      </w:r>
    </w:p>
    <w:p>
      <w:pPr>
        <w:pStyle w:val="41"/>
        <w:spacing w:beforeAutospacing="0" w:afterAutospacing="0" w:line="360" w:lineRule="auto"/>
        <w:ind w:firstLine="480"/>
        <w:jc w:val="both"/>
        <w:textAlignment w:val="baseline"/>
        <w:rPr>
          <w:rFonts w:cs="宋体"/>
          <w:color w:val="auto"/>
          <w:szCs w:val="24"/>
          <w:shd w:val="clear" w:color="auto" w:fill="FFFFFF"/>
        </w:rPr>
      </w:pPr>
      <w:r>
        <w:rPr>
          <w:rFonts w:hint="eastAsia" w:cs="宋体"/>
          <w:color w:val="auto"/>
          <w:szCs w:val="24"/>
          <w:shd w:val="clear" w:color="auto" w:fill="FFFFFF"/>
        </w:rPr>
        <w:t>合同包1(</w:t>
      </w:r>
      <w:r>
        <w:rPr>
          <w:rFonts w:hint="eastAsia" w:cs="宋体"/>
          <w:color w:val="auto"/>
          <w:szCs w:val="24"/>
          <w:shd w:val="clear" w:color="auto" w:fill="FFFFFF"/>
          <w:lang w:eastAsia="zh-CN"/>
        </w:rPr>
        <w:t>西安科技大学物理实验教学中心升级改造建设项目（二次）</w:t>
      </w:r>
      <w:r>
        <w:rPr>
          <w:rFonts w:hint="eastAsia" w:cs="宋体"/>
          <w:color w:val="auto"/>
          <w:szCs w:val="24"/>
          <w:shd w:val="clear" w:color="auto" w:fill="FFFFFF"/>
        </w:rPr>
        <w:t>):</w:t>
      </w:r>
    </w:p>
    <w:p>
      <w:pPr>
        <w:pStyle w:val="41"/>
        <w:spacing w:beforeAutospacing="0" w:afterAutospacing="0" w:line="360" w:lineRule="auto"/>
        <w:ind w:firstLine="480"/>
        <w:jc w:val="both"/>
        <w:textAlignment w:val="baseline"/>
        <w:rPr>
          <w:rFonts w:hint="eastAsia" w:eastAsia="宋体" w:cs="宋体"/>
          <w:color w:val="auto"/>
          <w:szCs w:val="24"/>
          <w:shd w:val="clear" w:color="auto" w:fill="FFFFFF"/>
          <w:lang w:eastAsia="zh-CN"/>
        </w:rPr>
      </w:pPr>
      <w:r>
        <w:rPr>
          <w:rFonts w:hint="eastAsia" w:cs="宋体"/>
          <w:color w:val="auto"/>
          <w:szCs w:val="24"/>
          <w:shd w:val="clear" w:color="auto" w:fill="FFFFFF"/>
        </w:rPr>
        <w:t>合同包预算金额：</w:t>
      </w:r>
      <w:r>
        <w:rPr>
          <w:rFonts w:hint="eastAsia" w:cs="宋体"/>
          <w:color w:val="auto"/>
          <w:szCs w:val="24"/>
          <w:shd w:val="clear" w:color="auto" w:fill="FFFFFF"/>
          <w:lang w:eastAsia="zh-CN"/>
        </w:rPr>
        <w:t>1,200,000.00</w:t>
      </w:r>
    </w:p>
    <w:p>
      <w:pPr>
        <w:pStyle w:val="41"/>
        <w:spacing w:beforeAutospacing="0" w:afterAutospacing="0" w:line="360" w:lineRule="auto"/>
        <w:ind w:firstLine="480"/>
        <w:jc w:val="both"/>
        <w:textAlignment w:val="baseline"/>
        <w:rPr>
          <w:rFonts w:hint="eastAsia" w:eastAsia="宋体" w:cs="宋体"/>
          <w:color w:val="auto"/>
          <w:szCs w:val="24"/>
          <w:shd w:val="clear" w:color="auto" w:fill="FFFFFF"/>
          <w:lang w:eastAsia="zh-CN"/>
        </w:rPr>
      </w:pPr>
      <w:r>
        <w:rPr>
          <w:rFonts w:hint="eastAsia" w:cs="宋体"/>
          <w:color w:val="auto"/>
          <w:szCs w:val="24"/>
          <w:shd w:val="clear" w:color="auto" w:fill="FFFFFF"/>
        </w:rPr>
        <w:t>合同包最高限价：</w:t>
      </w:r>
      <w:r>
        <w:rPr>
          <w:rFonts w:hint="eastAsia" w:cs="宋体"/>
          <w:color w:val="auto"/>
          <w:szCs w:val="24"/>
          <w:shd w:val="clear" w:color="auto" w:fill="FFFFFF"/>
          <w:lang w:eastAsia="zh-CN"/>
        </w:rPr>
        <w:t>1,200,000.00</w:t>
      </w:r>
    </w:p>
    <w:tbl>
      <w:tblPr>
        <w:tblStyle w:val="48"/>
        <w:tblW w:w="9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223"/>
        <w:gridCol w:w="1189"/>
        <w:gridCol w:w="1566"/>
        <w:gridCol w:w="1503"/>
        <w:gridCol w:w="1656"/>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jc w:val="center"/>
        </w:trPr>
        <w:tc>
          <w:tcPr>
            <w:tcW w:w="907" w:type="dxa"/>
          </w:tcPr>
          <w:p>
            <w:pPr>
              <w:spacing w:line="360" w:lineRule="auto"/>
              <w:jc w:val="center"/>
              <w:rPr>
                <w:rFonts w:ascii="宋体" w:hAnsi="宋体" w:cs="宋体"/>
                <w:b/>
                <w:color w:val="auto"/>
                <w:sz w:val="24"/>
                <w:szCs w:val="24"/>
                <w:shd w:val="clear" w:color="auto" w:fill="FFFFFF"/>
              </w:rPr>
            </w:pPr>
          </w:p>
          <w:p>
            <w:pPr>
              <w:spacing w:line="360" w:lineRule="auto"/>
              <w:jc w:val="center"/>
              <w:rPr>
                <w:rFonts w:ascii="宋体" w:hAnsi="宋体" w:cs="宋体"/>
                <w:b/>
                <w:color w:val="auto"/>
                <w:sz w:val="24"/>
                <w:szCs w:val="24"/>
              </w:rPr>
            </w:pPr>
            <w:r>
              <w:rPr>
                <w:rFonts w:hint="eastAsia" w:ascii="宋体" w:hAnsi="宋体" w:cs="宋体"/>
                <w:b/>
                <w:color w:val="auto"/>
                <w:sz w:val="24"/>
                <w:szCs w:val="24"/>
                <w:shd w:val="clear" w:color="auto" w:fill="FFFFFF"/>
              </w:rPr>
              <w:t>品目号</w:t>
            </w:r>
          </w:p>
        </w:tc>
        <w:tc>
          <w:tcPr>
            <w:tcW w:w="1239" w:type="dxa"/>
          </w:tcPr>
          <w:p>
            <w:pPr>
              <w:spacing w:line="360" w:lineRule="auto"/>
              <w:jc w:val="center"/>
              <w:rPr>
                <w:rFonts w:ascii="宋体" w:hAnsi="宋体" w:cs="宋体"/>
                <w:b/>
                <w:color w:val="auto"/>
                <w:sz w:val="24"/>
                <w:szCs w:val="24"/>
                <w:shd w:val="clear" w:color="auto" w:fill="FFFFFF"/>
              </w:rPr>
            </w:pPr>
          </w:p>
          <w:p>
            <w:pPr>
              <w:spacing w:line="360" w:lineRule="auto"/>
              <w:jc w:val="center"/>
              <w:rPr>
                <w:rFonts w:ascii="宋体" w:hAnsi="宋体" w:cs="宋体"/>
                <w:b/>
                <w:color w:val="auto"/>
                <w:sz w:val="24"/>
                <w:szCs w:val="24"/>
              </w:rPr>
            </w:pPr>
            <w:r>
              <w:rPr>
                <w:rFonts w:hint="eastAsia" w:ascii="宋体" w:hAnsi="宋体" w:cs="宋体"/>
                <w:b/>
                <w:color w:val="auto"/>
                <w:sz w:val="24"/>
                <w:szCs w:val="24"/>
                <w:shd w:val="clear" w:color="auto" w:fill="FFFFFF"/>
              </w:rPr>
              <w:t>品目名称</w:t>
            </w:r>
          </w:p>
        </w:tc>
        <w:tc>
          <w:tcPr>
            <w:tcW w:w="1205" w:type="dxa"/>
          </w:tcPr>
          <w:p>
            <w:pPr>
              <w:spacing w:line="360" w:lineRule="auto"/>
              <w:jc w:val="center"/>
              <w:rPr>
                <w:rFonts w:ascii="宋体" w:hAnsi="宋体" w:cs="宋体"/>
                <w:b/>
                <w:color w:val="auto"/>
                <w:sz w:val="24"/>
                <w:szCs w:val="24"/>
                <w:shd w:val="clear" w:color="auto" w:fill="FFFFFF"/>
              </w:rPr>
            </w:pPr>
          </w:p>
          <w:p>
            <w:pPr>
              <w:spacing w:line="360" w:lineRule="auto"/>
              <w:jc w:val="center"/>
              <w:rPr>
                <w:rFonts w:ascii="宋体" w:hAnsi="宋体" w:cs="宋体"/>
                <w:b/>
                <w:color w:val="auto"/>
                <w:sz w:val="24"/>
                <w:szCs w:val="24"/>
              </w:rPr>
            </w:pPr>
            <w:r>
              <w:rPr>
                <w:rFonts w:hint="eastAsia" w:ascii="宋体" w:hAnsi="宋体" w:cs="宋体"/>
                <w:b/>
                <w:color w:val="auto"/>
                <w:sz w:val="24"/>
                <w:szCs w:val="24"/>
                <w:shd w:val="clear" w:color="auto" w:fill="FFFFFF"/>
              </w:rPr>
              <w:t>采购标的</w:t>
            </w:r>
          </w:p>
        </w:tc>
        <w:tc>
          <w:tcPr>
            <w:tcW w:w="1582" w:type="dxa"/>
          </w:tcPr>
          <w:p>
            <w:pPr>
              <w:spacing w:line="360" w:lineRule="auto"/>
              <w:jc w:val="center"/>
              <w:rPr>
                <w:rFonts w:ascii="宋体" w:hAnsi="宋体" w:cs="宋体"/>
                <w:b/>
                <w:color w:val="auto"/>
                <w:sz w:val="24"/>
                <w:szCs w:val="24"/>
                <w:shd w:val="clear" w:color="auto" w:fill="FFFFFF"/>
              </w:rPr>
            </w:pPr>
          </w:p>
          <w:p>
            <w:pPr>
              <w:spacing w:line="360" w:lineRule="auto"/>
              <w:jc w:val="center"/>
              <w:rPr>
                <w:rFonts w:ascii="宋体" w:hAnsi="宋体" w:cs="宋体"/>
                <w:b/>
                <w:color w:val="auto"/>
                <w:sz w:val="24"/>
                <w:szCs w:val="24"/>
              </w:rPr>
            </w:pPr>
            <w:r>
              <w:rPr>
                <w:rFonts w:hint="eastAsia" w:ascii="宋体" w:hAnsi="宋体" w:cs="宋体"/>
                <w:b/>
                <w:color w:val="auto"/>
                <w:sz w:val="24"/>
                <w:szCs w:val="24"/>
                <w:shd w:val="clear" w:color="auto" w:fill="FFFFFF"/>
              </w:rPr>
              <w:t>数量（单位）</w:t>
            </w:r>
          </w:p>
        </w:tc>
        <w:tc>
          <w:tcPr>
            <w:tcW w:w="1520" w:type="dxa"/>
            <w:vAlign w:val="center"/>
          </w:tcPr>
          <w:p>
            <w:pPr>
              <w:spacing w:line="360" w:lineRule="auto"/>
              <w:jc w:val="center"/>
              <w:rPr>
                <w:rFonts w:ascii="宋体" w:hAnsi="宋体" w:cs="宋体"/>
                <w:b/>
                <w:color w:val="auto"/>
                <w:sz w:val="24"/>
                <w:szCs w:val="24"/>
              </w:rPr>
            </w:pPr>
            <w:r>
              <w:rPr>
                <w:rFonts w:hint="eastAsia" w:ascii="宋体" w:hAnsi="宋体" w:cs="宋体"/>
                <w:b/>
                <w:color w:val="auto"/>
                <w:sz w:val="24"/>
                <w:szCs w:val="24"/>
                <w:shd w:val="clear" w:color="auto" w:fill="FFFFFF"/>
              </w:rPr>
              <w:t>技术规格、参数及要求</w:t>
            </w:r>
          </w:p>
        </w:tc>
        <w:tc>
          <w:tcPr>
            <w:tcW w:w="1583" w:type="dxa"/>
          </w:tcPr>
          <w:p>
            <w:pPr>
              <w:spacing w:line="360" w:lineRule="auto"/>
              <w:jc w:val="center"/>
              <w:rPr>
                <w:rFonts w:ascii="宋体" w:hAnsi="宋体" w:cs="宋体"/>
                <w:b/>
                <w:color w:val="auto"/>
                <w:sz w:val="24"/>
                <w:szCs w:val="24"/>
                <w:shd w:val="clear" w:color="auto" w:fill="FFFFFF"/>
              </w:rPr>
            </w:pPr>
          </w:p>
          <w:p>
            <w:pPr>
              <w:spacing w:line="360" w:lineRule="auto"/>
              <w:jc w:val="center"/>
              <w:rPr>
                <w:rFonts w:ascii="宋体" w:hAnsi="宋体" w:cs="宋体"/>
                <w:b/>
                <w:color w:val="auto"/>
                <w:sz w:val="24"/>
                <w:szCs w:val="24"/>
              </w:rPr>
            </w:pPr>
            <w:r>
              <w:rPr>
                <w:rFonts w:hint="eastAsia" w:ascii="宋体" w:hAnsi="宋体" w:cs="宋体"/>
                <w:b/>
                <w:color w:val="auto"/>
                <w:sz w:val="24"/>
                <w:szCs w:val="24"/>
                <w:shd w:val="clear" w:color="auto" w:fill="FFFFFF"/>
              </w:rPr>
              <w:t>品目预算(元)</w:t>
            </w:r>
          </w:p>
        </w:tc>
        <w:tc>
          <w:tcPr>
            <w:tcW w:w="1681" w:type="dxa"/>
          </w:tcPr>
          <w:p>
            <w:pPr>
              <w:spacing w:line="360" w:lineRule="auto"/>
              <w:jc w:val="center"/>
              <w:rPr>
                <w:rFonts w:ascii="宋体" w:hAnsi="宋体" w:cs="宋体"/>
                <w:b/>
                <w:color w:val="auto"/>
                <w:sz w:val="24"/>
                <w:szCs w:val="24"/>
                <w:shd w:val="clear" w:color="auto" w:fill="FFFFFF"/>
              </w:rPr>
            </w:pPr>
          </w:p>
          <w:p>
            <w:pPr>
              <w:spacing w:line="360" w:lineRule="auto"/>
              <w:jc w:val="center"/>
              <w:rPr>
                <w:rFonts w:ascii="宋体" w:hAnsi="宋体" w:cs="宋体"/>
                <w:b/>
                <w:color w:val="auto"/>
                <w:sz w:val="24"/>
                <w:szCs w:val="24"/>
              </w:rPr>
            </w:pPr>
            <w:r>
              <w:rPr>
                <w:rFonts w:hint="eastAsia" w:ascii="宋体" w:hAnsi="宋体" w:cs="宋体"/>
                <w:b/>
                <w:color w:val="auto"/>
                <w:sz w:val="24"/>
                <w:szCs w:val="24"/>
                <w:shd w:val="clear" w:color="auto" w:fill="FFFFFF"/>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907" w:type="dxa"/>
          </w:tcPr>
          <w:p>
            <w:pPr>
              <w:spacing w:line="360" w:lineRule="auto"/>
              <w:jc w:val="center"/>
              <w:rPr>
                <w:rFonts w:hint="eastAsia" w:ascii="宋体" w:hAnsi="宋体" w:cs="宋体"/>
                <w:color w:val="auto"/>
                <w:kern w:val="0"/>
                <w:sz w:val="24"/>
                <w:szCs w:val="24"/>
                <w:lang w:bidi="ar"/>
              </w:rPr>
            </w:pPr>
          </w:p>
          <w:p>
            <w:pPr>
              <w:spacing w:line="360" w:lineRule="auto"/>
              <w:jc w:val="center"/>
              <w:rPr>
                <w:rFonts w:hint="eastAsia" w:ascii="宋体" w:hAnsi="宋体" w:cs="宋体"/>
                <w:color w:val="auto"/>
                <w:kern w:val="0"/>
                <w:sz w:val="24"/>
                <w:szCs w:val="24"/>
                <w:lang w:bidi="ar"/>
              </w:rPr>
            </w:pPr>
            <w:r>
              <w:rPr>
                <w:rFonts w:hint="eastAsia" w:ascii="宋体" w:hAnsi="宋体" w:cs="宋体"/>
                <w:color w:val="auto"/>
                <w:kern w:val="0"/>
                <w:sz w:val="24"/>
                <w:szCs w:val="24"/>
                <w:lang w:bidi="ar"/>
              </w:rPr>
              <w:t>1-1</w:t>
            </w:r>
          </w:p>
        </w:tc>
        <w:tc>
          <w:tcPr>
            <w:tcW w:w="1239" w:type="dxa"/>
            <w:vAlign w:val="center"/>
          </w:tcPr>
          <w:p>
            <w:pPr>
              <w:spacing w:line="360" w:lineRule="auto"/>
              <w:jc w:val="center"/>
              <w:rPr>
                <w:rFonts w:hint="eastAsia" w:ascii="宋体" w:hAnsi="宋体" w:cs="宋体"/>
                <w:color w:val="auto"/>
                <w:kern w:val="0"/>
                <w:sz w:val="24"/>
                <w:szCs w:val="24"/>
                <w:lang w:bidi="ar"/>
              </w:rPr>
            </w:pPr>
            <w:r>
              <w:rPr>
                <w:rFonts w:hint="eastAsia" w:ascii="宋体" w:hAnsi="宋体" w:cs="宋体"/>
                <w:color w:val="auto"/>
                <w:kern w:val="0"/>
                <w:sz w:val="24"/>
                <w:szCs w:val="24"/>
                <w:lang w:bidi="ar"/>
              </w:rPr>
              <w:t>其他仪器仪表</w:t>
            </w:r>
          </w:p>
        </w:tc>
        <w:tc>
          <w:tcPr>
            <w:tcW w:w="1205" w:type="dxa"/>
            <w:vAlign w:val="center"/>
          </w:tcPr>
          <w:p>
            <w:pPr>
              <w:spacing w:line="360" w:lineRule="auto"/>
              <w:jc w:val="center"/>
              <w:rPr>
                <w:rFonts w:hint="eastAsia" w:ascii="宋体" w:hAnsi="宋体" w:cs="宋体"/>
                <w:color w:val="auto"/>
                <w:kern w:val="0"/>
                <w:sz w:val="24"/>
                <w:szCs w:val="24"/>
                <w:lang w:bidi="ar"/>
              </w:rPr>
            </w:pPr>
            <w:r>
              <w:rPr>
                <w:rFonts w:hint="eastAsia" w:ascii="宋体" w:hAnsi="宋体" w:cs="宋体"/>
                <w:color w:val="auto"/>
                <w:kern w:val="0"/>
                <w:sz w:val="24"/>
                <w:szCs w:val="24"/>
                <w:lang w:bidi="ar"/>
              </w:rPr>
              <w:t>物理实验教学中心设备</w:t>
            </w:r>
          </w:p>
        </w:tc>
        <w:tc>
          <w:tcPr>
            <w:tcW w:w="1582" w:type="dxa"/>
            <w:vAlign w:val="center"/>
          </w:tcPr>
          <w:p>
            <w:pPr>
              <w:spacing w:line="360" w:lineRule="auto"/>
              <w:jc w:val="center"/>
              <w:rPr>
                <w:rFonts w:hint="eastAsia" w:ascii="宋体" w:hAnsi="宋体" w:cs="宋体"/>
                <w:color w:val="auto"/>
                <w:kern w:val="0"/>
                <w:sz w:val="24"/>
                <w:szCs w:val="24"/>
                <w:lang w:bidi="ar"/>
              </w:rPr>
            </w:pPr>
            <w:r>
              <w:rPr>
                <w:rFonts w:hint="eastAsia" w:ascii="宋体" w:hAnsi="宋体" w:cs="宋体"/>
                <w:color w:val="auto"/>
                <w:kern w:val="0"/>
                <w:sz w:val="24"/>
                <w:szCs w:val="24"/>
                <w:lang w:bidi="ar"/>
              </w:rPr>
              <w:t>1(批)</w:t>
            </w:r>
          </w:p>
        </w:tc>
        <w:tc>
          <w:tcPr>
            <w:tcW w:w="1520" w:type="dxa"/>
            <w:vAlign w:val="center"/>
          </w:tcPr>
          <w:p>
            <w:pPr>
              <w:spacing w:line="360" w:lineRule="auto"/>
              <w:jc w:val="center"/>
              <w:rPr>
                <w:rFonts w:hint="eastAsia" w:ascii="宋体" w:hAnsi="宋体" w:cs="宋体"/>
                <w:color w:val="auto"/>
                <w:kern w:val="0"/>
                <w:sz w:val="24"/>
                <w:szCs w:val="24"/>
                <w:lang w:bidi="ar"/>
              </w:rPr>
            </w:pPr>
            <w:r>
              <w:rPr>
                <w:rFonts w:hint="eastAsia" w:ascii="宋体" w:hAnsi="宋体" w:cs="宋体"/>
                <w:color w:val="auto"/>
                <w:kern w:val="0"/>
                <w:sz w:val="24"/>
                <w:szCs w:val="24"/>
                <w:lang w:bidi="ar"/>
              </w:rPr>
              <w:t>详见采购文件</w:t>
            </w:r>
          </w:p>
        </w:tc>
        <w:tc>
          <w:tcPr>
            <w:tcW w:w="1583" w:type="dxa"/>
            <w:vAlign w:val="center"/>
          </w:tcPr>
          <w:p>
            <w:pPr>
              <w:spacing w:line="360" w:lineRule="auto"/>
              <w:jc w:val="center"/>
              <w:rPr>
                <w:rFonts w:hint="eastAsia" w:ascii="宋体" w:hAnsi="宋体" w:eastAsia="宋体" w:cs="宋体"/>
                <w:color w:val="auto"/>
                <w:kern w:val="0"/>
                <w:sz w:val="24"/>
                <w:szCs w:val="24"/>
                <w:lang w:eastAsia="zh-CN" w:bidi="ar"/>
              </w:rPr>
            </w:pPr>
            <w:r>
              <w:rPr>
                <w:rFonts w:hint="eastAsia" w:ascii="宋体" w:hAnsi="宋体" w:cs="宋体"/>
                <w:color w:val="auto"/>
                <w:kern w:val="0"/>
                <w:sz w:val="24"/>
                <w:szCs w:val="24"/>
                <w:lang w:eastAsia="zh-CN" w:bidi="ar"/>
              </w:rPr>
              <w:t>1,200,000.00</w:t>
            </w:r>
          </w:p>
        </w:tc>
        <w:tc>
          <w:tcPr>
            <w:tcW w:w="1681" w:type="dxa"/>
            <w:vAlign w:val="center"/>
          </w:tcPr>
          <w:p>
            <w:pPr>
              <w:spacing w:line="360" w:lineRule="auto"/>
              <w:jc w:val="center"/>
              <w:rPr>
                <w:rFonts w:hint="eastAsia" w:ascii="宋体" w:hAnsi="宋体" w:eastAsia="宋体" w:cs="宋体"/>
                <w:color w:val="auto"/>
                <w:kern w:val="0"/>
                <w:sz w:val="24"/>
                <w:szCs w:val="24"/>
                <w:lang w:eastAsia="zh-CN" w:bidi="ar"/>
              </w:rPr>
            </w:pPr>
            <w:r>
              <w:rPr>
                <w:rFonts w:hint="eastAsia" w:ascii="宋体" w:hAnsi="宋体" w:cs="宋体"/>
                <w:color w:val="auto"/>
                <w:kern w:val="0"/>
                <w:sz w:val="24"/>
                <w:szCs w:val="24"/>
                <w:lang w:eastAsia="zh-CN" w:bidi="ar"/>
              </w:rPr>
              <w:t>1,200,000.00</w:t>
            </w:r>
          </w:p>
        </w:tc>
      </w:tr>
    </w:tbl>
    <w:p>
      <w:pPr>
        <w:spacing w:line="360" w:lineRule="auto"/>
        <w:ind w:left="479" w:leftChars="228"/>
        <w:rPr>
          <w:rFonts w:ascii="宋体" w:hAnsi="宋体" w:cs="宋体"/>
          <w:color w:val="auto"/>
          <w:sz w:val="24"/>
          <w:szCs w:val="24"/>
        </w:rPr>
      </w:pPr>
      <w:r>
        <w:rPr>
          <w:rFonts w:hint="eastAsia" w:ascii="宋体" w:hAnsi="宋体" w:cs="宋体"/>
          <w:color w:val="auto"/>
          <w:sz w:val="24"/>
          <w:szCs w:val="24"/>
        </w:rPr>
        <w:t>本合同包不接受联合体投标</w:t>
      </w:r>
    </w:p>
    <w:p>
      <w:pPr>
        <w:spacing w:line="360" w:lineRule="auto"/>
        <w:ind w:left="479" w:leftChars="228"/>
        <w:rPr>
          <w:rFonts w:ascii="宋体" w:hAnsi="宋体" w:cs="宋体"/>
          <w:color w:val="auto"/>
          <w:sz w:val="24"/>
          <w:szCs w:val="24"/>
        </w:rPr>
      </w:pPr>
      <w:r>
        <w:rPr>
          <w:rFonts w:hint="eastAsia" w:ascii="宋体" w:hAnsi="宋体" w:cs="宋体"/>
          <w:color w:val="auto"/>
          <w:sz w:val="24"/>
          <w:szCs w:val="24"/>
        </w:rPr>
        <w:t>合同履行期限：合同签订后30天</w:t>
      </w:r>
    </w:p>
    <w:p>
      <w:pPr>
        <w:spacing w:line="360" w:lineRule="auto"/>
        <w:rPr>
          <w:rFonts w:ascii="宋体" w:hAnsi="宋体" w:cs="宋体"/>
          <w:b/>
          <w:bCs/>
          <w:color w:val="auto"/>
          <w:sz w:val="24"/>
          <w:szCs w:val="24"/>
        </w:rPr>
      </w:pPr>
      <w:r>
        <w:rPr>
          <w:rFonts w:hint="eastAsia" w:ascii="宋体" w:hAnsi="宋体" w:cs="宋体"/>
          <w:b/>
          <w:bCs/>
          <w:color w:val="auto"/>
          <w:sz w:val="24"/>
          <w:szCs w:val="24"/>
        </w:rPr>
        <w:t>二、供应商的资格要求：</w:t>
      </w:r>
    </w:p>
    <w:p>
      <w:pPr>
        <w:spacing w:line="360" w:lineRule="auto"/>
        <w:ind w:left="479" w:leftChars="228"/>
        <w:rPr>
          <w:rFonts w:ascii="宋体" w:hAnsi="宋体" w:cs="宋体"/>
          <w:color w:val="auto"/>
          <w:sz w:val="24"/>
          <w:szCs w:val="24"/>
        </w:rPr>
      </w:pPr>
      <w:r>
        <w:rPr>
          <w:rFonts w:hint="eastAsia" w:ascii="宋体" w:hAnsi="宋体" w:cs="宋体"/>
          <w:color w:val="auto"/>
          <w:sz w:val="24"/>
          <w:szCs w:val="24"/>
        </w:rPr>
        <w:t>1.满足《中华人民共和国政府采购法》第二十二条规定;</w:t>
      </w:r>
    </w:p>
    <w:p>
      <w:pPr>
        <w:spacing w:line="360" w:lineRule="auto"/>
        <w:ind w:left="479" w:leftChars="228"/>
        <w:rPr>
          <w:rFonts w:ascii="宋体" w:hAnsi="宋体" w:cs="宋体"/>
          <w:color w:val="auto"/>
          <w:sz w:val="24"/>
          <w:szCs w:val="24"/>
        </w:rPr>
      </w:pPr>
      <w:r>
        <w:rPr>
          <w:rFonts w:hint="eastAsia" w:ascii="宋体" w:hAnsi="宋体" w:cs="宋体"/>
          <w:color w:val="auto"/>
          <w:sz w:val="24"/>
          <w:szCs w:val="24"/>
        </w:rPr>
        <w:t>2.落实政府采购政策需满足的资格要求：</w:t>
      </w:r>
    </w:p>
    <w:p>
      <w:pPr>
        <w:spacing w:line="360" w:lineRule="auto"/>
        <w:ind w:left="479" w:leftChars="228"/>
        <w:rPr>
          <w:rFonts w:ascii="宋体" w:hAnsi="宋体" w:cs="宋体"/>
          <w:color w:val="auto"/>
          <w:sz w:val="24"/>
          <w:szCs w:val="24"/>
        </w:rPr>
      </w:pPr>
      <w:r>
        <w:rPr>
          <w:rFonts w:hint="eastAsia" w:ascii="宋体" w:hAnsi="宋体" w:cs="宋体"/>
          <w:color w:val="auto"/>
          <w:sz w:val="24"/>
          <w:szCs w:val="24"/>
        </w:rPr>
        <w:t>合同包1(</w:t>
      </w:r>
      <w:r>
        <w:rPr>
          <w:rFonts w:hint="eastAsia" w:ascii="宋体" w:hAnsi="宋体" w:cs="宋体"/>
          <w:color w:val="auto"/>
          <w:sz w:val="24"/>
          <w:szCs w:val="24"/>
          <w:lang w:eastAsia="zh-CN"/>
        </w:rPr>
        <w:t>西安科技大学物理实验教学中心升级改造建设项目（二次）</w:t>
      </w:r>
      <w:r>
        <w:rPr>
          <w:rFonts w:hint="eastAsia" w:ascii="宋体" w:hAnsi="宋体" w:cs="宋体"/>
          <w:color w:val="auto"/>
          <w:sz w:val="24"/>
          <w:szCs w:val="24"/>
        </w:rPr>
        <w:t>)落实政府采购政策需满足的资格要求如下:</w:t>
      </w:r>
    </w:p>
    <w:p>
      <w:pPr>
        <w:spacing w:line="360" w:lineRule="auto"/>
        <w:ind w:left="481" w:leftChars="229"/>
        <w:rPr>
          <w:rFonts w:ascii="宋体" w:hAnsi="宋体" w:cs="宋体"/>
          <w:color w:val="auto"/>
          <w:sz w:val="24"/>
          <w:szCs w:val="24"/>
        </w:rPr>
      </w:pPr>
      <w:r>
        <w:rPr>
          <w:rFonts w:hint="eastAsia" w:ascii="宋体" w:hAnsi="宋体" w:cs="宋体"/>
          <w:b/>
          <w:bCs/>
          <w:color w:val="auto"/>
          <w:sz w:val="24"/>
          <w:szCs w:val="24"/>
        </w:rPr>
        <w:t>本项目为专门面向中小型企业的采购项目。</w:t>
      </w:r>
    </w:p>
    <w:p>
      <w:pPr>
        <w:spacing w:line="360" w:lineRule="auto"/>
        <w:ind w:firstLine="482" w:firstLineChars="200"/>
        <w:rPr>
          <w:rFonts w:ascii="宋体" w:hAnsi="宋体" w:cs="宋体"/>
          <w:b/>
          <w:bCs/>
          <w:color w:val="auto"/>
          <w:sz w:val="24"/>
          <w:szCs w:val="24"/>
        </w:rPr>
      </w:pPr>
      <w:r>
        <w:rPr>
          <w:rFonts w:hint="eastAsia" w:ascii="宋体" w:hAnsi="宋体" w:cs="宋体"/>
          <w:b/>
          <w:bCs/>
          <w:color w:val="auto"/>
          <w:sz w:val="24"/>
          <w:szCs w:val="24"/>
        </w:rPr>
        <w:t>3.本项目的特定资格要求：</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合同包1(</w:t>
      </w:r>
      <w:r>
        <w:rPr>
          <w:rFonts w:hint="eastAsia" w:ascii="宋体" w:hAnsi="宋体" w:cs="宋体"/>
          <w:color w:val="auto"/>
          <w:sz w:val="24"/>
          <w:szCs w:val="24"/>
          <w:lang w:eastAsia="zh-CN"/>
        </w:rPr>
        <w:t>西安科技大学物理实验教学中心升级改造建设项目（二次）</w:t>
      </w:r>
      <w:r>
        <w:rPr>
          <w:rFonts w:hint="eastAsia" w:ascii="宋体" w:hAnsi="宋体" w:cs="宋体"/>
          <w:color w:val="auto"/>
          <w:sz w:val="24"/>
          <w:szCs w:val="24"/>
        </w:rPr>
        <w:t>)特定资格要求如下:</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1）法定代表人授权书（附法定代表人、被授权人身份证复印件）、被授权人身份证（法定代表人直接参加投标，须提供法定代表人身份证明及身份证原件）及被授权人投标截止日前一年内任意一个月的社会保障资金（养老保险或医疗保险）的缴纳证明或有效期内的劳动合同； </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p>
      <w:pPr>
        <w:spacing w:line="360" w:lineRule="auto"/>
        <w:rPr>
          <w:b/>
          <w:bCs/>
          <w:color w:val="auto"/>
          <w:sz w:val="24"/>
          <w:szCs w:val="24"/>
        </w:rPr>
      </w:pPr>
      <w:r>
        <w:rPr>
          <w:rFonts w:hint="eastAsia"/>
          <w:b/>
          <w:bCs/>
          <w:color w:val="auto"/>
          <w:sz w:val="24"/>
          <w:szCs w:val="24"/>
        </w:rPr>
        <w:t>三、获取采购文件</w:t>
      </w:r>
    </w:p>
    <w:p>
      <w:pPr>
        <w:pStyle w:val="41"/>
        <w:spacing w:beforeAutospacing="0" w:afterAutospacing="0" w:line="360" w:lineRule="auto"/>
        <w:ind w:firstLine="480"/>
        <w:jc w:val="left"/>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时间：2022年11月17日至2022年11月22日，每天上午09:00:00至12:00:00，下午14:00:00至17:00:00（北京时间）</w:t>
      </w:r>
    </w:p>
    <w:p>
      <w:pPr>
        <w:pStyle w:val="41"/>
        <w:spacing w:beforeAutospacing="0" w:afterAutospacing="0" w:line="360" w:lineRule="auto"/>
        <w:ind w:firstLine="48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lang w:val="en-US" w:eastAsia="zh-CN" w:bidi="ar-SA"/>
        </w:rPr>
        <w:t>地点：陕西省西安市雁塔区南二环东段凯森盛世一</w:t>
      </w:r>
      <w:r>
        <w:rPr>
          <w:rFonts w:hint="eastAsia" w:ascii="宋体" w:hAnsi="宋体" w:eastAsia="宋体" w:cs="宋体"/>
          <w:color w:val="auto"/>
          <w:sz w:val="24"/>
          <w:szCs w:val="24"/>
          <w:highlight w:val="none"/>
          <w:shd w:val="clear" w:color="auto" w:fill="FFFFFF"/>
        </w:rPr>
        <w:t>号A座4层408室</w:t>
      </w:r>
    </w:p>
    <w:p>
      <w:pPr>
        <w:pStyle w:val="41"/>
        <w:spacing w:beforeAutospacing="0" w:afterAutospacing="0" w:line="360" w:lineRule="auto"/>
        <w:ind w:firstLine="48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方式：现场获取</w:t>
      </w:r>
    </w:p>
    <w:p>
      <w:pPr>
        <w:pStyle w:val="41"/>
        <w:spacing w:beforeAutospacing="0" w:afterAutospacing="0" w:line="360" w:lineRule="auto"/>
        <w:ind w:firstLine="48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shd w:val="clear" w:color="auto" w:fill="FFFFFF"/>
        </w:rPr>
        <w:t>售价：500元</w:t>
      </w:r>
    </w:p>
    <w:p>
      <w:pPr>
        <w:pStyle w:val="6"/>
        <w:keepNext w:val="0"/>
        <w:keepLines w:val="0"/>
        <w:widowControl/>
        <w:spacing w:before="150"/>
        <w:jc w:val="left"/>
        <w:textAlignment w:val="baseline"/>
        <w:rPr>
          <w:rFonts w:hint="eastAsia" w:ascii="宋体" w:hAnsi="宋体" w:eastAsia="宋体" w:cs="宋体"/>
          <w:b w:val="0"/>
          <w:color w:val="auto"/>
          <w:kern w:val="0"/>
          <w:sz w:val="24"/>
          <w:szCs w:val="24"/>
          <w:highlight w:val="none"/>
          <w:shd w:val="clear" w:color="auto" w:fill="FFFFFF"/>
          <w:lang w:val="en-US" w:eastAsia="zh-CN" w:bidi="ar-SA"/>
        </w:rPr>
      </w:pPr>
      <w:r>
        <w:rPr>
          <w:rStyle w:val="50"/>
          <w:rFonts w:hint="eastAsia" w:ascii="宋体" w:hAnsi="宋体" w:cs="宋体"/>
          <w:b/>
          <w:color w:val="auto"/>
          <w:szCs w:val="24"/>
          <w:highlight w:val="none"/>
          <w:shd w:val="clear" w:color="auto" w:fill="FFFFFF"/>
        </w:rPr>
        <w:t>四、响应文件提</w:t>
      </w:r>
      <w:r>
        <w:rPr>
          <w:rStyle w:val="50"/>
          <w:rFonts w:hint="eastAsia" w:ascii="宋体" w:hAnsi="宋体" w:cs="宋体"/>
          <w:b/>
          <w:color w:val="auto"/>
          <w:szCs w:val="24"/>
          <w:highlight w:val="none"/>
          <w:shd w:val="clear" w:color="auto" w:fill="FFFFFF"/>
          <w:lang w:val="en-US" w:eastAsia="zh-CN"/>
        </w:rPr>
        <w:t>交</w:t>
      </w:r>
    </w:p>
    <w:p>
      <w:pPr>
        <w:pStyle w:val="41"/>
        <w:spacing w:beforeAutospacing="0" w:afterAutospacing="0" w:line="360" w:lineRule="auto"/>
        <w:ind w:firstLine="480"/>
        <w:jc w:val="both"/>
        <w:textAlignment w:val="baseline"/>
        <w:rPr>
          <w:rFonts w:cs="宋体"/>
          <w:color w:val="auto"/>
          <w:szCs w:val="24"/>
          <w:highlight w:val="none"/>
        </w:rPr>
      </w:pPr>
      <w:r>
        <w:rPr>
          <w:rFonts w:hint="eastAsia" w:ascii="宋体" w:hAnsi="宋体" w:eastAsia="宋体" w:cs="宋体"/>
          <w:b w:val="0"/>
          <w:color w:val="auto"/>
          <w:kern w:val="0"/>
          <w:sz w:val="24"/>
          <w:szCs w:val="24"/>
          <w:highlight w:val="none"/>
          <w:shd w:val="clear" w:color="auto" w:fill="FFFFFF"/>
          <w:lang w:val="en-US" w:eastAsia="zh-CN" w:bidi="ar-SA"/>
        </w:rPr>
        <w:t>截止时间：2022年11月26日 14时00分00秒（北京时</w:t>
      </w:r>
      <w:r>
        <w:rPr>
          <w:rFonts w:hint="eastAsia" w:cs="宋体"/>
          <w:color w:val="auto"/>
          <w:szCs w:val="24"/>
          <w:highlight w:val="none"/>
          <w:shd w:val="clear" w:color="auto" w:fill="FFFFFF"/>
        </w:rPr>
        <w:t>间）</w:t>
      </w:r>
    </w:p>
    <w:p>
      <w:pPr>
        <w:pStyle w:val="41"/>
        <w:spacing w:beforeAutospacing="0" w:afterAutospacing="0" w:line="360" w:lineRule="auto"/>
        <w:ind w:firstLine="480"/>
        <w:jc w:val="both"/>
        <w:textAlignment w:val="baseline"/>
        <w:rPr>
          <w:rFonts w:cs="宋体"/>
          <w:color w:val="auto"/>
          <w:szCs w:val="24"/>
          <w:highlight w:val="none"/>
        </w:rPr>
      </w:pPr>
      <w:r>
        <w:rPr>
          <w:rFonts w:hint="eastAsia" w:cs="宋体"/>
          <w:color w:val="auto"/>
          <w:szCs w:val="24"/>
          <w:highlight w:val="none"/>
          <w:shd w:val="clear" w:color="auto" w:fill="FFFFFF"/>
        </w:rPr>
        <w:t>地点：西安市雁塔区南二环东段凯森盛世一号A座408室会议室纸质文件递交</w:t>
      </w:r>
    </w:p>
    <w:p>
      <w:pPr>
        <w:pStyle w:val="6"/>
        <w:keepNext w:val="0"/>
        <w:keepLines w:val="0"/>
        <w:widowControl/>
        <w:spacing w:before="150"/>
        <w:jc w:val="left"/>
        <w:textAlignment w:val="baseline"/>
        <w:rPr>
          <w:b w:val="0"/>
          <w:color w:val="auto"/>
          <w:szCs w:val="24"/>
          <w:highlight w:val="none"/>
        </w:rPr>
      </w:pPr>
      <w:r>
        <w:rPr>
          <w:rStyle w:val="50"/>
          <w:rFonts w:hint="eastAsia" w:ascii="宋体" w:hAnsi="宋体" w:cs="宋体"/>
          <w:b/>
          <w:color w:val="auto"/>
          <w:szCs w:val="24"/>
          <w:highlight w:val="none"/>
          <w:shd w:val="clear" w:color="auto" w:fill="FFFFFF"/>
        </w:rPr>
        <w:t>五、开启</w:t>
      </w:r>
    </w:p>
    <w:p>
      <w:pPr>
        <w:pStyle w:val="41"/>
        <w:spacing w:beforeAutospacing="0" w:afterAutospacing="0" w:line="360" w:lineRule="auto"/>
        <w:ind w:firstLine="480"/>
        <w:jc w:val="both"/>
        <w:textAlignment w:val="baseline"/>
        <w:rPr>
          <w:rFonts w:cs="宋体"/>
          <w:color w:val="auto"/>
          <w:szCs w:val="24"/>
          <w:highlight w:val="none"/>
        </w:rPr>
      </w:pPr>
      <w:r>
        <w:rPr>
          <w:rFonts w:hint="eastAsia" w:cs="宋体"/>
          <w:color w:val="auto"/>
          <w:szCs w:val="24"/>
          <w:highlight w:val="none"/>
          <w:shd w:val="clear" w:color="auto" w:fill="FFFFFF"/>
        </w:rPr>
        <w:t>时间：2022年11月26日 14时00分00秒（北京时间）</w:t>
      </w:r>
    </w:p>
    <w:p>
      <w:pPr>
        <w:pStyle w:val="41"/>
        <w:spacing w:beforeAutospacing="0" w:afterAutospacing="0" w:line="360" w:lineRule="auto"/>
        <w:ind w:firstLine="480"/>
        <w:jc w:val="both"/>
        <w:textAlignment w:val="baseline"/>
        <w:rPr>
          <w:rFonts w:cs="宋体"/>
          <w:color w:val="auto"/>
          <w:szCs w:val="24"/>
          <w:highlight w:val="none"/>
        </w:rPr>
      </w:pPr>
      <w:r>
        <w:rPr>
          <w:rFonts w:hint="eastAsia" w:cs="宋体"/>
          <w:color w:val="auto"/>
          <w:szCs w:val="24"/>
          <w:highlight w:val="none"/>
          <w:shd w:val="clear" w:color="auto" w:fill="FFFFFF"/>
        </w:rPr>
        <w:t>地点：西安市雁塔区南二环东段凯森盛世一号A座408室会议室</w:t>
      </w:r>
    </w:p>
    <w:p>
      <w:pPr>
        <w:pStyle w:val="6"/>
        <w:keepNext w:val="0"/>
        <w:keepLines w:val="0"/>
        <w:widowControl/>
        <w:spacing w:before="150"/>
        <w:jc w:val="left"/>
        <w:textAlignment w:val="baseline"/>
        <w:rPr>
          <w:b w:val="0"/>
          <w:color w:val="auto"/>
          <w:szCs w:val="24"/>
          <w:highlight w:val="none"/>
        </w:rPr>
      </w:pPr>
      <w:r>
        <w:rPr>
          <w:rStyle w:val="50"/>
          <w:rFonts w:hint="eastAsia" w:ascii="宋体" w:hAnsi="宋体" w:cs="宋体"/>
          <w:b/>
          <w:color w:val="auto"/>
          <w:szCs w:val="24"/>
          <w:highlight w:val="none"/>
          <w:shd w:val="clear" w:color="auto" w:fill="FFFFFF"/>
        </w:rPr>
        <w:t>六、公告期限</w:t>
      </w:r>
    </w:p>
    <w:p>
      <w:pPr>
        <w:pStyle w:val="41"/>
        <w:spacing w:beforeAutospacing="0" w:afterAutospacing="0" w:line="360" w:lineRule="auto"/>
        <w:ind w:firstLine="480"/>
        <w:jc w:val="both"/>
        <w:textAlignment w:val="baseline"/>
        <w:rPr>
          <w:rFonts w:cs="宋体"/>
          <w:color w:val="auto"/>
          <w:szCs w:val="24"/>
          <w:highlight w:val="none"/>
        </w:rPr>
      </w:pPr>
      <w:r>
        <w:rPr>
          <w:rFonts w:hint="eastAsia" w:cs="宋体"/>
          <w:color w:val="auto"/>
          <w:szCs w:val="24"/>
          <w:highlight w:val="none"/>
          <w:shd w:val="clear" w:color="auto" w:fill="FFFFFF"/>
        </w:rPr>
        <w:t>自本公告发布之日起3个工作日。</w:t>
      </w:r>
    </w:p>
    <w:p>
      <w:pPr>
        <w:pStyle w:val="6"/>
        <w:keepNext w:val="0"/>
        <w:keepLines w:val="0"/>
        <w:widowControl/>
        <w:spacing w:before="150"/>
        <w:jc w:val="left"/>
        <w:textAlignment w:val="baseline"/>
        <w:rPr>
          <w:b w:val="0"/>
          <w:color w:val="auto"/>
          <w:szCs w:val="24"/>
          <w:highlight w:val="none"/>
        </w:rPr>
      </w:pPr>
      <w:r>
        <w:rPr>
          <w:rStyle w:val="50"/>
          <w:rFonts w:hint="eastAsia" w:ascii="宋体" w:hAnsi="宋体" w:cs="宋体"/>
          <w:b/>
          <w:color w:val="auto"/>
          <w:szCs w:val="24"/>
          <w:highlight w:val="none"/>
          <w:shd w:val="clear" w:color="auto" w:fill="FFFFFF"/>
        </w:rPr>
        <w:t>七、其他补充事宜</w:t>
      </w:r>
    </w:p>
    <w:p>
      <w:pPr>
        <w:pStyle w:val="41"/>
        <w:spacing w:beforeAutospacing="0" w:afterAutospacing="0" w:line="480" w:lineRule="atLeast"/>
        <w:ind w:firstLine="480"/>
        <w:jc w:val="both"/>
        <w:rPr>
          <w:rFonts w:cs="宋体"/>
          <w:color w:val="auto"/>
          <w:shd w:val="clear" w:color="auto" w:fill="FFFFFF"/>
        </w:rPr>
      </w:pPr>
      <w:r>
        <w:rPr>
          <w:rFonts w:hint="eastAsia" w:cs="宋体"/>
          <w:color w:val="auto"/>
          <w:shd w:val="clear" w:color="auto" w:fill="FFFFFF"/>
        </w:rPr>
        <w:t>1、获取谈判文件请携带单位介绍信原件、经办人身份证原件及复印件加盖公章一份。</w:t>
      </w:r>
    </w:p>
    <w:p>
      <w:pPr>
        <w:pStyle w:val="41"/>
        <w:spacing w:beforeAutospacing="0" w:afterAutospacing="0" w:line="480" w:lineRule="atLeast"/>
        <w:ind w:firstLine="480"/>
        <w:jc w:val="both"/>
        <w:rPr>
          <w:rFonts w:cs="宋体"/>
          <w:color w:val="auto"/>
          <w:shd w:val="clear" w:color="auto" w:fill="FFFFFF"/>
        </w:rPr>
      </w:pPr>
      <w:r>
        <w:rPr>
          <w:rFonts w:hint="eastAsia" w:cs="宋体"/>
          <w:color w:val="auto"/>
          <w:shd w:val="clear" w:color="auto" w:fill="FFFFFF"/>
        </w:rPr>
        <w:t>2、请供应商按照陕西省财政厅关于政府采购供应商注册登记有关事项的通知中的要求，通过陕西省政府采购网（http://www.ccgp-shaanxi.gov.cn/）注册登记加入陕西省政府采购供应商库。</w:t>
      </w:r>
    </w:p>
    <w:p>
      <w:pPr>
        <w:pStyle w:val="41"/>
        <w:spacing w:beforeAutospacing="0" w:afterAutospacing="0" w:line="480" w:lineRule="atLeast"/>
        <w:ind w:firstLine="480"/>
        <w:jc w:val="both"/>
        <w:rPr>
          <w:rFonts w:cs="宋体"/>
          <w:color w:val="auto"/>
          <w:shd w:val="clear" w:color="auto" w:fill="FFFFFF"/>
        </w:rPr>
      </w:pPr>
      <w:r>
        <w:rPr>
          <w:rFonts w:hint="eastAsia" w:cs="宋体"/>
          <w:color w:val="auto"/>
          <w:shd w:val="clear" w:color="auto" w:fill="FFFFFF"/>
        </w:rPr>
        <w:t>3、落实政府采购政策：</w:t>
      </w:r>
    </w:p>
    <w:p>
      <w:pPr>
        <w:pStyle w:val="41"/>
        <w:spacing w:beforeAutospacing="0" w:afterAutospacing="0" w:line="480" w:lineRule="atLeast"/>
        <w:ind w:firstLine="480"/>
        <w:jc w:val="both"/>
        <w:rPr>
          <w:rFonts w:cs="宋体"/>
          <w:color w:val="auto"/>
          <w:shd w:val="clear" w:color="auto" w:fill="FFFFFF"/>
        </w:rPr>
      </w:pPr>
      <w:r>
        <w:rPr>
          <w:rFonts w:hint="eastAsia" w:cs="宋体"/>
          <w:color w:val="auto"/>
          <w:shd w:val="clear" w:color="auto" w:fill="FFFFFF"/>
        </w:rPr>
        <w:t>依据《中华人民共和国政府采购法》和《中华人民共和国政府采购法实施条例》的有关规定，落实政府采购政策，详见竞争性谈判文件。</w:t>
      </w:r>
    </w:p>
    <w:p>
      <w:pPr>
        <w:pStyle w:val="41"/>
        <w:adjustRightInd w:val="0"/>
        <w:snapToGrid w:val="0"/>
        <w:spacing w:beforeAutospacing="0" w:afterAutospacing="0" w:line="480" w:lineRule="atLeast"/>
        <w:ind w:firstLine="480" w:firstLineChars="200"/>
        <w:jc w:val="both"/>
        <w:rPr>
          <w:rFonts w:cs="宋体"/>
          <w:color w:val="auto"/>
          <w:shd w:val="clear" w:color="auto" w:fill="FFFFFF"/>
        </w:rPr>
      </w:pPr>
      <w:r>
        <w:rPr>
          <w:rFonts w:hint="eastAsia" w:cs="宋体"/>
          <w:color w:val="auto"/>
          <w:shd w:val="clear" w:color="auto" w:fill="FFFFFF"/>
        </w:rPr>
        <w:t>1）《政府采购促进中小企业发展管理办法》（财库﹝2020﹞46号）； </w:t>
      </w:r>
    </w:p>
    <w:p>
      <w:pPr>
        <w:pStyle w:val="41"/>
        <w:adjustRightInd w:val="0"/>
        <w:snapToGrid w:val="0"/>
        <w:spacing w:beforeAutospacing="0" w:afterAutospacing="0" w:line="480" w:lineRule="atLeast"/>
        <w:ind w:firstLine="480" w:firstLineChars="200"/>
        <w:jc w:val="both"/>
        <w:rPr>
          <w:rFonts w:cs="宋体"/>
          <w:color w:val="auto"/>
          <w:shd w:val="clear" w:color="auto" w:fill="FFFFFF"/>
        </w:rPr>
      </w:pPr>
      <w:r>
        <w:rPr>
          <w:rFonts w:hint="eastAsia" w:cs="宋体"/>
          <w:color w:val="auto"/>
          <w:shd w:val="clear" w:color="auto" w:fill="FFFFFF"/>
        </w:rPr>
        <w:t>2）《财政部、司法部关于政府采购支持监狱企业发展有关问题的通知》（财库〔2014〕68号）；</w:t>
      </w:r>
    </w:p>
    <w:p>
      <w:pPr>
        <w:pStyle w:val="41"/>
        <w:adjustRightInd w:val="0"/>
        <w:snapToGrid w:val="0"/>
        <w:spacing w:beforeAutospacing="0" w:afterAutospacing="0" w:line="480" w:lineRule="atLeast"/>
        <w:ind w:firstLine="480" w:firstLineChars="200"/>
        <w:jc w:val="both"/>
        <w:rPr>
          <w:rFonts w:cs="宋体"/>
          <w:color w:val="auto"/>
          <w:shd w:val="clear" w:color="auto" w:fill="FFFFFF"/>
        </w:rPr>
      </w:pPr>
      <w:r>
        <w:rPr>
          <w:rFonts w:hint="eastAsia" w:cs="宋体"/>
          <w:color w:val="auto"/>
          <w:shd w:val="clear" w:color="auto" w:fill="FFFFFF"/>
        </w:rPr>
        <w:t>3）残疾人福利性单位应符合《财政部、民政部、中国残疾人联合会关于促进残疾人就业政府采购政策的通知》（财库[2017]141号）文件规定； </w:t>
      </w:r>
    </w:p>
    <w:p>
      <w:pPr>
        <w:pStyle w:val="41"/>
        <w:adjustRightInd w:val="0"/>
        <w:snapToGrid w:val="0"/>
        <w:spacing w:beforeAutospacing="0" w:afterAutospacing="0" w:line="480" w:lineRule="atLeast"/>
        <w:ind w:firstLine="480" w:firstLineChars="200"/>
        <w:jc w:val="both"/>
        <w:rPr>
          <w:rFonts w:cs="宋体"/>
          <w:color w:val="auto"/>
          <w:shd w:val="clear" w:color="auto" w:fill="FFFFFF"/>
        </w:rPr>
      </w:pPr>
      <w:r>
        <w:rPr>
          <w:rFonts w:hint="eastAsia" w:cs="宋体"/>
          <w:color w:val="auto"/>
          <w:shd w:val="clear" w:color="auto" w:fill="FFFFFF"/>
        </w:rPr>
        <w:t>4）《财政部国家发展改革委关于印发(节能产品政府采购实施意见)的通知》(库(2004)185号)；</w:t>
      </w:r>
    </w:p>
    <w:p>
      <w:pPr>
        <w:pStyle w:val="41"/>
        <w:adjustRightInd w:val="0"/>
        <w:snapToGrid w:val="0"/>
        <w:spacing w:beforeAutospacing="0" w:afterAutospacing="0" w:line="480" w:lineRule="atLeast"/>
        <w:ind w:firstLine="480" w:firstLineChars="200"/>
        <w:jc w:val="both"/>
        <w:rPr>
          <w:rFonts w:cs="宋体"/>
          <w:color w:val="auto"/>
          <w:shd w:val="clear" w:color="auto" w:fill="FFFFFF"/>
        </w:rPr>
      </w:pPr>
      <w:r>
        <w:rPr>
          <w:rFonts w:hint="eastAsia" w:cs="宋体"/>
          <w:color w:val="auto"/>
          <w:shd w:val="clear" w:color="auto" w:fill="FFFFFF"/>
        </w:rPr>
        <w:t>5）《国务院办公厅关于建立政府强制采购节能产品制度的通知》(国办发(2007)51号)； </w:t>
      </w:r>
    </w:p>
    <w:p>
      <w:pPr>
        <w:pStyle w:val="41"/>
        <w:adjustRightInd w:val="0"/>
        <w:snapToGrid w:val="0"/>
        <w:spacing w:beforeAutospacing="0" w:afterAutospacing="0" w:line="480" w:lineRule="atLeast"/>
        <w:ind w:firstLine="480" w:firstLineChars="200"/>
        <w:jc w:val="both"/>
        <w:rPr>
          <w:rFonts w:cs="宋体"/>
          <w:color w:val="auto"/>
          <w:shd w:val="clear" w:color="auto" w:fill="FFFFFF"/>
        </w:rPr>
      </w:pPr>
      <w:r>
        <w:rPr>
          <w:rFonts w:hint="eastAsia" w:cs="宋体"/>
          <w:color w:val="auto"/>
          <w:shd w:val="clear" w:color="auto" w:fill="FFFFFF"/>
        </w:rPr>
        <w:t>6）《财政部环保总局关于环境标志产品政府采购实施的意见》(财库(2006)90号)；</w:t>
      </w:r>
    </w:p>
    <w:p>
      <w:pPr>
        <w:pStyle w:val="41"/>
        <w:adjustRightInd w:val="0"/>
        <w:snapToGrid w:val="0"/>
        <w:spacing w:beforeAutospacing="0" w:afterAutospacing="0" w:line="480" w:lineRule="atLeast"/>
        <w:ind w:firstLine="480" w:firstLineChars="200"/>
        <w:jc w:val="both"/>
        <w:rPr>
          <w:rFonts w:cs="宋体"/>
          <w:color w:val="auto"/>
          <w:szCs w:val="24"/>
        </w:rPr>
      </w:pPr>
      <w:r>
        <w:rPr>
          <w:rFonts w:hint="eastAsia" w:cs="宋体"/>
          <w:color w:val="auto"/>
          <w:shd w:val="clear" w:color="auto" w:fill="FFFFFF"/>
        </w:rPr>
        <w:t>7）《财政部 发展改革委 生态环境部 </w:t>
      </w:r>
      <w:r>
        <w:rPr>
          <w:rFonts w:hint="eastAsia" w:cs="宋体"/>
          <w:color w:val="auto"/>
          <w:szCs w:val="24"/>
        </w:rPr>
        <w:t>市场监管总局关于调整优化节能产品、环境标志产品政府采购执行机制的通知》（财库〔2019〕9号；</w:t>
      </w:r>
    </w:p>
    <w:p>
      <w:pPr>
        <w:pStyle w:val="41"/>
        <w:adjustRightInd w:val="0"/>
        <w:snapToGrid w:val="0"/>
        <w:spacing w:beforeAutospacing="0" w:afterAutospacing="0" w:line="480" w:lineRule="atLeast"/>
        <w:ind w:firstLine="480" w:firstLineChars="200"/>
        <w:jc w:val="both"/>
        <w:rPr>
          <w:rFonts w:cs="宋体"/>
          <w:color w:val="auto"/>
          <w:szCs w:val="24"/>
        </w:rPr>
      </w:pPr>
      <w:r>
        <w:rPr>
          <w:rFonts w:hint="eastAsia" w:cs="宋体"/>
          <w:color w:val="auto"/>
          <w:szCs w:val="24"/>
        </w:rPr>
        <w:t>8）《财政部办公厅关于政府采购进口产品管理有关问题的通知》（财办库[2008]248号）；</w:t>
      </w:r>
    </w:p>
    <w:p>
      <w:pPr>
        <w:pStyle w:val="41"/>
        <w:adjustRightInd w:val="0"/>
        <w:snapToGrid w:val="0"/>
        <w:spacing w:beforeAutospacing="0" w:afterAutospacing="0" w:line="480" w:lineRule="atLeast"/>
        <w:ind w:firstLine="480" w:firstLineChars="200"/>
        <w:jc w:val="both"/>
        <w:rPr>
          <w:rFonts w:cs="宋体"/>
          <w:color w:val="auto"/>
          <w:szCs w:val="24"/>
        </w:rPr>
      </w:pPr>
      <w:r>
        <w:rPr>
          <w:rFonts w:hint="eastAsia" w:cs="宋体"/>
          <w:color w:val="auto"/>
          <w:szCs w:val="24"/>
        </w:rPr>
        <w:t>9）陕西省财政厅关于印发《陕西省中小企业政府采购信用融资办法》（陕财办采〔2018〕23号）。 </w:t>
      </w:r>
    </w:p>
    <w:p>
      <w:pPr>
        <w:pStyle w:val="41"/>
        <w:adjustRightInd w:val="0"/>
        <w:snapToGrid w:val="0"/>
        <w:spacing w:beforeAutospacing="0" w:afterAutospacing="0" w:line="480" w:lineRule="atLeast"/>
        <w:ind w:firstLine="480" w:firstLineChars="200"/>
        <w:jc w:val="both"/>
        <w:rPr>
          <w:rFonts w:cs="宋体"/>
          <w:color w:val="auto"/>
          <w:shd w:val="clear" w:color="auto" w:fill="FFFFFF"/>
        </w:rPr>
      </w:pPr>
      <w:r>
        <w:rPr>
          <w:rFonts w:hint="eastAsia" w:cs="宋体"/>
          <w:color w:val="auto"/>
          <w:szCs w:val="24"/>
        </w:rPr>
        <w:t>若享受以上政策优惠的企业，提供相应声明函或产品目录。</w:t>
      </w:r>
    </w:p>
    <w:p>
      <w:pPr>
        <w:pStyle w:val="6"/>
        <w:keepNext w:val="0"/>
        <w:keepLines w:val="0"/>
        <w:widowControl/>
        <w:spacing w:before="150"/>
        <w:jc w:val="left"/>
        <w:textAlignment w:val="baseline"/>
        <w:rPr>
          <w:b w:val="0"/>
          <w:color w:val="auto"/>
          <w:szCs w:val="24"/>
        </w:rPr>
      </w:pPr>
      <w:r>
        <w:rPr>
          <w:rStyle w:val="50"/>
          <w:rFonts w:hint="eastAsia" w:ascii="宋体" w:hAnsi="宋体" w:cs="宋体"/>
          <w:b/>
          <w:color w:val="auto"/>
          <w:szCs w:val="24"/>
          <w:shd w:val="clear" w:color="auto" w:fill="FFFFFF"/>
        </w:rPr>
        <w:t>八、凡对本次采购提出询问，请按以下方式联系。</w:t>
      </w:r>
    </w:p>
    <w:p>
      <w:pPr>
        <w:pStyle w:val="8"/>
        <w:keepNext w:val="0"/>
        <w:keepLines w:val="0"/>
        <w:widowControl/>
        <w:spacing w:line="360" w:lineRule="auto"/>
        <w:ind w:firstLine="480" w:firstLineChars="200"/>
        <w:jc w:val="left"/>
        <w:textAlignment w:val="baseline"/>
        <w:rPr>
          <w:rFonts w:ascii="宋体" w:hAnsi="宋体" w:eastAsia="宋体" w:cs="宋体"/>
          <w:b w:val="0"/>
          <w:color w:val="auto"/>
          <w:szCs w:val="24"/>
        </w:rPr>
      </w:pPr>
      <w:r>
        <w:rPr>
          <w:rFonts w:hint="eastAsia" w:ascii="宋体" w:hAnsi="宋体" w:eastAsia="宋体" w:cs="宋体"/>
          <w:b w:val="0"/>
          <w:color w:val="auto"/>
          <w:szCs w:val="24"/>
          <w:shd w:val="clear" w:color="auto" w:fill="FFFFFF"/>
        </w:rPr>
        <w:t>1.采购人信息</w:t>
      </w:r>
    </w:p>
    <w:p>
      <w:pPr>
        <w:pStyle w:val="41"/>
        <w:spacing w:beforeAutospacing="0" w:afterAutospacing="0" w:line="360" w:lineRule="auto"/>
        <w:ind w:firstLine="480"/>
        <w:jc w:val="both"/>
        <w:textAlignment w:val="baseline"/>
        <w:rPr>
          <w:rFonts w:cs="宋体"/>
          <w:color w:val="auto"/>
          <w:szCs w:val="24"/>
        </w:rPr>
      </w:pPr>
      <w:r>
        <w:rPr>
          <w:rFonts w:hint="eastAsia" w:cs="宋体"/>
          <w:color w:val="auto"/>
          <w:szCs w:val="24"/>
          <w:shd w:val="clear" w:color="auto" w:fill="FFFFFF"/>
        </w:rPr>
        <w:t>名称：西安科技大学</w:t>
      </w:r>
    </w:p>
    <w:p>
      <w:pPr>
        <w:pStyle w:val="41"/>
        <w:spacing w:beforeAutospacing="0" w:afterAutospacing="0" w:line="360" w:lineRule="auto"/>
        <w:ind w:firstLine="480"/>
        <w:jc w:val="both"/>
        <w:textAlignment w:val="baseline"/>
        <w:rPr>
          <w:rFonts w:cs="宋体"/>
          <w:color w:val="auto"/>
          <w:szCs w:val="24"/>
        </w:rPr>
      </w:pPr>
      <w:r>
        <w:rPr>
          <w:rFonts w:hint="eastAsia" w:cs="宋体"/>
          <w:color w:val="auto"/>
          <w:szCs w:val="24"/>
          <w:shd w:val="clear" w:color="auto" w:fill="FFFFFF"/>
        </w:rPr>
        <w:t>地址：西安市雁塔路58号</w:t>
      </w:r>
    </w:p>
    <w:p>
      <w:pPr>
        <w:pStyle w:val="41"/>
        <w:spacing w:beforeAutospacing="0" w:afterAutospacing="0" w:line="360" w:lineRule="auto"/>
        <w:ind w:firstLine="480"/>
        <w:jc w:val="both"/>
        <w:textAlignment w:val="baseline"/>
        <w:rPr>
          <w:rFonts w:cs="宋体"/>
          <w:color w:val="auto"/>
          <w:szCs w:val="24"/>
        </w:rPr>
      </w:pPr>
      <w:r>
        <w:rPr>
          <w:rFonts w:hint="eastAsia" w:cs="宋体"/>
          <w:color w:val="auto"/>
          <w:szCs w:val="24"/>
          <w:shd w:val="clear" w:color="auto" w:fill="FFFFFF"/>
        </w:rPr>
        <w:t>联系方式：029-83858191</w:t>
      </w:r>
    </w:p>
    <w:p>
      <w:pPr>
        <w:pStyle w:val="8"/>
        <w:keepNext w:val="0"/>
        <w:keepLines w:val="0"/>
        <w:widowControl/>
        <w:spacing w:line="360" w:lineRule="auto"/>
        <w:ind w:firstLine="480" w:firstLineChars="200"/>
        <w:jc w:val="left"/>
        <w:textAlignment w:val="baseline"/>
        <w:rPr>
          <w:rFonts w:ascii="宋体" w:hAnsi="宋体" w:eastAsia="宋体" w:cs="宋体"/>
          <w:b w:val="0"/>
          <w:color w:val="auto"/>
          <w:szCs w:val="24"/>
        </w:rPr>
      </w:pPr>
      <w:r>
        <w:rPr>
          <w:rFonts w:hint="eastAsia" w:ascii="宋体" w:hAnsi="宋体" w:eastAsia="宋体" w:cs="宋体"/>
          <w:b w:val="0"/>
          <w:color w:val="auto"/>
          <w:szCs w:val="24"/>
          <w:shd w:val="clear" w:color="auto" w:fill="FFFFFF"/>
        </w:rPr>
        <w:t>2.采购代理机构信息</w:t>
      </w:r>
    </w:p>
    <w:p>
      <w:pPr>
        <w:pStyle w:val="41"/>
        <w:spacing w:beforeAutospacing="0" w:afterAutospacing="0" w:line="360" w:lineRule="auto"/>
        <w:ind w:firstLine="480"/>
        <w:jc w:val="both"/>
        <w:textAlignment w:val="baseline"/>
        <w:rPr>
          <w:rFonts w:cs="宋体"/>
          <w:color w:val="auto"/>
          <w:szCs w:val="24"/>
        </w:rPr>
      </w:pPr>
      <w:r>
        <w:rPr>
          <w:rFonts w:hint="eastAsia" w:cs="宋体"/>
          <w:color w:val="auto"/>
          <w:szCs w:val="24"/>
          <w:shd w:val="clear" w:color="auto" w:fill="FFFFFF"/>
        </w:rPr>
        <w:t>名称：陕西正鸿招标有限公司</w:t>
      </w:r>
    </w:p>
    <w:p>
      <w:pPr>
        <w:pStyle w:val="41"/>
        <w:spacing w:beforeAutospacing="0" w:afterAutospacing="0" w:line="360" w:lineRule="auto"/>
        <w:ind w:firstLine="480"/>
        <w:jc w:val="both"/>
        <w:textAlignment w:val="baseline"/>
        <w:rPr>
          <w:rFonts w:cs="宋体"/>
          <w:color w:val="auto"/>
          <w:szCs w:val="24"/>
        </w:rPr>
      </w:pPr>
      <w:r>
        <w:rPr>
          <w:rFonts w:hint="eastAsia" w:cs="宋体"/>
          <w:color w:val="auto"/>
          <w:szCs w:val="24"/>
          <w:shd w:val="clear" w:color="auto" w:fill="FFFFFF"/>
        </w:rPr>
        <w:t>地址：陕西省西安市雁塔区南二环凯森盛世一号A座4层408室</w:t>
      </w:r>
    </w:p>
    <w:p>
      <w:pPr>
        <w:pStyle w:val="41"/>
        <w:spacing w:beforeAutospacing="0" w:afterAutospacing="0" w:line="360" w:lineRule="auto"/>
        <w:ind w:firstLine="480"/>
        <w:jc w:val="both"/>
        <w:textAlignment w:val="baseline"/>
        <w:rPr>
          <w:rFonts w:cs="宋体"/>
          <w:color w:val="auto"/>
          <w:szCs w:val="24"/>
        </w:rPr>
      </w:pPr>
      <w:r>
        <w:rPr>
          <w:rFonts w:hint="eastAsia" w:cs="宋体"/>
          <w:color w:val="auto"/>
          <w:szCs w:val="24"/>
          <w:shd w:val="clear" w:color="auto" w:fill="FFFFFF"/>
        </w:rPr>
        <w:t>联系方式：029-89338755/81511576转804</w:t>
      </w:r>
    </w:p>
    <w:p>
      <w:pPr>
        <w:pStyle w:val="8"/>
        <w:keepNext w:val="0"/>
        <w:keepLines w:val="0"/>
        <w:widowControl/>
        <w:spacing w:line="360" w:lineRule="auto"/>
        <w:ind w:firstLine="480" w:firstLineChars="200"/>
        <w:jc w:val="left"/>
        <w:textAlignment w:val="baseline"/>
        <w:rPr>
          <w:rFonts w:ascii="宋体" w:hAnsi="宋体" w:eastAsia="宋体" w:cs="宋体"/>
          <w:b w:val="0"/>
          <w:color w:val="auto"/>
          <w:szCs w:val="24"/>
        </w:rPr>
      </w:pPr>
      <w:r>
        <w:rPr>
          <w:rFonts w:hint="eastAsia" w:ascii="宋体" w:hAnsi="宋体" w:eastAsia="宋体" w:cs="宋体"/>
          <w:b w:val="0"/>
          <w:color w:val="auto"/>
          <w:szCs w:val="24"/>
          <w:shd w:val="clear" w:color="auto" w:fill="FFFFFF"/>
        </w:rPr>
        <w:t>3.项目联系方式</w:t>
      </w:r>
    </w:p>
    <w:p>
      <w:pPr>
        <w:pStyle w:val="41"/>
        <w:spacing w:beforeAutospacing="0" w:afterAutospacing="0" w:line="360" w:lineRule="auto"/>
        <w:ind w:firstLine="480"/>
        <w:jc w:val="both"/>
        <w:textAlignment w:val="baseline"/>
        <w:rPr>
          <w:rFonts w:cs="宋体"/>
          <w:color w:val="auto"/>
          <w:szCs w:val="24"/>
        </w:rPr>
      </w:pPr>
      <w:r>
        <w:rPr>
          <w:rFonts w:hint="eastAsia" w:cs="宋体"/>
          <w:color w:val="auto"/>
          <w:szCs w:val="24"/>
          <w:shd w:val="clear" w:color="auto" w:fill="FFFFFF"/>
        </w:rPr>
        <w:t>项目联系人：王倩倩、王怡、卫钰</w:t>
      </w:r>
    </w:p>
    <w:p>
      <w:pPr>
        <w:pStyle w:val="41"/>
        <w:spacing w:beforeAutospacing="0" w:afterAutospacing="0" w:line="360" w:lineRule="auto"/>
        <w:ind w:firstLine="480"/>
        <w:jc w:val="both"/>
        <w:textAlignment w:val="baseline"/>
        <w:rPr>
          <w:rFonts w:cs="宋体"/>
          <w:color w:val="auto"/>
          <w:szCs w:val="24"/>
        </w:rPr>
      </w:pPr>
      <w:r>
        <w:rPr>
          <w:rFonts w:hint="eastAsia" w:cs="宋体"/>
          <w:color w:val="auto"/>
          <w:szCs w:val="24"/>
          <w:shd w:val="clear" w:color="auto" w:fill="FFFFFF"/>
        </w:rPr>
        <w:t>电话：029-89338755/81511576转804</w:t>
      </w:r>
    </w:p>
    <w:p>
      <w:pPr>
        <w:pStyle w:val="41"/>
        <w:spacing w:beforeAutospacing="0" w:afterAutospacing="0" w:line="360" w:lineRule="auto"/>
        <w:ind w:firstLine="420"/>
        <w:rPr>
          <w:rFonts w:cs="宋体"/>
          <w:color w:val="auto"/>
          <w:szCs w:val="24"/>
        </w:rPr>
      </w:pPr>
      <w:r>
        <w:rPr>
          <w:rFonts w:hint="eastAsia" w:cs="宋体"/>
          <w:color w:val="auto"/>
          <w:szCs w:val="24"/>
        </w:rPr>
        <w:br w:type="page"/>
      </w:r>
    </w:p>
    <w:p>
      <w:pPr>
        <w:pStyle w:val="3"/>
        <w:rPr>
          <w:color w:val="auto"/>
        </w:rPr>
      </w:pPr>
      <w:bookmarkStart w:id="5" w:name="_Toc18363_WPSOffice_Level1"/>
      <w:bookmarkStart w:id="6" w:name="_Toc6799_WPSOffice_Level1"/>
      <w:bookmarkStart w:id="7" w:name="_Toc5942"/>
      <w:r>
        <w:rPr>
          <w:rFonts w:hint="eastAsia"/>
          <w:color w:val="auto"/>
        </w:rPr>
        <w:t>第二章  供应商须知</w:t>
      </w:r>
      <w:bookmarkEnd w:id="4"/>
      <w:bookmarkEnd w:id="5"/>
      <w:bookmarkEnd w:id="6"/>
      <w:bookmarkEnd w:id="7"/>
    </w:p>
    <w:p>
      <w:pPr>
        <w:pStyle w:val="4"/>
        <w:rPr>
          <w:color w:val="auto"/>
        </w:rPr>
      </w:pPr>
      <w:r>
        <w:rPr>
          <w:rFonts w:hint="eastAsia"/>
          <w:color w:val="auto"/>
        </w:rPr>
        <w:t>供应商须知前附表</w:t>
      </w:r>
    </w:p>
    <w:tbl>
      <w:tblPr>
        <w:tblStyle w:val="47"/>
        <w:tblW w:w="9138" w:type="dxa"/>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727"/>
        <w:gridCol w:w="1710"/>
        <w:gridCol w:w="6701"/>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41" w:hRule="exact"/>
          <w:jc w:val="center"/>
        </w:trPr>
        <w:tc>
          <w:tcPr>
            <w:tcW w:w="727" w:type="dxa"/>
            <w:tcBorders>
              <w:tl2br w:val="nil"/>
              <w:tr2bl w:val="nil"/>
            </w:tcBorders>
            <w:shd w:val="clear" w:color="auto" w:fill="auto"/>
            <w:vAlign w:val="center"/>
          </w:tcPr>
          <w:p>
            <w:pPr>
              <w:pStyle w:val="318"/>
              <w:rPr>
                <w:b/>
                <w:bCs/>
                <w:color w:val="auto"/>
              </w:rPr>
            </w:pPr>
            <w:r>
              <w:rPr>
                <w:rFonts w:hint="eastAsia"/>
                <w:b/>
                <w:bCs/>
                <w:color w:val="auto"/>
              </w:rPr>
              <w:t>序号</w:t>
            </w:r>
          </w:p>
        </w:tc>
        <w:tc>
          <w:tcPr>
            <w:tcW w:w="1710" w:type="dxa"/>
            <w:tcBorders>
              <w:tl2br w:val="nil"/>
              <w:tr2bl w:val="nil"/>
            </w:tcBorders>
            <w:shd w:val="clear" w:color="auto" w:fill="auto"/>
            <w:vAlign w:val="center"/>
          </w:tcPr>
          <w:p>
            <w:pPr>
              <w:pStyle w:val="318"/>
              <w:rPr>
                <w:b/>
                <w:bCs/>
                <w:color w:val="auto"/>
              </w:rPr>
            </w:pPr>
            <w:r>
              <w:rPr>
                <w:rFonts w:hint="eastAsia"/>
                <w:b/>
                <w:bCs/>
                <w:color w:val="auto"/>
              </w:rPr>
              <w:t>名称</w:t>
            </w:r>
          </w:p>
        </w:tc>
        <w:tc>
          <w:tcPr>
            <w:tcW w:w="6701" w:type="dxa"/>
            <w:tcBorders>
              <w:tl2br w:val="nil"/>
              <w:tr2bl w:val="nil"/>
            </w:tcBorders>
            <w:shd w:val="clear" w:color="auto" w:fill="auto"/>
            <w:vAlign w:val="center"/>
          </w:tcPr>
          <w:p>
            <w:pPr>
              <w:pStyle w:val="318"/>
              <w:rPr>
                <w:b/>
                <w:bCs/>
                <w:color w:val="auto"/>
              </w:rPr>
            </w:pPr>
            <w:r>
              <w:rPr>
                <w:rFonts w:hint="eastAsia"/>
                <w:b/>
                <w:bCs/>
                <w:color w:val="auto"/>
              </w:rPr>
              <w:t>具体内容</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86" w:hRule="exact"/>
          <w:jc w:val="center"/>
        </w:trPr>
        <w:tc>
          <w:tcPr>
            <w:tcW w:w="727" w:type="dxa"/>
            <w:tcBorders>
              <w:tl2br w:val="nil"/>
              <w:tr2bl w:val="nil"/>
            </w:tcBorders>
            <w:shd w:val="clear" w:color="auto" w:fill="auto"/>
            <w:vAlign w:val="center"/>
          </w:tcPr>
          <w:p>
            <w:pPr>
              <w:pStyle w:val="318"/>
              <w:rPr>
                <w:b/>
                <w:bCs/>
                <w:color w:val="auto"/>
              </w:rPr>
            </w:pPr>
            <w:r>
              <w:rPr>
                <w:rFonts w:hint="eastAsia"/>
                <w:color w:val="auto"/>
              </w:rPr>
              <w:t>1</w:t>
            </w:r>
          </w:p>
        </w:tc>
        <w:tc>
          <w:tcPr>
            <w:tcW w:w="1710" w:type="dxa"/>
            <w:tcBorders>
              <w:tl2br w:val="nil"/>
              <w:tr2bl w:val="nil"/>
            </w:tcBorders>
            <w:shd w:val="clear" w:color="auto" w:fill="auto"/>
            <w:vAlign w:val="center"/>
          </w:tcPr>
          <w:p>
            <w:pPr>
              <w:pStyle w:val="318"/>
              <w:rPr>
                <w:b/>
                <w:bCs/>
                <w:color w:val="auto"/>
              </w:rPr>
            </w:pPr>
            <w:r>
              <w:rPr>
                <w:rFonts w:hint="eastAsia"/>
                <w:color w:val="auto"/>
              </w:rPr>
              <w:t>项目名称</w:t>
            </w:r>
          </w:p>
        </w:tc>
        <w:tc>
          <w:tcPr>
            <w:tcW w:w="6701" w:type="dxa"/>
            <w:tcBorders>
              <w:tl2br w:val="nil"/>
              <w:tr2bl w:val="nil"/>
            </w:tcBorders>
            <w:shd w:val="clear" w:color="auto" w:fill="auto"/>
            <w:vAlign w:val="center"/>
          </w:tcPr>
          <w:p>
            <w:pPr>
              <w:pStyle w:val="318"/>
              <w:jc w:val="both"/>
              <w:rPr>
                <w:rFonts w:hint="eastAsia" w:eastAsia="宋体"/>
                <w:color w:val="auto"/>
                <w:szCs w:val="24"/>
                <w:lang w:eastAsia="zh-CN"/>
              </w:rPr>
            </w:pPr>
            <w:r>
              <w:rPr>
                <w:rFonts w:hint="eastAsia"/>
                <w:color w:val="auto"/>
                <w:szCs w:val="24"/>
                <w:lang w:eastAsia="zh-CN"/>
              </w:rPr>
              <w:t>西安科技大学物理实验教学中心升级改造建设项目（二次）</w:t>
            </w:r>
          </w:p>
          <w:p>
            <w:pPr>
              <w:pStyle w:val="318"/>
              <w:rPr>
                <w:b/>
                <w:bCs/>
                <w:color w:val="auto"/>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779" w:hRule="exact"/>
          <w:jc w:val="center"/>
        </w:trPr>
        <w:tc>
          <w:tcPr>
            <w:tcW w:w="727" w:type="dxa"/>
            <w:tcBorders>
              <w:tl2br w:val="nil"/>
              <w:tr2bl w:val="nil"/>
            </w:tcBorders>
            <w:shd w:val="clear" w:color="auto" w:fill="auto"/>
            <w:vAlign w:val="center"/>
          </w:tcPr>
          <w:p>
            <w:pPr>
              <w:pStyle w:val="318"/>
              <w:rPr>
                <w:color w:val="auto"/>
              </w:rPr>
            </w:pPr>
            <w:r>
              <w:rPr>
                <w:rFonts w:hint="eastAsia"/>
                <w:color w:val="auto"/>
              </w:rPr>
              <w:t>2</w:t>
            </w:r>
          </w:p>
        </w:tc>
        <w:tc>
          <w:tcPr>
            <w:tcW w:w="1710" w:type="dxa"/>
            <w:tcBorders>
              <w:tl2br w:val="nil"/>
              <w:tr2bl w:val="nil"/>
            </w:tcBorders>
            <w:shd w:val="clear" w:color="auto" w:fill="auto"/>
            <w:vAlign w:val="center"/>
          </w:tcPr>
          <w:p>
            <w:pPr>
              <w:pStyle w:val="318"/>
              <w:rPr>
                <w:color w:val="auto"/>
              </w:rPr>
            </w:pPr>
            <w:r>
              <w:rPr>
                <w:rFonts w:hint="eastAsia"/>
                <w:color w:val="auto"/>
              </w:rPr>
              <w:t>采购人</w:t>
            </w:r>
          </w:p>
        </w:tc>
        <w:tc>
          <w:tcPr>
            <w:tcW w:w="6701" w:type="dxa"/>
            <w:tcBorders>
              <w:tl2br w:val="nil"/>
              <w:tr2bl w:val="nil"/>
            </w:tcBorders>
            <w:shd w:val="clear" w:color="auto" w:fill="auto"/>
            <w:vAlign w:val="center"/>
          </w:tcPr>
          <w:p>
            <w:pPr>
              <w:adjustRightInd w:val="0"/>
              <w:snapToGrid w:val="0"/>
              <w:spacing w:line="360" w:lineRule="auto"/>
              <w:ind w:leftChars="-9" w:hanging="19" w:hangingChars="8"/>
              <w:rPr>
                <w:rFonts w:ascii="宋体" w:hAnsi="宋体" w:cs="宋体"/>
                <w:color w:val="auto"/>
                <w:sz w:val="24"/>
                <w:szCs w:val="24"/>
              </w:rPr>
            </w:pPr>
            <w:r>
              <w:rPr>
                <w:rFonts w:hint="eastAsia" w:ascii="宋体" w:hAnsi="宋体" w:cs="宋体"/>
                <w:color w:val="auto"/>
                <w:sz w:val="24"/>
                <w:szCs w:val="24"/>
              </w:rPr>
              <w:t>名    称：西安科技大学</w:t>
            </w:r>
          </w:p>
          <w:p>
            <w:pPr>
              <w:adjustRightInd w:val="0"/>
              <w:snapToGrid w:val="0"/>
              <w:spacing w:line="360" w:lineRule="auto"/>
              <w:ind w:leftChars="-9" w:hanging="19" w:hangingChars="8"/>
              <w:rPr>
                <w:rFonts w:ascii="宋体" w:hAnsi="宋体" w:cs="宋体"/>
                <w:color w:val="auto"/>
                <w:sz w:val="24"/>
                <w:szCs w:val="24"/>
              </w:rPr>
            </w:pPr>
            <w:r>
              <w:rPr>
                <w:rFonts w:hint="eastAsia" w:ascii="宋体" w:hAnsi="宋体" w:cs="宋体"/>
                <w:color w:val="auto"/>
                <w:sz w:val="24"/>
                <w:szCs w:val="24"/>
              </w:rPr>
              <w:t>地    址：西安市雁塔路 58 号</w:t>
            </w:r>
          </w:p>
          <w:p>
            <w:pPr>
              <w:adjustRightInd w:val="0"/>
              <w:snapToGrid w:val="0"/>
              <w:spacing w:line="360" w:lineRule="auto"/>
              <w:ind w:leftChars="-9" w:hanging="19" w:hangingChars="8"/>
              <w:rPr>
                <w:rFonts w:ascii="宋体" w:hAnsi="宋体" w:cs="宋体"/>
                <w:color w:val="auto"/>
                <w:sz w:val="24"/>
                <w:szCs w:val="24"/>
              </w:rPr>
            </w:pPr>
            <w:r>
              <w:rPr>
                <w:rFonts w:hint="eastAsia" w:ascii="宋体" w:hAnsi="宋体" w:cs="宋体"/>
                <w:color w:val="auto"/>
                <w:sz w:val="24"/>
                <w:szCs w:val="24"/>
              </w:rPr>
              <w:t>联 系 人：王老师</w:t>
            </w:r>
          </w:p>
          <w:p>
            <w:pPr>
              <w:pStyle w:val="318"/>
              <w:jc w:val="left"/>
              <w:rPr>
                <w:color w:val="auto"/>
              </w:rPr>
            </w:pPr>
            <w:r>
              <w:rPr>
                <w:rFonts w:hint="eastAsia"/>
                <w:color w:val="auto"/>
                <w:szCs w:val="24"/>
              </w:rPr>
              <w:t>电    话：029-83858191</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807" w:hRule="exact"/>
          <w:jc w:val="center"/>
        </w:trPr>
        <w:tc>
          <w:tcPr>
            <w:tcW w:w="727" w:type="dxa"/>
            <w:tcBorders>
              <w:tl2br w:val="nil"/>
              <w:tr2bl w:val="nil"/>
            </w:tcBorders>
            <w:shd w:val="clear" w:color="auto" w:fill="auto"/>
            <w:vAlign w:val="center"/>
          </w:tcPr>
          <w:p>
            <w:pPr>
              <w:pStyle w:val="318"/>
              <w:rPr>
                <w:color w:val="auto"/>
              </w:rPr>
            </w:pPr>
            <w:r>
              <w:rPr>
                <w:rFonts w:hint="eastAsia"/>
                <w:color w:val="auto"/>
              </w:rPr>
              <w:t>3</w:t>
            </w:r>
          </w:p>
        </w:tc>
        <w:tc>
          <w:tcPr>
            <w:tcW w:w="1710" w:type="dxa"/>
            <w:tcBorders>
              <w:tl2br w:val="nil"/>
              <w:tr2bl w:val="nil"/>
            </w:tcBorders>
            <w:shd w:val="clear" w:color="auto" w:fill="auto"/>
            <w:vAlign w:val="center"/>
          </w:tcPr>
          <w:p>
            <w:pPr>
              <w:pStyle w:val="318"/>
              <w:rPr>
                <w:color w:val="auto"/>
              </w:rPr>
            </w:pPr>
            <w:r>
              <w:rPr>
                <w:rFonts w:hint="eastAsia"/>
                <w:color w:val="auto"/>
              </w:rPr>
              <w:t>采购代理机构</w:t>
            </w:r>
          </w:p>
        </w:tc>
        <w:tc>
          <w:tcPr>
            <w:tcW w:w="6701" w:type="dxa"/>
            <w:tcBorders>
              <w:tl2br w:val="nil"/>
              <w:tr2bl w:val="nil"/>
            </w:tcBorders>
            <w:shd w:val="clear" w:color="auto" w:fill="auto"/>
            <w:vAlign w:val="center"/>
          </w:tcPr>
          <w:p>
            <w:pPr>
              <w:adjustRightInd w:val="0"/>
              <w:snapToGrid w:val="0"/>
              <w:spacing w:line="360" w:lineRule="auto"/>
              <w:ind w:leftChars="-9" w:hanging="19" w:hangingChars="8"/>
              <w:rPr>
                <w:rFonts w:ascii="宋体" w:hAnsi="宋体" w:cs="宋体"/>
                <w:color w:val="auto"/>
                <w:sz w:val="24"/>
                <w:szCs w:val="24"/>
              </w:rPr>
            </w:pPr>
            <w:r>
              <w:rPr>
                <w:rFonts w:hint="eastAsia" w:ascii="宋体" w:hAnsi="宋体" w:cs="宋体"/>
                <w:color w:val="auto"/>
                <w:sz w:val="24"/>
                <w:szCs w:val="24"/>
              </w:rPr>
              <w:t>采购代理机构名称：陕西正鸿招标有限公司</w:t>
            </w:r>
          </w:p>
          <w:p>
            <w:pPr>
              <w:adjustRightInd w:val="0"/>
              <w:snapToGrid w:val="0"/>
              <w:spacing w:line="360" w:lineRule="auto"/>
              <w:ind w:left="1193" w:leftChars="-9" w:hanging="1212" w:hangingChars="505"/>
              <w:rPr>
                <w:rFonts w:ascii="宋体" w:hAnsi="宋体" w:cs="宋体"/>
                <w:color w:val="auto"/>
                <w:sz w:val="24"/>
                <w:szCs w:val="24"/>
              </w:rPr>
            </w:pPr>
            <w:r>
              <w:rPr>
                <w:rFonts w:hint="eastAsia" w:ascii="宋体" w:hAnsi="宋体" w:cs="宋体"/>
                <w:color w:val="auto"/>
                <w:sz w:val="24"/>
                <w:szCs w:val="24"/>
              </w:rPr>
              <w:t>地    址：西安市雁塔区南二环东段1号凯森盛世A座408室</w:t>
            </w:r>
          </w:p>
          <w:p>
            <w:pPr>
              <w:adjustRightInd w:val="0"/>
              <w:snapToGrid w:val="0"/>
              <w:spacing w:line="360" w:lineRule="auto"/>
              <w:ind w:leftChars="-9" w:hanging="19" w:hangingChars="8"/>
              <w:rPr>
                <w:rFonts w:ascii="宋体" w:hAnsi="宋体" w:cs="宋体"/>
                <w:color w:val="auto"/>
                <w:sz w:val="24"/>
                <w:szCs w:val="24"/>
              </w:rPr>
            </w:pPr>
            <w:r>
              <w:rPr>
                <w:rFonts w:hint="eastAsia" w:ascii="宋体" w:hAnsi="宋体" w:cs="宋体"/>
                <w:color w:val="auto"/>
                <w:sz w:val="24"/>
                <w:szCs w:val="24"/>
              </w:rPr>
              <w:t xml:space="preserve">联 系 人：王倩倩、王怡、卫钰  </w:t>
            </w:r>
          </w:p>
          <w:p>
            <w:pPr>
              <w:pStyle w:val="318"/>
              <w:jc w:val="left"/>
              <w:rPr>
                <w:color w:val="auto"/>
              </w:rPr>
            </w:pPr>
            <w:r>
              <w:rPr>
                <w:rFonts w:hint="eastAsia"/>
                <w:color w:val="auto"/>
                <w:szCs w:val="24"/>
              </w:rPr>
              <w:t>联系方式：029-89338755/81511576转804</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65" w:hRule="exact"/>
          <w:jc w:val="center"/>
        </w:trPr>
        <w:tc>
          <w:tcPr>
            <w:tcW w:w="727" w:type="dxa"/>
            <w:tcBorders>
              <w:tl2br w:val="nil"/>
              <w:tr2bl w:val="nil"/>
            </w:tcBorders>
            <w:shd w:val="clear" w:color="auto" w:fill="auto"/>
            <w:vAlign w:val="center"/>
          </w:tcPr>
          <w:p>
            <w:pPr>
              <w:pStyle w:val="318"/>
              <w:rPr>
                <w:color w:val="auto"/>
              </w:rPr>
            </w:pPr>
            <w:r>
              <w:rPr>
                <w:rFonts w:hint="eastAsia"/>
                <w:color w:val="auto"/>
              </w:rPr>
              <w:t>4</w:t>
            </w:r>
          </w:p>
        </w:tc>
        <w:tc>
          <w:tcPr>
            <w:tcW w:w="1710" w:type="dxa"/>
            <w:tcBorders>
              <w:tl2br w:val="nil"/>
              <w:tr2bl w:val="nil"/>
            </w:tcBorders>
            <w:shd w:val="clear" w:color="auto" w:fill="auto"/>
            <w:vAlign w:val="center"/>
          </w:tcPr>
          <w:p>
            <w:pPr>
              <w:pStyle w:val="318"/>
              <w:rPr>
                <w:color w:val="auto"/>
              </w:rPr>
            </w:pPr>
            <w:r>
              <w:rPr>
                <w:rFonts w:hint="eastAsia"/>
                <w:color w:val="auto"/>
              </w:rPr>
              <w:t>监督机构</w:t>
            </w:r>
          </w:p>
        </w:tc>
        <w:tc>
          <w:tcPr>
            <w:tcW w:w="6701" w:type="dxa"/>
            <w:tcBorders>
              <w:tl2br w:val="nil"/>
              <w:tr2bl w:val="nil"/>
            </w:tcBorders>
            <w:shd w:val="clear" w:color="auto" w:fill="auto"/>
            <w:vAlign w:val="center"/>
          </w:tcPr>
          <w:p>
            <w:pPr>
              <w:pStyle w:val="318"/>
              <w:jc w:val="left"/>
              <w:rPr>
                <w:color w:val="auto"/>
                <w:szCs w:val="24"/>
              </w:rPr>
            </w:pPr>
            <w:r>
              <w:rPr>
                <w:rFonts w:hint="eastAsia"/>
                <w:color w:val="auto"/>
              </w:rPr>
              <w:t>同级人民政府财政部门</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50" w:hRule="exact"/>
          <w:jc w:val="center"/>
        </w:trPr>
        <w:tc>
          <w:tcPr>
            <w:tcW w:w="727" w:type="dxa"/>
            <w:tcBorders>
              <w:tl2br w:val="nil"/>
              <w:tr2bl w:val="nil"/>
            </w:tcBorders>
            <w:shd w:val="clear" w:color="auto" w:fill="auto"/>
            <w:vAlign w:val="center"/>
          </w:tcPr>
          <w:p>
            <w:pPr>
              <w:pStyle w:val="318"/>
              <w:rPr>
                <w:color w:val="auto"/>
              </w:rPr>
            </w:pPr>
            <w:r>
              <w:rPr>
                <w:rFonts w:hint="eastAsia"/>
                <w:color w:val="auto"/>
              </w:rPr>
              <w:t>5</w:t>
            </w:r>
          </w:p>
        </w:tc>
        <w:tc>
          <w:tcPr>
            <w:tcW w:w="1710" w:type="dxa"/>
            <w:tcBorders>
              <w:tl2br w:val="nil"/>
              <w:tr2bl w:val="nil"/>
            </w:tcBorders>
            <w:shd w:val="clear" w:color="auto" w:fill="auto"/>
            <w:vAlign w:val="center"/>
          </w:tcPr>
          <w:p>
            <w:pPr>
              <w:pStyle w:val="318"/>
              <w:rPr>
                <w:color w:val="auto"/>
              </w:rPr>
            </w:pPr>
            <w:r>
              <w:rPr>
                <w:rFonts w:hint="eastAsia"/>
                <w:color w:val="auto"/>
              </w:rPr>
              <w:t>资金来源</w:t>
            </w:r>
          </w:p>
        </w:tc>
        <w:tc>
          <w:tcPr>
            <w:tcW w:w="6701" w:type="dxa"/>
            <w:tcBorders>
              <w:tl2br w:val="nil"/>
              <w:tr2bl w:val="nil"/>
            </w:tcBorders>
            <w:shd w:val="clear" w:color="auto" w:fill="auto"/>
            <w:vAlign w:val="center"/>
          </w:tcPr>
          <w:p>
            <w:pPr>
              <w:pStyle w:val="318"/>
              <w:jc w:val="left"/>
              <w:rPr>
                <w:color w:val="auto"/>
              </w:rPr>
            </w:pPr>
            <w:r>
              <w:rPr>
                <w:rFonts w:hint="eastAsia"/>
                <w:color w:val="auto"/>
              </w:rPr>
              <w:t>财政资金</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650" w:hRule="exact"/>
          <w:jc w:val="center"/>
        </w:trPr>
        <w:tc>
          <w:tcPr>
            <w:tcW w:w="727" w:type="dxa"/>
            <w:tcBorders>
              <w:tl2br w:val="nil"/>
              <w:tr2bl w:val="nil"/>
            </w:tcBorders>
            <w:shd w:val="clear" w:color="auto" w:fill="auto"/>
            <w:vAlign w:val="center"/>
          </w:tcPr>
          <w:p>
            <w:pPr>
              <w:pStyle w:val="318"/>
              <w:rPr>
                <w:color w:val="auto"/>
              </w:rPr>
            </w:pPr>
            <w:r>
              <w:rPr>
                <w:rFonts w:hint="eastAsia"/>
                <w:color w:val="auto"/>
              </w:rPr>
              <w:t>6</w:t>
            </w:r>
          </w:p>
        </w:tc>
        <w:tc>
          <w:tcPr>
            <w:tcW w:w="1710" w:type="dxa"/>
            <w:tcBorders>
              <w:tl2br w:val="nil"/>
              <w:tr2bl w:val="nil"/>
            </w:tcBorders>
            <w:shd w:val="clear" w:color="auto" w:fill="auto"/>
            <w:vAlign w:val="center"/>
          </w:tcPr>
          <w:p>
            <w:pPr>
              <w:pStyle w:val="318"/>
              <w:rPr>
                <w:color w:val="auto"/>
              </w:rPr>
            </w:pPr>
            <w:r>
              <w:rPr>
                <w:rFonts w:hint="eastAsia"/>
                <w:color w:val="auto"/>
              </w:rPr>
              <w:t>预算金额</w:t>
            </w:r>
          </w:p>
        </w:tc>
        <w:tc>
          <w:tcPr>
            <w:tcW w:w="6701" w:type="dxa"/>
            <w:tcBorders>
              <w:tl2br w:val="nil"/>
              <w:tr2bl w:val="nil"/>
            </w:tcBorders>
            <w:shd w:val="clear" w:color="auto" w:fill="auto"/>
            <w:vAlign w:val="center"/>
          </w:tcPr>
          <w:p>
            <w:pPr>
              <w:pStyle w:val="318"/>
              <w:jc w:val="left"/>
              <w:rPr>
                <w:rFonts w:hint="eastAsia" w:eastAsia="宋体"/>
                <w:color w:val="auto"/>
                <w:lang w:eastAsia="zh-CN"/>
              </w:rPr>
            </w:pPr>
            <w:r>
              <w:rPr>
                <w:rFonts w:hint="eastAsia"/>
                <w:color w:val="auto"/>
                <w:lang w:eastAsia="zh-CN"/>
              </w:rPr>
              <w:t>1,200,000.00</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874" w:hRule="exact"/>
          <w:jc w:val="center"/>
        </w:trPr>
        <w:tc>
          <w:tcPr>
            <w:tcW w:w="727" w:type="dxa"/>
            <w:tcBorders>
              <w:tl2br w:val="nil"/>
              <w:tr2bl w:val="nil"/>
            </w:tcBorders>
            <w:shd w:val="clear" w:color="auto" w:fill="auto"/>
            <w:vAlign w:val="center"/>
          </w:tcPr>
          <w:p>
            <w:pPr>
              <w:pStyle w:val="318"/>
              <w:rPr>
                <w:color w:val="auto"/>
              </w:rPr>
            </w:pPr>
            <w:r>
              <w:rPr>
                <w:rFonts w:hint="eastAsia"/>
                <w:color w:val="auto"/>
              </w:rPr>
              <w:t>7</w:t>
            </w:r>
          </w:p>
        </w:tc>
        <w:tc>
          <w:tcPr>
            <w:tcW w:w="1710" w:type="dxa"/>
            <w:tcBorders>
              <w:tl2br w:val="nil"/>
              <w:tr2bl w:val="nil"/>
            </w:tcBorders>
            <w:shd w:val="clear" w:color="auto" w:fill="auto"/>
            <w:vAlign w:val="center"/>
          </w:tcPr>
          <w:p>
            <w:pPr>
              <w:pStyle w:val="318"/>
              <w:rPr>
                <w:color w:val="auto"/>
              </w:rPr>
            </w:pPr>
            <w:r>
              <w:rPr>
                <w:rFonts w:hint="eastAsia"/>
                <w:color w:val="auto"/>
              </w:rPr>
              <w:t>采购内容</w:t>
            </w:r>
          </w:p>
        </w:tc>
        <w:tc>
          <w:tcPr>
            <w:tcW w:w="6701" w:type="dxa"/>
            <w:tcBorders>
              <w:tl2br w:val="nil"/>
              <w:tr2bl w:val="nil"/>
            </w:tcBorders>
            <w:shd w:val="clear" w:color="auto" w:fill="auto"/>
            <w:vAlign w:val="center"/>
          </w:tcPr>
          <w:p>
            <w:pPr>
              <w:pStyle w:val="318"/>
              <w:jc w:val="left"/>
              <w:rPr>
                <w:color w:val="auto"/>
              </w:rPr>
            </w:pPr>
            <w:bookmarkStart w:id="8" w:name="_Toc5093"/>
            <w:bookmarkStart w:id="9" w:name="_Toc18781"/>
            <w:bookmarkStart w:id="10" w:name="_Toc505"/>
            <w:bookmarkStart w:id="11" w:name="_Toc15701"/>
            <w:r>
              <w:rPr>
                <w:rFonts w:hint="eastAsia"/>
                <w:color w:val="auto"/>
                <w:lang w:eastAsia="zh-CN"/>
              </w:rPr>
              <w:t>西安科技大学物理实验教学中心升级改造建设项目（二次）</w:t>
            </w:r>
            <w:r>
              <w:rPr>
                <w:rFonts w:hint="eastAsia"/>
                <w:color w:val="auto"/>
              </w:rPr>
              <w:t>，具体内容及数量详见竞争性谈判文件第三章“采购内容及要求”。</w:t>
            </w:r>
            <w:bookmarkEnd w:id="8"/>
            <w:bookmarkEnd w:id="9"/>
            <w:bookmarkEnd w:id="10"/>
            <w:bookmarkEnd w:id="11"/>
          </w:p>
          <w:p>
            <w:pPr>
              <w:pStyle w:val="318"/>
              <w:jc w:val="left"/>
              <w:rPr>
                <w:color w:val="auto"/>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791"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8</w:t>
            </w:r>
          </w:p>
        </w:tc>
        <w:tc>
          <w:tcPr>
            <w:tcW w:w="1710" w:type="dxa"/>
            <w:tcBorders>
              <w:tl2br w:val="nil"/>
              <w:tr2bl w:val="nil"/>
            </w:tcBorders>
            <w:shd w:val="clear" w:color="auto" w:fill="auto"/>
            <w:vAlign w:val="center"/>
          </w:tcPr>
          <w:p>
            <w:pPr>
              <w:pStyle w:val="318"/>
              <w:rPr>
                <w:color w:val="auto"/>
              </w:rPr>
            </w:pPr>
            <w:r>
              <w:rPr>
                <w:rFonts w:hint="eastAsia"/>
                <w:color w:val="auto"/>
              </w:rPr>
              <w:t>货物用途说明</w:t>
            </w:r>
          </w:p>
        </w:tc>
        <w:tc>
          <w:tcPr>
            <w:tcW w:w="6701" w:type="dxa"/>
            <w:tcBorders>
              <w:tl2br w:val="nil"/>
              <w:tr2bl w:val="nil"/>
            </w:tcBorders>
            <w:shd w:val="clear" w:color="auto" w:fill="auto"/>
            <w:vAlign w:val="center"/>
          </w:tcPr>
          <w:p>
            <w:pPr>
              <w:pStyle w:val="318"/>
              <w:jc w:val="left"/>
              <w:rPr>
                <w:color w:val="auto"/>
              </w:rPr>
            </w:pPr>
            <w:r>
              <w:rPr>
                <w:rFonts w:hint="eastAsia"/>
                <w:color w:val="auto"/>
              </w:rPr>
              <w:t>用于物理实验室：①基础实验设备补充更新；②创新设计与探索研究实验室建设。</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791"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9</w:t>
            </w:r>
          </w:p>
        </w:tc>
        <w:tc>
          <w:tcPr>
            <w:tcW w:w="1710" w:type="dxa"/>
            <w:tcBorders>
              <w:tl2br w:val="nil"/>
              <w:tr2bl w:val="nil"/>
            </w:tcBorders>
            <w:shd w:val="clear" w:color="auto" w:fill="auto"/>
            <w:vAlign w:val="center"/>
          </w:tcPr>
          <w:p>
            <w:pPr>
              <w:pStyle w:val="318"/>
              <w:rPr>
                <w:color w:val="auto"/>
              </w:rPr>
            </w:pPr>
            <w:r>
              <w:rPr>
                <w:rFonts w:hint="eastAsia"/>
                <w:color w:val="auto"/>
              </w:rPr>
              <w:t>交货具体地点</w:t>
            </w:r>
          </w:p>
        </w:tc>
        <w:tc>
          <w:tcPr>
            <w:tcW w:w="6701" w:type="dxa"/>
            <w:tcBorders>
              <w:tl2br w:val="nil"/>
              <w:tr2bl w:val="nil"/>
            </w:tcBorders>
            <w:shd w:val="clear" w:color="auto" w:fill="auto"/>
            <w:vAlign w:val="center"/>
          </w:tcPr>
          <w:p>
            <w:pPr>
              <w:pStyle w:val="318"/>
              <w:jc w:val="left"/>
              <w:rPr>
                <w:color w:val="auto"/>
              </w:rPr>
            </w:pPr>
            <w:r>
              <w:rPr>
                <w:rFonts w:hint="eastAsia"/>
                <w:color w:val="auto"/>
              </w:rPr>
              <w:t>西安科技大学骊山校园实验楼</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791"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10</w:t>
            </w:r>
          </w:p>
        </w:tc>
        <w:tc>
          <w:tcPr>
            <w:tcW w:w="1710" w:type="dxa"/>
            <w:tcBorders>
              <w:tl2br w:val="nil"/>
              <w:tr2bl w:val="nil"/>
            </w:tcBorders>
            <w:shd w:val="clear" w:color="auto" w:fill="auto"/>
            <w:vAlign w:val="center"/>
          </w:tcPr>
          <w:p>
            <w:pPr>
              <w:pStyle w:val="318"/>
              <w:rPr>
                <w:color w:val="auto"/>
              </w:rPr>
            </w:pPr>
            <w:r>
              <w:rPr>
                <w:rFonts w:hint="eastAsia"/>
                <w:color w:val="auto"/>
              </w:rPr>
              <w:t>货物存放地点</w:t>
            </w:r>
          </w:p>
        </w:tc>
        <w:tc>
          <w:tcPr>
            <w:tcW w:w="6701" w:type="dxa"/>
            <w:tcBorders>
              <w:tl2br w:val="nil"/>
              <w:tr2bl w:val="nil"/>
            </w:tcBorders>
            <w:shd w:val="clear" w:color="auto" w:fill="auto"/>
            <w:vAlign w:val="center"/>
          </w:tcPr>
          <w:p>
            <w:pPr>
              <w:pStyle w:val="318"/>
              <w:jc w:val="left"/>
              <w:rPr>
                <w:color w:val="auto"/>
              </w:rPr>
            </w:pPr>
            <w:r>
              <w:rPr>
                <w:rFonts w:hint="eastAsia"/>
                <w:color w:val="auto"/>
              </w:rPr>
              <w:t>骊山校园实验楼3层323室</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48"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11</w:t>
            </w:r>
          </w:p>
        </w:tc>
        <w:tc>
          <w:tcPr>
            <w:tcW w:w="1710" w:type="dxa"/>
            <w:tcBorders>
              <w:tl2br w:val="nil"/>
              <w:tr2bl w:val="nil"/>
            </w:tcBorders>
            <w:shd w:val="clear" w:color="auto" w:fill="auto"/>
            <w:vAlign w:val="center"/>
          </w:tcPr>
          <w:p>
            <w:pPr>
              <w:pStyle w:val="318"/>
              <w:rPr>
                <w:color w:val="auto"/>
              </w:rPr>
            </w:pPr>
            <w:r>
              <w:rPr>
                <w:rFonts w:hint="eastAsia"/>
                <w:color w:val="auto"/>
              </w:rPr>
              <w:t xml:space="preserve">交货期 </w:t>
            </w:r>
          </w:p>
        </w:tc>
        <w:tc>
          <w:tcPr>
            <w:tcW w:w="6701" w:type="dxa"/>
            <w:tcBorders>
              <w:tl2br w:val="nil"/>
              <w:tr2bl w:val="nil"/>
            </w:tcBorders>
            <w:shd w:val="clear" w:color="auto" w:fill="auto"/>
            <w:vAlign w:val="center"/>
          </w:tcPr>
          <w:p>
            <w:pPr>
              <w:pStyle w:val="318"/>
              <w:jc w:val="left"/>
              <w:rPr>
                <w:color w:val="auto"/>
              </w:rPr>
            </w:pPr>
            <w:r>
              <w:rPr>
                <w:rFonts w:hint="eastAsia"/>
                <w:color w:val="auto"/>
              </w:rPr>
              <w:t>合同签订后30天</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48"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12</w:t>
            </w:r>
          </w:p>
        </w:tc>
        <w:tc>
          <w:tcPr>
            <w:tcW w:w="1710" w:type="dxa"/>
            <w:tcBorders>
              <w:tl2br w:val="nil"/>
              <w:tr2bl w:val="nil"/>
            </w:tcBorders>
            <w:shd w:val="clear" w:color="auto" w:fill="auto"/>
            <w:vAlign w:val="center"/>
          </w:tcPr>
          <w:p>
            <w:pPr>
              <w:pStyle w:val="318"/>
              <w:rPr>
                <w:color w:val="auto"/>
              </w:rPr>
            </w:pPr>
            <w:r>
              <w:rPr>
                <w:rFonts w:hint="eastAsia"/>
                <w:color w:val="auto"/>
              </w:rPr>
              <w:t>项目质保期</w:t>
            </w:r>
          </w:p>
        </w:tc>
        <w:tc>
          <w:tcPr>
            <w:tcW w:w="6701" w:type="dxa"/>
            <w:tcBorders>
              <w:tl2br w:val="nil"/>
              <w:tr2bl w:val="nil"/>
            </w:tcBorders>
            <w:shd w:val="clear" w:color="auto" w:fill="auto"/>
            <w:vAlign w:val="center"/>
          </w:tcPr>
          <w:p>
            <w:pPr>
              <w:pStyle w:val="26"/>
              <w:spacing w:line="400" w:lineRule="exact"/>
              <w:jc w:val="left"/>
              <w:rPr>
                <w:rFonts w:hAnsi="宋体" w:cs="宋体"/>
                <w:color w:val="auto"/>
              </w:rPr>
            </w:pPr>
            <w:r>
              <w:rPr>
                <w:rFonts w:hint="eastAsia" w:hAnsi="宋体" w:cs="宋体"/>
                <w:color w:val="auto"/>
              </w:rPr>
              <w:t>2年</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48"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13</w:t>
            </w:r>
          </w:p>
        </w:tc>
        <w:tc>
          <w:tcPr>
            <w:tcW w:w="1710" w:type="dxa"/>
            <w:tcBorders>
              <w:tl2br w:val="nil"/>
              <w:tr2bl w:val="nil"/>
            </w:tcBorders>
            <w:shd w:val="clear" w:color="auto" w:fill="auto"/>
            <w:vAlign w:val="center"/>
          </w:tcPr>
          <w:p>
            <w:pPr>
              <w:pStyle w:val="318"/>
              <w:rPr>
                <w:color w:val="auto"/>
              </w:rPr>
            </w:pPr>
            <w:r>
              <w:rPr>
                <w:rFonts w:hint="eastAsia"/>
                <w:color w:val="auto"/>
              </w:rPr>
              <w:t>售后服务响应时间（质保期内）</w:t>
            </w:r>
          </w:p>
        </w:tc>
        <w:tc>
          <w:tcPr>
            <w:tcW w:w="6701" w:type="dxa"/>
            <w:tcBorders>
              <w:tl2br w:val="nil"/>
              <w:tr2bl w:val="nil"/>
            </w:tcBorders>
            <w:shd w:val="clear" w:color="auto" w:fill="auto"/>
            <w:vAlign w:val="center"/>
          </w:tcPr>
          <w:p>
            <w:pPr>
              <w:pStyle w:val="318"/>
              <w:jc w:val="left"/>
              <w:rPr>
                <w:color w:val="auto"/>
              </w:rPr>
            </w:pPr>
            <w:r>
              <w:rPr>
                <w:rFonts w:hint="eastAsia"/>
                <w:color w:val="auto"/>
              </w:rPr>
              <w:t>即时响应（包括电话响应）；电话响应无法解决 24 小时内到达现场。修复时间 48 小时内解决；如在 72 小时内无法修复，则提供部件冗余服务或采取应急措施，提供相同产品或不低于故障产品规格档次的备用产品供采购人使用，以确保货物的正常使用。</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605" w:hRule="atLeast"/>
          <w:jc w:val="center"/>
        </w:trPr>
        <w:tc>
          <w:tcPr>
            <w:tcW w:w="727" w:type="dxa"/>
            <w:tcBorders>
              <w:tl2br w:val="nil"/>
              <w:tr2bl w:val="nil"/>
            </w:tcBorders>
            <w:shd w:val="clear" w:color="auto" w:fill="auto"/>
            <w:vAlign w:val="center"/>
          </w:tcPr>
          <w:p>
            <w:pPr>
              <w:pStyle w:val="318"/>
              <w:rPr>
                <w:color w:val="auto"/>
                <w:szCs w:val="22"/>
              </w:rPr>
            </w:pPr>
            <w:r>
              <w:rPr>
                <w:rFonts w:hint="eastAsia"/>
                <w:color w:val="auto"/>
                <w:szCs w:val="22"/>
              </w:rPr>
              <w:t>14</w:t>
            </w:r>
          </w:p>
        </w:tc>
        <w:tc>
          <w:tcPr>
            <w:tcW w:w="1710" w:type="dxa"/>
            <w:tcBorders>
              <w:tl2br w:val="nil"/>
              <w:tr2bl w:val="nil"/>
            </w:tcBorders>
            <w:shd w:val="clear" w:color="auto" w:fill="auto"/>
            <w:vAlign w:val="center"/>
          </w:tcPr>
          <w:p>
            <w:pPr>
              <w:pStyle w:val="318"/>
              <w:rPr>
                <w:color w:val="auto"/>
                <w:szCs w:val="22"/>
              </w:rPr>
            </w:pPr>
            <w:r>
              <w:rPr>
                <w:rFonts w:hint="eastAsia"/>
                <w:color w:val="auto"/>
                <w:szCs w:val="22"/>
              </w:rPr>
              <w:t>付款方式</w:t>
            </w:r>
          </w:p>
        </w:tc>
        <w:tc>
          <w:tcPr>
            <w:tcW w:w="6701" w:type="dxa"/>
            <w:tcBorders>
              <w:tl2br w:val="nil"/>
              <w:tr2bl w:val="nil"/>
            </w:tcBorders>
            <w:shd w:val="clear" w:color="auto" w:fill="auto"/>
            <w:vAlign w:val="bottom"/>
          </w:tcPr>
          <w:p>
            <w:pPr>
              <w:pStyle w:val="26"/>
              <w:spacing w:line="400" w:lineRule="exact"/>
              <w:jc w:val="left"/>
              <w:rPr>
                <w:rFonts w:hAnsi="宋体" w:cs="宋体"/>
                <w:color w:val="auto"/>
              </w:rPr>
            </w:pPr>
            <w:r>
              <w:rPr>
                <w:rFonts w:hint="eastAsia" w:hAnsi="宋体" w:cs="宋体"/>
                <w:color w:val="auto"/>
              </w:rPr>
              <w:t>1.结算单位：采购人结算，在付款前必须开具全额增值税发票给采购人。</w:t>
            </w:r>
          </w:p>
          <w:p>
            <w:pPr>
              <w:pStyle w:val="318"/>
              <w:jc w:val="left"/>
              <w:rPr>
                <w:color w:val="auto"/>
                <w:szCs w:val="22"/>
              </w:rPr>
            </w:pPr>
            <w:r>
              <w:rPr>
                <w:rFonts w:hint="eastAsia"/>
                <w:color w:val="auto"/>
              </w:rPr>
              <w:t>2.签订合同前向学校缴纳5%的履约保证金，合同签订后采购人支付40%合同金额的预付款。国内产品安装调试经学校验收合格后一次性支付60%合同金额的余款，同时缴纳的5%履约保证金无质量问题一次性无息退还。</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783"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15</w:t>
            </w:r>
          </w:p>
        </w:tc>
        <w:tc>
          <w:tcPr>
            <w:tcW w:w="1710" w:type="dxa"/>
            <w:tcBorders>
              <w:tl2br w:val="nil"/>
              <w:tr2bl w:val="nil"/>
            </w:tcBorders>
            <w:shd w:val="clear" w:color="auto" w:fill="auto"/>
            <w:vAlign w:val="center"/>
          </w:tcPr>
          <w:p>
            <w:pPr>
              <w:pStyle w:val="318"/>
              <w:rPr>
                <w:color w:val="auto"/>
              </w:rPr>
            </w:pPr>
            <w:r>
              <w:rPr>
                <w:rFonts w:hint="eastAsia"/>
                <w:color w:val="auto"/>
              </w:rPr>
              <w:t>履约保证金</w:t>
            </w:r>
          </w:p>
        </w:tc>
        <w:tc>
          <w:tcPr>
            <w:tcW w:w="6701" w:type="dxa"/>
            <w:tcBorders>
              <w:tl2br w:val="nil"/>
              <w:tr2bl w:val="nil"/>
            </w:tcBorders>
            <w:shd w:val="clear" w:color="auto" w:fill="auto"/>
            <w:vAlign w:val="center"/>
          </w:tcPr>
          <w:p>
            <w:pPr>
              <w:pStyle w:val="13"/>
              <w:ind w:firstLine="0" w:firstLineChars="0"/>
              <w:rPr>
                <w:color w:val="auto"/>
                <w:szCs w:val="22"/>
              </w:rPr>
            </w:pPr>
            <w:r>
              <w:rPr>
                <w:rFonts w:hint="eastAsia"/>
                <w:color w:val="auto"/>
              </w:rPr>
              <w:t>合同金额的5%，具体见付款方式。</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805"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16</w:t>
            </w:r>
          </w:p>
        </w:tc>
        <w:tc>
          <w:tcPr>
            <w:tcW w:w="1710" w:type="dxa"/>
            <w:tcBorders>
              <w:tl2br w:val="nil"/>
              <w:tr2bl w:val="nil"/>
            </w:tcBorders>
            <w:shd w:val="clear" w:color="auto" w:fill="auto"/>
            <w:vAlign w:val="center"/>
          </w:tcPr>
          <w:p>
            <w:pPr>
              <w:pStyle w:val="318"/>
              <w:rPr>
                <w:color w:val="auto"/>
              </w:rPr>
            </w:pPr>
            <w:r>
              <w:rPr>
                <w:rFonts w:hint="eastAsia"/>
                <w:color w:val="auto"/>
              </w:rPr>
              <w:t>供应商资格条件</w:t>
            </w:r>
          </w:p>
        </w:tc>
        <w:tc>
          <w:tcPr>
            <w:tcW w:w="6701" w:type="dxa"/>
            <w:tcBorders>
              <w:tl2br w:val="nil"/>
              <w:tr2bl w:val="nil"/>
            </w:tcBorders>
            <w:shd w:val="clear" w:color="auto" w:fill="auto"/>
            <w:vAlign w:val="center"/>
          </w:tcPr>
          <w:p>
            <w:pPr>
              <w:pStyle w:val="318"/>
              <w:jc w:val="left"/>
              <w:rPr>
                <w:color w:val="auto"/>
              </w:rPr>
            </w:pPr>
            <w:r>
              <w:rPr>
                <w:rFonts w:hint="eastAsia"/>
                <w:color w:val="auto"/>
              </w:rPr>
              <w:t>（1）基本资格条件：符合《中华人民共和国政府采购法》第二十二条的规定：</w:t>
            </w:r>
          </w:p>
          <w:p>
            <w:pPr>
              <w:pStyle w:val="318"/>
              <w:ind w:firstLine="480" w:firstLineChars="200"/>
              <w:jc w:val="left"/>
              <w:rPr>
                <w:color w:val="auto"/>
              </w:rPr>
            </w:pPr>
            <w:r>
              <w:rPr>
                <w:rFonts w:hint="eastAsia"/>
                <w:color w:val="auto"/>
              </w:rPr>
              <w:t>1）具有独立承担民事责任能力的法人、其他组织或自然人，提供合法有效的统一社会信用代码营业执照（事业单位提供法人证书，自然人提供身份证）；</w:t>
            </w:r>
          </w:p>
          <w:p>
            <w:pPr>
              <w:pStyle w:val="318"/>
              <w:ind w:firstLine="480" w:firstLineChars="200"/>
              <w:jc w:val="left"/>
              <w:rPr>
                <w:color w:val="auto"/>
              </w:rPr>
            </w:pPr>
            <w:r>
              <w:rPr>
                <w:rFonts w:hint="eastAsia"/>
                <w:color w:val="auto"/>
              </w:rPr>
              <w:t>2）财务状况报告：法人提供经审计的2020或2021年度的财务报告（成立时间至递交响应文件截止时间不足一年的可提供成立后任意时段的资产负债表）或递交响应文件截止时间前六个月内银行出具的资信证明；其他组织和自然人提供银行出具的资信证明或财务报表；</w:t>
            </w:r>
          </w:p>
          <w:p>
            <w:pPr>
              <w:pStyle w:val="318"/>
              <w:ind w:firstLine="480" w:firstLineChars="200"/>
              <w:jc w:val="left"/>
              <w:rPr>
                <w:color w:val="auto"/>
              </w:rPr>
            </w:pPr>
            <w:r>
              <w:rPr>
                <w:rFonts w:hint="eastAsia"/>
                <w:color w:val="auto"/>
              </w:rPr>
              <w:t>3）税收缴纳证明：法人提供递交响应文件截止时间前一年内至少一个月依法缴纳税收的相关凭据（时间以税款所属日期为准，税种须包含增值税或企业所得税或营业税，凭据应有税务机关或代收机关的公章或业务专用章）；其他组织和自然人提供缴纳税收的凭据；依法免税的供应商应提供相关文件证明；</w:t>
            </w:r>
          </w:p>
          <w:p>
            <w:pPr>
              <w:pStyle w:val="318"/>
              <w:ind w:firstLine="480" w:firstLineChars="200"/>
              <w:jc w:val="left"/>
              <w:rPr>
                <w:color w:val="auto"/>
              </w:rPr>
            </w:pPr>
            <w:r>
              <w:rPr>
                <w:rFonts w:hint="eastAsia"/>
                <w:color w:val="auto"/>
              </w:rPr>
              <w:t>4）社会保障资金缴纳证明：提供递交响应文件截止时间前一年内至少一个月已缴纳的社会保障资金的凭据（社会保障资金缴存单据或社保机构开具的社会保险参保缴费情况证明）；依法不需要缴纳社会保障资金的供应商应提供相关文件证明；</w:t>
            </w:r>
          </w:p>
          <w:p>
            <w:pPr>
              <w:pStyle w:val="318"/>
              <w:ind w:firstLine="480" w:firstLineChars="200"/>
              <w:jc w:val="left"/>
              <w:rPr>
                <w:color w:val="auto"/>
              </w:rPr>
            </w:pPr>
            <w:r>
              <w:rPr>
                <w:rFonts w:hint="eastAsia"/>
                <w:color w:val="auto"/>
              </w:rPr>
              <w:t>5）提供具有履行本合同所必需的设备和专业技术能力的说明及承诺；</w:t>
            </w:r>
          </w:p>
          <w:p>
            <w:pPr>
              <w:pStyle w:val="318"/>
              <w:ind w:firstLine="480" w:firstLineChars="200"/>
              <w:jc w:val="left"/>
              <w:rPr>
                <w:color w:val="auto"/>
              </w:rPr>
            </w:pPr>
            <w:r>
              <w:rPr>
                <w:rFonts w:hint="eastAsia"/>
                <w:color w:val="auto"/>
              </w:rPr>
              <w:t xml:space="preserve">6）提供参加本次政府采购活动前三年内在经营活动中没有重大违法记录的书面声明； </w:t>
            </w:r>
          </w:p>
          <w:p>
            <w:pPr>
              <w:pStyle w:val="318"/>
              <w:jc w:val="left"/>
              <w:rPr>
                <w:color w:val="auto"/>
              </w:rPr>
            </w:pPr>
            <w:r>
              <w:rPr>
                <w:rFonts w:hint="eastAsia"/>
                <w:color w:val="auto"/>
              </w:rPr>
              <w:t>（2）本项目的特定资格要求：</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1）法定代表人授权书（附法定代表人、被授权人身份证复印件）、被授权人身份证（法定代表人直接参加投标，须提供法定代表人身份证明及身份证原件）及被授权人投标截止日前一年内任意一个月的社会保障资金（养老保险或医疗保险）的缴纳证明或有效期内的劳动合同； </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2）供应商不得为“信用中国”网站</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（www.creditchina.gov.cn）中列入失信被执行人和重大税收违法案件当事人名单的供应商，不得为中国政府采购网（www.ccgp.gov.cn）政府采购严重违法失信行为记录名单中被财政部门禁止参加政府采购活动的供应商；</w:t>
            </w:r>
          </w:p>
          <w:p>
            <w:pPr>
              <w:pStyle w:val="318"/>
              <w:jc w:val="left"/>
              <w:rPr>
                <w:color w:val="auto"/>
              </w:rPr>
            </w:pPr>
            <w:r>
              <w:rPr>
                <w:rFonts w:hint="eastAsia"/>
                <w:b/>
                <w:bCs/>
                <w:color w:val="auto"/>
                <w:szCs w:val="24"/>
              </w:rPr>
              <w:t>注：以上为必备资格条件，缺一项或某项达不到要求，按无效文件处理。资格审查时以谈判响应文件中所附证明材料（信用中国和中国政府采购网信用记录可不提供，由代理机构查询并留存）为准，原件备查。</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40"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17</w:t>
            </w:r>
          </w:p>
        </w:tc>
        <w:tc>
          <w:tcPr>
            <w:tcW w:w="1710" w:type="dxa"/>
            <w:tcBorders>
              <w:tl2br w:val="nil"/>
              <w:tr2bl w:val="nil"/>
            </w:tcBorders>
            <w:shd w:val="clear" w:color="auto" w:fill="auto"/>
            <w:vAlign w:val="center"/>
          </w:tcPr>
          <w:p>
            <w:pPr>
              <w:pStyle w:val="318"/>
              <w:rPr>
                <w:color w:val="auto"/>
              </w:rPr>
            </w:pPr>
            <w:r>
              <w:rPr>
                <w:rFonts w:hint="eastAsia"/>
                <w:color w:val="auto"/>
              </w:rPr>
              <w:t>联合体谈判响应</w:t>
            </w:r>
          </w:p>
        </w:tc>
        <w:tc>
          <w:tcPr>
            <w:tcW w:w="6701" w:type="dxa"/>
            <w:tcBorders>
              <w:tl2br w:val="nil"/>
              <w:tr2bl w:val="nil"/>
            </w:tcBorders>
            <w:shd w:val="clear" w:color="auto" w:fill="auto"/>
            <w:vAlign w:val="center"/>
          </w:tcPr>
          <w:p>
            <w:pPr>
              <w:pStyle w:val="318"/>
              <w:jc w:val="left"/>
              <w:rPr>
                <w:b/>
                <w:bCs/>
                <w:color w:val="auto"/>
                <w:szCs w:val="24"/>
              </w:rPr>
            </w:pPr>
            <w:r>
              <w:rPr>
                <w:rFonts w:hint="eastAsia"/>
                <w:color w:val="auto"/>
                <w:szCs w:val="24"/>
              </w:rPr>
              <w:t>不接受</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860"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18</w:t>
            </w:r>
          </w:p>
        </w:tc>
        <w:tc>
          <w:tcPr>
            <w:tcW w:w="1710" w:type="dxa"/>
            <w:tcBorders>
              <w:tl2br w:val="nil"/>
              <w:tr2bl w:val="nil"/>
            </w:tcBorders>
            <w:shd w:val="clear" w:color="auto" w:fill="auto"/>
            <w:vAlign w:val="center"/>
          </w:tcPr>
          <w:p>
            <w:pPr>
              <w:pStyle w:val="318"/>
              <w:rPr>
                <w:color w:val="auto"/>
              </w:rPr>
            </w:pPr>
            <w:r>
              <w:rPr>
                <w:rFonts w:hint="eastAsia"/>
                <w:color w:val="auto"/>
              </w:rPr>
              <w:t>构成谈判文件的其他文件</w:t>
            </w:r>
          </w:p>
        </w:tc>
        <w:tc>
          <w:tcPr>
            <w:tcW w:w="6701" w:type="dxa"/>
            <w:tcBorders>
              <w:tl2br w:val="nil"/>
              <w:tr2bl w:val="nil"/>
            </w:tcBorders>
            <w:shd w:val="clear" w:color="auto" w:fill="auto"/>
            <w:vAlign w:val="center"/>
          </w:tcPr>
          <w:p>
            <w:pPr>
              <w:pStyle w:val="318"/>
              <w:jc w:val="left"/>
              <w:rPr>
                <w:b/>
                <w:bCs/>
                <w:color w:val="auto"/>
                <w:szCs w:val="24"/>
              </w:rPr>
            </w:pPr>
            <w:r>
              <w:rPr>
                <w:rFonts w:hint="eastAsia"/>
                <w:color w:val="auto"/>
              </w:rPr>
              <w:t>澄清、修改、答疑文件等相关材料。</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13"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19</w:t>
            </w:r>
          </w:p>
        </w:tc>
        <w:tc>
          <w:tcPr>
            <w:tcW w:w="1710" w:type="dxa"/>
            <w:tcBorders>
              <w:tl2br w:val="nil"/>
              <w:tr2bl w:val="nil"/>
            </w:tcBorders>
            <w:shd w:val="clear" w:color="auto" w:fill="auto"/>
            <w:vAlign w:val="center"/>
          </w:tcPr>
          <w:p>
            <w:pPr>
              <w:pStyle w:val="318"/>
              <w:rPr>
                <w:color w:val="auto"/>
              </w:rPr>
            </w:pPr>
            <w:r>
              <w:rPr>
                <w:rFonts w:hint="eastAsia"/>
                <w:color w:val="auto"/>
              </w:rPr>
              <w:t>答疑会</w:t>
            </w:r>
          </w:p>
        </w:tc>
        <w:tc>
          <w:tcPr>
            <w:tcW w:w="6701" w:type="dxa"/>
            <w:tcBorders>
              <w:tl2br w:val="nil"/>
              <w:tr2bl w:val="nil"/>
            </w:tcBorders>
            <w:shd w:val="clear" w:color="auto" w:fill="auto"/>
            <w:vAlign w:val="center"/>
          </w:tcPr>
          <w:p>
            <w:pPr>
              <w:pStyle w:val="318"/>
              <w:jc w:val="left"/>
              <w:rPr>
                <w:color w:val="auto"/>
              </w:rPr>
            </w:pPr>
            <w:r>
              <w:rPr>
                <w:rFonts w:hint="eastAsia"/>
                <w:color w:val="auto"/>
              </w:rPr>
              <w:t>本项目不召开答疑会。</w:t>
            </w:r>
          </w:p>
          <w:p>
            <w:pPr>
              <w:pStyle w:val="318"/>
              <w:jc w:val="left"/>
              <w:rPr>
                <w:color w:val="auto"/>
              </w:rPr>
            </w:pPr>
            <w:r>
              <w:rPr>
                <w:rFonts w:hint="eastAsia"/>
                <w:color w:val="auto"/>
              </w:rPr>
              <w:t>已经购买竞争性谈判文件的供应商对竞争性谈判文件有疑问的，均应在谈判截止日期2日前以书面形式向采购代理机构提出。采购代理机构视情况必要时将书面答复传送给所有获取竞争性谈判文件的供应商。</w:t>
            </w:r>
          </w:p>
          <w:p>
            <w:pPr>
              <w:pStyle w:val="318"/>
              <w:jc w:val="left"/>
              <w:rPr>
                <w:color w:val="auto"/>
              </w:rPr>
            </w:pPr>
            <w:r>
              <w:rPr>
                <w:rFonts w:hint="eastAsia"/>
                <w:color w:val="auto"/>
              </w:rPr>
              <w:t>书面答复为谈判文件的组成部分，与谈判文件具有同等法律效力。</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860"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20</w:t>
            </w:r>
          </w:p>
        </w:tc>
        <w:tc>
          <w:tcPr>
            <w:tcW w:w="1710" w:type="dxa"/>
            <w:tcBorders>
              <w:tl2br w:val="nil"/>
              <w:tr2bl w:val="nil"/>
            </w:tcBorders>
            <w:shd w:val="clear" w:color="auto" w:fill="auto"/>
            <w:vAlign w:val="center"/>
          </w:tcPr>
          <w:p>
            <w:pPr>
              <w:pStyle w:val="318"/>
              <w:rPr>
                <w:color w:val="auto"/>
              </w:rPr>
            </w:pPr>
            <w:r>
              <w:rPr>
                <w:rFonts w:hint="eastAsia"/>
                <w:color w:val="auto"/>
              </w:rPr>
              <w:t>备选谈判方案</w:t>
            </w:r>
          </w:p>
        </w:tc>
        <w:tc>
          <w:tcPr>
            <w:tcW w:w="6701" w:type="dxa"/>
            <w:tcBorders>
              <w:tl2br w:val="nil"/>
              <w:tr2bl w:val="nil"/>
            </w:tcBorders>
            <w:shd w:val="clear" w:color="auto" w:fill="auto"/>
            <w:vAlign w:val="center"/>
          </w:tcPr>
          <w:p>
            <w:pPr>
              <w:pStyle w:val="318"/>
              <w:jc w:val="left"/>
              <w:rPr>
                <w:color w:val="auto"/>
              </w:rPr>
            </w:pPr>
            <w:r>
              <w:rPr>
                <w:rFonts w:hint="eastAsia"/>
                <w:color w:val="auto"/>
              </w:rPr>
              <w:t>本项目不接受备选谈判方案。</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860"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21</w:t>
            </w:r>
          </w:p>
        </w:tc>
        <w:tc>
          <w:tcPr>
            <w:tcW w:w="1710" w:type="dxa"/>
            <w:tcBorders>
              <w:tl2br w:val="nil"/>
              <w:tr2bl w:val="nil"/>
            </w:tcBorders>
            <w:shd w:val="clear" w:color="auto" w:fill="auto"/>
            <w:vAlign w:val="center"/>
          </w:tcPr>
          <w:p>
            <w:pPr>
              <w:pStyle w:val="318"/>
              <w:rPr>
                <w:color w:val="auto"/>
              </w:rPr>
            </w:pPr>
            <w:r>
              <w:rPr>
                <w:rFonts w:hint="eastAsia"/>
                <w:color w:val="auto"/>
              </w:rPr>
              <w:t>本次谈判响应的最小单元</w:t>
            </w:r>
          </w:p>
        </w:tc>
        <w:tc>
          <w:tcPr>
            <w:tcW w:w="6701" w:type="dxa"/>
            <w:tcBorders>
              <w:tl2br w:val="nil"/>
              <w:tr2bl w:val="nil"/>
            </w:tcBorders>
            <w:shd w:val="clear" w:color="auto" w:fill="auto"/>
          </w:tcPr>
          <w:p>
            <w:pPr>
              <w:pStyle w:val="318"/>
              <w:jc w:val="left"/>
              <w:rPr>
                <w:color w:val="auto"/>
              </w:rPr>
            </w:pPr>
            <w:r>
              <w:rPr>
                <w:rFonts w:hint="eastAsia"/>
                <w:color w:val="auto"/>
              </w:rPr>
              <w:t>本次谈判响应的最小单元为“项目”。任何不完全的谈判响应将按照无效谈判响应处理。</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281"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22</w:t>
            </w:r>
          </w:p>
        </w:tc>
        <w:tc>
          <w:tcPr>
            <w:tcW w:w="1710" w:type="dxa"/>
            <w:tcBorders>
              <w:tl2br w:val="nil"/>
              <w:tr2bl w:val="nil"/>
            </w:tcBorders>
            <w:shd w:val="clear" w:color="auto" w:fill="auto"/>
            <w:vAlign w:val="center"/>
          </w:tcPr>
          <w:p>
            <w:pPr>
              <w:pStyle w:val="318"/>
              <w:rPr>
                <w:color w:val="auto"/>
              </w:rPr>
            </w:pPr>
            <w:r>
              <w:rPr>
                <w:rFonts w:hint="eastAsia"/>
                <w:color w:val="auto"/>
              </w:rPr>
              <w:t>谈判响应报价</w:t>
            </w:r>
          </w:p>
        </w:tc>
        <w:tc>
          <w:tcPr>
            <w:tcW w:w="6701" w:type="dxa"/>
            <w:tcBorders>
              <w:tl2br w:val="nil"/>
              <w:tr2bl w:val="nil"/>
            </w:tcBorders>
            <w:shd w:val="clear" w:color="auto" w:fill="auto"/>
          </w:tcPr>
          <w:p>
            <w:pPr>
              <w:pStyle w:val="318"/>
              <w:jc w:val="left"/>
              <w:rPr>
                <w:color w:val="auto"/>
              </w:rPr>
            </w:pPr>
            <w:r>
              <w:rPr>
                <w:rFonts w:hint="eastAsia"/>
                <w:color w:val="auto"/>
              </w:rPr>
              <w:t>供应商应投报完成本次谈判所要求的货物、服务且验收合格的所有费用，包括但不限于产品费（含相关配件、附件、安装材料）、安装调试费、运杂费（含保险）、仓储保管费、技术培训费、检测费、招标代理服务费、税金等其他一切相关费用。供应商所报的价格应考虑到可能发生的所有与完成本项目相关服务及履行合同义务有关的一切费用，任何有选择的报价将不予接受，按无效投标处理。</w:t>
            </w:r>
          </w:p>
          <w:p>
            <w:pPr>
              <w:pStyle w:val="318"/>
              <w:jc w:val="left"/>
              <w:rPr>
                <w:color w:val="auto"/>
              </w:rPr>
            </w:pPr>
            <w:r>
              <w:rPr>
                <w:rFonts w:hint="eastAsia"/>
                <w:color w:val="auto"/>
              </w:rPr>
              <w:t>软件安装调试所需要的人工、工具等均由中标人负责提供，所需费用包含在投标总报价内。</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541"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23</w:t>
            </w:r>
          </w:p>
        </w:tc>
        <w:tc>
          <w:tcPr>
            <w:tcW w:w="1710" w:type="dxa"/>
            <w:tcBorders>
              <w:tl2br w:val="nil"/>
              <w:tr2bl w:val="nil"/>
            </w:tcBorders>
            <w:shd w:val="clear" w:color="auto" w:fill="auto"/>
            <w:vAlign w:val="center"/>
          </w:tcPr>
          <w:p>
            <w:pPr>
              <w:pStyle w:val="318"/>
              <w:rPr>
                <w:color w:val="auto"/>
              </w:rPr>
            </w:pPr>
            <w:r>
              <w:rPr>
                <w:rFonts w:hint="eastAsia"/>
                <w:color w:val="auto"/>
              </w:rPr>
              <w:t>偏离</w:t>
            </w:r>
          </w:p>
        </w:tc>
        <w:tc>
          <w:tcPr>
            <w:tcW w:w="6701" w:type="dxa"/>
            <w:tcBorders>
              <w:tl2br w:val="nil"/>
              <w:tr2bl w:val="nil"/>
            </w:tcBorders>
            <w:shd w:val="clear" w:color="auto" w:fill="auto"/>
            <w:vAlign w:val="center"/>
          </w:tcPr>
          <w:p>
            <w:pPr>
              <w:pStyle w:val="318"/>
              <w:jc w:val="left"/>
              <w:rPr>
                <w:color w:val="auto"/>
              </w:rPr>
            </w:pPr>
            <w:r>
              <w:rPr>
                <w:rFonts w:hint="eastAsia"/>
                <w:color w:val="auto"/>
              </w:rPr>
              <w:t>不满足评标办法中初步评审标准的，视为发生重大偏离，其投标被否决。其余偏离视为细微偏离，评标委员会将通过澄清方式对细微偏离进行澄清或修改。</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24</w:t>
            </w:r>
          </w:p>
        </w:tc>
        <w:tc>
          <w:tcPr>
            <w:tcW w:w="1710" w:type="dxa"/>
            <w:tcBorders>
              <w:tl2br w:val="nil"/>
              <w:tr2bl w:val="nil"/>
            </w:tcBorders>
            <w:shd w:val="clear" w:color="auto" w:fill="auto"/>
            <w:vAlign w:val="center"/>
          </w:tcPr>
          <w:p>
            <w:pPr>
              <w:pStyle w:val="318"/>
              <w:rPr>
                <w:color w:val="auto"/>
              </w:rPr>
            </w:pPr>
            <w:r>
              <w:rPr>
                <w:rFonts w:hint="eastAsia"/>
                <w:color w:val="auto"/>
              </w:rPr>
              <w:t>谈判响应保证金</w:t>
            </w:r>
          </w:p>
        </w:tc>
        <w:tc>
          <w:tcPr>
            <w:tcW w:w="6701" w:type="dxa"/>
            <w:tcBorders>
              <w:tl2br w:val="nil"/>
              <w:tr2bl w:val="nil"/>
            </w:tcBorders>
            <w:shd w:val="clear" w:color="auto" w:fill="auto"/>
            <w:vAlign w:val="center"/>
          </w:tcPr>
          <w:p>
            <w:pPr>
              <w:pStyle w:val="318"/>
              <w:jc w:val="left"/>
              <w:rPr>
                <w:color w:val="auto"/>
              </w:rPr>
            </w:pPr>
            <w:r>
              <w:rPr>
                <w:rFonts w:hint="eastAsia"/>
                <w:color w:val="auto"/>
              </w:rPr>
              <w:t>不要求提供。</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25</w:t>
            </w:r>
          </w:p>
        </w:tc>
        <w:tc>
          <w:tcPr>
            <w:tcW w:w="1710" w:type="dxa"/>
            <w:tcBorders>
              <w:tl2br w:val="nil"/>
              <w:tr2bl w:val="nil"/>
            </w:tcBorders>
            <w:shd w:val="clear" w:color="auto" w:fill="auto"/>
            <w:vAlign w:val="center"/>
          </w:tcPr>
          <w:p>
            <w:pPr>
              <w:pStyle w:val="318"/>
              <w:rPr>
                <w:color w:val="auto"/>
              </w:rPr>
            </w:pPr>
            <w:r>
              <w:rPr>
                <w:rFonts w:hint="eastAsia"/>
                <w:color w:val="auto"/>
              </w:rPr>
              <w:t>谈判响应有效期</w:t>
            </w:r>
          </w:p>
        </w:tc>
        <w:tc>
          <w:tcPr>
            <w:tcW w:w="6701" w:type="dxa"/>
            <w:tcBorders>
              <w:tl2br w:val="nil"/>
              <w:tr2bl w:val="nil"/>
            </w:tcBorders>
            <w:shd w:val="clear" w:color="auto" w:fill="auto"/>
            <w:vAlign w:val="center"/>
          </w:tcPr>
          <w:p>
            <w:pPr>
              <w:pStyle w:val="318"/>
              <w:jc w:val="left"/>
              <w:rPr>
                <w:color w:val="auto"/>
              </w:rPr>
            </w:pPr>
            <w:r>
              <w:rPr>
                <w:rFonts w:hint="eastAsia"/>
                <w:color w:val="auto"/>
              </w:rPr>
              <w:t>响应文件的递交截止之日起90天。</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564"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26</w:t>
            </w:r>
          </w:p>
        </w:tc>
        <w:tc>
          <w:tcPr>
            <w:tcW w:w="1710" w:type="dxa"/>
            <w:tcBorders>
              <w:tl2br w:val="nil"/>
              <w:tr2bl w:val="nil"/>
            </w:tcBorders>
            <w:shd w:val="clear" w:color="auto" w:fill="auto"/>
            <w:vAlign w:val="center"/>
          </w:tcPr>
          <w:p>
            <w:pPr>
              <w:pStyle w:val="318"/>
              <w:rPr>
                <w:color w:val="auto"/>
              </w:rPr>
            </w:pPr>
            <w:r>
              <w:rPr>
                <w:rFonts w:hint="eastAsia"/>
                <w:color w:val="auto"/>
              </w:rPr>
              <w:t>谈判响应文件份数</w:t>
            </w:r>
          </w:p>
        </w:tc>
        <w:tc>
          <w:tcPr>
            <w:tcW w:w="6701" w:type="dxa"/>
            <w:tcBorders>
              <w:tl2br w:val="nil"/>
              <w:tr2bl w:val="nil"/>
            </w:tcBorders>
            <w:shd w:val="clear" w:color="auto" w:fill="auto"/>
            <w:vAlign w:val="center"/>
          </w:tcPr>
          <w:p>
            <w:pPr>
              <w:adjustRightInd w:val="0"/>
              <w:snapToGrid w:val="0"/>
              <w:spacing w:line="360" w:lineRule="auto"/>
              <w:ind w:left="42" w:leftChars="20"/>
              <w:rPr>
                <w:rFonts w:ascii="宋体" w:hAnsi="宋体" w:cs="宋体"/>
                <w:color w:val="auto"/>
                <w:sz w:val="24"/>
                <w:szCs w:val="24"/>
              </w:rPr>
            </w:pPr>
            <w:r>
              <w:rPr>
                <w:rFonts w:hint="eastAsia" w:ascii="宋体" w:hAnsi="宋体" w:cs="宋体"/>
                <w:color w:val="auto"/>
                <w:sz w:val="24"/>
                <w:szCs w:val="24"/>
              </w:rPr>
              <w:t>正本的份数：壹份；</w:t>
            </w:r>
          </w:p>
          <w:p>
            <w:pPr>
              <w:adjustRightInd w:val="0"/>
              <w:snapToGrid w:val="0"/>
              <w:spacing w:line="360" w:lineRule="auto"/>
              <w:ind w:left="42" w:leftChars="20"/>
              <w:rPr>
                <w:rFonts w:ascii="宋体" w:hAnsi="宋体" w:cs="宋体"/>
                <w:color w:val="auto"/>
                <w:sz w:val="24"/>
                <w:szCs w:val="24"/>
              </w:rPr>
            </w:pPr>
            <w:r>
              <w:rPr>
                <w:rFonts w:hint="eastAsia" w:ascii="宋体" w:hAnsi="宋体" w:cs="宋体"/>
                <w:color w:val="auto"/>
                <w:sz w:val="24"/>
                <w:szCs w:val="24"/>
              </w:rPr>
              <w:t>副本的份数：叁份；</w:t>
            </w:r>
          </w:p>
          <w:p>
            <w:pPr>
              <w:adjustRightInd w:val="0"/>
              <w:snapToGrid w:val="0"/>
              <w:spacing w:line="360" w:lineRule="auto"/>
              <w:ind w:left="42" w:leftChars="20"/>
              <w:rPr>
                <w:rFonts w:ascii="宋体" w:hAnsi="宋体" w:cs="宋体"/>
                <w:color w:val="auto"/>
                <w:sz w:val="24"/>
                <w:szCs w:val="24"/>
              </w:rPr>
            </w:pPr>
            <w:r>
              <w:rPr>
                <w:rFonts w:hint="eastAsia" w:ascii="宋体" w:hAnsi="宋体" w:cs="宋体"/>
                <w:color w:val="auto"/>
                <w:sz w:val="24"/>
                <w:szCs w:val="24"/>
              </w:rPr>
              <w:t>电子版（U盘）：壹份（需在盘面上标注供应商全称、项目名称、编号）。</w:t>
            </w:r>
          </w:p>
          <w:p>
            <w:pPr>
              <w:adjustRightInd w:val="0"/>
              <w:snapToGrid w:val="0"/>
              <w:spacing w:line="360" w:lineRule="auto"/>
              <w:ind w:left="42" w:leftChars="20"/>
              <w:rPr>
                <w:rFonts w:ascii="宋体" w:hAnsi="宋体" w:cs="宋体"/>
                <w:color w:val="auto"/>
                <w:sz w:val="24"/>
                <w:szCs w:val="24"/>
              </w:rPr>
            </w:pPr>
            <w:r>
              <w:rPr>
                <w:rFonts w:hint="eastAsia" w:ascii="宋体" w:hAnsi="宋体" w:cs="宋体"/>
                <w:color w:val="auto"/>
                <w:sz w:val="24"/>
                <w:szCs w:val="24"/>
              </w:rPr>
              <w:t>电子版包括：</w:t>
            </w:r>
          </w:p>
          <w:p>
            <w:pPr>
              <w:adjustRightInd w:val="0"/>
              <w:snapToGrid w:val="0"/>
              <w:spacing w:line="360" w:lineRule="auto"/>
              <w:ind w:left="42" w:leftChars="20"/>
              <w:rPr>
                <w:rFonts w:ascii="宋体" w:hAnsi="宋体" w:cs="宋体"/>
                <w:color w:val="auto"/>
                <w:sz w:val="24"/>
                <w:szCs w:val="24"/>
              </w:rPr>
            </w:pPr>
            <w:r>
              <w:rPr>
                <w:rFonts w:hint="eastAsia" w:ascii="宋体" w:hAnsi="宋体" w:cs="宋体"/>
                <w:color w:val="auto"/>
                <w:sz w:val="24"/>
                <w:szCs w:val="24"/>
              </w:rPr>
              <w:t>（1）word版响应文件；</w:t>
            </w:r>
          </w:p>
          <w:p>
            <w:pPr>
              <w:pStyle w:val="318"/>
              <w:jc w:val="left"/>
              <w:rPr>
                <w:color w:val="auto"/>
              </w:rPr>
            </w:pPr>
            <w:r>
              <w:rPr>
                <w:rFonts w:hint="eastAsia"/>
                <w:color w:val="auto"/>
                <w:szCs w:val="24"/>
              </w:rPr>
              <w:t>（2）PDF版响应文件。</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448"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27</w:t>
            </w:r>
          </w:p>
        </w:tc>
        <w:tc>
          <w:tcPr>
            <w:tcW w:w="1710" w:type="dxa"/>
            <w:tcBorders>
              <w:tl2br w:val="nil"/>
              <w:tr2bl w:val="nil"/>
            </w:tcBorders>
            <w:shd w:val="clear" w:color="auto" w:fill="auto"/>
            <w:vAlign w:val="center"/>
          </w:tcPr>
          <w:p>
            <w:pPr>
              <w:pStyle w:val="318"/>
              <w:rPr>
                <w:color w:val="auto"/>
              </w:rPr>
            </w:pPr>
            <w:r>
              <w:rPr>
                <w:rFonts w:hint="eastAsia"/>
                <w:color w:val="auto"/>
              </w:rPr>
              <w:t>响应文件的制作装订</w:t>
            </w:r>
          </w:p>
        </w:tc>
        <w:tc>
          <w:tcPr>
            <w:tcW w:w="6701" w:type="dxa"/>
            <w:tcBorders>
              <w:tl2br w:val="nil"/>
              <w:tr2bl w:val="nil"/>
            </w:tcBorders>
            <w:shd w:val="clear" w:color="auto" w:fill="auto"/>
            <w:vAlign w:val="center"/>
          </w:tcPr>
          <w:p>
            <w:pPr>
              <w:pStyle w:val="318"/>
              <w:jc w:val="left"/>
              <w:rPr>
                <w:color w:val="auto"/>
              </w:rPr>
            </w:pPr>
            <w:r>
              <w:rPr>
                <w:rFonts w:hint="eastAsia"/>
                <w:color w:val="auto"/>
              </w:rPr>
              <w:t>响应文件制作规范、目录清晰、页码标注、对应精准、双面打印。</w:t>
            </w:r>
          </w:p>
          <w:p>
            <w:pPr>
              <w:pStyle w:val="318"/>
              <w:jc w:val="left"/>
              <w:rPr>
                <w:color w:val="auto"/>
              </w:rPr>
            </w:pPr>
            <w:r>
              <w:rPr>
                <w:rFonts w:hint="eastAsia"/>
                <w:color w:val="auto"/>
              </w:rPr>
              <w:t>字迹潦草、表达不清、未按要求填写而导致非唯一理解，造成非实质性响应谈判文件的响应文件将会被认定为无效谈判响应。</w:t>
            </w:r>
          </w:p>
          <w:p>
            <w:pPr>
              <w:pStyle w:val="318"/>
              <w:jc w:val="left"/>
              <w:rPr>
                <w:color w:val="auto"/>
              </w:rPr>
            </w:pPr>
            <w:r>
              <w:rPr>
                <w:rFonts w:hint="eastAsia"/>
                <w:color w:val="auto"/>
              </w:rPr>
              <w:t>响应文件应胶装成册，不可插页抽页。</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28</w:t>
            </w:r>
          </w:p>
        </w:tc>
        <w:tc>
          <w:tcPr>
            <w:tcW w:w="1710" w:type="dxa"/>
            <w:tcBorders>
              <w:tl2br w:val="nil"/>
              <w:tr2bl w:val="nil"/>
            </w:tcBorders>
            <w:shd w:val="clear" w:color="auto" w:fill="auto"/>
            <w:vAlign w:val="center"/>
          </w:tcPr>
          <w:p>
            <w:pPr>
              <w:pStyle w:val="318"/>
              <w:rPr>
                <w:color w:val="auto"/>
              </w:rPr>
            </w:pPr>
            <w:r>
              <w:rPr>
                <w:rFonts w:hint="eastAsia"/>
                <w:color w:val="auto"/>
              </w:rPr>
              <w:t>响应文件签字、盖章要求</w:t>
            </w:r>
          </w:p>
        </w:tc>
        <w:tc>
          <w:tcPr>
            <w:tcW w:w="6701" w:type="dxa"/>
            <w:tcBorders>
              <w:tl2br w:val="nil"/>
              <w:tr2bl w:val="nil"/>
            </w:tcBorders>
            <w:shd w:val="clear" w:color="auto" w:fill="auto"/>
            <w:vAlign w:val="center"/>
          </w:tcPr>
          <w:p>
            <w:pPr>
              <w:pStyle w:val="318"/>
              <w:jc w:val="left"/>
              <w:rPr>
                <w:color w:val="auto"/>
              </w:rPr>
            </w:pPr>
            <w:r>
              <w:rPr>
                <w:rFonts w:hint="eastAsia"/>
                <w:color w:val="auto"/>
              </w:rPr>
              <w:t>响应文件封面及其它有要求的地方必须加盖供应商公章，法定代表人或其授权代表必须签字或盖章，否则视为废标。</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691"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29</w:t>
            </w:r>
          </w:p>
        </w:tc>
        <w:tc>
          <w:tcPr>
            <w:tcW w:w="1710" w:type="dxa"/>
            <w:tcBorders>
              <w:tl2br w:val="nil"/>
              <w:tr2bl w:val="nil"/>
            </w:tcBorders>
            <w:shd w:val="clear" w:color="auto" w:fill="auto"/>
            <w:vAlign w:val="center"/>
          </w:tcPr>
          <w:p>
            <w:pPr>
              <w:pStyle w:val="318"/>
              <w:rPr>
                <w:color w:val="auto"/>
              </w:rPr>
            </w:pPr>
            <w:r>
              <w:rPr>
                <w:rFonts w:hint="eastAsia"/>
                <w:color w:val="auto"/>
              </w:rPr>
              <w:t>响应文件的密封要求</w:t>
            </w:r>
          </w:p>
        </w:tc>
        <w:tc>
          <w:tcPr>
            <w:tcW w:w="6701" w:type="dxa"/>
            <w:tcBorders>
              <w:tl2br w:val="nil"/>
              <w:tr2bl w:val="nil"/>
            </w:tcBorders>
            <w:shd w:val="clear" w:color="auto" w:fill="auto"/>
            <w:vAlign w:val="center"/>
          </w:tcPr>
          <w:p>
            <w:pPr>
              <w:pStyle w:val="318"/>
              <w:jc w:val="left"/>
              <w:rPr>
                <w:color w:val="auto"/>
              </w:rPr>
            </w:pPr>
            <w:r>
              <w:rPr>
                <w:rFonts w:hint="eastAsia"/>
                <w:color w:val="auto"/>
              </w:rPr>
              <w:t>谈判响应文件按正本、副本和电子版分别包装，所有密封袋/箱正面和响应文件封面须标明项目名称、项目编号、供应商名称及“正本”或“副本”或“电子版”等字样，加贴封条，并在封套的封口处加盖供应商公章，</w:t>
            </w:r>
            <w:r>
              <w:rPr>
                <w:rFonts w:hint="eastAsia"/>
                <w:b/>
                <w:bCs/>
                <w:color w:val="auto"/>
                <w:kern w:val="0"/>
              </w:rPr>
              <w:t>法人、其他组织参加谈判的</w:t>
            </w:r>
            <w:r>
              <w:rPr>
                <w:rFonts w:hint="eastAsia"/>
                <w:b/>
                <w:bCs/>
                <w:color w:val="auto"/>
              </w:rPr>
              <w:t>法定代表人或其授权代表签字或盖章，自然人参加谈判的，自然人签字或盖章。</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2748"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30</w:t>
            </w:r>
          </w:p>
        </w:tc>
        <w:tc>
          <w:tcPr>
            <w:tcW w:w="1710" w:type="dxa"/>
            <w:tcBorders>
              <w:tl2br w:val="nil"/>
              <w:tr2bl w:val="nil"/>
            </w:tcBorders>
            <w:shd w:val="clear" w:color="auto" w:fill="auto"/>
            <w:vAlign w:val="center"/>
          </w:tcPr>
          <w:p>
            <w:pPr>
              <w:pStyle w:val="318"/>
              <w:rPr>
                <w:color w:val="auto"/>
              </w:rPr>
            </w:pPr>
            <w:r>
              <w:rPr>
                <w:rFonts w:hint="eastAsia"/>
                <w:color w:val="auto"/>
              </w:rPr>
              <w:t>响应文件封套上应载明的信息</w:t>
            </w:r>
          </w:p>
        </w:tc>
        <w:tc>
          <w:tcPr>
            <w:tcW w:w="6701" w:type="dxa"/>
            <w:tcBorders>
              <w:tl2br w:val="nil"/>
              <w:tr2bl w:val="nil"/>
            </w:tcBorders>
            <w:shd w:val="clear" w:color="auto" w:fill="auto"/>
            <w:vAlign w:val="center"/>
          </w:tcPr>
          <w:p>
            <w:pPr>
              <w:pStyle w:val="318"/>
              <w:jc w:val="left"/>
              <w:rPr>
                <w:color w:val="auto"/>
              </w:rPr>
            </w:pPr>
            <w:r>
              <w:rPr>
                <w:rFonts w:hint="eastAsia"/>
                <w:color w:val="auto"/>
              </w:rPr>
              <w:t xml:space="preserve">项目名称：                      </w:t>
            </w:r>
          </w:p>
          <w:p>
            <w:pPr>
              <w:pStyle w:val="318"/>
              <w:jc w:val="left"/>
              <w:rPr>
                <w:color w:val="auto"/>
              </w:rPr>
            </w:pPr>
            <w:r>
              <w:rPr>
                <w:rFonts w:hint="eastAsia"/>
                <w:color w:val="auto"/>
              </w:rPr>
              <w:t>竞争性谈判响应文件（正本、副本、电子版）</w:t>
            </w:r>
          </w:p>
          <w:p>
            <w:pPr>
              <w:pStyle w:val="318"/>
              <w:jc w:val="left"/>
              <w:rPr>
                <w:color w:val="auto"/>
              </w:rPr>
            </w:pPr>
            <w:r>
              <w:rPr>
                <w:rFonts w:hint="eastAsia"/>
                <w:color w:val="auto"/>
              </w:rPr>
              <w:t xml:space="preserve">项目编号：                    </w:t>
            </w:r>
          </w:p>
          <w:p>
            <w:pPr>
              <w:pStyle w:val="318"/>
              <w:jc w:val="left"/>
              <w:rPr>
                <w:color w:val="auto"/>
              </w:rPr>
            </w:pPr>
            <w:r>
              <w:rPr>
                <w:rFonts w:hint="eastAsia"/>
                <w:color w:val="auto"/>
              </w:rPr>
              <w:t xml:space="preserve">供应商名称：                      </w:t>
            </w:r>
          </w:p>
          <w:p>
            <w:pPr>
              <w:pStyle w:val="318"/>
              <w:jc w:val="left"/>
              <w:rPr>
                <w:color w:val="auto"/>
              </w:rPr>
            </w:pPr>
            <w:r>
              <w:rPr>
                <w:rFonts w:hint="eastAsia"/>
                <w:color w:val="auto"/>
              </w:rPr>
              <w:t>法定代表人或其授权代表：</w:t>
            </w:r>
          </w:p>
          <w:p>
            <w:pPr>
              <w:pStyle w:val="318"/>
              <w:jc w:val="left"/>
              <w:rPr>
                <w:color w:val="auto"/>
              </w:rPr>
            </w:pPr>
            <w:r>
              <w:rPr>
                <w:rFonts w:hint="eastAsia"/>
                <w:color w:val="auto"/>
              </w:rPr>
              <w:t xml:space="preserve">在   年   月   日   分之前不得启封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861"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31</w:t>
            </w:r>
          </w:p>
        </w:tc>
        <w:tc>
          <w:tcPr>
            <w:tcW w:w="1710" w:type="dxa"/>
            <w:tcBorders>
              <w:tl2br w:val="nil"/>
              <w:tr2bl w:val="nil"/>
            </w:tcBorders>
            <w:shd w:val="clear" w:color="auto" w:fill="auto"/>
            <w:vAlign w:val="center"/>
          </w:tcPr>
          <w:p>
            <w:pPr>
              <w:pStyle w:val="318"/>
              <w:rPr>
                <w:color w:val="auto"/>
              </w:rPr>
            </w:pPr>
            <w:r>
              <w:rPr>
                <w:rFonts w:hint="eastAsia"/>
                <w:color w:val="auto"/>
              </w:rPr>
              <w:t>是否退还响应文件</w:t>
            </w:r>
          </w:p>
        </w:tc>
        <w:tc>
          <w:tcPr>
            <w:tcW w:w="6701" w:type="dxa"/>
            <w:tcBorders>
              <w:tl2br w:val="nil"/>
              <w:tr2bl w:val="nil"/>
            </w:tcBorders>
            <w:shd w:val="clear" w:color="auto" w:fill="auto"/>
            <w:vAlign w:val="center"/>
          </w:tcPr>
          <w:p>
            <w:pPr>
              <w:pStyle w:val="318"/>
              <w:jc w:val="left"/>
              <w:rPr>
                <w:color w:val="auto"/>
              </w:rPr>
            </w:pPr>
            <w:r>
              <w:rPr>
                <w:rFonts w:hint="eastAsia"/>
                <w:color w:val="auto"/>
              </w:rPr>
              <w:t>否</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767"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32</w:t>
            </w:r>
          </w:p>
        </w:tc>
        <w:tc>
          <w:tcPr>
            <w:tcW w:w="1710" w:type="dxa"/>
            <w:tcBorders>
              <w:tl2br w:val="nil"/>
              <w:tr2bl w:val="nil"/>
            </w:tcBorders>
            <w:shd w:val="clear" w:color="auto" w:fill="auto"/>
            <w:vAlign w:val="center"/>
          </w:tcPr>
          <w:p>
            <w:pPr>
              <w:pStyle w:val="318"/>
              <w:rPr>
                <w:color w:val="auto"/>
              </w:rPr>
            </w:pPr>
            <w:r>
              <w:rPr>
                <w:rFonts w:hint="eastAsia"/>
                <w:color w:val="auto"/>
              </w:rPr>
              <w:t>评审办法及标准</w:t>
            </w:r>
          </w:p>
        </w:tc>
        <w:tc>
          <w:tcPr>
            <w:tcW w:w="6701" w:type="dxa"/>
            <w:tcBorders>
              <w:tl2br w:val="nil"/>
              <w:tr2bl w:val="nil"/>
            </w:tcBorders>
            <w:shd w:val="clear" w:color="auto" w:fill="auto"/>
            <w:vAlign w:val="center"/>
          </w:tcPr>
          <w:p>
            <w:pPr>
              <w:pStyle w:val="318"/>
              <w:rPr>
                <w:color w:val="auto"/>
              </w:rPr>
            </w:pPr>
            <w:r>
              <w:rPr>
                <w:rFonts w:hint="eastAsia"/>
                <w:color w:val="auto"/>
              </w:rPr>
              <w:t>最低价评标法，详见竞争性谈判文件第二章“供应商须知”。</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104" w:hRule="atLeast"/>
          <w:jc w:val="center"/>
        </w:trPr>
        <w:tc>
          <w:tcPr>
            <w:tcW w:w="727" w:type="dxa"/>
            <w:vMerge w:val="restart"/>
            <w:tcBorders>
              <w:tl2br w:val="nil"/>
              <w:tr2bl w:val="nil"/>
            </w:tcBorders>
            <w:shd w:val="clear" w:color="auto" w:fill="auto"/>
            <w:vAlign w:val="center"/>
          </w:tcPr>
          <w:p>
            <w:pPr>
              <w:pStyle w:val="318"/>
              <w:rPr>
                <w:color w:val="auto"/>
              </w:rPr>
            </w:pPr>
            <w:r>
              <w:rPr>
                <w:rFonts w:hint="eastAsia"/>
                <w:color w:val="auto"/>
              </w:rPr>
              <w:t>33</w:t>
            </w:r>
          </w:p>
        </w:tc>
        <w:tc>
          <w:tcPr>
            <w:tcW w:w="1710" w:type="dxa"/>
            <w:tcBorders>
              <w:tl2br w:val="nil"/>
              <w:tr2bl w:val="nil"/>
            </w:tcBorders>
            <w:shd w:val="clear" w:color="auto" w:fill="auto"/>
            <w:vAlign w:val="center"/>
          </w:tcPr>
          <w:p>
            <w:pPr>
              <w:pStyle w:val="318"/>
              <w:spacing w:line="400" w:lineRule="atLeast"/>
              <w:rPr>
                <w:color w:val="auto"/>
              </w:rPr>
            </w:pPr>
            <w:r>
              <w:rPr>
                <w:rFonts w:hint="eastAsia"/>
                <w:color w:val="auto"/>
              </w:rPr>
              <w:t>政府采购强制采购：节能产品</w:t>
            </w:r>
          </w:p>
        </w:tc>
        <w:tc>
          <w:tcPr>
            <w:tcW w:w="6701" w:type="dxa"/>
            <w:tcBorders>
              <w:tl2br w:val="nil"/>
              <w:tr2bl w:val="nil"/>
            </w:tcBorders>
            <w:shd w:val="clear" w:color="auto" w:fill="auto"/>
            <w:vAlign w:val="center"/>
          </w:tcPr>
          <w:p>
            <w:pPr>
              <w:pStyle w:val="318"/>
              <w:jc w:val="left"/>
              <w:rPr>
                <w:color w:val="auto"/>
              </w:rPr>
            </w:pPr>
            <w:r>
              <w:rPr>
                <w:rFonts w:hint="eastAsia"/>
                <w:color w:val="auto"/>
              </w:rPr>
              <w:t>否</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7" w:type="dxa"/>
            <w:vMerge w:val="continue"/>
            <w:tcBorders>
              <w:tl2br w:val="nil"/>
              <w:tr2bl w:val="nil"/>
            </w:tcBorders>
            <w:shd w:val="clear" w:color="auto" w:fill="auto"/>
            <w:vAlign w:val="center"/>
          </w:tcPr>
          <w:p>
            <w:pPr>
              <w:pStyle w:val="318"/>
              <w:rPr>
                <w:color w:val="auto"/>
              </w:rPr>
            </w:pPr>
          </w:p>
        </w:tc>
        <w:tc>
          <w:tcPr>
            <w:tcW w:w="1710" w:type="dxa"/>
            <w:tcBorders>
              <w:tl2br w:val="nil"/>
              <w:tr2bl w:val="nil"/>
            </w:tcBorders>
            <w:shd w:val="clear" w:color="auto" w:fill="auto"/>
            <w:vAlign w:val="center"/>
          </w:tcPr>
          <w:p>
            <w:pPr>
              <w:pStyle w:val="318"/>
              <w:spacing w:line="400" w:lineRule="atLeast"/>
              <w:rPr>
                <w:color w:val="auto"/>
              </w:rPr>
            </w:pPr>
            <w:r>
              <w:rPr>
                <w:rFonts w:hint="eastAsia"/>
                <w:color w:val="auto"/>
              </w:rPr>
              <w:t>政府采购强制采购：信息安全认证</w:t>
            </w:r>
          </w:p>
        </w:tc>
        <w:tc>
          <w:tcPr>
            <w:tcW w:w="6701" w:type="dxa"/>
            <w:tcBorders>
              <w:tl2br w:val="nil"/>
              <w:tr2bl w:val="nil"/>
            </w:tcBorders>
            <w:shd w:val="clear" w:color="auto" w:fill="auto"/>
            <w:vAlign w:val="center"/>
          </w:tcPr>
          <w:p>
            <w:pPr>
              <w:pStyle w:val="318"/>
              <w:jc w:val="left"/>
              <w:rPr>
                <w:color w:val="auto"/>
              </w:rPr>
            </w:pPr>
            <w:r>
              <w:rPr>
                <w:rFonts w:hint="eastAsia"/>
                <w:color w:val="auto"/>
              </w:rPr>
              <w:t>否</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7" w:type="dxa"/>
            <w:vMerge w:val="restart"/>
            <w:tcBorders>
              <w:tl2br w:val="nil"/>
              <w:tr2bl w:val="nil"/>
            </w:tcBorders>
            <w:shd w:val="clear" w:color="auto" w:fill="auto"/>
            <w:vAlign w:val="center"/>
          </w:tcPr>
          <w:p>
            <w:pPr>
              <w:pStyle w:val="318"/>
              <w:rPr>
                <w:color w:val="auto"/>
              </w:rPr>
            </w:pPr>
            <w:r>
              <w:rPr>
                <w:rFonts w:hint="eastAsia"/>
                <w:color w:val="auto"/>
              </w:rPr>
              <w:t>34</w:t>
            </w:r>
          </w:p>
        </w:tc>
        <w:tc>
          <w:tcPr>
            <w:tcW w:w="1710" w:type="dxa"/>
            <w:tcBorders>
              <w:tl2br w:val="nil"/>
              <w:tr2bl w:val="nil"/>
            </w:tcBorders>
            <w:shd w:val="clear" w:color="auto" w:fill="auto"/>
            <w:vAlign w:val="center"/>
          </w:tcPr>
          <w:p>
            <w:pPr>
              <w:pStyle w:val="318"/>
              <w:rPr>
                <w:color w:val="auto"/>
              </w:rPr>
            </w:pPr>
            <w:r>
              <w:rPr>
                <w:rFonts w:hint="eastAsia"/>
                <w:color w:val="auto"/>
              </w:rPr>
              <w:t>政府采购优先采购：节能产品（非强制类）</w:t>
            </w:r>
          </w:p>
        </w:tc>
        <w:tc>
          <w:tcPr>
            <w:tcW w:w="6701" w:type="dxa"/>
            <w:tcBorders>
              <w:tl2br w:val="nil"/>
              <w:tr2bl w:val="nil"/>
            </w:tcBorders>
            <w:shd w:val="clear" w:color="auto" w:fill="auto"/>
            <w:vAlign w:val="center"/>
          </w:tcPr>
          <w:p>
            <w:pPr>
              <w:pStyle w:val="318"/>
              <w:jc w:val="left"/>
              <w:rPr>
                <w:color w:val="auto"/>
              </w:rPr>
            </w:pPr>
            <w:r>
              <w:rPr>
                <w:rFonts w:hint="eastAsia"/>
                <w:color w:val="auto"/>
              </w:rPr>
              <w:t>对列入节能产品政府采购品目清单的产品，且认证机构在《参与实施政府采购节能产品认证机构名录》中的，在评审时按“谈判响应报价×2%”进行扣减。用扣减后的价格参与评审。</w:t>
            </w:r>
          </w:p>
          <w:p>
            <w:pPr>
              <w:pStyle w:val="318"/>
              <w:jc w:val="left"/>
              <w:rPr>
                <w:color w:val="auto"/>
              </w:rPr>
            </w:pPr>
            <w:r>
              <w:rPr>
                <w:rFonts w:hint="eastAsia"/>
                <w:color w:val="auto"/>
              </w:rPr>
              <w:t>（注：若节能清单内的产品仅是构成采购产品的部件、组件或零件的，则该谈判响应产品不享受此项鼓励优惠政策）</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7" w:type="dxa"/>
            <w:vMerge w:val="continue"/>
            <w:tcBorders>
              <w:tl2br w:val="nil"/>
              <w:tr2bl w:val="nil"/>
            </w:tcBorders>
            <w:shd w:val="clear" w:color="auto" w:fill="auto"/>
            <w:vAlign w:val="center"/>
          </w:tcPr>
          <w:p>
            <w:pPr>
              <w:pStyle w:val="318"/>
              <w:rPr>
                <w:color w:val="auto"/>
              </w:rPr>
            </w:pPr>
          </w:p>
        </w:tc>
        <w:tc>
          <w:tcPr>
            <w:tcW w:w="1710" w:type="dxa"/>
            <w:tcBorders>
              <w:tl2br w:val="nil"/>
              <w:tr2bl w:val="nil"/>
            </w:tcBorders>
            <w:shd w:val="clear" w:color="auto" w:fill="auto"/>
            <w:vAlign w:val="center"/>
          </w:tcPr>
          <w:p>
            <w:pPr>
              <w:pStyle w:val="318"/>
              <w:rPr>
                <w:color w:val="auto"/>
              </w:rPr>
            </w:pPr>
            <w:r>
              <w:rPr>
                <w:rFonts w:hint="eastAsia"/>
                <w:color w:val="auto"/>
              </w:rPr>
              <w:t>政府采购优先采购：环境标志产品</w:t>
            </w:r>
          </w:p>
        </w:tc>
        <w:tc>
          <w:tcPr>
            <w:tcW w:w="6701" w:type="dxa"/>
            <w:tcBorders>
              <w:tl2br w:val="nil"/>
              <w:tr2bl w:val="nil"/>
            </w:tcBorders>
            <w:shd w:val="clear" w:color="auto" w:fill="auto"/>
            <w:vAlign w:val="center"/>
          </w:tcPr>
          <w:p>
            <w:pPr>
              <w:pStyle w:val="318"/>
              <w:jc w:val="left"/>
              <w:rPr>
                <w:color w:val="auto"/>
              </w:rPr>
            </w:pPr>
            <w:r>
              <w:rPr>
                <w:rFonts w:hint="eastAsia"/>
                <w:color w:val="auto"/>
              </w:rPr>
              <w:t>对列入环境标志产品政府采购品目清单的产品，且认证机构在《参与实施政府采购节能产品环境标志产品认证机构名录》中的，在评审时按“谈判响应报价×1%”进行扣减。用扣减后的价格参与评审。</w:t>
            </w:r>
          </w:p>
          <w:p>
            <w:pPr>
              <w:pStyle w:val="318"/>
              <w:jc w:val="left"/>
              <w:rPr>
                <w:color w:val="auto"/>
              </w:rPr>
            </w:pPr>
            <w:r>
              <w:rPr>
                <w:rFonts w:hint="eastAsia"/>
                <w:color w:val="auto"/>
              </w:rPr>
              <w:t>（注：</w:t>
            </w:r>
            <w:r>
              <w:rPr>
                <w:rFonts w:hint="eastAsia"/>
                <w:color w:val="auto"/>
                <w:lang w:val="zh-CN"/>
              </w:rPr>
              <w:t>若环境标志清单内的产品仅是构成采购产品的部件、组件或零件的，则该谈判响应产品不享受</w:t>
            </w:r>
            <w:r>
              <w:rPr>
                <w:rFonts w:hint="eastAsia"/>
                <w:color w:val="auto"/>
              </w:rPr>
              <w:t>此项</w:t>
            </w:r>
            <w:r>
              <w:rPr>
                <w:rFonts w:hint="eastAsia"/>
                <w:color w:val="auto"/>
                <w:lang w:val="zh-CN"/>
              </w:rPr>
              <w:t>鼓励优惠政策</w:t>
            </w:r>
            <w:r>
              <w:rPr>
                <w:rFonts w:hint="eastAsia"/>
                <w:color w:val="auto"/>
              </w:rPr>
              <w:t>）</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7" w:type="dxa"/>
            <w:vMerge w:val="restart"/>
            <w:tcBorders>
              <w:tl2br w:val="nil"/>
              <w:tr2bl w:val="nil"/>
            </w:tcBorders>
            <w:shd w:val="clear" w:color="auto" w:fill="auto"/>
            <w:vAlign w:val="center"/>
          </w:tcPr>
          <w:p>
            <w:pPr>
              <w:pStyle w:val="318"/>
              <w:rPr>
                <w:color w:val="auto"/>
              </w:rPr>
            </w:pPr>
            <w:r>
              <w:rPr>
                <w:rFonts w:hint="eastAsia"/>
                <w:color w:val="auto"/>
              </w:rPr>
              <w:t>35</w:t>
            </w:r>
          </w:p>
        </w:tc>
        <w:tc>
          <w:tcPr>
            <w:tcW w:w="1710" w:type="dxa"/>
            <w:tcBorders>
              <w:tl2br w:val="nil"/>
              <w:tr2bl w:val="nil"/>
            </w:tcBorders>
            <w:shd w:val="clear" w:color="auto" w:fill="auto"/>
            <w:vAlign w:val="center"/>
          </w:tcPr>
          <w:p>
            <w:pPr>
              <w:pStyle w:val="318"/>
              <w:rPr>
                <w:color w:val="auto"/>
              </w:rPr>
            </w:pPr>
            <w:r>
              <w:rPr>
                <w:rFonts w:hint="eastAsia"/>
                <w:color w:val="auto"/>
              </w:rPr>
              <w:t>支持中小企业发展</w:t>
            </w:r>
          </w:p>
        </w:tc>
        <w:tc>
          <w:tcPr>
            <w:tcW w:w="6701" w:type="dxa"/>
            <w:tcBorders>
              <w:tl2br w:val="nil"/>
              <w:tr2bl w:val="nil"/>
            </w:tcBorders>
            <w:shd w:val="clear" w:color="auto" w:fill="auto"/>
            <w:vAlign w:val="center"/>
          </w:tcPr>
          <w:p>
            <w:pPr>
              <w:pStyle w:val="318"/>
              <w:jc w:val="left"/>
              <w:rPr>
                <w:color w:val="auto"/>
              </w:rPr>
            </w:pPr>
            <w:r>
              <w:rPr>
                <w:rFonts w:hint="eastAsia"/>
                <w:color w:val="auto"/>
              </w:rPr>
              <w:t>非专门面向中小企业采购项目（价格扣除）：对小型和微型企业的价格给予10%～20%的扣除，用扣除后的价格参与评审。本项目的扣除比例为：小型企业扣除10%，微型企业扣除10%。</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7" w:type="dxa"/>
            <w:vMerge w:val="continue"/>
            <w:tcBorders>
              <w:tl2br w:val="nil"/>
              <w:tr2bl w:val="nil"/>
            </w:tcBorders>
            <w:shd w:val="clear" w:color="auto" w:fill="auto"/>
            <w:vAlign w:val="center"/>
          </w:tcPr>
          <w:p>
            <w:pPr>
              <w:pStyle w:val="318"/>
              <w:rPr>
                <w:color w:val="auto"/>
              </w:rPr>
            </w:pPr>
          </w:p>
        </w:tc>
        <w:tc>
          <w:tcPr>
            <w:tcW w:w="1710" w:type="dxa"/>
            <w:tcBorders>
              <w:tl2br w:val="nil"/>
              <w:tr2bl w:val="nil"/>
            </w:tcBorders>
            <w:shd w:val="clear" w:color="auto" w:fill="auto"/>
            <w:vAlign w:val="center"/>
          </w:tcPr>
          <w:p>
            <w:pPr>
              <w:pStyle w:val="318"/>
              <w:rPr>
                <w:color w:val="auto"/>
              </w:rPr>
            </w:pPr>
            <w:r>
              <w:rPr>
                <w:rFonts w:hint="eastAsia"/>
                <w:color w:val="auto"/>
              </w:rPr>
              <w:t>支持监狱企业</w:t>
            </w:r>
          </w:p>
        </w:tc>
        <w:tc>
          <w:tcPr>
            <w:tcW w:w="6701" w:type="dxa"/>
            <w:tcBorders>
              <w:tl2br w:val="nil"/>
              <w:tr2bl w:val="nil"/>
            </w:tcBorders>
            <w:shd w:val="clear" w:color="auto" w:fill="auto"/>
            <w:vAlign w:val="center"/>
          </w:tcPr>
          <w:p>
            <w:pPr>
              <w:pStyle w:val="318"/>
              <w:jc w:val="left"/>
              <w:rPr>
                <w:color w:val="auto"/>
              </w:rPr>
            </w:pPr>
            <w:r>
              <w:rPr>
                <w:rFonts w:hint="eastAsia"/>
                <w:color w:val="auto"/>
              </w:rPr>
              <w:t>非专门面向监狱采购项目（价格扣除）：监狱企业可视同小微企业在价格评审时给予10%～20%的扣除，用扣除后的价格参与评审。本项目的扣除比例为：扣除10%。</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7" w:type="dxa"/>
            <w:vMerge w:val="continue"/>
            <w:tcBorders>
              <w:tl2br w:val="nil"/>
              <w:tr2bl w:val="nil"/>
            </w:tcBorders>
            <w:shd w:val="clear" w:color="auto" w:fill="auto"/>
            <w:vAlign w:val="center"/>
          </w:tcPr>
          <w:p>
            <w:pPr>
              <w:pStyle w:val="318"/>
              <w:rPr>
                <w:color w:val="auto"/>
              </w:rPr>
            </w:pPr>
          </w:p>
        </w:tc>
        <w:tc>
          <w:tcPr>
            <w:tcW w:w="1710" w:type="dxa"/>
            <w:tcBorders>
              <w:tl2br w:val="nil"/>
              <w:tr2bl w:val="nil"/>
            </w:tcBorders>
            <w:shd w:val="clear" w:color="auto" w:fill="auto"/>
            <w:vAlign w:val="center"/>
          </w:tcPr>
          <w:p>
            <w:pPr>
              <w:pStyle w:val="318"/>
              <w:rPr>
                <w:color w:val="auto"/>
              </w:rPr>
            </w:pPr>
            <w:r>
              <w:rPr>
                <w:rFonts w:hint="eastAsia"/>
                <w:color w:val="auto"/>
              </w:rPr>
              <w:t>支持残疾人福利性单位</w:t>
            </w:r>
          </w:p>
        </w:tc>
        <w:tc>
          <w:tcPr>
            <w:tcW w:w="6701" w:type="dxa"/>
            <w:tcBorders>
              <w:tl2br w:val="nil"/>
              <w:tr2bl w:val="nil"/>
            </w:tcBorders>
            <w:shd w:val="clear" w:color="auto" w:fill="auto"/>
            <w:vAlign w:val="center"/>
          </w:tcPr>
          <w:p>
            <w:pPr>
              <w:pStyle w:val="318"/>
              <w:jc w:val="left"/>
              <w:rPr>
                <w:color w:val="auto"/>
              </w:rPr>
            </w:pPr>
            <w:r>
              <w:rPr>
                <w:rFonts w:hint="eastAsia"/>
                <w:color w:val="auto"/>
              </w:rPr>
              <w:t>非专门面向残疾人福利性单位采购项目（价格扣除）：残疾人福利性单位可视同小微企业在价格评审时给予10%～20%的扣除，用扣除后的价格参与评审。本项目的扣除比例为：扣除10%。</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727" w:type="dxa"/>
            <w:vMerge w:val="continue"/>
            <w:tcBorders>
              <w:tl2br w:val="nil"/>
              <w:tr2bl w:val="nil"/>
            </w:tcBorders>
            <w:shd w:val="clear" w:color="auto" w:fill="auto"/>
            <w:vAlign w:val="center"/>
          </w:tcPr>
          <w:p>
            <w:pPr>
              <w:pStyle w:val="318"/>
              <w:rPr>
                <w:color w:val="auto"/>
              </w:rPr>
            </w:pPr>
          </w:p>
        </w:tc>
        <w:tc>
          <w:tcPr>
            <w:tcW w:w="8411" w:type="dxa"/>
            <w:gridSpan w:val="2"/>
            <w:tcBorders>
              <w:tl2br w:val="nil"/>
              <w:tr2bl w:val="nil"/>
            </w:tcBorders>
            <w:shd w:val="clear" w:color="auto" w:fill="auto"/>
            <w:vAlign w:val="center"/>
          </w:tcPr>
          <w:p>
            <w:pPr>
              <w:pStyle w:val="318"/>
              <w:jc w:val="left"/>
              <w:rPr>
                <w:color w:val="auto"/>
              </w:rPr>
            </w:pPr>
            <w:r>
              <w:rPr>
                <w:rFonts w:hint="eastAsia"/>
                <w:color w:val="auto"/>
              </w:rPr>
              <w:t>备注：</w:t>
            </w:r>
          </w:p>
          <w:p>
            <w:pPr>
              <w:pStyle w:val="318"/>
              <w:jc w:val="left"/>
              <w:rPr>
                <w:color w:val="auto"/>
              </w:rPr>
            </w:pPr>
            <w:r>
              <w:rPr>
                <w:rFonts w:hint="eastAsia"/>
                <w:color w:val="auto"/>
              </w:rPr>
              <w:t>1.上述扣除仅针对非专门面向中小企业的项目。</w:t>
            </w:r>
          </w:p>
          <w:p>
            <w:pPr>
              <w:pStyle w:val="318"/>
              <w:jc w:val="left"/>
              <w:rPr>
                <w:color w:val="auto"/>
              </w:rPr>
            </w:pPr>
            <w:r>
              <w:rPr>
                <w:rFonts w:hint="eastAsia"/>
                <w:color w:val="auto"/>
              </w:rPr>
              <w:t>2.对于同时属于小微企业、监狱企业或残疾人福利性单位的，不重复进行投标报价扣除。</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24</w:t>
            </w:r>
          </w:p>
        </w:tc>
        <w:tc>
          <w:tcPr>
            <w:tcW w:w="1710" w:type="dxa"/>
            <w:tcBorders>
              <w:tl2br w:val="nil"/>
              <w:tr2bl w:val="nil"/>
            </w:tcBorders>
            <w:shd w:val="clear" w:color="auto" w:fill="auto"/>
            <w:vAlign w:val="center"/>
          </w:tcPr>
          <w:p>
            <w:pPr>
              <w:pStyle w:val="318"/>
              <w:rPr>
                <w:color w:val="auto"/>
              </w:rPr>
            </w:pPr>
            <w:r>
              <w:rPr>
                <w:rFonts w:hint="eastAsia"/>
                <w:color w:val="auto"/>
              </w:rPr>
              <w:t>备选谈判方案</w:t>
            </w:r>
          </w:p>
        </w:tc>
        <w:tc>
          <w:tcPr>
            <w:tcW w:w="6701" w:type="dxa"/>
            <w:tcBorders>
              <w:tl2br w:val="nil"/>
              <w:tr2bl w:val="nil"/>
            </w:tcBorders>
            <w:shd w:val="clear" w:color="auto" w:fill="auto"/>
            <w:vAlign w:val="center"/>
          </w:tcPr>
          <w:p>
            <w:pPr>
              <w:pStyle w:val="318"/>
              <w:jc w:val="left"/>
              <w:rPr>
                <w:color w:val="auto"/>
              </w:rPr>
            </w:pPr>
            <w:r>
              <w:rPr>
                <w:rFonts w:hint="eastAsia"/>
                <w:color w:val="auto"/>
              </w:rPr>
              <w:t>本项目不接受备选谈判方案</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36</w:t>
            </w:r>
          </w:p>
        </w:tc>
        <w:tc>
          <w:tcPr>
            <w:tcW w:w="1710" w:type="dxa"/>
            <w:tcBorders>
              <w:tl2br w:val="nil"/>
              <w:tr2bl w:val="nil"/>
            </w:tcBorders>
            <w:shd w:val="clear" w:color="auto" w:fill="auto"/>
            <w:vAlign w:val="center"/>
          </w:tcPr>
          <w:p>
            <w:pPr>
              <w:pStyle w:val="318"/>
              <w:rPr>
                <w:color w:val="auto"/>
              </w:rPr>
            </w:pPr>
            <w:r>
              <w:rPr>
                <w:rFonts w:hint="eastAsia"/>
                <w:color w:val="auto"/>
              </w:rPr>
              <w:t>现场踏勘</w:t>
            </w:r>
          </w:p>
        </w:tc>
        <w:tc>
          <w:tcPr>
            <w:tcW w:w="6701" w:type="dxa"/>
            <w:tcBorders>
              <w:tl2br w:val="nil"/>
              <w:tr2bl w:val="nil"/>
            </w:tcBorders>
            <w:shd w:val="clear" w:color="auto" w:fill="auto"/>
            <w:vAlign w:val="center"/>
          </w:tcPr>
          <w:p>
            <w:pPr>
              <w:pStyle w:val="318"/>
              <w:jc w:val="left"/>
              <w:rPr>
                <w:color w:val="auto"/>
              </w:rPr>
            </w:pPr>
            <w:r>
              <w:rPr>
                <w:rFonts w:hint="eastAsia"/>
                <w:color w:val="auto"/>
              </w:rPr>
              <w:t>统一组织。</w:t>
            </w:r>
          </w:p>
          <w:p>
            <w:pPr>
              <w:pStyle w:val="318"/>
              <w:jc w:val="left"/>
              <w:rPr>
                <w:rFonts w:hint="default" w:eastAsia="宋体"/>
                <w:color w:val="auto"/>
                <w:lang w:val="en-US" w:eastAsia="zh-CN"/>
              </w:rPr>
            </w:pPr>
            <w:r>
              <w:rPr>
                <w:rFonts w:hint="eastAsia"/>
                <w:color w:val="auto"/>
              </w:rPr>
              <w:t>时间：</w:t>
            </w:r>
            <w:r>
              <w:rPr>
                <w:rFonts w:hint="eastAsia"/>
                <w:color w:val="auto"/>
                <w:lang w:val="en-US" w:eastAsia="zh-CN"/>
              </w:rPr>
              <w:t>2022年11月23日14:30分</w:t>
            </w:r>
          </w:p>
          <w:p>
            <w:pPr>
              <w:pStyle w:val="318"/>
              <w:jc w:val="left"/>
              <w:rPr>
                <w:color w:val="auto"/>
              </w:rPr>
            </w:pPr>
            <w:r>
              <w:rPr>
                <w:rFonts w:hint="eastAsia"/>
                <w:color w:val="auto"/>
              </w:rPr>
              <w:t>地点：</w:t>
            </w:r>
            <w:r>
              <w:rPr>
                <w:rFonts w:hint="eastAsia"/>
                <w:color w:val="auto"/>
                <w:lang w:val="en-US" w:eastAsia="zh-CN"/>
              </w:rPr>
              <w:t>西安科技大学骊山校园实验楼3层</w:t>
            </w:r>
          </w:p>
          <w:p>
            <w:pPr>
              <w:pStyle w:val="318"/>
              <w:jc w:val="left"/>
              <w:rPr>
                <w:rFonts w:hint="eastAsia"/>
                <w:color w:val="auto"/>
              </w:rPr>
            </w:pPr>
            <w:r>
              <w:rPr>
                <w:rFonts w:hint="eastAsia"/>
                <w:color w:val="auto"/>
              </w:rPr>
              <w:t>联系人及电话：高峰15229244171</w:t>
            </w:r>
          </w:p>
          <w:p>
            <w:pPr>
              <w:pStyle w:val="318"/>
              <w:jc w:val="left"/>
              <w:rPr>
                <w:rFonts w:hint="default" w:eastAsia="宋体"/>
                <w:color w:val="auto"/>
                <w:lang w:val="en-US" w:eastAsia="zh-CN"/>
              </w:rPr>
            </w:pPr>
            <w:r>
              <w:rPr>
                <w:rFonts w:hint="eastAsia"/>
                <w:b/>
                <w:bCs/>
                <w:color w:val="auto"/>
                <w:lang w:val="en-US" w:eastAsia="zh-CN"/>
              </w:rPr>
              <w:t>注：需踏勘人配合学校防疫政策，不踏勘者视为放弃继续参与本项目的权利。</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37</w:t>
            </w:r>
          </w:p>
        </w:tc>
        <w:tc>
          <w:tcPr>
            <w:tcW w:w="1710" w:type="dxa"/>
            <w:tcBorders>
              <w:tl2br w:val="nil"/>
              <w:tr2bl w:val="nil"/>
            </w:tcBorders>
            <w:shd w:val="clear" w:color="auto" w:fill="auto"/>
            <w:vAlign w:val="center"/>
          </w:tcPr>
          <w:p>
            <w:pPr>
              <w:pStyle w:val="318"/>
              <w:rPr>
                <w:color w:val="auto"/>
              </w:rPr>
            </w:pPr>
            <w:r>
              <w:rPr>
                <w:rFonts w:hint="eastAsia"/>
                <w:color w:val="auto"/>
                <w:szCs w:val="22"/>
              </w:rPr>
              <w:t>进口产品</w:t>
            </w:r>
          </w:p>
        </w:tc>
        <w:tc>
          <w:tcPr>
            <w:tcW w:w="6701" w:type="dxa"/>
            <w:tcBorders>
              <w:tl2br w:val="nil"/>
              <w:tr2bl w:val="nil"/>
            </w:tcBorders>
            <w:shd w:val="clear" w:color="auto" w:fill="auto"/>
            <w:vAlign w:val="center"/>
          </w:tcPr>
          <w:p>
            <w:pPr>
              <w:pStyle w:val="318"/>
              <w:jc w:val="left"/>
              <w:rPr>
                <w:color w:val="auto"/>
              </w:rPr>
            </w:pPr>
            <w:r>
              <w:rPr>
                <w:rFonts w:hint="eastAsia"/>
                <w:color w:val="auto"/>
              </w:rPr>
              <w:t>不接受</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27" w:type="dxa"/>
            <w:tcBorders>
              <w:tl2br w:val="nil"/>
              <w:tr2bl w:val="nil"/>
            </w:tcBorders>
            <w:shd w:val="clear" w:color="auto" w:fill="auto"/>
            <w:vAlign w:val="center"/>
          </w:tcPr>
          <w:p>
            <w:pPr>
              <w:pStyle w:val="318"/>
              <w:rPr>
                <w:rFonts w:hint="default" w:eastAsia="宋体"/>
                <w:color w:val="auto"/>
                <w:lang w:val="en-US" w:eastAsia="zh-CN"/>
              </w:rPr>
            </w:pPr>
            <w:r>
              <w:rPr>
                <w:rFonts w:hint="eastAsia"/>
                <w:color w:val="auto"/>
                <w:lang w:val="en-US" w:eastAsia="zh-CN"/>
              </w:rPr>
              <w:t>38</w:t>
            </w:r>
          </w:p>
        </w:tc>
        <w:tc>
          <w:tcPr>
            <w:tcW w:w="1710" w:type="dxa"/>
            <w:tcBorders>
              <w:tl2br w:val="nil"/>
              <w:tr2bl w:val="nil"/>
            </w:tcBorders>
            <w:shd w:val="clear" w:color="auto" w:fill="auto"/>
            <w:vAlign w:val="center"/>
          </w:tcPr>
          <w:p>
            <w:pPr>
              <w:pStyle w:val="318"/>
              <w:rPr>
                <w:color w:val="auto"/>
              </w:rPr>
            </w:pPr>
            <w:r>
              <w:rPr>
                <w:rFonts w:hint="eastAsia"/>
                <w:b/>
                <w:bCs/>
                <w:color w:val="auto"/>
                <w:szCs w:val="24"/>
              </w:rPr>
              <w:t>标的所属行业</w:t>
            </w:r>
          </w:p>
        </w:tc>
        <w:tc>
          <w:tcPr>
            <w:tcW w:w="6701" w:type="dxa"/>
            <w:tcBorders>
              <w:tl2br w:val="nil"/>
              <w:tr2bl w:val="nil"/>
            </w:tcBorders>
            <w:shd w:val="clear" w:color="auto" w:fill="auto"/>
            <w:vAlign w:val="center"/>
          </w:tcPr>
          <w:p>
            <w:pPr>
              <w:pStyle w:val="318"/>
              <w:jc w:val="left"/>
              <w:rPr>
                <w:color w:val="auto"/>
              </w:rPr>
            </w:pPr>
            <w:r>
              <w:rPr>
                <w:rFonts w:hint="eastAsia"/>
                <w:b/>
                <w:bCs/>
                <w:color w:val="auto"/>
              </w:rPr>
              <w:t>工业</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871" w:hRule="atLeast"/>
          <w:jc w:val="center"/>
        </w:trPr>
        <w:tc>
          <w:tcPr>
            <w:tcW w:w="727" w:type="dxa"/>
            <w:tcBorders>
              <w:tl2br w:val="nil"/>
              <w:tr2bl w:val="nil"/>
            </w:tcBorders>
            <w:shd w:val="clear" w:color="auto" w:fill="auto"/>
            <w:vAlign w:val="center"/>
          </w:tcPr>
          <w:p>
            <w:pPr>
              <w:pStyle w:val="318"/>
              <w:rPr>
                <w:rFonts w:hint="default" w:eastAsia="宋体"/>
                <w:color w:val="auto"/>
                <w:lang w:val="en-US" w:eastAsia="zh-CN"/>
              </w:rPr>
            </w:pPr>
            <w:r>
              <w:rPr>
                <w:rFonts w:hint="eastAsia"/>
                <w:color w:val="auto"/>
                <w:lang w:val="en-US" w:eastAsia="zh-CN"/>
              </w:rPr>
              <w:t>39</w:t>
            </w:r>
          </w:p>
        </w:tc>
        <w:tc>
          <w:tcPr>
            <w:tcW w:w="1710" w:type="dxa"/>
            <w:tcBorders>
              <w:tl2br w:val="nil"/>
              <w:tr2bl w:val="nil"/>
            </w:tcBorders>
            <w:shd w:val="clear" w:color="auto" w:fill="auto"/>
            <w:vAlign w:val="center"/>
          </w:tcPr>
          <w:p>
            <w:pPr>
              <w:pStyle w:val="318"/>
              <w:rPr>
                <w:color w:val="auto"/>
              </w:rPr>
            </w:pPr>
            <w:r>
              <w:rPr>
                <w:rFonts w:hint="eastAsia"/>
                <w:color w:val="auto"/>
              </w:rPr>
              <w:t>招标代理服务费</w:t>
            </w:r>
          </w:p>
        </w:tc>
        <w:tc>
          <w:tcPr>
            <w:tcW w:w="6701" w:type="dxa"/>
            <w:tcBorders>
              <w:tl2br w:val="nil"/>
              <w:tr2bl w:val="nil"/>
            </w:tcBorders>
            <w:shd w:val="clear" w:color="auto" w:fill="auto"/>
            <w:vAlign w:val="center"/>
          </w:tcPr>
          <w:p>
            <w:pPr>
              <w:pStyle w:val="318"/>
              <w:jc w:val="left"/>
              <w:rPr>
                <w:b/>
                <w:bCs/>
                <w:color w:val="auto"/>
              </w:rPr>
            </w:pPr>
            <w:r>
              <w:rPr>
                <w:rFonts w:hint="eastAsia"/>
                <w:color w:val="auto"/>
              </w:rPr>
              <w:t>参照国家计委颁发的《招标代理服务收费管理暂行办法》（计价格[2002]1980号）和国家发展改革委员会办公厅颁发的《关于招标代理服务收费有关问题的通知》（发改办价格[2003]857号）的</w:t>
            </w:r>
            <w:r>
              <w:rPr>
                <w:rFonts w:hint="eastAsia"/>
                <w:color w:val="auto"/>
                <w:shd w:val="clear"/>
              </w:rPr>
              <w:t>有关规</w:t>
            </w:r>
            <w:r>
              <w:rPr>
                <w:rFonts w:hint="eastAsia"/>
                <w:color w:val="auto"/>
                <w:shd w:val="clear" w:color="auto"/>
              </w:rPr>
              <w:t>下浮30%收取。</w:t>
            </w:r>
          </w:p>
          <w:p>
            <w:pPr>
              <w:pStyle w:val="318"/>
              <w:jc w:val="left"/>
              <w:rPr>
                <w:color w:val="auto"/>
              </w:rPr>
            </w:pPr>
            <w:r>
              <w:rPr>
                <w:rFonts w:hint="eastAsia"/>
                <w:color w:val="auto"/>
              </w:rPr>
              <w:t>成交供应商在领取中标通知书前，须向采购代理机构一次性支付招标代理服务费。</w:t>
            </w:r>
          </w:p>
          <w:p>
            <w:pPr>
              <w:pStyle w:val="318"/>
              <w:jc w:val="left"/>
              <w:rPr>
                <w:color w:val="auto"/>
              </w:rPr>
            </w:pPr>
            <w:r>
              <w:rPr>
                <w:rFonts w:hint="eastAsia"/>
                <w:b/>
                <w:bCs/>
                <w:color w:val="auto"/>
              </w:rPr>
              <w:t>本项目类型：货物</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499" w:hRule="atLeast"/>
          <w:jc w:val="center"/>
        </w:trPr>
        <w:tc>
          <w:tcPr>
            <w:tcW w:w="727" w:type="dxa"/>
            <w:tcBorders>
              <w:tl2br w:val="nil"/>
              <w:tr2bl w:val="nil"/>
            </w:tcBorders>
            <w:shd w:val="clear" w:color="auto" w:fill="auto"/>
            <w:vAlign w:val="center"/>
          </w:tcPr>
          <w:p>
            <w:pPr>
              <w:pStyle w:val="318"/>
              <w:rPr>
                <w:rFonts w:hint="default" w:eastAsia="宋体"/>
                <w:color w:val="auto"/>
                <w:lang w:val="en-US" w:eastAsia="zh-CN"/>
              </w:rPr>
            </w:pPr>
            <w:r>
              <w:rPr>
                <w:rFonts w:hint="eastAsia"/>
                <w:color w:val="auto"/>
                <w:lang w:val="en-US" w:eastAsia="zh-CN"/>
              </w:rPr>
              <w:t>40</w:t>
            </w:r>
          </w:p>
        </w:tc>
        <w:tc>
          <w:tcPr>
            <w:tcW w:w="1710" w:type="dxa"/>
            <w:tcBorders>
              <w:tl2br w:val="nil"/>
              <w:tr2bl w:val="nil"/>
            </w:tcBorders>
            <w:shd w:val="clear" w:color="auto" w:fill="auto"/>
            <w:vAlign w:val="center"/>
          </w:tcPr>
          <w:p>
            <w:pPr>
              <w:pStyle w:val="318"/>
              <w:rPr>
                <w:color w:val="auto"/>
              </w:rPr>
            </w:pPr>
            <w:r>
              <w:rPr>
                <w:rFonts w:hint="eastAsia"/>
                <w:color w:val="auto"/>
              </w:rPr>
              <w:t>招标代理服务费账户</w:t>
            </w:r>
          </w:p>
        </w:tc>
        <w:tc>
          <w:tcPr>
            <w:tcW w:w="6701" w:type="dxa"/>
            <w:tcBorders>
              <w:tl2br w:val="nil"/>
              <w:tr2bl w:val="nil"/>
            </w:tcBorders>
            <w:shd w:val="clear" w:color="auto" w:fill="auto"/>
            <w:vAlign w:val="center"/>
          </w:tcPr>
          <w:p>
            <w:pPr>
              <w:pStyle w:val="318"/>
              <w:jc w:val="left"/>
              <w:rPr>
                <w:b/>
                <w:bCs/>
                <w:color w:val="auto"/>
              </w:rPr>
            </w:pPr>
            <w:r>
              <w:rPr>
                <w:rFonts w:hint="eastAsia"/>
                <w:b/>
                <w:bCs/>
                <w:color w:val="auto"/>
              </w:rPr>
              <w:t>户名：陕西正鸿招标有限公司</w:t>
            </w:r>
          </w:p>
          <w:p>
            <w:pPr>
              <w:pStyle w:val="318"/>
              <w:jc w:val="left"/>
              <w:rPr>
                <w:b/>
                <w:bCs/>
                <w:color w:val="auto"/>
              </w:rPr>
            </w:pPr>
            <w:r>
              <w:rPr>
                <w:rFonts w:hint="eastAsia"/>
                <w:b/>
                <w:bCs/>
                <w:color w:val="auto"/>
              </w:rPr>
              <w:t>开户行：交通银行股份有限公司西安大雁塔支行</w:t>
            </w:r>
          </w:p>
          <w:p>
            <w:pPr>
              <w:pStyle w:val="318"/>
              <w:jc w:val="left"/>
              <w:rPr>
                <w:color w:val="auto"/>
              </w:rPr>
            </w:pPr>
            <w:r>
              <w:rPr>
                <w:rFonts w:hint="eastAsia"/>
                <w:b/>
                <w:bCs/>
                <w:color w:val="auto"/>
              </w:rPr>
              <w:t>账号：611301053018010099844</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398" w:hRule="atLeast"/>
          <w:jc w:val="center"/>
        </w:trPr>
        <w:tc>
          <w:tcPr>
            <w:tcW w:w="727" w:type="dxa"/>
            <w:tcBorders>
              <w:tl2br w:val="nil"/>
              <w:tr2bl w:val="nil"/>
            </w:tcBorders>
            <w:shd w:val="clear" w:color="auto" w:fill="auto"/>
            <w:vAlign w:val="center"/>
          </w:tcPr>
          <w:p>
            <w:pPr>
              <w:pStyle w:val="318"/>
              <w:rPr>
                <w:rFonts w:hint="default" w:eastAsia="宋体"/>
                <w:color w:val="auto"/>
                <w:lang w:val="en-US" w:eastAsia="zh-CN"/>
              </w:rPr>
            </w:pPr>
            <w:r>
              <w:rPr>
                <w:rFonts w:hint="eastAsia"/>
                <w:color w:val="auto"/>
                <w:lang w:val="en-US" w:eastAsia="zh-CN"/>
              </w:rPr>
              <w:t>41</w:t>
            </w:r>
          </w:p>
        </w:tc>
        <w:tc>
          <w:tcPr>
            <w:tcW w:w="1710" w:type="dxa"/>
            <w:tcBorders>
              <w:tl2br w:val="nil"/>
              <w:tr2bl w:val="nil"/>
            </w:tcBorders>
            <w:shd w:val="clear" w:color="auto" w:fill="auto"/>
            <w:vAlign w:val="center"/>
          </w:tcPr>
          <w:p>
            <w:pPr>
              <w:pStyle w:val="318"/>
              <w:rPr>
                <w:color w:val="auto"/>
              </w:rPr>
            </w:pPr>
            <w:r>
              <w:rPr>
                <w:rFonts w:hint="eastAsia"/>
                <w:color w:val="auto"/>
              </w:rPr>
              <w:t>一致性</w:t>
            </w:r>
          </w:p>
        </w:tc>
        <w:tc>
          <w:tcPr>
            <w:tcW w:w="6701" w:type="dxa"/>
            <w:tcBorders>
              <w:tl2br w:val="nil"/>
              <w:tr2bl w:val="nil"/>
            </w:tcBorders>
            <w:shd w:val="clear" w:color="auto" w:fill="auto"/>
            <w:vAlign w:val="center"/>
          </w:tcPr>
          <w:p>
            <w:pPr>
              <w:pStyle w:val="318"/>
              <w:jc w:val="left"/>
              <w:rPr>
                <w:color w:val="auto"/>
              </w:rPr>
            </w:pPr>
            <w:r>
              <w:rPr>
                <w:rFonts w:hint="eastAsia"/>
                <w:color w:val="auto"/>
              </w:rPr>
              <w:t>供应商须知前附表和供应商须知不一致的地方，以供应商须知前附表为准。</w:t>
            </w:r>
          </w:p>
        </w:tc>
      </w:tr>
    </w:tbl>
    <w:p>
      <w:pPr>
        <w:pStyle w:val="4"/>
        <w:rPr>
          <w:color w:val="auto"/>
        </w:rPr>
      </w:pPr>
      <w:bookmarkStart w:id="12" w:name="_Toc246928895"/>
      <w:bookmarkStart w:id="13" w:name="_Toc423508220"/>
      <w:bookmarkStart w:id="14" w:name="_Toc93800308"/>
      <w:bookmarkStart w:id="15" w:name="_Toc497546918"/>
      <w:bookmarkStart w:id="16" w:name="_Toc492955459"/>
      <w:bookmarkStart w:id="17" w:name="_Toc246928930"/>
      <w:bookmarkStart w:id="18" w:name="_Toc497551820"/>
      <w:bookmarkStart w:id="19" w:name="_Toc497712133"/>
      <w:bookmarkStart w:id="20" w:name="_Toc497711585"/>
      <w:r>
        <w:rPr>
          <w:rFonts w:hint="eastAsia"/>
          <w:color w:val="auto"/>
        </w:rPr>
        <w:t>一、总则</w:t>
      </w:r>
    </w:p>
    <w:bookmarkEnd w:id="12"/>
    <w:bookmarkEnd w:id="13"/>
    <w:p>
      <w:pPr>
        <w:pStyle w:val="6"/>
        <w:rPr>
          <w:color w:val="auto"/>
        </w:rPr>
      </w:pPr>
      <w:bookmarkStart w:id="21" w:name="_Toc10621"/>
      <w:r>
        <w:rPr>
          <w:rFonts w:hint="eastAsia"/>
          <w:color w:val="auto"/>
        </w:rPr>
        <w:t>1.资金来源</w:t>
      </w:r>
      <w:bookmarkEnd w:id="21"/>
    </w:p>
    <w:p>
      <w:pPr>
        <w:pStyle w:val="13"/>
        <w:ind w:firstLine="480"/>
        <w:rPr>
          <w:color w:val="auto"/>
        </w:rPr>
      </w:pPr>
      <w:r>
        <w:rPr>
          <w:rFonts w:hint="eastAsia"/>
          <w:color w:val="auto"/>
        </w:rPr>
        <w:t>1.1本次竞争性谈判所签合同使用财政资金支付，资金已落实到位。</w:t>
      </w:r>
    </w:p>
    <w:p>
      <w:pPr>
        <w:pStyle w:val="6"/>
        <w:rPr>
          <w:color w:val="auto"/>
        </w:rPr>
      </w:pPr>
      <w:bookmarkStart w:id="22" w:name="_Toc2512"/>
      <w:bookmarkStart w:id="23" w:name="_Toc403077640"/>
      <w:bookmarkStart w:id="24" w:name="_Toc363474018"/>
      <w:bookmarkStart w:id="25" w:name="_Toc363473973"/>
      <w:r>
        <w:rPr>
          <w:rFonts w:hint="eastAsia"/>
          <w:color w:val="auto"/>
        </w:rPr>
        <w:t>2.名词解释</w:t>
      </w:r>
      <w:bookmarkEnd w:id="22"/>
    </w:p>
    <w:p>
      <w:pPr>
        <w:pStyle w:val="13"/>
        <w:ind w:firstLine="480"/>
        <w:rPr>
          <w:color w:val="auto"/>
        </w:rPr>
      </w:pPr>
      <w:r>
        <w:rPr>
          <w:rFonts w:hint="eastAsia"/>
          <w:color w:val="auto"/>
        </w:rPr>
        <w:t>2.1采购人：见供应商须知前附表</w:t>
      </w:r>
    </w:p>
    <w:p>
      <w:pPr>
        <w:pStyle w:val="13"/>
        <w:ind w:firstLine="480"/>
        <w:rPr>
          <w:color w:val="auto"/>
        </w:rPr>
      </w:pPr>
      <w:r>
        <w:rPr>
          <w:rFonts w:hint="eastAsia"/>
          <w:color w:val="auto"/>
        </w:rPr>
        <w:t>2.2采购代理机构：见供应商须知前附表</w:t>
      </w:r>
    </w:p>
    <w:p>
      <w:pPr>
        <w:pStyle w:val="13"/>
        <w:ind w:firstLine="480"/>
        <w:rPr>
          <w:color w:val="auto"/>
        </w:rPr>
      </w:pPr>
      <w:r>
        <w:rPr>
          <w:rFonts w:hint="eastAsia"/>
          <w:color w:val="auto"/>
        </w:rPr>
        <w:t>2.3监督部门：见供应商须知前附表</w:t>
      </w:r>
    </w:p>
    <w:p>
      <w:pPr>
        <w:pStyle w:val="13"/>
        <w:ind w:firstLine="480"/>
        <w:rPr>
          <w:color w:val="auto"/>
        </w:rPr>
      </w:pPr>
      <w:r>
        <w:rPr>
          <w:rFonts w:hint="eastAsia"/>
          <w:color w:val="auto"/>
        </w:rPr>
        <w:t>2.4供应商：是指参与本项目响应且符合竞争性谈判文件规定资格条件的法人、其他组织或者自然人。</w:t>
      </w:r>
    </w:p>
    <w:p>
      <w:pPr>
        <w:pStyle w:val="13"/>
        <w:ind w:firstLine="480"/>
        <w:rPr>
          <w:color w:val="auto"/>
        </w:rPr>
      </w:pPr>
      <w:r>
        <w:rPr>
          <w:rFonts w:hint="eastAsia"/>
          <w:color w:val="auto"/>
        </w:rPr>
        <w:t>2.5产品：本谈判文件中第三章所述所有产品。</w:t>
      </w:r>
    </w:p>
    <w:p>
      <w:pPr>
        <w:pStyle w:val="13"/>
        <w:ind w:firstLine="480"/>
        <w:rPr>
          <w:color w:val="auto"/>
        </w:rPr>
      </w:pPr>
      <w:r>
        <w:rPr>
          <w:rFonts w:hint="eastAsia"/>
          <w:color w:val="auto"/>
        </w:rPr>
        <w:t>2.6服务：供应商为满足谈判文件要求而提供的服务。</w:t>
      </w:r>
    </w:p>
    <w:p>
      <w:pPr>
        <w:pStyle w:val="13"/>
        <w:ind w:firstLine="480"/>
        <w:rPr>
          <w:color w:val="auto"/>
        </w:rPr>
      </w:pPr>
      <w:r>
        <w:rPr>
          <w:rFonts w:hint="eastAsia"/>
          <w:color w:val="auto"/>
        </w:rPr>
        <w:t>2.7节能产品或者环保产品：依据国家确定的认证机构出具的、处于有效期之内的具有节能产品、环境标志产品认证证书的产品。</w:t>
      </w:r>
    </w:p>
    <w:p>
      <w:pPr>
        <w:pStyle w:val="13"/>
        <w:ind w:firstLine="480"/>
        <w:rPr>
          <w:color w:val="auto"/>
        </w:rPr>
      </w:pPr>
      <w:r>
        <w:rPr>
          <w:rFonts w:hint="eastAsia"/>
          <w:color w:val="auto"/>
        </w:rPr>
        <w:t>2.8进口产品：通过中国海关报关验放进入中国境内且产自关境外的产品，详见《关于政府采购进口产品管理有关问题的通知》(财库[2007]119号)。</w:t>
      </w:r>
    </w:p>
    <w:p>
      <w:pPr>
        <w:pStyle w:val="13"/>
        <w:ind w:firstLine="480"/>
        <w:rPr>
          <w:color w:val="auto"/>
        </w:rPr>
      </w:pPr>
      <w:r>
        <w:rPr>
          <w:rFonts w:hint="eastAsia"/>
          <w:color w:val="auto"/>
        </w:rPr>
        <w:t>2.9中小企业：符合《政府采购促进中小企业发展管理办法》(财库(2020)46号)规定的对中小企业的划分标准的企业。</w:t>
      </w:r>
    </w:p>
    <w:p>
      <w:pPr>
        <w:pStyle w:val="13"/>
        <w:ind w:firstLine="480"/>
        <w:rPr>
          <w:color w:val="auto"/>
        </w:rPr>
      </w:pPr>
      <w:r>
        <w:rPr>
          <w:rFonts w:hint="eastAsia"/>
          <w:color w:val="auto"/>
        </w:rPr>
        <w:t>2.10监狱企业：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pStyle w:val="13"/>
        <w:ind w:firstLine="480"/>
        <w:rPr>
          <w:color w:val="auto"/>
        </w:rPr>
      </w:pPr>
      <w:r>
        <w:rPr>
          <w:rFonts w:hint="eastAsia"/>
          <w:color w:val="auto"/>
        </w:rPr>
        <w:t>2.11残疾人福利性单位：符合《三部门联合发布关于促进残疾人就业政府采购政策的通知》财库〔2017〕141号规定的对残疾人福利性单位划分标准的单位。</w:t>
      </w:r>
    </w:p>
    <w:p>
      <w:pPr>
        <w:pStyle w:val="6"/>
        <w:rPr>
          <w:color w:val="auto"/>
        </w:rPr>
      </w:pPr>
      <w:bookmarkStart w:id="26" w:name="_Toc21730"/>
      <w:r>
        <w:rPr>
          <w:rFonts w:hint="eastAsia"/>
          <w:color w:val="auto"/>
        </w:rPr>
        <w:t>3.合格的</w:t>
      </w:r>
      <w:bookmarkEnd w:id="26"/>
      <w:r>
        <w:rPr>
          <w:rFonts w:hint="eastAsia"/>
          <w:color w:val="auto"/>
        </w:rPr>
        <w:t>供应商</w:t>
      </w:r>
    </w:p>
    <w:p>
      <w:pPr>
        <w:pStyle w:val="13"/>
        <w:ind w:firstLine="480"/>
        <w:rPr>
          <w:color w:val="auto"/>
        </w:rPr>
      </w:pPr>
      <w:r>
        <w:rPr>
          <w:rFonts w:hint="eastAsia"/>
          <w:color w:val="auto"/>
        </w:rPr>
        <w:t>3.1《政府采购法》第二十二条第一款规定的供应商基本资格条件：</w:t>
      </w:r>
    </w:p>
    <w:p>
      <w:pPr>
        <w:pStyle w:val="13"/>
        <w:ind w:firstLine="480"/>
        <w:rPr>
          <w:color w:val="auto"/>
        </w:rPr>
      </w:pPr>
      <w:r>
        <w:rPr>
          <w:rFonts w:hint="eastAsia"/>
          <w:color w:val="auto"/>
        </w:rPr>
        <w:t>（1）具有独立承担民事责任的能力；</w:t>
      </w:r>
    </w:p>
    <w:p>
      <w:pPr>
        <w:pStyle w:val="13"/>
        <w:ind w:firstLine="480"/>
        <w:rPr>
          <w:color w:val="auto"/>
        </w:rPr>
      </w:pPr>
      <w:r>
        <w:rPr>
          <w:rFonts w:hint="eastAsia"/>
          <w:color w:val="auto"/>
        </w:rPr>
        <w:t>（2）具有良好的商业信誉和健全的财务会计制度；</w:t>
      </w:r>
    </w:p>
    <w:p>
      <w:pPr>
        <w:pStyle w:val="13"/>
        <w:ind w:firstLine="480"/>
        <w:rPr>
          <w:color w:val="auto"/>
        </w:rPr>
      </w:pPr>
      <w:r>
        <w:rPr>
          <w:rFonts w:hint="eastAsia"/>
          <w:color w:val="auto"/>
        </w:rPr>
        <w:t>（3）具有履行合同所必需的设备和专业技术能力；</w:t>
      </w:r>
    </w:p>
    <w:p>
      <w:pPr>
        <w:pStyle w:val="13"/>
        <w:ind w:firstLine="480"/>
        <w:rPr>
          <w:color w:val="auto"/>
        </w:rPr>
      </w:pPr>
      <w:r>
        <w:rPr>
          <w:rFonts w:hint="eastAsia"/>
          <w:color w:val="auto"/>
        </w:rPr>
        <w:t>（4）有依法缴纳税收和社会保障资金的良好记录；</w:t>
      </w:r>
    </w:p>
    <w:p>
      <w:pPr>
        <w:pStyle w:val="13"/>
        <w:ind w:firstLine="480"/>
        <w:rPr>
          <w:color w:val="auto"/>
        </w:rPr>
      </w:pPr>
      <w:r>
        <w:rPr>
          <w:rFonts w:hint="eastAsia"/>
          <w:color w:val="auto"/>
        </w:rPr>
        <w:t>（5）参加政府采购活动前三年内，在经营活动中没有重大违法记录；</w:t>
      </w:r>
    </w:p>
    <w:p>
      <w:pPr>
        <w:pStyle w:val="13"/>
        <w:ind w:firstLine="480"/>
        <w:rPr>
          <w:color w:val="auto"/>
        </w:rPr>
      </w:pPr>
      <w:r>
        <w:rPr>
          <w:rFonts w:hint="eastAsia"/>
          <w:color w:val="auto"/>
        </w:rPr>
        <w:t>（6）法律、行政法规规定的其他条件。</w:t>
      </w:r>
    </w:p>
    <w:p>
      <w:pPr>
        <w:pStyle w:val="13"/>
        <w:ind w:firstLine="480"/>
        <w:rPr>
          <w:color w:val="auto"/>
        </w:rPr>
      </w:pPr>
      <w:r>
        <w:rPr>
          <w:rFonts w:hint="eastAsia"/>
          <w:color w:val="auto"/>
        </w:rPr>
        <w:t>3.2根据本次采购项目的特殊要求，规定的供应商特殊条件（见供应商须知前附表）。</w:t>
      </w:r>
    </w:p>
    <w:p>
      <w:pPr>
        <w:pStyle w:val="13"/>
        <w:ind w:firstLine="480"/>
        <w:rPr>
          <w:color w:val="auto"/>
        </w:rPr>
      </w:pPr>
      <w:r>
        <w:rPr>
          <w:rFonts w:hint="eastAsia"/>
          <w:color w:val="auto"/>
        </w:rPr>
        <w:t>3.3单位负责人为同一人或者存在直接控股、管理关系的不同供应商，不得参加同一合同项下的政府采购活动。</w:t>
      </w:r>
    </w:p>
    <w:p>
      <w:pPr>
        <w:pStyle w:val="13"/>
        <w:ind w:firstLine="480"/>
        <w:rPr>
          <w:color w:val="auto"/>
        </w:rPr>
      </w:pPr>
      <w:r>
        <w:rPr>
          <w:rFonts w:hint="eastAsia"/>
          <w:color w:val="auto"/>
        </w:rPr>
        <w:t>3.4为采购项目提供整体设计、规范编制或者项目管理、监理、检测等服务的供应商，不得再参加该采购项目的其他采购活动，否则均为无效谈判响应。</w:t>
      </w:r>
    </w:p>
    <w:p>
      <w:pPr>
        <w:pStyle w:val="13"/>
        <w:ind w:firstLine="480"/>
        <w:rPr>
          <w:color w:val="auto"/>
        </w:rPr>
      </w:pPr>
      <w:r>
        <w:rPr>
          <w:rFonts w:hint="eastAsia"/>
          <w:color w:val="auto"/>
        </w:rPr>
        <w:t>3.5供应商必须在陕西正鸿招标有限公司购买竞争性谈判文件，方可参加谈判。竞争性谈判文件售后不退。</w:t>
      </w:r>
    </w:p>
    <w:p>
      <w:pPr>
        <w:pStyle w:val="13"/>
        <w:ind w:firstLine="480"/>
        <w:rPr>
          <w:color w:val="auto"/>
        </w:rPr>
      </w:pPr>
      <w:r>
        <w:rPr>
          <w:rFonts w:hint="eastAsia"/>
          <w:color w:val="auto"/>
        </w:rPr>
        <w:t>3.6联合体谈判响应。</w:t>
      </w:r>
    </w:p>
    <w:p>
      <w:pPr>
        <w:pStyle w:val="13"/>
        <w:ind w:firstLine="480"/>
        <w:rPr>
          <w:color w:val="auto"/>
        </w:rPr>
      </w:pPr>
      <w:r>
        <w:rPr>
          <w:rFonts w:hint="eastAsia"/>
          <w:color w:val="auto"/>
        </w:rPr>
        <w:t>3.6.1如果在谈判文件中接受联合体谈判响应（见供应商须知前附表），则两个以上供应商可以组成一个谈判响应联合体，以一个供应商的身份参与谈判响应。以联合体形式参加谈判响应的，联合体各方均应当符合《中华人民共和国政府采购法》及实施条例规定的条件。采购人根据采购项目的特殊要求规定供应商特定条件的，联合体各方中至少应当有一方符合采购人规定的特定条件。</w:t>
      </w:r>
    </w:p>
    <w:p>
      <w:pPr>
        <w:pStyle w:val="13"/>
        <w:ind w:firstLine="480"/>
        <w:rPr>
          <w:color w:val="auto"/>
        </w:rPr>
      </w:pPr>
      <w:r>
        <w:rPr>
          <w:rFonts w:hint="eastAsia"/>
          <w:color w:val="auto"/>
        </w:rPr>
        <w:t>3.6.2联合体各方之间应当签订共同谈判响应协议，明确约定联合体各方承担的工作和相应的责任，并将共同谈判响应协议连同响应文件一并提交采购代理机构。联合体各方签订共同谈判响应协议后，不得再以自己名义单独在同一项目中谈判响应，也不得组成新的联合体参加同一项目谈判响应。</w:t>
      </w:r>
    </w:p>
    <w:p>
      <w:pPr>
        <w:pStyle w:val="13"/>
        <w:ind w:firstLine="480"/>
        <w:rPr>
          <w:color w:val="auto"/>
        </w:rPr>
      </w:pPr>
      <w:r>
        <w:rPr>
          <w:rFonts w:hint="eastAsia"/>
          <w:color w:val="auto"/>
        </w:rPr>
        <w:t>3.6.3联合体各方应当共同与采购人签订采购合同，就采购合同约定的事项对采购人承担连带责任。</w:t>
      </w:r>
    </w:p>
    <w:p>
      <w:pPr>
        <w:pStyle w:val="13"/>
        <w:ind w:firstLine="480"/>
        <w:rPr>
          <w:color w:val="auto"/>
        </w:rPr>
      </w:pPr>
      <w:r>
        <w:rPr>
          <w:rFonts w:hint="eastAsia"/>
          <w:color w:val="auto"/>
        </w:rPr>
        <w:t>3.7谈判响应费用自理。不论谈判的结果如何，供应商均应自行承担所有与参加谈判响应有关的费用。</w:t>
      </w:r>
    </w:p>
    <w:p>
      <w:pPr>
        <w:pStyle w:val="6"/>
        <w:rPr>
          <w:color w:val="auto"/>
        </w:rPr>
      </w:pPr>
      <w:bookmarkStart w:id="27" w:name="_Toc321"/>
      <w:r>
        <w:rPr>
          <w:rFonts w:hint="eastAsia"/>
          <w:color w:val="auto"/>
        </w:rPr>
        <w:t>4.合格的产品（货物）和服务</w:t>
      </w:r>
      <w:bookmarkEnd w:id="27"/>
    </w:p>
    <w:p>
      <w:pPr>
        <w:pStyle w:val="13"/>
        <w:ind w:firstLine="480"/>
        <w:rPr>
          <w:color w:val="auto"/>
        </w:rPr>
      </w:pPr>
      <w:r>
        <w:rPr>
          <w:rFonts w:hint="eastAsia"/>
          <w:color w:val="auto"/>
        </w:rPr>
        <w:t>4.1供应商提供的所有产品（货物）和服务，必须是合法生产、合法来源（提供产品来源渠道合法的证明文件：包括但不限于销售协议、代理协议、原厂授权等），符合国家有关标准要求，并满足竞争性谈判文件规定的规格、参数、质量、价格、有效期、售后服务及供应商须承担的运输、安装、技术支持、培训和竞争性谈判文件规定的其它伴随服务等要求。</w:t>
      </w:r>
    </w:p>
    <w:p>
      <w:pPr>
        <w:pStyle w:val="13"/>
        <w:ind w:firstLine="480"/>
        <w:rPr>
          <w:color w:val="auto"/>
        </w:rPr>
      </w:pPr>
      <w:r>
        <w:rPr>
          <w:rFonts w:hint="eastAsia"/>
          <w:color w:val="auto"/>
        </w:rPr>
        <w:t>4.2采购人有权拒绝接受任何不合格的产品和服务，由此产生的费用及相关后果均由供应商自行承担。</w:t>
      </w:r>
    </w:p>
    <w:p>
      <w:pPr>
        <w:pStyle w:val="6"/>
        <w:rPr>
          <w:color w:val="auto"/>
        </w:rPr>
      </w:pPr>
      <w:bookmarkStart w:id="28" w:name="_Toc7760"/>
      <w:r>
        <w:rPr>
          <w:rFonts w:hint="eastAsia"/>
          <w:color w:val="auto"/>
        </w:rPr>
        <w:t>5.供应商信用记录查询及使用</w:t>
      </w:r>
      <w:bookmarkEnd w:id="28"/>
    </w:p>
    <w:p>
      <w:pPr>
        <w:pStyle w:val="13"/>
        <w:ind w:firstLine="480"/>
        <w:rPr>
          <w:color w:val="auto"/>
        </w:rPr>
      </w:pPr>
      <w:r>
        <w:rPr>
          <w:rFonts w:hint="eastAsia"/>
          <w:color w:val="auto"/>
        </w:rPr>
        <w:t>5.1“信用中国”网站（www.creditchina.gov.cn）和“中国政府采购网”（ccgp.gov.cn）为供应商信用信息查询渠道，如果供应商被查实在谈判响应截止时间前已列入失信被执行人、重大税收违法案件当事人名单、政府采购严重违法失信行为记录名单，其谈判响应为无效。采购代理机构将打印查询记录作为证据留存。</w:t>
      </w:r>
    </w:p>
    <w:p>
      <w:pPr>
        <w:pStyle w:val="13"/>
        <w:ind w:firstLine="480"/>
        <w:rPr>
          <w:color w:val="auto"/>
        </w:rPr>
      </w:pPr>
      <w:r>
        <w:rPr>
          <w:rFonts w:hint="eastAsia"/>
          <w:color w:val="auto"/>
        </w:rPr>
        <w:t>5.2供应商在参加政府采购活动前3年内因违法经营被禁止在一定期限内参加政府采购活动，期限届满的，可以参加政府采购活动的，但供应商应提供相关证明材料。</w:t>
      </w:r>
    </w:p>
    <w:p>
      <w:pPr>
        <w:pStyle w:val="6"/>
        <w:rPr>
          <w:color w:val="auto"/>
        </w:rPr>
      </w:pPr>
      <w:bookmarkStart w:id="29" w:name="_Toc16330"/>
      <w:r>
        <w:rPr>
          <w:rFonts w:hint="eastAsia"/>
          <w:color w:val="auto"/>
        </w:rPr>
        <w:t>6.竞争性谈判响应文件内容的真实性</w:t>
      </w:r>
      <w:bookmarkEnd w:id="29"/>
    </w:p>
    <w:p>
      <w:pPr>
        <w:pStyle w:val="13"/>
        <w:ind w:firstLine="480"/>
        <w:rPr>
          <w:color w:val="auto"/>
        </w:rPr>
      </w:pPr>
      <w:r>
        <w:rPr>
          <w:rFonts w:hint="eastAsia"/>
          <w:color w:val="auto"/>
        </w:rPr>
        <w:t>6.1供应商应保证其谈判响应文件中所提供的所有有关谈判的资料、信息是真实的，并且来源于合法的渠道。因谈判响应文件中所提供的有关谈判响应的资料、信息不真实、或者其来源不合法而导致的所有法律责任，由供应商自行承担。</w:t>
      </w:r>
    </w:p>
    <w:p>
      <w:pPr>
        <w:pStyle w:val="4"/>
        <w:rPr>
          <w:color w:val="auto"/>
        </w:rPr>
      </w:pPr>
      <w:bookmarkStart w:id="30" w:name="_Toc5084"/>
      <w:bookmarkStart w:id="31" w:name="_Toc8327"/>
      <w:bookmarkStart w:id="32" w:name="_Toc3335"/>
      <w:r>
        <w:rPr>
          <w:rFonts w:hint="eastAsia"/>
          <w:color w:val="auto"/>
        </w:rPr>
        <w:t>二.竞争性谈判文件</w:t>
      </w:r>
      <w:bookmarkEnd w:id="23"/>
      <w:bookmarkEnd w:id="24"/>
      <w:bookmarkEnd w:id="25"/>
      <w:bookmarkEnd w:id="30"/>
      <w:bookmarkEnd w:id="31"/>
      <w:bookmarkEnd w:id="32"/>
    </w:p>
    <w:p>
      <w:pPr>
        <w:pStyle w:val="6"/>
        <w:rPr>
          <w:color w:val="auto"/>
        </w:rPr>
      </w:pPr>
      <w:bookmarkStart w:id="33" w:name="_Toc18137"/>
      <w:r>
        <w:rPr>
          <w:rFonts w:hint="eastAsia"/>
          <w:color w:val="auto"/>
        </w:rPr>
        <w:t>7.竞争性谈判文件构成</w:t>
      </w:r>
      <w:bookmarkEnd w:id="33"/>
    </w:p>
    <w:p>
      <w:pPr>
        <w:pStyle w:val="13"/>
        <w:ind w:firstLine="480"/>
        <w:rPr>
          <w:color w:val="auto"/>
        </w:rPr>
      </w:pPr>
      <w:r>
        <w:rPr>
          <w:rFonts w:hint="eastAsia"/>
          <w:color w:val="auto"/>
        </w:rPr>
        <w:t>7.1 竞争性谈判文件规定了要求提供的产品和服务，谈判程序和合同条件在竞争性谈判文件中均有说明。竞争性谈判文件共五部分，内容如下：</w:t>
      </w:r>
    </w:p>
    <w:p>
      <w:pPr>
        <w:pStyle w:val="13"/>
        <w:ind w:firstLine="480"/>
        <w:rPr>
          <w:color w:val="auto"/>
        </w:rPr>
      </w:pPr>
      <w:r>
        <w:rPr>
          <w:rFonts w:hint="eastAsia"/>
          <w:color w:val="auto"/>
        </w:rPr>
        <w:t>第一章 竞争性谈判公告</w:t>
      </w:r>
    </w:p>
    <w:p>
      <w:pPr>
        <w:pStyle w:val="13"/>
        <w:ind w:firstLine="480"/>
        <w:rPr>
          <w:color w:val="auto"/>
        </w:rPr>
      </w:pPr>
      <w:r>
        <w:rPr>
          <w:rFonts w:hint="eastAsia"/>
          <w:color w:val="auto"/>
        </w:rPr>
        <w:t>第二章 供应商须知</w:t>
      </w:r>
    </w:p>
    <w:p>
      <w:pPr>
        <w:pStyle w:val="13"/>
        <w:ind w:firstLine="480"/>
        <w:rPr>
          <w:color w:val="auto"/>
        </w:rPr>
      </w:pPr>
      <w:r>
        <w:rPr>
          <w:rFonts w:hint="eastAsia"/>
          <w:color w:val="auto"/>
        </w:rPr>
        <w:t>第三章 采购内容及要求</w:t>
      </w:r>
    </w:p>
    <w:p>
      <w:pPr>
        <w:pStyle w:val="13"/>
        <w:ind w:firstLine="480"/>
        <w:rPr>
          <w:color w:val="auto"/>
        </w:rPr>
      </w:pPr>
      <w:r>
        <w:rPr>
          <w:rFonts w:hint="eastAsia"/>
          <w:color w:val="auto"/>
        </w:rPr>
        <w:t>第四章 商务及合同主要条款</w:t>
      </w:r>
    </w:p>
    <w:p>
      <w:pPr>
        <w:pStyle w:val="13"/>
        <w:ind w:firstLine="480"/>
        <w:rPr>
          <w:color w:val="auto"/>
        </w:rPr>
      </w:pPr>
      <w:r>
        <w:rPr>
          <w:rFonts w:hint="eastAsia"/>
          <w:color w:val="auto"/>
        </w:rPr>
        <w:t>第五章 谈判响应文件格式</w:t>
      </w:r>
    </w:p>
    <w:p>
      <w:pPr>
        <w:pStyle w:val="13"/>
        <w:ind w:firstLine="480"/>
        <w:rPr>
          <w:color w:val="auto"/>
        </w:rPr>
      </w:pPr>
      <w:r>
        <w:rPr>
          <w:rFonts w:hint="eastAsia"/>
          <w:color w:val="auto"/>
        </w:rPr>
        <w:t>7.2 除7.1内容外，采购人以书面形式发出的对竞争性谈判文件的澄清或补充、修改内容，均为竞争性谈判文件的组成部分，对采购人和供应商起约束作用。</w:t>
      </w:r>
    </w:p>
    <w:p>
      <w:pPr>
        <w:pStyle w:val="13"/>
        <w:ind w:firstLine="480"/>
        <w:rPr>
          <w:color w:val="auto"/>
        </w:rPr>
      </w:pPr>
      <w:r>
        <w:rPr>
          <w:rFonts w:hint="eastAsia"/>
          <w:color w:val="auto"/>
        </w:rPr>
        <w:t>7.3供应商应认真阅读竞争性谈判文件中所有的事项、格式、条款和规范等要求。如果供应商没有按照竞争性谈判文件要求提交全部资料，或者竞争性谈判响应文件没有对竞争性谈判文件在各方面都做出实质性响应，由此带来不利于供应商的谈判结果，其风险由供应商承担。</w:t>
      </w:r>
    </w:p>
    <w:p>
      <w:pPr>
        <w:pStyle w:val="13"/>
        <w:ind w:firstLine="480"/>
        <w:rPr>
          <w:color w:val="auto"/>
        </w:rPr>
      </w:pPr>
      <w:r>
        <w:rPr>
          <w:rFonts w:hint="eastAsia"/>
          <w:color w:val="auto"/>
        </w:rPr>
        <w:t>7.4本竞争性谈判文件的解释权归陕西正鸿招标有限公司，如发现竞争性谈判文件内容与现行法律法规不相符的情况，以现行法律法规为准。</w:t>
      </w:r>
    </w:p>
    <w:p>
      <w:pPr>
        <w:pStyle w:val="6"/>
        <w:rPr>
          <w:color w:val="auto"/>
        </w:rPr>
      </w:pPr>
      <w:bookmarkStart w:id="34" w:name="_Toc22067"/>
      <w:r>
        <w:rPr>
          <w:rFonts w:hint="eastAsia"/>
          <w:color w:val="auto"/>
        </w:rPr>
        <w:t>8.竞争性谈判文件的修改和澄清</w:t>
      </w:r>
      <w:bookmarkEnd w:id="34"/>
    </w:p>
    <w:p>
      <w:pPr>
        <w:pStyle w:val="13"/>
        <w:ind w:firstLine="480"/>
        <w:rPr>
          <w:color w:val="auto"/>
        </w:rPr>
      </w:pPr>
      <w:r>
        <w:rPr>
          <w:rFonts w:hint="eastAsia"/>
          <w:color w:val="auto"/>
        </w:rPr>
        <w:t>8.1提交响应文件截止之日前，采购人、采购代理机构可以对已发出的谈判文件进行必要的澄清或者修改，澄清或者修改的内容作为谈判文件的组成部分。</w:t>
      </w:r>
    </w:p>
    <w:p>
      <w:pPr>
        <w:pStyle w:val="13"/>
        <w:ind w:firstLine="480"/>
        <w:rPr>
          <w:color w:val="auto"/>
        </w:rPr>
      </w:pPr>
      <w:r>
        <w:rPr>
          <w:rFonts w:hint="eastAsia"/>
          <w:color w:val="auto"/>
        </w:rPr>
        <w:t>8.2澄清或者修改的内容可能影响响应文件编制的，采购人、采购代理机构应当在提交响应文件截止时间3个工作日前，在发布谈判公告的媒体上发布变更公告，以书面形式通知所有获取谈判文件的供应商，不足3个工作日的，应当顺延提交首次响应文件截止之日。</w:t>
      </w:r>
    </w:p>
    <w:p>
      <w:pPr>
        <w:pStyle w:val="13"/>
        <w:ind w:firstLine="480"/>
        <w:rPr>
          <w:color w:val="auto"/>
        </w:rPr>
      </w:pPr>
      <w:r>
        <w:rPr>
          <w:rFonts w:hint="eastAsia"/>
          <w:color w:val="auto"/>
        </w:rPr>
        <w:t>8.3已经购买竞争性谈判文件的供应商对竞争性谈判文件有疑问的，均应在谈判截止日期2日前以书面形式向采购代理机构提出。采购代理机构视情况必要时将书面答复传送给所有获取竞争性谈判文件的供应商。书面答复为谈判文件的组成部分，与谈判文件具有同等法律效力。</w:t>
      </w:r>
    </w:p>
    <w:p>
      <w:pPr>
        <w:pStyle w:val="13"/>
        <w:ind w:firstLine="480"/>
        <w:rPr>
          <w:color w:val="auto"/>
        </w:rPr>
      </w:pPr>
      <w:r>
        <w:rPr>
          <w:rFonts w:hint="eastAsia"/>
          <w:color w:val="auto"/>
        </w:rPr>
        <w:t>8.4供应商在收到上述通知后，应立即向采购代理机构回函确认。</w:t>
      </w:r>
    </w:p>
    <w:p>
      <w:pPr>
        <w:pStyle w:val="4"/>
        <w:rPr>
          <w:color w:val="auto"/>
        </w:rPr>
      </w:pPr>
      <w:bookmarkStart w:id="35" w:name="_Toc363474019"/>
      <w:bookmarkStart w:id="36" w:name="_Toc9560"/>
      <w:bookmarkStart w:id="37" w:name="_Toc31290"/>
      <w:bookmarkStart w:id="38" w:name="_Toc363473974"/>
      <w:bookmarkStart w:id="39" w:name="_Toc19809"/>
      <w:bookmarkStart w:id="40" w:name="_Toc403077641"/>
      <w:r>
        <w:rPr>
          <w:rFonts w:hint="eastAsia"/>
          <w:color w:val="auto"/>
        </w:rPr>
        <w:t>三.谈判响应文件的编制</w:t>
      </w:r>
      <w:bookmarkEnd w:id="35"/>
      <w:bookmarkEnd w:id="36"/>
      <w:bookmarkEnd w:id="37"/>
      <w:bookmarkEnd w:id="38"/>
      <w:bookmarkEnd w:id="39"/>
      <w:bookmarkEnd w:id="40"/>
    </w:p>
    <w:p>
      <w:pPr>
        <w:pStyle w:val="6"/>
        <w:rPr>
          <w:color w:val="auto"/>
        </w:rPr>
      </w:pPr>
      <w:bookmarkStart w:id="41" w:name="_Toc23959"/>
      <w:r>
        <w:rPr>
          <w:rFonts w:hint="eastAsia"/>
          <w:color w:val="auto"/>
        </w:rPr>
        <w:t>9. 谈判响应语言和谈判响应货币</w:t>
      </w:r>
      <w:bookmarkEnd w:id="41"/>
    </w:p>
    <w:p>
      <w:pPr>
        <w:pStyle w:val="13"/>
        <w:ind w:firstLine="480"/>
        <w:rPr>
          <w:color w:val="auto"/>
        </w:rPr>
      </w:pPr>
      <w:r>
        <w:rPr>
          <w:rFonts w:hint="eastAsia"/>
          <w:color w:val="auto"/>
        </w:rPr>
        <w:t>9.1供应商提交的竞争性谈判响应文件以及供应商与采购代理机构就有关谈判的所有来往函电均应使用中文。</w:t>
      </w:r>
    </w:p>
    <w:p>
      <w:pPr>
        <w:pStyle w:val="13"/>
        <w:ind w:firstLine="480"/>
        <w:rPr>
          <w:color w:val="auto"/>
        </w:rPr>
      </w:pPr>
      <w:r>
        <w:rPr>
          <w:rFonts w:hint="eastAsia"/>
          <w:color w:val="auto"/>
        </w:rPr>
        <w:t>9.2谈判响应应以人民币报价。任何包含非人民币报价的谈判响应将按无效处理。</w:t>
      </w:r>
    </w:p>
    <w:p>
      <w:pPr>
        <w:pStyle w:val="6"/>
        <w:rPr>
          <w:color w:val="auto"/>
        </w:rPr>
      </w:pPr>
      <w:bookmarkStart w:id="42" w:name="_Toc23398"/>
      <w:r>
        <w:rPr>
          <w:rFonts w:hint="eastAsia"/>
          <w:color w:val="auto"/>
        </w:rPr>
        <w:t>10.竞争性谈判响应文件的构成</w:t>
      </w:r>
      <w:bookmarkEnd w:id="42"/>
    </w:p>
    <w:p>
      <w:pPr>
        <w:pStyle w:val="13"/>
        <w:ind w:firstLine="480"/>
        <w:rPr>
          <w:color w:val="auto"/>
        </w:rPr>
      </w:pPr>
      <w:r>
        <w:rPr>
          <w:rFonts w:hint="eastAsia"/>
          <w:color w:val="auto"/>
        </w:rPr>
        <w:t>10.1 供应商提交的竞争性谈判响应文件应包含下列部分的内容：</w:t>
      </w:r>
    </w:p>
    <w:p>
      <w:pPr>
        <w:pStyle w:val="13"/>
        <w:ind w:firstLine="480"/>
        <w:rPr>
          <w:color w:val="auto"/>
        </w:rPr>
      </w:pPr>
      <w:r>
        <w:rPr>
          <w:rFonts w:hint="eastAsia"/>
          <w:color w:val="auto"/>
        </w:rPr>
        <w:t>一、响应函</w:t>
      </w:r>
    </w:p>
    <w:p>
      <w:pPr>
        <w:pStyle w:val="13"/>
        <w:ind w:firstLine="480"/>
        <w:rPr>
          <w:color w:val="auto"/>
        </w:rPr>
      </w:pPr>
      <w:r>
        <w:rPr>
          <w:rFonts w:hint="eastAsia"/>
          <w:color w:val="auto"/>
        </w:rPr>
        <w:t>二、响应报价表</w:t>
      </w:r>
    </w:p>
    <w:p>
      <w:pPr>
        <w:pStyle w:val="13"/>
        <w:ind w:firstLine="480"/>
        <w:rPr>
          <w:color w:val="auto"/>
        </w:rPr>
      </w:pPr>
      <w:r>
        <w:rPr>
          <w:rFonts w:hint="eastAsia"/>
          <w:color w:val="auto"/>
        </w:rPr>
        <w:t>三、响应方案说明</w:t>
      </w:r>
    </w:p>
    <w:p>
      <w:pPr>
        <w:pStyle w:val="13"/>
        <w:ind w:firstLine="480"/>
        <w:rPr>
          <w:color w:val="auto"/>
        </w:rPr>
      </w:pPr>
      <w:r>
        <w:rPr>
          <w:rFonts w:hint="eastAsia"/>
          <w:color w:val="auto"/>
        </w:rPr>
        <w:t>四、商务响应偏离表</w:t>
      </w:r>
    </w:p>
    <w:p>
      <w:pPr>
        <w:pStyle w:val="13"/>
        <w:ind w:firstLine="480"/>
        <w:rPr>
          <w:color w:val="auto"/>
        </w:rPr>
      </w:pPr>
      <w:r>
        <w:rPr>
          <w:rFonts w:hint="eastAsia"/>
          <w:color w:val="auto"/>
        </w:rPr>
        <w:t>五、资质证明文件</w:t>
      </w:r>
    </w:p>
    <w:p>
      <w:pPr>
        <w:pStyle w:val="13"/>
        <w:ind w:firstLine="480"/>
        <w:rPr>
          <w:color w:val="auto"/>
        </w:rPr>
      </w:pPr>
      <w:r>
        <w:rPr>
          <w:rFonts w:hint="eastAsia"/>
          <w:color w:val="auto"/>
        </w:rPr>
        <w:t>六、供应商承诺书</w:t>
      </w:r>
    </w:p>
    <w:p>
      <w:pPr>
        <w:pStyle w:val="13"/>
        <w:ind w:firstLine="480"/>
        <w:rPr>
          <w:color w:val="auto"/>
        </w:rPr>
      </w:pPr>
      <w:r>
        <w:rPr>
          <w:rFonts w:hint="eastAsia"/>
          <w:color w:val="auto"/>
        </w:rPr>
        <w:t>10.2 如果在竞争性谈判文件中没有允许提供备选方案，则每个供应商只允许提交一个谈判响应方案，否则，其谈判响应将按照无效处理。</w:t>
      </w:r>
    </w:p>
    <w:p>
      <w:pPr>
        <w:pStyle w:val="13"/>
        <w:ind w:firstLine="480"/>
        <w:rPr>
          <w:color w:val="auto"/>
        </w:rPr>
      </w:pPr>
      <w:r>
        <w:rPr>
          <w:rFonts w:hint="eastAsia"/>
          <w:color w:val="auto"/>
        </w:rPr>
        <w:t>10.3本次谈判的最小单元：见供应商须知前附表，供应商可根据自身的资质情况和经营范围对本次项目进行谈判响应，不得将其子目再行分解或只对本次项目中的品目进行不完全谈判响应，任何不完全的响应将按无效处理。</w:t>
      </w:r>
    </w:p>
    <w:p>
      <w:pPr>
        <w:pStyle w:val="6"/>
        <w:rPr>
          <w:color w:val="auto"/>
        </w:rPr>
      </w:pPr>
      <w:bookmarkStart w:id="43" w:name="_Toc26522"/>
      <w:r>
        <w:rPr>
          <w:rFonts w:hint="eastAsia"/>
          <w:color w:val="auto"/>
        </w:rPr>
        <w:t>11.竞争性谈判响应文件格式</w:t>
      </w:r>
      <w:bookmarkEnd w:id="43"/>
    </w:p>
    <w:p>
      <w:pPr>
        <w:pStyle w:val="13"/>
        <w:ind w:firstLine="480"/>
        <w:rPr>
          <w:color w:val="auto"/>
        </w:rPr>
      </w:pPr>
      <w:r>
        <w:rPr>
          <w:rFonts w:hint="eastAsia"/>
          <w:color w:val="auto"/>
        </w:rPr>
        <w:t>11.1供应商应按照竞争性谈判文件中第五章“谈判响应文件格式”所提供的格式和要求制作竞争性谈判响应文件，明确表达谈判响应意愿，详细说明谈判响应方案、承诺及价格。</w:t>
      </w:r>
    </w:p>
    <w:p>
      <w:pPr>
        <w:pStyle w:val="13"/>
        <w:ind w:firstLine="480"/>
        <w:rPr>
          <w:color w:val="auto"/>
        </w:rPr>
      </w:pPr>
      <w:r>
        <w:rPr>
          <w:rFonts w:hint="eastAsia"/>
          <w:color w:val="auto"/>
        </w:rPr>
        <w:t>11.2供应商应完整地提供谈判文件要求的所有数据和资料。</w:t>
      </w:r>
    </w:p>
    <w:p>
      <w:pPr>
        <w:pStyle w:val="6"/>
        <w:rPr>
          <w:color w:val="auto"/>
        </w:rPr>
      </w:pPr>
      <w:bookmarkStart w:id="44" w:name="_Toc16200"/>
      <w:r>
        <w:rPr>
          <w:rFonts w:hint="eastAsia"/>
          <w:color w:val="auto"/>
        </w:rPr>
        <w:t>12.谈判响应报价</w:t>
      </w:r>
      <w:bookmarkEnd w:id="44"/>
    </w:p>
    <w:p>
      <w:pPr>
        <w:pStyle w:val="13"/>
        <w:ind w:firstLine="480"/>
        <w:rPr>
          <w:color w:val="auto"/>
          <w:szCs w:val="22"/>
        </w:rPr>
      </w:pPr>
      <w:r>
        <w:rPr>
          <w:rFonts w:hint="eastAsia"/>
          <w:color w:val="auto"/>
          <w:szCs w:val="22"/>
        </w:rPr>
        <w:t>12.1</w:t>
      </w:r>
      <w:r>
        <w:rPr>
          <w:rFonts w:hint="eastAsia"/>
          <w:color w:val="auto"/>
        </w:rPr>
        <w:t>谈判响应报价是指完成此次项目的所有费用，以谈判文件的内容和要求作为依据</w:t>
      </w:r>
      <w:r>
        <w:rPr>
          <w:rFonts w:hint="eastAsia"/>
          <w:color w:val="auto"/>
          <w:szCs w:val="22"/>
        </w:rPr>
        <w:t>。</w:t>
      </w:r>
    </w:p>
    <w:p>
      <w:pPr>
        <w:pStyle w:val="13"/>
        <w:ind w:firstLine="480"/>
        <w:rPr>
          <w:color w:val="auto"/>
          <w:szCs w:val="22"/>
        </w:rPr>
      </w:pPr>
      <w:r>
        <w:rPr>
          <w:rFonts w:hint="eastAsia"/>
          <w:color w:val="auto"/>
          <w:szCs w:val="22"/>
        </w:rPr>
        <w:t>12.2</w:t>
      </w:r>
      <w:r>
        <w:rPr>
          <w:rFonts w:hint="eastAsia"/>
          <w:color w:val="auto"/>
        </w:rPr>
        <w:t>谈判响应报价：见供应商须知前附表</w:t>
      </w:r>
      <w:r>
        <w:rPr>
          <w:rFonts w:hint="eastAsia"/>
          <w:color w:val="auto"/>
          <w:szCs w:val="22"/>
        </w:rPr>
        <w:t>。</w:t>
      </w:r>
    </w:p>
    <w:p>
      <w:pPr>
        <w:pStyle w:val="13"/>
        <w:ind w:firstLine="480"/>
        <w:rPr>
          <w:color w:val="auto"/>
          <w:szCs w:val="22"/>
        </w:rPr>
      </w:pPr>
      <w:r>
        <w:rPr>
          <w:rFonts w:hint="eastAsia"/>
          <w:color w:val="auto"/>
          <w:szCs w:val="22"/>
        </w:rPr>
        <w:t>12.3经谈判小组确认的某一供应商的最终报价，在合同执行过程中是固定不变的，不受外汇汇率及市场价格变化的影响。</w:t>
      </w:r>
    </w:p>
    <w:p>
      <w:pPr>
        <w:pStyle w:val="13"/>
        <w:ind w:firstLine="480"/>
        <w:rPr>
          <w:color w:val="auto"/>
        </w:rPr>
      </w:pPr>
      <w:r>
        <w:rPr>
          <w:rFonts w:hint="eastAsia"/>
          <w:color w:val="auto"/>
          <w:szCs w:val="22"/>
        </w:rPr>
        <w:t>12.4凡因供应商对谈判文件阅读不深、理解不透、误解、疏漏、或因市场行情了解不清造成的后果和风险均由供应商自负</w:t>
      </w:r>
      <w:r>
        <w:rPr>
          <w:rFonts w:hint="eastAsia"/>
          <w:color w:val="auto"/>
        </w:rPr>
        <w:t>。</w:t>
      </w:r>
    </w:p>
    <w:p>
      <w:pPr>
        <w:pStyle w:val="13"/>
        <w:ind w:firstLine="480"/>
        <w:rPr>
          <w:color w:val="auto"/>
        </w:rPr>
      </w:pPr>
      <w:r>
        <w:rPr>
          <w:rFonts w:hint="eastAsia"/>
          <w:color w:val="auto"/>
        </w:rPr>
        <w:t>12.5供应商不得以低于成本的报价参加谈判。当谈判小组认为供应商的谈判价明显不合理或者低于成本，有可能影响服务质量和不能诚信履约的，可要求供应商在规定的期限内提供书面文件予以解释说明，并提交相关证明材料；否则，谈判小组可以取消供应商的成交资格。</w:t>
      </w:r>
    </w:p>
    <w:p>
      <w:pPr>
        <w:pStyle w:val="6"/>
        <w:rPr>
          <w:color w:val="auto"/>
        </w:rPr>
      </w:pPr>
      <w:bookmarkStart w:id="45" w:name="_Toc23500"/>
      <w:r>
        <w:rPr>
          <w:rFonts w:hint="eastAsia"/>
          <w:color w:val="auto"/>
        </w:rPr>
        <w:t>13.证明供应商合格的资格证明文件</w:t>
      </w:r>
      <w:bookmarkEnd w:id="45"/>
    </w:p>
    <w:p>
      <w:pPr>
        <w:pStyle w:val="13"/>
        <w:ind w:firstLine="480"/>
        <w:rPr>
          <w:color w:val="auto"/>
        </w:rPr>
      </w:pPr>
      <w:r>
        <w:rPr>
          <w:rFonts w:hint="eastAsia"/>
          <w:color w:val="auto"/>
        </w:rPr>
        <w:t>13.1供应商应按照竞争性谈判文件供应商须知前附表的要求，在竞争性谈判响应文件中提交合格的资格证明文件。如果资格证明文件不全或不合格的，其谈判响应将按无效处理。</w:t>
      </w:r>
    </w:p>
    <w:p>
      <w:pPr>
        <w:pStyle w:val="6"/>
        <w:rPr>
          <w:color w:val="auto"/>
          <w:szCs w:val="28"/>
        </w:rPr>
      </w:pPr>
      <w:bookmarkStart w:id="46" w:name="_Toc4677"/>
      <w:r>
        <w:rPr>
          <w:rFonts w:hint="eastAsia"/>
          <w:color w:val="auto"/>
        </w:rPr>
        <w:t>14.证明产品（货物）符合竞争性谈判文件规定的文件</w:t>
      </w:r>
      <w:bookmarkEnd w:id="46"/>
    </w:p>
    <w:p>
      <w:pPr>
        <w:pStyle w:val="13"/>
        <w:ind w:firstLine="480"/>
        <w:rPr>
          <w:color w:val="auto"/>
        </w:rPr>
      </w:pPr>
      <w:r>
        <w:rPr>
          <w:rFonts w:hint="eastAsia"/>
          <w:color w:val="auto"/>
        </w:rPr>
        <w:t>14.1供应商应在竞争性谈判响应文件中提交产品和服务满足竞争性谈判文件要求并符合国家法律法规、行业管理部门要求的其他强制性标准的证明文件。缺少证明文件或证明文件不合格的谈判响应文件，与竞争性谈判文件要求有重大偏离的谈判响应，不符合国家法律法规、行业管理部门要求的其他强制性标准的谈判响应将按无效处理。</w:t>
      </w:r>
    </w:p>
    <w:p>
      <w:pPr>
        <w:pStyle w:val="13"/>
        <w:ind w:firstLine="480"/>
        <w:rPr>
          <w:color w:val="auto"/>
        </w:rPr>
      </w:pPr>
      <w:r>
        <w:rPr>
          <w:rFonts w:hint="eastAsia"/>
          <w:color w:val="auto"/>
        </w:rPr>
        <w:t>14.2上述证明文件可以是文字资料、图纸、图片、数据、宣传彩页等，所有证明文件表达意思必须统一（如需供应商提供样品，样品必须与响应文件的表述完全符合）。包括：</w:t>
      </w:r>
    </w:p>
    <w:p>
      <w:pPr>
        <w:pStyle w:val="13"/>
        <w:ind w:firstLine="480"/>
        <w:rPr>
          <w:color w:val="auto"/>
        </w:rPr>
      </w:pPr>
      <w:r>
        <w:rPr>
          <w:rFonts w:hint="eastAsia"/>
          <w:color w:val="auto"/>
        </w:rPr>
        <w:t>（1）产品主要技术指标和性能的详细说明；</w:t>
      </w:r>
    </w:p>
    <w:p>
      <w:pPr>
        <w:pStyle w:val="13"/>
        <w:ind w:firstLine="480"/>
        <w:rPr>
          <w:color w:val="auto"/>
        </w:rPr>
      </w:pPr>
      <w:r>
        <w:rPr>
          <w:rFonts w:hint="eastAsia"/>
          <w:color w:val="auto"/>
        </w:rPr>
        <w:t>（2）生产厂家出具的、相应的产品功能证明材料（包括但不限于测试报告、官网和功能截图等）；</w:t>
      </w:r>
    </w:p>
    <w:p>
      <w:pPr>
        <w:pStyle w:val="13"/>
        <w:ind w:firstLine="480"/>
        <w:rPr>
          <w:color w:val="auto"/>
        </w:rPr>
      </w:pPr>
      <w:r>
        <w:rPr>
          <w:rFonts w:hint="eastAsia"/>
          <w:color w:val="auto"/>
        </w:rPr>
        <w:t>（3）逐条对谈判文件提出的技术要求和商务要求进行应答，说明所提供的产品和服务对采购的技术和商务要求是否做出了实质性响应并提供支持文件；</w:t>
      </w:r>
    </w:p>
    <w:p>
      <w:pPr>
        <w:pStyle w:val="13"/>
        <w:ind w:firstLine="480"/>
        <w:rPr>
          <w:color w:val="auto"/>
        </w:rPr>
      </w:pPr>
      <w:r>
        <w:rPr>
          <w:rFonts w:hint="eastAsia"/>
          <w:color w:val="auto"/>
        </w:rPr>
        <w:t>（4）</w:t>
      </w:r>
      <w:r>
        <w:rPr>
          <w:rFonts w:hint="eastAsia"/>
          <w:color w:val="auto"/>
          <w:szCs w:val="24"/>
        </w:rPr>
        <w:t>产品（货物）来源渠道合法的证明文件（包括但不限于销售协议、代理协议、原厂授权等）</w:t>
      </w:r>
    </w:p>
    <w:p>
      <w:pPr>
        <w:pStyle w:val="13"/>
        <w:ind w:firstLine="480"/>
        <w:rPr>
          <w:color w:val="auto"/>
        </w:rPr>
      </w:pPr>
      <w:r>
        <w:rPr>
          <w:rFonts w:hint="eastAsia"/>
          <w:color w:val="auto"/>
        </w:rPr>
        <w:t>（5）供货范围和服务内容的详细说明。</w:t>
      </w:r>
    </w:p>
    <w:p>
      <w:pPr>
        <w:pStyle w:val="6"/>
        <w:rPr>
          <w:color w:val="auto"/>
        </w:rPr>
      </w:pPr>
      <w:bookmarkStart w:id="47" w:name="_Toc9912"/>
      <w:r>
        <w:rPr>
          <w:rFonts w:hint="eastAsia"/>
          <w:color w:val="auto"/>
        </w:rPr>
        <w:t>15.</w:t>
      </w:r>
      <w:bookmarkEnd w:id="47"/>
      <w:r>
        <w:rPr>
          <w:rFonts w:hint="eastAsia"/>
          <w:color w:val="auto"/>
        </w:rPr>
        <w:t>谈判响应保证金</w:t>
      </w:r>
    </w:p>
    <w:p>
      <w:pPr>
        <w:pStyle w:val="6"/>
        <w:ind w:firstLine="482" w:firstLineChars="200"/>
        <w:rPr>
          <w:color w:val="auto"/>
        </w:rPr>
      </w:pPr>
      <w:r>
        <w:rPr>
          <w:rFonts w:hint="eastAsia"/>
          <w:color w:val="auto"/>
        </w:rPr>
        <w:t>本项目不要求提供谈判响应保证金。</w:t>
      </w:r>
    </w:p>
    <w:p>
      <w:pPr>
        <w:pStyle w:val="6"/>
        <w:rPr>
          <w:color w:val="auto"/>
        </w:rPr>
      </w:pPr>
      <w:bookmarkStart w:id="48" w:name="_Toc28152"/>
      <w:r>
        <w:rPr>
          <w:rFonts w:hint="eastAsia"/>
          <w:color w:val="auto"/>
        </w:rPr>
        <w:t>16.谈判响应有效期</w:t>
      </w:r>
      <w:bookmarkEnd w:id="48"/>
    </w:p>
    <w:p>
      <w:pPr>
        <w:pStyle w:val="13"/>
        <w:ind w:firstLine="480"/>
        <w:rPr>
          <w:color w:val="auto"/>
        </w:rPr>
      </w:pPr>
      <w:r>
        <w:rPr>
          <w:rFonts w:hint="eastAsia"/>
          <w:color w:val="auto"/>
        </w:rPr>
        <w:t>16.1谈判响应文件应在“供应商须知前附表”中规定的期限内保持有效。谈判响应有效期不满足规定有效期的谈判响应文件将被视为非响应性谈判而予以拒绝。</w:t>
      </w:r>
    </w:p>
    <w:p>
      <w:pPr>
        <w:pStyle w:val="13"/>
        <w:ind w:firstLine="480"/>
        <w:rPr>
          <w:color w:val="auto"/>
        </w:rPr>
      </w:pPr>
      <w:r>
        <w:rPr>
          <w:rFonts w:hint="eastAsia"/>
          <w:color w:val="auto"/>
        </w:rPr>
        <w:t>16.2在特殊情况下，在原谈判响应有效期期满之前，采购代理机构可向供应商提出延长谈判响应有效期的要求。这种要求与答复均应以书面的形式。供应商可以拒绝采购代理机构的这种要求，其谈判响应保证金（如有）也不被没收。同意延长的供应商既不能要求也不允许修改其竞争性谈判响应文件，但要相应延长其谈判响应保证金（如有）的有效期。在这种情况下，本章第15条有关谈判响应保证金（如有）的退还和没收的规定将在延长了的有效期内继续有效。</w:t>
      </w:r>
    </w:p>
    <w:p>
      <w:pPr>
        <w:pStyle w:val="13"/>
        <w:ind w:firstLine="480"/>
        <w:rPr>
          <w:color w:val="auto"/>
        </w:rPr>
      </w:pPr>
      <w:r>
        <w:rPr>
          <w:rFonts w:hint="eastAsia"/>
          <w:color w:val="auto"/>
        </w:rPr>
        <w:t>16.3成交供应商的谈判响应文件有效期延长至合同执行完毕。</w:t>
      </w:r>
    </w:p>
    <w:p>
      <w:pPr>
        <w:pStyle w:val="6"/>
        <w:rPr>
          <w:color w:val="auto"/>
        </w:rPr>
      </w:pPr>
      <w:bookmarkStart w:id="49" w:name="_Toc17888"/>
      <w:r>
        <w:rPr>
          <w:rFonts w:hint="eastAsia"/>
          <w:color w:val="auto"/>
        </w:rPr>
        <w:t>17.竞争性谈判响应文件的式样和签署</w:t>
      </w:r>
      <w:bookmarkEnd w:id="49"/>
    </w:p>
    <w:p>
      <w:pPr>
        <w:pStyle w:val="13"/>
        <w:ind w:firstLine="480"/>
        <w:rPr>
          <w:color w:val="auto"/>
        </w:rPr>
      </w:pPr>
      <w:r>
        <w:rPr>
          <w:rFonts w:hint="eastAsia"/>
          <w:color w:val="auto"/>
        </w:rPr>
        <w:t>17.1竞争性谈判响应文件正本、副本、电子版份数及要求详见“供应商须知前附表”。</w:t>
      </w:r>
    </w:p>
    <w:p>
      <w:pPr>
        <w:pStyle w:val="13"/>
        <w:ind w:firstLine="480"/>
        <w:rPr>
          <w:color w:val="auto"/>
        </w:rPr>
      </w:pPr>
      <w:r>
        <w:rPr>
          <w:rFonts w:hint="eastAsia"/>
          <w:color w:val="auto"/>
        </w:rPr>
        <w:t>17.2竞争性谈判响应文件制作装订要求详见“供应商须知前附表”。</w:t>
      </w:r>
    </w:p>
    <w:p>
      <w:pPr>
        <w:pStyle w:val="13"/>
        <w:ind w:firstLine="480"/>
        <w:rPr>
          <w:color w:val="auto"/>
        </w:rPr>
      </w:pPr>
      <w:r>
        <w:rPr>
          <w:rFonts w:hint="eastAsia"/>
          <w:color w:val="auto"/>
        </w:rPr>
        <w:t>17.3竞争性谈判响应文件签字、盖章要求详见“供应商须知前附表”。</w:t>
      </w:r>
    </w:p>
    <w:p>
      <w:pPr>
        <w:pStyle w:val="13"/>
        <w:ind w:firstLine="480"/>
        <w:rPr>
          <w:b/>
          <w:bCs/>
          <w:color w:val="auto"/>
        </w:rPr>
      </w:pPr>
      <w:r>
        <w:rPr>
          <w:rFonts w:hint="eastAsia"/>
          <w:color w:val="auto"/>
        </w:rPr>
        <w:t>17.4竞争性谈判响应文件的正本需打印或用不褪色、不变质的墨水书写，由供应商的法定代表人或被授权人按谈判文件的规定签署</w:t>
      </w:r>
      <w:r>
        <w:rPr>
          <w:rFonts w:hint="eastAsia"/>
          <w:b/>
          <w:bCs/>
          <w:color w:val="auto"/>
        </w:rPr>
        <w:t>（谈判文件要求谈判响应文件中签章的统一为签字并盖章）。竞争性谈判响应文件副本可采用正本的复印件。</w:t>
      </w:r>
    </w:p>
    <w:p>
      <w:pPr>
        <w:pStyle w:val="13"/>
        <w:ind w:firstLine="480"/>
        <w:rPr>
          <w:color w:val="auto"/>
        </w:rPr>
      </w:pPr>
      <w:r>
        <w:rPr>
          <w:rFonts w:hint="eastAsia"/>
          <w:color w:val="auto"/>
        </w:rPr>
        <w:t>17.5任何行间插字、涂改和增删，必须由供应商的法定代表人或其授权代表在旁边签字才有效。</w:t>
      </w:r>
    </w:p>
    <w:p>
      <w:pPr>
        <w:pStyle w:val="13"/>
        <w:ind w:firstLine="480"/>
        <w:rPr>
          <w:color w:val="auto"/>
        </w:rPr>
      </w:pPr>
      <w:r>
        <w:rPr>
          <w:rFonts w:hint="eastAsia"/>
          <w:color w:val="auto"/>
        </w:rPr>
        <w:t>17.6 竞争性谈判响应文件正本和副本按照竞争性谈判文件第五章规定的顺序编排、并应</w:t>
      </w:r>
      <w:r>
        <w:rPr>
          <w:rFonts w:hint="eastAsia"/>
          <w:color w:val="auto"/>
          <w:lang w:val="zh-CN"/>
        </w:rPr>
        <w:t>编制目录，</w:t>
      </w:r>
      <w:r>
        <w:rPr>
          <w:rFonts w:hint="eastAsia"/>
          <w:color w:val="auto"/>
        </w:rPr>
        <w:t>逐页标注连续页码，并分别</w:t>
      </w:r>
      <w:r>
        <w:rPr>
          <w:rFonts w:hint="eastAsia"/>
          <w:color w:val="auto"/>
          <w:lang w:val="zh-CN"/>
        </w:rPr>
        <w:t>胶装成册</w:t>
      </w:r>
      <w:r>
        <w:rPr>
          <w:rFonts w:hint="eastAsia"/>
          <w:color w:val="auto"/>
        </w:rPr>
        <w:t>。</w:t>
      </w:r>
    </w:p>
    <w:p>
      <w:pPr>
        <w:pStyle w:val="13"/>
        <w:ind w:firstLine="480"/>
        <w:rPr>
          <w:color w:val="auto"/>
        </w:rPr>
      </w:pPr>
      <w:r>
        <w:rPr>
          <w:rFonts w:hint="eastAsia"/>
          <w:color w:val="auto"/>
        </w:rPr>
        <w:t>17.7因字迹潦草、表述不清或不按竞争性谈判文件格式编制的竞争性谈判响应文件，所引起的对供应商不利的后果，由供应商自行负责。</w:t>
      </w:r>
    </w:p>
    <w:p>
      <w:pPr>
        <w:pStyle w:val="13"/>
        <w:ind w:firstLine="480"/>
        <w:rPr>
          <w:color w:val="auto"/>
        </w:rPr>
      </w:pPr>
      <w:r>
        <w:rPr>
          <w:rFonts w:hint="eastAsia"/>
          <w:color w:val="auto"/>
        </w:rPr>
        <w:t>17.8竞争性谈判文件的副本、电子版须和正本保持一致。若正本、副本和电子版有不一致的内容，以正本为准。</w:t>
      </w:r>
    </w:p>
    <w:p>
      <w:pPr>
        <w:pStyle w:val="13"/>
        <w:ind w:firstLine="480"/>
        <w:rPr>
          <w:color w:val="auto"/>
        </w:rPr>
      </w:pPr>
      <w:r>
        <w:rPr>
          <w:rFonts w:hint="eastAsia"/>
          <w:color w:val="auto"/>
        </w:rPr>
        <w:t>17.9以电话、传真、电子邮件形式的谈判响应文件将被拒绝。</w:t>
      </w:r>
    </w:p>
    <w:p>
      <w:pPr>
        <w:pStyle w:val="4"/>
        <w:rPr>
          <w:color w:val="auto"/>
        </w:rPr>
      </w:pPr>
      <w:bookmarkStart w:id="50" w:name="_Toc17122"/>
      <w:bookmarkStart w:id="51" w:name="_Toc32284"/>
      <w:bookmarkStart w:id="52" w:name="_Toc21103"/>
      <w:r>
        <w:rPr>
          <w:rFonts w:hint="eastAsia"/>
          <w:color w:val="auto"/>
        </w:rPr>
        <w:t>四.竞争性谈判响应文件的递交</w:t>
      </w:r>
      <w:bookmarkEnd w:id="50"/>
      <w:bookmarkEnd w:id="51"/>
      <w:bookmarkEnd w:id="52"/>
    </w:p>
    <w:p>
      <w:pPr>
        <w:pStyle w:val="6"/>
        <w:rPr>
          <w:color w:val="auto"/>
        </w:rPr>
      </w:pPr>
      <w:bookmarkStart w:id="53" w:name="_Toc21664"/>
      <w:r>
        <w:rPr>
          <w:rFonts w:hint="eastAsia"/>
          <w:color w:val="auto"/>
        </w:rPr>
        <w:t>18.竞争性谈判响应文件的密封和标记</w:t>
      </w:r>
      <w:bookmarkEnd w:id="53"/>
    </w:p>
    <w:p>
      <w:pPr>
        <w:pStyle w:val="13"/>
        <w:ind w:firstLine="480"/>
        <w:rPr>
          <w:color w:val="auto"/>
        </w:rPr>
      </w:pPr>
      <w:r>
        <w:rPr>
          <w:rFonts w:hint="eastAsia"/>
          <w:color w:val="auto"/>
        </w:rPr>
        <w:t>18.1谈判响应文件必须进行密封递交。对封装材料不作特别规定，但供应商应当保证其封装的可靠性，不致因搬运、堆放等原因散开。</w:t>
      </w:r>
    </w:p>
    <w:p>
      <w:pPr>
        <w:pStyle w:val="13"/>
        <w:ind w:firstLine="480"/>
        <w:rPr>
          <w:color w:val="auto"/>
        </w:rPr>
      </w:pPr>
      <w:r>
        <w:rPr>
          <w:rFonts w:hint="eastAsia"/>
          <w:color w:val="auto"/>
        </w:rPr>
        <w:t>18.2谈判响应文件的密封：详见“供应商须知前附表”。</w:t>
      </w:r>
    </w:p>
    <w:p>
      <w:pPr>
        <w:pStyle w:val="13"/>
        <w:ind w:firstLine="480"/>
        <w:rPr>
          <w:color w:val="auto"/>
        </w:rPr>
      </w:pPr>
      <w:r>
        <w:rPr>
          <w:rFonts w:hint="eastAsia"/>
          <w:color w:val="auto"/>
        </w:rPr>
        <w:t>18.3谈判响应文件封套上应载明的信息：详见“供应商须知前附表”。</w:t>
      </w:r>
    </w:p>
    <w:p>
      <w:pPr>
        <w:pStyle w:val="13"/>
        <w:ind w:firstLine="480"/>
        <w:rPr>
          <w:color w:val="auto"/>
        </w:rPr>
      </w:pPr>
      <w:r>
        <w:rPr>
          <w:rFonts w:hint="eastAsia"/>
          <w:color w:val="auto"/>
        </w:rPr>
        <w:t>18.4如果供应商未对竞争性谈判响应文件按上述要求进行完好密封，由此产生的不利后果由供应商自行承担。</w:t>
      </w:r>
    </w:p>
    <w:p>
      <w:pPr>
        <w:pStyle w:val="6"/>
        <w:rPr>
          <w:color w:val="auto"/>
        </w:rPr>
      </w:pPr>
      <w:bookmarkStart w:id="54" w:name="_Toc72"/>
      <w:r>
        <w:rPr>
          <w:rFonts w:hint="eastAsia"/>
          <w:color w:val="auto"/>
        </w:rPr>
        <w:t>19.竞争性谈判响应文件的递交</w:t>
      </w:r>
      <w:bookmarkEnd w:id="54"/>
    </w:p>
    <w:p>
      <w:pPr>
        <w:pStyle w:val="13"/>
        <w:ind w:firstLine="480"/>
        <w:rPr>
          <w:color w:val="auto"/>
        </w:rPr>
      </w:pPr>
      <w:r>
        <w:rPr>
          <w:rFonts w:hint="eastAsia"/>
          <w:color w:val="auto"/>
        </w:rPr>
        <w:t>19.1供应商应按照竞争性谈判公告中规定的时间、地点，在规定的竞争性谈判响应文件递交截止时间前将全部竞争性谈判响应文件和谈判响应资料递交至采购代理机构接收人处。</w:t>
      </w:r>
    </w:p>
    <w:p>
      <w:pPr>
        <w:pStyle w:val="13"/>
        <w:ind w:firstLine="480"/>
        <w:rPr>
          <w:color w:val="auto"/>
        </w:rPr>
      </w:pPr>
      <w:r>
        <w:rPr>
          <w:rFonts w:hint="eastAsia"/>
          <w:color w:val="auto"/>
        </w:rPr>
        <w:t>19.2采购代理机构在竞争性谈判文件规定的竞争性谈判响应文件递交截止时间前，只负责竞争性谈判响应文件的接收、清点、造册登记工作，并请递交人签字确认，对其有效性不负任何责任。</w:t>
      </w:r>
    </w:p>
    <w:p>
      <w:pPr>
        <w:pStyle w:val="13"/>
        <w:ind w:firstLine="480"/>
        <w:rPr>
          <w:color w:val="auto"/>
          <w:szCs w:val="28"/>
        </w:rPr>
      </w:pPr>
      <w:r>
        <w:rPr>
          <w:rFonts w:hint="eastAsia"/>
          <w:color w:val="auto"/>
        </w:rPr>
        <w:t>19.3无论供应商成交与否，其竞争性谈判响应文件恕不退还。</w:t>
      </w:r>
    </w:p>
    <w:p>
      <w:pPr>
        <w:pStyle w:val="6"/>
        <w:rPr>
          <w:color w:val="auto"/>
        </w:rPr>
      </w:pPr>
      <w:bookmarkStart w:id="55" w:name="_Toc10525"/>
      <w:r>
        <w:rPr>
          <w:rFonts w:hint="eastAsia"/>
          <w:color w:val="auto"/>
        </w:rPr>
        <w:t>20.迟交的竞争性谈判响应文件</w:t>
      </w:r>
      <w:bookmarkEnd w:id="55"/>
    </w:p>
    <w:p>
      <w:pPr>
        <w:pStyle w:val="13"/>
        <w:ind w:firstLine="480"/>
        <w:rPr>
          <w:color w:val="auto"/>
        </w:rPr>
      </w:pPr>
      <w:r>
        <w:rPr>
          <w:rFonts w:hint="eastAsia"/>
          <w:color w:val="auto"/>
        </w:rPr>
        <w:t>20.1按照供应商须知的规定，采购代理机构将拒绝接受在规定的谈判截止时间后递交的或者未送达指定地点的任何竞争性谈判响应文件。</w:t>
      </w:r>
    </w:p>
    <w:p>
      <w:pPr>
        <w:pStyle w:val="6"/>
        <w:rPr>
          <w:color w:val="auto"/>
        </w:rPr>
      </w:pPr>
      <w:bookmarkStart w:id="56" w:name="_Toc32740"/>
      <w:r>
        <w:rPr>
          <w:rFonts w:hint="eastAsia"/>
          <w:color w:val="auto"/>
        </w:rPr>
        <w:t>21.谈判的修改与撤回</w:t>
      </w:r>
      <w:bookmarkEnd w:id="56"/>
    </w:p>
    <w:p>
      <w:pPr>
        <w:pStyle w:val="13"/>
        <w:ind w:firstLine="480"/>
        <w:rPr>
          <w:color w:val="auto"/>
        </w:rPr>
      </w:pPr>
      <w:r>
        <w:rPr>
          <w:rFonts w:hint="eastAsia"/>
          <w:color w:val="auto"/>
        </w:rPr>
        <w:t>21.1供应商在递交竞争性谈判响应文件后，可以修改或撤回其竞争性谈判响应文件，也可以提出价格变动声明，但供应商必须在规定的谈判截止时间之前将修改或撤回或变动价格的书面通知文件递交到采购代理机构。</w:t>
      </w:r>
    </w:p>
    <w:p>
      <w:pPr>
        <w:pStyle w:val="13"/>
        <w:ind w:firstLine="480"/>
        <w:rPr>
          <w:color w:val="auto"/>
        </w:rPr>
      </w:pPr>
      <w:r>
        <w:rPr>
          <w:rFonts w:hint="eastAsia"/>
          <w:color w:val="auto"/>
        </w:rPr>
        <w:t>21.2供应商的修改或撤回或变动价格的通知应按本须知第17条、第18条、第19条的规定编制、密封、标记和递交。</w:t>
      </w:r>
    </w:p>
    <w:p>
      <w:pPr>
        <w:pStyle w:val="13"/>
        <w:ind w:firstLine="480"/>
        <w:rPr>
          <w:color w:val="auto"/>
        </w:rPr>
      </w:pPr>
      <w:r>
        <w:rPr>
          <w:rFonts w:hint="eastAsia"/>
          <w:color w:val="auto"/>
        </w:rPr>
        <w:t>21.3在谈判截止时间之后，供应商不得对其谈判响应文件做任何修改或撤回。</w:t>
      </w:r>
    </w:p>
    <w:p>
      <w:pPr>
        <w:pStyle w:val="4"/>
        <w:rPr>
          <w:color w:val="auto"/>
        </w:rPr>
      </w:pPr>
      <w:bookmarkStart w:id="57" w:name="_Toc18858"/>
      <w:bookmarkStart w:id="58" w:name="_Toc363474021"/>
      <w:bookmarkStart w:id="59" w:name="_Toc363473976"/>
      <w:bookmarkStart w:id="60" w:name="_Toc403077643"/>
      <w:r>
        <w:rPr>
          <w:rFonts w:hint="eastAsia"/>
          <w:color w:val="auto"/>
        </w:rPr>
        <w:t>五.谈判与</w:t>
      </w:r>
      <w:bookmarkEnd w:id="57"/>
      <w:bookmarkEnd w:id="58"/>
      <w:bookmarkEnd w:id="59"/>
      <w:bookmarkEnd w:id="60"/>
      <w:r>
        <w:rPr>
          <w:rFonts w:hint="eastAsia"/>
          <w:color w:val="auto"/>
        </w:rPr>
        <w:t>评审</w:t>
      </w:r>
    </w:p>
    <w:p>
      <w:pPr>
        <w:pStyle w:val="6"/>
        <w:rPr>
          <w:color w:val="auto"/>
        </w:rPr>
      </w:pPr>
      <w:bookmarkStart w:id="61" w:name="_Toc31805"/>
      <w:r>
        <w:rPr>
          <w:rFonts w:hint="eastAsia"/>
          <w:color w:val="auto"/>
        </w:rPr>
        <w:t>22.谈判会议</w:t>
      </w:r>
      <w:bookmarkEnd w:id="61"/>
    </w:p>
    <w:p>
      <w:pPr>
        <w:pStyle w:val="13"/>
        <w:ind w:firstLine="480"/>
        <w:rPr>
          <w:color w:val="auto"/>
        </w:rPr>
      </w:pPr>
      <w:r>
        <w:rPr>
          <w:rFonts w:hint="eastAsia"/>
          <w:color w:val="auto"/>
        </w:rPr>
        <w:t>22.1采购代理机构在规定的时间和地点组织竞争性谈判会议。谈判时所有供应商代表自愿参加，参加谈判的代表应签名报到以证明其出席。</w:t>
      </w:r>
    </w:p>
    <w:p>
      <w:pPr>
        <w:pStyle w:val="13"/>
        <w:ind w:firstLine="480"/>
        <w:rPr>
          <w:color w:val="auto"/>
        </w:rPr>
      </w:pPr>
      <w:r>
        <w:rPr>
          <w:rFonts w:hint="eastAsia"/>
          <w:color w:val="auto"/>
        </w:rPr>
        <w:t>22.2采购代理机构将做谈判记录，存档备查。</w:t>
      </w:r>
    </w:p>
    <w:p>
      <w:pPr>
        <w:pStyle w:val="6"/>
        <w:rPr>
          <w:color w:val="auto"/>
        </w:rPr>
      </w:pPr>
      <w:bookmarkStart w:id="62" w:name="_Toc1603"/>
      <w:r>
        <w:rPr>
          <w:rFonts w:hint="eastAsia"/>
          <w:color w:val="auto"/>
        </w:rPr>
        <w:t>23.评审组织及评审原则</w:t>
      </w:r>
      <w:bookmarkEnd w:id="62"/>
    </w:p>
    <w:p>
      <w:pPr>
        <w:pStyle w:val="13"/>
        <w:ind w:firstLine="480"/>
        <w:rPr>
          <w:color w:val="auto"/>
        </w:rPr>
      </w:pPr>
      <w:r>
        <w:rPr>
          <w:rFonts w:hint="eastAsia"/>
          <w:color w:val="auto"/>
        </w:rPr>
        <w:t>23.1按照《中华人民共和国政府采购法》及实施条例和《政府采购非招标采购方式管理办法》的规定，依法组建谈判小组。</w:t>
      </w:r>
    </w:p>
    <w:p>
      <w:pPr>
        <w:pStyle w:val="13"/>
        <w:ind w:firstLine="480"/>
        <w:rPr>
          <w:color w:val="auto"/>
        </w:rPr>
      </w:pPr>
      <w:r>
        <w:rPr>
          <w:rFonts w:hint="eastAsia"/>
          <w:color w:val="auto"/>
        </w:rPr>
        <w:t>23.2竞争性谈判文件和竞争性谈判响应文件是评审的依据。在评审中，不得改变竞争性谈判文件中规定的评审标准、方法和成交条件。</w:t>
      </w:r>
    </w:p>
    <w:p>
      <w:pPr>
        <w:pStyle w:val="6"/>
        <w:rPr>
          <w:color w:val="auto"/>
        </w:rPr>
      </w:pPr>
      <w:bookmarkStart w:id="63" w:name="_Toc20132"/>
      <w:r>
        <w:rPr>
          <w:rFonts w:hint="eastAsia"/>
          <w:color w:val="auto"/>
        </w:rPr>
        <w:t>24.评审过程的保密</w:t>
      </w:r>
      <w:bookmarkEnd w:id="63"/>
    </w:p>
    <w:p>
      <w:pPr>
        <w:pStyle w:val="13"/>
        <w:ind w:firstLine="480"/>
        <w:rPr>
          <w:color w:val="auto"/>
        </w:rPr>
      </w:pPr>
      <w:r>
        <w:rPr>
          <w:rFonts w:hint="eastAsia"/>
          <w:color w:val="auto"/>
        </w:rPr>
        <w:t>24.1谈判小组成员和与评审活动有关的工作人员不得泄露有关竞争性谈判响应文件的评审和比较、成交候选人的推荐以及与评审有关的其他情况。</w:t>
      </w:r>
    </w:p>
    <w:p>
      <w:pPr>
        <w:pStyle w:val="6"/>
        <w:rPr>
          <w:color w:val="auto"/>
        </w:rPr>
      </w:pPr>
      <w:bookmarkStart w:id="64" w:name="_Toc7960"/>
      <w:r>
        <w:rPr>
          <w:rFonts w:hint="eastAsia"/>
          <w:color w:val="auto"/>
        </w:rPr>
        <w:t>25.评审</w:t>
      </w:r>
    </w:p>
    <w:bookmarkEnd w:id="64"/>
    <w:p>
      <w:pPr>
        <w:pStyle w:val="13"/>
        <w:ind w:firstLine="480"/>
        <w:rPr>
          <w:color w:val="auto"/>
        </w:rPr>
      </w:pPr>
      <w:r>
        <w:rPr>
          <w:rFonts w:hint="eastAsia"/>
          <w:color w:val="auto"/>
        </w:rPr>
        <w:t>25.1评审方法</w:t>
      </w:r>
    </w:p>
    <w:p>
      <w:pPr>
        <w:pStyle w:val="13"/>
        <w:ind w:firstLine="480"/>
        <w:rPr>
          <w:color w:val="auto"/>
        </w:rPr>
      </w:pPr>
      <w:r>
        <w:rPr>
          <w:rFonts w:hint="eastAsia"/>
          <w:color w:val="auto"/>
        </w:rPr>
        <w:t>按照《中华人民共和国政府采购法》及实施条例和《政府采购非招标采购方式管理办法》的规定，本次评审采用最低评标价法，即在全部满足竞争性谈判文件实质性要求前提下，依据统一的价格要素评定最低报价，以提出最低报价的谈判供应商作为成交候选供应商并依次排序。</w:t>
      </w:r>
    </w:p>
    <w:p>
      <w:pPr>
        <w:pStyle w:val="13"/>
        <w:ind w:firstLine="480"/>
        <w:rPr>
          <w:color w:val="auto"/>
        </w:rPr>
      </w:pPr>
      <w:r>
        <w:rPr>
          <w:rFonts w:hint="eastAsia"/>
          <w:color w:val="auto"/>
        </w:rPr>
        <w:t>25.2谈判步骤</w:t>
      </w:r>
    </w:p>
    <w:p>
      <w:pPr>
        <w:pStyle w:val="13"/>
        <w:ind w:firstLine="480"/>
        <w:rPr>
          <w:color w:val="auto"/>
        </w:rPr>
      </w:pPr>
      <w:r>
        <w:rPr>
          <w:rFonts w:hint="eastAsia"/>
          <w:color w:val="auto"/>
        </w:rPr>
        <w:t>第一次报价---分别谈判---第二次报价---评审推荐成交供应商。（注：谈判响应文件拆封时的价格为第一次报价，无效谈判响应供应商将不得进入第二次报价）。</w:t>
      </w:r>
    </w:p>
    <w:p>
      <w:pPr>
        <w:pStyle w:val="13"/>
        <w:ind w:firstLine="480"/>
        <w:rPr>
          <w:color w:val="auto"/>
        </w:rPr>
      </w:pPr>
      <w:r>
        <w:rPr>
          <w:rFonts w:hint="eastAsia"/>
          <w:color w:val="auto"/>
        </w:rPr>
        <w:t>当第二次报价全部超过谈判文件规定的采购预算（或最高限价）或均低于公认的制作成本时，谈判小组有权决定是否谈判失败或进行第三次报价。当第三次报价若超出财政预算，且采购人又无力支付，谈判小组有权决定谈判失败。</w:t>
      </w:r>
    </w:p>
    <w:p>
      <w:pPr>
        <w:pStyle w:val="13"/>
        <w:ind w:firstLine="480"/>
        <w:rPr>
          <w:color w:val="auto"/>
        </w:rPr>
      </w:pPr>
      <w:r>
        <w:rPr>
          <w:rFonts w:hint="eastAsia"/>
          <w:color w:val="auto"/>
        </w:rPr>
        <w:t>25.3评审程序</w:t>
      </w:r>
    </w:p>
    <w:p>
      <w:pPr>
        <w:pStyle w:val="13"/>
        <w:ind w:firstLine="480"/>
        <w:rPr>
          <w:color w:val="auto"/>
        </w:rPr>
      </w:pPr>
      <w:r>
        <w:rPr>
          <w:rFonts w:hint="eastAsia"/>
          <w:color w:val="auto"/>
        </w:rPr>
        <w:t>25.3.1对谈判响应文件的初审</w:t>
      </w:r>
    </w:p>
    <w:p>
      <w:pPr>
        <w:pStyle w:val="13"/>
        <w:ind w:firstLine="480"/>
        <w:rPr>
          <w:color w:val="auto"/>
        </w:rPr>
      </w:pPr>
      <w:r>
        <w:rPr>
          <w:rFonts w:hint="eastAsia"/>
          <w:color w:val="auto"/>
        </w:rPr>
        <w:t>（1）资格性审查：采购人或采购代理机构（采购人委托）依据依据法律法规和谈判文件的规定，对响应文件中的资格证明文件进行审查，审查内容为供应商须知前附表中所列的供应商资格条件。</w:t>
      </w:r>
    </w:p>
    <w:p>
      <w:pPr>
        <w:pStyle w:val="13"/>
        <w:ind w:firstLine="480"/>
        <w:rPr>
          <w:rFonts w:hint="default" w:eastAsia="宋体"/>
          <w:color w:val="auto"/>
          <w:lang w:val="en-US" w:eastAsia="zh-CN"/>
        </w:rPr>
      </w:pPr>
      <w:r>
        <w:rPr>
          <w:rFonts w:hint="eastAsia"/>
          <w:color w:val="auto"/>
        </w:rPr>
        <w:t>（2）</w:t>
      </w:r>
      <w:r>
        <w:rPr>
          <w:rFonts w:hint="eastAsia"/>
          <w:color w:val="auto"/>
          <w:lang w:val="en-US" w:eastAsia="zh-CN"/>
        </w:rPr>
        <w:t>中小企业认定：本项目为专门面向中小型企业的采购项目，由谈判小组根据</w:t>
      </w:r>
      <w:r>
        <w:rPr>
          <w:rFonts w:hint="eastAsia"/>
          <w:color w:val="auto"/>
        </w:rPr>
        <w:t>《政府采购促进中小企业发展管理办法》(财库(2020)46号)规定的对中小企业的划分标准</w:t>
      </w:r>
      <w:r>
        <w:rPr>
          <w:rFonts w:hint="eastAsia"/>
          <w:color w:val="auto"/>
          <w:lang w:val="en-US" w:eastAsia="zh-CN"/>
        </w:rPr>
        <w:t>进行认定。</w:t>
      </w:r>
    </w:p>
    <w:p>
      <w:pPr>
        <w:pStyle w:val="13"/>
        <w:ind w:firstLine="480"/>
        <w:rPr>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rPr>
        <w:t>符合性审查：谈判小组依据谈判文件的规定，从响应文件的有效性、完整性和对谈判文件的响应程度进行审查，以确定是否对谈判文件的实质性内容作出响应。其内容包括但不限于以下部分：</w:t>
      </w:r>
    </w:p>
    <w:p>
      <w:pPr>
        <w:pStyle w:val="13"/>
        <w:ind w:firstLine="480"/>
        <w:rPr>
          <w:color w:val="auto"/>
        </w:rPr>
      </w:pPr>
      <w:r>
        <w:rPr>
          <w:rFonts w:hint="eastAsia"/>
          <w:color w:val="auto"/>
        </w:rPr>
        <w:t>1）供应商印刷体名称、公章名称与营业执照名称是否一致；</w:t>
      </w:r>
    </w:p>
    <w:p>
      <w:pPr>
        <w:pStyle w:val="13"/>
        <w:ind w:firstLine="480"/>
        <w:rPr>
          <w:color w:val="auto"/>
        </w:rPr>
      </w:pPr>
      <w:r>
        <w:rPr>
          <w:rFonts w:hint="eastAsia"/>
          <w:color w:val="auto"/>
        </w:rPr>
        <w:t>2）响应文件的正副本数量符合性；</w:t>
      </w:r>
    </w:p>
    <w:p>
      <w:pPr>
        <w:pStyle w:val="13"/>
        <w:ind w:firstLine="480"/>
        <w:rPr>
          <w:color w:val="auto"/>
        </w:rPr>
      </w:pPr>
      <w:r>
        <w:rPr>
          <w:rFonts w:hint="eastAsia"/>
          <w:color w:val="auto"/>
        </w:rPr>
        <w:t>3）响应文件的签字盖章符合性；</w:t>
      </w:r>
    </w:p>
    <w:p>
      <w:pPr>
        <w:pStyle w:val="13"/>
        <w:ind w:firstLine="480"/>
        <w:rPr>
          <w:color w:val="auto"/>
        </w:rPr>
      </w:pPr>
      <w:r>
        <w:rPr>
          <w:rFonts w:hint="eastAsia"/>
          <w:color w:val="auto"/>
        </w:rPr>
        <w:t>4）谈判响应有效期符合性；</w:t>
      </w:r>
    </w:p>
    <w:p>
      <w:pPr>
        <w:pStyle w:val="13"/>
        <w:ind w:firstLine="480"/>
        <w:rPr>
          <w:color w:val="auto"/>
        </w:rPr>
      </w:pPr>
      <w:r>
        <w:rPr>
          <w:rFonts w:hint="eastAsia"/>
          <w:color w:val="auto"/>
        </w:rPr>
        <w:t>5）谈判响应报价符合性（报价唯一性、报价未超预算）；</w:t>
      </w:r>
    </w:p>
    <w:p>
      <w:pPr>
        <w:pStyle w:val="13"/>
        <w:ind w:firstLine="480"/>
        <w:rPr>
          <w:color w:val="auto"/>
        </w:rPr>
      </w:pPr>
      <w:r>
        <w:rPr>
          <w:rFonts w:hint="eastAsia"/>
          <w:color w:val="auto"/>
        </w:rPr>
        <w:t>6）商务、技术要求满足实质性要求（交货期不大于采购要求，质保期不小于采购要求、付款方式满足采购要求、响应内容无重大缺漏项）；</w:t>
      </w:r>
    </w:p>
    <w:p>
      <w:pPr>
        <w:pStyle w:val="13"/>
        <w:ind w:firstLine="480"/>
        <w:rPr>
          <w:color w:val="auto"/>
        </w:rPr>
      </w:pPr>
      <w:r>
        <w:rPr>
          <w:rFonts w:hint="eastAsia"/>
          <w:color w:val="auto"/>
        </w:rPr>
        <w:t>7）其他法律、规章、规范性文件和谈判文件规定的符合性。</w:t>
      </w:r>
    </w:p>
    <w:p>
      <w:pPr>
        <w:pStyle w:val="13"/>
        <w:ind w:firstLine="480"/>
        <w:rPr>
          <w:color w:val="auto"/>
        </w:rPr>
      </w:pPr>
      <w:r>
        <w:rPr>
          <w:rFonts w:hint="eastAsia"/>
          <w:color w:val="auto"/>
        </w:rPr>
        <w:t>（</w:t>
      </w:r>
      <w:r>
        <w:rPr>
          <w:rFonts w:hint="eastAsia"/>
          <w:color w:val="auto"/>
          <w:lang w:val="en-US" w:eastAsia="zh-CN"/>
        </w:rPr>
        <w:t>4</w:t>
      </w:r>
      <w:r>
        <w:rPr>
          <w:rFonts w:hint="eastAsia"/>
          <w:color w:val="auto"/>
        </w:rPr>
        <w:t>）在资格性审查阶段，不符合谈判文件要求的，不得进入</w:t>
      </w:r>
      <w:r>
        <w:rPr>
          <w:rFonts w:hint="eastAsia"/>
          <w:color w:val="auto"/>
          <w:lang w:val="en-US" w:eastAsia="zh-CN"/>
        </w:rPr>
        <w:t>中小企业认定阶段，不属于中小企业的，不得进入</w:t>
      </w:r>
      <w:r>
        <w:rPr>
          <w:rFonts w:hint="eastAsia"/>
          <w:color w:val="auto"/>
        </w:rPr>
        <w:t>符合性审查，在符合性审查时未通过的，不得进入后续评审环节。</w:t>
      </w:r>
    </w:p>
    <w:p>
      <w:pPr>
        <w:pStyle w:val="13"/>
        <w:ind w:firstLine="480"/>
        <w:rPr>
          <w:color w:val="auto"/>
        </w:rPr>
      </w:pPr>
      <w:r>
        <w:rPr>
          <w:rFonts w:hint="eastAsia"/>
          <w:color w:val="auto"/>
        </w:rPr>
        <w:t>25.3.2谈判响应文件的澄清</w:t>
      </w:r>
    </w:p>
    <w:p>
      <w:pPr>
        <w:pStyle w:val="13"/>
        <w:ind w:firstLine="480"/>
        <w:rPr>
          <w:color w:val="auto"/>
        </w:rPr>
      </w:pPr>
      <w:r>
        <w:rPr>
          <w:rFonts w:hint="eastAsia"/>
          <w:color w:val="auto"/>
        </w:rPr>
        <w:t>（1）谈判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pStyle w:val="13"/>
        <w:ind w:firstLine="480"/>
        <w:rPr>
          <w:color w:val="auto"/>
        </w:rPr>
      </w:pPr>
      <w:r>
        <w:rPr>
          <w:rFonts w:hint="eastAsia"/>
          <w:color w:val="auto"/>
        </w:rPr>
        <w:t>（2）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pPr>
        <w:pStyle w:val="13"/>
        <w:ind w:firstLine="480"/>
        <w:rPr>
          <w:color w:val="auto"/>
        </w:rPr>
      </w:pPr>
      <w:r>
        <w:rPr>
          <w:rFonts w:hint="eastAsia"/>
          <w:color w:val="auto"/>
        </w:rPr>
        <w:t>（3）如果供应商在澄清规定期限内，未能答复或拒绝答复谈判小组提出的澄清要求，将由谈判小组根据其竞争性谈判响应文件按最大风险进行评审。</w:t>
      </w:r>
    </w:p>
    <w:p>
      <w:pPr>
        <w:pStyle w:val="13"/>
        <w:ind w:firstLine="480"/>
        <w:rPr>
          <w:color w:val="auto"/>
        </w:rPr>
      </w:pPr>
      <w:r>
        <w:rPr>
          <w:rFonts w:hint="eastAsia"/>
          <w:color w:val="auto"/>
        </w:rPr>
        <w:t>25.3.3谈判</w:t>
      </w:r>
    </w:p>
    <w:p>
      <w:pPr>
        <w:pStyle w:val="13"/>
        <w:ind w:firstLine="480"/>
        <w:rPr>
          <w:color w:val="auto"/>
        </w:rPr>
      </w:pPr>
      <w:r>
        <w:rPr>
          <w:rFonts w:hint="eastAsia"/>
          <w:color w:val="auto"/>
        </w:rPr>
        <w:t>谈判小组所有成员集中与单一供应商分别进行谈判，并要求供应商在规定的时间内提交最后报价。</w:t>
      </w:r>
    </w:p>
    <w:p>
      <w:pPr>
        <w:pStyle w:val="13"/>
        <w:ind w:firstLine="480"/>
        <w:rPr>
          <w:color w:val="auto"/>
        </w:rPr>
      </w:pPr>
      <w:r>
        <w:rPr>
          <w:rFonts w:hint="eastAsia"/>
          <w:color w:val="auto"/>
        </w:rPr>
        <w:t>25.3.4推荐成交候选人</w:t>
      </w:r>
    </w:p>
    <w:p>
      <w:pPr>
        <w:pStyle w:val="13"/>
        <w:ind w:firstLine="480"/>
        <w:rPr>
          <w:color w:val="auto"/>
        </w:rPr>
      </w:pPr>
      <w:r>
        <w:rPr>
          <w:rFonts w:hint="eastAsia"/>
          <w:color w:val="auto"/>
        </w:rPr>
        <w:t>谈判小组依据谈判响应文件，从质量和服务均能满足谈判文件要求的供应商中，按照最后报价由低到高的顺序依次排序，推荐3名成交候选人，并标明顺序。谈判报价相同的，按照技术指标优劣顺序排序或由全体谈判小组成员无记名投票，得票高者排序在前。</w:t>
      </w:r>
    </w:p>
    <w:p>
      <w:pPr>
        <w:pStyle w:val="13"/>
        <w:ind w:firstLine="480"/>
        <w:rPr>
          <w:color w:val="auto"/>
        </w:rPr>
      </w:pPr>
      <w:r>
        <w:rPr>
          <w:rFonts w:hint="eastAsia"/>
          <w:color w:val="auto"/>
        </w:rPr>
        <w:t>25.4谈判小组当履行下列义务</w:t>
      </w:r>
    </w:p>
    <w:p>
      <w:pPr>
        <w:pStyle w:val="13"/>
        <w:ind w:firstLine="480"/>
        <w:rPr>
          <w:color w:val="auto"/>
        </w:rPr>
      </w:pPr>
      <w:r>
        <w:rPr>
          <w:rFonts w:hint="eastAsia"/>
          <w:color w:val="auto"/>
        </w:rPr>
        <w:t>（1）遵纪守法，客观、公正、廉洁地履行职责；</w:t>
      </w:r>
    </w:p>
    <w:p>
      <w:pPr>
        <w:pStyle w:val="13"/>
        <w:ind w:firstLine="480"/>
        <w:rPr>
          <w:color w:val="auto"/>
        </w:rPr>
      </w:pPr>
      <w:r>
        <w:rPr>
          <w:rFonts w:hint="eastAsia"/>
          <w:color w:val="auto"/>
        </w:rPr>
        <w:t>（2）根据采购文件的规定独立进行评审，对个人的评审意见承担法律责任；</w:t>
      </w:r>
    </w:p>
    <w:p>
      <w:pPr>
        <w:pStyle w:val="13"/>
        <w:ind w:firstLine="480"/>
        <w:rPr>
          <w:color w:val="auto"/>
        </w:rPr>
      </w:pPr>
      <w:r>
        <w:rPr>
          <w:rFonts w:hint="eastAsia"/>
          <w:color w:val="auto"/>
        </w:rPr>
        <w:t>（3）参与评审报告的起草；</w:t>
      </w:r>
    </w:p>
    <w:p>
      <w:pPr>
        <w:pStyle w:val="13"/>
        <w:ind w:firstLine="480"/>
        <w:rPr>
          <w:color w:val="auto"/>
        </w:rPr>
      </w:pPr>
      <w:r>
        <w:rPr>
          <w:rFonts w:hint="eastAsia"/>
          <w:color w:val="auto"/>
        </w:rPr>
        <w:t>（4）配合采购人、采购代理机构答复供应商提出的质疑；</w:t>
      </w:r>
    </w:p>
    <w:p>
      <w:pPr>
        <w:pStyle w:val="13"/>
        <w:ind w:firstLine="480"/>
        <w:rPr>
          <w:color w:val="auto"/>
        </w:rPr>
      </w:pPr>
      <w:r>
        <w:rPr>
          <w:rFonts w:hint="eastAsia"/>
          <w:color w:val="auto"/>
        </w:rPr>
        <w:t>（5）配合财政部门的投诉处理和监督检查工作。</w:t>
      </w:r>
    </w:p>
    <w:p>
      <w:pPr>
        <w:pStyle w:val="13"/>
        <w:ind w:firstLine="480"/>
        <w:rPr>
          <w:color w:val="auto"/>
        </w:rPr>
      </w:pPr>
      <w:r>
        <w:rPr>
          <w:rFonts w:hint="eastAsia"/>
          <w:color w:val="auto"/>
        </w:rPr>
        <w:t>25.5无效响应文件</w:t>
      </w:r>
    </w:p>
    <w:p>
      <w:pPr>
        <w:pStyle w:val="13"/>
        <w:ind w:firstLine="480"/>
        <w:rPr>
          <w:color w:val="auto"/>
        </w:rPr>
      </w:pPr>
      <w:r>
        <w:rPr>
          <w:rFonts w:hint="eastAsia"/>
          <w:color w:val="auto"/>
        </w:rPr>
        <w:t>出现下列情形之一的，谈判响应文件无效：</w:t>
      </w:r>
    </w:p>
    <w:p>
      <w:pPr>
        <w:pStyle w:val="13"/>
        <w:ind w:firstLine="480"/>
        <w:rPr>
          <w:color w:val="auto"/>
        </w:rPr>
      </w:pPr>
      <w:r>
        <w:rPr>
          <w:rFonts w:hint="eastAsia"/>
          <w:color w:val="auto"/>
        </w:rPr>
        <w:t>（1）竞争性谈判响应文件未按竞争性谈判文件要求密封、签署、盖章的；</w:t>
      </w:r>
    </w:p>
    <w:p>
      <w:pPr>
        <w:pStyle w:val="13"/>
        <w:ind w:firstLine="480"/>
        <w:rPr>
          <w:color w:val="auto"/>
        </w:rPr>
      </w:pPr>
      <w:r>
        <w:rPr>
          <w:rFonts w:hint="eastAsia"/>
          <w:color w:val="auto"/>
        </w:rPr>
        <w:t>（2）供应商未按竞争性谈判文件要求提交谈判响应保证金（如有）或保函（如有）的；</w:t>
      </w:r>
    </w:p>
    <w:p>
      <w:pPr>
        <w:pStyle w:val="13"/>
        <w:ind w:firstLine="480"/>
        <w:rPr>
          <w:color w:val="auto"/>
        </w:rPr>
      </w:pPr>
      <w:r>
        <w:rPr>
          <w:rFonts w:hint="eastAsia"/>
          <w:color w:val="auto"/>
        </w:rPr>
        <w:t>（3）不具备谈判文件中规定的资格要求或资格证明文件不全的或无效的；</w:t>
      </w:r>
    </w:p>
    <w:p>
      <w:pPr>
        <w:pStyle w:val="13"/>
        <w:ind w:firstLine="480"/>
        <w:rPr>
          <w:color w:val="auto"/>
        </w:rPr>
      </w:pPr>
      <w:r>
        <w:rPr>
          <w:rFonts w:hint="eastAsia"/>
          <w:color w:val="auto"/>
        </w:rPr>
        <w:t>（4）无谈判有效期或有效期达不到竞争性谈判文件要求的；</w:t>
      </w:r>
    </w:p>
    <w:p>
      <w:pPr>
        <w:pStyle w:val="13"/>
        <w:ind w:firstLine="480"/>
        <w:rPr>
          <w:color w:val="auto"/>
        </w:rPr>
      </w:pPr>
      <w:r>
        <w:rPr>
          <w:rFonts w:hint="eastAsia"/>
          <w:color w:val="auto"/>
        </w:rPr>
        <w:t>（5）谈判总报价超过竞争性谈判文件公布的采购预算的；</w:t>
      </w:r>
    </w:p>
    <w:p>
      <w:pPr>
        <w:pStyle w:val="13"/>
        <w:ind w:firstLine="480"/>
        <w:rPr>
          <w:color w:val="auto"/>
        </w:rPr>
      </w:pPr>
      <w:r>
        <w:rPr>
          <w:rFonts w:hint="eastAsia"/>
          <w:color w:val="auto"/>
        </w:rPr>
        <w:t>（6）响应文件含有采购人不能接受的附加条件的；</w:t>
      </w:r>
    </w:p>
    <w:p>
      <w:pPr>
        <w:pStyle w:val="13"/>
        <w:ind w:firstLine="480"/>
        <w:rPr>
          <w:color w:val="auto"/>
        </w:rPr>
      </w:pPr>
      <w:r>
        <w:rPr>
          <w:rFonts w:hint="eastAsia"/>
          <w:color w:val="auto"/>
        </w:rPr>
        <w:t>（7）单位负责人为同一人或者存在直接控股、管理关系的不同供应商，参加本项目同一合同项下的谈判的；</w:t>
      </w:r>
    </w:p>
    <w:p>
      <w:pPr>
        <w:pStyle w:val="13"/>
        <w:ind w:firstLine="480"/>
        <w:rPr>
          <w:color w:val="auto"/>
        </w:rPr>
      </w:pPr>
      <w:r>
        <w:rPr>
          <w:rFonts w:hint="eastAsia"/>
          <w:color w:val="auto"/>
        </w:rPr>
        <w:t>（8）为本采购项目提供整体设计、规范编制或者项目管理、监理、检测等服务的供应商，参加本采购项目谈判的；</w:t>
      </w:r>
    </w:p>
    <w:p>
      <w:pPr>
        <w:pStyle w:val="13"/>
        <w:ind w:firstLine="480"/>
        <w:rPr>
          <w:color w:val="auto"/>
        </w:rPr>
      </w:pPr>
      <w:r>
        <w:rPr>
          <w:rFonts w:hint="eastAsia"/>
          <w:color w:val="auto"/>
        </w:rPr>
        <w:t>（9）提供虚假文件和资料的；</w:t>
      </w:r>
    </w:p>
    <w:p>
      <w:pPr>
        <w:pStyle w:val="13"/>
        <w:ind w:firstLine="480"/>
        <w:rPr>
          <w:color w:val="auto"/>
        </w:rPr>
      </w:pPr>
      <w:r>
        <w:rPr>
          <w:rFonts w:hint="eastAsia"/>
          <w:color w:val="auto"/>
        </w:rPr>
        <w:t>（10）法律、法规规定的其他无效情形。</w:t>
      </w:r>
    </w:p>
    <w:p>
      <w:pPr>
        <w:pStyle w:val="13"/>
        <w:ind w:firstLine="480"/>
        <w:rPr>
          <w:color w:val="auto"/>
        </w:rPr>
      </w:pPr>
      <w:r>
        <w:rPr>
          <w:rFonts w:hint="eastAsia"/>
          <w:color w:val="auto"/>
        </w:rPr>
        <w:t>25.6特殊情况的处理</w:t>
      </w:r>
    </w:p>
    <w:p>
      <w:pPr>
        <w:pStyle w:val="13"/>
        <w:ind w:firstLine="480"/>
        <w:rPr>
          <w:color w:val="auto"/>
        </w:rPr>
      </w:pPr>
      <w:r>
        <w:rPr>
          <w:rFonts w:hint="eastAsia"/>
          <w:color w:val="auto"/>
        </w:rPr>
        <w:t>25.6.1计算错误将按以下方法更正：</w:t>
      </w:r>
    </w:p>
    <w:p>
      <w:pPr>
        <w:pStyle w:val="13"/>
        <w:ind w:firstLine="480"/>
        <w:rPr>
          <w:color w:val="auto"/>
        </w:rPr>
      </w:pPr>
      <w:r>
        <w:rPr>
          <w:rFonts w:hint="eastAsia"/>
          <w:color w:val="auto"/>
        </w:rPr>
        <w:t>（1）谈判响应文件中谈判响应报价一览表内容与谈判响应文件中相应内容总金额不一致的，以谈判响应报价一览表为准。</w:t>
      </w:r>
    </w:p>
    <w:p>
      <w:pPr>
        <w:pStyle w:val="13"/>
        <w:ind w:firstLine="480"/>
        <w:rPr>
          <w:color w:val="auto"/>
        </w:rPr>
      </w:pPr>
      <w:r>
        <w:rPr>
          <w:rFonts w:hint="eastAsia"/>
          <w:color w:val="auto"/>
        </w:rPr>
        <w:t>（2）谈判响应文件的大写金额和小写金额不一致的，以大写金额为准；</w:t>
      </w:r>
    </w:p>
    <w:p>
      <w:pPr>
        <w:pStyle w:val="13"/>
        <w:ind w:firstLine="480"/>
        <w:rPr>
          <w:color w:val="auto"/>
        </w:rPr>
      </w:pPr>
      <w:r>
        <w:rPr>
          <w:rFonts w:hint="eastAsia"/>
          <w:color w:val="auto"/>
        </w:rPr>
        <w:t>（3）单价金额小数点或者百分比有明显错位的，以谈判响应报价一览表的总价为准，并修改单价；</w:t>
      </w:r>
    </w:p>
    <w:p>
      <w:pPr>
        <w:pStyle w:val="13"/>
        <w:ind w:firstLine="480"/>
        <w:rPr>
          <w:color w:val="auto"/>
        </w:rPr>
      </w:pPr>
      <w:r>
        <w:rPr>
          <w:rFonts w:hint="eastAsia"/>
          <w:color w:val="auto"/>
        </w:rPr>
        <w:t>（4）总价金额与按单价汇总金额不一致的，以单价金额计算结果为准。</w:t>
      </w:r>
    </w:p>
    <w:p>
      <w:pPr>
        <w:pStyle w:val="13"/>
        <w:ind w:firstLine="480"/>
        <w:rPr>
          <w:color w:val="auto"/>
        </w:rPr>
      </w:pPr>
      <w:r>
        <w:rPr>
          <w:rFonts w:hint="eastAsia"/>
          <w:color w:val="auto"/>
        </w:rPr>
        <w:t>按上述修正的顺序和方法调整的报价应对供应商具有约束力。如果供应商不接受修正后的价格，其响应文件将按无效响应处理。</w:t>
      </w:r>
    </w:p>
    <w:p>
      <w:pPr>
        <w:pStyle w:val="13"/>
        <w:ind w:firstLine="480"/>
        <w:rPr>
          <w:color w:val="auto"/>
        </w:rPr>
      </w:pPr>
      <w:r>
        <w:rPr>
          <w:rFonts w:hint="eastAsia"/>
          <w:color w:val="auto"/>
        </w:rPr>
        <w:t>25.6.2对于竞争性谈判响应文件中明显的标点符号错误或不构成实质性偏差的不正规、不一致或不规则，采购人可以接受。</w:t>
      </w:r>
    </w:p>
    <w:p>
      <w:pPr>
        <w:pStyle w:val="13"/>
        <w:ind w:firstLine="480"/>
        <w:rPr>
          <w:color w:val="auto"/>
        </w:rPr>
      </w:pPr>
      <w:bookmarkStart w:id="164" w:name="_GoBack"/>
      <w:r>
        <w:rPr>
          <w:rFonts w:hint="eastAsia"/>
          <w:color w:val="auto"/>
        </w:rPr>
        <w:t>25.6.3出现下列情形之一的，采购人或者采购代理机构应当终止竞争性谈判采购活动，发布项目终止公告并说明原因，重新开展采购活动：</w:t>
      </w:r>
    </w:p>
    <w:p>
      <w:pPr>
        <w:pStyle w:val="13"/>
        <w:ind w:firstLine="480"/>
        <w:rPr>
          <w:color w:val="auto"/>
        </w:rPr>
      </w:pPr>
      <w:r>
        <w:rPr>
          <w:rFonts w:hint="eastAsia"/>
          <w:color w:val="auto"/>
        </w:rPr>
        <w:t>（1）因情况变化，不再符合规定的竞争性谈判采购方式适用情形的；</w:t>
      </w:r>
    </w:p>
    <w:p>
      <w:pPr>
        <w:pStyle w:val="13"/>
        <w:ind w:firstLine="480"/>
        <w:rPr>
          <w:color w:val="auto"/>
        </w:rPr>
      </w:pPr>
      <w:r>
        <w:rPr>
          <w:rFonts w:hint="eastAsia"/>
          <w:color w:val="auto"/>
        </w:rPr>
        <w:t>（2）出现影响采购公正的违法、违规行为的；</w:t>
      </w:r>
    </w:p>
    <w:p>
      <w:pPr>
        <w:pStyle w:val="13"/>
        <w:ind w:firstLine="480"/>
        <w:rPr>
          <w:color w:val="auto"/>
        </w:rPr>
      </w:pPr>
      <w:r>
        <w:rPr>
          <w:rFonts w:hint="eastAsia"/>
          <w:color w:val="auto"/>
        </w:rPr>
        <w:t>（3）在采购过程中符合竞争要求的供应商或者报价未超过采购预算的供应商不足3家的，但《政府采购非招标采购方式管理办法》（财政部74号令）第二十七条第二款规定的情形除外。</w:t>
      </w:r>
    </w:p>
    <w:bookmarkEnd w:id="164"/>
    <w:p>
      <w:pPr>
        <w:pStyle w:val="13"/>
        <w:ind w:firstLine="480"/>
        <w:rPr>
          <w:color w:val="auto"/>
        </w:rPr>
      </w:pPr>
      <w:r>
        <w:rPr>
          <w:rFonts w:hint="eastAsia"/>
          <w:color w:val="auto"/>
        </w:rPr>
        <w:t>25.6.4谈判过程中，若出现本评审方法以外的特殊情况时，将暂停评审，待谈判小组商榷后，再进行评定。</w:t>
      </w:r>
    </w:p>
    <w:p>
      <w:pPr>
        <w:pStyle w:val="4"/>
        <w:rPr>
          <w:color w:val="auto"/>
        </w:rPr>
      </w:pPr>
      <w:r>
        <w:rPr>
          <w:rFonts w:hint="eastAsia"/>
          <w:color w:val="auto"/>
        </w:rPr>
        <w:t>六.成交、通知与签约</w:t>
      </w:r>
    </w:p>
    <w:p>
      <w:pPr>
        <w:pStyle w:val="6"/>
        <w:rPr>
          <w:color w:val="auto"/>
        </w:rPr>
      </w:pPr>
      <w:bookmarkStart w:id="65" w:name="_Toc26687"/>
      <w:r>
        <w:rPr>
          <w:rFonts w:hint="eastAsia"/>
          <w:color w:val="auto"/>
        </w:rPr>
        <w:t>26.成交程序</w:t>
      </w:r>
      <w:bookmarkEnd w:id="65"/>
    </w:p>
    <w:p>
      <w:pPr>
        <w:pStyle w:val="13"/>
        <w:ind w:firstLine="480"/>
        <w:rPr>
          <w:color w:val="auto"/>
        </w:rPr>
      </w:pPr>
      <w:r>
        <w:rPr>
          <w:rFonts w:hint="eastAsia"/>
          <w:color w:val="auto"/>
        </w:rPr>
        <w:t>26.1谈判小组根据评审方法的规定对谈判供应商进行评审排序，推荐3名成交候选人，作为评审结果。评审结果由全体评委签字确认。</w:t>
      </w:r>
    </w:p>
    <w:p>
      <w:pPr>
        <w:pStyle w:val="13"/>
        <w:ind w:firstLine="480"/>
        <w:rPr>
          <w:color w:val="auto"/>
        </w:rPr>
      </w:pPr>
      <w:r>
        <w:rPr>
          <w:rFonts w:hint="eastAsia"/>
          <w:color w:val="auto"/>
        </w:rPr>
        <w:t>26.2采购人根据谈判报告中推荐的成交候选人排列顺序，确定排名第一的为成交供应商，以复函通知采购代理机构。采购人也可以授权谈判小组评审后直接确定成交供应商。</w:t>
      </w:r>
    </w:p>
    <w:p>
      <w:pPr>
        <w:pStyle w:val="13"/>
        <w:ind w:firstLine="480"/>
        <w:rPr>
          <w:color w:val="auto"/>
        </w:rPr>
      </w:pPr>
      <w:r>
        <w:rPr>
          <w:rFonts w:hint="eastAsia"/>
          <w:color w:val="auto"/>
        </w:rPr>
        <w:t>26.3排名第一的成交候选人放弃成交、在规定期限内未能签订合同、因不可抗力不能履行合同、不按照竞争性谈判文件要求提交履约保证金（如有），或者被查实存在影响成交结果的违法行为等情形，不符合成交条件的，采购人可以按照谈判小组提出的成交候选人名单排序依次确定其他成交候选人为成交供应商，也可以重新组织竞争性谈判。</w:t>
      </w:r>
    </w:p>
    <w:p>
      <w:pPr>
        <w:pStyle w:val="13"/>
        <w:ind w:firstLine="480"/>
        <w:rPr>
          <w:color w:val="auto"/>
        </w:rPr>
      </w:pPr>
      <w:r>
        <w:rPr>
          <w:rFonts w:hint="eastAsia"/>
          <w:color w:val="auto"/>
        </w:rPr>
        <w:t>26.4成交供应商确定之后，成交结果将在发布媒体上公告。</w:t>
      </w:r>
    </w:p>
    <w:p>
      <w:pPr>
        <w:pStyle w:val="13"/>
        <w:ind w:firstLine="480"/>
        <w:rPr>
          <w:color w:val="auto"/>
        </w:rPr>
      </w:pPr>
      <w:r>
        <w:rPr>
          <w:rFonts w:hint="eastAsia"/>
          <w:color w:val="auto"/>
        </w:rPr>
        <w:t>26.5供应商或者其他利害关系人对评审结果有异议的，应当在法律规定的时间内提出。</w:t>
      </w:r>
    </w:p>
    <w:p>
      <w:pPr>
        <w:pStyle w:val="6"/>
        <w:rPr>
          <w:color w:val="auto"/>
        </w:rPr>
      </w:pPr>
      <w:bookmarkStart w:id="66" w:name="_Toc29412"/>
      <w:r>
        <w:rPr>
          <w:rFonts w:hint="eastAsia"/>
          <w:color w:val="auto"/>
        </w:rPr>
        <w:t>27.成交通知</w:t>
      </w:r>
      <w:bookmarkEnd w:id="66"/>
    </w:p>
    <w:p>
      <w:pPr>
        <w:pStyle w:val="13"/>
        <w:ind w:firstLine="480"/>
        <w:rPr>
          <w:color w:val="auto"/>
        </w:rPr>
      </w:pPr>
      <w:r>
        <w:rPr>
          <w:rFonts w:hint="eastAsia"/>
          <w:color w:val="auto"/>
        </w:rPr>
        <w:t>27.1采购代理机构在发布成交公告后，向成交供应商发出《成交通知书》。</w:t>
      </w:r>
    </w:p>
    <w:p>
      <w:pPr>
        <w:pStyle w:val="13"/>
        <w:ind w:firstLine="480"/>
        <w:rPr>
          <w:color w:val="auto"/>
        </w:rPr>
      </w:pPr>
      <w:r>
        <w:rPr>
          <w:rFonts w:hint="eastAsia"/>
          <w:color w:val="auto"/>
        </w:rPr>
        <w:t>27.2成交通知书对采购人和成交供应商具有同等法律效力。成交通知书发出之后，采购人改变成交结果，或者成交供应商放弃成交，应当承担相应的法律责任。</w:t>
      </w:r>
    </w:p>
    <w:p>
      <w:pPr>
        <w:pStyle w:val="6"/>
        <w:rPr>
          <w:color w:val="auto"/>
        </w:rPr>
      </w:pPr>
      <w:bookmarkStart w:id="67" w:name="_Toc7161"/>
      <w:r>
        <w:rPr>
          <w:rFonts w:hint="eastAsia"/>
          <w:color w:val="auto"/>
        </w:rPr>
        <w:t>28.采购合同的签订</w:t>
      </w:r>
      <w:bookmarkEnd w:id="67"/>
    </w:p>
    <w:p>
      <w:pPr>
        <w:pStyle w:val="13"/>
        <w:ind w:firstLine="480"/>
        <w:rPr>
          <w:color w:val="auto"/>
        </w:rPr>
      </w:pPr>
      <w:r>
        <w:rPr>
          <w:rFonts w:hint="eastAsia"/>
          <w:color w:val="auto"/>
        </w:rPr>
        <w:t>28.1采购人应当自成交通知书发出之日起三十日内，按照竞争性谈判文件和成交供应商竞争性谈判响应文件（包括评审中形成的澄清文件）的约定，与成交供应商签订书面合同。所签订的合同不得对竞争性谈判文件和成交供应商的竞争性谈判响应文件（包括评审中形成的澄清文件）作实质性修改。</w:t>
      </w:r>
    </w:p>
    <w:p>
      <w:pPr>
        <w:pStyle w:val="13"/>
        <w:spacing w:line="384" w:lineRule="auto"/>
        <w:ind w:firstLine="480"/>
        <w:rPr>
          <w:color w:val="auto"/>
        </w:rPr>
      </w:pPr>
      <w:r>
        <w:rPr>
          <w:rFonts w:hint="eastAsia"/>
          <w:color w:val="auto"/>
        </w:rPr>
        <w:t>28.2采购人自政府采购合同签订之日起2个工作日内，将政府采购合同在省级以上人民政府财政部门指定的媒体上公告，但政府采购合同中涉及国家秘密、商业秘密的内容除外。</w:t>
      </w:r>
    </w:p>
    <w:p>
      <w:pPr>
        <w:pStyle w:val="6"/>
        <w:spacing w:line="384" w:lineRule="auto"/>
        <w:rPr>
          <w:color w:val="auto"/>
        </w:rPr>
      </w:pPr>
      <w:bookmarkStart w:id="68" w:name="_Toc19932"/>
      <w:r>
        <w:rPr>
          <w:rFonts w:hint="eastAsia"/>
          <w:color w:val="auto"/>
        </w:rPr>
        <w:t>29.招标代理服务费</w:t>
      </w:r>
      <w:bookmarkEnd w:id="68"/>
      <w:bookmarkStart w:id="69" w:name="_Toc22586"/>
    </w:p>
    <w:p>
      <w:pPr>
        <w:pStyle w:val="6"/>
        <w:spacing w:line="384" w:lineRule="auto"/>
        <w:ind w:firstLine="480" w:firstLineChars="200"/>
        <w:rPr>
          <w:b w:val="0"/>
          <w:color w:val="auto"/>
          <w:kern w:val="2"/>
        </w:rPr>
      </w:pPr>
      <w:r>
        <w:rPr>
          <w:rFonts w:hint="eastAsia"/>
          <w:b w:val="0"/>
          <w:color w:val="auto"/>
          <w:kern w:val="2"/>
        </w:rPr>
        <w:t>29.1具体金额详见供应商须知前附表。</w:t>
      </w:r>
    </w:p>
    <w:p>
      <w:pPr>
        <w:pStyle w:val="6"/>
        <w:spacing w:line="384" w:lineRule="auto"/>
        <w:ind w:firstLine="480" w:firstLineChars="200"/>
        <w:rPr>
          <w:b w:val="0"/>
          <w:color w:val="auto"/>
          <w:kern w:val="2"/>
        </w:rPr>
      </w:pPr>
      <w:r>
        <w:rPr>
          <w:rFonts w:hint="eastAsia"/>
          <w:b w:val="0"/>
          <w:color w:val="auto"/>
          <w:kern w:val="2"/>
        </w:rPr>
        <w:t>29.2成交供应商承担招标代理服务费，成交供应商在领取中标通知书前，须向采购代理机构一次性支付招标代理服务费，具体详见前附表。</w:t>
      </w:r>
    </w:p>
    <w:p>
      <w:pPr>
        <w:pStyle w:val="6"/>
        <w:spacing w:line="384" w:lineRule="auto"/>
        <w:rPr>
          <w:color w:val="auto"/>
        </w:rPr>
      </w:pPr>
      <w:r>
        <w:rPr>
          <w:rFonts w:hint="eastAsia"/>
          <w:color w:val="auto"/>
        </w:rPr>
        <w:t>30.质疑</w:t>
      </w:r>
      <w:bookmarkEnd w:id="69"/>
    </w:p>
    <w:p>
      <w:pPr>
        <w:pStyle w:val="13"/>
        <w:spacing w:line="384" w:lineRule="auto"/>
        <w:ind w:firstLine="480"/>
        <w:rPr>
          <w:color w:val="auto"/>
        </w:rPr>
      </w:pPr>
      <w:r>
        <w:rPr>
          <w:rFonts w:hint="eastAsia"/>
          <w:color w:val="auto"/>
        </w:rPr>
        <w:t>30.1供应商认为谈判文件、采购过程、成交结果使自己的权益受到损害的，可以在知道或者应知其权益受到损害之日起7个工作日内，以书面形式向采购人、采购代理机构提出质疑。</w:t>
      </w:r>
    </w:p>
    <w:p>
      <w:pPr>
        <w:pStyle w:val="13"/>
        <w:spacing w:line="384" w:lineRule="auto"/>
        <w:ind w:firstLine="480"/>
        <w:rPr>
          <w:color w:val="auto"/>
        </w:rPr>
      </w:pPr>
      <w:r>
        <w:rPr>
          <w:rFonts w:hint="eastAsia"/>
          <w:color w:val="auto"/>
        </w:rPr>
        <w:t>30.2供应商必须在法定质疑期内一次性提出针对同一采购程序环节的质疑。</w:t>
      </w:r>
    </w:p>
    <w:p>
      <w:pPr>
        <w:pStyle w:val="13"/>
        <w:spacing w:line="384" w:lineRule="auto"/>
        <w:ind w:firstLine="480"/>
        <w:rPr>
          <w:color w:val="auto"/>
        </w:rPr>
      </w:pPr>
      <w:r>
        <w:rPr>
          <w:rFonts w:hint="eastAsia"/>
          <w:color w:val="auto"/>
        </w:rPr>
        <w:t>30.3供应商可以委托代理人进行质疑。代理人提出质疑的，应当提交授权委托书。授权委托书应当载明代理人的姓名或者名称、代理事项、具体权限、期限和相关事项。供应商为自然人的，应当由本人签字；供应商为法人或者其他组织的，应当由法定代表人、主要负责人签字或者盖章，并加盖公章。</w:t>
      </w:r>
    </w:p>
    <w:p>
      <w:pPr>
        <w:pStyle w:val="13"/>
        <w:spacing w:line="384" w:lineRule="auto"/>
        <w:ind w:firstLine="480"/>
        <w:rPr>
          <w:color w:val="auto"/>
        </w:rPr>
      </w:pPr>
      <w:r>
        <w:rPr>
          <w:rFonts w:hint="eastAsia"/>
          <w:color w:val="auto"/>
        </w:rPr>
        <w:t>30.4以联合体形式参加政府采购活动的，其质疑应当由组成联合体的所有供应商共同提出。</w:t>
      </w:r>
    </w:p>
    <w:p>
      <w:pPr>
        <w:pStyle w:val="13"/>
        <w:spacing w:line="384" w:lineRule="auto"/>
        <w:ind w:firstLine="480"/>
        <w:rPr>
          <w:color w:val="auto"/>
        </w:rPr>
      </w:pPr>
      <w:r>
        <w:rPr>
          <w:rFonts w:hint="eastAsia"/>
          <w:color w:val="auto"/>
        </w:rPr>
        <w:t>30.5供应商提出质疑应当提交质疑函和必要的证明材料。质疑函应当包括下列内容：</w:t>
      </w:r>
    </w:p>
    <w:p>
      <w:pPr>
        <w:pStyle w:val="13"/>
        <w:spacing w:line="384" w:lineRule="auto"/>
        <w:ind w:firstLine="480"/>
        <w:rPr>
          <w:color w:val="auto"/>
        </w:rPr>
      </w:pPr>
      <w:r>
        <w:rPr>
          <w:rFonts w:hint="eastAsia"/>
          <w:color w:val="auto"/>
        </w:rPr>
        <w:t>30.5.1供应商的姓名或者名称、地址、邮编、联系人及联系电话；</w:t>
      </w:r>
    </w:p>
    <w:p>
      <w:pPr>
        <w:pStyle w:val="13"/>
        <w:spacing w:line="384" w:lineRule="auto"/>
        <w:ind w:firstLine="480"/>
        <w:rPr>
          <w:color w:val="auto"/>
        </w:rPr>
      </w:pPr>
      <w:r>
        <w:rPr>
          <w:rFonts w:hint="eastAsia"/>
          <w:color w:val="auto"/>
        </w:rPr>
        <w:t>30.5.2质疑项目的名称、编号；</w:t>
      </w:r>
    </w:p>
    <w:p>
      <w:pPr>
        <w:pStyle w:val="13"/>
        <w:spacing w:line="384" w:lineRule="auto"/>
        <w:ind w:firstLine="480"/>
        <w:rPr>
          <w:color w:val="auto"/>
        </w:rPr>
      </w:pPr>
      <w:r>
        <w:rPr>
          <w:rFonts w:hint="eastAsia"/>
          <w:color w:val="auto"/>
        </w:rPr>
        <w:t>30.5.3具体、明确的质疑事项和与质疑事项相关的请求；</w:t>
      </w:r>
    </w:p>
    <w:p>
      <w:pPr>
        <w:pStyle w:val="13"/>
        <w:spacing w:line="384" w:lineRule="auto"/>
        <w:ind w:firstLine="480"/>
        <w:rPr>
          <w:color w:val="auto"/>
        </w:rPr>
      </w:pPr>
      <w:r>
        <w:rPr>
          <w:rFonts w:hint="eastAsia"/>
          <w:color w:val="auto"/>
        </w:rPr>
        <w:t>30.5.4事实依据；</w:t>
      </w:r>
    </w:p>
    <w:p>
      <w:pPr>
        <w:pStyle w:val="13"/>
        <w:spacing w:line="384" w:lineRule="auto"/>
        <w:ind w:firstLine="480"/>
        <w:rPr>
          <w:color w:val="auto"/>
        </w:rPr>
      </w:pPr>
      <w:r>
        <w:rPr>
          <w:rFonts w:hint="eastAsia"/>
          <w:color w:val="auto"/>
        </w:rPr>
        <w:t>30.5.5必要的法律依据；</w:t>
      </w:r>
    </w:p>
    <w:p>
      <w:pPr>
        <w:pStyle w:val="13"/>
        <w:spacing w:line="384" w:lineRule="auto"/>
        <w:ind w:firstLine="480"/>
        <w:rPr>
          <w:color w:val="auto"/>
        </w:rPr>
      </w:pPr>
      <w:r>
        <w:rPr>
          <w:rFonts w:hint="eastAsia"/>
          <w:color w:val="auto"/>
        </w:rPr>
        <w:t>30.5.6提出质疑的日期。</w:t>
      </w:r>
    </w:p>
    <w:p>
      <w:pPr>
        <w:pStyle w:val="13"/>
        <w:spacing w:line="384" w:lineRule="auto"/>
        <w:ind w:firstLine="480"/>
        <w:rPr>
          <w:color w:val="auto"/>
        </w:rPr>
      </w:pPr>
      <w:r>
        <w:rPr>
          <w:rFonts w:hint="eastAsia"/>
          <w:color w:val="auto"/>
        </w:rPr>
        <w:t>30.6有下列情形之一的，属于无效质疑，采购代理机构和采购人不予受理：</w:t>
      </w:r>
    </w:p>
    <w:p>
      <w:pPr>
        <w:pStyle w:val="13"/>
        <w:spacing w:line="384" w:lineRule="auto"/>
        <w:ind w:firstLine="480"/>
        <w:rPr>
          <w:color w:val="auto"/>
        </w:rPr>
      </w:pPr>
      <w:r>
        <w:rPr>
          <w:rFonts w:hint="eastAsia"/>
          <w:color w:val="auto"/>
        </w:rPr>
        <w:t>30.6.1质疑供应商不是参与本次政府采购项目的供应商；</w:t>
      </w:r>
    </w:p>
    <w:p>
      <w:pPr>
        <w:pStyle w:val="13"/>
        <w:spacing w:line="384" w:lineRule="auto"/>
        <w:ind w:firstLine="480"/>
        <w:rPr>
          <w:color w:val="auto"/>
        </w:rPr>
      </w:pPr>
      <w:r>
        <w:rPr>
          <w:rFonts w:hint="eastAsia"/>
          <w:color w:val="auto"/>
        </w:rPr>
        <w:t>30.6.2质疑供应商与质疑事项不存在利害关系的；</w:t>
      </w:r>
    </w:p>
    <w:p>
      <w:pPr>
        <w:pStyle w:val="13"/>
        <w:spacing w:line="384" w:lineRule="auto"/>
        <w:ind w:firstLine="480"/>
        <w:rPr>
          <w:color w:val="auto"/>
        </w:rPr>
      </w:pPr>
      <w:r>
        <w:rPr>
          <w:rFonts w:hint="eastAsia"/>
          <w:color w:val="auto"/>
        </w:rPr>
        <w:t>30.6.3未在法定期限内提出质疑的；</w:t>
      </w:r>
    </w:p>
    <w:p>
      <w:pPr>
        <w:pStyle w:val="13"/>
        <w:spacing w:line="384" w:lineRule="auto"/>
        <w:ind w:firstLine="480"/>
        <w:rPr>
          <w:color w:val="auto"/>
        </w:rPr>
      </w:pPr>
      <w:r>
        <w:rPr>
          <w:rFonts w:hint="eastAsia"/>
          <w:color w:val="auto"/>
        </w:rPr>
        <w:t>30.6.4质疑未以书面形式提出，或质疑函主要内容构成不完整的；</w:t>
      </w:r>
    </w:p>
    <w:p>
      <w:pPr>
        <w:pStyle w:val="13"/>
        <w:spacing w:line="384" w:lineRule="auto"/>
        <w:ind w:firstLine="480"/>
        <w:rPr>
          <w:color w:val="auto"/>
        </w:rPr>
      </w:pPr>
      <w:r>
        <w:rPr>
          <w:rFonts w:hint="eastAsia"/>
          <w:color w:val="auto"/>
        </w:rPr>
        <w:t>30.6.5应当提交授权书而未提交的；</w:t>
      </w:r>
    </w:p>
    <w:p>
      <w:pPr>
        <w:pStyle w:val="13"/>
        <w:spacing w:line="384" w:lineRule="auto"/>
        <w:ind w:firstLine="480"/>
        <w:rPr>
          <w:color w:val="auto"/>
        </w:rPr>
      </w:pPr>
      <w:r>
        <w:rPr>
          <w:rFonts w:hint="eastAsia"/>
          <w:color w:val="auto"/>
        </w:rPr>
        <w:t>30.6.6以非法手段取得证据、材料的；</w:t>
      </w:r>
    </w:p>
    <w:p>
      <w:pPr>
        <w:pStyle w:val="13"/>
        <w:spacing w:line="384" w:lineRule="auto"/>
        <w:ind w:firstLine="480"/>
        <w:rPr>
          <w:color w:val="auto"/>
        </w:rPr>
      </w:pPr>
      <w:r>
        <w:rPr>
          <w:rFonts w:hint="eastAsia"/>
          <w:color w:val="auto"/>
        </w:rPr>
        <w:t>30.6.7质疑答复后，同一质疑人就同一事项或同一采购程序环节再次提出质疑的；</w:t>
      </w:r>
    </w:p>
    <w:p>
      <w:pPr>
        <w:pStyle w:val="13"/>
        <w:spacing w:line="384" w:lineRule="auto"/>
        <w:ind w:firstLine="480"/>
        <w:rPr>
          <w:color w:val="auto"/>
        </w:rPr>
      </w:pPr>
      <w:r>
        <w:rPr>
          <w:rFonts w:hint="eastAsia"/>
          <w:color w:val="auto"/>
        </w:rPr>
        <w:t>30.6.8不符合法律、法规、规章和政府采购监管机构规定的其他条件的。</w:t>
      </w:r>
    </w:p>
    <w:p>
      <w:pPr>
        <w:pStyle w:val="13"/>
        <w:spacing w:line="384" w:lineRule="auto"/>
        <w:ind w:firstLine="480"/>
        <w:rPr>
          <w:color w:val="auto"/>
        </w:rPr>
      </w:pPr>
      <w:r>
        <w:rPr>
          <w:rFonts w:hint="eastAsia"/>
          <w:color w:val="auto"/>
        </w:rPr>
        <w:t>30.7质疑答复。</w:t>
      </w:r>
    </w:p>
    <w:p>
      <w:pPr>
        <w:pStyle w:val="13"/>
        <w:spacing w:line="384" w:lineRule="auto"/>
        <w:ind w:firstLine="480"/>
        <w:rPr>
          <w:color w:val="auto"/>
        </w:rPr>
      </w:pPr>
      <w:r>
        <w:rPr>
          <w:rFonts w:hint="eastAsia"/>
          <w:color w:val="auto"/>
        </w:rPr>
        <w:t>30.7.1采购人或采购代理机构在收到质疑函后7个工作日内作出答复，并以书面形式通知质疑供应商和其他有关供应商。</w:t>
      </w:r>
    </w:p>
    <w:p>
      <w:pPr>
        <w:pStyle w:val="13"/>
        <w:spacing w:line="384" w:lineRule="auto"/>
        <w:ind w:firstLine="480"/>
        <w:rPr>
          <w:color w:val="auto"/>
        </w:rPr>
      </w:pPr>
      <w:r>
        <w:rPr>
          <w:rFonts w:hint="eastAsia"/>
          <w:color w:val="auto"/>
        </w:rPr>
        <w:t>30.7.2质疑供应商对采购人、采购代理机构的答复不满意，或者采购人、采购代理机构未在规定时间内作出答复的，可以在答复期满后15个工作日内向同级人民政府财政部门提起投诉。</w:t>
      </w:r>
    </w:p>
    <w:p>
      <w:pPr>
        <w:pStyle w:val="13"/>
        <w:spacing w:line="384" w:lineRule="auto"/>
        <w:ind w:firstLine="480"/>
        <w:rPr>
          <w:color w:val="auto"/>
        </w:rPr>
      </w:pPr>
      <w:r>
        <w:rPr>
          <w:rFonts w:hint="eastAsia"/>
          <w:color w:val="auto"/>
        </w:rPr>
        <w:t>30.8其他需要说明的事项</w:t>
      </w:r>
    </w:p>
    <w:p>
      <w:pPr>
        <w:pStyle w:val="13"/>
        <w:spacing w:line="384" w:lineRule="auto"/>
        <w:ind w:firstLine="480"/>
        <w:rPr>
          <w:color w:val="auto"/>
        </w:rPr>
      </w:pPr>
      <w:r>
        <w:rPr>
          <w:rFonts w:hint="eastAsia"/>
          <w:color w:val="auto"/>
        </w:rPr>
        <w:t>30.8.1质疑函须按财政部《质疑函范本》给定的格式进行填写，范本下载详见【财政部国库司（gks.mof.gov.cn）】网站〖首页·政府采购管理〗栏目中的《政府采购供应商质疑函范本》。《政府采购供应商质疑函范本》链接地址：</w:t>
      </w:r>
    </w:p>
    <w:p>
      <w:pPr>
        <w:pStyle w:val="13"/>
        <w:spacing w:line="384" w:lineRule="auto"/>
        <w:ind w:firstLine="0" w:firstLineChars="0"/>
        <w:rPr>
          <w:color w:val="auto"/>
        </w:rPr>
      </w:pPr>
      <w:r>
        <w:rPr>
          <w:rFonts w:hint="eastAsia"/>
          <w:color w:val="auto"/>
        </w:rPr>
        <w:t>http：//gks.mof.gov.cn/zhengfucaigouguanli/201802/t20180201_2804589.html</w:t>
      </w:r>
    </w:p>
    <w:p>
      <w:pPr>
        <w:pStyle w:val="13"/>
        <w:spacing w:line="384" w:lineRule="auto"/>
        <w:ind w:firstLine="480"/>
        <w:rPr>
          <w:color w:val="auto"/>
        </w:rPr>
      </w:pPr>
      <w:r>
        <w:rPr>
          <w:rFonts w:hint="eastAsia"/>
          <w:color w:val="auto"/>
        </w:rPr>
        <w:t>30.8.2接收质疑函的方式：书面形式</w:t>
      </w:r>
    </w:p>
    <w:p>
      <w:pPr>
        <w:pStyle w:val="13"/>
        <w:spacing w:line="384" w:lineRule="auto"/>
        <w:ind w:firstLine="480"/>
        <w:rPr>
          <w:color w:val="auto"/>
        </w:rPr>
      </w:pPr>
      <w:r>
        <w:rPr>
          <w:rFonts w:hint="eastAsia"/>
          <w:color w:val="auto"/>
        </w:rPr>
        <w:t>30.8.3联系部门：陕西正鸿招标有限公司招标部王倩倩、王怡、卫钰</w:t>
      </w:r>
    </w:p>
    <w:p>
      <w:pPr>
        <w:pStyle w:val="13"/>
        <w:spacing w:line="384" w:lineRule="auto"/>
        <w:ind w:firstLine="480"/>
        <w:rPr>
          <w:color w:val="auto"/>
        </w:rPr>
      </w:pPr>
      <w:r>
        <w:rPr>
          <w:rFonts w:hint="eastAsia"/>
          <w:color w:val="auto"/>
        </w:rPr>
        <w:t>30.8.4联系电话：029-89338755/81511576转804</w:t>
      </w:r>
    </w:p>
    <w:p>
      <w:pPr>
        <w:pStyle w:val="13"/>
        <w:spacing w:line="384" w:lineRule="auto"/>
        <w:ind w:firstLine="480"/>
        <w:rPr>
          <w:color w:val="auto"/>
          <w:szCs w:val="28"/>
        </w:rPr>
      </w:pPr>
      <w:r>
        <w:rPr>
          <w:rFonts w:hint="eastAsia"/>
          <w:color w:val="auto"/>
        </w:rPr>
        <w:t>30.8.5通讯地址：西安市雁塔区南二环东段凯森盛世一号A座408室</w:t>
      </w:r>
    </w:p>
    <w:p>
      <w:pPr>
        <w:pStyle w:val="6"/>
        <w:spacing w:line="384" w:lineRule="auto"/>
        <w:rPr>
          <w:color w:val="auto"/>
        </w:rPr>
      </w:pPr>
      <w:bookmarkStart w:id="70" w:name="_Toc8894"/>
      <w:r>
        <w:rPr>
          <w:rFonts w:hint="eastAsia"/>
          <w:color w:val="auto"/>
        </w:rPr>
        <w:t>31.陕西省信用担保及信用融资政策</w:t>
      </w:r>
    </w:p>
    <w:p>
      <w:pPr>
        <w:pStyle w:val="13"/>
        <w:spacing w:line="384" w:lineRule="auto"/>
        <w:ind w:firstLine="480"/>
        <w:rPr>
          <w:color w:val="auto"/>
        </w:rPr>
      </w:pPr>
      <w:r>
        <w:rPr>
          <w:rFonts w:hint="eastAsia"/>
          <w:color w:val="auto"/>
        </w:rPr>
        <w:t>《陕西省财政厅关于印发&lt;陕西省中小企业政府采购信用融资办法&gt;的通知》（陕财办采〔2018〕23号）相关政策、业务流程、办理平台</w:t>
      </w:r>
    </w:p>
    <w:p>
      <w:pPr>
        <w:pStyle w:val="13"/>
        <w:spacing w:line="384" w:lineRule="auto"/>
        <w:ind w:firstLine="480"/>
        <w:rPr>
          <w:color w:val="auto"/>
        </w:rPr>
      </w:pPr>
      <w:r>
        <w:rPr>
          <w:rFonts w:hint="eastAsia"/>
          <w:color w:val="auto"/>
        </w:rPr>
        <w:t>（http://www.ccgp-shaanxi.gov.cn/zcdservice/zcd/shanxi/）</w:t>
      </w:r>
    </w:p>
    <w:p>
      <w:pPr>
        <w:pStyle w:val="6"/>
        <w:spacing w:line="384" w:lineRule="auto"/>
        <w:rPr>
          <w:color w:val="auto"/>
        </w:rPr>
      </w:pPr>
      <w:r>
        <w:rPr>
          <w:rFonts w:hint="eastAsia"/>
          <w:color w:val="auto"/>
        </w:rPr>
        <w:t>32.其他</w:t>
      </w:r>
      <w:bookmarkEnd w:id="70"/>
    </w:p>
    <w:p>
      <w:pPr>
        <w:pStyle w:val="13"/>
        <w:spacing w:line="384" w:lineRule="auto"/>
        <w:ind w:firstLine="480"/>
        <w:rPr>
          <w:color w:val="auto"/>
        </w:rPr>
      </w:pPr>
      <w:r>
        <w:rPr>
          <w:rFonts w:hint="eastAsia"/>
          <w:color w:val="auto"/>
        </w:rPr>
        <w:t>成交供应商确定后，成交供应商无正当理由拖延或拒签合同的，或未能按照规定的时间提供履约担保，采购人有权取消其成交资格，并按评审顺序重新确定成交供应商。同时报请监督机构予以通报，并没收其保证金（如有）。给采购人造成损失超过谈判响应保证金金额（如有）的，还应当对超过部分予以赔偿，并依法承担相应法律责任。</w:t>
      </w:r>
    </w:p>
    <w:bookmarkEnd w:id="14"/>
    <w:bookmarkEnd w:id="15"/>
    <w:bookmarkEnd w:id="16"/>
    <w:bookmarkEnd w:id="17"/>
    <w:bookmarkEnd w:id="18"/>
    <w:bookmarkEnd w:id="19"/>
    <w:bookmarkEnd w:id="20"/>
    <w:p>
      <w:pPr>
        <w:rPr>
          <w:color w:val="auto"/>
        </w:rPr>
      </w:pPr>
      <w:bookmarkStart w:id="71" w:name="_Toc17924_WPSOffice_Level1"/>
      <w:bookmarkStart w:id="72" w:name="_Toc29112_WPSOffice_Level1"/>
      <w:bookmarkStart w:id="73" w:name="_Toc18774"/>
      <w:bookmarkStart w:id="74" w:name="_Toc25470"/>
      <w:bookmarkStart w:id="75" w:name="_Toc246928960"/>
      <w:bookmarkStart w:id="76" w:name="_Toc497711586"/>
      <w:bookmarkStart w:id="77" w:name="_Toc497712134"/>
      <w:bookmarkStart w:id="78" w:name="_Toc497551821"/>
      <w:bookmarkStart w:id="79" w:name="_Toc385992402"/>
      <w:bookmarkStart w:id="80" w:name="_Toc389620242"/>
      <w:bookmarkStart w:id="81" w:name="_Toc497546919"/>
      <w:bookmarkStart w:id="82" w:name="_Toc492955460"/>
      <w:r>
        <w:rPr>
          <w:rFonts w:hint="eastAsia"/>
          <w:color w:val="auto"/>
        </w:rPr>
        <w:br w:type="page"/>
      </w:r>
    </w:p>
    <w:p>
      <w:pPr>
        <w:pStyle w:val="3"/>
        <w:rPr>
          <w:color w:val="auto"/>
        </w:rPr>
      </w:pPr>
      <w:r>
        <w:rPr>
          <w:rFonts w:hint="eastAsia"/>
          <w:color w:val="auto"/>
        </w:rPr>
        <w:t>第三章 采购</w:t>
      </w:r>
      <w:bookmarkEnd w:id="71"/>
      <w:bookmarkEnd w:id="72"/>
      <w:bookmarkEnd w:id="73"/>
      <w:r>
        <w:rPr>
          <w:rFonts w:hint="eastAsia"/>
          <w:color w:val="auto"/>
        </w:rPr>
        <w:t>内容及要求</w:t>
      </w:r>
      <w:bookmarkEnd w:id="74"/>
    </w:p>
    <w:p>
      <w:pPr>
        <w:pStyle w:val="6"/>
        <w:rPr>
          <w:color w:val="auto"/>
        </w:rPr>
      </w:pPr>
      <w:r>
        <w:rPr>
          <w:rFonts w:hint="eastAsia"/>
          <w:color w:val="auto"/>
        </w:rPr>
        <w:t>一、采购清单及技术要求</w:t>
      </w:r>
    </w:p>
    <w:tbl>
      <w:tblPr>
        <w:tblStyle w:val="47"/>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774"/>
        <w:gridCol w:w="6281"/>
        <w:gridCol w:w="783"/>
        <w:gridCol w:w="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b/>
                <w:bCs/>
                <w:color w:val="auto"/>
              </w:rPr>
            </w:pPr>
            <w:r>
              <w:rPr>
                <w:rFonts w:hint="eastAsia"/>
                <w:b/>
                <w:bCs/>
                <w:color w:val="auto"/>
              </w:rPr>
              <w:t>序号</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b/>
                <w:bCs/>
                <w:color w:val="auto"/>
              </w:rPr>
            </w:pPr>
            <w:r>
              <w:rPr>
                <w:rFonts w:hint="eastAsia"/>
                <w:b/>
                <w:bCs/>
                <w:color w:val="auto"/>
              </w:rPr>
              <w:t>名称</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rPr>
                <w:b/>
                <w:bCs/>
                <w:color w:val="auto"/>
              </w:rPr>
            </w:pPr>
            <w:r>
              <w:rPr>
                <w:rFonts w:hint="eastAsia"/>
                <w:b/>
                <w:bCs/>
                <w:color w:val="auto"/>
              </w:rPr>
              <w:t>技术参数及配置要求</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b/>
                <w:bCs/>
                <w:color w:val="auto"/>
              </w:rPr>
            </w:pPr>
            <w:r>
              <w:rPr>
                <w:rFonts w:hint="eastAsia"/>
                <w:b/>
                <w:bCs/>
                <w:color w:val="auto"/>
              </w:rPr>
              <w:t>数量</w:t>
            </w:r>
          </w:p>
          <w:p>
            <w:pPr>
              <w:pStyle w:val="318"/>
              <w:rPr>
                <w:b/>
                <w:bCs/>
                <w:color w:val="auto"/>
              </w:rPr>
            </w:pPr>
            <w:r>
              <w:rPr>
                <w:rFonts w:hint="eastAsia"/>
                <w:b/>
                <w:bCs/>
                <w:color w:val="auto"/>
              </w:rPr>
              <w:t>（台</w:t>
            </w:r>
            <w:r>
              <w:rPr>
                <w:rFonts w:hint="eastAsia"/>
                <w:b/>
                <w:bCs/>
                <w:color w:val="auto"/>
                <w:lang w:eastAsia="zh-CN"/>
              </w:rPr>
              <w:t>、</w:t>
            </w:r>
            <w:r>
              <w:rPr>
                <w:rFonts w:hint="eastAsia"/>
                <w:b/>
                <w:bCs/>
                <w:color w:val="auto"/>
              </w:rPr>
              <w:t>套）</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b/>
                <w:bCs/>
                <w:color w:val="auto"/>
              </w:rPr>
            </w:pPr>
            <w:r>
              <w:rPr>
                <w:rFonts w:hint="eastAsia"/>
                <w:b/>
                <w:bCs/>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1"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color w:val="auto"/>
              </w:rPr>
              <w:fldChar w:fldCharType="begin"/>
            </w:r>
            <w:r>
              <w:rPr>
                <w:color w:val="auto"/>
              </w:rPr>
              <w:instrText xml:space="preserve"> HYPERLINK "http://www.shbo.com.cn/product/85-cn.html" \t "http://www.shbo.com.cn/product/_self" \o "传感器特性研究实验仪PFS-1" </w:instrText>
            </w:r>
            <w:r>
              <w:rPr>
                <w:color w:val="auto"/>
              </w:rPr>
              <w:fldChar w:fldCharType="separate"/>
            </w:r>
            <w:r>
              <w:rPr>
                <w:rFonts w:hint="eastAsia"/>
                <w:color w:val="auto"/>
              </w:rPr>
              <w:t>传感器特性研究实验仪</w:t>
            </w:r>
            <w:r>
              <w:rPr>
                <w:rFonts w:hint="eastAsia"/>
                <w:color w:val="auto"/>
              </w:rPr>
              <w:fldChar w:fldCharType="end"/>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1、电压输出：1.500-10.000V，四位半数码管显示，连续可调；数字电压表量程：0-±19.999mV，四位半数码管显示；力敏传感器量程：</w:t>
            </w:r>
            <w:r>
              <w:rPr>
                <w:rFonts w:ascii="Arial" w:hAnsi="Arial" w:cs="Arial"/>
                <w:color w:val="auto"/>
                <w:sz w:val="24"/>
                <w:szCs w:val="24"/>
              </w:rPr>
              <w:t>≥</w:t>
            </w:r>
            <w:r>
              <w:rPr>
                <w:color w:val="auto"/>
                <w:sz w:val="24"/>
                <w:szCs w:val="24"/>
              </w:rPr>
              <w:t>1.0Kg，灵敏度：1.5±0.1mV/V，过载能力&gt;150%FS；带电路平衡调节器；</w:t>
            </w:r>
          </w:p>
          <w:p>
            <w:pPr>
              <w:spacing w:line="360" w:lineRule="auto"/>
              <w:rPr>
                <w:color w:val="auto"/>
                <w:sz w:val="24"/>
                <w:szCs w:val="24"/>
              </w:rPr>
            </w:pPr>
            <w:r>
              <w:rPr>
                <w:color w:val="auto"/>
                <w:sz w:val="24"/>
                <w:szCs w:val="24"/>
              </w:rPr>
              <w:t>2、可测量载荷力与传感器电桥输出电压的关系；</w:t>
            </w:r>
          </w:p>
          <w:p>
            <w:pPr>
              <w:spacing w:line="360" w:lineRule="auto"/>
              <w:rPr>
                <w:color w:val="auto"/>
                <w:sz w:val="24"/>
                <w:szCs w:val="24"/>
              </w:rPr>
            </w:pPr>
            <w:r>
              <w:rPr>
                <w:color w:val="auto"/>
                <w:sz w:val="24"/>
                <w:szCs w:val="24"/>
              </w:rPr>
              <w:t>3、能用压力传感器测量任意物体的重量（测量范围内）；</w:t>
            </w:r>
          </w:p>
          <w:p>
            <w:pPr>
              <w:pStyle w:val="318"/>
              <w:jc w:val="left"/>
              <w:rPr>
                <w:rFonts w:ascii="Times New Roman" w:hAnsi="Times New Roman" w:cs="Times New Roman"/>
                <w:color w:val="auto"/>
                <w:szCs w:val="24"/>
              </w:rPr>
            </w:pPr>
            <w:r>
              <w:rPr>
                <w:rFonts w:ascii="Times New Roman" w:hAnsi="Times New Roman" w:cs="Times New Roman"/>
                <w:color w:val="auto"/>
                <w:szCs w:val="24"/>
              </w:rPr>
              <w:t>4、可测量传感器电源电压与电桥输出电压的关系，完成Ｅ-Ｕ</w:t>
            </w:r>
            <w:r>
              <w:rPr>
                <w:rFonts w:ascii="Times New Roman" w:hAnsi="Times New Roman" w:cs="Times New Roman"/>
                <w:color w:val="auto"/>
                <w:szCs w:val="24"/>
                <w:vertAlign w:val="subscript"/>
              </w:rPr>
              <w:t>O</w:t>
            </w:r>
            <w:r>
              <w:rPr>
                <w:rFonts w:ascii="Times New Roman" w:hAnsi="Times New Roman" w:cs="Times New Roman"/>
                <w:color w:val="auto"/>
                <w:szCs w:val="24"/>
              </w:rPr>
              <w:t>图的绘制。</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包含实验仪电源和实验装置</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3</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3"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PN结正向压降温度特性实验仪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1、测试恒流源IF：输出电流：0～1000μA，连续可调，细度≤1μA；加热电流：0～1.0A，分辨率≤0.001A，负载电压≥15V，3位半数显；温度传感器：温度范围：218.2°K ～423.2°K，输出电流：218.2μA～423.2μA (以1μA / k正比于绝对温度)，测温精度：≤0.5℃；</w:t>
            </w:r>
          </w:p>
          <w:p>
            <w:pPr>
              <w:spacing w:line="360" w:lineRule="auto"/>
              <w:rPr>
                <w:color w:val="auto"/>
                <w:sz w:val="24"/>
                <w:szCs w:val="24"/>
              </w:rPr>
            </w:pPr>
            <w:r>
              <w:rPr>
                <w:color w:val="auto"/>
                <w:sz w:val="24"/>
                <w:szCs w:val="24"/>
              </w:rPr>
              <w:t>2、PN结正向压降由三位半LED显示，</w:t>
            </w:r>
            <w:r>
              <w:rPr>
                <w:rFonts w:hint="eastAsia"/>
                <w:color w:val="auto"/>
                <w:sz w:val="24"/>
                <w:szCs w:val="24"/>
              </w:rPr>
              <w:t>范围</w:t>
            </w:r>
            <w:r>
              <w:rPr>
                <w:color w:val="auto"/>
                <w:sz w:val="24"/>
                <w:szCs w:val="24"/>
              </w:rPr>
              <w:t>0-2.00V，误差小于±1%；温度测量范围：0～150℃，三位半LED显示；</w:t>
            </w:r>
          </w:p>
          <w:p>
            <w:pPr>
              <w:spacing w:line="360" w:lineRule="auto"/>
              <w:rPr>
                <w:color w:val="auto"/>
                <w:sz w:val="24"/>
                <w:szCs w:val="24"/>
              </w:rPr>
            </w:pPr>
            <w:r>
              <w:rPr>
                <w:color w:val="auto"/>
                <w:sz w:val="24"/>
                <w:szCs w:val="24"/>
              </w:rPr>
              <w:t>3、可在恒定正向电流条件下测量PN结正向压降与温度关系；</w:t>
            </w:r>
          </w:p>
          <w:p>
            <w:pPr>
              <w:pStyle w:val="318"/>
              <w:jc w:val="left"/>
              <w:rPr>
                <w:rFonts w:ascii="Times New Roman" w:hAnsi="Times New Roman" w:cs="Times New Roman"/>
                <w:color w:val="auto"/>
                <w:szCs w:val="24"/>
              </w:rPr>
            </w:pPr>
            <w:r>
              <w:rPr>
                <w:rFonts w:ascii="Times New Roman" w:hAnsi="Times New Roman" w:cs="Times New Roman"/>
                <w:color w:val="auto"/>
                <w:szCs w:val="24"/>
              </w:rPr>
              <w:t>4、可完成PN结I-V曲线测试，PN结转化效率、PN结半导体材料的禁带宽度等实验测量；</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包含实验仪、加热装置、温度传感器、PN结</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8</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7"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3</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霍尔效应组合实验仪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1、电磁铁磁场可调范围0～350mT；电磁铁励磁电流0～0.5A连续可调，调节分度≤1mA，3位半数字电压表显示；数字式特斯拉计，测量范围0～1000.0mT，最小分辨率≤0.1mT，4位半数字电压表显示；</w:t>
            </w:r>
          </w:p>
          <w:p>
            <w:pPr>
              <w:spacing w:line="360" w:lineRule="auto"/>
              <w:rPr>
                <w:color w:val="auto"/>
                <w:sz w:val="24"/>
                <w:szCs w:val="24"/>
              </w:rPr>
            </w:pPr>
            <w:r>
              <w:rPr>
                <w:color w:val="auto"/>
                <w:sz w:val="24"/>
                <w:szCs w:val="24"/>
              </w:rPr>
              <w:t>2、霍尔工作电流0～3.5mA连续可调，分辨率≤10µA，3位半数字电压表显示；霍尔电压表0～2.000V，分辨率≤0.1mV，4位半数字电压表显示；励磁电流和霍尔工作电流采用电子换向开关；</w:t>
            </w:r>
          </w:p>
          <w:p>
            <w:pPr>
              <w:spacing w:line="360" w:lineRule="auto"/>
              <w:rPr>
                <w:color w:val="auto"/>
                <w:sz w:val="24"/>
                <w:szCs w:val="24"/>
              </w:rPr>
            </w:pPr>
            <w:r>
              <w:rPr>
                <w:color w:val="auto"/>
                <w:sz w:val="24"/>
                <w:szCs w:val="24"/>
              </w:rPr>
              <w:t>3、可调移动尺调节范围不小于：15mm～90mm；砷化镓霍尔片，霍尔灵敏度≥150mV/(mA·T)；可实时测量电磁铁磁感应强度，且待测霍尔元件与特斯拉计传感器均采用独立霍尔元件；采用继电器切换电流方向，配以换向指示LED；</w:t>
            </w:r>
          </w:p>
          <w:p>
            <w:pPr>
              <w:pStyle w:val="318"/>
              <w:jc w:val="left"/>
              <w:rPr>
                <w:rFonts w:ascii="Times New Roman" w:hAnsi="Times New Roman" w:cs="Times New Roman"/>
                <w:color w:val="auto"/>
                <w:szCs w:val="24"/>
              </w:rPr>
            </w:pPr>
            <w:r>
              <w:rPr>
                <w:rFonts w:ascii="Times New Roman" w:hAnsi="Times New Roman" w:cs="Times New Roman"/>
                <w:color w:val="auto"/>
                <w:szCs w:val="24"/>
              </w:rPr>
              <w:t>4、可测量V</w:t>
            </w:r>
            <w:r>
              <w:rPr>
                <w:rFonts w:ascii="Times New Roman" w:hAnsi="Times New Roman" w:cs="Times New Roman"/>
                <w:color w:val="auto"/>
                <w:szCs w:val="24"/>
                <w:vertAlign w:val="subscript"/>
              </w:rPr>
              <w:t>H</w:t>
            </w:r>
            <w:r>
              <w:rPr>
                <w:rFonts w:ascii="Times New Roman" w:hAnsi="Times New Roman" w:cs="Times New Roman"/>
                <w:color w:val="auto"/>
                <w:szCs w:val="24"/>
              </w:rPr>
              <w:t>～Is、V</w:t>
            </w:r>
            <w:r>
              <w:rPr>
                <w:rFonts w:ascii="Times New Roman" w:hAnsi="Times New Roman" w:cs="Times New Roman"/>
                <w:color w:val="auto"/>
                <w:szCs w:val="24"/>
                <w:vertAlign w:val="subscript"/>
              </w:rPr>
              <w:t>H</w:t>
            </w:r>
            <w:r>
              <w:rPr>
                <w:rFonts w:ascii="Times New Roman" w:hAnsi="Times New Roman" w:cs="Times New Roman"/>
                <w:color w:val="auto"/>
                <w:szCs w:val="24"/>
              </w:rPr>
              <w:t>～B、B～I</w:t>
            </w:r>
            <w:r>
              <w:rPr>
                <w:rFonts w:ascii="Times New Roman" w:hAnsi="Times New Roman" w:cs="Times New Roman"/>
                <w:color w:val="auto"/>
                <w:szCs w:val="24"/>
                <w:vertAlign w:val="subscript"/>
              </w:rPr>
              <w:t>M</w:t>
            </w:r>
            <w:r>
              <w:rPr>
                <w:rFonts w:ascii="Times New Roman" w:hAnsi="Times New Roman" w:cs="Times New Roman"/>
                <w:color w:val="auto"/>
                <w:szCs w:val="24"/>
              </w:rPr>
              <w:t>的关系曲线；可测量霍尔元件的霍尔灵敏度；可测量电磁铁的磁场分布；</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包含实验仪、电磁铁、特斯拉计、霍尔元件</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4</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静电场描绘仪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1、双层测试架，同步探针，内置四种电板（同心圆、平行导线、聚焦、劈尖形或飞机机翼电场；同心圆R ≥ 7cm，r ≤ 1cm, 其它电极距离 ≥ 10cm）；</w:t>
            </w:r>
          </w:p>
          <w:p>
            <w:pPr>
              <w:spacing w:line="360" w:lineRule="auto"/>
              <w:rPr>
                <w:color w:val="auto"/>
                <w:sz w:val="24"/>
                <w:szCs w:val="24"/>
              </w:rPr>
            </w:pPr>
            <w:r>
              <w:rPr>
                <w:color w:val="auto"/>
                <w:sz w:val="24"/>
                <w:szCs w:val="24"/>
              </w:rPr>
              <w:t>2、微晶导电层≥ 410mm*240mm, K4-2导线；微晶导电层，实验值误差 ≤ 2%；</w:t>
            </w:r>
          </w:p>
          <w:p>
            <w:pPr>
              <w:pStyle w:val="318"/>
              <w:jc w:val="left"/>
              <w:rPr>
                <w:rFonts w:ascii="Times New Roman" w:hAnsi="Times New Roman" w:cs="Times New Roman"/>
                <w:color w:val="auto"/>
                <w:szCs w:val="24"/>
              </w:rPr>
            </w:pPr>
            <w:r>
              <w:rPr>
                <w:rFonts w:ascii="Times New Roman" w:hAnsi="Times New Roman" w:cs="Times New Roman"/>
                <w:color w:val="auto"/>
                <w:szCs w:val="24"/>
              </w:rPr>
              <w:t>3、电源输出范围（直流）为7.00V-13.0V，分辨率≤0.01V，3位半数码管显示；采用多圈电位器调节电压，调节细度≤0.01V；</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包含电源、双层测试架、同步探针、四种电板（同心圆、平行导线、聚焦、劈尖形或飞机机翼电场）</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b/>
                <w:bCs/>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8</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5"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5</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电子束实验仪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1、可独立实时显示阳极电压、聚焦电压、电偏转电压、磁偏转电流、螺线管励磁电流的数值；</w:t>
            </w:r>
          </w:p>
          <w:p>
            <w:pPr>
              <w:spacing w:line="360" w:lineRule="auto"/>
              <w:rPr>
                <w:color w:val="auto"/>
                <w:sz w:val="24"/>
                <w:szCs w:val="24"/>
              </w:rPr>
            </w:pPr>
            <w:r>
              <w:rPr>
                <w:color w:val="auto"/>
                <w:sz w:val="24"/>
                <w:szCs w:val="24"/>
              </w:rPr>
              <w:t xml:space="preserve">2、螺线管：线圈不少于530匝，长度不小于230mm，直径不小于90mm； </w:t>
            </w:r>
          </w:p>
          <w:p>
            <w:pPr>
              <w:spacing w:line="360" w:lineRule="auto"/>
              <w:rPr>
                <w:color w:val="auto"/>
                <w:sz w:val="24"/>
                <w:szCs w:val="24"/>
              </w:rPr>
            </w:pPr>
            <w:r>
              <w:rPr>
                <w:color w:val="auto"/>
                <w:sz w:val="24"/>
                <w:szCs w:val="24"/>
              </w:rPr>
              <w:t>3、阳极电压：500～1000V，连续可调；电偏转电压：-45～+45 V，连续可调；</w:t>
            </w:r>
          </w:p>
          <w:p>
            <w:pPr>
              <w:spacing w:line="360" w:lineRule="auto"/>
              <w:rPr>
                <w:color w:val="auto"/>
                <w:sz w:val="24"/>
                <w:szCs w:val="24"/>
              </w:rPr>
            </w:pPr>
            <w:r>
              <w:rPr>
                <w:color w:val="auto"/>
                <w:sz w:val="24"/>
                <w:szCs w:val="24"/>
              </w:rPr>
              <w:t>磁偏转电流：0～250mA，连续可调，带保护电路；螺线管励磁电流：0～3.5A连续可调，带短路保护；电子荷质比测量误差优于5%；</w:t>
            </w:r>
          </w:p>
          <w:p>
            <w:pPr>
              <w:pStyle w:val="318"/>
              <w:jc w:val="left"/>
              <w:rPr>
                <w:rFonts w:ascii="Times New Roman" w:hAnsi="Times New Roman" w:cs="Times New Roman"/>
                <w:color w:val="auto"/>
                <w:szCs w:val="24"/>
              </w:rPr>
            </w:pPr>
            <w:r>
              <w:rPr>
                <w:rFonts w:ascii="Times New Roman" w:hAnsi="Times New Roman" w:cs="Times New Roman"/>
                <w:color w:val="auto"/>
                <w:szCs w:val="24"/>
              </w:rPr>
              <w:t>4、可测量电子比荷e/m、可测量示波管电偏转灵敏度和磁偏转灵敏度；</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包含电子束实验仪、螺线管、示波管</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2"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6</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铁磁材料居里温度与磁滞回线测量实验仪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1、信号发生器：频率调节500Hz-1500Hz，幅度调节 2V-10V（峰-峰值）；数字频率计：分辨率≤1Hz，量程 0-9999Hz；交流电压表：分辨率≤0.001V，量程0-1.999V；数字温度计：量程0-150 ℃，分辨率≤0.1℃；</w:t>
            </w:r>
          </w:p>
          <w:p>
            <w:pPr>
              <w:pStyle w:val="318"/>
              <w:jc w:val="left"/>
              <w:rPr>
                <w:rFonts w:ascii="Times New Roman" w:hAnsi="Times New Roman" w:cs="Times New Roman"/>
                <w:color w:val="auto"/>
                <w:szCs w:val="24"/>
              </w:rPr>
            </w:pPr>
            <w:r>
              <w:rPr>
                <w:rFonts w:ascii="Times New Roman" w:hAnsi="Times New Roman" w:cs="Times New Roman"/>
                <w:color w:val="auto"/>
                <w:szCs w:val="24"/>
              </w:rPr>
              <w:t>2、铁磁样品：居里温度分别为60±2℃和80±2 ℃；</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包含信号发生器、数字频率计、交流电原表、数字温度计、铁磁样品</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0"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7</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空气热机实验仪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1、热机实验装置（电加热）：汽缸容积</w:t>
            </w:r>
            <w:r>
              <w:rPr>
                <w:rFonts w:hint="eastAsia"/>
                <w:color w:val="auto"/>
                <w:sz w:val="24"/>
                <w:szCs w:val="24"/>
              </w:rPr>
              <w:t>：</w:t>
            </w:r>
            <w:r>
              <w:rPr>
                <w:rFonts w:ascii="Arial" w:hAnsi="Arial" w:cs="Arial"/>
                <w:color w:val="auto"/>
                <w:sz w:val="24"/>
                <w:szCs w:val="24"/>
              </w:rPr>
              <w:t>≥</w:t>
            </w:r>
            <w:r>
              <w:rPr>
                <w:rFonts w:hint="eastAsia"/>
                <w:color w:val="auto"/>
                <w:sz w:val="24"/>
                <w:szCs w:val="24"/>
              </w:rPr>
              <w:t>20</w:t>
            </w:r>
            <w:r>
              <w:rPr>
                <w:color w:val="auto"/>
                <w:sz w:val="24"/>
                <w:szCs w:val="24"/>
              </w:rPr>
              <w:t>ml，输入电压： 24VDC~36VDC, 相对误差优于1%，输入功率：140~210W，热功转换效率：约（1±0.2）%，实际输出功率：0.1~1W；</w:t>
            </w:r>
          </w:p>
          <w:p>
            <w:pPr>
              <w:spacing w:line="360" w:lineRule="auto"/>
              <w:rPr>
                <w:color w:val="auto"/>
                <w:sz w:val="24"/>
                <w:szCs w:val="24"/>
              </w:rPr>
            </w:pPr>
            <w:r>
              <w:rPr>
                <w:color w:val="auto"/>
                <w:sz w:val="24"/>
                <w:szCs w:val="24"/>
              </w:rPr>
              <w:t>2、热机测试仪：内置微处理器，3位半数字显示；可采集热机汽缸压力、转动角度、冷端温度、热端温度等参量，3位半数字显示，相对误差小于1%；可显示热机转速，冷端温度，热端温度3位半数字显示，相对误差小于1%；</w:t>
            </w:r>
          </w:p>
          <w:p>
            <w:pPr>
              <w:pStyle w:val="318"/>
              <w:jc w:val="left"/>
              <w:rPr>
                <w:rFonts w:ascii="Times New Roman" w:hAnsi="Times New Roman" w:cs="Times New Roman"/>
                <w:color w:val="auto"/>
                <w:szCs w:val="24"/>
              </w:rPr>
            </w:pPr>
            <w:r>
              <w:rPr>
                <w:rFonts w:ascii="Times New Roman" w:hAnsi="Times New Roman" w:cs="Times New Roman"/>
                <w:color w:val="auto"/>
                <w:szCs w:val="24"/>
              </w:rPr>
              <w:t>3、可输出汽缸体积，压力，供接入示波器显示P-V图；可演示热机原理及热机循环过程；可测量不同输入功率（冷热端温差改变）下热功转换效率，验证卡诺定理；可测量热机输出功率随负载的变化关系，计算热机实际效率；</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包含热机实验装置和热机测试仪</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4</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4"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8</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弹性模量测试仪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1、光杠杆组件：放大倍数25~50倍可调；金属丝：长度</w:t>
            </w:r>
            <w:r>
              <w:rPr>
                <w:rFonts w:ascii="Arial" w:hAnsi="Arial" w:cs="Arial"/>
                <w:color w:val="auto"/>
                <w:sz w:val="24"/>
                <w:szCs w:val="24"/>
              </w:rPr>
              <w:t>≥</w:t>
            </w:r>
            <w:r>
              <w:rPr>
                <w:color w:val="auto"/>
                <w:sz w:val="24"/>
                <w:szCs w:val="24"/>
              </w:rPr>
              <w:t>7</w:t>
            </w:r>
            <w:r>
              <w:rPr>
                <w:rFonts w:hint="eastAsia"/>
                <w:color w:val="auto"/>
                <w:sz w:val="24"/>
                <w:szCs w:val="24"/>
              </w:rPr>
              <w:t>0</w:t>
            </w:r>
            <w:r>
              <w:rPr>
                <w:color w:val="auto"/>
                <w:sz w:val="24"/>
                <w:szCs w:val="24"/>
              </w:rPr>
              <w:t>cm，直径</w:t>
            </w:r>
            <w:r>
              <w:rPr>
                <w:rFonts w:ascii="Arial" w:hAnsi="Arial" w:cs="Arial"/>
                <w:color w:val="auto"/>
                <w:sz w:val="24"/>
                <w:szCs w:val="24"/>
              </w:rPr>
              <w:t>≥</w:t>
            </w:r>
            <w:r>
              <w:rPr>
                <w:color w:val="auto"/>
                <w:sz w:val="24"/>
                <w:szCs w:val="24"/>
              </w:rPr>
              <w:t>0.60mm；</w:t>
            </w:r>
          </w:p>
          <w:p>
            <w:pPr>
              <w:spacing w:line="360" w:lineRule="auto"/>
              <w:rPr>
                <w:color w:val="auto"/>
                <w:sz w:val="24"/>
                <w:szCs w:val="24"/>
              </w:rPr>
            </w:pPr>
            <w:r>
              <w:rPr>
                <w:color w:val="auto"/>
                <w:sz w:val="24"/>
                <w:szCs w:val="24"/>
              </w:rPr>
              <w:t>采用“垂直光路光杠杆法”，最近操作距离：≤30cm；采用数字拉力计+应变力传感器测力，实验加力范围：0~12kg；</w:t>
            </w:r>
          </w:p>
          <w:p>
            <w:pPr>
              <w:spacing w:line="360" w:lineRule="auto"/>
              <w:rPr>
                <w:color w:val="auto"/>
                <w:sz w:val="24"/>
                <w:szCs w:val="24"/>
              </w:rPr>
            </w:pPr>
            <w:r>
              <w:rPr>
                <w:color w:val="auto"/>
                <w:sz w:val="24"/>
                <w:szCs w:val="24"/>
              </w:rPr>
              <w:t>2、望远镜：最近观测距离</w:t>
            </w:r>
            <w:r>
              <w:rPr>
                <w:rFonts w:ascii="Arial" w:hAnsi="Arial" w:cs="Arial"/>
                <w:color w:val="auto"/>
                <w:sz w:val="24"/>
                <w:szCs w:val="24"/>
              </w:rPr>
              <w:t>≥</w:t>
            </w:r>
            <w:r>
              <w:rPr>
                <w:color w:val="auto"/>
                <w:sz w:val="24"/>
                <w:szCs w:val="24"/>
              </w:rPr>
              <w:t>0.3m，放大倍数不小于12倍，配防尘盖，内置十字刻线且可旋转调节；数字拉力计：量程0~19.99kg，分辨力≤0.01kg；含清零功能；发光标尺：0-80mm，分度值1mm，背光源为LED灯；</w:t>
            </w:r>
          </w:p>
          <w:p>
            <w:pPr>
              <w:pStyle w:val="318"/>
              <w:jc w:val="left"/>
              <w:rPr>
                <w:rFonts w:ascii="Times New Roman" w:hAnsi="Times New Roman" w:cs="Times New Roman"/>
                <w:color w:val="auto"/>
                <w:szCs w:val="24"/>
              </w:rPr>
            </w:pPr>
            <w:r>
              <w:rPr>
                <w:rFonts w:ascii="Times New Roman" w:hAnsi="Times New Roman" w:cs="Times New Roman"/>
                <w:color w:val="auto"/>
                <w:szCs w:val="24"/>
              </w:rPr>
              <w:t>3、钢卷尺：0-300mm，分度值1mm；游标卡尺：0-150mm，分度值0.02mm；螺旋测微器：0-25mm，分度值0.01mm；</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包含望远镜、光杠杆组件、数字拉力计、发光标尺、钢卷尺、游标卡尺、螺旋测微器、金属丝</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9</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弦振动研究实验仪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1、振动信号源：输出直流电压：9V/13V 0.5A，可调频率的数显机械振动源：频率调节范围0-300Hz连续可调，可调频率最小值≤0.01Hz，有调节振幅装置；</w:t>
            </w:r>
          </w:p>
          <w:p>
            <w:pPr>
              <w:spacing w:line="360" w:lineRule="auto"/>
              <w:rPr>
                <w:color w:val="auto"/>
                <w:sz w:val="24"/>
                <w:szCs w:val="24"/>
              </w:rPr>
            </w:pPr>
            <w:r>
              <w:rPr>
                <w:color w:val="auto"/>
                <w:sz w:val="24"/>
                <w:szCs w:val="24"/>
              </w:rPr>
              <w:t>2、振动源：振动源线圈匝数不少于1200，振动片1个，磁钢2个；驻波频率与驱动频率相等；</w:t>
            </w:r>
          </w:p>
          <w:p>
            <w:pPr>
              <w:spacing w:line="360" w:lineRule="auto"/>
              <w:rPr>
                <w:color w:val="auto"/>
                <w:sz w:val="24"/>
                <w:szCs w:val="24"/>
              </w:rPr>
            </w:pPr>
            <w:r>
              <w:rPr>
                <w:color w:val="auto"/>
                <w:sz w:val="24"/>
                <w:szCs w:val="24"/>
              </w:rPr>
              <w:t>3、导轨：长不小于1.1米，并配套等长的导轨标尺，分辨率≤1mm；V形动滑轮：1个，含刻线，配滑块；静滑块1个，含刻线（V型槽皮劈尖）；弦线：提供5种不同线密度的弦线；拉力传感器：量程0-5kg；</w:t>
            </w:r>
          </w:p>
          <w:p>
            <w:pPr>
              <w:pStyle w:val="318"/>
              <w:jc w:val="left"/>
              <w:rPr>
                <w:rFonts w:ascii="Times New Roman" w:hAnsi="Times New Roman" w:cs="Times New Roman"/>
                <w:color w:val="auto"/>
                <w:szCs w:val="24"/>
              </w:rPr>
            </w:pPr>
            <w:r>
              <w:rPr>
                <w:rFonts w:ascii="Times New Roman" w:hAnsi="Times New Roman" w:cs="Times New Roman"/>
                <w:color w:val="auto"/>
                <w:szCs w:val="24"/>
              </w:rPr>
              <w:t>4、数字拉力计：配合拉力传感器使用，量程0～20kg，分辨率≤0.001kg，含有显示清零功能，有直流电源输出接口；采用螺母旋转加力，数字拉力计测力，张力连续可调；</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实验系统由数字显示器 、振动源、振动信号源、动滑块组件（V形滑轮支座） 静滑块组件构成</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3</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0"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10</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RLC电路特性及应用实验仪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1、信号源：正弦波：频率范围0~6MHz，电压范围5mVpp~20Vpp；方波：频率范围0~6MHz，电压范围5mVpp~20Vpp，占空比调节范围0%~99.9%（脉冲波）；直流偏置：-120%~+120%；电源内阻：不大于50Ω；电源适配器：DC5V。</w:t>
            </w:r>
          </w:p>
          <w:p>
            <w:pPr>
              <w:pStyle w:val="318"/>
              <w:jc w:val="left"/>
              <w:rPr>
                <w:rFonts w:ascii="Times New Roman" w:hAnsi="Times New Roman" w:cs="Times New Roman"/>
                <w:color w:val="auto"/>
                <w:szCs w:val="24"/>
              </w:rPr>
            </w:pPr>
            <w:r>
              <w:rPr>
                <w:rFonts w:ascii="Times New Roman" w:hAnsi="Times New Roman" w:cs="Times New Roman"/>
                <w:color w:val="auto"/>
                <w:szCs w:val="24"/>
              </w:rPr>
              <w:t>2、RLC实验板：电阻至少包含：51Ω、270Ω、1.0KΩ、3.3KΩ；电感至少包含：1.0mH、10mH；电容至少包含：2.2nF、22nF、47nF、10uF、100uF；二极管1N5817（红色接口对应二极管正极）；电路元件开放式安装，测试元件分组焊装在PCB板上，应采用知名品牌的PCB板和电子元件；配备收纳箱；插座设置合理、连接牢固，与信号测试钩能有效配合使用；信号测试钩、连接线等必备耗材每一种要有2-3个（条）备用；</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包含信号源、RLC实验板、信号测试钩、连接线</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9"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11</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密里根油滴仪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1、平行极板间距：5.00mm±0.01mm；极板电压：DC 0～680V可调，分正、零、负三档，极性可切换；平衡电压：DC 0～350V可调；提升电压：自动匹配，为平衡电压的140％-160％；操作按键：轻触式长寿命开关，寿命大于100万次；</w:t>
            </w:r>
          </w:p>
          <w:p>
            <w:pPr>
              <w:spacing w:line="360" w:lineRule="auto"/>
              <w:rPr>
                <w:color w:val="auto"/>
                <w:sz w:val="24"/>
                <w:szCs w:val="24"/>
              </w:rPr>
            </w:pPr>
            <w:r>
              <w:rPr>
                <w:color w:val="auto"/>
                <w:sz w:val="24"/>
                <w:szCs w:val="24"/>
              </w:rPr>
              <w:t xml:space="preserve">2、同屏显示数字电压表： 0～999V </w:t>
            </w:r>
            <w:r>
              <w:rPr>
                <w:color w:val="auto"/>
                <w:position w:val="-4"/>
                <w:sz w:val="24"/>
                <w:szCs w:val="24"/>
              </w:rPr>
              <w:object>
                <v:shape id="_x0000_i1025" o:spt="75" type="#_x0000_t75" style="height:12pt;width:11.25pt;" o:ole="t" filled="f" o:preferrelative="t" stroked="f" coordsize="21600,21600">
                  <v:path/>
                  <v:fill on="f" focussize="0,0"/>
                  <v:stroke on="f" joinstyle="miter"/>
                  <v:imagedata r:id="rId17" o:title="4"/>
                  <o:lock v:ext="edit" aspectratio="t"/>
                  <w10:wrap type="none"/>
                  <w10:anchorlock/>
                </v:shape>
                <o:OLEObject Type="Embed" ProgID="Excel.Sheet.8" ShapeID="_x0000_i1025" DrawAspect="Content" ObjectID="_1468075725" r:id="rId16">
                  <o:LockedField>false</o:LockedField>
                </o:OLEObject>
              </w:object>
            </w:r>
            <w:r>
              <w:rPr>
                <w:color w:val="auto"/>
                <w:sz w:val="24"/>
                <w:szCs w:val="24"/>
              </w:rPr>
              <w:t xml:space="preserve"> 1V；同屏显示数字计时器： 0～99.99秒 </w:t>
            </w:r>
            <w:r>
              <w:rPr>
                <w:color w:val="auto"/>
                <w:position w:val="-4"/>
                <w:sz w:val="24"/>
                <w:szCs w:val="24"/>
              </w:rPr>
              <w:object>
                <v:shape id="_x0000_i1026" o:spt="75" type="#_x0000_t75" style="height:12pt;width:11.25pt;" o:ole="t" filled="f" o:preferrelative="t" stroked="f" coordsize="21600,21600">
                  <v:path/>
                  <v:fill on="f" focussize="0,0"/>
                  <v:stroke on="f" joinstyle="miter"/>
                  <v:imagedata r:id="rId17" o:title="4"/>
                  <o:lock v:ext="edit" aspectratio="t"/>
                  <w10:wrap type="none"/>
                  <w10:anchorlock/>
                </v:shape>
                <o:OLEObject Type="Embed" ProgID="Excel.Sheet.8" ShapeID="_x0000_i1026" DrawAspect="Content" ObjectID="_1468075726" r:id="rId18">
                  <o:LockedField>false</o:LockedField>
                </o:OLEObject>
              </w:object>
            </w:r>
            <w:r>
              <w:rPr>
                <w:color w:val="auto"/>
                <w:sz w:val="24"/>
                <w:szCs w:val="24"/>
              </w:rPr>
              <w:t xml:space="preserve"> 0.01秒；同屏显示电子格线分度值：电子方式产生，总高度2mm(平行极板间距：5.00mm) , 两种刻度规格可切换，分别用于密立根和布朗运动实验：</w:t>
            </w:r>
          </w:p>
          <w:p>
            <w:pPr>
              <w:spacing w:line="360" w:lineRule="auto"/>
              <w:ind w:left="1680" w:leftChars="800"/>
              <w:rPr>
                <w:color w:val="auto"/>
                <w:sz w:val="24"/>
                <w:szCs w:val="24"/>
              </w:rPr>
            </w:pPr>
            <w:r>
              <w:rPr>
                <w:color w:val="auto"/>
                <w:sz w:val="24"/>
                <w:szCs w:val="24"/>
              </w:rPr>
              <w:t xml:space="preserve">        A板：0.25mm/格，</w:t>
            </w:r>
          </w:p>
          <w:p>
            <w:pPr>
              <w:spacing w:line="360" w:lineRule="auto"/>
              <w:ind w:left="1680" w:leftChars="800"/>
              <w:rPr>
                <w:color w:val="auto"/>
                <w:sz w:val="24"/>
                <w:szCs w:val="24"/>
              </w:rPr>
            </w:pPr>
            <w:r>
              <w:rPr>
                <w:color w:val="auto"/>
                <w:sz w:val="24"/>
                <w:szCs w:val="24"/>
              </w:rPr>
              <w:t xml:space="preserve">        B板：0.04mm/格</w:t>
            </w:r>
          </w:p>
          <w:p>
            <w:pPr>
              <w:spacing w:line="360" w:lineRule="auto"/>
              <w:rPr>
                <w:color w:val="auto"/>
                <w:sz w:val="24"/>
                <w:szCs w:val="24"/>
              </w:rPr>
            </w:pPr>
            <w:r>
              <w:rPr>
                <w:color w:val="auto"/>
                <w:sz w:val="24"/>
                <w:szCs w:val="24"/>
              </w:rPr>
              <w:t>3、电视显微镜： 放大倍数≥60×（标准物镜，焦距40mm，线视场5mm）或≥120×（需选配高倍物镜，用于布朗运动实验），与高级面阵CCD一体化设计；CCD:高级面阵CCD，灵敏度</w:t>
            </w:r>
            <w:r>
              <w:rPr>
                <w:rFonts w:hint="eastAsia"/>
                <w:color w:val="auto"/>
                <w:sz w:val="24"/>
                <w:szCs w:val="24"/>
                <w:lang w:val="en-US" w:eastAsia="zh-CN"/>
              </w:rPr>
              <w:t>优于</w:t>
            </w:r>
            <w:r>
              <w:rPr>
                <w:color w:val="auto"/>
                <w:sz w:val="24"/>
                <w:szCs w:val="24"/>
              </w:rPr>
              <w:t>：0.01Lx，分辨率：</w:t>
            </w:r>
            <w:r>
              <w:rPr>
                <w:rFonts w:hint="eastAsia"/>
                <w:color w:val="auto"/>
                <w:sz w:val="24"/>
                <w:szCs w:val="24"/>
                <w:lang w:val="en-US" w:eastAsia="zh-CN"/>
              </w:rPr>
              <w:t>不低于</w:t>
            </w:r>
            <w:r>
              <w:rPr>
                <w:color w:val="auto"/>
                <w:sz w:val="24"/>
                <w:szCs w:val="24"/>
              </w:rPr>
              <w:t>600 电视线，不低576×768象素；</w:t>
            </w:r>
          </w:p>
          <w:p>
            <w:pPr>
              <w:spacing w:line="360" w:lineRule="auto"/>
              <w:rPr>
                <w:color w:val="auto"/>
                <w:sz w:val="24"/>
                <w:szCs w:val="24"/>
              </w:rPr>
            </w:pPr>
            <w:r>
              <w:rPr>
                <w:color w:val="auto"/>
                <w:sz w:val="24"/>
                <w:szCs w:val="24"/>
              </w:rPr>
              <w:t>4、计时器工作方式：与</w:t>
            </w:r>
            <w:r>
              <w:rPr>
                <w:bCs/>
                <w:color w:val="auto"/>
                <w:sz w:val="24"/>
                <w:szCs w:val="24"/>
              </w:rPr>
              <w:t>平衡电压开关</w:t>
            </w:r>
            <w:r>
              <w:rPr>
                <w:color w:val="auto"/>
                <w:sz w:val="24"/>
                <w:szCs w:val="24"/>
              </w:rPr>
              <w:t>联动，也可不联动；</w:t>
            </w:r>
          </w:p>
          <w:p>
            <w:pPr>
              <w:spacing w:line="360" w:lineRule="auto"/>
              <w:rPr>
                <w:color w:val="auto"/>
                <w:sz w:val="24"/>
                <w:szCs w:val="24"/>
              </w:rPr>
            </w:pPr>
            <w:r>
              <w:rPr>
                <w:color w:val="auto"/>
                <w:sz w:val="24"/>
                <w:szCs w:val="24"/>
              </w:rPr>
              <w:t>5、实验数据处理软件：</w:t>
            </w:r>
            <w:r>
              <w:rPr>
                <w:bCs/>
                <w:color w:val="auto"/>
                <w:sz w:val="24"/>
                <w:szCs w:val="24"/>
              </w:rPr>
              <w:t>可生成实验数据报告，自动解算，支持动态法和静态法，可打印、保存、调阅；</w:t>
            </w:r>
            <w:r>
              <w:rPr>
                <w:color w:val="auto"/>
                <w:sz w:val="24"/>
                <w:szCs w:val="24"/>
              </w:rPr>
              <w:t>显示方式：</w:t>
            </w:r>
            <w:r>
              <w:rPr>
                <w:bCs/>
                <w:color w:val="auto"/>
                <w:sz w:val="24"/>
                <w:szCs w:val="24"/>
              </w:rPr>
              <w:t>电压值、计时值、油滴象同屏显示，</w:t>
            </w:r>
            <w:r>
              <w:rPr>
                <w:color w:val="auto"/>
                <w:sz w:val="24"/>
                <w:szCs w:val="24"/>
              </w:rPr>
              <w:t>可任意送往监视器、电视机、微机、投影仪等多种终端；</w:t>
            </w:r>
          </w:p>
          <w:p>
            <w:pPr>
              <w:widowControl/>
              <w:spacing w:line="360" w:lineRule="auto"/>
              <w:jc w:val="left"/>
              <w:rPr>
                <w:color w:val="auto"/>
                <w:sz w:val="24"/>
                <w:szCs w:val="24"/>
              </w:rPr>
            </w:pPr>
            <w:r>
              <w:rPr>
                <w:color w:val="auto"/>
                <w:kern w:val="0"/>
                <w:sz w:val="24"/>
                <w:szCs w:val="24"/>
              </w:rPr>
              <w:t>6、油滴稳定时间：大于1小时；</w:t>
            </w:r>
            <w:r>
              <w:rPr>
                <w:color w:val="auto"/>
                <w:sz w:val="24"/>
                <w:szCs w:val="24"/>
              </w:rPr>
              <w:t>油滴像：采用</w:t>
            </w:r>
            <w:r>
              <w:rPr>
                <w:color w:val="auto"/>
                <w:kern w:val="0"/>
                <w:sz w:val="24"/>
                <w:szCs w:val="24"/>
              </w:rPr>
              <w:t>超高亮度LED照明</w:t>
            </w:r>
            <w:r>
              <w:rPr>
                <w:color w:val="auto"/>
                <w:sz w:val="24"/>
                <w:szCs w:val="24"/>
              </w:rPr>
              <w:t>灯，油滴像特别清晰明亮；监视器：不小于15寸彩色液晶监视器；</w:t>
            </w:r>
          </w:p>
          <w:p>
            <w:pPr>
              <w:spacing w:line="360" w:lineRule="auto"/>
              <w:rPr>
                <w:color w:val="auto"/>
                <w:sz w:val="24"/>
                <w:szCs w:val="24"/>
              </w:rPr>
            </w:pPr>
            <w:r>
              <w:rPr>
                <w:color w:val="auto"/>
                <w:sz w:val="24"/>
                <w:szCs w:val="24"/>
              </w:rPr>
              <w:t>7、可实现实验内容：</w:t>
            </w:r>
          </w:p>
          <w:p>
            <w:pPr>
              <w:spacing w:line="360" w:lineRule="auto"/>
              <w:rPr>
                <w:color w:val="auto"/>
                <w:sz w:val="24"/>
                <w:szCs w:val="24"/>
              </w:rPr>
            </w:pPr>
            <w:r>
              <w:rPr>
                <w:color w:val="auto"/>
                <w:sz w:val="24"/>
                <w:szCs w:val="24"/>
              </w:rPr>
              <w:t>1）密立根油滴实验；</w:t>
            </w:r>
          </w:p>
          <w:p>
            <w:pPr>
              <w:pStyle w:val="318"/>
              <w:jc w:val="left"/>
              <w:rPr>
                <w:rFonts w:ascii="Times New Roman" w:hAnsi="Times New Roman" w:cs="Times New Roman"/>
                <w:color w:val="auto"/>
                <w:szCs w:val="24"/>
              </w:rPr>
            </w:pPr>
            <w:r>
              <w:rPr>
                <w:rFonts w:ascii="Times New Roman" w:hAnsi="Times New Roman" w:cs="Times New Roman"/>
                <w:color w:val="auto"/>
                <w:szCs w:val="24"/>
              </w:rPr>
              <w:t>2）留有物镜扩展接口，选配</w:t>
            </w:r>
            <w:r>
              <w:rPr>
                <w:rFonts w:ascii="Times New Roman" w:hAnsi="Times New Roman" w:cs="Times New Roman"/>
                <w:bCs/>
                <w:color w:val="auto"/>
                <w:szCs w:val="24"/>
              </w:rPr>
              <w:t>120倍</w:t>
            </w:r>
            <w:r>
              <w:rPr>
                <w:rFonts w:ascii="Times New Roman" w:hAnsi="Times New Roman" w:cs="Times New Roman"/>
                <w:color w:val="auto"/>
                <w:szCs w:val="24"/>
              </w:rPr>
              <w:t>高倍物镜</w:t>
            </w:r>
            <w:r>
              <w:rPr>
                <w:rFonts w:ascii="Times New Roman" w:hAnsi="Times New Roman" w:cs="Times New Roman"/>
                <w:bCs/>
                <w:color w:val="auto"/>
                <w:szCs w:val="24"/>
              </w:rPr>
              <w:t>（需</w:t>
            </w:r>
            <w:r>
              <w:rPr>
                <w:rFonts w:hint="eastAsia" w:ascii="Times New Roman" w:hAnsi="Times New Roman" w:cs="Times New Roman"/>
                <w:bCs/>
                <w:color w:val="auto"/>
                <w:szCs w:val="24"/>
                <w:lang w:val="en-US" w:eastAsia="zh-CN"/>
              </w:rPr>
              <w:t>采购人</w:t>
            </w:r>
            <w:r>
              <w:rPr>
                <w:rFonts w:ascii="Times New Roman" w:hAnsi="Times New Roman" w:cs="Times New Roman"/>
                <w:bCs/>
                <w:color w:val="auto"/>
                <w:szCs w:val="24"/>
              </w:rPr>
              <w:t>另购）后可</w:t>
            </w:r>
            <w:r>
              <w:rPr>
                <w:rFonts w:ascii="Times New Roman" w:hAnsi="Times New Roman" w:cs="Times New Roman"/>
                <w:color w:val="auto"/>
                <w:szCs w:val="24"/>
              </w:rPr>
              <w:t>做</w:t>
            </w:r>
            <w:r>
              <w:rPr>
                <w:rFonts w:ascii="Times New Roman" w:hAnsi="Times New Roman" w:cs="Times New Roman"/>
                <w:bCs/>
                <w:color w:val="auto"/>
                <w:szCs w:val="24"/>
              </w:rPr>
              <w:t>布朗运动实验；3）留有汞灯扩展接口，选配高压汞灯后可做改变油滴带电量实验；</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实验仪由主机、CCD成像系统、油滴盒、监视器和喷雾器等部件组成</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6</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1"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12</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分光仪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1、仪器的测角精度：≤1′；</w:t>
            </w:r>
          </w:p>
          <w:p>
            <w:pPr>
              <w:spacing w:line="360" w:lineRule="auto"/>
              <w:rPr>
                <w:color w:val="auto"/>
                <w:sz w:val="24"/>
                <w:szCs w:val="24"/>
              </w:rPr>
            </w:pPr>
            <w:r>
              <w:rPr>
                <w:color w:val="auto"/>
                <w:sz w:val="24"/>
                <w:szCs w:val="24"/>
              </w:rPr>
              <w:t>2、平行光管、望远镜系统物镜焦距≥170mm，通光口径：≥φ22mm  视场：≥3°22ˊ；</w:t>
            </w:r>
          </w:p>
          <w:p>
            <w:pPr>
              <w:spacing w:line="360" w:lineRule="auto"/>
              <w:rPr>
                <w:color w:val="auto"/>
                <w:sz w:val="24"/>
                <w:szCs w:val="24"/>
              </w:rPr>
            </w:pPr>
            <w:r>
              <w:rPr>
                <w:color w:val="auto"/>
                <w:sz w:val="24"/>
                <w:szCs w:val="24"/>
              </w:rPr>
              <w:t>3、望远镜系统目镜焦距：≥24.3mm，平行光管、望远镜物镜间的最大距离≤130mm；目镜视度调节范围：不小于±5屈光度；</w:t>
            </w:r>
          </w:p>
          <w:p>
            <w:pPr>
              <w:spacing w:line="360" w:lineRule="auto"/>
              <w:rPr>
                <w:color w:val="auto"/>
                <w:sz w:val="24"/>
                <w:szCs w:val="24"/>
              </w:rPr>
            </w:pPr>
            <w:r>
              <w:rPr>
                <w:color w:val="auto"/>
                <w:sz w:val="24"/>
                <w:szCs w:val="24"/>
              </w:rPr>
              <w:t>4、狭缝及载物台都为铜质材料，狭缝宽度调节范围0.02-2mm，载物台升降范围不小于22mm；刻度盘规格：采用激光打标工艺制成；刻度范围0°-360°；刻度格值0.05°；游标读数示值1ˊ；照明灯组采用长寿命高亮度绿发光二极管；底座稳定性好，镜筒全部曲轴定位，俯仰可调；</w:t>
            </w:r>
          </w:p>
          <w:p>
            <w:pPr>
              <w:pStyle w:val="2"/>
              <w:spacing w:line="360" w:lineRule="auto"/>
              <w:rPr>
                <w:rFonts w:ascii="Times New Roman" w:cs="Times New Roman"/>
                <w:color w:val="auto"/>
              </w:rPr>
            </w:pPr>
            <w:r>
              <w:rPr>
                <w:rFonts w:ascii="Times New Roman" w:cs="Times New Roman"/>
                <w:color w:val="auto"/>
              </w:rPr>
              <w:t>5、光源：配一体式低压汞灯连电源，高度固定与分光计配套使用，出光口1到3个可任意设定；</w:t>
            </w:r>
          </w:p>
          <w:p>
            <w:pPr>
              <w:snapToGrid w:val="0"/>
              <w:spacing w:line="360" w:lineRule="auto"/>
              <w:rPr>
                <w:color w:val="auto"/>
                <w:sz w:val="24"/>
                <w:szCs w:val="24"/>
              </w:rPr>
            </w:pPr>
            <w:r>
              <w:rPr>
                <w:color w:val="auto"/>
                <w:sz w:val="24"/>
                <w:szCs w:val="24"/>
              </w:rPr>
              <w:t>6、附件：</w:t>
            </w:r>
          </w:p>
          <w:p>
            <w:pPr>
              <w:snapToGrid w:val="0"/>
              <w:spacing w:line="360" w:lineRule="auto"/>
              <w:rPr>
                <w:color w:val="auto"/>
                <w:sz w:val="24"/>
                <w:szCs w:val="24"/>
              </w:rPr>
            </w:pPr>
            <w:r>
              <w:rPr>
                <w:color w:val="auto"/>
                <w:sz w:val="24"/>
                <w:szCs w:val="24"/>
              </w:rPr>
              <w:t>（1）三棱镜： 棱角60°±5ˊ材料ZF1(nD=1.6475，nF-nC=0.01912)；</w:t>
            </w:r>
          </w:p>
          <w:p>
            <w:pPr>
              <w:snapToGrid w:val="0"/>
              <w:spacing w:line="360" w:lineRule="auto"/>
              <w:rPr>
                <w:color w:val="auto"/>
                <w:sz w:val="24"/>
                <w:szCs w:val="24"/>
              </w:rPr>
            </w:pPr>
            <w:r>
              <w:rPr>
                <w:color w:val="auto"/>
                <w:sz w:val="24"/>
                <w:szCs w:val="24"/>
              </w:rPr>
              <w:t>（2）平面全息光栅：≥300条/mm, 有保护玻璃结构设计；</w:t>
            </w:r>
          </w:p>
          <w:p>
            <w:pPr>
              <w:pStyle w:val="318"/>
              <w:jc w:val="left"/>
              <w:rPr>
                <w:rFonts w:ascii="Times New Roman" w:hAnsi="Times New Roman" w:cs="Times New Roman"/>
                <w:color w:val="auto"/>
                <w:szCs w:val="24"/>
              </w:rPr>
            </w:pPr>
            <w:r>
              <w:rPr>
                <w:rFonts w:ascii="Times New Roman" w:hAnsi="Times New Roman" w:cs="Times New Roman"/>
                <w:color w:val="auto"/>
                <w:szCs w:val="24"/>
              </w:rPr>
              <w:t>（3）光学平行平板：≥φ30mm （70mm*58mm）；</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包含分光仪、三棱镜、平面全息光栅、光学平行板</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1"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13</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声速测定仪及信号源</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jc w:val="left"/>
              <w:rPr>
                <w:color w:val="auto"/>
                <w:sz w:val="24"/>
                <w:szCs w:val="24"/>
              </w:rPr>
            </w:pPr>
            <w:r>
              <w:rPr>
                <w:color w:val="auto"/>
                <w:sz w:val="24"/>
                <w:szCs w:val="24"/>
              </w:rPr>
              <w:t>1、</w:t>
            </w:r>
            <w:r>
              <w:rPr>
                <w:color w:val="auto"/>
                <w:sz w:val="24"/>
                <w:szCs w:val="24"/>
                <w:shd w:val="clear" w:color="auto" w:fill="FFFFFF"/>
              </w:rPr>
              <w:t>测试距离50～300</w:t>
            </w:r>
            <w:r>
              <w:rPr>
                <w:color w:val="auto"/>
                <w:sz w:val="24"/>
                <w:szCs w:val="24"/>
              </w:rPr>
              <w:t xml:space="preserve"> mm；</w:t>
            </w:r>
            <w:r>
              <w:rPr>
                <w:color w:val="auto"/>
                <w:spacing w:val="-4"/>
                <w:kern w:val="0"/>
                <w:sz w:val="24"/>
                <w:szCs w:val="24"/>
              </w:rPr>
              <w:t>千分尺+鼓轮读数，最小分辨率</w:t>
            </w:r>
            <w:r>
              <w:rPr>
                <w:color w:val="auto"/>
                <w:sz w:val="24"/>
                <w:szCs w:val="24"/>
              </w:rPr>
              <w:t>≤</w:t>
            </w:r>
            <w:r>
              <w:rPr>
                <w:color w:val="auto"/>
                <w:spacing w:val="-4"/>
                <w:kern w:val="0"/>
                <w:sz w:val="24"/>
                <w:szCs w:val="24"/>
              </w:rPr>
              <w:t>0.01mm；</w:t>
            </w:r>
            <w:r>
              <w:rPr>
                <w:color w:val="auto"/>
                <w:spacing w:val="-8"/>
                <w:sz w:val="24"/>
                <w:szCs w:val="24"/>
              </w:rPr>
              <w:t>压电陶瓷换能器谐振频率：37±3kHz；可承受的连续电功率不小于15W；</w:t>
            </w:r>
          </w:p>
          <w:p>
            <w:pPr>
              <w:spacing w:line="360" w:lineRule="auto"/>
              <w:rPr>
                <w:color w:val="auto"/>
                <w:spacing w:val="-4"/>
                <w:kern w:val="0"/>
                <w:sz w:val="24"/>
                <w:szCs w:val="24"/>
              </w:rPr>
            </w:pPr>
            <w:r>
              <w:rPr>
                <w:color w:val="auto"/>
                <w:spacing w:val="-4"/>
                <w:kern w:val="0"/>
                <w:sz w:val="24"/>
                <w:szCs w:val="24"/>
              </w:rPr>
              <w:t>2、频率范围：</w:t>
            </w:r>
            <w:r>
              <w:rPr>
                <w:rFonts w:hint="eastAsia"/>
                <w:color w:val="auto"/>
                <w:spacing w:val="-4"/>
                <w:kern w:val="0"/>
                <w:sz w:val="24"/>
                <w:szCs w:val="24"/>
              </w:rPr>
              <w:t>包含但不限定</w:t>
            </w:r>
            <w:r>
              <w:rPr>
                <w:color w:val="auto"/>
                <w:spacing w:val="-4"/>
                <w:kern w:val="0"/>
                <w:sz w:val="24"/>
                <w:szCs w:val="24"/>
              </w:rPr>
              <w:t>50Hz～45kHz，频率3档可调，5位LED数字显示，分辨率</w:t>
            </w:r>
            <w:r>
              <w:rPr>
                <w:color w:val="auto"/>
                <w:sz w:val="24"/>
                <w:szCs w:val="24"/>
              </w:rPr>
              <w:t>≤</w:t>
            </w:r>
            <w:r>
              <w:rPr>
                <w:color w:val="auto"/>
                <w:spacing w:val="-4"/>
                <w:kern w:val="0"/>
                <w:sz w:val="24"/>
                <w:szCs w:val="24"/>
              </w:rPr>
              <w:t>1Hz；</w:t>
            </w:r>
          </w:p>
          <w:p>
            <w:pPr>
              <w:spacing w:line="360" w:lineRule="auto"/>
              <w:rPr>
                <w:color w:val="auto"/>
                <w:spacing w:val="-4"/>
                <w:kern w:val="0"/>
                <w:sz w:val="24"/>
                <w:szCs w:val="24"/>
              </w:rPr>
            </w:pPr>
            <w:r>
              <w:rPr>
                <w:color w:val="auto"/>
                <w:spacing w:val="-4"/>
                <w:kern w:val="0"/>
                <w:sz w:val="24"/>
                <w:szCs w:val="24"/>
              </w:rPr>
              <w:t>3、脉冲调制信号源：频率：</w:t>
            </w:r>
            <w:r>
              <w:rPr>
                <w:rFonts w:ascii="Arial" w:hAnsi="Arial" w:cs="Arial"/>
                <w:color w:val="auto"/>
                <w:spacing w:val="-4"/>
                <w:kern w:val="0"/>
                <w:sz w:val="24"/>
                <w:szCs w:val="24"/>
              </w:rPr>
              <w:t>≥</w:t>
            </w:r>
            <w:r>
              <w:rPr>
                <w:color w:val="auto"/>
                <w:spacing w:val="-4"/>
                <w:kern w:val="0"/>
                <w:sz w:val="24"/>
                <w:szCs w:val="24"/>
              </w:rPr>
              <w:t>3</w:t>
            </w:r>
            <w:r>
              <w:rPr>
                <w:rFonts w:hint="eastAsia"/>
                <w:color w:val="auto"/>
                <w:spacing w:val="-4"/>
                <w:kern w:val="0"/>
                <w:sz w:val="24"/>
                <w:szCs w:val="24"/>
              </w:rPr>
              <w:t>5</w:t>
            </w:r>
            <w:r>
              <w:rPr>
                <w:color w:val="auto"/>
                <w:spacing w:val="-4"/>
                <w:kern w:val="0"/>
                <w:sz w:val="24"/>
                <w:szCs w:val="24"/>
              </w:rPr>
              <w:t>kHz，脉冲宽度：</w:t>
            </w:r>
            <w:r>
              <w:rPr>
                <w:color w:val="auto"/>
                <w:sz w:val="24"/>
                <w:szCs w:val="24"/>
              </w:rPr>
              <w:t>≤</w:t>
            </w:r>
            <w:r>
              <w:rPr>
                <w:rFonts w:hint="eastAsia"/>
                <w:color w:val="auto"/>
                <w:sz w:val="24"/>
                <w:szCs w:val="24"/>
              </w:rPr>
              <w:t>30</w:t>
            </w:r>
            <w:r>
              <w:rPr>
                <w:color w:val="auto"/>
                <w:spacing w:val="-4"/>
                <w:kern w:val="0"/>
                <w:sz w:val="24"/>
                <w:szCs w:val="24"/>
              </w:rPr>
              <w:t>μs，脉冲周期：</w:t>
            </w:r>
            <w:r>
              <w:rPr>
                <w:color w:val="auto"/>
                <w:sz w:val="24"/>
                <w:szCs w:val="24"/>
              </w:rPr>
              <w:t>≤</w:t>
            </w:r>
            <w:r>
              <w:rPr>
                <w:rFonts w:hint="eastAsia"/>
                <w:color w:val="auto"/>
                <w:sz w:val="24"/>
                <w:szCs w:val="24"/>
              </w:rPr>
              <w:t>70</w:t>
            </w:r>
            <w:r>
              <w:rPr>
                <w:color w:val="auto"/>
                <w:spacing w:val="-4"/>
                <w:kern w:val="0"/>
                <w:sz w:val="24"/>
                <w:szCs w:val="24"/>
              </w:rPr>
              <w:t>ms；</w:t>
            </w:r>
          </w:p>
          <w:p>
            <w:pPr>
              <w:spacing w:line="360" w:lineRule="auto"/>
              <w:rPr>
                <w:color w:val="auto"/>
                <w:spacing w:val="-4"/>
                <w:kern w:val="0"/>
                <w:sz w:val="24"/>
                <w:szCs w:val="24"/>
              </w:rPr>
            </w:pPr>
            <w:r>
              <w:rPr>
                <w:color w:val="auto"/>
                <w:spacing w:val="-4"/>
                <w:kern w:val="0"/>
                <w:sz w:val="24"/>
                <w:szCs w:val="24"/>
              </w:rPr>
              <w:t>4、计数定时器：计数定时范围：1μs～1s，分辨率：</w:t>
            </w:r>
            <w:r>
              <w:rPr>
                <w:color w:val="auto"/>
                <w:sz w:val="24"/>
                <w:szCs w:val="24"/>
              </w:rPr>
              <w:t>≤</w:t>
            </w:r>
            <w:r>
              <w:rPr>
                <w:color w:val="auto"/>
                <w:spacing w:val="-4"/>
                <w:kern w:val="0"/>
                <w:sz w:val="24"/>
                <w:szCs w:val="24"/>
              </w:rPr>
              <w:t>1μs；</w:t>
            </w:r>
          </w:p>
          <w:p>
            <w:pPr>
              <w:spacing w:line="360" w:lineRule="auto"/>
              <w:rPr>
                <w:color w:val="auto"/>
                <w:sz w:val="24"/>
                <w:szCs w:val="24"/>
              </w:rPr>
            </w:pPr>
            <w:r>
              <w:rPr>
                <w:color w:val="auto"/>
                <w:spacing w:val="5"/>
                <w:kern w:val="0"/>
                <w:sz w:val="24"/>
                <w:szCs w:val="24"/>
              </w:rPr>
              <w:t>5、声速测量方法：驻波法、相位法、时差法</w:t>
            </w:r>
            <w:r>
              <w:rPr>
                <w:color w:val="auto"/>
                <w:sz w:val="24"/>
                <w:szCs w:val="24"/>
                <w:shd w:val="clear" w:color="auto" w:fill="FFFFFF"/>
              </w:rPr>
              <w:t>；</w:t>
            </w:r>
            <w:r>
              <w:rPr>
                <w:color w:val="auto"/>
                <w:spacing w:val="5"/>
                <w:kern w:val="0"/>
                <w:sz w:val="24"/>
                <w:szCs w:val="24"/>
              </w:rPr>
              <w:t>测量介质：空气、液体；</w:t>
            </w:r>
            <w:r>
              <w:rPr>
                <w:color w:val="auto"/>
                <w:sz w:val="24"/>
                <w:szCs w:val="24"/>
                <w:shd w:val="clear" w:color="auto" w:fill="FFFFFF"/>
              </w:rPr>
              <w:t>液槽可脱卸，使用方便</w:t>
            </w:r>
            <w:r>
              <w:rPr>
                <w:color w:val="auto"/>
                <w:sz w:val="24"/>
                <w:szCs w:val="24"/>
              </w:rPr>
              <w:t>；</w:t>
            </w:r>
          </w:p>
          <w:p>
            <w:pPr>
              <w:pStyle w:val="318"/>
              <w:jc w:val="left"/>
              <w:rPr>
                <w:rFonts w:ascii="Times New Roman" w:hAnsi="Times New Roman" w:cs="Times New Roman"/>
                <w:color w:val="auto"/>
                <w:szCs w:val="24"/>
              </w:rPr>
            </w:pPr>
            <w:r>
              <w:rPr>
                <w:rFonts w:ascii="Times New Roman" w:hAnsi="Times New Roman" w:cs="Times New Roman"/>
                <w:color w:val="auto"/>
                <w:szCs w:val="24"/>
                <w:shd w:val="clear" w:color="auto" w:fill="FFFFFF"/>
              </w:rPr>
              <w:t>6、测声速精度优于3%，时差法测定可达2%</w:t>
            </w:r>
            <w:r>
              <w:rPr>
                <w:rFonts w:ascii="Times New Roman" w:hAnsi="Times New Roman" w:cs="Times New Roman"/>
                <w:color w:val="auto"/>
                <w:szCs w:val="24"/>
              </w:rPr>
              <w:t>；</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包含声速测定仪、信号源、信号线的型号及数量同出厂配置</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4</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3"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14</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光电效应实验仪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1、电流测量范围：10</w:t>
            </w:r>
            <w:r>
              <w:rPr>
                <w:color w:val="auto"/>
                <w:sz w:val="24"/>
                <w:szCs w:val="24"/>
                <w:vertAlign w:val="superscript"/>
              </w:rPr>
              <w:t>-7</w:t>
            </w:r>
            <w:r>
              <w:rPr>
                <w:color w:val="auto"/>
                <w:sz w:val="24"/>
                <w:szCs w:val="24"/>
              </w:rPr>
              <w:t>～10</w:t>
            </w:r>
            <w:r>
              <w:rPr>
                <w:color w:val="auto"/>
                <w:sz w:val="24"/>
                <w:szCs w:val="24"/>
                <w:vertAlign w:val="superscript"/>
              </w:rPr>
              <w:t>-13</w:t>
            </w:r>
            <w:r>
              <w:rPr>
                <w:color w:val="auto"/>
                <w:sz w:val="24"/>
                <w:szCs w:val="24"/>
              </w:rPr>
              <w:t>A，分6档，三位半数显，开机20分钟后，30分钟内零漂不大于满读数的±0.2%（10</w:t>
            </w:r>
            <w:r>
              <w:rPr>
                <w:color w:val="auto"/>
                <w:sz w:val="24"/>
                <w:szCs w:val="24"/>
                <w:vertAlign w:val="superscript"/>
              </w:rPr>
              <w:t>-13</w:t>
            </w:r>
            <w:r>
              <w:rPr>
                <w:color w:val="auto"/>
                <w:sz w:val="24"/>
                <w:szCs w:val="24"/>
              </w:rPr>
              <w:t>A档）；电管工作电源电压调节范围：-3～+2V，-3～+24V,分2 档，三位半数显，稳定度≤0.1%；</w:t>
            </w:r>
          </w:p>
          <w:p>
            <w:pPr>
              <w:spacing w:line="360" w:lineRule="auto"/>
              <w:rPr>
                <w:color w:val="auto"/>
                <w:sz w:val="24"/>
                <w:szCs w:val="24"/>
              </w:rPr>
            </w:pPr>
            <w:r>
              <w:rPr>
                <w:color w:val="auto"/>
                <w:sz w:val="24"/>
                <w:szCs w:val="24"/>
              </w:rPr>
              <w:t>2、光电管光谱响应范围：340-700nm，最小阴极灵敏度≥1μA(-2V≤UAK≤0V)，阳极为镍圈，暗电流I≤5╳10</w:t>
            </w:r>
            <w:r>
              <w:rPr>
                <w:color w:val="auto"/>
                <w:sz w:val="24"/>
                <w:szCs w:val="24"/>
                <w:vertAlign w:val="superscript"/>
              </w:rPr>
              <w:t>-12</w:t>
            </w:r>
            <w:r>
              <w:rPr>
                <w:color w:val="auto"/>
                <w:sz w:val="24"/>
                <w:szCs w:val="24"/>
              </w:rPr>
              <w:t>A(-2V≤UAK≤0V)；</w:t>
            </w:r>
          </w:p>
          <w:p>
            <w:pPr>
              <w:spacing w:line="360" w:lineRule="auto"/>
              <w:rPr>
                <w:color w:val="auto"/>
                <w:sz w:val="24"/>
                <w:szCs w:val="24"/>
              </w:rPr>
            </w:pPr>
            <w:r>
              <w:rPr>
                <w:color w:val="auto"/>
                <w:sz w:val="24"/>
                <w:szCs w:val="24"/>
              </w:rPr>
              <w:t>3、汞灯可用谱线365.0nm、404.7nm、435.8nm、546.1nm、578.0nm；</w:t>
            </w:r>
            <w:r>
              <w:rPr>
                <w:bCs/>
                <w:color w:val="auto"/>
                <w:sz w:val="24"/>
                <w:szCs w:val="24"/>
              </w:rPr>
              <w:t>汞灯组件内含有冷却散热系统；</w:t>
            </w:r>
          </w:p>
          <w:p>
            <w:pPr>
              <w:spacing w:line="360" w:lineRule="auto"/>
              <w:jc w:val="left"/>
              <w:rPr>
                <w:bCs/>
                <w:color w:val="auto"/>
                <w:sz w:val="24"/>
                <w:szCs w:val="24"/>
              </w:rPr>
            </w:pPr>
            <w:r>
              <w:rPr>
                <w:color w:val="auto"/>
                <w:sz w:val="24"/>
                <w:szCs w:val="24"/>
              </w:rPr>
              <w:t>4、整机采用卧式结构，滤光片组和光阑组置于可水平滑动的导轨上；滤光片组采</w:t>
            </w:r>
            <w:r>
              <w:rPr>
                <w:bCs/>
                <w:color w:val="auto"/>
                <w:sz w:val="24"/>
                <w:szCs w:val="24"/>
              </w:rPr>
              <w:t>用拨盘式结构，定位准确，轮选方便，并可防止灰尘或异物的落入，</w:t>
            </w:r>
            <w:r>
              <w:rPr>
                <w:color w:val="auto"/>
                <w:sz w:val="24"/>
                <w:szCs w:val="24"/>
              </w:rPr>
              <w:t>5组中心波长365.0nm,404.7nm,435.8nm,546.1nm,578.0nm；光阑采用拨盘式结构，定位准确，轮选方便，并可防止灰尘或异物的落入，分5组： Ø2、Ø4、Ø8、Ø10、Ø12（mm）；</w:t>
            </w:r>
          </w:p>
          <w:p>
            <w:pPr>
              <w:spacing w:line="360" w:lineRule="auto"/>
              <w:rPr>
                <w:bCs/>
                <w:color w:val="auto"/>
                <w:sz w:val="24"/>
                <w:szCs w:val="24"/>
              </w:rPr>
            </w:pPr>
            <w:r>
              <w:rPr>
                <w:bCs/>
                <w:color w:val="auto"/>
                <w:sz w:val="24"/>
                <w:szCs w:val="24"/>
              </w:rPr>
              <w:t>5、普朗克常数测定方法：零电流法,补偿法、拐点法；</w:t>
            </w:r>
            <w:r>
              <w:rPr>
                <w:color w:val="auto"/>
                <w:sz w:val="24"/>
                <w:szCs w:val="24"/>
              </w:rPr>
              <w:t>测量误差：≤3%；</w:t>
            </w:r>
          </w:p>
          <w:p>
            <w:pPr>
              <w:pStyle w:val="318"/>
              <w:jc w:val="left"/>
              <w:rPr>
                <w:rFonts w:ascii="Times New Roman" w:hAnsi="Times New Roman" w:cs="Times New Roman"/>
                <w:color w:val="auto"/>
                <w:szCs w:val="24"/>
              </w:rPr>
            </w:pPr>
            <w:r>
              <w:rPr>
                <w:rFonts w:ascii="Times New Roman" w:hAnsi="Times New Roman" w:cs="Times New Roman"/>
                <w:bCs/>
                <w:color w:val="auto"/>
                <w:szCs w:val="24"/>
              </w:rPr>
              <w:t>6、设有升级接口电路，可增加功能模块，增开其他光电实验项目；</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包含光电效应实验仪、汞灯、光电管、滤光片组、光阑组，水平导轨</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10</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3"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15</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网络型电位差计</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jc w:val="left"/>
              <w:rPr>
                <w:color w:val="auto"/>
                <w:sz w:val="24"/>
                <w:szCs w:val="24"/>
              </w:rPr>
            </w:pPr>
            <w:r>
              <w:rPr>
                <w:color w:val="auto"/>
                <w:sz w:val="24"/>
                <w:szCs w:val="24"/>
              </w:rPr>
              <w:t xml:space="preserve">1、霍尔传感器测电阻；                                                    </w:t>
            </w:r>
          </w:p>
          <w:p>
            <w:pPr>
              <w:spacing w:line="360" w:lineRule="auto"/>
              <w:jc w:val="left"/>
              <w:rPr>
                <w:color w:val="auto"/>
                <w:sz w:val="24"/>
                <w:szCs w:val="24"/>
              </w:rPr>
            </w:pPr>
            <w:r>
              <w:rPr>
                <w:color w:val="auto"/>
                <w:sz w:val="24"/>
                <w:szCs w:val="24"/>
              </w:rPr>
              <w:t xml:space="preserve">2、测量范围：-9.9V~9.9V；                                         </w:t>
            </w:r>
          </w:p>
          <w:p>
            <w:pPr>
              <w:spacing w:line="360" w:lineRule="auto"/>
              <w:jc w:val="left"/>
              <w:rPr>
                <w:color w:val="auto"/>
                <w:sz w:val="24"/>
                <w:szCs w:val="24"/>
              </w:rPr>
            </w:pPr>
            <w:r>
              <w:rPr>
                <w:color w:val="auto"/>
                <w:sz w:val="24"/>
                <w:szCs w:val="24"/>
              </w:rPr>
              <w:t xml:space="preserve">3、分辨率：≤0.001mV；                                          </w:t>
            </w:r>
          </w:p>
          <w:p>
            <w:pPr>
              <w:spacing w:line="360" w:lineRule="auto"/>
              <w:jc w:val="left"/>
              <w:rPr>
                <w:color w:val="auto"/>
                <w:sz w:val="24"/>
                <w:szCs w:val="24"/>
              </w:rPr>
            </w:pPr>
            <w:r>
              <w:rPr>
                <w:color w:val="auto"/>
                <w:sz w:val="24"/>
                <w:szCs w:val="24"/>
              </w:rPr>
              <w:t>4、工作电源：交流220V,0.04-0.06A；</w:t>
            </w:r>
          </w:p>
          <w:p>
            <w:pPr>
              <w:pStyle w:val="318"/>
              <w:jc w:val="left"/>
              <w:rPr>
                <w:rFonts w:ascii="Times New Roman" w:hAnsi="Times New Roman" w:cs="Times New Roman"/>
                <w:color w:val="auto"/>
                <w:szCs w:val="24"/>
              </w:rPr>
            </w:pPr>
            <w:r>
              <w:rPr>
                <w:rFonts w:ascii="Times New Roman" w:hAnsi="Times New Roman" w:cs="Times New Roman"/>
                <w:color w:val="auto"/>
                <w:szCs w:val="24"/>
              </w:rPr>
              <w:t>5、内置控制器，具有自动评判学生的操作正确性并给出指示的功能；电脑端程序可实时监测并显示每台设备的操作状态，同时也可用手机软件远程查看设备的操作状态；</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包含电位差计本体、电脑端监测程序、手机软件</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24</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7"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16</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液晶电光效应实验仪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1、光源：半导体激光器，波长</w:t>
            </w:r>
            <w:r>
              <w:rPr>
                <w:rFonts w:hint="eastAsia"/>
                <w:color w:val="auto"/>
                <w:sz w:val="24"/>
                <w:szCs w:val="24"/>
                <w:lang w:val="en-US" w:eastAsia="zh-CN"/>
              </w:rPr>
              <w:t>600~70</w:t>
            </w:r>
            <w:r>
              <w:rPr>
                <w:color w:val="auto"/>
                <w:sz w:val="24"/>
                <w:szCs w:val="24"/>
              </w:rPr>
              <w:t>0nm，0-3mw功率可调；</w:t>
            </w:r>
          </w:p>
          <w:p>
            <w:pPr>
              <w:spacing w:line="360" w:lineRule="auto"/>
              <w:rPr>
                <w:color w:val="auto"/>
                <w:sz w:val="24"/>
                <w:szCs w:val="24"/>
              </w:rPr>
            </w:pPr>
            <w:r>
              <w:rPr>
                <w:color w:val="auto"/>
                <w:sz w:val="24"/>
                <w:szCs w:val="24"/>
              </w:rPr>
              <w:t>2、起偏器/检偏器： 360°旋转，分度值1°；</w:t>
            </w:r>
          </w:p>
          <w:p>
            <w:pPr>
              <w:spacing w:line="360" w:lineRule="auto"/>
              <w:rPr>
                <w:color w:val="auto"/>
                <w:sz w:val="24"/>
                <w:szCs w:val="24"/>
              </w:rPr>
            </w:pPr>
            <w:r>
              <w:rPr>
                <w:color w:val="auto"/>
                <w:sz w:val="24"/>
                <w:szCs w:val="24"/>
              </w:rPr>
              <w:t>3、液晶材料：TN型；液晶板尺寸：≥35mm×80mm；液晶板水平旋转范围：0 - 360°；液晶驱动频率范围：60-120Hz；液晶驱动电压范围：0-11V;液晶驱动电压指示：三位半数字电压表，分辨率≤10mv；</w:t>
            </w:r>
          </w:p>
          <w:p>
            <w:pPr>
              <w:spacing w:line="360" w:lineRule="auto"/>
              <w:rPr>
                <w:color w:val="auto"/>
                <w:sz w:val="24"/>
                <w:szCs w:val="24"/>
              </w:rPr>
            </w:pPr>
            <w:r>
              <w:rPr>
                <w:color w:val="auto"/>
                <w:sz w:val="24"/>
                <w:szCs w:val="24"/>
              </w:rPr>
              <w:t>4、光电接收器：高速光电池；光电流指示，三位半数字电流表，分辨率≤10μA；</w:t>
            </w:r>
          </w:p>
          <w:p>
            <w:pPr>
              <w:spacing w:line="360" w:lineRule="auto"/>
              <w:rPr>
                <w:color w:val="auto"/>
                <w:sz w:val="24"/>
                <w:szCs w:val="24"/>
              </w:rPr>
            </w:pPr>
            <w:r>
              <w:rPr>
                <w:color w:val="auto"/>
                <w:sz w:val="24"/>
                <w:szCs w:val="24"/>
              </w:rPr>
              <w:t>5、通用性：所有组件均安置在光具座上；无需存储示波器，仅用通用示波器即可测量上升和下降响应时间；</w:t>
            </w:r>
          </w:p>
          <w:p>
            <w:pPr>
              <w:spacing w:line="360" w:lineRule="auto"/>
              <w:rPr>
                <w:color w:val="auto"/>
                <w:sz w:val="24"/>
                <w:szCs w:val="24"/>
              </w:rPr>
            </w:pPr>
            <w:r>
              <w:rPr>
                <w:color w:val="auto"/>
                <w:sz w:val="24"/>
                <w:szCs w:val="24"/>
              </w:rPr>
              <w:t>6、可实现实验内容：</w:t>
            </w:r>
          </w:p>
          <w:p>
            <w:pPr>
              <w:spacing w:line="360" w:lineRule="auto"/>
              <w:rPr>
                <w:color w:val="auto"/>
                <w:sz w:val="24"/>
                <w:szCs w:val="24"/>
              </w:rPr>
            </w:pPr>
            <w:r>
              <w:rPr>
                <w:color w:val="auto"/>
                <w:sz w:val="24"/>
                <w:szCs w:val="24"/>
              </w:rPr>
              <w:t>(1)测量液晶光电开关的阀值电压、饱和电压、作出液晶电光开关特性曲线；</w:t>
            </w:r>
          </w:p>
          <w:p>
            <w:pPr>
              <w:spacing w:line="360" w:lineRule="auto"/>
              <w:rPr>
                <w:color w:val="auto"/>
                <w:sz w:val="24"/>
                <w:szCs w:val="24"/>
              </w:rPr>
            </w:pPr>
            <w:r>
              <w:rPr>
                <w:color w:val="auto"/>
                <w:sz w:val="24"/>
                <w:szCs w:val="24"/>
              </w:rPr>
              <w:t>(2)测量液晶光电开关的响应时间，作出上升、下降响应曲线；</w:t>
            </w:r>
          </w:p>
          <w:p>
            <w:pPr>
              <w:pStyle w:val="318"/>
              <w:jc w:val="left"/>
              <w:rPr>
                <w:rFonts w:ascii="Times New Roman" w:hAnsi="Times New Roman" w:cs="Times New Roman"/>
                <w:color w:val="auto"/>
                <w:szCs w:val="24"/>
              </w:rPr>
            </w:pPr>
            <w:r>
              <w:rPr>
                <w:rFonts w:ascii="Times New Roman" w:hAnsi="Times New Roman" w:cs="Times New Roman"/>
                <w:color w:val="auto"/>
                <w:szCs w:val="24"/>
              </w:rPr>
              <w:t>(3)测量液晶的光电开关透射率，观察液晶光电开关透射率随视角变化的变化曲线；</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包含半导体激光器、起/检偏器、液晶材料、光电接收器</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9</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8"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17</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衍射/干涉综合实验仪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1、基座：置于不小于100mm导轨上，可扩展出其他光学实验；光源：半导体激光器，内置二维调节及光强度调节；接收系统：带≤0.1mm读数移动尺的光电接收组、数字式光电检流计（最小读数1nA）；</w:t>
            </w:r>
          </w:p>
          <w:p>
            <w:pPr>
              <w:spacing w:line="360" w:lineRule="auto"/>
              <w:rPr>
                <w:color w:val="auto"/>
                <w:sz w:val="24"/>
                <w:szCs w:val="24"/>
              </w:rPr>
            </w:pPr>
            <w:r>
              <w:rPr>
                <w:color w:val="auto"/>
                <w:sz w:val="24"/>
                <w:szCs w:val="24"/>
              </w:rPr>
              <w:t>2、光栅调节架：可进行俯仰、左右，上下三维调节；</w:t>
            </w:r>
          </w:p>
          <w:p>
            <w:pPr>
              <w:spacing w:line="360" w:lineRule="auto"/>
              <w:rPr>
                <w:color w:val="auto"/>
                <w:sz w:val="24"/>
                <w:szCs w:val="24"/>
              </w:rPr>
            </w:pPr>
            <w:r>
              <w:rPr>
                <w:color w:val="auto"/>
                <w:sz w:val="24"/>
                <w:szCs w:val="24"/>
              </w:rPr>
              <w:t>3、组合光栅：含有7组14个图形：</w:t>
            </w:r>
          </w:p>
          <w:p>
            <w:pPr>
              <w:spacing w:line="360" w:lineRule="auto"/>
              <w:ind w:firstLine="480" w:firstLineChars="200"/>
              <w:rPr>
                <w:color w:val="auto"/>
                <w:sz w:val="24"/>
                <w:szCs w:val="24"/>
              </w:rPr>
            </w:pPr>
            <w:r>
              <w:rPr>
                <w:color w:val="auto"/>
                <w:sz w:val="24"/>
                <w:szCs w:val="24"/>
              </w:rPr>
              <w:t xml:space="preserve">       上半部            下半部</w:t>
            </w:r>
          </w:p>
          <w:p>
            <w:pPr>
              <w:spacing w:line="360" w:lineRule="auto"/>
              <w:rPr>
                <w:color w:val="auto"/>
                <w:sz w:val="24"/>
                <w:szCs w:val="24"/>
              </w:rPr>
            </w:pPr>
            <w:r>
              <w:rPr>
                <w:color w:val="auto"/>
                <w:sz w:val="24"/>
                <w:szCs w:val="24"/>
              </w:rPr>
              <w:t>第1组： 单缝（a=0.12mm） /   单丝（0.12mm）</w:t>
            </w:r>
          </w:p>
          <w:p>
            <w:pPr>
              <w:spacing w:line="360" w:lineRule="auto"/>
              <w:rPr>
                <w:color w:val="auto"/>
                <w:sz w:val="24"/>
                <w:szCs w:val="24"/>
              </w:rPr>
            </w:pPr>
            <w:r>
              <w:rPr>
                <w:color w:val="auto"/>
                <w:sz w:val="24"/>
                <w:szCs w:val="24"/>
              </w:rPr>
              <w:t xml:space="preserve">第2组： 单缝（a=0.10mm） /   单丝（0.10mm） </w:t>
            </w:r>
          </w:p>
          <w:p>
            <w:pPr>
              <w:spacing w:line="360" w:lineRule="auto"/>
              <w:rPr>
                <w:color w:val="auto"/>
                <w:sz w:val="24"/>
                <w:szCs w:val="24"/>
              </w:rPr>
            </w:pPr>
            <w:r>
              <w:rPr>
                <w:color w:val="auto"/>
                <w:sz w:val="24"/>
                <w:szCs w:val="24"/>
              </w:rPr>
              <w:t>第3组： 单缝（a=0.07mm） /   双缝（a=0.07mm，d=2）</w:t>
            </w:r>
          </w:p>
          <w:p>
            <w:pPr>
              <w:spacing w:line="360" w:lineRule="auto"/>
              <w:rPr>
                <w:color w:val="auto"/>
                <w:sz w:val="24"/>
                <w:szCs w:val="24"/>
              </w:rPr>
            </w:pPr>
            <w:r>
              <w:rPr>
                <w:color w:val="auto"/>
                <w:sz w:val="24"/>
                <w:szCs w:val="24"/>
              </w:rPr>
              <w:t>第4组： 单缝（a=0.07mm） /   双缝（a=0.07mm，d=3）</w:t>
            </w:r>
          </w:p>
          <w:p>
            <w:pPr>
              <w:spacing w:line="360" w:lineRule="auto"/>
              <w:rPr>
                <w:color w:val="auto"/>
                <w:sz w:val="24"/>
                <w:szCs w:val="24"/>
              </w:rPr>
            </w:pPr>
            <w:r>
              <w:rPr>
                <w:color w:val="auto"/>
                <w:sz w:val="24"/>
                <w:szCs w:val="24"/>
              </w:rPr>
              <w:t>第5组： 单缝（a=0.07mm） /   双缝（a=0.07mm，d=4）</w:t>
            </w:r>
          </w:p>
          <w:p>
            <w:pPr>
              <w:spacing w:line="360" w:lineRule="auto"/>
              <w:rPr>
                <w:color w:val="auto"/>
                <w:sz w:val="24"/>
                <w:szCs w:val="24"/>
              </w:rPr>
            </w:pPr>
            <w:r>
              <w:rPr>
                <w:color w:val="auto"/>
                <w:sz w:val="24"/>
                <w:szCs w:val="24"/>
              </w:rPr>
              <w:t>第6组： 双缝（a=0.02mm） /   三缝（a=0.02mm，d=2）</w:t>
            </w:r>
          </w:p>
          <w:p>
            <w:pPr>
              <w:pStyle w:val="318"/>
              <w:jc w:val="left"/>
              <w:rPr>
                <w:rFonts w:ascii="Times New Roman" w:hAnsi="Times New Roman" w:cs="Times New Roman"/>
                <w:color w:val="auto"/>
                <w:szCs w:val="24"/>
              </w:rPr>
            </w:pPr>
            <w:r>
              <w:rPr>
                <w:rFonts w:ascii="Times New Roman" w:hAnsi="Times New Roman" w:cs="Times New Roman"/>
                <w:color w:val="auto"/>
                <w:szCs w:val="24"/>
              </w:rPr>
              <w:t>第7组： 四缝（a=0.02mm） /   五缝（a=0.02mm，d=2）</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包含半导体激光器、光电接收组、光电检流计，光栅，基座</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18</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数字示波器</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1、双通道和外触发通道，通道分别具有独立旋钮控制；</w:t>
            </w:r>
          </w:p>
          <w:p>
            <w:pPr>
              <w:spacing w:line="360" w:lineRule="auto"/>
              <w:rPr>
                <w:color w:val="auto"/>
                <w:sz w:val="24"/>
                <w:szCs w:val="24"/>
              </w:rPr>
            </w:pPr>
            <w:r>
              <w:rPr>
                <w:color w:val="auto"/>
                <w:sz w:val="24"/>
                <w:szCs w:val="24"/>
              </w:rPr>
              <w:t>2、模拟带宽≥100MHz；实时采样率≥1GSa/S；存储深度≥</w:t>
            </w:r>
            <w:r>
              <w:rPr>
                <w:rFonts w:hint="eastAsia"/>
                <w:color w:val="auto"/>
                <w:sz w:val="24"/>
                <w:szCs w:val="24"/>
              </w:rPr>
              <w:t>14</w:t>
            </w:r>
            <w:r>
              <w:rPr>
                <w:color w:val="auto"/>
                <w:sz w:val="24"/>
                <w:szCs w:val="24"/>
              </w:rPr>
              <w:t>Mpts；垂直档位500uV/div ~ 10V/div；1M点的FFT数据量；波形捕获率不小于300000帧/秒；最大记录历史波形不小于80000帧，可通过导航菜单逐帧回放；</w:t>
            </w:r>
          </w:p>
          <w:p>
            <w:pPr>
              <w:spacing w:line="360" w:lineRule="auto"/>
              <w:rPr>
                <w:color w:val="auto"/>
                <w:sz w:val="24"/>
                <w:szCs w:val="24"/>
              </w:rPr>
            </w:pPr>
            <w:r>
              <w:rPr>
                <w:color w:val="auto"/>
                <w:sz w:val="24"/>
                <w:szCs w:val="24"/>
              </w:rPr>
              <w:t>3、至少包含：边沿、斜率、脉宽、窗口、欠幅、间隔、超时、码型、高清视频触发等功能；至少应配置：IIC, SPI, UART, RS232, CAN, LIN触发及解码；</w:t>
            </w:r>
          </w:p>
          <w:p>
            <w:pPr>
              <w:spacing w:line="360" w:lineRule="auto"/>
              <w:rPr>
                <w:color w:val="auto"/>
                <w:sz w:val="24"/>
                <w:szCs w:val="24"/>
              </w:rPr>
            </w:pPr>
            <w:r>
              <w:rPr>
                <w:color w:val="auto"/>
                <w:sz w:val="24"/>
                <w:szCs w:val="24"/>
              </w:rPr>
              <w:t>4、支持用户自定义Default 按键参数，实现Default 按键的个性化需求；安全擦除功能，删除机器上所有的操作记录和用户数据；</w:t>
            </w:r>
          </w:p>
          <w:p>
            <w:pPr>
              <w:spacing w:line="360" w:lineRule="auto"/>
              <w:rPr>
                <w:color w:val="auto"/>
                <w:sz w:val="24"/>
                <w:szCs w:val="24"/>
              </w:rPr>
            </w:pPr>
            <w:r>
              <w:rPr>
                <w:color w:val="auto"/>
                <w:sz w:val="24"/>
                <w:szCs w:val="24"/>
              </w:rPr>
              <w:t>5、不小于35种自动测量参数，支持测量统计、Zoom 测量、Math 测量、History 测量、Ref 测量；可存储设置存储、波形数据、BMP\JPEG\PNG\二进制数据、Matlab数据等；</w:t>
            </w:r>
          </w:p>
          <w:p>
            <w:pPr>
              <w:spacing w:line="360" w:lineRule="auto"/>
              <w:rPr>
                <w:color w:val="auto"/>
                <w:sz w:val="24"/>
                <w:szCs w:val="24"/>
              </w:rPr>
            </w:pPr>
            <w:r>
              <w:rPr>
                <w:color w:val="auto"/>
                <w:sz w:val="24"/>
                <w:szCs w:val="24"/>
              </w:rPr>
              <w:t>6、256级辉度及色温显示；大于5英寸的显示屏，分辨率应≥800*480；</w:t>
            </w:r>
          </w:p>
          <w:p>
            <w:pPr>
              <w:spacing w:line="360" w:lineRule="auto"/>
              <w:rPr>
                <w:color w:val="auto"/>
                <w:sz w:val="24"/>
                <w:szCs w:val="24"/>
              </w:rPr>
            </w:pPr>
            <w:r>
              <w:rPr>
                <w:color w:val="auto"/>
                <w:sz w:val="24"/>
                <w:szCs w:val="24"/>
              </w:rPr>
              <w:t>7、配以太网LAN以及USB Host，USB Device等外围接口；</w:t>
            </w:r>
          </w:p>
          <w:p>
            <w:pPr>
              <w:pStyle w:val="318"/>
              <w:jc w:val="left"/>
              <w:rPr>
                <w:rFonts w:ascii="Times New Roman" w:hAnsi="Times New Roman" w:cs="Times New Roman"/>
                <w:color w:val="auto"/>
                <w:szCs w:val="24"/>
              </w:rPr>
            </w:pPr>
            <w:r>
              <w:rPr>
                <w:rFonts w:ascii="Times New Roman" w:hAnsi="Times New Roman" w:cs="Times New Roman"/>
                <w:color w:val="auto"/>
                <w:szCs w:val="24"/>
              </w:rPr>
              <w:t>8、信号线及信号测试勾等的型号及数量同出厂配置；</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包含太网LAN以及USB Host，USB Device等外围接口，信号线及信号测试勾等的型号及数量同出厂配置</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14</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9"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19</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刚体转动惯量实验仪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1、通用计时计数器要求：</w:t>
            </w:r>
          </w:p>
          <w:p>
            <w:pPr>
              <w:numPr>
                <w:ilvl w:val="0"/>
                <w:numId w:val="11"/>
              </w:numPr>
              <w:spacing w:line="360" w:lineRule="auto"/>
              <w:rPr>
                <w:color w:val="auto"/>
                <w:sz w:val="24"/>
                <w:szCs w:val="24"/>
              </w:rPr>
            </w:pPr>
            <w:r>
              <w:rPr>
                <w:color w:val="auto"/>
                <w:sz w:val="24"/>
                <w:szCs w:val="24"/>
              </w:rPr>
              <w:t>采用液晶显示器(≥122×32点阵图形LCD显示)，菜单界面，带数据存储和查询功能，操作方便；</w:t>
            </w:r>
          </w:p>
          <w:p>
            <w:pPr>
              <w:numPr>
                <w:ilvl w:val="0"/>
                <w:numId w:val="11"/>
              </w:numPr>
              <w:spacing w:line="360" w:lineRule="auto"/>
              <w:rPr>
                <w:color w:val="auto"/>
                <w:sz w:val="24"/>
                <w:szCs w:val="24"/>
              </w:rPr>
            </w:pPr>
            <w:r>
              <w:rPr>
                <w:color w:val="auto"/>
                <w:sz w:val="24"/>
                <w:szCs w:val="24"/>
              </w:rPr>
              <w:t>含多种测量功能，可实现时间、速度、加速度、计数等参数的测量；</w:t>
            </w:r>
          </w:p>
          <w:p>
            <w:pPr>
              <w:numPr>
                <w:ilvl w:val="0"/>
                <w:numId w:val="11"/>
              </w:numPr>
              <w:spacing w:line="360" w:lineRule="auto"/>
              <w:rPr>
                <w:color w:val="auto"/>
                <w:sz w:val="24"/>
                <w:szCs w:val="24"/>
              </w:rPr>
            </w:pPr>
            <w:r>
              <w:rPr>
                <w:color w:val="auto"/>
                <w:sz w:val="24"/>
                <w:szCs w:val="24"/>
              </w:rPr>
              <w:t>自动记录并保存每个挡光时刻，数据可查询和回溯；并可以自动计算出角加速度；</w:t>
            </w:r>
          </w:p>
          <w:p>
            <w:pPr>
              <w:spacing w:line="360" w:lineRule="auto"/>
              <w:rPr>
                <w:color w:val="auto"/>
                <w:sz w:val="24"/>
                <w:szCs w:val="24"/>
              </w:rPr>
            </w:pPr>
            <w:r>
              <w:rPr>
                <w:color w:val="auto"/>
                <w:sz w:val="24"/>
                <w:szCs w:val="24"/>
              </w:rPr>
              <w:t>2、实验装置部分：</w:t>
            </w:r>
          </w:p>
          <w:p>
            <w:pPr>
              <w:numPr>
                <w:ilvl w:val="0"/>
                <w:numId w:val="12"/>
              </w:numPr>
              <w:spacing w:line="360" w:lineRule="auto"/>
              <w:rPr>
                <w:color w:val="auto"/>
                <w:sz w:val="24"/>
                <w:szCs w:val="24"/>
              </w:rPr>
            </w:pPr>
            <w:r>
              <w:rPr>
                <w:color w:val="auto"/>
                <w:sz w:val="24"/>
                <w:szCs w:val="24"/>
              </w:rPr>
              <w:t>包含2路光电门和水平仪；</w:t>
            </w:r>
          </w:p>
          <w:p>
            <w:pPr>
              <w:numPr>
                <w:ilvl w:val="0"/>
                <w:numId w:val="12"/>
              </w:numPr>
              <w:spacing w:line="360" w:lineRule="auto"/>
              <w:rPr>
                <w:color w:val="auto"/>
                <w:sz w:val="24"/>
                <w:szCs w:val="24"/>
              </w:rPr>
            </w:pPr>
            <w:r>
              <w:rPr>
                <w:color w:val="auto"/>
                <w:sz w:val="24"/>
                <w:szCs w:val="24"/>
              </w:rPr>
              <w:t>5孔承物盘，孔半径分别为：45mm、60mm、75mm、90mm和105mm；</w:t>
            </w:r>
          </w:p>
          <w:p>
            <w:pPr>
              <w:numPr>
                <w:ilvl w:val="0"/>
                <w:numId w:val="12"/>
              </w:numPr>
              <w:spacing w:line="360" w:lineRule="auto"/>
              <w:rPr>
                <w:color w:val="auto"/>
                <w:sz w:val="24"/>
                <w:szCs w:val="24"/>
              </w:rPr>
            </w:pPr>
            <w:r>
              <w:rPr>
                <w:color w:val="auto"/>
                <w:sz w:val="24"/>
                <w:szCs w:val="24"/>
              </w:rPr>
              <w:t>塔轮分为5档，半径分别为：15mm、20mm、25mm、30mm和35mm；</w:t>
            </w:r>
          </w:p>
          <w:p>
            <w:pPr>
              <w:numPr>
                <w:ilvl w:val="0"/>
                <w:numId w:val="12"/>
              </w:numPr>
              <w:spacing w:line="360" w:lineRule="auto"/>
              <w:rPr>
                <w:color w:val="auto"/>
                <w:sz w:val="24"/>
                <w:szCs w:val="24"/>
              </w:rPr>
            </w:pPr>
            <w:r>
              <w:rPr>
                <w:color w:val="auto"/>
                <w:sz w:val="24"/>
                <w:szCs w:val="24"/>
              </w:rPr>
              <w:t>砝码托（5g）、砝码（5g 1只、10g 4只）；</w:t>
            </w:r>
          </w:p>
          <w:p>
            <w:pPr>
              <w:numPr>
                <w:ilvl w:val="0"/>
                <w:numId w:val="12"/>
              </w:numPr>
              <w:spacing w:line="360" w:lineRule="auto"/>
              <w:rPr>
                <w:color w:val="auto"/>
                <w:sz w:val="24"/>
                <w:szCs w:val="24"/>
              </w:rPr>
            </w:pPr>
            <w:r>
              <w:rPr>
                <w:color w:val="auto"/>
                <w:sz w:val="24"/>
                <w:szCs w:val="24"/>
              </w:rPr>
              <w:t>被测试件：铝环、铝盘、2只圆柱；</w:t>
            </w:r>
          </w:p>
          <w:p>
            <w:pPr>
              <w:spacing w:line="360" w:lineRule="auto"/>
              <w:rPr>
                <w:color w:val="auto"/>
                <w:sz w:val="24"/>
                <w:szCs w:val="24"/>
              </w:rPr>
            </w:pPr>
            <w:r>
              <w:rPr>
                <w:color w:val="auto"/>
                <w:sz w:val="24"/>
                <w:szCs w:val="24"/>
              </w:rPr>
              <w:t>3、具有砝码拉线防缠绕装置；缠线滑轮安装在转动惯量底座上；</w:t>
            </w:r>
          </w:p>
          <w:p>
            <w:pPr>
              <w:pStyle w:val="318"/>
              <w:jc w:val="left"/>
              <w:rPr>
                <w:rFonts w:ascii="Times New Roman" w:hAnsi="Times New Roman" w:cs="Times New Roman"/>
                <w:color w:val="auto"/>
                <w:szCs w:val="24"/>
              </w:rPr>
            </w:pPr>
            <w:r>
              <w:rPr>
                <w:rFonts w:ascii="Times New Roman" w:hAnsi="Times New Roman" w:cs="Times New Roman"/>
                <w:color w:val="auto"/>
                <w:szCs w:val="24"/>
              </w:rPr>
              <w:t>4、可用恒力矩转动法实现刚体转动惯量的测定；测试相对误差≤5%；可以验证平行轴定理；</w:t>
            </w:r>
          </w:p>
          <w:p>
            <w:pPr>
              <w:pStyle w:val="318"/>
              <w:jc w:val="left"/>
              <w:rPr>
                <w:rFonts w:ascii="Times New Roman" w:hAnsi="Times New Roman" w:cs="Times New Roman"/>
                <w:color w:val="auto"/>
              </w:rPr>
            </w:pPr>
            <w:r>
              <w:rPr>
                <w:rFonts w:ascii="Times New Roman" w:hAnsi="Times New Roman" w:cs="Times New Roman"/>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包含计时计数器、实验装置、水平仪、砝码、被测试件</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8"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20</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波尔共振仪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1、波尔共振实验装置：</w:t>
            </w:r>
          </w:p>
          <w:p>
            <w:pPr>
              <w:spacing w:line="360" w:lineRule="auto"/>
              <w:ind w:left="210" w:leftChars="100"/>
              <w:rPr>
                <w:color w:val="auto"/>
                <w:sz w:val="24"/>
                <w:szCs w:val="24"/>
              </w:rPr>
            </w:pPr>
            <w:r>
              <w:rPr>
                <w:color w:val="auto"/>
                <w:sz w:val="24"/>
                <w:szCs w:val="24"/>
              </w:rPr>
              <w:t>（1）弹簧倔强系数K：自由振动周期变化&lt;2%；</w:t>
            </w:r>
          </w:p>
          <w:p>
            <w:pPr>
              <w:spacing w:line="360" w:lineRule="auto"/>
              <w:ind w:left="210" w:leftChars="100"/>
              <w:rPr>
                <w:color w:val="auto"/>
                <w:sz w:val="24"/>
                <w:szCs w:val="24"/>
              </w:rPr>
            </w:pPr>
            <w:r>
              <w:rPr>
                <w:color w:val="auto"/>
                <w:sz w:val="24"/>
                <w:szCs w:val="24"/>
              </w:rPr>
              <w:t>（2）时间测量（10个周期）：精度≤0.001s，在电脑上可以观察到5位有效数字，即精度为0.0001s；</w:t>
            </w:r>
          </w:p>
          <w:p>
            <w:pPr>
              <w:spacing w:line="360" w:lineRule="auto"/>
              <w:ind w:left="210" w:leftChars="100"/>
              <w:rPr>
                <w:color w:val="auto"/>
                <w:sz w:val="24"/>
                <w:szCs w:val="24"/>
              </w:rPr>
            </w:pPr>
            <w:r>
              <w:rPr>
                <w:color w:val="auto"/>
                <w:sz w:val="24"/>
                <w:szCs w:val="24"/>
              </w:rPr>
              <w:t>（3）系统阻尼度在无电磁阻尼时：每次振幅衰减&lt;2°；</w:t>
            </w:r>
          </w:p>
          <w:p>
            <w:pPr>
              <w:spacing w:line="360" w:lineRule="auto"/>
              <w:ind w:left="210" w:leftChars="100"/>
              <w:rPr>
                <w:color w:val="auto"/>
                <w:sz w:val="24"/>
                <w:szCs w:val="24"/>
              </w:rPr>
            </w:pPr>
            <w:r>
              <w:rPr>
                <w:color w:val="auto"/>
                <w:sz w:val="24"/>
                <w:szCs w:val="24"/>
              </w:rPr>
              <w:t>（4）机械摆盘：带分度槽，分度2°，半径</w:t>
            </w:r>
            <w:r>
              <w:rPr>
                <w:rFonts w:ascii="Arial" w:hAnsi="Arial" w:cs="Arial"/>
                <w:color w:val="auto"/>
                <w:sz w:val="24"/>
                <w:szCs w:val="24"/>
              </w:rPr>
              <w:t>≥</w:t>
            </w:r>
            <w:r>
              <w:rPr>
                <w:color w:val="auto"/>
                <w:sz w:val="24"/>
                <w:szCs w:val="24"/>
              </w:rPr>
              <w:t>95mm；</w:t>
            </w:r>
          </w:p>
          <w:p>
            <w:pPr>
              <w:spacing w:line="360" w:lineRule="auto"/>
              <w:ind w:left="210" w:leftChars="100"/>
              <w:rPr>
                <w:color w:val="auto"/>
                <w:sz w:val="24"/>
                <w:szCs w:val="24"/>
              </w:rPr>
            </w:pPr>
            <w:r>
              <w:rPr>
                <w:color w:val="auto"/>
                <w:sz w:val="24"/>
                <w:szCs w:val="24"/>
              </w:rPr>
              <w:t>（5）振幅测量：误差±1°；振幅测量方式：光电检测；</w:t>
            </w:r>
          </w:p>
          <w:p>
            <w:pPr>
              <w:spacing w:line="360" w:lineRule="auto"/>
              <w:ind w:left="210" w:leftChars="100"/>
              <w:rPr>
                <w:color w:val="auto"/>
                <w:sz w:val="24"/>
                <w:szCs w:val="24"/>
              </w:rPr>
            </w:pPr>
            <w:r>
              <w:rPr>
                <w:color w:val="auto"/>
                <w:sz w:val="24"/>
                <w:szCs w:val="24"/>
              </w:rPr>
              <w:t>（6）光电传感器A：检测双路光电信号；光电传感器B：检测单路光电信号；</w:t>
            </w:r>
          </w:p>
          <w:p>
            <w:pPr>
              <w:spacing w:line="360" w:lineRule="auto"/>
              <w:ind w:left="210" w:leftChars="100"/>
              <w:rPr>
                <w:color w:val="auto"/>
                <w:sz w:val="24"/>
                <w:szCs w:val="24"/>
              </w:rPr>
            </w:pPr>
            <w:r>
              <w:rPr>
                <w:color w:val="auto"/>
                <w:sz w:val="24"/>
                <w:szCs w:val="24"/>
              </w:rPr>
              <w:t>（7）电机转速（强迫力频率）范围：30-45转/分，且连续可调；</w:t>
            </w:r>
          </w:p>
          <w:p>
            <w:pPr>
              <w:spacing w:line="360" w:lineRule="auto"/>
              <w:ind w:left="210" w:leftChars="100"/>
              <w:rPr>
                <w:color w:val="auto"/>
                <w:sz w:val="24"/>
                <w:szCs w:val="24"/>
              </w:rPr>
            </w:pPr>
            <w:r>
              <w:rPr>
                <w:color w:val="auto"/>
                <w:sz w:val="24"/>
                <w:szCs w:val="24"/>
              </w:rPr>
              <w:t>（8）电机转速不稳定度：&lt;0.05%；</w:t>
            </w:r>
          </w:p>
          <w:p>
            <w:pPr>
              <w:spacing w:line="360" w:lineRule="auto"/>
              <w:ind w:left="210" w:leftChars="100"/>
              <w:rPr>
                <w:color w:val="auto"/>
                <w:sz w:val="24"/>
                <w:szCs w:val="24"/>
              </w:rPr>
            </w:pPr>
            <w:r>
              <w:rPr>
                <w:color w:val="auto"/>
                <w:sz w:val="24"/>
                <w:szCs w:val="24"/>
              </w:rPr>
              <w:t>（9）相位差测定：频闪法和测算法，两种方法的测定结果偏差&lt;3°；测算法测量范围在50°-160°之间；频闪法测量范围在0°-180°之间；重复测量偏差＜2°；</w:t>
            </w:r>
          </w:p>
          <w:p>
            <w:pPr>
              <w:spacing w:line="360" w:lineRule="auto"/>
              <w:ind w:left="210" w:leftChars="100"/>
              <w:rPr>
                <w:color w:val="auto"/>
                <w:sz w:val="24"/>
                <w:szCs w:val="24"/>
              </w:rPr>
            </w:pPr>
            <w:r>
              <w:rPr>
                <w:color w:val="auto"/>
                <w:sz w:val="24"/>
                <w:szCs w:val="24"/>
              </w:rPr>
              <w:t>(10)闪光灯：低压驱动，持续闪光时间</w:t>
            </w:r>
            <w:r>
              <w:rPr>
                <w:rFonts w:hint="eastAsia"/>
                <w:color w:val="auto"/>
                <w:sz w:val="24"/>
                <w:szCs w:val="24"/>
                <w:lang w:val="en-US" w:eastAsia="zh-CN"/>
              </w:rPr>
              <w:t>不低于</w:t>
            </w:r>
            <w:r>
              <w:rPr>
                <w:color w:val="auto"/>
                <w:sz w:val="24"/>
                <w:szCs w:val="24"/>
              </w:rPr>
              <w:t>2ms;</w:t>
            </w:r>
          </w:p>
          <w:p>
            <w:pPr>
              <w:spacing w:line="360" w:lineRule="auto"/>
              <w:rPr>
                <w:color w:val="auto"/>
                <w:sz w:val="24"/>
                <w:szCs w:val="24"/>
              </w:rPr>
            </w:pPr>
            <w:r>
              <w:rPr>
                <w:color w:val="auto"/>
                <w:sz w:val="24"/>
                <w:szCs w:val="24"/>
              </w:rPr>
              <w:t>2、波尔共振实验控制仪：</w:t>
            </w:r>
          </w:p>
          <w:p>
            <w:pPr>
              <w:spacing w:line="360" w:lineRule="auto"/>
              <w:ind w:left="210" w:leftChars="100"/>
              <w:rPr>
                <w:color w:val="auto"/>
                <w:sz w:val="24"/>
                <w:szCs w:val="24"/>
              </w:rPr>
            </w:pPr>
            <w:r>
              <w:rPr>
                <w:color w:val="auto"/>
                <w:sz w:val="24"/>
                <w:szCs w:val="24"/>
              </w:rPr>
              <w:t>（1）点阵式液晶显示屏，菜单引导实验，显示并回查实验数据;</w:t>
            </w:r>
          </w:p>
          <w:p>
            <w:pPr>
              <w:spacing w:line="360" w:lineRule="auto"/>
              <w:ind w:left="210" w:leftChars="100"/>
              <w:rPr>
                <w:color w:val="auto"/>
                <w:sz w:val="24"/>
                <w:szCs w:val="24"/>
              </w:rPr>
            </w:pPr>
            <w:r>
              <w:rPr>
                <w:color w:val="auto"/>
                <w:sz w:val="24"/>
                <w:szCs w:val="24"/>
              </w:rPr>
              <w:t>（2）配套动态可视化仿真交互式软件：仿真模块可实时动态显示θ-t关系曲线（振动时序图）、ω-θ关系曲线（振动相图）；仿真模块可导出实验数据和θ-t关系曲线图、ω-θ关系曲线图；</w:t>
            </w:r>
          </w:p>
          <w:p>
            <w:pPr>
              <w:spacing w:line="360" w:lineRule="auto"/>
              <w:rPr>
                <w:color w:val="auto"/>
                <w:sz w:val="24"/>
                <w:szCs w:val="24"/>
              </w:rPr>
            </w:pPr>
            <w:r>
              <w:rPr>
                <w:color w:val="auto"/>
                <w:sz w:val="24"/>
                <w:szCs w:val="24"/>
              </w:rPr>
              <w:t>3、上位机实时监看各学生实验仪的实验数据、波形；具有实验资料、实验指导、数据采集、查询、处理、打印、系统管理、软件帮助等功能；</w:t>
            </w:r>
          </w:p>
          <w:p>
            <w:pPr>
              <w:spacing w:line="360" w:lineRule="auto"/>
              <w:rPr>
                <w:strike/>
                <w:dstrike w:val="0"/>
                <w:color w:val="auto"/>
                <w:sz w:val="24"/>
                <w:szCs w:val="24"/>
              </w:rPr>
            </w:pPr>
            <w:r>
              <w:rPr>
                <w:color w:val="auto"/>
                <w:sz w:val="24"/>
                <w:szCs w:val="24"/>
              </w:rPr>
              <w:t>4、无线网络控制仪（一个实验室一套）：USB供电，电流&lt;100mA；上行USB虚拟串口，波特率：115200bps；下行2.4G频段无线信道，空中速率：≥2K字节/秒；</w:t>
            </w:r>
          </w:p>
          <w:p>
            <w:pPr>
              <w:pStyle w:val="2"/>
              <w:spacing w:line="360" w:lineRule="auto"/>
              <w:rPr>
                <w:rFonts w:ascii="Times New Roman" w:cs="Times New Roman"/>
                <w:color w:val="auto"/>
              </w:rPr>
            </w:pPr>
            <w:r>
              <w:rPr>
                <w:rFonts w:ascii="Times New Roman" w:cs="Times New Roman"/>
                <w:color w:val="auto"/>
              </w:rPr>
              <w:t>5、可实现实验内容</w:t>
            </w:r>
          </w:p>
          <w:p>
            <w:pPr>
              <w:pStyle w:val="2"/>
              <w:spacing w:line="360" w:lineRule="auto"/>
              <w:rPr>
                <w:rFonts w:ascii="Times New Roman" w:cs="Times New Roman"/>
                <w:color w:val="auto"/>
              </w:rPr>
            </w:pPr>
            <w:r>
              <w:rPr>
                <w:rFonts w:ascii="Times New Roman" w:cs="Times New Roman"/>
                <w:color w:val="auto"/>
              </w:rPr>
              <w:t>（1）自由振荡——测量摆轮振幅θ与自由震荡周期T的对应关系；</w:t>
            </w:r>
          </w:p>
          <w:p>
            <w:pPr>
              <w:pStyle w:val="2"/>
              <w:spacing w:line="360" w:lineRule="auto"/>
              <w:rPr>
                <w:rFonts w:ascii="Times New Roman" w:cs="Times New Roman"/>
                <w:color w:val="auto"/>
              </w:rPr>
            </w:pPr>
            <w:r>
              <w:rPr>
                <w:rFonts w:ascii="Times New Roman" w:cs="Times New Roman"/>
                <w:color w:val="auto"/>
              </w:rPr>
              <w:t>（2）测定阻尼系数β；</w:t>
            </w:r>
          </w:p>
          <w:p>
            <w:pPr>
              <w:pStyle w:val="2"/>
              <w:spacing w:line="360" w:lineRule="auto"/>
              <w:rPr>
                <w:rFonts w:ascii="Times New Roman" w:cs="Times New Roman"/>
                <w:color w:val="auto"/>
              </w:rPr>
            </w:pPr>
            <w:r>
              <w:rPr>
                <w:rFonts w:ascii="Times New Roman" w:cs="Times New Roman"/>
                <w:color w:val="auto"/>
              </w:rPr>
              <w:t>（3）测定受迫振动的幅度特性和相频特性曲线；</w:t>
            </w:r>
          </w:p>
          <w:p>
            <w:pPr>
              <w:pStyle w:val="2"/>
              <w:spacing w:line="360" w:lineRule="auto"/>
              <w:rPr>
                <w:rFonts w:ascii="Times New Roman" w:cs="Times New Roman"/>
                <w:color w:val="auto"/>
              </w:rPr>
            </w:pPr>
            <w:r>
              <w:rPr>
                <w:rFonts w:ascii="Times New Roman" w:cs="Times New Roman"/>
                <w:color w:val="auto"/>
              </w:rPr>
              <w:t>（4）研究不同阻尼对受迫振动的影响，观察共振现象；</w:t>
            </w:r>
          </w:p>
          <w:p>
            <w:pPr>
              <w:pStyle w:val="318"/>
              <w:jc w:val="left"/>
              <w:rPr>
                <w:rFonts w:ascii="Times New Roman" w:hAnsi="Times New Roman" w:cs="Times New Roman"/>
                <w:color w:val="auto"/>
              </w:rPr>
            </w:pPr>
            <w:r>
              <w:rPr>
                <w:rFonts w:ascii="Times New Roman" w:hAnsi="Times New Roman" w:cs="Times New Roman"/>
                <w:color w:val="auto"/>
                <w:kern w:val="0"/>
                <w:szCs w:val="24"/>
              </w:rPr>
              <w:t>（5）学习用频闪法测定运动物体的某些量，例如相位差等</w:t>
            </w:r>
            <w:r>
              <w:rPr>
                <w:rFonts w:ascii="Times New Roman" w:hAnsi="Times New Roman" w:eastAsia="仿宋" w:cs="Times New Roman"/>
                <w:color w:val="auto"/>
                <w:kern w:val="0"/>
                <w:sz w:val="18"/>
                <w:szCs w:val="18"/>
              </w:rPr>
              <w:t>；</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包含波尔共振实验装置、波尔共振实验控制仪、独立闪光灯组件、光电传感器2个（A型，B型各一个）、无线网络控制仪</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24</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9"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21</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双通道信号源</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1、等性能双通道信号输出；正弦波输出频率1uHz~30MHz；采样率≥150MSa/S；垂直分辨率≥14-bit；任意波形长度：16K点；方波频率：1uHz ~ 30MHz；谐波发生器功能，可产生10次谐波；正弦波谐波总失真:≤0.075%；</w:t>
            </w:r>
          </w:p>
          <w:p>
            <w:pPr>
              <w:spacing w:line="360" w:lineRule="auto"/>
              <w:rPr>
                <w:color w:val="auto"/>
                <w:sz w:val="24"/>
                <w:szCs w:val="24"/>
              </w:rPr>
            </w:pPr>
            <w:r>
              <w:rPr>
                <w:color w:val="auto"/>
                <w:sz w:val="24"/>
                <w:szCs w:val="24"/>
              </w:rPr>
              <w:t>2、输出低抖动的方波/脉冲波形，同时脉冲波可以做到脉宽、上升/下降沿精细可调，具备极高的调节分辨率和调节范围；输出幅度：</w:t>
            </w:r>
          </w:p>
          <w:p>
            <w:pPr>
              <w:spacing w:line="360" w:lineRule="auto"/>
              <w:rPr>
                <w:color w:val="auto"/>
                <w:sz w:val="24"/>
                <w:szCs w:val="24"/>
              </w:rPr>
            </w:pPr>
            <w:r>
              <w:rPr>
                <w:color w:val="auto"/>
                <w:sz w:val="24"/>
                <w:szCs w:val="24"/>
              </w:rPr>
              <w:t xml:space="preserve">    50Ω: 2mV ~ 10V ≤10MHz；   2mV ~ 5V  ＞10MHz</w:t>
            </w:r>
          </w:p>
          <w:p>
            <w:pPr>
              <w:spacing w:line="360" w:lineRule="auto"/>
              <w:ind w:firstLine="480" w:firstLineChars="200"/>
              <w:rPr>
                <w:color w:val="auto"/>
                <w:sz w:val="24"/>
                <w:szCs w:val="24"/>
              </w:rPr>
            </w:pPr>
            <w:r>
              <w:rPr>
                <w:color w:val="auto"/>
                <w:sz w:val="24"/>
                <w:szCs w:val="24"/>
              </w:rPr>
              <w:t>1MΩ: 4mV ~ 20V ≤10MHz；  4mV ~ 10V ＞10MHz ；</w:t>
            </w:r>
          </w:p>
          <w:p>
            <w:pPr>
              <w:spacing w:line="360" w:lineRule="auto"/>
              <w:rPr>
                <w:color w:val="auto"/>
                <w:sz w:val="24"/>
                <w:szCs w:val="24"/>
              </w:rPr>
            </w:pPr>
            <w:r>
              <w:rPr>
                <w:color w:val="auto"/>
                <w:sz w:val="24"/>
                <w:szCs w:val="24"/>
              </w:rPr>
              <w:t>3、丰富的模拟和数字调制功能：AM、DSB-AM、FM、PM、FSK、ASK和PWM；Sweep功能与Burst功能；提供通道复制、通道耦合以及通道合并等功能；内建任意波形大于190种；硬件频率计功能：1mHz ~ 200MHz；提供功能强大的任意波形编辑器，产生波形方式有标准函数、公式编辑器和波形数学计算功能进行编辑任意波形；</w:t>
            </w:r>
          </w:p>
          <w:p>
            <w:pPr>
              <w:pStyle w:val="318"/>
              <w:jc w:val="left"/>
              <w:rPr>
                <w:rFonts w:ascii="Times New Roman" w:hAnsi="Times New Roman" w:cs="Times New Roman"/>
                <w:color w:val="auto"/>
                <w:szCs w:val="24"/>
              </w:rPr>
            </w:pPr>
            <w:r>
              <w:rPr>
                <w:rFonts w:ascii="Times New Roman" w:hAnsi="Times New Roman" w:cs="Times New Roman"/>
                <w:color w:val="auto"/>
                <w:szCs w:val="24"/>
              </w:rPr>
              <w:t>4、标配以太网LAN接口以及USB Host，USB Device等外围接口；≥4.3英寸TFT-LCD显示屏；支持基于BS 架构和LAN 连接的实验室智能管理系统；</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包含太网LAN以及USB Host，USB Device等外围接口，信号线及信号测试勾等的型号及数量同出厂配置</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4"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22</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光电器件和光电技术综合设计平台</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pStyle w:val="2"/>
              <w:spacing w:line="360" w:lineRule="auto"/>
              <w:rPr>
                <w:rFonts w:ascii="Times New Roman" w:cs="Times New Roman"/>
                <w:color w:val="auto"/>
              </w:rPr>
            </w:pPr>
            <w:r>
              <w:rPr>
                <w:rFonts w:ascii="Times New Roman" w:cs="Times New Roman"/>
                <w:color w:val="auto"/>
              </w:rPr>
              <w:t>1、精密线性稳压电源：提供±12V, ±5V，+5V两路，0~ +15V，0~200V,0~-1000V；</w:t>
            </w:r>
          </w:p>
          <w:p>
            <w:pPr>
              <w:pStyle w:val="2"/>
              <w:spacing w:line="360" w:lineRule="auto"/>
              <w:rPr>
                <w:rFonts w:ascii="Times New Roman" w:cs="Times New Roman"/>
                <w:color w:val="auto"/>
              </w:rPr>
            </w:pPr>
            <w:r>
              <w:rPr>
                <w:rFonts w:ascii="Times New Roman" w:cs="Times New Roman"/>
                <w:color w:val="auto"/>
              </w:rPr>
              <w:t>2、温控仪：温度控制范围：室温-10℃~80℃，温度控制精度：≤1℃；</w:t>
            </w:r>
          </w:p>
          <w:p>
            <w:pPr>
              <w:pStyle w:val="2"/>
              <w:spacing w:line="360" w:lineRule="auto"/>
              <w:rPr>
                <w:rFonts w:ascii="Times New Roman" w:cs="Times New Roman"/>
                <w:color w:val="auto"/>
              </w:rPr>
            </w:pPr>
            <w:r>
              <w:rPr>
                <w:rFonts w:ascii="Times New Roman" w:cs="Times New Roman"/>
                <w:color w:val="auto"/>
              </w:rPr>
              <w:t>3、光功率指示仪：200uW/2mW/20mW/200mW四档量程,标定波长：650nm；</w:t>
            </w:r>
          </w:p>
          <w:p>
            <w:pPr>
              <w:pStyle w:val="2"/>
              <w:spacing w:line="360" w:lineRule="auto"/>
              <w:rPr>
                <w:rFonts w:ascii="Times New Roman" w:cs="Times New Roman"/>
                <w:color w:val="auto"/>
              </w:rPr>
            </w:pPr>
            <w:r>
              <w:rPr>
                <w:rFonts w:ascii="Times New Roman" w:cs="Times New Roman"/>
                <w:color w:val="auto"/>
              </w:rPr>
              <w:t>4、光照度计：200ux/2kLux/20kLux/200kLux四档量程；</w:t>
            </w:r>
          </w:p>
          <w:p>
            <w:pPr>
              <w:pStyle w:val="2"/>
              <w:spacing w:line="360" w:lineRule="auto"/>
              <w:rPr>
                <w:rFonts w:ascii="Times New Roman" w:cs="Times New Roman"/>
                <w:color w:val="auto"/>
              </w:rPr>
            </w:pPr>
            <w:r>
              <w:rPr>
                <w:rFonts w:ascii="Times New Roman" w:cs="Times New Roman"/>
                <w:color w:val="auto"/>
              </w:rPr>
              <w:t>5、电压表：200mv/2v/20v/2000v四档量程；</w:t>
            </w:r>
          </w:p>
          <w:p>
            <w:pPr>
              <w:pStyle w:val="2"/>
              <w:spacing w:line="360" w:lineRule="auto"/>
              <w:rPr>
                <w:rFonts w:ascii="Times New Roman" w:cs="Times New Roman"/>
                <w:color w:val="auto"/>
              </w:rPr>
            </w:pPr>
            <w:r>
              <w:rPr>
                <w:rFonts w:ascii="Times New Roman" w:cs="Times New Roman"/>
                <w:color w:val="auto"/>
              </w:rPr>
              <w:t>6、电流表200uA/2mA/20mA/200mA四档量程；</w:t>
            </w:r>
          </w:p>
          <w:p>
            <w:pPr>
              <w:pStyle w:val="2"/>
              <w:spacing w:line="360" w:lineRule="auto"/>
              <w:rPr>
                <w:rFonts w:ascii="Times New Roman" w:cs="Times New Roman"/>
                <w:color w:val="auto"/>
              </w:rPr>
            </w:pPr>
            <w:r>
              <w:rPr>
                <w:rFonts w:ascii="Times New Roman" w:cs="Times New Roman"/>
                <w:color w:val="auto"/>
              </w:rPr>
              <w:t>7、精密电流表：6档量程自动切换，精度≤1nA；</w:t>
            </w:r>
          </w:p>
          <w:p>
            <w:pPr>
              <w:pStyle w:val="2"/>
              <w:spacing w:line="360" w:lineRule="auto"/>
              <w:rPr>
                <w:rFonts w:ascii="Times New Roman" w:cs="Times New Roman"/>
                <w:color w:val="auto"/>
              </w:rPr>
            </w:pPr>
            <w:r>
              <w:rPr>
                <w:rFonts w:ascii="Times New Roman" w:cs="Times New Roman"/>
                <w:color w:val="auto"/>
              </w:rPr>
              <w:t>8、238X138X40mm模块保护装置；提供负载模块：包含自组电路常用元器件；</w:t>
            </w:r>
          </w:p>
          <w:p>
            <w:pPr>
              <w:spacing w:line="360" w:lineRule="auto"/>
              <w:rPr>
                <w:color w:val="auto"/>
                <w:sz w:val="24"/>
                <w:szCs w:val="24"/>
              </w:rPr>
            </w:pPr>
            <w:r>
              <w:rPr>
                <w:color w:val="auto"/>
                <w:sz w:val="24"/>
                <w:szCs w:val="24"/>
              </w:rPr>
              <w:t>9、多种光电器件，含光敏电阻：光敏面积：≥10×10mm，峰值波长：800nm；红外发射二极管：发射波长：940nm光电二极管：峰值波长（λp）：880nm；光电三极管：峰值波长（λp）：880nm；PIN光电二极管：峰值波长（λp）：880nm，光敏面积：≥0.2mm；APD光电二极管：峰值波长（λp）：880nm，光敏面积：≥0.2mm；光电倍增管：光谱响应范围：300～700nm，最大响应波长：420nm；光源：白、红、橙、黄、绿、蓝、紫七色切换，静态驱动和脉冲驱动；四象限探测器：光敏面积：≥6mm*6mm，光谱响应范围：400～1100nm；PSD位移测试系统设计：光源：650nm半导体激光器带准直，一维PSD：光敏区：1mm×8mm，二维PSD：光敏区：≥7mm×7mm；光谱范围：380-1100nm，PSD位移支架：13mm移动距离，分辨率</w:t>
            </w:r>
            <w:r>
              <w:rPr>
                <w:rFonts w:hint="eastAsia"/>
                <w:color w:val="auto"/>
                <w:sz w:val="24"/>
                <w:szCs w:val="24"/>
                <w:lang w:val="en-US" w:eastAsia="zh-CN"/>
              </w:rPr>
              <w:t>不低于</w:t>
            </w:r>
            <w:r>
              <w:rPr>
                <w:color w:val="auto"/>
                <w:sz w:val="24"/>
                <w:szCs w:val="24"/>
              </w:rPr>
              <w:t>0.01mm；热释电报警器设计：热释电传感器：灵敏元面积：≥2.0×1.0mm</w:t>
            </w:r>
            <w:r>
              <w:rPr>
                <w:color w:val="auto"/>
                <w:sz w:val="24"/>
                <w:szCs w:val="24"/>
                <w:vertAlign w:val="superscript"/>
              </w:rPr>
              <w:t>2</w:t>
            </w:r>
            <w:r>
              <w:rPr>
                <w:color w:val="auto"/>
                <w:sz w:val="24"/>
                <w:szCs w:val="24"/>
              </w:rPr>
              <w:t>，工作波长：7-14μm；菲涅尔透镜：感应角度：89°；光电耦合开关里程表设计：反射式光电耦合器：PWM转速调节；光电测距传感器：测量距离：10-80cm；太阳能电池板：5V/100Ma；线阵CCD：TCD1200D：像敏单元数目：≥2160 像元，像敏单元大小：14 µm×14 µm×14 µm（相邻像元中心距为14 µm）；面阵CCD：彩色，有效像素：512*582，电子快门：1/50~1/10000秒，二值化测量精度：±1像素；面光源，有效发光面积≥40mm×60mm；半导体激光器：650nm，5mW；</w:t>
            </w:r>
          </w:p>
          <w:p>
            <w:pPr>
              <w:spacing w:line="360" w:lineRule="auto"/>
              <w:rPr>
                <w:color w:val="auto"/>
                <w:sz w:val="24"/>
                <w:szCs w:val="24"/>
              </w:rPr>
            </w:pPr>
            <w:r>
              <w:rPr>
                <w:color w:val="auto"/>
                <w:sz w:val="24"/>
                <w:szCs w:val="24"/>
              </w:rPr>
              <w:t>10、微弱光发生与检测装置，T型光路结构，≥200*100mm,直径</w:t>
            </w:r>
            <w:r>
              <w:rPr>
                <w:rFonts w:ascii="Arial" w:hAnsi="Arial" w:cs="Arial"/>
                <w:color w:val="auto"/>
                <w:sz w:val="24"/>
                <w:szCs w:val="24"/>
              </w:rPr>
              <w:t>≥</w:t>
            </w:r>
            <w:r>
              <w:rPr>
                <w:color w:val="auto"/>
                <w:sz w:val="24"/>
                <w:szCs w:val="24"/>
              </w:rPr>
              <w:t>40mm；</w:t>
            </w:r>
          </w:p>
          <w:p>
            <w:pPr>
              <w:pStyle w:val="2"/>
              <w:spacing w:line="360" w:lineRule="auto"/>
              <w:rPr>
                <w:rFonts w:ascii="Times New Roman" w:cs="Times New Roman"/>
                <w:color w:val="auto"/>
              </w:rPr>
            </w:pPr>
            <w:r>
              <w:rPr>
                <w:rFonts w:ascii="Times New Roman" w:cs="Times New Roman"/>
                <w:color w:val="auto"/>
              </w:rPr>
              <w:t>11、数据采集模块及相关程序：软件可实现光电追踪、测距以及定向功能，FFT-预处理功能，具备完整的算法过程演示、算法分析和调试等功能；能够进行图像处理，完成线阵以及面阵CCD的各种测量实验；</w:t>
            </w:r>
          </w:p>
          <w:p>
            <w:pPr>
              <w:pStyle w:val="318"/>
              <w:jc w:val="left"/>
              <w:rPr>
                <w:rFonts w:ascii="Times New Roman" w:hAnsi="Times New Roman" w:cs="Times New Roman"/>
                <w:color w:val="auto"/>
                <w:szCs w:val="24"/>
              </w:rPr>
            </w:pPr>
            <w:r>
              <w:rPr>
                <w:rFonts w:ascii="Times New Roman" w:hAnsi="Times New Roman" w:cs="Times New Roman"/>
                <w:color w:val="auto"/>
                <w:szCs w:val="24"/>
              </w:rPr>
              <w:t>12、导轨，长度不小于75cm,便于结构搭建以及扩展；</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光电器件和光电技术综合设计平台、光学导轨、各种待测光电器件组件、各种应用电路模块、光学滑座及支架、仪器配件箱、实验软件</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2"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23</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光纤传感应用综合实验平台</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pStyle w:val="2"/>
              <w:spacing w:line="360" w:lineRule="auto"/>
              <w:rPr>
                <w:rFonts w:ascii="Times New Roman" w:cs="Times New Roman"/>
                <w:color w:val="auto"/>
              </w:rPr>
            </w:pPr>
            <w:r>
              <w:rPr>
                <w:rFonts w:ascii="Times New Roman" w:cs="Times New Roman"/>
                <w:color w:val="auto"/>
              </w:rPr>
              <w:t>1、精密线性稳压电源：±12V；温控仪：温度控制范围：室温-10℃~80℃，温度控制精度：≤1℃；气压源：气压控制范围：4～12KPa；光功率指示仪：200uW/2mW/20mW/200mW四档量程，标定波长：650nm；电压表：200mv/2v/20v三档量程；电流表：200uA/2mA/20mA/200mA四档量程；负载模块：包含自组电路常用元器件；LED光源：波长1310±20nm;光功率计：波长范围：800～1700nm，功率范围：-60～3dBm；分辨率：≤2nW；</w:t>
            </w:r>
          </w:p>
          <w:p>
            <w:pPr>
              <w:pStyle w:val="2"/>
              <w:spacing w:line="360" w:lineRule="auto"/>
              <w:rPr>
                <w:rFonts w:ascii="Times New Roman" w:cs="Times New Roman"/>
                <w:color w:val="auto"/>
              </w:rPr>
            </w:pPr>
            <w:r>
              <w:rPr>
                <w:rFonts w:ascii="Times New Roman" w:cs="Times New Roman"/>
                <w:color w:val="auto"/>
              </w:rPr>
              <w:t>2、白光光源：高亮度白光LED，直径</w:t>
            </w:r>
            <w:r>
              <w:rPr>
                <w:rFonts w:ascii="Arial" w:hAnsi="Arial" w:cs="Arial"/>
                <w:color w:val="auto"/>
              </w:rPr>
              <w:t>≥</w:t>
            </w:r>
            <w:r>
              <w:rPr>
                <w:rFonts w:hint="eastAsia" w:ascii="Times New Roman" w:cs="Times New Roman"/>
                <w:color w:val="auto"/>
              </w:rPr>
              <w:t>5</w:t>
            </w:r>
            <w:r>
              <w:rPr>
                <w:rFonts w:ascii="Times New Roman" w:cs="Times New Roman"/>
                <w:color w:val="auto"/>
              </w:rPr>
              <w:t>mm；二位平移台：X轴25mm，Y轴25mm，精度≤0.01mm；角位移台：±10度；LED光源机：</w:t>
            </w:r>
            <w:r>
              <w:rPr>
                <w:rFonts w:ascii="Arial" w:hAnsi="Arial" w:cs="Arial"/>
                <w:color w:val="auto"/>
              </w:rPr>
              <w:t>≥</w:t>
            </w:r>
            <w:r>
              <w:rPr>
                <w:rFonts w:ascii="Times New Roman" w:cs="Times New Roman"/>
                <w:color w:val="auto"/>
              </w:rPr>
              <w:t>15W三基色LED光源；照明光纤：端面发光光纤、流星光纤、通体发光光纤；</w:t>
            </w:r>
          </w:p>
          <w:p>
            <w:pPr>
              <w:pStyle w:val="2"/>
              <w:spacing w:line="360" w:lineRule="auto"/>
              <w:rPr>
                <w:rFonts w:ascii="Times New Roman" w:cs="Times New Roman"/>
                <w:color w:val="auto"/>
              </w:rPr>
            </w:pPr>
            <w:r>
              <w:rPr>
                <w:rFonts w:ascii="Times New Roman" w:cs="Times New Roman"/>
                <w:color w:val="auto"/>
              </w:rPr>
              <w:t>3、光纤传感实验软件：可自动测量并绘出P-I、V-I曲线，并自动给出P-I曲线的一次微分和二次微分曲线，通过手动输入距离后，可自动绘出距离与透过率、反射率的关系曲线；电流调节的步长有四种选择:0.25mA、0.5mA、1mA、2mA;</w:t>
            </w:r>
          </w:p>
          <w:p>
            <w:pPr>
              <w:pStyle w:val="2"/>
              <w:spacing w:line="360" w:lineRule="auto"/>
              <w:rPr>
                <w:rFonts w:ascii="Times New Roman" w:cs="Times New Roman"/>
                <w:color w:val="auto"/>
              </w:rPr>
            </w:pPr>
            <w:r>
              <w:rPr>
                <w:rFonts w:ascii="Times New Roman" w:cs="Times New Roman"/>
                <w:color w:val="auto"/>
              </w:rPr>
              <w:t>4、光纤几何参数测量软件：通过软件自动测量（1）纤芯直径（2）包层直径（3）纤芯和包层不圆度（4）纤芯和包层的同芯度（5）光纤折射率分布曲线（6）光纤光强分布;</w:t>
            </w:r>
          </w:p>
          <w:p>
            <w:pPr>
              <w:pStyle w:val="2"/>
              <w:spacing w:line="360" w:lineRule="auto"/>
              <w:rPr>
                <w:rFonts w:ascii="Times New Roman" w:cs="Times New Roman"/>
                <w:color w:val="auto"/>
              </w:rPr>
            </w:pPr>
            <w:r>
              <w:rPr>
                <w:rFonts w:ascii="Times New Roman" w:cs="Times New Roman"/>
                <w:color w:val="auto"/>
              </w:rPr>
              <w:t>5、配套虚拟仿真参数：</w:t>
            </w:r>
          </w:p>
          <w:p>
            <w:pPr>
              <w:snapToGrid w:val="0"/>
              <w:spacing w:line="360" w:lineRule="auto"/>
              <w:jc w:val="left"/>
              <w:rPr>
                <w:color w:val="auto"/>
                <w:sz w:val="24"/>
                <w:szCs w:val="24"/>
              </w:rPr>
            </w:pPr>
            <w:r>
              <w:rPr>
                <w:color w:val="auto"/>
                <w:sz w:val="24"/>
                <w:szCs w:val="24"/>
              </w:rPr>
              <w:t>（1）仿真显示器件三维结构、原理演示、实验电路或光路搭建调试、实验操作运行演示等功能；</w:t>
            </w:r>
          </w:p>
          <w:p>
            <w:pPr>
              <w:snapToGrid w:val="0"/>
              <w:spacing w:line="360" w:lineRule="auto"/>
              <w:jc w:val="left"/>
              <w:rPr>
                <w:color w:val="auto"/>
                <w:sz w:val="24"/>
                <w:szCs w:val="24"/>
              </w:rPr>
            </w:pPr>
            <w:r>
              <w:rPr>
                <w:color w:val="auto"/>
                <w:sz w:val="24"/>
                <w:szCs w:val="24"/>
              </w:rPr>
              <w:t>（2）仿真原理演示以3D动画形式展示；</w:t>
            </w:r>
          </w:p>
          <w:p>
            <w:pPr>
              <w:snapToGrid w:val="0"/>
              <w:spacing w:line="360" w:lineRule="auto"/>
              <w:jc w:val="left"/>
              <w:rPr>
                <w:color w:val="auto"/>
                <w:sz w:val="24"/>
                <w:szCs w:val="24"/>
              </w:rPr>
            </w:pPr>
            <w:r>
              <w:rPr>
                <w:color w:val="auto"/>
                <w:sz w:val="24"/>
                <w:szCs w:val="24"/>
              </w:rPr>
              <w:t>（3）仿真软件包含理论学习界面和实验操作界面；</w:t>
            </w:r>
          </w:p>
          <w:p>
            <w:pPr>
              <w:snapToGrid w:val="0"/>
              <w:spacing w:line="360" w:lineRule="auto"/>
              <w:jc w:val="left"/>
              <w:rPr>
                <w:color w:val="auto"/>
                <w:sz w:val="24"/>
                <w:szCs w:val="24"/>
              </w:rPr>
            </w:pPr>
            <w:r>
              <w:rPr>
                <w:color w:val="auto"/>
                <w:sz w:val="24"/>
                <w:szCs w:val="24"/>
              </w:rPr>
              <w:t>（4）3D建模虚拟仿真实验环境构建；</w:t>
            </w:r>
          </w:p>
          <w:p>
            <w:pPr>
              <w:snapToGrid w:val="0"/>
              <w:spacing w:line="360" w:lineRule="auto"/>
              <w:jc w:val="left"/>
              <w:rPr>
                <w:color w:val="auto"/>
                <w:sz w:val="24"/>
                <w:szCs w:val="24"/>
              </w:rPr>
            </w:pPr>
            <w:r>
              <w:rPr>
                <w:color w:val="auto"/>
                <w:sz w:val="24"/>
                <w:szCs w:val="24"/>
              </w:rPr>
              <w:t>（5）实验仪器设备建模，采用三维实物建模，与真实仪器外观比例一致，可操作旋钮、接线端、开关等均与实物操作一致；</w:t>
            </w:r>
          </w:p>
          <w:p>
            <w:pPr>
              <w:snapToGrid w:val="0"/>
              <w:spacing w:line="360" w:lineRule="auto"/>
              <w:jc w:val="left"/>
              <w:rPr>
                <w:color w:val="auto"/>
                <w:sz w:val="24"/>
                <w:szCs w:val="24"/>
              </w:rPr>
            </w:pPr>
            <w:r>
              <w:rPr>
                <w:color w:val="auto"/>
                <w:sz w:val="24"/>
                <w:szCs w:val="24"/>
              </w:rPr>
              <w:t>（6）软件模拟仪器实际操作步骤与方法，高级物理引擎算法完成实验现象与数据计算；</w:t>
            </w:r>
          </w:p>
          <w:p>
            <w:pPr>
              <w:spacing w:line="360" w:lineRule="auto"/>
              <w:rPr>
                <w:color w:val="auto"/>
                <w:sz w:val="24"/>
                <w:szCs w:val="24"/>
              </w:rPr>
            </w:pPr>
            <w:r>
              <w:rPr>
                <w:color w:val="auto"/>
                <w:sz w:val="24"/>
                <w:szCs w:val="24"/>
              </w:rPr>
              <w:t>（7）仿真实验室提供智能化调节设置；</w:t>
            </w:r>
          </w:p>
          <w:p>
            <w:pPr>
              <w:pStyle w:val="2"/>
              <w:spacing w:line="360" w:lineRule="auto"/>
              <w:rPr>
                <w:rFonts w:ascii="Times New Roman" w:cs="Times New Roman"/>
                <w:color w:val="auto"/>
              </w:rPr>
            </w:pPr>
            <w:r>
              <w:rPr>
                <w:rFonts w:ascii="Times New Roman" w:cs="Times New Roman"/>
                <w:color w:val="auto"/>
              </w:rPr>
              <w:t>（8）需满足实验内容做到软硬件一致，内容需满足下列实验：1.LD光源的P-I,B-I特性曲线测试实验；2.光纤数值孔径测试实验;3.透射式横向光纤位移传感设计实验; 4.透射式纵向光纤位移传感实验;5.反射式光纤位移传感实验; 6.微弯式光纤传感实验;7.光纤传感角度测试实验;8.光纤温度传感设计实验;9.光纤压力传感设计实验; 10.光纤液位测量设计实验;11.光纤火灾预警系统设计实验; 12.光纤照明系统设计实验;13</w:t>
            </w:r>
            <w:r>
              <w:rPr>
                <w:rFonts w:hint="eastAsia" w:ascii="Times New Roman" w:cs="Times New Roman"/>
                <w:color w:val="auto"/>
                <w:lang w:val="en-US" w:eastAsia="zh-CN"/>
              </w:rPr>
              <w:t>.</w:t>
            </w:r>
            <w:r>
              <w:rPr>
                <w:rFonts w:ascii="Times New Roman" w:cs="Times New Roman"/>
                <w:color w:val="auto"/>
              </w:rPr>
              <w:t>光纤几何参数测量实验;</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纤传感应用综合实验平台主机、导轨及支架组件、二维精密平移台、角位移台、二维镜架、光纤跳线、法兰盘、位移组件、微弯变形装置、对射式光纤、反射式光纤、光纤跳线、光纤光源、照明用光纤、气压计、螺旋测微丝杆、实验软件</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4"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24</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磁旋光（法拉弟）效应实验仪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pStyle w:val="2"/>
              <w:spacing w:line="360" w:lineRule="auto"/>
              <w:jc w:val="both"/>
              <w:rPr>
                <w:rFonts w:ascii="Times New Roman" w:cs="Times New Roman"/>
                <w:color w:val="auto"/>
              </w:rPr>
            </w:pPr>
            <w:r>
              <w:rPr>
                <w:rFonts w:ascii="Times New Roman" w:cs="Times New Roman"/>
                <w:color w:val="auto"/>
              </w:rPr>
              <w:t xml:space="preserve">1、数控函数信号发生器：                           </w:t>
            </w:r>
          </w:p>
          <w:p>
            <w:pPr>
              <w:spacing w:line="360" w:lineRule="auto"/>
              <w:rPr>
                <w:color w:val="auto"/>
                <w:sz w:val="24"/>
                <w:szCs w:val="24"/>
              </w:rPr>
            </w:pPr>
            <w:r>
              <w:rPr>
                <w:color w:val="auto"/>
                <w:sz w:val="24"/>
                <w:szCs w:val="24"/>
              </w:rPr>
              <w:t xml:space="preserve">（1）屏幕参数：≥2.4英寸TFT彩色液晶显示，可以同时显示两个通道输出信号类型、幅度、频率和相位等参数；                                                    </w:t>
            </w:r>
          </w:p>
          <w:p>
            <w:pPr>
              <w:pStyle w:val="2"/>
              <w:spacing w:line="360" w:lineRule="auto"/>
              <w:jc w:val="both"/>
              <w:rPr>
                <w:rFonts w:ascii="Times New Roman" w:cs="Times New Roman"/>
                <w:color w:val="auto"/>
              </w:rPr>
            </w:pPr>
            <w:r>
              <w:rPr>
                <w:rFonts w:ascii="Times New Roman" w:cs="Times New Roman"/>
                <w:color w:val="auto"/>
              </w:rPr>
              <w:t xml:space="preserve">（2）接口参数：USB接口（后面板）；EXT.IN接口（前面板），BNC接口； </w:t>
            </w:r>
          </w:p>
          <w:p>
            <w:pPr>
              <w:pStyle w:val="2"/>
              <w:spacing w:line="360" w:lineRule="auto"/>
              <w:jc w:val="both"/>
              <w:rPr>
                <w:rFonts w:ascii="Times New Roman" w:cs="Times New Roman"/>
                <w:color w:val="auto"/>
              </w:rPr>
            </w:pPr>
            <w:r>
              <w:rPr>
                <w:rFonts w:ascii="Times New Roman" w:cs="Times New Roman"/>
                <w:color w:val="auto"/>
              </w:rPr>
              <w:t xml:space="preserve">CH1 CH2接口，BNC接口；                                   </w:t>
            </w:r>
          </w:p>
          <w:p>
            <w:pPr>
              <w:pStyle w:val="2"/>
              <w:spacing w:line="360" w:lineRule="auto"/>
              <w:jc w:val="both"/>
              <w:rPr>
                <w:rFonts w:ascii="Times New Roman" w:cs="Times New Roman"/>
                <w:color w:val="auto"/>
              </w:rPr>
            </w:pPr>
            <w:r>
              <w:rPr>
                <w:rFonts w:ascii="Times New Roman" w:cs="Times New Roman"/>
                <w:color w:val="auto"/>
              </w:rPr>
              <w:t>（3）功能参数：</w:t>
            </w:r>
          </w:p>
          <w:p>
            <w:pPr>
              <w:spacing w:line="360" w:lineRule="auto"/>
              <w:rPr>
                <w:color w:val="auto"/>
                <w:sz w:val="24"/>
                <w:szCs w:val="24"/>
              </w:rPr>
            </w:pPr>
            <w:r>
              <w:rPr>
                <w:color w:val="auto"/>
                <w:sz w:val="24"/>
                <w:szCs w:val="24"/>
              </w:rPr>
              <w:t>1）频率特性：正弦波频率范围0~15MHz方波 三角波频率范围0~15MHz、方波上升时间≤15ns、脉宽范围30ns-4000s、频率分辨率≤0.01uHz、频率准确度 ±20ppm、频率稳定度±1ppm/3小时、脉冲波 TTL数字波 任意波频率范围0~6MHz；</w:t>
            </w:r>
          </w:p>
          <w:p>
            <w:pPr>
              <w:pStyle w:val="2"/>
              <w:spacing w:line="360" w:lineRule="auto"/>
              <w:jc w:val="both"/>
              <w:rPr>
                <w:rFonts w:ascii="Times New Roman" w:cs="Times New Roman"/>
                <w:color w:val="auto"/>
              </w:rPr>
            </w:pPr>
            <w:r>
              <w:rPr>
                <w:rFonts w:ascii="Times New Roman" w:cs="Times New Roman"/>
                <w:color w:val="auto"/>
              </w:rPr>
              <w:t>2）波形特性：波形种类正弦波、方波、三角波、脉冲波、偏正弦波、CMOS波、直流电平、半波、全波、正阶梯波、反阶梯波、噪声波、指数升、指数降、多音波、辛克脉冲、洛伦兹脉冲和60种用户自定义波形，垂直分辨率≥14位，采样率≥266M Sa/s；</w:t>
            </w:r>
          </w:p>
          <w:p>
            <w:pPr>
              <w:pStyle w:val="2"/>
              <w:spacing w:line="360" w:lineRule="auto"/>
              <w:jc w:val="both"/>
              <w:rPr>
                <w:rFonts w:ascii="Times New Roman" w:cs="Times New Roman"/>
                <w:color w:val="auto"/>
              </w:rPr>
            </w:pPr>
            <w:r>
              <w:rPr>
                <w:rFonts w:ascii="Times New Roman" w:cs="Times New Roman"/>
                <w:color w:val="auto"/>
              </w:rPr>
              <w:t>3）输出特性：幅值范围2mVpp~20Vpp（≤10MHz）2mVpp~10Vpp（10MHz~30MHz）2mVpp~5Vpp（≥30MHz），分辨率1mV，输出阻抗50Ω±10%；</w:t>
            </w:r>
          </w:p>
          <w:p>
            <w:pPr>
              <w:pStyle w:val="2"/>
              <w:spacing w:line="360" w:lineRule="auto"/>
              <w:jc w:val="both"/>
              <w:rPr>
                <w:rFonts w:ascii="Times New Roman" w:cs="Times New Roman"/>
                <w:color w:val="auto"/>
              </w:rPr>
            </w:pPr>
            <w:r>
              <w:rPr>
                <w:rFonts w:ascii="Times New Roman" w:cs="Times New Roman"/>
                <w:color w:val="auto"/>
              </w:rPr>
              <w:t>4）直流偏置：-9.99V~9.99V (输出＞4V)、-2.5V~2.5V (0.4V＜输出≤4V)、-0.25V~0.25V (0＜输出≤0.4V)；</w:t>
            </w:r>
          </w:p>
          <w:p>
            <w:pPr>
              <w:pStyle w:val="2"/>
              <w:spacing w:line="360" w:lineRule="auto"/>
              <w:jc w:val="both"/>
              <w:rPr>
                <w:rFonts w:ascii="Times New Roman" w:cs="Times New Roman"/>
                <w:color w:val="auto"/>
              </w:rPr>
            </w:pPr>
            <w:r>
              <w:rPr>
                <w:rFonts w:ascii="Times New Roman" w:cs="Times New Roman"/>
                <w:color w:val="auto"/>
              </w:rPr>
              <w:t>5）相位调节范围0~359.9°，分辨率≤0.1°；</w:t>
            </w:r>
          </w:p>
          <w:p>
            <w:pPr>
              <w:pStyle w:val="2"/>
              <w:spacing w:line="360" w:lineRule="auto"/>
              <w:jc w:val="both"/>
              <w:rPr>
                <w:rFonts w:ascii="Times New Roman" w:cs="Times New Roman"/>
                <w:color w:val="auto"/>
              </w:rPr>
            </w:pPr>
            <w:r>
              <w:rPr>
                <w:rFonts w:ascii="Times New Roman" w:cs="Times New Roman"/>
                <w:color w:val="auto"/>
              </w:rPr>
              <w:t xml:space="preserve">2、数控直流稳压电源：                      </w:t>
            </w:r>
          </w:p>
          <w:p>
            <w:pPr>
              <w:pStyle w:val="2"/>
              <w:spacing w:line="360" w:lineRule="auto"/>
              <w:jc w:val="both"/>
              <w:rPr>
                <w:rFonts w:ascii="Times New Roman" w:cs="Times New Roman"/>
                <w:color w:val="auto"/>
              </w:rPr>
            </w:pPr>
            <w:r>
              <w:rPr>
                <w:rFonts w:ascii="Times New Roman" w:cs="Times New Roman"/>
                <w:color w:val="auto"/>
              </w:rPr>
              <w:t xml:space="preserve">（1）屏幕参数：≥4.3寸IPS液晶屏，电容触摸，分辨率≥800*480；                                                            </w:t>
            </w:r>
          </w:p>
          <w:p>
            <w:pPr>
              <w:pStyle w:val="2"/>
              <w:spacing w:line="360" w:lineRule="auto"/>
              <w:jc w:val="both"/>
              <w:rPr>
                <w:rFonts w:ascii="Times New Roman" w:cs="Times New Roman"/>
                <w:color w:val="auto"/>
              </w:rPr>
            </w:pPr>
            <w:r>
              <w:rPr>
                <w:rFonts w:ascii="Times New Roman" w:cs="Times New Roman"/>
                <w:color w:val="auto"/>
              </w:rPr>
              <w:t xml:space="preserve">（2）接口参数：USB接口；pogopin接口，422总线；pogopin弹簧顶针和触点分别位于整机顶部和底部；                                                            </w:t>
            </w:r>
          </w:p>
          <w:p>
            <w:pPr>
              <w:pStyle w:val="2"/>
              <w:spacing w:line="360" w:lineRule="auto"/>
              <w:jc w:val="both"/>
              <w:rPr>
                <w:rFonts w:ascii="Times New Roman" w:cs="Times New Roman"/>
                <w:color w:val="auto"/>
              </w:rPr>
            </w:pPr>
            <w:r>
              <w:rPr>
                <w:rFonts w:ascii="Times New Roman" w:cs="Times New Roman"/>
                <w:color w:val="auto"/>
              </w:rPr>
              <w:t>（3）功能参数：</w:t>
            </w:r>
          </w:p>
          <w:p>
            <w:pPr>
              <w:pStyle w:val="2"/>
              <w:spacing w:line="360" w:lineRule="auto"/>
              <w:ind w:firstLine="240" w:firstLineChars="100"/>
              <w:jc w:val="both"/>
              <w:rPr>
                <w:rFonts w:ascii="Times New Roman" w:cs="Times New Roman"/>
                <w:color w:val="auto"/>
              </w:rPr>
            </w:pPr>
            <w:r>
              <w:rPr>
                <w:rFonts w:ascii="Times New Roman" w:cs="Times New Roman"/>
                <w:color w:val="auto"/>
              </w:rPr>
              <w:t>1）通过液晶屏实现预设电压、预设电流、输出电压、输出电流等。输出状态提示区域可以方便的看出当前输出开闭状态、恒压恒流输出状态、输出是否正常；</w:t>
            </w:r>
          </w:p>
          <w:p>
            <w:pPr>
              <w:pStyle w:val="2"/>
              <w:spacing w:line="360" w:lineRule="auto"/>
              <w:ind w:firstLine="240" w:firstLineChars="100"/>
              <w:jc w:val="both"/>
              <w:rPr>
                <w:rFonts w:ascii="Times New Roman" w:cs="Times New Roman"/>
                <w:color w:val="auto"/>
              </w:rPr>
            </w:pPr>
            <w:r>
              <w:rPr>
                <w:rFonts w:ascii="Times New Roman" w:cs="Times New Roman"/>
                <w:color w:val="auto"/>
              </w:rPr>
              <w:t xml:space="preserve">2）输出电压：0~30V；   </w:t>
            </w:r>
          </w:p>
          <w:p>
            <w:pPr>
              <w:pStyle w:val="2"/>
              <w:spacing w:line="360" w:lineRule="auto"/>
              <w:ind w:firstLine="240" w:firstLineChars="100"/>
              <w:jc w:val="both"/>
              <w:rPr>
                <w:rFonts w:ascii="Times New Roman" w:cs="Times New Roman"/>
                <w:color w:val="auto"/>
              </w:rPr>
            </w:pPr>
            <w:r>
              <w:rPr>
                <w:rFonts w:ascii="Times New Roman" w:cs="Times New Roman"/>
                <w:color w:val="auto"/>
              </w:rPr>
              <w:t>3）恒流输出电流值：0~5A；</w:t>
            </w:r>
          </w:p>
          <w:p>
            <w:pPr>
              <w:pStyle w:val="2"/>
              <w:spacing w:line="360" w:lineRule="auto"/>
              <w:ind w:firstLine="240" w:firstLineChars="100"/>
              <w:jc w:val="both"/>
              <w:rPr>
                <w:rFonts w:ascii="Times New Roman" w:cs="Times New Roman"/>
                <w:color w:val="auto"/>
              </w:rPr>
            </w:pPr>
            <w:r>
              <w:rPr>
                <w:rFonts w:ascii="Times New Roman" w:cs="Times New Roman"/>
                <w:color w:val="auto"/>
              </w:rPr>
              <w:t xml:space="preserve">4）五位电流显示分辨率：≤0.1mA； </w:t>
            </w:r>
          </w:p>
          <w:p>
            <w:pPr>
              <w:pStyle w:val="2"/>
              <w:spacing w:line="360" w:lineRule="auto"/>
              <w:ind w:firstLine="240" w:firstLineChars="100"/>
              <w:jc w:val="both"/>
              <w:rPr>
                <w:rFonts w:ascii="Times New Roman" w:cs="Times New Roman"/>
                <w:color w:val="auto"/>
              </w:rPr>
            </w:pPr>
            <w:r>
              <w:rPr>
                <w:rFonts w:ascii="Times New Roman" w:cs="Times New Roman"/>
                <w:color w:val="auto"/>
              </w:rPr>
              <w:t>5）稳压电源自带直流电压表：</w:t>
            </w:r>
            <w:r>
              <w:rPr>
                <w:rFonts w:hint="eastAsia" w:ascii="Times New Roman" w:cs="Times New Roman"/>
                <w:color w:val="auto"/>
              </w:rPr>
              <w:t>测量范围</w:t>
            </w:r>
            <w:r>
              <w:rPr>
                <w:rFonts w:ascii="Times New Roman" w:cs="Times New Roman"/>
                <w:color w:val="auto"/>
              </w:rPr>
              <w:t>0-30V，分辨率≤0.01V；</w:t>
            </w:r>
          </w:p>
          <w:p>
            <w:pPr>
              <w:pStyle w:val="2"/>
              <w:spacing w:line="360" w:lineRule="auto"/>
              <w:jc w:val="both"/>
              <w:rPr>
                <w:rFonts w:ascii="Times New Roman" w:cs="Times New Roman"/>
                <w:color w:val="auto"/>
              </w:rPr>
            </w:pPr>
            <w:r>
              <w:rPr>
                <w:rFonts w:ascii="Times New Roman" w:cs="Times New Roman"/>
                <w:color w:val="auto"/>
              </w:rPr>
              <w:t>3、光学导轨：≥1米；光源：半导体激光器 650nm，5mw，带准直；直流磁感应强度 0 — 200mT ；磁光介质：铽玻璃及重火石玻璃；光电探测器：光谱响应范围：400～1100 nm，反向击穿电压：约20V；</w:t>
            </w:r>
          </w:p>
          <w:p>
            <w:pPr>
              <w:pStyle w:val="318"/>
              <w:jc w:val="left"/>
              <w:rPr>
                <w:rFonts w:ascii="Times New Roman" w:hAnsi="Times New Roman" w:cs="Times New Roman"/>
                <w:color w:val="auto"/>
                <w:szCs w:val="24"/>
              </w:rPr>
            </w:pPr>
            <w:r>
              <w:rPr>
                <w:rFonts w:ascii="Times New Roman" w:hAnsi="Times New Roman" w:cs="Times New Roman"/>
                <w:color w:val="auto"/>
                <w:szCs w:val="24"/>
              </w:rPr>
              <w:t>4、可实现的实验至少包括：法拉第直流磁光效应实验、交流磁光调制实验、直流磁光调制实验、光通信实验；</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函数信号发生器主机、数控高压电源主机、直流稳压电源主机、磁光调制线圈（含铽玻璃）、直流励磁电磁铁、重火石玻璃、激光器、硅光电探测器、光学导轨、一维调节滑座、基本滑座、起偏器、检偏器、BNC 屏蔽连接线</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3"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25</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微波光学综合实验仪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1、微波频率：</w:t>
            </w:r>
            <w:r>
              <w:rPr>
                <w:rFonts w:ascii="Arial" w:hAnsi="Arial" w:cs="Arial"/>
                <w:color w:val="auto"/>
                <w:sz w:val="24"/>
                <w:szCs w:val="24"/>
              </w:rPr>
              <w:t>≥</w:t>
            </w:r>
            <w:r>
              <w:rPr>
                <w:color w:val="auto"/>
                <w:sz w:val="24"/>
                <w:szCs w:val="24"/>
              </w:rPr>
              <w:t>9.35GHz波段，带宽：约</w:t>
            </w:r>
            <w:r>
              <w:rPr>
                <w:rFonts w:ascii="Arial" w:hAnsi="Arial" w:cs="Arial"/>
                <w:color w:val="auto"/>
                <w:sz w:val="24"/>
                <w:szCs w:val="24"/>
              </w:rPr>
              <w:t>≥</w:t>
            </w:r>
            <w:r>
              <w:rPr>
                <w:color w:val="auto"/>
                <w:sz w:val="24"/>
                <w:szCs w:val="24"/>
              </w:rPr>
              <w:t>180MHz；微波功率：约</w:t>
            </w:r>
            <w:r>
              <w:rPr>
                <w:rFonts w:ascii="Arial" w:hAnsi="Arial" w:cs="Arial"/>
                <w:color w:val="auto"/>
                <w:sz w:val="24"/>
                <w:szCs w:val="24"/>
              </w:rPr>
              <w:t>≥</w:t>
            </w:r>
            <w:r>
              <w:rPr>
                <w:color w:val="auto"/>
                <w:sz w:val="24"/>
                <w:szCs w:val="24"/>
              </w:rPr>
              <w:t>19mW， 衰减幅度：0～30dB；消耗功率：满负荷时≤25W；连续工作时间：&gt;6h；</w:t>
            </w:r>
          </w:p>
          <w:p>
            <w:pPr>
              <w:spacing w:line="360" w:lineRule="auto"/>
              <w:rPr>
                <w:color w:val="auto"/>
                <w:sz w:val="24"/>
                <w:szCs w:val="24"/>
              </w:rPr>
            </w:pPr>
            <w:r>
              <w:rPr>
                <w:color w:val="auto"/>
                <w:sz w:val="24"/>
                <w:szCs w:val="24"/>
              </w:rPr>
              <w:t>2、指针式检波仪，量程0-100μA，带调零；</w:t>
            </w:r>
          </w:p>
          <w:p>
            <w:pPr>
              <w:spacing w:line="360" w:lineRule="auto"/>
              <w:rPr>
                <w:color w:val="auto"/>
                <w:sz w:val="24"/>
                <w:szCs w:val="24"/>
              </w:rPr>
            </w:pPr>
            <w:r>
              <w:rPr>
                <w:color w:val="auto"/>
                <w:sz w:val="24"/>
                <w:szCs w:val="24"/>
              </w:rPr>
              <w:t>3、电磁波极化天线和栅网组件，工作频率范围：8600~9600MHz;</w:t>
            </w:r>
          </w:p>
          <w:p>
            <w:pPr>
              <w:pStyle w:val="318"/>
              <w:jc w:val="left"/>
              <w:rPr>
                <w:rFonts w:ascii="Times New Roman" w:hAnsi="Times New Roman" w:cs="Times New Roman"/>
                <w:color w:val="auto"/>
                <w:szCs w:val="24"/>
              </w:rPr>
            </w:pPr>
            <w:r>
              <w:rPr>
                <w:rFonts w:ascii="Times New Roman" w:hAnsi="Times New Roman" w:cs="Times New Roman"/>
                <w:color w:val="auto"/>
                <w:szCs w:val="24"/>
              </w:rPr>
              <w:t>4、可进行微波干涉、衍射、偏振等实验；微波的迈克耳逊干涉实验；观测模拟晶体的微波布拉格衍射现象。</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仪器由三厘米微波信号源、固态微波振荡器、衰减器、隔离器、发射喇叭、接收喇叭、检波器、检波信号数显器、可旋转载物平台和支架，以及其他实验用附件等组成。</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9"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26</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电致和磁致伸缩效应实验仪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1、一体式He-Ne激光器：功率约0.8-1.2mW，波长632.8nm；</w:t>
            </w:r>
          </w:p>
          <w:p>
            <w:pPr>
              <w:spacing w:line="360" w:lineRule="auto"/>
              <w:rPr>
                <w:color w:val="auto"/>
                <w:sz w:val="24"/>
                <w:szCs w:val="24"/>
              </w:rPr>
            </w:pPr>
            <w:r>
              <w:rPr>
                <w:color w:val="auto"/>
                <w:sz w:val="24"/>
                <w:szCs w:val="24"/>
              </w:rPr>
              <w:t>2、可调电源0~750V/2mA，分辨率≤1V，准确度优于0.5%；恒流源0～5A连续可调；</w:t>
            </w:r>
          </w:p>
          <w:p>
            <w:pPr>
              <w:spacing w:line="360" w:lineRule="auto"/>
              <w:rPr>
                <w:color w:val="auto"/>
                <w:sz w:val="24"/>
                <w:szCs w:val="24"/>
              </w:rPr>
            </w:pPr>
            <w:r>
              <w:rPr>
                <w:color w:val="auto"/>
                <w:sz w:val="24"/>
                <w:szCs w:val="24"/>
              </w:rPr>
              <w:t>3、移动镜粗动测微手轮分度值0.01mm，移动范围0-25mm；移动镜微动测微手轮分度值0.0001mm，移动范围0-0.25mm；</w:t>
            </w:r>
          </w:p>
          <w:p>
            <w:pPr>
              <w:spacing w:line="360" w:lineRule="auto"/>
              <w:rPr>
                <w:color w:val="auto"/>
                <w:sz w:val="24"/>
                <w:szCs w:val="24"/>
              </w:rPr>
            </w:pPr>
            <w:r>
              <w:rPr>
                <w:color w:val="auto"/>
                <w:sz w:val="24"/>
                <w:szCs w:val="24"/>
              </w:rPr>
              <w:t>4、当条纹计数为100时，测定单色光波长的相对误差≤2%；待测压电陶瓷管干涉环变化个数≥10个；</w:t>
            </w:r>
          </w:p>
          <w:p>
            <w:pPr>
              <w:spacing w:line="360" w:lineRule="auto"/>
              <w:rPr>
                <w:color w:val="auto"/>
                <w:sz w:val="24"/>
                <w:szCs w:val="24"/>
              </w:rPr>
            </w:pPr>
            <w:r>
              <w:rPr>
                <w:color w:val="auto"/>
                <w:sz w:val="24"/>
                <w:szCs w:val="24"/>
              </w:rPr>
              <w:t>5、移动镜、参考镜的平面度为≤λ/20，镜片直径≥φ35，含二维调节镜架；</w:t>
            </w:r>
          </w:p>
          <w:p>
            <w:pPr>
              <w:spacing w:line="360" w:lineRule="auto"/>
              <w:rPr>
                <w:color w:val="auto"/>
                <w:sz w:val="24"/>
                <w:szCs w:val="24"/>
              </w:rPr>
            </w:pPr>
            <w:r>
              <w:rPr>
                <w:color w:val="auto"/>
                <w:sz w:val="24"/>
                <w:szCs w:val="24"/>
              </w:rPr>
              <w:t>6、螺线管1只；分束镜1只；毛玻璃观察屏1只；待测金属样品镍、铁、铜3种；</w:t>
            </w:r>
          </w:p>
          <w:p>
            <w:pPr>
              <w:pStyle w:val="318"/>
              <w:jc w:val="left"/>
              <w:rPr>
                <w:rFonts w:ascii="Times New Roman" w:hAnsi="Times New Roman" w:cs="Times New Roman"/>
                <w:color w:val="auto"/>
                <w:szCs w:val="24"/>
              </w:rPr>
            </w:pPr>
            <w:r>
              <w:rPr>
                <w:rFonts w:ascii="Times New Roman" w:hAnsi="Times New Roman" w:cs="Times New Roman"/>
                <w:color w:val="auto"/>
                <w:szCs w:val="24"/>
              </w:rPr>
              <w:t>7、可测量激光波长；可测量压电陶瓷的电致伸缩特性；可测量不同材料的磁致伸缩特性；</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包含一体式He-Ne激光器、压电陶瓷、分束镜、称动镜、参考镜、毛玻璃、螺线管、待测金属样品镍、铁铜</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5"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27</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半导体热电特性综合实验仪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1、半导体制冷片：两片≥40×40（TEC1-12706）制冷片串联.单片额定电压12V，额定电流5A,普通高温型≦100℃；</w:t>
            </w:r>
          </w:p>
          <w:p>
            <w:pPr>
              <w:spacing w:line="360" w:lineRule="auto"/>
              <w:rPr>
                <w:color w:val="auto"/>
                <w:sz w:val="24"/>
                <w:szCs w:val="24"/>
              </w:rPr>
            </w:pPr>
            <w:r>
              <w:rPr>
                <w:color w:val="auto"/>
                <w:sz w:val="24"/>
                <w:szCs w:val="24"/>
              </w:rPr>
              <w:t>2、PID温度控制仪：温度测量范围：-15-100℃，精度±0.1℃, 三位半数显；加热范围：环境温度至100℃；制冷范围:-10℃至15℃；</w:t>
            </w:r>
          </w:p>
          <w:p>
            <w:pPr>
              <w:spacing w:line="360" w:lineRule="auto"/>
              <w:rPr>
                <w:color w:val="auto"/>
                <w:sz w:val="24"/>
                <w:szCs w:val="24"/>
              </w:rPr>
            </w:pPr>
            <w:r>
              <w:rPr>
                <w:color w:val="auto"/>
                <w:sz w:val="24"/>
                <w:szCs w:val="24"/>
              </w:rPr>
              <w:t>3、制冷制热电源：电压0-20V连续可调、输出电流0-4A；</w:t>
            </w:r>
          </w:p>
          <w:p>
            <w:pPr>
              <w:spacing w:line="360" w:lineRule="auto"/>
              <w:rPr>
                <w:color w:val="auto"/>
                <w:sz w:val="24"/>
                <w:szCs w:val="24"/>
              </w:rPr>
            </w:pPr>
            <w:r>
              <w:rPr>
                <w:color w:val="auto"/>
                <w:sz w:val="24"/>
                <w:szCs w:val="24"/>
              </w:rPr>
              <w:t>4、DM-A0电流测量范围：0~20.00A,测量精度：≤10mA；DM-V9电压测量范围：0~20.000V, 测量精度：≤1mV；</w:t>
            </w:r>
          </w:p>
          <w:p>
            <w:pPr>
              <w:spacing w:line="360" w:lineRule="auto"/>
              <w:rPr>
                <w:color w:val="auto"/>
                <w:sz w:val="24"/>
                <w:szCs w:val="24"/>
              </w:rPr>
            </w:pPr>
            <w:r>
              <w:rPr>
                <w:color w:val="auto"/>
                <w:sz w:val="24"/>
                <w:szCs w:val="24"/>
              </w:rPr>
              <w:t>5、恒流源：0-1000uA连续可调；</w:t>
            </w:r>
          </w:p>
          <w:p>
            <w:pPr>
              <w:pStyle w:val="318"/>
              <w:jc w:val="left"/>
              <w:rPr>
                <w:rFonts w:ascii="Times New Roman" w:hAnsi="Times New Roman" w:cs="Times New Roman"/>
                <w:color w:val="auto"/>
                <w:szCs w:val="24"/>
              </w:rPr>
            </w:pPr>
            <w:r>
              <w:rPr>
                <w:rFonts w:ascii="Times New Roman" w:hAnsi="Times New Roman" w:cs="Times New Roman"/>
                <w:color w:val="auto"/>
                <w:szCs w:val="24"/>
              </w:rPr>
              <w:t>6、配PN结和半导体热敏电阻；秒表一只；</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包含主体加热、制冷装置、PID温度控制仪、直流数显温流源、数字电压表、数字电流表、PN结、热敏电阻温度传感器</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1"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28</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微波铁磁共振实验仪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jc w:val="left"/>
              <w:rPr>
                <w:color w:val="auto"/>
                <w:sz w:val="24"/>
                <w:szCs w:val="24"/>
              </w:rPr>
            </w:pPr>
            <w:r>
              <w:rPr>
                <w:color w:val="auto"/>
                <w:sz w:val="24"/>
                <w:szCs w:val="24"/>
              </w:rPr>
              <w:t>1、短路活塞：调节范围0~65mm；样品管外径：4.8-5.2mm；</w:t>
            </w:r>
          </w:p>
          <w:p>
            <w:pPr>
              <w:spacing w:line="360" w:lineRule="auto"/>
              <w:jc w:val="left"/>
              <w:rPr>
                <w:color w:val="auto"/>
                <w:sz w:val="24"/>
                <w:szCs w:val="24"/>
              </w:rPr>
            </w:pPr>
            <w:r>
              <w:rPr>
                <w:color w:val="auto"/>
                <w:sz w:val="24"/>
                <w:szCs w:val="24"/>
              </w:rPr>
              <w:t>2、微波频率计：测量范围8.2GHz-12.4GHz，分辨率≤ 0.005GHz；数字式高斯计</w:t>
            </w:r>
            <w:r>
              <w:rPr>
                <w:rFonts w:hint="eastAsia"/>
                <w:color w:val="auto"/>
                <w:sz w:val="24"/>
                <w:szCs w:val="24"/>
              </w:rPr>
              <w:t>测</w:t>
            </w:r>
            <w:r>
              <w:rPr>
                <w:color w:val="auto"/>
                <w:sz w:val="24"/>
                <w:szCs w:val="24"/>
              </w:rPr>
              <w:t>量</w:t>
            </w:r>
            <w:r>
              <w:rPr>
                <w:rFonts w:hint="eastAsia"/>
                <w:color w:val="auto"/>
                <w:sz w:val="24"/>
                <w:szCs w:val="24"/>
              </w:rPr>
              <w:t>范围</w:t>
            </w:r>
            <w:r>
              <w:rPr>
                <w:color w:val="auto"/>
                <w:sz w:val="24"/>
                <w:szCs w:val="24"/>
              </w:rPr>
              <w:t>：0-20000Gs，分辨率 ≤1Gs；检流计：20mA档 分辨率≤0.01mA  2mA档 分辨率≤0.001mA；</w:t>
            </w:r>
          </w:p>
          <w:p>
            <w:pPr>
              <w:spacing w:line="360" w:lineRule="auto"/>
              <w:jc w:val="left"/>
              <w:rPr>
                <w:color w:val="auto"/>
                <w:sz w:val="24"/>
                <w:szCs w:val="24"/>
              </w:rPr>
            </w:pPr>
            <w:r>
              <w:rPr>
                <w:color w:val="auto"/>
                <w:sz w:val="24"/>
                <w:szCs w:val="24"/>
              </w:rPr>
              <w:t>3、波导规格：BJ-100；</w:t>
            </w:r>
          </w:p>
          <w:p>
            <w:pPr>
              <w:spacing w:line="360" w:lineRule="auto"/>
              <w:jc w:val="left"/>
              <w:rPr>
                <w:color w:val="auto"/>
                <w:sz w:val="24"/>
                <w:szCs w:val="24"/>
              </w:rPr>
            </w:pPr>
            <w:r>
              <w:rPr>
                <w:color w:val="auto"/>
                <w:sz w:val="24"/>
                <w:szCs w:val="24"/>
              </w:rPr>
              <w:t>4、励磁电源：0~6V 连续可调，分辨率≤0.01V；调制磁场：0-50Hz，0~16V（峰峰值）连续可调；</w:t>
            </w:r>
          </w:p>
          <w:p>
            <w:pPr>
              <w:pStyle w:val="318"/>
              <w:jc w:val="left"/>
              <w:rPr>
                <w:rFonts w:ascii="Times New Roman" w:hAnsi="Times New Roman" w:cs="Times New Roman"/>
                <w:color w:val="auto"/>
                <w:szCs w:val="24"/>
              </w:rPr>
            </w:pPr>
            <w:r>
              <w:rPr>
                <w:rFonts w:ascii="Times New Roman" w:hAnsi="Times New Roman" w:cs="Times New Roman"/>
                <w:color w:val="auto"/>
                <w:szCs w:val="24"/>
              </w:rPr>
              <w:t>5、实验样品：YIG单晶小球（已定向），YIG多晶小球。</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包含实验仪本体及实验样品YIG单晶小球，YIG多晶小球。</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29</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压电测试仪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1、提供压电薄膜标准片≥20*20mm；</w:t>
            </w:r>
          </w:p>
          <w:p>
            <w:pPr>
              <w:spacing w:line="360" w:lineRule="auto"/>
              <w:jc w:val="left"/>
              <w:rPr>
                <w:color w:val="auto"/>
                <w:sz w:val="24"/>
                <w:szCs w:val="24"/>
              </w:rPr>
            </w:pPr>
            <w:r>
              <w:rPr>
                <w:color w:val="auto"/>
                <w:sz w:val="24"/>
                <w:szCs w:val="24"/>
              </w:rPr>
              <w:t>2、可以配套PZT-JH10/4/8/12型压电极化装置使用；可以配套ZJ-D33-YP15压电压片机使用；</w:t>
            </w:r>
          </w:p>
          <w:p>
            <w:pPr>
              <w:spacing w:line="360" w:lineRule="auto"/>
              <w:rPr>
                <w:color w:val="auto"/>
                <w:sz w:val="24"/>
                <w:szCs w:val="24"/>
              </w:rPr>
            </w:pPr>
            <w:r>
              <w:rPr>
                <w:color w:val="auto"/>
                <w:sz w:val="24"/>
                <w:szCs w:val="24"/>
              </w:rPr>
              <w:t>3、计量标定标准样尺寸：≥18mm*0.8mm,老化时间：2~3年；具有电压保护：独有的放电保护功能</w:t>
            </w:r>
          </w:p>
          <w:p>
            <w:pPr>
              <w:pStyle w:val="2"/>
              <w:spacing w:line="360" w:lineRule="auto"/>
              <w:rPr>
                <w:rFonts w:ascii="Times New Roman" w:cs="Times New Roman"/>
                <w:color w:val="auto"/>
              </w:rPr>
            </w:pPr>
            <w:r>
              <w:rPr>
                <w:rFonts w:ascii="Times New Roman" w:cs="Times New Roman"/>
                <w:color w:val="auto"/>
              </w:rPr>
              <w:t>4、d33测量范围：含d31和d15夹具，×1挡：20 至6000pC/N，×0.1挡：2 至400pC/N；</w:t>
            </w:r>
          </w:p>
          <w:p>
            <w:pPr>
              <w:pStyle w:val="2"/>
              <w:spacing w:line="360" w:lineRule="auto"/>
              <w:rPr>
                <w:rFonts w:ascii="Times New Roman" w:cs="Times New Roman"/>
                <w:color w:val="auto"/>
              </w:rPr>
            </w:pPr>
            <w:r>
              <w:rPr>
                <w:rFonts w:ascii="Times New Roman" w:cs="Times New Roman"/>
                <w:color w:val="auto"/>
              </w:rPr>
              <w:t>5、误差：×1挡：±2%±1个数字（当d33在100到4000pC/N）；±5%±1个数字（当d33在10到200pC/N）；×0.1挡：±2%±1个数字(当d33在10到200pC/N)；±5%±1个数字（当d33在10到20pC/N）；</w:t>
            </w:r>
          </w:p>
          <w:p>
            <w:pPr>
              <w:pStyle w:val="318"/>
              <w:jc w:val="left"/>
              <w:rPr>
                <w:rFonts w:ascii="Times New Roman" w:hAnsi="Times New Roman" w:cs="Times New Roman"/>
                <w:color w:val="auto"/>
                <w:szCs w:val="24"/>
              </w:rPr>
            </w:pPr>
            <w:r>
              <w:rPr>
                <w:rFonts w:ascii="Times New Roman" w:hAnsi="Times New Roman" w:cs="Times New Roman"/>
                <w:color w:val="auto"/>
                <w:szCs w:val="24"/>
              </w:rPr>
              <w:t>6、分辨率：×1挡：≤1 pC/N；×0.1挡：≤0.1 pC/N；</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包含压电测试仪本体、d31和d15夹具、压电薄膜标准片</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1"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30</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临界现象观测及气液相变过程PT关系测定实验仪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pStyle w:val="2"/>
              <w:spacing w:line="360" w:lineRule="auto"/>
              <w:rPr>
                <w:rFonts w:ascii="Times New Roman" w:cs="Times New Roman"/>
                <w:color w:val="auto"/>
              </w:rPr>
            </w:pPr>
            <w:r>
              <w:rPr>
                <w:rFonts w:ascii="Times New Roman" w:cs="Times New Roman"/>
                <w:color w:val="auto"/>
              </w:rPr>
              <w:t>1、不需要另外配备恒温槽循环浴，进样过程可由自带的半导体片制冷功能实现，变温方式：半导体电加热或制冷，控温范围：10℃～70℃，温度显示分辨率：≤0.01℃；控温精度：±0.05℃；</w:t>
            </w:r>
          </w:p>
          <w:p>
            <w:pPr>
              <w:pStyle w:val="2"/>
              <w:spacing w:line="360" w:lineRule="auto"/>
              <w:rPr>
                <w:rFonts w:ascii="Times New Roman" w:cs="Times New Roman"/>
                <w:color w:val="auto"/>
              </w:rPr>
            </w:pPr>
            <w:r>
              <w:rPr>
                <w:rFonts w:ascii="Times New Roman" w:cs="Times New Roman"/>
                <w:color w:val="auto"/>
              </w:rPr>
              <w:t xml:space="preserve">2、测压范围：0～5MPa，测压精度：±0.5%，压力测量相对误差：±3%；实验结果重复性：±2%；临界温度测量误差：±1℃； </w:t>
            </w:r>
          </w:p>
          <w:p>
            <w:pPr>
              <w:pStyle w:val="2"/>
              <w:spacing w:line="360" w:lineRule="auto"/>
              <w:rPr>
                <w:rFonts w:ascii="Times New Roman" w:cs="Times New Roman"/>
                <w:color w:val="auto"/>
              </w:rPr>
            </w:pPr>
            <w:r>
              <w:rPr>
                <w:rFonts w:ascii="Times New Roman" w:cs="Times New Roman"/>
                <w:color w:val="auto"/>
              </w:rPr>
              <w:t>3、实验可实现临界、超临界、冷凝、沸腾等现象，临界现象维持时间：不低于 30mins（提供视频演示，演示临界乳光现象、超临界现象）；</w:t>
            </w:r>
          </w:p>
          <w:p>
            <w:pPr>
              <w:pStyle w:val="2"/>
              <w:spacing w:line="360" w:lineRule="auto"/>
              <w:rPr>
                <w:rFonts w:ascii="Times New Roman" w:cs="Times New Roman"/>
                <w:color w:val="auto"/>
              </w:rPr>
            </w:pPr>
            <w:r>
              <w:rPr>
                <w:rFonts w:ascii="Times New Roman" w:cs="Times New Roman"/>
                <w:color w:val="auto"/>
              </w:rPr>
              <w:t xml:space="preserve">4、压力腔：耐压不低于 10MPa，耐温不低于 100℃，良导热材料，腔体内壁为圆柱形表面，温度近似均匀分布；腔体前后两侧开有透明观察窗，方便观察待测流体高度和腔内现象； </w:t>
            </w:r>
          </w:p>
          <w:p>
            <w:pPr>
              <w:pStyle w:val="2"/>
              <w:spacing w:line="360" w:lineRule="auto"/>
              <w:rPr>
                <w:rFonts w:ascii="Times New Roman" w:cs="Times New Roman"/>
                <w:color w:val="auto"/>
              </w:rPr>
            </w:pPr>
            <w:r>
              <w:rPr>
                <w:rFonts w:ascii="Times New Roman" w:cs="Times New Roman"/>
                <w:color w:val="auto"/>
              </w:rPr>
              <w:t xml:space="preserve">5、温控模块：PID 控温，控温精度±0.05℃（微扰条件下±0.02℃）；采用半导体制冷片作为变温器件，控温范围 10℃～80℃；升温/降温稳定时间约 5～10min（间隔 5～10℃）； </w:t>
            </w:r>
          </w:p>
          <w:p>
            <w:pPr>
              <w:pStyle w:val="2"/>
              <w:spacing w:line="360" w:lineRule="auto"/>
              <w:rPr>
                <w:rFonts w:ascii="Times New Roman" w:cs="Times New Roman"/>
                <w:color w:val="auto"/>
              </w:rPr>
            </w:pPr>
            <w:r>
              <w:rPr>
                <w:rFonts w:ascii="Times New Roman" w:cs="Times New Roman"/>
                <w:color w:val="auto"/>
              </w:rPr>
              <w:t>6、压力传感器：耐高温的绝压型高精度压力传感器，优于0.5 级，耐温高于150℃，工作范围 0～5MPa，精度±0.5%，三芯航空插头；</w:t>
            </w:r>
          </w:p>
          <w:p>
            <w:pPr>
              <w:pStyle w:val="2"/>
              <w:spacing w:line="360" w:lineRule="auto"/>
              <w:rPr>
                <w:rFonts w:ascii="Times New Roman" w:cs="Times New Roman"/>
                <w:color w:val="auto"/>
              </w:rPr>
            </w:pPr>
            <w:r>
              <w:rPr>
                <w:rFonts w:ascii="Times New Roman" w:cs="Times New Roman"/>
                <w:color w:val="auto"/>
              </w:rPr>
              <w:t>7、温度传感器：PT100，耐温高于200℃，精度±0.1℃，探头尺寸：≥Φ4×50，四芯航空插头；</w:t>
            </w:r>
          </w:p>
          <w:p>
            <w:pPr>
              <w:pStyle w:val="2"/>
              <w:spacing w:line="360" w:lineRule="auto"/>
              <w:rPr>
                <w:rFonts w:ascii="Times New Roman" w:cs="Times New Roman"/>
                <w:color w:val="auto"/>
              </w:rPr>
            </w:pPr>
            <w:r>
              <w:rPr>
                <w:rFonts w:ascii="Times New Roman" w:cs="Times New Roman"/>
                <w:color w:val="auto"/>
              </w:rPr>
              <w:t>8、充灌方式：采用气相冷凝方式将工质充灌到腔体内部；</w:t>
            </w:r>
          </w:p>
          <w:p>
            <w:pPr>
              <w:pStyle w:val="2"/>
              <w:spacing w:line="360" w:lineRule="auto"/>
              <w:rPr>
                <w:rFonts w:ascii="Times New Roman" w:cs="Times New Roman"/>
                <w:color w:val="auto"/>
              </w:rPr>
            </w:pPr>
            <w:r>
              <w:rPr>
                <w:rFonts w:ascii="Times New Roman" w:cs="Times New Roman"/>
                <w:color w:val="auto"/>
              </w:rPr>
              <w:t xml:space="preserve">9、测试仪 </w:t>
            </w:r>
          </w:p>
          <w:p>
            <w:pPr>
              <w:pStyle w:val="2"/>
              <w:spacing w:line="360" w:lineRule="auto"/>
              <w:ind w:left="240" w:hanging="240" w:hangingChars="100"/>
              <w:rPr>
                <w:rFonts w:ascii="Times New Roman" w:cs="Times New Roman"/>
                <w:color w:val="auto"/>
              </w:rPr>
            </w:pPr>
            <w:r>
              <w:rPr>
                <w:rFonts w:ascii="Times New Roman" w:cs="Times New Roman"/>
                <w:color w:val="auto"/>
              </w:rPr>
              <w:t>（1）≥240×128 点阵 LCD 液晶显示，可以实时测量并显示温度、压力的数据及二者随时间变化的关系曲线；</w:t>
            </w:r>
          </w:p>
          <w:p>
            <w:pPr>
              <w:pStyle w:val="2"/>
              <w:spacing w:line="360" w:lineRule="auto"/>
              <w:ind w:left="240" w:hanging="240" w:hangingChars="100"/>
              <w:rPr>
                <w:rFonts w:ascii="Times New Roman" w:cs="Times New Roman"/>
                <w:color w:val="auto"/>
              </w:rPr>
            </w:pPr>
            <w:r>
              <w:rPr>
                <w:rFonts w:ascii="Times New Roman" w:cs="Times New Roman"/>
                <w:color w:val="auto"/>
              </w:rPr>
              <w:t xml:space="preserve">（2）温度显示：可设控温范围：10℃～80℃；温度显示分辨率：≤0.01℃；最小控制步距：≤0.01℃（采用编码器调节）； </w:t>
            </w:r>
          </w:p>
          <w:p>
            <w:pPr>
              <w:pStyle w:val="2"/>
              <w:spacing w:line="360" w:lineRule="auto"/>
              <w:ind w:left="240" w:hanging="240" w:hangingChars="100"/>
              <w:rPr>
                <w:rFonts w:ascii="Times New Roman" w:cs="Times New Roman"/>
                <w:color w:val="auto"/>
              </w:rPr>
            </w:pPr>
            <w:r>
              <w:rPr>
                <w:rFonts w:ascii="Times New Roman" w:cs="Times New Roman"/>
                <w:color w:val="auto"/>
              </w:rPr>
              <w:t>（3）压力显示：范围：0～5MPa，分辨率：≤0.001MPa，超压保护阈值：3.9-4.1MPa，超压自动断电；</w:t>
            </w:r>
          </w:p>
          <w:p>
            <w:pPr>
              <w:pStyle w:val="2"/>
              <w:spacing w:line="360" w:lineRule="auto"/>
              <w:rPr>
                <w:rFonts w:ascii="Times New Roman" w:cs="Times New Roman"/>
                <w:color w:val="auto"/>
              </w:rPr>
            </w:pPr>
            <w:r>
              <w:rPr>
                <w:rFonts w:ascii="Times New Roman" w:cs="Times New Roman"/>
                <w:color w:val="auto"/>
              </w:rPr>
              <w:t>（4）温控设置：可以设置制冷制热切换功能，可自动控制风扇的通断；</w:t>
            </w:r>
          </w:p>
          <w:p>
            <w:pPr>
              <w:pStyle w:val="2"/>
              <w:spacing w:line="360" w:lineRule="auto"/>
              <w:rPr>
                <w:rFonts w:ascii="Times New Roman" w:cs="Times New Roman"/>
                <w:color w:val="auto"/>
              </w:rPr>
            </w:pPr>
            <w:r>
              <w:rPr>
                <w:rFonts w:ascii="Times New Roman" w:cs="Times New Roman"/>
                <w:color w:val="auto"/>
              </w:rPr>
              <w:t>10、工作物质：制冷剂（非乙醇、异丙醇、六氟化硫），采用气相冷凝方式将工质充灌到腔体内部；</w:t>
            </w:r>
          </w:p>
          <w:p>
            <w:pPr>
              <w:pStyle w:val="2"/>
              <w:spacing w:line="360" w:lineRule="auto"/>
              <w:rPr>
                <w:rFonts w:ascii="Times New Roman" w:cs="Times New Roman"/>
                <w:color w:val="auto"/>
              </w:rPr>
            </w:pPr>
            <w:r>
              <w:rPr>
                <w:rFonts w:ascii="Times New Roman" w:cs="Times New Roman"/>
                <w:color w:val="auto"/>
              </w:rPr>
              <w:t>11、可实现至少以下实验内容</w:t>
            </w:r>
          </w:p>
          <w:p>
            <w:pPr>
              <w:pStyle w:val="2"/>
              <w:spacing w:line="360" w:lineRule="auto"/>
              <w:rPr>
                <w:rFonts w:ascii="Times New Roman" w:cs="Times New Roman"/>
                <w:color w:val="auto"/>
              </w:rPr>
            </w:pPr>
            <w:r>
              <w:rPr>
                <w:rFonts w:ascii="Times New Roman" w:cs="Times New Roman"/>
                <w:color w:val="auto"/>
              </w:rPr>
              <w:t>（1）测量不同温度下，流体的压力；</w:t>
            </w:r>
          </w:p>
          <w:p>
            <w:pPr>
              <w:pStyle w:val="2"/>
              <w:spacing w:line="360" w:lineRule="auto"/>
              <w:rPr>
                <w:rFonts w:ascii="Times New Roman" w:cs="Times New Roman"/>
                <w:color w:val="auto"/>
              </w:rPr>
            </w:pPr>
            <w:r>
              <w:rPr>
                <w:rFonts w:ascii="Times New Roman" w:cs="Times New Roman"/>
                <w:color w:val="auto"/>
              </w:rPr>
              <w:t>（2）观察临界乳光现象，测量临界参数；</w:t>
            </w:r>
          </w:p>
          <w:p>
            <w:pPr>
              <w:pStyle w:val="2"/>
              <w:spacing w:line="360" w:lineRule="auto"/>
              <w:rPr>
                <w:rFonts w:ascii="Times New Roman" w:cs="Times New Roman"/>
                <w:color w:val="auto"/>
              </w:rPr>
            </w:pPr>
            <w:r>
              <w:rPr>
                <w:rFonts w:ascii="Times New Roman" w:cs="Times New Roman"/>
                <w:color w:val="auto"/>
              </w:rPr>
              <w:t>（3）根据 Antoine 方程和 Riedel 方程，对压力与温度的关系进行非线性拟合；</w:t>
            </w:r>
          </w:p>
          <w:p>
            <w:pPr>
              <w:pStyle w:val="2"/>
              <w:spacing w:line="360" w:lineRule="auto"/>
              <w:rPr>
                <w:rFonts w:ascii="Times New Roman" w:cs="Times New Roman"/>
                <w:color w:val="auto"/>
              </w:rPr>
            </w:pPr>
            <w:r>
              <w:rPr>
                <w:rFonts w:ascii="Times New Roman" w:cs="Times New Roman"/>
                <w:color w:val="auto"/>
              </w:rPr>
              <w:t>（4）计算平均摩尔汽化热和正常沸点并验证楚顿规则；</w:t>
            </w:r>
          </w:p>
          <w:p>
            <w:pPr>
              <w:pStyle w:val="2"/>
              <w:spacing w:line="360" w:lineRule="auto"/>
              <w:rPr>
                <w:rFonts w:ascii="Times New Roman" w:cs="Times New Roman"/>
                <w:color w:val="auto"/>
              </w:rPr>
            </w:pPr>
            <w:r>
              <w:rPr>
                <w:rFonts w:ascii="Times New Roman" w:cs="Times New Roman"/>
                <w:color w:val="auto"/>
              </w:rPr>
              <w:t>（5）根据测量电路原理图连接温度、压力测量电路；</w:t>
            </w:r>
          </w:p>
          <w:p>
            <w:pPr>
              <w:pStyle w:val="318"/>
              <w:jc w:val="left"/>
              <w:rPr>
                <w:rFonts w:ascii="Times New Roman" w:hAnsi="Times New Roman" w:cs="Times New Roman"/>
                <w:color w:val="auto"/>
                <w:szCs w:val="24"/>
              </w:rPr>
            </w:pPr>
            <w:r>
              <w:rPr>
                <w:rFonts w:ascii="Times New Roman" w:hAnsi="Times New Roman" w:cs="Times New Roman"/>
                <w:color w:val="auto"/>
                <w:szCs w:val="24"/>
              </w:rPr>
              <w:t>（6）抽取真空和充灌，并观察充灌过程中的液化现象；</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包含临界现象及气液相变实验装置、临界现象及气液相变测试仪、气泵、流体罐；</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31</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巨磁电阻效应及应用实验仪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1、恒温阱：控温范围：室温～100℃，控温精度：≤1℃，显示方式：双数码显示；</w:t>
            </w:r>
          </w:p>
          <w:p>
            <w:pPr>
              <w:spacing w:line="360" w:lineRule="auto"/>
              <w:rPr>
                <w:color w:val="auto"/>
                <w:sz w:val="24"/>
                <w:szCs w:val="24"/>
              </w:rPr>
            </w:pPr>
            <w:r>
              <w:rPr>
                <w:color w:val="auto"/>
                <w:sz w:val="24"/>
                <w:szCs w:val="24"/>
              </w:rPr>
              <w:t>2、数据采集：</w:t>
            </w:r>
            <w:r>
              <w:rPr>
                <w:rFonts w:hint="eastAsia"/>
                <w:color w:val="auto"/>
                <w:lang w:val="en-US" w:eastAsia="zh-CN"/>
              </w:rPr>
              <w:t>至少</w:t>
            </w:r>
            <w:r>
              <w:rPr>
                <w:color w:val="auto"/>
                <w:sz w:val="24"/>
                <w:szCs w:val="24"/>
              </w:rPr>
              <w:t>4路数字信号输入通道、</w:t>
            </w:r>
            <w:r>
              <w:rPr>
                <w:rFonts w:hint="eastAsia"/>
                <w:color w:val="auto"/>
                <w:lang w:val="en-US" w:eastAsia="zh-CN"/>
              </w:rPr>
              <w:t>至少</w:t>
            </w:r>
            <w:r>
              <w:rPr>
                <w:color w:val="auto"/>
                <w:sz w:val="24"/>
                <w:szCs w:val="24"/>
              </w:rPr>
              <w:t>6路模拟信号输入通道、</w:t>
            </w:r>
            <w:r>
              <w:rPr>
                <w:rFonts w:hint="eastAsia"/>
                <w:color w:val="auto"/>
                <w:lang w:val="en-US" w:eastAsia="zh-CN"/>
              </w:rPr>
              <w:t>至少</w:t>
            </w:r>
            <w:r>
              <w:rPr>
                <w:color w:val="auto"/>
                <w:sz w:val="24"/>
                <w:szCs w:val="24"/>
              </w:rPr>
              <w:t>2路模拟信号输出通道，采集参数： 16位，≥250 kS/s，测试电压范围：-10V～10V；</w:t>
            </w:r>
          </w:p>
          <w:p>
            <w:pPr>
              <w:spacing w:line="360" w:lineRule="auto"/>
              <w:rPr>
                <w:color w:val="auto"/>
                <w:sz w:val="24"/>
                <w:szCs w:val="24"/>
              </w:rPr>
            </w:pPr>
            <w:r>
              <w:rPr>
                <w:color w:val="auto"/>
                <w:sz w:val="24"/>
                <w:szCs w:val="24"/>
              </w:rPr>
              <w:t xml:space="preserve">3、亥姆霍兹线圈：可调稳压电源：0～10V，分辨率：≤0.01V；磁场强度：0～20.5高斯（可换向），线圈间距： R～2R(R为线圈半径)连续可调；               </w:t>
            </w:r>
          </w:p>
          <w:p>
            <w:pPr>
              <w:spacing w:line="360" w:lineRule="auto"/>
              <w:rPr>
                <w:color w:val="auto"/>
                <w:sz w:val="24"/>
                <w:szCs w:val="24"/>
              </w:rPr>
            </w:pPr>
            <w:r>
              <w:rPr>
                <w:color w:val="auto"/>
                <w:sz w:val="24"/>
                <w:szCs w:val="24"/>
              </w:rPr>
              <w:t>4、单轴线性磁场传感器：磁场范围：-2~+2高斯；灵敏度：在±50mA，8V电桥偏置条件下优于3.2mV/V/高斯；</w:t>
            </w:r>
          </w:p>
          <w:p>
            <w:pPr>
              <w:spacing w:line="360" w:lineRule="auto"/>
              <w:rPr>
                <w:color w:val="auto"/>
                <w:sz w:val="24"/>
                <w:szCs w:val="24"/>
              </w:rPr>
            </w:pPr>
            <w:r>
              <w:rPr>
                <w:color w:val="auto"/>
                <w:sz w:val="24"/>
                <w:szCs w:val="24"/>
              </w:rPr>
              <w:t>5、虚拟仿真参数：</w:t>
            </w:r>
          </w:p>
          <w:p>
            <w:pPr>
              <w:spacing w:line="360" w:lineRule="auto"/>
              <w:rPr>
                <w:color w:val="auto"/>
                <w:sz w:val="24"/>
                <w:szCs w:val="24"/>
              </w:rPr>
            </w:pPr>
            <w:r>
              <w:rPr>
                <w:color w:val="auto"/>
                <w:sz w:val="24"/>
                <w:szCs w:val="24"/>
              </w:rPr>
              <w:t>（1）仿真显示器件三维结构、原理演示、实验电路或光路搭建调试、实验操作运行演示等功能；</w:t>
            </w:r>
          </w:p>
          <w:p>
            <w:pPr>
              <w:spacing w:line="360" w:lineRule="auto"/>
              <w:rPr>
                <w:color w:val="auto"/>
                <w:sz w:val="24"/>
                <w:szCs w:val="24"/>
              </w:rPr>
            </w:pPr>
            <w:r>
              <w:rPr>
                <w:color w:val="auto"/>
                <w:sz w:val="24"/>
                <w:szCs w:val="24"/>
              </w:rPr>
              <w:t>（2）仿真软件包含理论学习界面和实验操作界面；</w:t>
            </w:r>
          </w:p>
          <w:p>
            <w:pPr>
              <w:spacing w:line="360" w:lineRule="auto"/>
              <w:rPr>
                <w:color w:val="auto"/>
                <w:sz w:val="24"/>
                <w:szCs w:val="24"/>
              </w:rPr>
            </w:pPr>
            <w:r>
              <w:rPr>
                <w:color w:val="auto"/>
                <w:sz w:val="24"/>
                <w:szCs w:val="24"/>
              </w:rPr>
              <w:t>（3）3D建模虚拟仿真实验环境构建；</w:t>
            </w:r>
          </w:p>
          <w:p>
            <w:pPr>
              <w:spacing w:line="360" w:lineRule="auto"/>
              <w:rPr>
                <w:color w:val="auto"/>
                <w:sz w:val="24"/>
                <w:szCs w:val="24"/>
              </w:rPr>
            </w:pPr>
            <w:r>
              <w:rPr>
                <w:color w:val="auto"/>
                <w:sz w:val="24"/>
                <w:szCs w:val="24"/>
              </w:rPr>
              <w:t>（4）实验仪器设备建模，采用三维实物建模，与真实仪器外观比例一致，可操作旋钮、接线端、开关等均与实物操作一致；</w:t>
            </w:r>
          </w:p>
          <w:p>
            <w:pPr>
              <w:spacing w:line="360" w:lineRule="auto"/>
              <w:rPr>
                <w:color w:val="auto"/>
                <w:sz w:val="24"/>
                <w:szCs w:val="24"/>
              </w:rPr>
            </w:pPr>
            <w:r>
              <w:rPr>
                <w:color w:val="auto"/>
                <w:sz w:val="24"/>
                <w:szCs w:val="24"/>
              </w:rPr>
              <w:t>（5）仿真技术，采用U3D仿真技术，软件模拟仪器实际操作步骤与方法，高级物理引擎算法完成实验现象与数据计算；</w:t>
            </w:r>
          </w:p>
          <w:p>
            <w:pPr>
              <w:spacing w:line="360" w:lineRule="auto"/>
              <w:rPr>
                <w:color w:val="auto"/>
                <w:sz w:val="24"/>
                <w:szCs w:val="24"/>
              </w:rPr>
            </w:pPr>
            <w:r>
              <w:rPr>
                <w:color w:val="auto"/>
                <w:sz w:val="24"/>
                <w:szCs w:val="24"/>
              </w:rPr>
              <w:t>（6）仿真实验室提供智能化调节设置；</w:t>
            </w:r>
          </w:p>
          <w:p>
            <w:pPr>
              <w:spacing w:line="360" w:lineRule="auto"/>
              <w:rPr>
                <w:color w:val="auto"/>
                <w:sz w:val="24"/>
                <w:szCs w:val="24"/>
              </w:rPr>
            </w:pPr>
            <w:r>
              <w:rPr>
                <w:color w:val="auto"/>
                <w:sz w:val="24"/>
                <w:szCs w:val="24"/>
              </w:rPr>
              <w:t>（7）可实现的实验内容如下</w:t>
            </w:r>
          </w:p>
          <w:p>
            <w:pPr>
              <w:spacing w:line="360" w:lineRule="auto"/>
              <w:rPr>
                <w:color w:val="auto"/>
                <w:sz w:val="24"/>
                <w:szCs w:val="24"/>
              </w:rPr>
            </w:pPr>
            <w:r>
              <w:rPr>
                <w:color w:val="auto"/>
                <w:sz w:val="24"/>
                <w:szCs w:val="24"/>
              </w:rPr>
              <w:fldChar w:fldCharType="begin"/>
            </w:r>
            <w:r>
              <w:rPr>
                <w:color w:val="auto"/>
                <w:sz w:val="24"/>
                <w:szCs w:val="24"/>
              </w:rPr>
              <w:instrText xml:space="preserve"> = 1 \* GB3 \* MERGEFORMAT </w:instrText>
            </w:r>
            <w:r>
              <w:rPr>
                <w:color w:val="auto"/>
                <w:sz w:val="24"/>
                <w:szCs w:val="24"/>
              </w:rPr>
              <w:fldChar w:fldCharType="separate"/>
            </w:r>
            <w:r>
              <w:rPr>
                <w:color w:val="auto"/>
              </w:rPr>
              <w:t>①</w:t>
            </w:r>
            <w:r>
              <w:rPr>
                <w:color w:val="auto"/>
                <w:sz w:val="24"/>
                <w:szCs w:val="24"/>
              </w:rPr>
              <w:fldChar w:fldCharType="end"/>
            </w:r>
            <w:r>
              <w:rPr>
                <w:color w:val="auto"/>
                <w:sz w:val="24"/>
                <w:szCs w:val="24"/>
              </w:rPr>
              <w:t>测试巨磁阻样品的输出电压及MR值随磁感应强度的变化关系；</w:t>
            </w:r>
          </w:p>
          <w:p>
            <w:pPr>
              <w:spacing w:line="360" w:lineRule="auto"/>
              <w:rPr>
                <w:color w:val="auto"/>
                <w:sz w:val="24"/>
                <w:szCs w:val="24"/>
              </w:rPr>
            </w:pPr>
            <w:r>
              <w:rPr>
                <w:color w:val="auto"/>
                <w:sz w:val="24"/>
                <w:szCs w:val="24"/>
              </w:rPr>
              <w:fldChar w:fldCharType="begin"/>
            </w:r>
            <w:r>
              <w:rPr>
                <w:color w:val="auto"/>
                <w:sz w:val="24"/>
                <w:szCs w:val="24"/>
              </w:rPr>
              <w:instrText xml:space="preserve"> = 2 \* GB3 \* MERGEFORMAT </w:instrText>
            </w:r>
            <w:r>
              <w:rPr>
                <w:color w:val="auto"/>
                <w:sz w:val="24"/>
                <w:szCs w:val="24"/>
              </w:rPr>
              <w:fldChar w:fldCharType="separate"/>
            </w:r>
            <w:r>
              <w:rPr>
                <w:color w:val="auto"/>
              </w:rPr>
              <w:t>②</w:t>
            </w:r>
            <w:r>
              <w:rPr>
                <w:color w:val="auto"/>
                <w:sz w:val="24"/>
                <w:szCs w:val="24"/>
              </w:rPr>
              <w:fldChar w:fldCharType="end"/>
            </w:r>
            <w:r>
              <w:rPr>
                <w:color w:val="auto"/>
                <w:sz w:val="24"/>
                <w:szCs w:val="24"/>
              </w:rPr>
              <w:t>测试巨磁阻样品的灵敏度与其工作电压Vin的变化关系；</w:t>
            </w:r>
          </w:p>
          <w:p>
            <w:pPr>
              <w:spacing w:line="360" w:lineRule="auto"/>
              <w:rPr>
                <w:color w:val="auto"/>
                <w:sz w:val="24"/>
                <w:szCs w:val="24"/>
              </w:rPr>
            </w:pPr>
            <w:r>
              <w:rPr>
                <w:color w:val="auto"/>
                <w:sz w:val="24"/>
                <w:szCs w:val="24"/>
              </w:rPr>
              <w:fldChar w:fldCharType="begin"/>
            </w:r>
            <w:r>
              <w:rPr>
                <w:color w:val="auto"/>
                <w:sz w:val="24"/>
                <w:szCs w:val="24"/>
              </w:rPr>
              <w:instrText xml:space="preserve"> = 3 \* GB3 \* MERGEFORMAT </w:instrText>
            </w:r>
            <w:r>
              <w:rPr>
                <w:color w:val="auto"/>
                <w:sz w:val="24"/>
                <w:szCs w:val="24"/>
              </w:rPr>
              <w:fldChar w:fldCharType="separate"/>
            </w:r>
            <w:r>
              <w:rPr>
                <w:color w:val="auto"/>
              </w:rPr>
              <w:t>③</w:t>
            </w:r>
            <w:r>
              <w:rPr>
                <w:color w:val="auto"/>
                <w:sz w:val="24"/>
                <w:szCs w:val="24"/>
              </w:rPr>
              <w:fldChar w:fldCharType="end"/>
            </w:r>
            <w:r>
              <w:rPr>
                <w:color w:val="auto"/>
                <w:sz w:val="24"/>
                <w:szCs w:val="24"/>
              </w:rPr>
              <w:t>测试巨磁阻样品的温度T与其输出电压Vout的变化关系；</w:t>
            </w:r>
          </w:p>
          <w:p>
            <w:pPr>
              <w:spacing w:line="360" w:lineRule="auto"/>
              <w:rPr>
                <w:color w:val="auto"/>
                <w:sz w:val="24"/>
                <w:szCs w:val="24"/>
              </w:rPr>
            </w:pPr>
            <w:r>
              <w:rPr>
                <w:color w:val="auto"/>
                <w:sz w:val="24"/>
                <w:szCs w:val="24"/>
              </w:rPr>
              <w:fldChar w:fldCharType="begin"/>
            </w:r>
            <w:r>
              <w:rPr>
                <w:color w:val="auto"/>
                <w:sz w:val="24"/>
                <w:szCs w:val="24"/>
              </w:rPr>
              <w:instrText xml:space="preserve"> = 4 \* GB3 \* MERGEFORMAT </w:instrText>
            </w:r>
            <w:r>
              <w:rPr>
                <w:color w:val="auto"/>
                <w:sz w:val="24"/>
                <w:szCs w:val="24"/>
              </w:rPr>
              <w:fldChar w:fldCharType="separate"/>
            </w:r>
            <w:r>
              <w:rPr>
                <w:color w:val="auto"/>
              </w:rPr>
              <w:t>④</w:t>
            </w:r>
            <w:r>
              <w:rPr>
                <w:color w:val="auto"/>
                <w:sz w:val="24"/>
                <w:szCs w:val="24"/>
              </w:rPr>
              <w:fldChar w:fldCharType="end"/>
            </w:r>
            <w:r>
              <w:rPr>
                <w:color w:val="auto"/>
                <w:sz w:val="24"/>
                <w:szCs w:val="24"/>
              </w:rPr>
              <w:t>测试巨磁阻样品敏感轴与磁场间的夹角与传感器灵敏度的关系；</w:t>
            </w:r>
          </w:p>
          <w:p>
            <w:pPr>
              <w:pStyle w:val="318"/>
              <w:jc w:val="left"/>
              <w:rPr>
                <w:rFonts w:ascii="Times New Roman" w:hAnsi="Times New Roman" w:cs="Times New Roman"/>
                <w:color w:val="auto"/>
                <w:szCs w:val="24"/>
              </w:rPr>
            </w:pPr>
            <w:r>
              <w:rPr>
                <w:rFonts w:ascii="Times New Roman" w:hAnsi="Times New Roman" w:cs="Times New Roman"/>
                <w:color w:val="auto"/>
                <w:szCs w:val="24"/>
              </w:rPr>
              <w:fldChar w:fldCharType="begin"/>
            </w:r>
            <w:r>
              <w:rPr>
                <w:rFonts w:ascii="Times New Roman" w:hAnsi="Times New Roman" w:cs="Times New Roman"/>
                <w:color w:val="auto"/>
                <w:szCs w:val="24"/>
              </w:rPr>
              <w:instrText xml:space="preserve"> = 5 \* GB3 \* MERGEFORMAT </w:instrText>
            </w:r>
            <w:r>
              <w:rPr>
                <w:rFonts w:ascii="Times New Roman" w:hAnsi="Times New Roman" w:cs="Times New Roman"/>
                <w:color w:val="auto"/>
                <w:szCs w:val="24"/>
              </w:rPr>
              <w:fldChar w:fldCharType="separate"/>
            </w:r>
            <w:r>
              <w:rPr>
                <w:color w:val="auto"/>
              </w:rPr>
              <w:t>⑤</w:t>
            </w:r>
            <w:r>
              <w:rPr>
                <w:rFonts w:ascii="Times New Roman" w:hAnsi="Times New Roman" w:cs="Times New Roman"/>
                <w:color w:val="auto"/>
                <w:szCs w:val="24"/>
              </w:rPr>
              <w:fldChar w:fldCharType="end"/>
            </w:r>
            <w:r>
              <w:rPr>
                <w:rFonts w:ascii="Times New Roman" w:hAnsi="Times New Roman" w:cs="Times New Roman"/>
                <w:color w:val="auto"/>
                <w:szCs w:val="24"/>
              </w:rPr>
              <w:t>测试巨磁电阻样品与位移的关系，磁电阻效应及应用实验仪；</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巨磁电阻效应测试仪、温控系统、巨磁电阻组件、实验软件</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5"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32</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热电效应实验仪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1、实验系统性能指标:1.测量方法：静态法、动态法；2.塞贝克系数测量相对误差：优于±8%；3.温度调节范围：室温～100℃；4.温度测量精度：优于±0.5℃；</w:t>
            </w:r>
          </w:p>
          <w:p>
            <w:pPr>
              <w:spacing w:line="360" w:lineRule="auto"/>
              <w:rPr>
                <w:color w:val="auto"/>
                <w:sz w:val="24"/>
                <w:szCs w:val="24"/>
              </w:rPr>
            </w:pPr>
            <w:r>
              <w:rPr>
                <w:color w:val="auto"/>
                <w:sz w:val="24"/>
                <w:szCs w:val="24"/>
              </w:rPr>
              <w:t>2、加热测温台:独立加热测温部件2个，上下安装，距离可调，上加热测温部件可移动范围0～50mm；立式导向结构，分上下两路分别加热，加热范围：室温～100℃，精度优于±0.5℃，含超温保护功能，保护温度：≤120℃；</w:t>
            </w:r>
          </w:p>
          <w:p>
            <w:pPr>
              <w:spacing w:line="360" w:lineRule="auto"/>
              <w:rPr>
                <w:color w:val="auto"/>
                <w:sz w:val="24"/>
                <w:szCs w:val="24"/>
              </w:rPr>
            </w:pPr>
            <w:r>
              <w:rPr>
                <w:color w:val="auto"/>
                <w:sz w:val="24"/>
                <w:szCs w:val="24"/>
              </w:rPr>
              <w:t>3、热电材料单元</w:t>
            </w:r>
          </w:p>
          <w:p>
            <w:pPr>
              <w:pStyle w:val="2"/>
              <w:spacing w:line="360" w:lineRule="auto"/>
              <w:rPr>
                <w:rFonts w:ascii="Times New Roman" w:cs="Times New Roman"/>
                <w:color w:val="auto"/>
              </w:rPr>
            </w:pPr>
            <w:r>
              <w:rPr>
                <w:rFonts w:ascii="Times New Roman" w:cs="Times New Roman"/>
                <w:color w:val="auto"/>
              </w:rPr>
              <w:t>（1）测试块：金属材料1个：含正常金属（康铜，直径：≥0.24mm）和反常金属（镍铬，直径：≥0.24mm）；半导体材料2个：P型和N型半导体各一个；热电偶四个基本定律验证块各1个，分别为：验证中间温度定律、验证中间导体定律、验证参考电极定律及验证均质导体定律；半导体材料尺寸约≥Ф30×8mm，其余样品尺寸均约为≥Ф30×35mm;</w:t>
            </w:r>
          </w:p>
          <w:p>
            <w:pPr>
              <w:spacing w:line="360" w:lineRule="auto"/>
              <w:rPr>
                <w:color w:val="auto"/>
                <w:sz w:val="24"/>
                <w:szCs w:val="24"/>
              </w:rPr>
            </w:pPr>
            <w:r>
              <w:rPr>
                <w:color w:val="auto"/>
                <w:sz w:val="24"/>
                <w:szCs w:val="24"/>
              </w:rPr>
              <w:t>（2）温差发电组件:加热片：1个，最大输入12V/90W，耐温≥200℃;温差发电片（TEG）2个，最大工作温度≥150℃;风冷鳍片散热器：2个，每个风扇电源DC12V;</w:t>
            </w:r>
          </w:p>
          <w:p>
            <w:pPr>
              <w:spacing w:line="360" w:lineRule="auto"/>
              <w:rPr>
                <w:color w:val="auto"/>
                <w:sz w:val="24"/>
                <w:szCs w:val="24"/>
              </w:rPr>
            </w:pPr>
            <w:r>
              <w:rPr>
                <w:color w:val="auto"/>
                <w:sz w:val="24"/>
                <w:szCs w:val="24"/>
              </w:rPr>
              <w:t>（3）放大器:放大倍数：≥200倍;带宽：≥1kHz;电压输入范围：0～50mV;测量切换指示功能：含3路循环切换指示灯;接口：1个输入接口、1个输出接口;</w:t>
            </w:r>
          </w:p>
          <w:p>
            <w:pPr>
              <w:spacing w:line="360" w:lineRule="auto"/>
              <w:rPr>
                <w:color w:val="auto"/>
                <w:sz w:val="24"/>
                <w:szCs w:val="24"/>
              </w:rPr>
            </w:pPr>
            <w:r>
              <w:rPr>
                <w:color w:val="auto"/>
                <w:sz w:val="24"/>
                <w:szCs w:val="24"/>
              </w:rPr>
              <w:t>（4）电压电流送变器:电压输入范围：0～30V;电流输入范围：0～3A;输出范围：0～5V;</w:t>
            </w:r>
          </w:p>
          <w:p>
            <w:pPr>
              <w:spacing w:line="360" w:lineRule="auto"/>
              <w:rPr>
                <w:color w:val="auto"/>
                <w:sz w:val="24"/>
                <w:szCs w:val="24"/>
              </w:rPr>
            </w:pPr>
            <w:r>
              <w:rPr>
                <w:color w:val="auto"/>
                <w:sz w:val="24"/>
                <w:szCs w:val="24"/>
              </w:rPr>
              <w:t>（5）负载组件:可调负载：0～999.9Ω，最小调节步距≤0.1Ω;</w:t>
            </w:r>
          </w:p>
          <w:p>
            <w:pPr>
              <w:spacing w:line="360" w:lineRule="auto"/>
              <w:rPr>
                <w:color w:val="auto"/>
                <w:sz w:val="24"/>
                <w:szCs w:val="24"/>
              </w:rPr>
            </w:pPr>
            <w:r>
              <w:rPr>
                <w:color w:val="auto"/>
                <w:sz w:val="24"/>
                <w:szCs w:val="24"/>
              </w:rPr>
              <w:t>（6）直流稳压电源:输出通道数量：1;连续可调电压范围：0～30V，分辨率≤0.1V;连续可调电压范围：0～3A，分辨率≤0.01A;工作电源：～220V/50Hz;</w:t>
            </w:r>
          </w:p>
          <w:p>
            <w:pPr>
              <w:spacing w:line="360" w:lineRule="auto"/>
              <w:rPr>
                <w:color w:val="auto"/>
                <w:sz w:val="24"/>
                <w:szCs w:val="24"/>
              </w:rPr>
            </w:pPr>
            <w:r>
              <w:rPr>
                <w:color w:val="auto"/>
                <w:sz w:val="24"/>
                <w:szCs w:val="24"/>
              </w:rPr>
              <w:t>（7）电源适配器：AC220V转DC12V2A；</w:t>
            </w:r>
          </w:p>
          <w:p>
            <w:pPr>
              <w:spacing w:line="360" w:lineRule="auto"/>
              <w:rPr>
                <w:color w:val="auto"/>
                <w:sz w:val="24"/>
                <w:szCs w:val="24"/>
              </w:rPr>
            </w:pPr>
            <w:r>
              <w:rPr>
                <w:color w:val="auto"/>
                <w:sz w:val="24"/>
                <w:szCs w:val="24"/>
              </w:rPr>
              <w:t>4、配套专用实验软件：</w:t>
            </w:r>
          </w:p>
          <w:p>
            <w:pPr>
              <w:spacing w:line="360" w:lineRule="auto"/>
              <w:rPr>
                <w:color w:val="auto"/>
                <w:sz w:val="24"/>
                <w:szCs w:val="24"/>
              </w:rPr>
            </w:pPr>
            <w:r>
              <w:rPr>
                <w:color w:val="auto"/>
                <w:sz w:val="24"/>
                <w:szCs w:val="24"/>
              </w:rPr>
              <w:t>（1）数据信号端口根据实际情况可灵活选择；软件可显示通信连接情况和测试状态；</w:t>
            </w:r>
          </w:p>
          <w:p>
            <w:pPr>
              <w:spacing w:line="360" w:lineRule="auto"/>
              <w:rPr>
                <w:color w:val="auto"/>
                <w:sz w:val="24"/>
                <w:szCs w:val="24"/>
              </w:rPr>
            </w:pPr>
            <w:r>
              <w:rPr>
                <w:color w:val="auto"/>
                <w:sz w:val="24"/>
                <w:szCs w:val="24"/>
              </w:rPr>
              <w:t>（2）实验主要包含热电材料实验模块和温差发电实验模块；热电材料实验模块包括：实时采集并显示实验数据（含温度和热电势等），动态展示数据曲线（含温差-时间关系曲线，热电势-时间关系曲线，以及热电势-温差关系曲线），支持动态法及静态法测量塞贝克系数实验，能对数据进行实时分析（含误差计算）并保存数据；温差发电实验模块包括：实时采集并显示实验数据（含加热片的输入电压电流和发电片的输出电压电流等），手动选取稳定时的有效数据，并生成数据表格及显示相关曲线（含发电片的空载电压-加热片的输入功率关系曲线，发电片的输出伏安特性曲线）；</w:t>
            </w:r>
          </w:p>
          <w:p>
            <w:pPr>
              <w:spacing w:line="360" w:lineRule="auto"/>
              <w:rPr>
                <w:color w:val="auto"/>
                <w:sz w:val="24"/>
                <w:szCs w:val="24"/>
              </w:rPr>
            </w:pPr>
            <w:r>
              <w:rPr>
                <w:color w:val="auto"/>
                <w:sz w:val="24"/>
                <w:szCs w:val="24"/>
              </w:rPr>
              <w:t>（3）根据数据画出拟合曲线；支持表格数据导出；</w:t>
            </w:r>
          </w:p>
          <w:p>
            <w:pPr>
              <w:pStyle w:val="318"/>
              <w:jc w:val="left"/>
              <w:rPr>
                <w:rFonts w:ascii="Times New Roman" w:hAnsi="Times New Roman" w:cs="Times New Roman"/>
                <w:color w:val="auto"/>
              </w:rPr>
            </w:pPr>
            <w:r>
              <w:rPr>
                <w:rFonts w:ascii="Times New Roman" w:hAnsi="Times New Roman" w:cs="Times New Roman"/>
                <w:color w:val="auto"/>
                <w:szCs w:val="24"/>
              </w:rPr>
              <w:t>（4）软件含有指导实验教学和软件使用的说明书等辅助资料；</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包含实验仪、加热测温台、热电材料单元</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2"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33</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混沌摆综合实验仪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1、角度传感器误差：≤ 0.3%FS；频闪法中两刻线夹角：≤2°；</w:t>
            </w:r>
          </w:p>
          <w:p>
            <w:pPr>
              <w:spacing w:line="360" w:lineRule="auto"/>
              <w:rPr>
                <w:color w:val="auto"/>
                <w:sz w:val="24"/>
                <w:szCs w:val="24"/>
              </w:rPr>
            </w:pPr>
            <w:r>
              <w:rPr>
                <w:color w:val="auto"/>
                <w:sz w:val="24"/>
                <w:szCs w:val="24"/>
              </w:rPr>
              <w:t>2、系统由实验装置（包含波尔摆轮、电机组件、闪光灯、角度传感器、阻尼线圈、偏心配重等）、专用LabVIEW实验软件、双路电压源、可调电流源、数据采集器等组成；</w:t>
            </w:r>
          </w:p>
          <w:p>
            <w:pPr>
              <w:spacing w:line="360" w:lineRule="auto"/>
              <w:rPr>
                <w:color w:val="auto"/>
                <w:sz w:val="24"/>
                <w:szCs w:val="24"/>
              </w:rPr>
            </w:pPr>
            <w:r>
              <w:rPr>
                <w:color w:val="auto"/>
                <w:sz w:val="24"/>
                <w:szCs w:val="24"/>
              </w:rPr>
              <w:t>（1）波尔振动装置：摆轮刻线精度≤1°；偏心配重，位置沿半径方向连续可调，调节范围0～23 mm；电机电压源：12V DC；电机转速可调范围：0.1875～0.9375 n/s；摆轮自由振动时长：初始振幅120°时，振动时长≥ 120 s；摆轮质量均匀性：在无弹簧情况下，可在任意角度停稳；</w:t>
            </w:r>
          </w:p>
          <w:p>
            <w:pPr>
              <w:spacing w:line="360" w:lineRule="auto"/>
              <w:rPr>
                <w:color w:val="auto"/>
                <w:sz w:val="24"/>
                <w:szCs w:val="24"/>
              </w:rPr>
            </w:pPr>
            <w:r>
              <w:rPr>
                <w:color w:val="auto"/>
                <w:sz w:val="24"/>
                <w:szCs w:val="24"/>
              </w:rPr>
              <w:t>（2）数据采集器：</w:t>
            </w:r>
            <w:r>
              <w:rPr>
                <w:rFonts w:hint="eastAsia"/>
                <w:color w:val="auto"/>
                <w:lang w:val="en-US" w:eastAsia="zh-CN"/>
              </w:rPr>
              <w:t>至少</w:t>
            </w:r>
            <w:r>
              <w:rPr>
                <w:color w:val="auto"/>
                <w:sz w:val="24"/>
                <w:szCs w:val="24"/>
              </w:rPr>
              <w:t>4通道模拟输入；</w:t>
            </w:r>
            <w:r>
              <w:rPr>
                <w:rFonts w:hint="eastAsia"/>
                <w:color w:val="auto"/>
                <w:lang w:val="en-US" w:eastAsia="zh-CN"/>
              </w:rPr>
              <w:t>至少</w:t>
            </w:r>
            <w:r>
              <w:rPr>
                <w:color w:val="auto"/>
                <w:sz w:val="24"/>
                <w:szCs w:val="24"/>
              </w:rPr>
              <w:t>2通道数字输入；</w:t>
            </w:r>
            <w:r>
              <w:rPr>
                <w:rFonts w:hint="eastAsia"/>
                <w:color w:val="auto"/>
                <w:lang w:val="en-US" w:eastAsia="zh-CN"/>
              </w:rPr>
              <w:t>至少</w:t>
            </w:r>
            <w:r>
              <w:rPr>
                <w:color w:val="auto"/>
                <w:sz w:val="24"/>
                <w:szCs w:val="24"/>
              </w:rPr>
              <w:t>2通道数字输出；</w:t>
            </w:r>
            <w:r>
              <w:rPr>
                <w:rFonts w:hint="eastAsia"/>
                <w:color w:val="auto"/>
                <w:lang w:val="en-US" w:eastAsia="zh-CN"/>
              </w:rPr>
              <w:t>至少</w:t>
            </w:r>
            <w:r>
              <w:rPr>
                <w:color w:val="auto"/>
                <w:sz w:val="24"/>
                <w:szCs w:val="24"/>
              </w:rPr>
              <w:t>2通道PWM输出；采样率100Hz～50kHz；</w:t>
            </w:r>
          </w:p>
          <w:p>
            <w:pPr>
              <w:spacing w:line="360" w:lineRule="auto"/>
              <w:rPr>
                <w:color w:val="auto"/>
                <w:sz w:val="24"/>
                <w:szCs w:val="24"/>
              </w:rPr>
            </w:pPr>
            <w:r>
              <w:rPr>
                <w:color w:val="auto"/>
                <w:sz w:val="24"/>
                <w:szCs w:val="24"/>
              </w:rPr>
              <w:t>（3）实验电源（阻尼电源）：0～30V/1000mA、0～4V/100mA双档位可调；可切换电流源/电压源；</w:t>
            </w:r>
          </w:p>
          <w:p>
            <w:pPr>
              <w:spacing w:line="360" w:lineRule="auto"/>
              <w:rPr>
                <w:color w:val="auto"/>
                <w:sz w:val="24"/>
                <w:szCs w:val="24"/>
              </w:rPr>
            </w:pPr>
            <w:r>
              <w:rPr>
                <w:color w:val="auto"/>
                <w:sz w:val="24"/>
                <w:szCs w:val="24"/>
              </w:rPr>
              <w:t>（4）软件功能：</w:t>
            </w:r>
          </w:p>
          <w:p>
            <w:pPr>
              <w:spacing w:line="360" w:lineRule="auto"/>
              <w:ind w:firstLine="240" w:firstLineChars="100"/>
              <w:rPr>
                <w:color w:val="auto"/>
                <w:sz w:val="24"/>
                <w:szCs w:val="24"/>
              </w:rPr>
            </w:pPr>
            <w:r>
              <w:rPr>
                <w:color w:val="auto"/>
                <w:sz w:val="24"/>
                <w:szCs w:val="24"/>
              </w:rPr>
              <w:t>1）基于LabVIEW开发；通过波形图实时显示采集到的传感器原始电压信号，采样率100～5000 Hz 可调；可以调节PWM信号频率控制电机转速和闪光灯开关，频率可调节范围600～3000 Hz；</w:t>
            </w:r>
          </w:p>
          <w:p>
            <w:pPr>
              <w:spacing w:line="360" w:lineRule="auto"/>
              <w:ind w:firstLine="240" w:firstLineChars="100"/>
              <w:rPr>
                <w:color w:val="auto"/>
                <w:sz w:val="24"/>
                <w:szCs w:val="24"/>
              </w:rPr>
            </w:pPr>
            <w:r>
              <w:rPr>
                <w:color w:val="auto"/>
                <w:sz w:val="24"/>
                <w:szCs w:val="24"/>
              </w:rPr>
              <w:t>2）能够对原始信号作同步滤波，并转换为角度显示振动时序图；对角度信号作实时频谱分析；对振动过程实时绘制相位图；支持原始数据、滤波数据、频谱图以及相位图数据导出；支持软件查询实验指导说明；</w:t>
            </w:r>
          </w:p>
          <w:p>
            <w:pPr>
              <w:spacing w:line="360" w:lineRule="auto"/>
              <w:ind w:firstLine="240" w:firstLineChars="100"/>
              <w:rPr>
                <w:color w:val="auto"/>
                <w:sz w:val="24"/>
                <w:szCs w:val="24"/>
              </w:rPr>
            </w:pPr>
            <w:r>
              <w:rPr>
                <w:color w:val="auto"/>
                <w:sz w:val="24"/>
                <w:szCs w:val="24"/>
              </w:rPr>
              <w:t>3）配套波尔实验装置的动态可视化仿真模块，提供恰当的默认参数:（提供软件截图并加盖鲜章）</w:t>
            </w:r>
          </w:p>
          <w:p>
            <w:pPr>
              <w:spacing w:line="360" w:lineRule="auto"/>
              <w:ind w:firstLine="240" w:firstLineChars="100"/>
              <w:rPr>
                <w:color w:val="auto"/>
                <w:sz w:val="24"/>
                <w:szCs w:val="24"/>
              </w:rPr>
            </w:pPr>
            <w:r>
              <w:rPr>
                <w:color w:val="auto"/>
                <w:sz w:val="24"/>
                <w:szCs w:val="24"/>
              </w:rPr>
              <w:fldChar w:fldCharType="begin"/>
            </w:r>
            <w:r>
              <w:rPr>
                <w:color w:val="auto"/>
                <w:sz w:val="24"/>
                <w:szCs w:val="24"/>
              </w:rPr>
              <w:instrText xml:space="preserve"> = 1 \* GB3 \* MERGEFORMAT </w:instrText>
            </w:r>
            <w:r>
              <w:rPr>
                <w:color w:val="auto"/>
                <w:sz w:val="24"/>
                <w:szCs w:val="24"/>
              </w:rPr>
              <w:fldChar w:fldCharType="separate"/>
            </w:r>
            <w:r>
              <w:rPr>
                <w:color w:val="auto"/>
              </w:rPr>
              <w:t>①</w:t>
            </w:r>
            <w:r>
              <w:rPr>
                <w:color w:val="auto"/>
                <w:sz w:val="24"/>
                <w:szCs w:val="24"/>
              </w:rPr>
              <w:fldChar w:fldCharType="end"/>
            </w:r>
            <w:r>
              <w:rPr>
                <w:color w:val="auto"/>
                <w:sz w:val="24"/>
                <w:szCs w:val="24"/>
              </w:rPr>
              <w:t>仿真模块可设置参数包括电机转速0～999 n/s、振幅0～∞、空气阻尼系数、电磁阻尼系数、演化时间步长1 ms～1 s、转动盘质量0～999 g、弹簧劲度系数、偏心配重质量及其位置等参数；</w:t>
            </w:r>
          </w:p>
          <w:p>
            <w:pPr>
              <w:spacing w:line="360" w:lineRule="auto"/>
              <w:ind w:firstLine="240" w:firstLineChars="100"/>
              <w:rPr>
                <w:color w:val="auto"/>
                <w:sz w:val="24"/>
                <w:szCs w:val="24"/>
              </w:rPr>
            </w:pPr>
            <w:r>
              <w:rPr>
                <w:color w:val="auto"/>
                <w:sz w:val="24"/>
                <w:szCs w:val="24"/>
              </w:rPr>
              <w:fldChar w:fldCharType="begin"/>
            </w:r>
            <w:r>
              <w:rPr>
                <w:color w:val="auto"/>
                <w:sz w:val="24"/>
                <w:szCs w:val="24"/>
              </w:rPr>
              <w:instrText xml:space="preserve"> = 2 \* GB3 \* MERGEFORMAT </w:instrText>
            </w:r>
            <w:r>
              <w:rPr>
                <w:color w:val="auto"/>
                <w:sz w:val="24"/>
                <w:szCs w:val="24"/>
              </w:rPr>
              <w:fldChar w:fldCharType="separate"/>
            </w:r>
            <w:r>
              <w:rPr>
                <w:color w:val="auto"/>
              </w:rPr>
              <w:t>②</w:t>
            </w:r>
            <w:r>
              <w:rPr>
                <w:color w:val="auto"/>
                <w:sz w:val="24"/>
                <w:szCs w:val="24"/>
              </w:rPr>
              <w:fldChar w:fldCharType="end"/>
            </w:r>
            <w:r>
              <w:rPr>
                <w:color w:val="auto"/>
                <w:sz w:val="24"/>
                <w:szCs w:val="24"/>
              </w:rPr>
              <w:t>仿真过程中，可动态改变电磁阻尼、转动盘质量、驱动电机转速等参数，完成变参数实验；</w:t>
            </w:r>
          </w:p>
          <w:p>
            <w:pPr>
              <w:spacing w:line="360" w:lineRule="auto"/>
              <w:ind w:firstLine="240" w:firstLineChars="100"/>
              <w:rPr>
                <w:color w:val="auto"/>
                <w:sz w:val="24"/>
                <w:szCs w:val="24"/>
              </w:rPr>
            </w:pPr>
            <w:r>
              <w:rPr>
                <w:color w:val="auto"/>
                <w:sz w:val="24"/>
                <w:szCs w:val="24"/>
              </w:rPr>
              <w:fldChar w:fldCharType="begin"/>
            </w:r>
            <w:r>
              <w:rPr>
                <w:color w:val="auto"/>
                <w:sz w:val="24"/>
                <w:szCs w:val="24"/>
              </w:rPr>
              <w:instrText xml:space="preserve"> = 3 \* GB3 \* MERGEFORMAT </w:instrText>
            </w:r>
            <w:r>
              <w:rPr>
                <w:color w:val="auto"/>
                <w:sz w:val="24"/>
                <w:szCs w:val="24"/>
              </w:rPr>
              <w:fldChar w:fldCharType="separate"/>
            </w:r>
            <w:r>
              <w:rPr>
                <w:color w:val="auto"/>
              </w:rPr>
              <w:t>③</w:t>
            </w:r>
            <w:r>
              <w:rPr>
                <w:color w:val="auto"/>
                <w:sz w:val="24"/>
                <w:szCs w:val="24"/>
              </w:rPr>
              <w:fldChar w:fldCharType="end"/>
            </w:r>
            <w:r>
              <w:rPr>
                <w:color w:val="auto"/>
                <w:sz w:val="24"/>
                <w:szCs w:val="24"/>
              </w:rPr>
              <w:t>仿真模块可实时动态显示θ-t关系曲线（振动时序图）、ω-θ关系曲线（振动相图），停止模拟后，可对图像作放大、移动、读取数据等操作；</w:t>
            </w:r>
          </w:p>
          <w:p>
            <w:pPr>
              <w:spacing w:line="360" w:lineRule="auto"/>
              <w:ind w:firstLine="240" w:firstLineChars="100"/>
              <w:rPr>
                <w:color w:val="auto"/>
                <w:sz w:val="24"/>
                <w:szCs w:val="24"/>
              </w:rPr>
            </w:pPr>
            <w:r>
              <w:rPr>
                <w:color w:val="auto"/>
                <w:sz w:val="24"/>
                <w:szCs w:val="24"/>
              </w:rPr>
              <w:fldChar w:fldCharType="begin"/>
            </w:r>
            <w:r>
              <w:rPr>
                <w:color w:val="auto"/>
                <w:sz w:val="24"/>
                <w:szCs w:val="24"/>
              </w:rPr>
              <w:instrText xml:space="preserve"> = 4 \* GB3 \* MERGEFORMAT </w:instrText>
            </w:r>
            <w:r>
              <w:rPr>
                <w:color w:val="auto"/>
                <w:sz w:val="24"/>
                <w:szCs w:val="24"/>
              </w:rPr>
              <w:fldChar w:fldCharType="separate"/>
            </w:r>
            <w:r>
              <w:rPr>
                <w:color w:val="auto"/>
                <w:sz w:val="24"/>
                <w:szCs w:val="24"/>
              </w:rPr>
              <w:t>④</w:t>
            </w:r>
            <w:r>
              <w:rPr>
                <w:color w:val="auto"/>
                <w:sz w:val="24"/>
                <w:szCs w:val="24"/>
              </w:rPr>
              <w:fldChar w:fldCharType="end"/>
            </w:r>
            <w:r>
              <w:rPr>
                <w:color w:val="auto"/>
                <w:sz w:val="24"/>
                <w:szCs w:val="24"/>
              </w:rPr>
              <w:t>仿真模块可导出实验数据和θ-t关系曲线图、ω-θ关系曲线图，供二次编辑和数据处理；</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包含波尔摆轮、电机组件、闪光灯、角度传感器、阻尼线圈、偏心配重</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3"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34</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变温霍尔效应实验仪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1、模块化设计，系统主要由霍尔效应螺线管磁场测试仪、C型电磁铁、双刀双掷开关盒、变温霍尔待测模块、温控电源等组成；</w:t>
            </w:r>
          </w:p>
          <w:p>
            <w:pPr>
              <w:spacing w:line="360" w:lineRule="auto"/>
              <w:rPr>
                <w:color w:val="auto"/>
                <w:sz w:val="24"/>
                <w:szCs w:val="24"/>
              </w:rPr>
            </w:pPr>
            <w:r>
              <w:rPr>
                <w:color w:val="auto"/>
                <w:sz w:val="24"/>
                <w:szCs w:val="24"/>
              </w:rPr>
              <w:t>2、无需使用水或液氮进行升降温，温度调节范围：-20℃～+140℃，温度稳定时间小于1分钟；测温精度：优于±0.5℃；</w:t>
            </w:r>
          </w:p>
          <w:p>
            <w:pPr>
              <w:spacing w:line="360" w:lineRule="auto"/>
              <w:rPr>
                <w:color w:val="auto"/>
                <w:sz w:val="24"/>
                <w:szCs w:val="24"/>
              </w:rPr>
            </w:pPr>
            <w:r>
              <w:rPr>
                <w:color w:val="auto"/>
                <w:sz w:val="24"/>
                <w:szCs w:val="24"/>
              </w:rPr>
              <w:t>3、采用两种实验方法（直测法和范德堡法）对样品的霍尔系数和电导率进行测量；禁带宽度测量相对误差：优于±5%；</w:t>
            </w:r>
          </w:p>
          <w:p>
            <w:pPr>
              <w:spacing w:line="360" w:lineRule="auto"/>
              <w:rPr>
                <w:color w:val="auto"/>
                <w:sz w:val="24"/>
                <w:szCs w:val="24"/>
              </w:rPr>
            </w:pPr>
            <w:r>
              <w:rPr>
                <w:color w:val="auto"/>
                <w:sz w:val="24"/>
                <w:szCs w:val="24"/>
              </w:rPr>
              <w:t>4、C型电磁铁：磁隙小于等于9mm，中心点最大磁感应强度＞220mT（@800mA励磁电流），长时间允许通电电流：0-800mA；</w:t>
            </w:r>
          </w:p>
          <w:p>
            <w:pPr>
              <w:spacing w:line="360" w:lineRule="auto"/>
              <w:rPr>
                <w:color w:val="auto"/>
                <w:sz w:val="24"/>
                <w:szCs w:val="24"/>
              </w:rPr>
            </w:pPr>
            <w:r>
              <w:rPr>
                <w:color w:val="auto"/>
                <w:sz w:val="24"/>
                <w:szCs w:val="24"/>
              </w:rPr>
              <w:t>5、双刀双掷开关盒：开关数2组，具有正向、断开、反向三种开关状态；</w:t>
            </w:r>
          </w:p>
          <w:p>
            <w:pPr>
              <w:spacing w:line="360" w:lineRule="auto"/>
              <w:rPr>
                <w:color w:val="auto"/>
                <w:sz w:val="24"/>
                <w:szCs w:val="24"/>
              </w:rPr>
            </w:pPr>
            <w:r>
              <w:rPr>
                <w:color w:val="auto"/>
                <w:sz w:val="24"/>
                <w:szCs w:val="24"/>
              </w:rPr>
              <w:t>6、变温霍尔待测模块：</w:t>
            </w:r>
          </w:p>
          <w:p>
            <w:pPr>
              <w:spacing w:line="360" w:lineRule="auto"/>
              <w:rPr>
                <w:color w:val="auto"/>
                <w:sz w:val="24"/>
                <w:szCs w:val="24"/>
              </w:rPr>
            </w:pPr>
            <w:r>
              <w:rPr>
                <w:color w:val="auto"/>
                <w:sz w:val="24"/>
                <w:szCs w:val="24"/>
              </w:rPr>
              <w:t>（1）变温器件：半导体热电片，可通过变换电极性及输入功率大小以实现-20℃~+140℃的温度控制；</w:t>
            </w:r>
          </w:p>
          <w:p>
            <w:pPr>
              <w:spacing w:line="360" w:lineRule="auto"/>
              <w:rPr>
                <w:color w:val="auto"/>
                <w:sz w:val="24"/>
                <w:szCs w:val="24"/>
              </w:rPr>
            </w:pPr>
            <w:r>
              <w:rPr>
                <w:color w:val="auto"/>
                <w:sz w:val="24"/>
                <w:szCs w:val="24"/>
              </w:rPr>
              <w:t>（2）温度传感器：A级PT1000，测温精度±0.1℃；</w:t>
            </w:r>
          </w:p>
          <w:p>
            <w:pPr>
              <w:spacing w:line="360" w:lineRule="auto"/>
              <w:rPr>
                <w:color w:val="auto"/>
                <w:sz w:val="24"/>
                <w:szCs w:val="24"/>
              </w:rPr>
            </w:pPr>
            <w:r>
              <w:rPr>
                <w:color w:val="auto"/>
                <w:sz w:val="24"/>
                <w:szCs w:val="24"/>
              </w:rPr>
              <w:t>（3）多种霍尔样品：包含P型、N型典型半导体材料样品；</w:t>
            </w:r>
          </w:p>
          <w:p>
            <w:pPr>
              <w:spacing w:line="360" w:lineRule="auto"/>
              <w:rPr>
                <w:color w:val="auto"/>
                <w:sz w:val="24"/>
                <w:szCs w:val="24"/>
              </w:rPr>
            </w:pPr>
            <w:r>
              <w:rPr>
                <w:color w:val="auto"/>
                <w:sz w:val="24"/>
                <w:szCs w:val="24"/>
              </w:rPr>
              <w:t>（4）散热方式：扁平热管+风冷散热器，防烫设计，风扇工作电源DC12V；</w:t>
            </w:r>
          </w:p>
          <w:p>
            <w:pPr>
              <w:spacing w:line="360" w:lineRule="auto"/>
              <w:rPr>
                <w:color w:val="auto"/>
                <w:sz w:val="24"/>
                <w:szCs w:val="24"/>
              </w:rPr>
            </w:pPr>
            <w:r>
              <w:rPr>
                <w:color w:val="auto"/>
                <w:sz w:val="24"/>
                <w:szCs w:val="24"/>
              </w:rPr>
              <w:t>（5）适用磁隙大小：≥7mm；</w:t>
            </w:r>
          </w:p>
          <w:p>
            <w:pPr>
              <w:spacing w:line="360" w:lineRule="auto"/>
              <w:rPr>
                <w:color w:val="auto"/>
                <w:sz w:val="24"/>
                <w:szCs w:val="24"/>
              </w:rPr>
            </w:pPr>
            <w:r>
              <w:rPr>
                <w:color w:val="auto"/>
                <w:sz w:val="24"/>
                <w:szCs w:val="24"/>
              </w:rPr>
              <w:t>7、温控电源：显示范围：−40℃～+150℃；显示分辨率：≤0.1℃；调节旋钮：数字编码器；超温保护：+145±5℃；</w:t>
            </w:r>
          </w:p>
          <w:p>
            <w:pPr>
              <w:spacing w:line="360" w:lineRule="auto"/>
              <w:rPr>
                <w:color w:val="auto"/>
                <w:sz w:val="24"/>
                <w:szCs w:val="24"/>
              </w:rPr>
            </w:pPr>
            <w:r>
              <w:rPr>
                <w:color w:val="auto"/>
                <w:sz w:val="24"/>
                <w:szCs w:val="24"/>
              </w:rPr>
              <w:t>8、电源适配器：规格：AC220V转DC12V2A；接头：交流端为两芯电源接头，直流端为DC2.1插孔；</w:t>
            </w:r>
          </w:p>
          <w:p>
            <w:pPr>
              <w:spacing w:line="360" w:lineRule="auto"/>
              <w:rPr>
                <w:color w:val="auto"/>
                <w:sz w:val="24"/>
                <w:szCs w:val="24"/>
              </w:rPr>
            </w:pPr>
            <w:r>
              <w:rPr>
                <w:color w:val="auto"/>
                <w:sz w:val="24"/>
                <w:szCs w:val="24"/>
              </w:rPr>
              <w:t>9、霍尔效应螺线管磁场测试仪：</w:t>
            </w:r>
          </w:p>
          <w:p>
            <w:pPr>
              <w:spacing w:line="360" w:lineRule="auto"/>
              <w:rPr>
                <w:color w:val="auto"/>
                <w:sz w:val="24"/>
                <w:szCs w:val="24"/>
              </w:rPr>
            </w:pPr>
            <w:r>
              <w:rPr>
                <w:color w:val="auto"/>
                <w:sz w:val="24"/>
                <w:szCs w:val="24"/>
              </w:rPr>
              <w:t>（1）工作电流IS：范围为0～10mA线性调节，三位半数码管显示；</w:t>
            </w:r>
          </w:p>
          <w:p>
            <w:pPr>
              <w:spacing w:line="360" w:lineRule="auto"/>
              <w:rPr>
                <w:color w:val="auto"/>
                <w:sz w:val="24"/>
                <w:szCs w:val="24"/>
              </w:rPr>
            </w:pPr>
            <w:r>
              <w:rPr>
                <w:color w:val="auto"/>
                <w:sz w:val="24"/>
                <w:szCs w:val="24"/>
              </w:rPr>
              <w:t>（2）励磁电流IM：范围为0～1000mA线性可调，三位半数码管显示；</w:t>
            </w:r>
          </w:p>
          <w:p>
            <w:pPr>
              <w:spacing w:line="360" w:lineRule="auto"/>
              <w:rPr>
                <w:color w:val="auto"/>
                <w:sz w:val="24"/>
                <w:szCs w:val="24"/>
              </w:rPr>
            </w:pPr>
            <w:r>
              <w:rPr>
                <w:color w:val="auto"/>
                <w:sz w:val="24"/>
                <w:szCs w:val="24"/>
              </w:rPr>
              <w:t>（3）霍尔电压：±20mV和±200mV输入；</w:t>
            </w:r>
          </w:p>
          <w:p>
            <w:pPr>
              <w:spacing w:line="360" w:lineRule="auto"/>
              <w:rPr>
                <w:color w:val="auto"/>
                <w:sz w:val="24"/>
                <w:szCs w:val="24"/>
              </w:rPr>
            </w:pPr>
            <w:r>
              <w:rPr>
                <w:color w:val="auto"/>
                <w:sz w:val="24"/>
                <w:szCs w:val="24"/>
              </w:rPr>
              <w:t>（4）工作电压：显示范围为0-±20V；</w:t>
            </w:r>
          </w:p>
          <w:p>
            <w:pPr>
              <w:pStyle w:val="318"/>
              <w:jc w:val="left"/>
              <w:rPr>
                <w:rFonts w:ascii="Times New Roman" w:hAnsi="Times New Roman" w:cs="Times New Roman"/>
                <w:color w:val="auto"/>
              </w:rPr>
            </w:pPr>
            <w:r>
              <w:rPr>
                <w:rFonts w:ascii="Times New Roman" w:hAnsi="Times New Roman" w:cs="Times New Roman"/>
                <w:color w:val="auto"/>
                <w:szCs w:val="24"/>
              </w:rPr>
              <w:t>10、任选一种变温霍尔待测模块置于电磁铁（磁隙≤9mm），从室温到-20℃和室温到+140℃测霍尔电压、工作电压与温度的关系并计算禁带宽度，且温度稳定时间小于1分钟（提供演示视频）；</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系统主要由霍尔效应螺线管磁场测试仪、C型电磁铁、双刀双掷开关盒、变温霍尔待测模块、温控电源等组成</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8" w:hRule="atLeast"/>
          <w:jc w:val="center"/>
        </w:trPr>
        <w:tc>
          <w:tcPr>
            <w:tcW w:w="47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35</w:t>
            </w:r>
          </w:p>
        </w:tc>
        <w:tc>
          <w:tcPr>
            <w:tcW w:w="77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光纤特性及传输实验仪</w:t>
            </w:r>
          </w:p>
        </w:tc>
        <w:tc>
          <w:tcPr>
            <w:tcW w:w="6281" w:type="dxa"/>
            <w:tcBorders>
              <w:top w:val="single" w:color="auto" w:sz="4" w:space="0"/>
              <w:left w:val="single" w:color="auto" w:sz="4" w:space="0"/>
              <w:bottom w:val="single" w:color="auto" w:sz="4" w:space="0"/>
              <w:right w:val="single" w:color="auto" w:sz="4" w:space="0"/>
            </w:tcBorders>
            <w:vAlign w:val="center"/>
          </w:tcPr>
          <w:p>
            <w:pPr>
              <w:pStyle w:val="318"/>
              <w:jc w:val="left"/>
              <w:rPr>
                <w:rFonts w:ascii="Times New Roman" w:hAnsi="Times New Roman" w:cs="Times New Roman"/>
                <w:b/>
                <w:bCs/>
                <w:color w:val="auto"/>
              </w:rPr>
            </w:pPr>
            <w:r>
              <w:rPr>
                <w:rFonts w:ascii="Times New Roman" w:hAnsi="Times New Roman" w:cs="Times New Roman"/>
                <w:b/>
                <w:bCs/>
                <w:color w:val="auto"/>
              </w:rPr>
              <w:t>一、技术参数要求</w:t>
            </w:r>
          </w:p>
          <w:p>
            <w:pPr>
              <w:spacing w:line="360" w:lineRule="auto"/>
              <w:rPr>
                <w:color w:val="auto"/>
                <w:sz w:val="24"/>
                <w:szCs w:val="24"/>
              </w:rPr>
            </w:pPr>
            <w:r>
              <w:rPr>
                <w:color w:val="auto"/>
                <w:sz w:val="24"/>
                <w:szCs w:val="24"/>
              </w:rPr>
              <w:t>1、系统指标：实验系统由光纤发射装置、光纤接收装置、光纤跳线、电源线与测试连接线等组成；光源调制类型：内调制；副载波调制方法：调频法；</w:t>
            </w:r>
          </w:p>
          <w:p>
            <w:pPr>
              <w:spacing w:line="360" w:lineRule="auto"/>
              <w:rPr>
                <w:color w:val="auto"/>
                <w:sz w:val="24"/>
                <w:szCs w:val="24"/>
              </w:rPr>
            </w:pPr>
            <w:r>
              <w:rPr>
                <w:color w:val="auto"/>
                <w:sz w:val="24"/>
                <w:szCs w:val="24"/>
              </w:rPr>
              <w:t>2、发射装置：</w:t>
            </w:r>
          </w:p>
          <w:p>
            <w:pPr>
              <w:spacing w:line="360" w:lineRule="auto"/>
              <w:rPr>
                <w:color w:val="auto"/>
                <w:sz w:val="24"/>
                <w:szCs w:val="24"/>
              </w:rPr>
            </w:pPr>
            <w:r>
              <w:rPr>
                <w:color w:val="auto"/>
                <w:sz w:val="24"/>
                <w:szCs w:val="24"/>
              </w:rPr>
              <w:t>（1）信号源模块：包含电压源、音频、脉冲、方波、正弦波5种信号，且可进行幅度、频率调节；</w:t>
            </w:r>
          </w:p>
          <w:p>
            <w:pPr>
              <w:spacing w:line="360" w:lineRule="auto"/>
              <w:ind w:firstLine="240" w:firstLineChars="100"/>
              <w:rPr>
                <w:color w:val="auto"/>
                <w:sz w:val="24"/>
                <w:szCs w:val="24"/>
              </w:rPr>
            </w:pPr>
            <w:r>
              <w:rPr>
                <w:color w:val="auto"/>
                <w:sz w:val="24"/>
                <w:szCs w:val="24"/>
              </w:rPr>
              <w:t>1）电压源：调节范围0～5.000 V可调，分辨率≤0.001 V，误差±50 mV；</w:t>
            </w:r>
          </w:p>
          <w:p>
            <w:pPr>
              <w:spacing w:line="360" w:lineRule="auto"/>
              <w:ind w:firstLine="240" w:firstLineChars="100"/>
              <w:rPr>
                <w:color w:val="auto"/>
                <w:sz w:val="24"/>
                <w:szCs w:val="24"/>
              </w:rPr>
            </w:pPr>
            <w:r>
              <w:rPr>
                <w:color w:val="auto"/>
                <w:sz w:val="24"/>
                <w:szCs w:val="24"/>
              </w:rPr>
              <w:t>2）音频：频率100Hz～8kHz可调；</w:t>
            </w:r>
          </w:p>
          <w:p>
            <w:pPr>
              <w:spacing w:line="360" w:lineRule="auto"/>
              <w:ind w:firstLine="240" w:firstLineChars="100"/>
              <w:rPr>
                <w:color w:val="auto"/>
                <w:sz w:val="24"/>
                <w:szCs w:val="24"/>
              </w:rPr>
            </w:pPr>
            <w:r>
              <w:rPr>
                <w:color w:val="auto"/>
                <w:sz w:val="24"/>
                <w:szCs w:val="24"/>
              </w:rPr>
              <w:t>3）脉冲：幅度0～5.0 V可调，频率0～10kHz可调；</w:t>
            </w:r>
          </w:p>
          <w:p>
            <w:pPr>
              <w:spacing w:line="360" w:lineRule="auto"/>
              <w:ind w:firstLine="240" w:firstLineChars="100"/>
              <w:rPr>
                <w:color w:val="auto"/>
                <w:sz w:val="24"/>
                <w:szCs w:val="24"/>
              </w:rPr>
            </w:pPr>
            <w:r>
              <w:rPr>
                <w:color w:val="auto"/>
                <w:sz w:val="24"/>
                <w:szCs w:val="24"/>
              </w:rPr>
              <w:t>4）方波：幅度0～3.5 V可调，频率0～10kHz可调；</w:t>
            </w:r>
          </w:p>
          <w:p>
            <w:pPr>
              <w:spacing w:line="360" w:lineRule="auto"/>
              <w:ind w:firstLine="240" w:firstLineChars="100"/>
              <w:rPr>
                <w:color w:val="auto"/>
                <w:sz w:val="24"/>
                <w:szCs w:val="24"/>
              </w:rPr>
            </w:pPr>
            <w:r>
              <w:rPr>
                <w:color w:val="auto"/>
                <w:sz w:val="24"/>
                <w:szCs w:val="24"/>
              </w:rPr>
              <w:t>5）正弦波：幅度0～4.0 VP-P可调，频率0～10kHz可调；</w:t>
            </w:r>
          </w:p>
          <w:p>
            <w:pPr>
              <w:spacing w:line="360" w:lineRule="auto"/>
              <w:rPr>
                <w:color w:val="auto"/>
                <w:sz w:val="24"/>
                <w:szCs w:val="24"/>
              </w:rPr>
            </w:pPr>
            <w:r>
              <w:rPr>
                <w:color w:val="auto"/>
                <w:sz w:val="24"/>
                <w:szCs w:val="24"/>
              </w:rPr>
              <w:t>（2）数字信号发生模块：传输速度≥1200bps；</w:t>
            </w:r>
          </w:p>
          <w:p>
            <w:pPr>
              <w:spacing w:line="360" w:lineRule="auto"/>
              <w:rPr>
                <w:color w:val="auto"/>
                <w:sz w:val="24"/>
                <w:szCs w:val="24"/>
              </w:rPr>
            </w:pPr>
            <w:r>
              <w:rPr>
                <w:color w:val="auto"/>
                <w:sz w:val="24"/>
                <w:szCs w:val="24"/>
              </w:rPr>
              <w:t>（3）V-F变换模块：中心频率75±0.5kHz。副载波调制方法：调频法（抗干扰强、信号失真小）；</w:t>
            </w:r>
          </w:p>
          <w:p>
            <w:pPr>
              <w:spacing w:line="360" w:lineRule="auto"/>
              <w:rPr>
                <w:color w:val="auto"/>
                <w:sz w:val="24"/>
                <w:szCs w:val="24"/>
              </w:rPr>
            </w:pPr>
            <w:r>
              <w:rPr>
                <w:color w:val="auto"/>
                <w:sz w:val="24"/>
                <w:szCs w:val="24"/>
              </w:rPr>
              <w:t>（4）光通信光源：LD半导体激光器，工作电流&lt;25mA；</w:t>
            </w:r>
          </w:p>
          <w:p>
            <w:pPr>
              <w:spacing w:line="360" w:lineRule="auto"/>
              <w:rPr>
                <w:color w:val="auto"/>
                <w:sz w:val="24"/>
                <w:szCs w:val="24"/>
              </w:rPr>
            </w:pPr>
            <w:r>
              <w:rPr>
                <w:color w:val="auto"/>
                <w:sz w:val="24"/>
                <w:szCs w:val="24"/>
              </w:rPr>
              <w:t>3、FC-FC光纤跳线：匹配波长：1310 nm/1550nm，单模光纤，长3±0.1 m；</w:t>
            </w:r>
          </w:p>
          <w:p>
            <w:pPr>
              <w:spacing w:line="360" w:lineRule="auto"/>
              <w:rPr>
                <w:color w:val="auto"/>
                <w:sz w:val="24"/>
                <w:szCs w:val="24"/>
              </w:rPr>
            </w:pPr>
            <w:r>
              <w:rPr>
                <w:color w:val="auto"/>
                <w:sz w:val="24"/>
                <w:szCs w:val="24"/>
              </w:rPr>
              <w:t>4、接收装置：反向偏置电压调节范围：0～5.000 V可调，分辨率≤0.001 V，误差±50 mV；仪器信号调节采用旋转编码器；含有副载波调制及基带调制等多种调制方法；模拟音频信号以及数字信号的传输；</w:t>
            </w:r>
          </w:p>
          <w:p>
            <w:pPr>
              <w:spacing w:line="360" w:lineRule="auto"/>
              <w:rPr>
                <w:color w:val="auto"/>
                <w:sz w:val="24"/>
                <w:szCs w:val="24"/>
              </w:rPr>
            </w:pPr>
            <w:r>
              <w:rPr>
                <w:color w:val="auto"/>
                <w:sz w:val="24"/>
                <w:szCs w:val="24"/>
              </w:rPr>
              <w:t>5、可实现至少如下实验内容</w:t>
            </w:r>
          </w:p>
          <w:p>
            <w:pPr>
              <w:spacing w:line="360" w:lineRule="auto"/>
              <w:rPr>
                <w:color w:val="auto"/>
                <w:sz w:val="24"/>
                <w:szCs w:val="24"/>
              </w:rPr>
            </w:pPr>
            <w:r>
              <w:rPr>
                <w:color w:val="auto"/>
                <w:sz w:val="24"/>
                <w:szCs w:val="24"/>
              </w:rPr>
              <w:t>（1）了解光纤通信的原理及基本特性；</w:t>
            </w:r>
          </w:p>
          <w:p>
            <w:pPr>
              <w:spacing w:line="360" w:lineRule="auto"/>
              <w:rPr>
                <w:color w:val="auto"/>
                <w:sz w:val="24"/>
                <w:szCs w:val="24"/>
              </w:rPr>
            </w:pPr>
            <w:r>
              <w:rPr>
                <w:color w:val="auto"/>
                <w:sz w:val="24"/>
                <w:szCs w:val="24"/>
              </w:rPr>
              <w:t>（2）测量激光二极管的伏安特性，电光转换特性；</w:t>
            </w:r>
          </w:p>
          <w:p>
            <w:pPr>
              <w:spacing w:line="360" w:lineRule="auto"/>
              <w:rPr>
                <w:color w:val="auto"/>
                <w:sz w:val="24"/>
                <w:szCs w:val="24"/>
              </w:rPr>
            </w:pPr>
            <w:r>
              <w:rPr>
                <w:color w:val="auto"/>
                <w:sz w:val="24"/>
                <w:szCs w:val="24"/>
              </w:rPr>
              <w:t>（3）测量光电二极管的伏安特性；</w:t>
            </w:r>
          </w:p>
          <w:p>
            <w:pPr>
              <w:spacing w:line="360" w:lineRule="auto"/>
              <w:rPr>
                <w:color w:val="auto"/>
                <w:sz w:val="24"/>
                <w:szCs w:val="24"/>
              </w:rPr>
            </w:pPr>
            <w:r>
              <w:rPr>
                <w:color w:val="auto"/>
                <w:sz w:val="24"/>
                <w:szCs w:val="24"/>
              </w:rPr>
              <w:t>（4）基带（幅度）调制传输实验；</w:t>
            </w:r>
          </w:p>
          <w:p>
            <w:pPr>
              <w:spacing w:line="360" w:lineRule="auto"/>
              <w:rPr>
                <w:color w:val="auto"/>
                <w:sz w:val="24"/>
                <w:szCs w:val="24"/>
              </w:rPr>
            </w:pPr>
            <w:r>
              <w:rPr>
                <w:color w:val="auto"/>
                <w:sz w:val="24"/>
                <w:szCs w:val="24"/>
              </w:rPr>
              <w:t>（5）频率调制传输实验；</w:t>
            </w:r>
          </w:p>
          <w:p>
            <w:pPr>
              <w:spacing w:line="360" w:lineRule="auto"/>
              <w:rPr>
                <w:color w:val="auto"/>
                <w:sz w:val="24"/>
                <w:szCs w:val="24"/>
              </w:rPr>
            </w:pPr>
            <w:r>
              <w:rPr>
                <w:color w:val="auto"/>
                <w:sz w:val="24"/>
                <w:szCs w:val="24"/>
              </w:rPr>
              <w:t>（6）音频信号传输实验；</w:t>
            </w:r>
          </w:p>
          <w:p>
            <w:pPr>
              <w:pStyle w:val="318"/>
              <w:jc w:val="left"/>
              <w:rPr>
                <w:rFonts w:ascii="Times New Roman" w:hAnsi="Times New Roman" w:cs="Times New Roman"/>
                <w:color w:val="auto"/>
                <w:szCs w:val="24"/>
              </w:rPr>
            </w:pPr>
            <w:r>
              <w:rPr>
                <w:rFonts w:ascii="Times New Roman" w:hAnsi="Times New Roman" w:cs="Times New Roman"/>
                <w:color w:val="auto"/>
                <w:szCs w:val="24"/>
              </w:rPr>
              <w:t>（7）数字信号传输实验；</w:t>
            </w:r>
          </w:p>
          <w:p>
            <w:pPr>
              <w:pStyle w:val="318"/>
              <w:jc w:val="left"/>
              <w:rPr>
                <w:rFonts w:ascii="Times New Roman" w:hAnsi="Times New Roman" w:cs="Times New Roman"/>
                <w:b/>
                <w:bCs/>
                <w:color w:val="auto"/>
              </w:rPr>
            </w:pPr>
            <w:r>
              <w:rPr>
                <w:rFonts w:ascii="Times New Roman" w:hAnsi="Times New Roman" w:cs="Times New Roman"/>
                <w:b/>
                <w:bCs/>
                <w:color w:val="auto"/>
              </w:rPr>
              <w:t>二、配置要求</w:t>
            </w:r>
          </w:p>
          <w:p>
            <w:pPr>
              <w:pStyle w:val="318"/>
              <w:jc w:val="left"/>
              <w:rPr>
                <w:rFonts w:ascii="Times New Roman" w:hAnsi="Times New Roman" w:cs="Times New Roman"/>
                <w:color w:val="auto"/>
              </w:rPr>
            </w:pPr>
            <w:r>
              <w:rPr>
                <w:rFonts w:ascii="Times New Roman" w:hAnsi="Times New Roman" w:cs="Times New Roman"/>
                <w:color w:val="auto"/>
              </w:rPr>
              <w:t>实验系统由光纤发射装置、光纤接收装置、光纤跳线、电源线与测试连接线等组成</w:t>
            </w:r>
          </w:p>
          <w:p>
            <w:pPr>
              <w:pStyle w:val="318"/>
              <w:jc w:val="left"/>
              <w:rPr>
                <w:rFonts w:ascii="Times New Roman" w:hAnsi="Times New Roman" w:cs="Times New Roman"/>
                <w:b/>
                <w:bCs/>
                <w:color w:val="auto"/>
              </w:rPr>
            </w:pPr>
            <w:r>
              <w:rPr>
                <w:rFonts w:ascii="Times New Roman" w:hAnsi="Times New Roman" w:cs="Times New Roman"/>
                <w:b/>
                <w:bCs/>
                <w:color w:val="auto"/>
              </w:rPr>
              <w:t>三、售后服务要求</w:t>
            </w:r>
          </w:p>
          <w:p>
            <w:pPr>
              <w:pStyle w:val="318"/>
              <w:jc w:val="left"/>
              <w:rPr>
                <w:rFonts w:ascii="Times New Roman" w:hAnsi="Times New Roman" w:cs="Times New Roman"/>
                <w:color w:val="auto"/>
              </w:rPr>
            </w:pPr>
            <w:r>
              <w:rPr>
                <w:rFonts w:ascii="Times New Roman" w:hAnsi="Times New Roman" w:cs="Times New Roman"/>
                <w:color w:val="auto"/>
              </w:rPr>
              <w:t>需提供售后服务承诺书</w:t>
            </w:r>
          </w:p>
        </w:tc>
        <w:tc>
          <w:tcPr>
            <w:tcW w:w="78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1</w:t>
            </w:r>
          </w:p>
        </w:tc>
        <w:tc>
          <w:tcPr>
            <w:tcW w:w="504" w:type="dxa"/>
            <w:tcBorders>
              <w:top w:val="single" w:color="auto" w:sz="4" w:space="0"/>
              <w:left w:val="single" w:color="auto" w:sz="4" w:space="0"/>
              <w:bottom w:val="single" w:color="auto" w:sz="4" w:space="0"/>
              <w:right w:val="single" w:color="auto" w:sz="4" w:space="0"/>
            </w:tcBorders>
            <w:vAlign w:val="center"/>
          </w:tcPr>
          <w:p>
            <w:pPr>
              <w:pStyle w:val="318"/>
              <w:rPr>
                <w:color w:val="auto"/>
              </w:rPr>
            </w:pPr>
            <w:r>
              <w:rPr>
                <w:rFonts w:hint="eastAsia"/>
                <w:color w:val="auto"/>
              </w:rPr>
              <w:t>/</w:t>
            </w:r>
          </w:p>
        </w:tc>
      </w:tr>
    </w:tbl>
    <w:p>
      <w:pPr>
        <w:rPr>
          <w:rFonts w:cs="宋体"/>
          <w:color w:val="auto"/>
          <w:sz w:val="24"/>
          <w:szCs w:val="22"/>
        </w:rPr>
      </w:pPr>
    </w:p>
    <w:p>
      <w:pPr>
        <w:pStyle w:val="6"/>
        <w:rPr>
          <w:color w:val="auto"/>
          <w:kern w:val="2"/>
          <w:szCs w:val="22"/>
        </w:rPr>
      </w:pPr>
      <w:r>
        <w:rPr>
          <w:rFonts w:hint="eastAsia"/>
          <w:color w:val="auto"/>
          <w:kern w:val="2"/>
          <w:szCs w:val="22"/>
        </w:rPr>
        <w:t>二、商务要求</w:t>
      </w:r>
    </w:p>
    <w:tbl>
      <w:tblPr>
        <w:tblStyle w:val="47"/>
        <w:tblW w:w="9138" w:type="dxa"/>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108" w:type="dxa"/>
          <w:bottom w:w="0" w:type="dxa"/>
          <w:right w:w="108" w:type="dxa"/>
        </w:tblCellMar>
      </w:tblPr>
      <w:tblGrid>
        <w:gridCol w:w="727"/>
        <w:gridCol w:w="1710"/>
        <w:gridCol w:w="6701"/>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41" w:hRule="exact"/>
          <w:jc w:val="center"/>
        </w:trPr>
        <w:tc>
          <w:tcPr>
            <w:tcW w:w="727" w:type="dxa"/>
            <w:tcBorders>
              <w:tl2br w:val="nil"/>
              <w:tr2bl w:val="nil"/>
            </w:tcBorders>
            <w:shd w:val="clear" w:color="auto" w:fill="auto"/>
            <w:vAlign w:val="center"/>
          </w:tcPr>
          <w:p>
            <w:pPr>
              <w:pStyle w:val="318"/>
              <w:rPr>
                <w:b/>
                <w:bCs/>
                <w:color w:val="auto"/>
              </w:rPr>
            </w:pPr>
            <w:r>
              <w:rPr>
                <w:rFonts w:hint="eastAsia"/>
                <w:b/>
                <w:bCs/>
                <w:color w:val="auto"/>
              </w:rPr>
              <w:t>序号</w:t>
            </w:r>
          </w:p>
        </w:tc>
        <w:tc>
          <w:tcPr>
            <w:tcW w:w="1710" w:type="dxa"/>
            <w:tcBorders>
              <w:tl2br w:val="nil"/>
              <w:tr2bl w:val="nil"/>
            </w:tcBorders>
            <w:shd w:val="clear" w:color="auto" w:fill="auto"/>
            <w:vAlign w:val="center"/>
          </w:tcPr>
          <w:p>
            <w:pPr>
              <w:pStyle w:val="318"/>
              <w:rPr>
                <w:b/>
                <w:bCs/>
                <w:color w:val="auto"/>
              </w:rPr>
            </w:pPr>
            <w:r>
              <w:rPr>
                <w:rFonts w:hint="eastAsia"/>
                <w:b/>
                <w:bCs/>
                <w:color w:val="auto"/>
              </w:rPr>
              <w:t>条款名称</w:t>
            </w:r>
          </w:p>
        </w:tc>
        <w:tc>
          <w:tcPr>
            <w:tcW w:w="6701" w:type="dxa"/>
            <w:tcBorders>
              <w:tl2br w:val="nil"/>
              <w:tr2bl w:val="nil"/>
            </w:tcBorders>
            <w:shd w:val="clear" w:color="auto" w:fill="auto"/>
            <w:vAlign w:val="center"/>
          </w:tcPr>
          <w:p>
            <w:pPr>
              <w:pStyle w:val="318"/>
              <w:rPr>
                <w:b/>
                <w:bCs/>
                <w:color w:val="auto"/>
              </w:rPr>
            </w:pPr>
            <w:r>
              <w:rPr>
                <w:rFonts w:hint="eastAsia"/>
                <w:b/>
                <w:bCs/>
                <w:color w:val="auto"/>
              </w:rPr>
              <w:t>内容</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791"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1</w:t>
            </w:r>
          </w:p>
        </w:tc>
        <w:tc>
          <w:tcPr>
            <w:tcW w:w="1710" w:type="dxa"/>
            <w:tcBorders>
              <w:tl2br w:val="nil"/>
              <w:tr2bl w:val="nil"/>
            </w:tcBorders>
            <w:shd w:val="clear" w:color="auto" w:fill="auto"/>
            <w:vAlign w:val="center"/>
          </w:tcPr>
          <w:p>
            <w:pPr>
              <w:pStyle w:val="318"/>
              <w:rPr>
                <w:color w:val="auto"/>
              </w:rPr>
            </w:pPr>
            <w:r>
              <w:rPr>
                <w:rFonts w:hint="eastAsia"/>
                <w:color w:val="auto"/>
              </w:rPr>
              <w:t>货物用途说明</w:t>
            </w:r>
          </w:p>
        </w:tc>
        <w:tc>
          <w:tcPr>
            <w:tcW w:w="6701" w:type="dxa"/>
            <w:tcBorders>
              <w:tl2br w:val="nil"/>
              <w:tr2bl w:val="nil"/>
            </w:tcBorders>
            <w:shd w:val="clear" w:color="auto" w:fill="auto"/>
            <w:vAlign w:val="center"/>
          </w:tcPr>
          <w:p>
            <w:pPr>
              <w:pStyle w:val="318"/>
              <w:jc w:val="left"/>
              <w:rPr>
                <w:color w:val="auto"/>
              </w:rPr>
            </w:pPr>
            <w:r>
              <w:rPr>
                <w:rFonts w:hint="eastAsia"/>
                <w:color w:val="auto"/>
              </w:rPr>
              <w:t>用于物理实验室：①基础实验设备补充更新；②创新设计与探索研究实验室建设。</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791"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2</w:t>
            </w:r>
          </w:p>
        </w:tc>
        <w:tc>
          <w:tcPr>
            <w:tcW w:w="1710" w:type="dxa"/>
            <w:tcBorders>
              <w:tl2br w:val="nil"/>
              <w:tr2bl w:val="nil"/>
            </w:tcBorders>
            <w:shd w:val="clear" w:color="auto" w:fill="auto"/>
            <w:vAlign w:val="center"/>
          </w:tcPr>
          <w:p>
            <w:pPr>
              <w:pStyle w:val="318"/>
              <w:rPr>
                <w:color w:val="auto"/>
              </w:rPr>
            </w:pPr>
            <w:r>
              <w:rPr>
                <w:rFonts w:hint="eastAsia"/>
                <w:color w:val="auto"/>
              </w:rPr>
              <w:t>交货具体地点</w:t>
            </w:r>
          </w:p>
        </w:tc>
        <w:tc>
          <w:tcPr>
            <w:tcW w:w="6701" w:type="dxa"/>
            <w:tcBorders>
              <w:tl2br w:val="nil"/>
              <w:tr2bl w:val="nil"/>
            </w:tcBorders>
            <w:shd w:val="clear" w:color="auto" w:fill="auto"/>
            <w:vAlign w:val="center"/>
          </w:tcPr>
          <w:p>
            <w:pPr>
              <w:pStyle w:val="318"/>
              <w:jc w:val="left"/>
              <w:rPr>
                <w:color w:val="auto"/>
              </w:rPr>
            </w:pPr>
            <w:r>
              <w:rPr>
                <w:rFonts w:hint="eastAsia"/>
                <w:color w:val="auto"/>
              </w:rPr>
              <w:t xml:space="preserve">西安科技大学骊山校园实验楼 </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791"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3</w:t>
            </w:r>
          </w:p>
        </w:tc>
        <w:tc>
          <w:tcPr>
            <w:tcW w:w="1710" w:type="dxa"/>
            <w:tcBorders>
              <w:tl2br w:val="nil"/>
              <w:tr2bl w:val="nil"/>
            </w:tcBorders>
            <w:shd w:val="clear" w:color="auto" w:fill="auto"/>
            <w:vAlign w:val="center"/>
          </w:tcPr>
          <w:p>
            <w:pPr>
              <w:pStyle w:val="318"/>
              <w:rPr>
                <w:color w:val="auto"/>
              </w:rPr>
            </w:pPr>
            <w:r>
              <w:rPr>
                <w:rFonts w:hint="eastAsia"/>
                <w:color w:val="auto"/>
              </w:rPr>
              <w:t>货物存放地点</w:t>
            </w:r>
          </w:p>
        </w:tc>
        <w:tc>
          <w:tcPr>
            <w:tcW w:w="6701" w:type="dxa"/>
            <w:tcBorders>
              <w:tl2br w:val="nil"/>
              <w:tr2bl w:val="nil"/>
            </w:tcBorders>
            <w:shd w:val="clear" w:color="auto" w:fill="auto"/>
            <w:vAlign w:val="center"/>
          </w:tcPr>
          <w:p>
            <w:pPr>
              <w:pStyle w:val="318"/>
              <w:jc w:val="left"/>
              <w:rPr>
                <w:color w:val="auto"/>
              </w:rPr>
            </w:pPr>
            <w:r>
              <w:rPr>
                <w:rFonts w:hint="eastAsia"/>
                <w:color w:val="auto"/>
              </w:rPr>
              <w:t>骊山校园实验楼3层323室</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48"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4</w:t>
            </w:r>
          </w:p>
        </w:tc>
        <w:tc>
          <w:tcPr>
            <w:tcW w:w="1710" w:type="dxa"/>
            <w:tcBorders>
              <w:tl2br w:val="nil"/>
              <w:tr2bl w:val="nil"/>
            </w:tcBorders>
            <w:shd w:val="clear" w:color="auto" w:fill="auto"/>
            <w:vAlign w:val="center"/>
          </w:tcPr>
          <w:p>
            <w:pPr>
              <w:pStyle w:val="318"/>
              <w:rPr>
                <w:color w:val="auto"/>
              </w:rPr>
            </w:pPr>
            <w:r>
              <w:rPr>
                <w:rFonts w:hint="eastAsia"/>
                <w:color w:val="auto"/>
              </w:rPr>
              <w:t xml:space="preserve">交货期 </w:t>
            </w:r>
          </w:p>
        </w:tc>
        <w:tc>
          <w:tcPr>
            <w:tcW w:w="6701" w:type="dxa"/>
            <w:tcBorders>
              <w:tl2br w:val="nil"/>
              <w:tr2bl w:val="nil"/>
            </w:tcBorders>
            <w:shd w:val="clear" w:color="auto" w:fill="auto"/>
            <w:vAlign w:val="center"/>
          </w:tcPr>
          <w:p>
            <w:pPr>
              <w:pStyle w:val="318"/>
              <w:jc w:val="left"/>
              <w:rPr>
                <w:color w:val="auto"/>
              </w:rPr>
            </w:pPr>
            <w:r>
              <w:rPr>
                <w:rFonts w:hint="eastAsia"/>
                <w:color w:val="auto"/>
              </w:rPr>
              <w:t>合同签订后30天</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48"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5</w:t>
            </w:r>
          </w:p>
        </w:tc>
        <w:tc>
          <w:tcPr>
            <w:tcW w:w="1710" w:type="dxa"/>
            <w:tcBorders>
              <w:tl2br w:val="nil"/>
              <w:tr2bl w:val="nil"/>
            </w:tcBorders>
            <w:shd w:val="clear" w:color="auto" w:fill="auto"/>
            <w:vAlign w:val="center"/>
          </w:tcPr>
          <w:p>
            <w:pPr>
              <w:pStyle w:val="318"/>
              <w:rPr>
                <w:color w:val="auto"/>
              </w:rPr>
            </w:pPr>
            <w:r>
              <w:rPr>
                <w:rFonts w:hint="eastAsia"/>
                <w:color w:val="auto"/>
              </w:rPr>
              <w:t>项目质保期</w:t>
            </w:r>
          </w:p>
        </w:tc>
        <w:tc>
          <w:tcPr>
            <w:tcW w:w="6701" w:type="dxa"/>
            <w:tcBorders>
              <w:tl2br w:val="nil"/>
              <w:tr2bl w:val="nil"/>
            </w:tcBorders>
            <w:shd w:val="clear" w:color="auto" w:fill="auto"/>
            <w:vAlign w:val="center"/>
          </w:tcPr>
          <w:p>
            <w:pPr>
              <w:pStyle w:val="318"/>
              <w:jc w:val="left"/>
              <w:rPr>
                <w:color w:val="auto"/>
              </w:rPr>
            </w:pPr>
            <w:r>
              <w:rPr>
                <w:rFonts w:hint="eastAsia"/>
                <w:color w:val="auto"/>
              </w:rPr>
              <w:t>2年</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448"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6</w:t>
            </w:r>
          </w:p>
        </w:tc>
        <w:tc>
          <w:tcPr>
            <w:tcW w:w="1710" w:type="dxa"/>
            <w:tcBorders>
              <w:tl2br w:val="nil"/>
              <w:tr2bl w:val="nil"/>
            </w:tcBorders>
            <w:shd w:val="clear" w:color="auto" w:fill="auto"/>
            <w:vAlign w:val="center"/>
          </w:tcPr>
          <w:p>
            <w:pPr>
              <w:pStyle w:val="318"/>
              <w:rPr>
                <w:color w:val="auto"/>
              </w:rPr>
            </w:pPr>
            <w:r>
              <w:rPr>
                <w:rFonts w:hint="eastAsia"/>
                <w:color w:val="auto"/>
              </w:rPr>
              <w:t>售后服务响应时间（质保期内）</w:t>
            </w:r>
          </w:p>
        </w:tc>
        <w:tc>
          <w:tcPr>
            <w:tcW w:w="6701" w:type="dxa"/>
            <w:tcBorders>
              <w:tl2br w:val="nil"/>
              <w:tr2bl w:val="nil"/>
            </w:tcBorders>
            <w:shd w:val="clear" w:color="auto" w:fill="auto"/>
            <w:vAlign w:val="center"/>
          </w:tcPr>
          <w:p>
            <w:pPr>
              <w:pStyle w:val="318"/>
              <w:jc w:val="left"/>
              <w:rPr>
                <w:color w:val="auto"/>
              </w:rPr>
            </w:pPr>
            <w:r>
              <w:rPr>
                <w:rFonts w:hint="eastAsia"/>
                <w:color w:val="auto"/>
              </w:rPr>
              <w:t>即时响应（包括电话响应）；电话响应无法解决 24 小时内到达现场。修复时间 48 小时内解决；如在 72 小时内无法修复，则提供部件冗余服务或采取应急措施，提供相同产品或不低于故障产品规格档次的备用产品供采购人使用，以确保货物的正常使用。</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1605"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7</w:t>
            </w:r>
          </w:p>
        </w:tc>
        <w:tc>
          <w:tcPr>
            <w:tcW w:w="1710" w:type="dxa"/>
            <w:tcBorders>
              <w:tl2br w:val="nil"/>
              <w:tr2bl w:val="nil"/>
            </w:tcBorders>
            <w:shd w:val="clear" w:color="auto" w:fill="auto"/>
            <w:vAlign w:val="center"/>
          </w:tcPr>
          <w:p>
            <w:pPr>
              <w:pStyle w:val="318"/>
              <w:rPr>
                <w:color w:val="auto"/>
              </w:rPr>
            </w:pPr>
            <w:r>
              <w:rPr>
                <w:rFonts w:hint="eastAsia"/>
                <w:color w:val="auto"/>
              </w:rPr>
              <w:t>付款方式</w:t>
            </w:r>
          </w:p>
        </w:tc>
        <w:tc>
          <w:tcPr>
            <w:tcW w:w="6701" w:type="dxa"/>
            <w:tcBorders>
              <w:tl2br w:val="nil"/>
              <w:tr2bl w:val="nil"/>
            </w:tcBorders>
            <w:shd w:val="clear" w:color="auto" w:fill="auto"/>
            <w:vAlign w:val="bottom"/>
          </w:tcPr>
          <w:p>
            <w:pPr>
              <w:pStyle w:val="318"/>
              <w:jc w:val="left"/>
              <w:rPr>
                <w:color w:val="auto"/>
              </w:rPr>
            </w:pPr>
            <w:r>
              <w:rPr>
                <w:rFonts w:hint="eastAsia"/>
                <w:color w:val="auto"/>
              </w:rPr>
              <w:t>1.结算单位：采购人结算，在付款前必须开具全额增值税发票给采购人。</w:t>
            </w:r>
          </w:p>
          <w:p>
            <w:pPr>
              <w:pStyle w:val="318"/>
              <w:jc w:val="left"/>
              <w:rPr>
                <w:color w:val="auto"/>
              </w:rPr>
            </w:pPr>
            <w:r>
              <w:rPr>
                <w:rFonts w:hint="eastAsia"/>
                <w:color w:val="auto"/>
              </w:rPr>
              <w:t>2.签订合同前向学校缴纳5%的履约保证金，合同签订后采购人支付40%合同金额的预付款。国内产品安装调试经学校验收合格后一次性支付60%合同金额的余款，同时缴纳的5%履约保证金无质量问题一次性无息退还。</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108" w:type="dxa"/>
            <w:bottom w:w="0" w:type="dxa"/>
            <w:right w:w="108" w:type="dxa"/>
          </w:tblCellMar>
        </w:tblPrEx>
        <w:trPr>
          <w:trHeight w:val="783" w:hRule="atLeast"/>
          <w:jc w:val="center"/>
        </w:trPr>
        <w:tc>
          <w:tcPr>
            <w:tcW w:w="727" w:type="dxa"/>
            <w:tcBorders>
              <w:tl2br w:val="nil"/>
              <w:tr2bl w:val="nil"/>
            </w:tcBorders>
            <w:shd w:val="clear" w:color="auto" w:fill="auto"/>
            <w:vAlign w:val="center"/>
          </w:tcPr>
          <w:p>
            <w:pPr>
              <w:pStyle w:val="318"/>
              <w:rPr>
                <w:color w:val="auto"/>
              </w:rPr>
            </w:pPr>
            <w:r>
              <w:rPr>
                <w:rFonts w:hint="eastAsia"/>
                <w:color w:val="auto"/>
              </w:rPr>
              <w:t>8</w:t>
            </w:r>
          </w:p>
        </w:tc>
        <w:tc>
          <w:tcPr>
            <w:tcW w:w="1710" w:type="dxa"/>
            <w:tcBorders>
              <w:tl2br w:val="nil"/>
              <w:tr2bl w:val="nil"/>
            </w:tcBorders>
            <w:shd w:val="clear" w:color="auto" w:fill="auto"/>
            <w:vAlign w:val="center"/>
          </w:tcPr>
          <w:p>
            <w:pPr>
              <w:pStyle w:val="318"/>
              <w:rPr>
                <w:color w:val="auto"/>
              </w:rPr>
            </w:pPr>
            <w:r>
              <w:rPr>
                <w:rFonts w:hint="eastAsia"/>
                <w:color w:val="auto"/>
              </w:rPr>
              <w:t>履约保证金</w:t>
            </w:r>
          </w:p>
        </w:tc>
        <w:tc>
          <w:tcPr>
            <w:tcW w:w="6701" w:type="dxa"/>
            <w:tcBorders>
              <w:tl2br w:val="nil"/>
              <w:tr2bl w:val="nil"/>
            </w:tcBorders>
            <w:shd w:val="clear" w:color="auto" w:fill="auto"/>
            <w:vAlign w:val="center"/>
          </w:tcPr>
          <w:p>
            <w:pPr>
              <w:pStyle w:val="318"/>
              <w:jc w:val="left"/>
              <w:rPr>
                <w:color w:val="auto"/>
              </w:rPr>
            </w:pPr>
            <w:r>
              <w:rPr>
                <w:rFonts w:hint="eastAsia"/>
                <w:color w:val="auto"/>
              </w:rPr>
              <w:t>合同金额的5%，具体见付款方式。</w:t>
            </w:r>
          </w:p>
        </w:tc>
      </w:tr>
    </w:tbl>
    <w:p>
      <w:pPr>
        <w:pStyle w:val="6"/>
        <w:numPr>
          <w:ilvl w:val="0"/>
          <w:numId w:val="13"/>
        </w:numPr>
        <w:rPr>
          <w:color w:val="auto"/>
          <w:kern w:val="2"/>
          <w:szCs w:val="22"/>
        </w:rPr>
      </w:pPr>
      <w:r>
        <w:rPr>
          <w:rFonts w:hint="eastAsia"/>
          <w:color w:val="auto"/>
          <w:kern w:val="2"/>
          <w:szCs w:val="22"/>
        </w:rPr>
        <w:br w:type="page"/>
      </w:r>
    </w:p>
    <w:p>
      <w:pPr>
        <w:pStyle w:val="3"/>
        <w:rPr>
          <w:color w:val="auto"/>
        </w:rPr>
      </w:pPr>
      <w:bookmarkStart w:id="83" w:name="_Toc32241"/>
      <w:r>
        <w:rPr>
          <w:rFonts w:hint="eastAsia"/>
          <w:color w:val="auto"/>
        </w:rPr>
        <w:t xml:space="preserve">第四章 </w:t>
      </w:r>
      <w:bookmarkEnd w:id="83"/>
      <w:r>
        <w:rPr>
          <w:rFonts w:hint="eastAsia"/>
          <w:color w:val="auto"/>
        </w:rPr>
        <w:t>商务及合同主要条款</w:t>
      </w:r>
    </w:p>
    <w:p>
      <w:pPr>
        <w:pStyle w:val="26"/>
        <w:spacing w:line="360" w:lineRule="auto"/>
        <w:jc w:val="center"/>
        <w:rPr>
          <w:rFonts w:hAnsi="宋体"/>
          <w:b/>
          <w:bCs/>
          <w:color w:val="auto"/>
          <w:sz w:val="28"/>
          <w:szCs w:val="28"/>
        </w:rPr>
      </w:pPr>
      <w:r>
        <w:rPr>
          <w:rFonts w:hint="eastAsia" w:hAnsi="宋体"/>
          <w:b/>
          <w:bCs/>
          <w:color w:val="auto"/>
          <w:sz w:val="28"/>
          <w:szCs w:val="28"/>
        </w:rPr>
        <w:t>西安科技大学货物采购合同</w:t>
      </w:r>
    </w:p>
    <w:p>
      <w:pPr>
        <w:pStyle w:val="26"/>
        <w:spacing w:line="360" w:lineRule="auto"/>
        <w:rPr>
          <w:rFonts w:hAnsi="宋体"/>
          <w:b/>
          <w:bCs/>
          <w:color w:val="auto"/>
          <w:szCs w:val="24"/>
        </w:rPr>
      </w:pPr>
      <w:r>
        <w:rPr>
          <w:rFonts w:hint="eastAsia" w:hAnsi="宋体"/>
          <w:b/>
          <w:bCs/>
          <w:color w:val="auto"/>
          <w:szCs w:val="24"/>
        </w:rPr>
        <w:t xml:space="preserve">需方（以下简称“甲方”）：西安科技大学   </w:t>
      </w:r>
    </w:p>
    <w:p>
      <w:pPr>
        <w:pStyle w:val="26"/>
        <w:spacing w:line="360" w:lineRule="auto"/>
        <w:rPr>
          <w:rFonts w:hAnsi="宋体"/>
          <w:b/>
          <w:bCs/>
          <w:color w:val="auto"/>
          <w:szCs w:val="24"/>
        </w:rPr>
      </w:pPr>
      <w:r>
        <w:rPr>
          <w:rFonts w:hint="eastAsia" w:hAnsi="宋体"/>
          <w:b/>
          <w:bCs/>
          <w:color w:val="auto"/>
          <w:szCs w:val="24"/>
        </w:rPr>
        <w:t>合同编号：XKZH(20**)***(由招标办统一编号)</w:t>
      </w:r>
    </w:p>
    <w:p>
      <w:pPr>
        <w:pStyle w:val="26"/>
        <w:spacing w:line="360" w:lineRule="auto"/>
        <w:rPr>
          <w:rFonts w:hAnsi="宋体"/>
          <w:b/>
          <w:bCs/>
          <w:color w:val="auto"/>
          <w:szCs w:val="24"/>
        </w:rPr>
      </w:pPr>
      <w:r>
        <w:rPr>
          <w:rFonts w:hint="eastAsia" w:hAnsi="宋体"/>
          <w:b/>
          <w:bCs/>
          <w:color w:val="auto"/>
          <w:szCs w:val="24"/>
        </w:rPr>
        <w:t>供方（以下简称“乙方”）：</w:t>
      </w:r>
    </w:p>
    <w:p>
      <w:pPr>
        <w:pStyle w:val="26"/>
        <w:spacing w:line="360" w:lineRule="auto"/>
        <w:ind w:firstLine="480" w:firstLineChars="200"/>
        <w:rPr>
          <w:rFonts w:hAnsi="宋体" w:cs="宋体"/>
          <w:color w:val="auto"/>
          <w:szCs w:val="24"/>
        </w:rPr>
      </w:pPr>
      <w:r>
        <w:rPr>
          <w:rFonts w:hint="eastAsia" w:hAnsi="宋体" w:cs="宋体"/>
          <w:color w:val="auto"/>
          <w:szCs w:val="24"/>
        </w:rPr>
        <w:t>依据《中华人民共和国民法典》，甲乙双方经协商一致，就购买</w:t>
      </w:r>
      <w:r>
        <w:rPr>
          <w:rFonts w:hint="eastAsia" w:hAnsi="宋体" w:cs="宋体"/>
          <w:color w:val="auto"/>
          <w:szCs w:val="24"/>
          <w:u w:val="single"/>
        </w:rPr>
        <w:t xml:space="preserve">         </w:t>
      </w:r>
      <w:r>
        <w:rPr>
          <w:rFonts w:hint="eastAsia" w:hAnsi="宋体" w:cs="宋体"/>
          <w:color w:val="auto"/>
          <w:szCs w:val="24"/>
        </w:rPr>
        <w:t>( 项目名称) 产品事宜，确立本合同,双方共同遵守：</w:t>
      </w:r>
    </w:p>
    <w:p>
      <w:pPr>
        <w:pStyle w:val="26"/>
        <w:spacing w:line="360" w:lineRule="auto"/>
        <w:rPr>
          <w:rFonts w:hAnsi="宋体" w:cs="宋体"/>
          <w:color w:val="auto"/>
          <w:szCs w:val="24"/>
        </w:rPr>
      </w:pPr>
      <w:r>
        <w:rPr>
          <w:rFonts w:hint="eastAsia" w:hAnsi="宋体" w:cs="宋体"/>
          <w:b/>
          <w:bCs/>
          <w:color w:val="auto"/>
          <w:szCs w:val="24"/>
        </w:rPr>
        <w:t xml:space="preserve">一、产品名称、数量、价格：  </w:t>
      </w:r>
      <w:r>
        <w:rPr>
          <w:rFonts w:hint="eastAsia" w:hAnsi="宋体" w:cs="宋体"/>
          <w:color w:val="auto"/>
          <w:szCs w:val="24"/>
        </w:rPr>
        <w:t xml:space="preserve">                       </w:t>
      </w:r>
    </w:p>
    <w:tbl>
      <w:tblPr>
        <w:tblStyle w:val="47"/>
        <w:tblpPr w:leftFromText="180" w:rightFromText="180" w:vertAnchor="text" w:horzAnchor="margin" w:tblpX="-252" w:tblpY="158"/>
        <w:tblOverlap w:val="never"/>
        <w:tblW w:w="520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2116"/>
        <w:gridCol w:w="1114"/>
        <w:gridCol w:w="928"/>
        <w:gridCol w:w="1300"/>
        <w:gridCol w:w="928"/>
        <w:gridCol w:w="1120"/>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350" w:type="pct"/>
            <w:vAlign w:val="center"/>
          </w:tcPr>
          <w:p>
            <w:pPr>
              <w:adjustRightInd w:val="0"/>
              <w:snapToGrid w:val="0"/>
              <w:spacing w:line="360" w:lineRule="auto"/>
              <w:jc w:val="center"/>
              <w:rPr>
                <w:rFonts w:ascii="宋体" w:hAnsi="宋体" w:cs="宋体"/>
                <w:b/>
                <w:color w:val="auto"/>
                <w:sz w:val="24"/>
                <w:szCs w:val="24"/>
              </w:rPr>
            </w:pPr>
            <w:r>
              <w:rPr>
                <w:rFonts w:hint="eastAsia" w:ascii="宋体" w:hAnsi="宋体" w:cs="宋体"/>
                <w:b/>
                <w:color w:val="auto"/>
                <w:sz w:val="24"/>
                <w:szCs w:val="24"/>
              </w:rPr>
              <w:t>序号</w:t>
            </w:r>
          </w:p>
        </w:tc>
        <w:tc>
          <w:tcPr>
            <w:tcW w:w="1117" w:type="pct"/>
            <w:vAlign w:val="center"/>
          </w:tcPr>
          <w:p>
            <w:pPr>
              <w:adjustRightInd w:val="0"/>
              <w:snapToGrid w:val="0"/>
              <w:spacing w:line="360" w:lineRule="auto"/>
              <w:jc w:val="center"/>
              <w:rPr>
                <w:rFonts w:ascii="宋体" w:hAnsi="宋体" w:cs="宋体"/>
                <w:b/>
                <w:color w:val="auto"/>
                <w:sz w:val="24"/>
                <w:szCs w:val="24"/>
              </w:rPr>
            </w:pPr>
            <w:r>
              <w:rPr>
                <w:rFonts w:hint="eastAsia" w:ascii="宋体" w:hAnsi="宋体" w:cs="宋体"/>
                <w:b/>
                <w:color w:val="auto"/>
                <w:sz w:val="24"/>
                <w:szCs w:val="24"/>
              </w:rPr>
              <w:t>产品名称</w:t>
            </w:r>
          </w:p>
        </w:tc>
        <w:tc>
          <w:tcPr>
            <w:tcW w:w="588" w:type="pct"/>
            <w:vAlign w:val="center"/>
          </w:tcPr>
          <w:p>
            <w:pPr>
              <w:adjustRightInd w:val="0"/>
              <w:snapToGrid w:val="0"/>
              <w:spacing w:line="360" w:lineRule="auto"/>
              <w:jc w:val="center"/>
              <w:rPr>
                <w:rFonts w:ascii="宋体" w:hAnsi="宋体" w:cs="宋体"/>
                <w:b/>
                <w:color w:val="auto"/>
                <w:sz w:val="24"/>
                <w:szCs w:val="24"/>
              </w:rPr>
            </w:pPr>
            <w:r>
              <w:rPr>
                <w:rFonts w:hint="eastAsia" w:ascii="宋体" w:hAnsi="宋体" w:cs="宋体"/>
                <w:b/>
                <w:color w:val="auto"/>
                <w:sz w:val="24"/>
                <w:szCs w:val="24"/>
              </w:rPr>
              <w:t>规格</w:t>
            </w:r>
          </w:p>
        </w:tc>
        <w:tc>
          <w:tcPr>
            <w:tcW w:w="490" w:type="pct"/>
            <w:vAlign w:val="center"/>
          </w:tcPr>
          <w:p>
            <w:pPr>
              <w:adjustRightInd w:val="0"/>
              <w:snapToGrid w:val="0"/>
              <w:spacing w:line="360" w:lineRule="auto"/>
              <w:jc w:val="center"/>
              <w:rPr>
                <w:rFonts w:ascii="宋体" w:hAnsi="宋体" w:cs="宋体"/>
                <w:b/>
                <w:color w:val="auto"/>
                <w:sz w:val="24"/>
                <w:szCs w:val="24"/>
              </w:rPr>
            </w:pPr>
            <w:r>
              <w:rPr>
                <w:rFonts w:hint="eastAsia" w:ascii="宋体" w:hAnsi="宋体" w:cs="宋体"/>
                <w:b/>
                <w:color w:val="auto"/>
                <w:sz w:val="24"/>
                <w:szCs w:val="24"/>
              </w:rPr>
              <w:t>品牌</w:t>
            </w:r>
          </w:p>
        </w:tc>
        <w:tc>
          <w:tcPr>
            <w:tcW w:w="686" w:type="pct"/>
            <w:vAlign w:val="center"/>
          </w:tcPr>
          <w:p>
            <w:pPr>
              <w:adjustRightInd w:val="0"/>
              <w:snapToGrid w:val="0"/>
              <w:spacing w:line="360" w:lineRule="auto"/>
              <w:jc w:val="center"/>
              <w:rPr>
                <w:rFonts w:ascii="宋体" w:hAnsi="宋体" w:cs="宋体"/>
                <w:b/>
                <w:color w:val="auto"/>
                <w:sz w:val="24"/>
                <w:szCs w:val="24"/>
              </w:rPr>
            </w:pPr>
            <w:r>
              <w:rPr>
                <w:rFonts w:hint="eastAsia" w:ascii="宋体" w:hAnsi="宋体" w:cs="宋体"/>
                <w:b/>
                <w:color w:val="auto"/>
                <w:sz w:val="24"/>
                <w:szCs w:val="24"/>
              </w:rPr>
              <w:t>生产厂家</w:t>
            </w:r>
          </w:p>
        </w:tc>
        <w:tc>
          <w:tcPr>
            <w:tcW w:w="490" w:type="pct"/>
            <w:vAlign w:val="center"/>
          </w:tcPr>
          <w:p>
            <w:pPr>
              <w:adjustRightInd w:val="0"/>
              <w:snapToGrid w:val="0"/>
              <w:spacing w:line="360" w:lineRule="auto"/>
              <w:jc w:val="center"/>
              <w:rPr>
                <w:rFonts w:ascii="宋体" w:hAnsi="宋体" w:cs="宋体"/>
                <w:b/>
                <w:color w:val="auto"/>
                <w:sz w:val="24"/>
                <w:szCs w:val="24"/>
              </w:rPr>
            </w:pPr>
            <w:r>
              <w:rPr>
                <w:rFonts w:hint="eastAsia" w:ascii="宋体" w:hAnsi="宋体" w:cs="宋体"/>
                <w:b/>
                <w:color w:val="auto"/>
                <w:sz w:val="24"/>
                <w:szCs w:val="24"/>
              </w:rPr>
              <w:t>数量</w:t>
            </w:r>
          </w:p>
        </w:tc>
        <w:tc>
          <w:tcPr>
            <w:tcW w:w="590" w:type="pct"/>
            <w:vAlign w:val="center"/>
          </w:tcPr>
          <w:p>
            <w:pPr>
              <w:adjustRightInd w:val="0"/>
              <w:snapToGrid w:val="0"/>
              <w:spacing w:line="360" w:lineRule="auto"/>
              <w:jc w:val="center"/>
              <w:rPr>
                <w:rFonts w:ascii="宋体" w:hAnsi="宋体" w:cs="宋体"/>
                <w:b/>
                <w:color w:val="auto"/>
                <w:sz w:val="24"/>
                <w:szCs w:val="24"/>
              </w:rPr>
            </w:pPr>
            <w:r>
              <w:rPr>
                <w:rFonts w:hint="eastAsia" w:ascii="宋体" w:hAnsi="宋体" w:cs="宋体"/>
                <w:b/>
                <w:color w:val="auto"/>
                <w:sz w:val="24"/>
                <w:szCs w:val="24"/>
              </w:rPr>
              <w:t>单价(元)</w:t>
            </w:r>
          </w:p>
        </w:tc>
        <w:tc>
          <w:tcPr>
            <w:tcW w:w="686" w:type="pct"/>
            <w:vAlign w:val="center"/>
          </w:tcPr>
          <w:p>
            <w:pPr>
              <w:adjustRightInd w:val="0"/>
              <w:snapToGrid w:val="0"/>
              <w:spacing w:line="360" w:lineRule="auto"/>
              <w:jc w:val="center"/>
              <w:rPr>
                <w:rFonts w:ascii="宋体" w:hAnsi="宋体" w:cs="宋体"/>
                <w:b/>
                <w:color w:val="auto"/>
                <w:sz w:val="24"/>
                <w:szCs w:val="24"/>
              </w:rPr>
            </w:pPr>
            <w:r>
              <w:rPr>
                <w:rFonts w:hint="eastAsia" w:ascii="宋体" w:hAnsi="宋体" w:cs="宋体"/>
                <w:b/>
                <w:color w:val="auto"/>
                <w:sz w:val="24"/>
                <w:szCs w:val="24"/>
              </w:rPr>
              <w:t>合计(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50" w:type="pct"/>
            <w:vAlign w:val="center"/>
          </w:tcPr>
          <w:p>
            <w:pPr>
              <w:adjustRightInd w:val="0"/>
              <w:snapToGrid w:val="0"/>
              <w:spacing w:line="360" w:lineRule="auto"/>
              <w:jc w:val="center"/>
              <w:rPr>
                <w:rFonts w:ascii="宋体" w:hAnsi="宋体" w:cs="宋体"/>
                <w:color w:val="auto"/>
                <w:sz w:val="24"/>
                <w:szCs w:val="24"/>
              </w:rPr>
            </w:pPr>
            <w:r>
              <w:rPr>
                <w:rFonts w:hint="eastAsia" w:ascii="宋体" w:hAnsi="宋体" w:cs="宋体"/>
                <w:color w:val="auto"/>
                <w:sz w:val="24"/>
                <w:szCs w:val="24"/>
              </w:rPr>
              <w:t>1</w:t>
            </w:r>
          </w:p>
        </w:tc>
        <w:tc>
          <w:tcPr>
            <w:tcW w:w="1117" w:type="pct"/>
            <w:vAlign w:val="center"/>
          </w:tcPr>
          <w:p>
            <w:pPr>
              <w:adjustRightInd w:val="0"/>
              <w:snapToGrid w:val="0"/>
              <w:spacing w:line="360" w:lineRule="auto"/>
              <w:jc w:val="center"/>
              <w:rPr>
                <w:rFonts w:ascii="宋体" w:hAnsi="宋体" w:cs="宋体"/>
                <w:color w:val="auto"/>
                <w:sz w:val="24"/>
                <w:szCs w:val="24"/>
              </w:rPr>
            </w:pPr>
          </w:p>
        </w:tc>
        <w:tc>
          <w:tcPr>
            <w:tcW w:w="588" w:type="pct"/>
            <w:vAlign w:val="center"/>
          </w:tcPr>
          <w:p>
            <w:pPr>
              <w:adjustRightInd w:val="0"/>
              <w:snapToGrid w:val="0"/>
              <w:spacing w:line="360" w:lineRule="auto"/>
              <w:jc w:val="center"/>
              <w:rPr>
                <w:rFonts w:ascii="宋体" w:hAnsi="宋体" w:cs="宋体"/>
                <w:color w:val="auto"/>
                <w:sz w:val="24"/>
                <w:szCs w:val="24"/>
              </w:rPr>
            </w:pPr>
          </w:p>
        </w:tc>
        <w:tc>
          <w:tcPr>
            <w:tcW w:w="490" w:type="pct"/>
          </w:tcPr>
          <w:p>
            <w:pPr>
              <w:adjustRightInd w:val="0"/>
              <w:snapToGrid w:val="0"/>
              <w:spacing w:line="360" w:lineRule="auto"/>
              <w:jc w:val="center"/>
              <w:rPr>
                <w:rFonts w:ascii="宋体" w:hAnsi="宋体" w:cs="宋体"/>
                <w:color w:val="auto"/>
                <w:sz w:val="24"/>
                <w:szCs w:val="24"/>
              </w:rPr>
            </w:pPr>
          </w:p>
        </w:tc>
        <w:tc>
          <w:tcPr>
            <w:tcW w:w="686" w:type="pct"/>
            <w:vAlign w:val="center"/>
          </w:tcPr>
          <w:p>
            <w:pPr>
              <w:adjustRightInd w:val="0"/>
              <w:snapToGrid w:val="0"/>
              <w:spacing w:line="360" w:lineRule="auto"/>
              <w:jc w:val="center"/>
              <w:rPr>
                <w:rFonts w:ascii="宋体" w:hAnsi="宋体" w:cs="宋体"/>
                <w:color w:val="auto"/>
                <w:sz w:val="24"/>
                <w:szCs w:val="24"/>
              </w:rPr>
            </w:pPr>
          </w:p>
        </w:tc>
        <w:tc>
          <w:tcPr>
            <w:tcW w:w="490" w:type="pct"/>
            <w:vAlign w:val="center"/>
          </w:tcPr>
          <w:p>
            <w:pPr>
              <w:adjustRightInd w:val="0"/>
              <w:snapToGrid w:val="0"/>
              <w:spacing w:line="360" w:lineRule="auto"/>
              <w:jc w:val="center"/>
              <w:rPr>
                <w:rFonts w:ascii="宋体" w:hAnsi="宋体" w:cs="宋体"/>
                <w:color w:val="auto"/>
                <w:sz w:val="24"/>
                <w:szCs w:val="24"/>
              </w:rPr>
            </w:pPr>
          </w:p>
        </w:tc>
        <w:tc>
          <w:tcPr>
            <w:tcW w:w="590" w:type="pct"/>
            <w:vAlign w:val="center"/>
          </w:tcPr>
          <w:p>
            <w:pPr>
              <w:adjustRightInd w:val="0"/>
              <w:snapToGrid w:val="0"/>
              <w:spacing w:line="360" w:lineRule="auto"/>
              <w:jc w:val="center"/>
              <w:rPr>
                <w:rFonts w:ascii="宋体" w:hAnsi="宋体" w:cs="宋体"/>
                <w:color w:val="auto"/>
                <w:sz w:val="24"/>
                <w:szCs w:val="24"/>
              </w:rPr>
            </w:pPr>
          </w:p>
        </w:tc>
        <w:tc>
          <w:tcPr>
            <w:tcW w:w="686" w:type="pct"/>
            <w:vAlign w:val="center"/>
          </w:tcPr>
          <w:p>
            <w:pPr>
              <w:adjustRightInd w:val="0"/>
              <w:snapToGrid w:val="0"/>
              <w:spacing w:line="360" w:lineRule="auto"/>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50" w:type="pct"/>
            <w:vAlign w:val="center"/>
          </w:tcPr>
          <w:p>
            <w:pPr>
              <w:adjustRightInd w:val="0"/>
              <w:snapToGrid w:val="0"/>
              <w:spacing w:line="360" w:lineRule="auto"/>
              <w:jc w:val="center"/>
              <w:rPr>
                <w:rFonts w:ascii="宋体" w:hAnsi="宋体" w:cs="宋体"/>
                <w:color w:val="auto"/>
                <w:sz w:val="24"/>
                <w:szCs w:val="24"/>
              </w:rPr>
            </w:pPr>
            <w:r>
              <w:rPr>
                <w:rFonts w:hint="eastAsia" w:ascii="宋体" w:hAnsi="宋体" w:cs="宋体"/>
                <w:color w:val="auto"/>
                <w:sz w:val="24"/>
                <w:szCs w:val="24"/>
              </w:rPr>
              <w:t>2</w:t>
            </w:r>
          </w:p>
        </w:tc>
        <w:tc>
          <w:tcPr>
            <w:tcW w:w="1117" w:type="pct"/>
            <w:vAlign w:val="center"/>
          </w:tcPr>
          <w:p>
            <w:pPr>
              <w:adjustRightInd w:val="0"/>
              <w:snapToGrid w:val="0"/>
              <w:spacing w:line="360" w:lineRule="auto"/>
              <w:jc w:val="center"/>
              <w:rPr>
                <w:rFonts w:ascii="宋体" w:hAnsi="宋体" w:cs="宋体"/>
                <w:color w:val="auto"/>
                <w:sz w:val="24"/>
                <w:szCs w:val="24"/>
              </w:rPr>
            </w:pPr>
          </w:p>
        </w:tc>
        <w:tc>
          <w:tcPr>
            <w:tcW w:w="588" w:type="pct"/>
            <w:vAlign w:val="center"/>
          </w:tcPr>
          <w:p>
            <w:pPr>
              <w:adjustRightInd w:val="0"/>
              <w:snapToGrid w:val="0"/>
              <w:spacing w:line="360" w:lineRule="auto"/>
              <w:jc w:val="center"/>
              <w:rPr>
                <w:rFonts w:ascii="宋体" w:hAnsi="宋体" w:cs="宋体"/>
                <w:color w:val="auto"/>
                <w:sz w:val="24"/>
                <w:szCs w:val="24"/>
              </w:rPr>
            </w:pPr>
          </w:p>
        </w:tc>
        <w:tc>
          <w:tcPr>
            <w:tcW w:w="490" w:type="pct"/>
          </w:tcPr>
          <w:p>
            <w:pPr>
              <w:adjustRightInd w:val="0"/>
              <w:snapToGrid w:val="0"/>
              <w:spacing w:line="360" w:lineRule="auto"/>
              <w:jc w:val="center"/>
              <w:rPr>
                <w:rFonts w:ascii="宋体" w:hAnsi="宋体" w:cs="宋体"/>
                <w:color w:val="auto"/>
                <w:sz w:val="24"/>
                <w:szCs w:val="24"/>
              </w:rPr>
            </w:pPr>
          </w:p>
        </w:tc>
        <w:tc>
          <w:tcPr>
            <w:tcW w:w="686" w:type="pct"/>
            <w:vAlign w:val="center"/>
          </w:tcPr>
          <w:p>
            <w:pPr>
              <w:adjustRightInd w:val="0"/>
              <w:snapToGrid w:val="0"/>
              <w:spacing w:line="360" w:lineRule="auto"/>
              <w:jc w:val="center"/>
              <w:rPr>
                <w:rFonts w:ascii="宋体" w:hAnsi="宋体" w:cs="宋体"/>
                <w:color w:val="auto"/>
                <w:sz w:val="24"/>
                <w:szCs w:val="24"/>
              </w:rPr>
            </w:pPr>
          </w:p>
        </w:tc>
        <w:tc>
          <w:tcPr>
            <w:tcW w:w="490" w:type="pct"/>
            <w:vAlign w:val="center"/>
          </w:tcPr>
          <w:p>
            <w:pPr>
              <w:adjustRightInd w:val="0"/>
              <w:snapToGrid w:val="0"/>
              <w:spacing w:line="360" w:lineRule="auto"/>
              <w:jc w:val="center"/>
              <w:rPr>
                <w:rFonts w:ascii="宋体" w:hAnsi="宋体" w:cs="宋体"/>
                <w:color w:val="auto"/>
                <w:sz w:val="24"/>
                <w:szCs w:val="24"/>
              </w:rPr>
            </w:pPr>
          </w:p>
        </w:tc>
        <w:tc>
          <w:tcPr>
            <w:tcW w:w="590" w:type="pct"/>
            <w:vAlign w:val="center"/>
          </w:tcPr>
          <w:p>
            <w:pPr>
              <w:adjustRightInd w:val="0"/>
              <w:snapToGrid w:val="0"/>
              <w:spacing w:line="360" w:lineRule="auto"/>
              <w:jc w:val="center"/>
              <w:rPr>
                <w:rFonts w:ascii="宋体" w:hAnsi="宋体" w:cs="宋体"/>
                <w:color w:val="auto"/>
                <w:sz w:val="24"/>
                <w:szCs w:val="24"/>
              </w:rPr>
            </w:pPr>
          </w:p>
        </w:tc>
        <w:tc>
          <w:tcPr>
            <w:tcW w:w="686" w:type="pct"/>
            <w:vAlign w:val="center"/>
          </w:tcPr>
          <w:p>
            <w:pPr>
              <w:adjustRightInd w:val="0"/>
              <w:snapToGrid w:val="0"/>
              <w:spacing w:line="360" w:lineRule="auto"/>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50" w:type="pct"/>
            <w:vAlign w:val="center"/>
          </w:tcPr>
          <w:p>
            <w:pPr>
              <w:adjustRightInd w:val="0"/>
              <w:snapToGrid w:val="0"/>
              <w:spacing w:line="360" w:lineRule="auto"/>
              <w:jc w:val="center"/>
              <w:rPr>
                <w:rFonts w:ascii="宋体" w:hAnsi="宋体" w:cs="宋体"/>
                <w:color w:val="auto"/>
                <w:sz w:val="24"/>
                <w:szCs w:val="24"/>
              </w:rPr>
            </w:pPr>
          </w:p>
        </w:tc>
        <w:tc>
          <w:tcPr>
            <w:tcW w:w="1117" w:type="pct"/>
            <w:vAlign w:val="center"/>
          </w:tcPr>
          <w:p>
            <w:pPr>
              <w:adjustRightInd w:val="0"/>
              <w:snapToGrid w:val="0"/>
              <w:spacing w:line="360" w:lineRule="auto"/>
              <w:jc w:val="center"/>
              <w:rPr>
                <w:rFonts w:ascii="宋体" w:hAnsi="宋体" w:cs="宋体"/>
                <w:color w:val="auto"/>
                <w:sz w:val="24"/>
                <w:szCs w:val="24"/>
              </w:rPr>
            </w:pPr>
          </w:p>
        </w:tc>
        <w:tc>
          <w:tcPr>
            <w:tcW w:w="588" w:type="pct"/>
            <w:vAlign w:val="center"/>
          </w:tcPr>
          <w:p>
            <w:pPr>
              <w:adjustRightInd w:val="0"/>
              <w:snapToGrid w:val="0"/>
              <w:spacing w:line="360" w:lineRule="auto"/>
              <w:jc w:val="center"/>
              <w:rPr>
                <w:rFonts w:ascii="宋体" w:hAnsi="宋体" w:cs="宋体"/>
                <w:color w:val="auto"/>
                <w:sz w:val="24"/>
                <w:szCs w:val="24"/>
              </w:rPr>
            </w:pPr>
          </w:p>
        </w:tc>
        <w:tc>
          <w:tcPr>
            <w:tcW w:w="490" w:type="pct"/>
          </w:tcPr>
          <w:p>
            <w:pPr>
              <w:adjustRightInd w:val="0"/>
              <w:snapToGrid w:val="0"/>
              <w:spacing w:line="360" w:lineRule="auto"/>
              <w:jc w:val="center"/>
              <w:rPr>
                <w:rFonts w:ascii="宋体" w:hAnsi="宋体" w:cs="宋体"/>
                <w:color w:val="auto"/>
                <w:sz w:val="24"/>
                <w:szCs w:val="24"/>
              </w:rPr>
            </w:pPr>
          </w:p>
        </w:tc>
        <w:tc>
          <w:tcPr>
            <w:tcW w:w="686" w:type="pct"/>
            <w:vAlign w:val="center"/>
          </w:tcPr>
          <w:p>
            <w:pPr>
              <w:adjustRightInd w:val="0"/>
              <w:snapToGrid w:val="0"/>
              <w:spacing w:line="360" w:lineRule="auto"/>
              <w:jc w:val="center"/>
              <w:rPr>
                <w:rFonts w:ascii="宋体" w:hAnsi="宋体" w:cs="宋体"/>
                <w:color w:val="auto"/>
                <w:sz w:val="24"/>
                <w:szCs w:val="24"/>
              </w:rPr>
            </w:pPr>
          </w:p>
        </w:tc>
        <w:tc>
          <w:tcPr>
            <w:tcW w:w="490" w:type="pct"/>
            <w:vAlign w:val="center"/>
          </w:tcPr>
          <w:p>
            <w:pPr>
              <w:adjustRightInd w:val="0"/>
              <w:snapToGrid w:val="0"/>
              <w:spacing w:line="360" w:lineRule="auto"/>
              <w:jc w:val="center"/>
              <w:rPr>
                <w:rFonts w:ascii="宋体" w:hAnsi="宋体" w:cs="宋体"/>
                <w:color w:val="auto"/>
                <w:sz w:val="24"/>
                <w:szCs w:val="24"/>
              </w:rPr>
            </w:pPr>
          </w:p>
        </w:tc>
        <w:tc>
          <w:tcPr>
            <w:tcW w:w="590" w:type="pct"/>
            <w:vAlign w:val="center"/>
          </w:tcPr>
          <w:p>
            <w:pPr>
              <w:adjustRightInd w:val="0"/>
              <w:snapToGrid w:val="0"/>
              <w:spacing w:line="360" w:lineRule="auto"/>
              <w:jc w:val="center"/>
              <w:rPr>
                <w:rFonts w:ascii="宋体" w:hAnsi="宋体" w:cs="宋体"/>
                <w:color w:val="auto"/>
                <w:sz w:val="24"/>
                <w:szCs w:val="24"/>
              </w:rPr>
            </w:pPr>
          </w:p>
        </w:tc>
        <w:tc>
          <w:tcPr>
            <w:tcW w:w="686" w:type="pct"/>
            <w:vAlign w:val="center"/>
          </w:tcPr>
          <w:p>
            <w:pPr>
              <w:adjustRightInd w:val="0"/>
              <w:snapToGrid w:val="0"/>
              <w:spacing w:line="360" w:lineRule="auto"/>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350" w:type="pct"/>
            <w:vAlign w:val="center"/>
          </w:tcPr>
          <w:p>
            <w:pPr>
              <w:adjustRightInd w:val="0"/>
              <w:snapToGrid w:val="0"/>
              <w:spacing w:line="360" w:lineRule="auto"/>
              <w:jc w:val="center"/>
              <w:rPr>
                <w:rFonts w:ascii="宋体" w:hAnsi="宋体" w:cs="宋体"/>
                <w:color w:val="auto"/>
                <w:sz w:val="24"/>
                <w:szCs w:val="24"/>
              </w:rPr>
            </w:pPr>
            <w:r>
              <w:rPr>
                <w:rFonts w:hint="eastAsia" w:ascii="宋体" w:hAnsi="宋体" w:cs="宋体"/>
                <w:color w:val="auto"/>
                <w:sz w:val="24"/>
                <w:szCs w:val="24"/>
              </w:rPr>
              <w:t>合计</w:t>
            </w:r>
          </w:p>
        </w:tc>
        <w:tc>
          <w:tcPr>
            <w:tcW w:w="3962" w:type="pct"/>
            <w:gridSpan w:val="6"/>
            <w:vAlign w:val="center"/>
          </w:tcPr>
          <w:p>
            <w:pPr>
              <w:adjustRightInd w:val="0"/>
              <w:snapToGrid w:val="0"/>
              <w:spacing w:line="360" w:lineRule="auto"/>
              <w:rPr>
                <w:rFonts w:ascii="宋体" w:hAnsi="宋体" w:cs="宋体"/>
                <w:color w:val="auto"/>
                <w:sz w:val="24"/>
                <w:szCs w:val="24"/>
              </w:rPr>
            </w:pPr>
            <w:r>
              <w:rPr>
                <w:rFonts w:hint="eastAsia" w:ascii="宋体" w:hAnsi="宋体" w:cs="宋体"/>
                <w:color w:val="auto"/>
                <w:sz w:val="24"/>
                <w:szCs w:val="24"/>
              </w:rPr>
              <w:t>大写：                        （含税价）</w:t>
            </w:r>
          </w:p>
        </w:tc>
        <w:tc>
          <w:tcPr>
            <w:tcW w:w="686" w:type="pct"/>
            <w:vAlign w:val="center"/>
          </w:tcPr>
          <w:p>
            <w:pPr>
              <w:adjustRightInd w:val="0"/>
              <w:snapToGrid w:val="0"/>
              <w:spacing w:line="360" w:lineRule="auto"/>
              <w:jc w:val="center"/>
              <w:rPr>
                <w:rFonts w:ascii="宋体" w:hAnsi="宋体" w:cs="宋体"/>
                <w:color w:val="auto"/>
                <w:sz w:val="24"/>
                <w:szCs w:val="24"/>
              </w:rPr>
            </w:pPr>
          </w:p>
        </w:tc>
      </w:tr>
    </w:tbl>
    <w:p>
      <w:pPr>
        <w:pStyle w:val="26"/>
        <w:spacing w:line="360" w:lineRule="auto"/>
        <w:ind w:firstLine="480" w:firstLineChars="200"/>
        <w:rPr>
          <w:rFonts w:hAnsi="宋体" w:cs="宋体"/>
          <w:color w:val="auto"/>
          <w:szCs w:val="24"/>
        </w:rPr>
      </w:pPr>
      <w:r>
        <w:rPr>
          <w:rFonts w:hint="eastAsia" w:hAnsi="宋体" w:cs="宋体"/>
          <w:color w:val="auto"/>
          <w:szCs w:val="24"/>
        </w:rPr>
        <w:t>1、合同总金额包括货物价款、检验、包装、运输、保险等全部费用，如果</w:t>
      </w:r>
      <w:r>
        <w:rPr>
          <w:rStyle w:val="314"/>
          <w:rFonts w:hint="eastAsia"/>
          <w:color w:val="auto"/>
        </w:rPr>
        <w:t>谈判文件、响应文件</w:t>
      </w:r>
      <w:r>
        <w:rPr>
          <w:rFonts w:hint="eastAsia" w:hAnsi="宋体" w:cs="宋体"/>
          <w:color w:val="auto"/>
          <w:szCs w:val="24"/>
        </w:rPr>
        <w:t>对其另有规定的，从其规定。</w:t>
      </w:r>
    </w:p>
    <w:p>
      <w:pPr>
        <w:pStyle w:val="26"/>
        <w:spacing w:line="360" w:lineRule="auto"/>
        <w:rPr>
          <w:rFonts w:hAnsi="宋体" w:cs="宋体"/>
          <w:b/>
          <w:bCs/>
          <w:color w:val="auto"/>
          <w:szCs w:val="24"/>
        </w:rPr>
      </w:pPr>
      <w:r>
        <w:rPr>
          <w:rFonts w:hint="eastAsia" w:hAnsi="宋体" w:cs="宋体"/>
          <w:b/>
          <w:bCs/>
          <w:color w:val="auto"/>
          <w:szCs w:val="24"/>
        </w:rPr>
        <w:t>二、质量标准：</w:t>
      </w:r>
    </w:p>
    <w:p>
      <w:pPr>
        <w:pStyle w:val="26"/>
        <w:spacing w:line="360" w:lineRule="auto"/>
        <w:ind w:firstLine="480" w:firstLineChars="200"/>
        <w:rPr>
          <w:rFonts w:hAnsi="宋体" w:cs="宋体"/>
          <w:b/>
          <w:bCs/>
          <w:color w:val="auto"/>
          <w:szCs w:val="24"/>
        </w:rPr>
      </w:pPr>
      <w:r>
        <w:rPr>
          <w:rFonts w:hint="eastAsia" w:hAnsi="宋体" w:cs="宋体"/>
          <w:color w:val="auto"/>
          <w:szCs w:val="24"/>
        </w:rPr>
        <w:t>乙方提供的货物必须符合中华人民共和国国家安全环保标准，国家及有关行业产品质量认证标准。谈判文件的质量要求及双方签字确认的技术协议作为本合同的有效附件。</w:t>
      </w:r>
    </w:p>
    <w:p>
      <w:pPr>
        <w:pStyle w:val="26"/>
        <w:spacing w:line="360" w:lineRule="auto"/>
        <w:rPr>
          <w:rFonts w:hAnsi="宋体" w:cs="宋体"/>
          <w:b/>
          <w:bCs/>
          <w:color w:val="auto"/>
          <w:szCs w:val="24"/>
        </w:rPr>
      </w:pPr>
      <w:r>
        <w:rPr>
          <w:rFonts w:hint="eastAsia" w:hAnsi="宋体" w:cs="宋体"/>
          <w:b/>
          <w:bCs/>
          <w:color w:val="auto"/>
          <w:szCs w:val="24"/>
        </w:rPr>
        <w:t>三、交货日期、方式及地点：</w:t>
      </w:r>
    </w:p>
    <w:p>
      <w:pPr>
        <w:pStyle w:val="26"/>
        <w:spacing w:line="360" w:lineRule="auto"/>
        <w:ind w:firstLine="480" w:firstLineChars="200"/>
        <w:rPr>
          <w:rFonts w:hAnsi="宋体" w:cs="宋体"/>
          <w:color w:val="auto"/>
          <w:szCs w:val="24"/>
        </w:rPr>
      </w:pPr>
      <w:r>
        <w:rPr>
          <w:rFonts w:hint="eastAsia" w:hAnsi="宋体" w:cs="宋体"/>
          <w:color w:val="auto"/>
          <w:szCs w:val="24"/>
        </w:rPr>
        <w:t>合同生效后，于</w:t>
      </w:r>
      <w:r>
        <w:rPr>
          <w:rFonts w:hint="eastAsia" w:hAnsi="宋体" w:cs="宋体"/>
          <w:color w:val="auto"/>
          <w:szCs w:val="24"/>
          <w:u w:val="single"/>
        </w:rPr>
        <w:t xml:space="preserve">     </w:t>
      </w:r>
      <w:r>
        <w:rPr>
          <w:rFonts w:hint="eastAsia" w:hAnsi="宋体" w:cs="宋体"/>
          <w:color w:val="auto"/>
          <w:szCs w:val="24"/>
        </w:rPr>
        <w:t>年</w:t>
      </w:r>
      <w:r>
        <w:rPr>
          <w:rFonts w:hint="eastAsia" w:hAnsi="宋体" w:cs="宋体"/>
          <w:color w:val="auto"/>
          <w:szCs w:val="24"/>
          <w:u w:val="single"/>
        </w:rPr>
        <w:t xml:space="preserve">     </w:t>
      </w:r>
      <w:r>
        <w:rPr>
          <w:rFonts w:hint="eastAsia" w:hAnsi="宋体" w:cs="宋体"/>
          <w:color w:val="auto"/>
          <w:szCs w:val="24"/>
        </w:rPr>
        <w:t>月</w:t>
      </w:r>
      <w:r>
        <w:rPr>
          <w:rFonts w:hint="eastAsia" w:hAnsi="宋体" w:cs="宋体"/>
          <w:color w:val="auto"/>
          <w:szCs w:val="24"/>
          <w:u w:val="single"/>
        </w:rPr>
        <w:t xml:space="preserve">     </w:t>
      </w:r>
      <w:r>
        <w:rPr>
          <w:rFonts w:hint="eastAsia" w:hAnsi="宋体" w:cs="宋体"/>
          <w:color w:val="auto"/>
          <w:szCs w:val="24"/>
        </w:rPr>
        <w:t>日前，乙方将所供货物送至西安科技大学指定位置。</w:t>
      </w:r>
    </w:p>
    <w:p>
      <w:pPr>
        <w:pStyle w:val="26"/>
        <w:spacing w:line="360" w:lineRule="auto"/>
        <w:rPr>
          <w:rFonts w:hAnsi="宋体" w:cs="宋体"/>
          <w:b/>
          <w:bCs/>
          <w:color w:val="auto"/>
          <w:szCs w:val="24"/>
        </w:rPr>
      </w:pPr>
      <w:r>
        <w:rPr>
          <w:rFonts w:hint="eastAsia" w:hAnsi="宋体" w:cs="宋体"/>
          <w:b/>
          <w:bCs/>
          <w:color w:val="auto"/>
          <w:szCs w:val="24"/>
        </w:rPr>
        <w:t>四、乙方对质量保证的条件及期限：</w:t>
      </w:r>
    </w:p>
    <w:p>
      <w:pPr>
        <w:pStyle w:val="26"/>
        <w:spacing w:line="360" w:lineRule="auto"/>
        <w:ind w:firstLine="480" w:firstLineChars="200"/>
        <w:rPr>
          <w:rFonts w:hAnsi="宋体" w:cs="宋体"/>
          <w:color w:val="auto"/>
          <w:szCs w:val="24"/>
        </w:rPr>
      </w:pPr>
      <w:r>
        <w:rPr>
          <w:rFonts w:hint="eastAsia" w:hAnsi="宋体" w:cs="宋体"/>
          <w:color w:val="auto"/>
          <w:szCs w:val="24"/>
        </w:rPr>
        <w:t>1、货物自验收合格之日起保质期</w:t>
      </w:r>
      <w:r>
        <w:rPr>
          <w:rFonts w:hint="eastAsia" w:hAnsi="宋体" w:cs="宋体"/>
          <w:color w:val="auto"/>
          <w:szCs w:val="24"/>
          <w:u w:val="single"/>
        </w:rPr>
        <w:t xml:space="preserve">     </w:t>
      </w:r>
      <w:r>
        <w:rPr>
          <w:rFonts w:hint="eastAsia" w:hAnsi="宋体" w:cs="宋体"/>
          <w:color w:val="auto"/>
          <w:szCs w:val="24"/>
        </w:rPr>
        <w:t>年。在保质期内因货物质量问题，乙方负责免费退换。</w:t>
      </w:r>
    </w:p>
    <w:p>
      <w:pPr>
        <w:pStyle w:val="26"/>
        <w:spacing w:line="360" w:lineRule="auto"/>
        <w:ind w:firstLine="480" w:firstLineChars="200"/>
        <w:rPr>
          <w:rFonts w:hAnsi="宋体" w:cs="宋体"/>
          <w:color w:val="auto"/>
          <w:szCs w:val="24"/>
        </w:rPr>
      </w:pPr>
      <w:r>
        <w:rPr>
          <w:rFonts w:hint="eastAsia" w:hAnsi="宋体" w:cs="宋体"/>
          <w:color w:val="auto"/>
          <w:szCs w:val="24"/>
        </w:rPr>
        <w:t>2、乙方所供的货物必须是双方</w:t>
      </w:r>
      <w:r>
        <w:rPr>
          <w:rStyle w:val="314"/>
          <w:rFonts w:hint="eastAsia"/>
          <w:color w:val="auto"/>
        </w:rPr>
        <w:t>谈判文件、响应文件</w:t>
      </w:r>
      <w:r>
        <w:rPr>
          <w:rFonts w:hint="eastAsia" w:hAnsi="宋体" w:cs="宋体"/>
          <w:color w:val="auto"/>
          <w:szCs w:val="24"/>
        </w:rPr>
        <w:t>规定的最新产品。</w:t>
      </w:r>
    </w:p>
    <w:p>
      <w:pPr>
        <w:pStyle w:val="26"/>
        <w:spacing w:line="360" w:lineRule="auto"/>
        <w:rPr>
          <w:rFonts w:hAnsi="宋体" w:cs="宋体"/>
          <w:b/>
          <w:bCs/>
          <w:color w:val="auto"/>
          <w:szCs w:val="24"/>
        </w:rPr>
      </w:pPr>
      <w:r>
        <w:rPr>
          <w:rFonts w:hint="eastAsia" w:hAnsi="宋体" w:cs="宋体"/>
          <w:b/>
          <w:bCs/>
          <w:color w:val="auto"/>
          <w:szCs w:val="24"/>
        </w:rPr>
        <w:t>五、货物的包装及运输：</w:t>
      </w:r>
    </w:p>
    <w:p>
      <w:pPr>
        <w:pStyle w:val="26"/>
        <w:spacing w:line="360" w:lineRule="auto"/>
        <w:ind w:firstLine="480" w:firstLineChars="200"/>
        <w:rPr>
          <w:rFonts w:hAnsi="宋体" w:cs="宋体"/>
          <w:color w:val="auto"/>
          <w:szCs w:val="24"/>
        </w:rPr>
      </w:pPr>
      <w:r>
        <w:rPr>
          <w:rFonts w:hint="eastAsia" w:hAnsi="宋体" w:cs="宋体"/>
          <w:color w:val="auto"/>
          <w:szCs w:val="24"/>
        </w:rPr>
        <w:t>1、乙方应在货物发运前对其进行满足于运输距离和防破损装卸要求的包装，以保证货物安全运输到达甲方指定地点。途中发生包装物破损的情况，甲方有权拒收货物。</w:t>
      </w:r>
    </w:p>
    <w:p>
      <w:pPr>
        <w:pStyle w:val="26"/>
        <w:spacing w:line="360" w:lineRule="auto"/>
        <w:ind w:firstLine="480" w:firstLineChars="200"/>
        <w:rPr>
          <w:rFonts w:hAnsi="宋体" w:cs="宋体"/>
          <w:color w:val="auto"/>
          <w:szCs w:val="24"/>
        </w:rPr>
      </w:pPr>
      <w:r>
        <w:rPr>
          <w:rFonts w:hint="eastAsia" w:hAnsi="宋体" w:cs="宋体"/>
          <w:color w:val="auto"/>
          <w:szCs w:val="24"/>
        </w:rPr>
        <w:t>2、包装上注明货物品种及数量。</w:t>
      </w:r>
    </w:p>
    <w:p>
      <w:pPr>
        <w:pStyle w:val="26"/>
        <w:spacing w:line="360" w:lineRule="auto"/>
        <w:ind w:firstLine="480" w:firstLineChars="200"/>
        <w:rPr>
          <w:rFonts w:hAnsi="宋体" w:cs="宋体"/>
          <w:color w:val="auto"/>
          <w:szCs w:val="24"/>
        </w:rPr>
      </w:pPr>
      <w:r>
        <w:rPr>
          <w:rFonts w:hint="eastAsia" w:hAnsi="宋体" w:cs="宋体"/>
          <w:color w:val="auto"/>
          <w:szCs w:val="24"/>
        </w:rPr>
        <w:t>3、运输方式：乙方负责运输并承担运输、装卸、倒运及运保费等费用。</w:t>
      </w:r>
    </w:p>
    <w:p>
      <w:pPr>
        <w:pStyle w:val="26"/>
        <w:spacing w:line="360" w:lineRule="auto"/>
        <w:rPr>
          <w:rFonts w:hAnsi="宋体" w:cs="宋体"/>
          <w:b/>
          <w:bCs/>
          <w:color w:val="auto"/>
          <w:szCs w:val="24"/>
        </w:rPr>
      </w:pPr>
      <w:r>
        <w:rPr>
          <w:rFonts w:hint="eastAsia" w:hAnsi="宋体" w:cs="宋体"/>
          <w:b/>
          <w:bCs/>
          <w:color w:val="auto"/>
          <w:szCs w:val="24"/>
        </w:rPr>
        <w:t>六、货物验收：</w:t>
      </w:r>
    </w:p>
    <w:p>
      <w:pPr>
        <w:pStyle w:val="26"/>
        <w:spacing w:line="360" w:lineRule="auto"/>
        <w:ind w:firstLine="480" w:firstLineChars="200"/>
        <w:rPr>
          <w:rFonts w:hAnsi="宋体" w:cs="宋体"/>
          <w:color w:val="auto"/>
          <w:szCs w:val="24"/>
        </w:rPr>
      </w:pPr>
      <w:r>
        <w:rPr>
          <w:rFonts w:hint="eastAsia" w:hAnsi="宋体" w:cs="宋体"/>
          <w:color w:val="auto"/>
          <w:szCs w:val="24"/>
        </w:rPr>
        <w:t>1、乙方负责搬运，甲方提供必要的工作条件（水电等）。</w:t>
      </w:r>
    </w:p>
    <w:p>
      <w:pPr>
        <w:pStyle w:val="26"/>
        <w:spacing w:line="360" w:lineRule="auto"/>
        <w:ind w:firstLine="480" w:firstLineChars="200"/>
        <w:rPr>
          <w:rFonts w:hAnsi="宋体" w:cs="宋体"/>
          <w:color w:val="auto"/>
          <w:szCs w:val="24"/>
        </w:rPr>
      </w:pPr>
      <w:r>
        <w:rPr>
          <w:rFonts w:hint="eastAsia" w:hAnsi="宋体" w:cs="宋体"/>
          <w:color w:val="auto"/>
          <w:szCs w:val="24"/>
        </w:rPr>
        <w:t>2、甲方对乙方所交货物依照国家有关标准和双方确认的标准进行现场验收。质量达到要求的，验收通过；验收不合格的，限期退换。</w:t>
      </w:r>
    </w:p>
    <w:p>
      <w:pPr>
        <w:pStyle w:val="26"/>
        <w:spacing w:line="360" w:lineRule="auto"/>
        <w:ind w:firstLine="480" w:firstLineChars="200"/>
        <w:rPr>
          <w:rFonts w:hAnsi="宋体" w:cs="宋体"/>
          <w:color w:val="auto"/>
          <w:szCs w:val="24"/>
        </w:rPr>
      </w:pPr>
      <w:r>
        <w:rPr>
          <w:rFonts w:hint="eastAsia" w:hAnsi="宋体" w:cs="宋体"/>
          <w:color w:val="auto"/>
          <w:szCs w:val="24"/>
        </w:rPr>
        <w:t xml:space="preserve">3、如因货物的质量问题发生争议，由甲方属地质量监督部门进行质量鉴定；货物符合质量标准的，鉴定费由甲方承担；货物不符合质量标准的，鉴定费由乙方承担，同时按本合同第八条第3款处理。                                                                           </w:t>
      </w:r>
    </w:p>
    <w:p>
      <w:pPr>
        <w:pStyle w:val="26"/>
        <w:spacing w:line="360" w:lineRule="auto"/>
        <w:rPr>
          <w:rFonts w:hAnsi="宋体" w:cs="宋体"/>
          <w:b/>
          <w:bCs/>
          <w:color w:val="auto"/>
          <w:szCs w:val="24"/>
        </w:rPr>
      </w:pPr>
      <w:r>
        <w:rPr>
          <w:rFonts w:hint="eastAsia" w:hAnsi="宋体" w:cs="宋体"/>
          <w:b/>
          <w:bCs/>
          <w:color w:val="auto"/>
          <w:szCs w:val="24"/>
        </w:rPr>
        <w:t>七、付款方式及期限：</w:t>
      </w:r>
    </w:p>
    <w:p>
      <w:pPr>
        <w:pStyle w:val="26"/>
        <w:spacing w:line="360" w:lineRule="auto"/>
        <w:ind w:firstLine="480" w:firstLineChars="200"/>
        <w:rPr>
          <w:rFonts w:hAnsi="宋体" w:cs="宋体"/>
          <w:color w:val="auto"/>
          <w:szCs w:val="24"/>
        </w:rPr>
      </w:pPr>
      <w:r>
        <w:rPr>
          <w:rFonts w:hint="eastAsia" w:hAnsi="宋体" w:cs="宋体"/>
          <w:color w:val="auto"/>
          <w:szCs w:val="24"/>
        </w:rPr>
        <w:t>1.结算单位：采购人结算，在付款前必须开具全额增值税发票给采购人。</w:t>
      </w:r>
    </w:p>
    <w:p>
      <w:pPr>
        <w:pStyle w:val="26"/>
        <w:spacing w:line="360" w:lineRule="auto"/>
        <w:ind w:firstLine="480" w:firstLineChars="200"/>
        <w:rPr>
          <w:rFonts w:hAnsi="宋体" w:cs="宋体"/>
          <w:color w:val="auto"/>
          <w:szCs w:val="24"/>
        </w:rPr>
      </w:pPr>
      <w:r>
        <w:rPr>
          <w:rFonts w:hint="eastAsia" w:hAnsi="宋体" w:cs="宋体"/>
          <w:color w:val="auto"/>
          <w:szCs w:val="24"/>
        </w:rPr>
        <w:t>2.付款方式：签订合同前向学校缴纳5%的履约保证金，合同签订后采购人支付40%合同金额的预付款。国内产品安装调试经学校验收合格后一次性支付60%合同金额的余款，同时缴纳的5%履约保证金无质量问题一次性无息退还。</w:t>
      </w:r>
    </w:p>
    <w:p>
      <w:pPr>
        <w:pStyle w:val="26"/>
        <w:spacing w:line="360" w:lineRule="auto"/>
        <w:rPr>
          <w:rFonts w:hAnsi="宋体" w:cs="宋体"/>
          <w:b/>
          <w:bCs/>
          <w:color w:val="auto"/>
          <w:szCs w:val="24"/>
        </w:rPr>
      </w:pPr>
      <w:r>
        <w:rPr>
          <w:rFonts w:hint="eastAsia" w:hAnsi="宋体" w:cs="宋体"/>
          <w:b/>
          <w:bCs/>
          <w:color w:val="auto"/>
          <w:szCs w:val="24"/>
        </w:rPr>
        <w:t>八、违约责任：</w:t>
      </w:r>
    </w:p>
    <w:p>
      <w:pPr>
        <w:pStyle w:val="26"/>
        <w:spacing w:line="360" w:lineRule="auto"/>
        <w:ind w:firstLine="480" w:firstLineChars="200"/>
        <w:rPr>
          <w:rFonts w:hAnsi="宋体" w:cs="宋体"/>
          <w:color w:val="auto"/>
          <w:szCs w:val="24"/>
        </w:rPr>
      </w:pPr>
      <w:r>
        <w:rPr>
          <w:rFonts w:hint="eastAsia" w:hAnsi="宋体" w:cs="宋体"/>
          <w:color w:val="auto"/>
          <w:szCs w:val="24"/>
        </w:rPr>
        <w:t>1、乙方逾期交货，每天应按合同总价的千分之一向甲方支付违约金。如乙方逾期三十天仍未交齐货物的，甲方有权终止合同，乙方须按合同总价的百分之十计算，向甲方支付违约赔偿金，并全额退还甲方已付给乙方的货款。</w:t>
      </w:r>
    </w:p>
    <w:p>
      <w:pPr>
        <w:pStyle w:val="26"/>
        <w:spacing w:line="360" w:lineRule="auto"/>
        <w:ind w:firstLine="480" w:firstLineChars="200"/>
        <w:rPr>
          <w:rFonts w:hAnsi="宋体" w:cs="宋体"/>
          <w:color w:val="auto"/>
          <w:szCs w:val="24"/>
        </w:rPr>
      </w:pPr>
      <w:r>
        <w:rPr>
          <w:rFonts w:hint="eastAsia" w:hAnsi="宋体" w:cs="宋体"/>
          <w:color w:val="auto"/>
          <w:szCs w:val="24"/>
        </w:rPr>
        <w:t>2、甲方无正当理由拒收货物，应向乙方支付合同总价款10%的违约金。</w:t>
      </w:r>
    </w:p>
    <w:p>
      <w:pPr>
        <w:pStyle w:val="26"/>
        <w:spacing w:line="360" w:lineRule="auto"/>
        <w:ind w:firstLine="480" w:firstLineChars="200"/>
        <w:rPr>
          <w:rFonts w:hAnsi="宋体" w:cs="宋体"/>
          <w:color w:val="auto"/>
          <w:szCs w:val="24"/>
        </w:rPr>
      </w:pPr>
      <w:r>
        <w:rPr>
          <w:rFonts w:hint="eastAsia" w:hAnsi="宋体" w:cs="宋体"/>
          <w:color w:val="auto"/>
          <w:szCs w:val="24"/>
        </w:rPr>
        <w:t>3、乙方所交的货物品种、规格、质量不符合合同约定、国家标准，所供货物达不到约定质量要求的，乙方必须无条件退回全部货款，并向甲方支付合同总价款10%的赔偿金。</w:t>
      </w:r>
    </w:p>
    <w:p>
      <w:pPr>
        <w:pStyle w:val="26"/>
        <w:spacing w:line="360" w:lineRule="auto"/>
        <w:rPr>
          <w:rFonts w:hAnsi="宋体" w:cs="宋体"/>
          <w:b/>
          <w:bCs/>
          <w:color w:val="auto"/>
          <w:szCs w:val="24"/>
        </w:rPr>
      </w:pPr>
      <w:r>
        <w:rPr>
          <w:rFonts w:hint="eastAsia" w:hAnsi="宋体" w:cs="宋体"/>
          <w:b/>
          <w:bCs/>
          <w:color w:val="auto"/>
          <w:szCs w:val="24"/>
        </w:rPr>
        <w:t>九、争议解决方式：</w:t>
      </w:r>
    </w:p>
    <w:p>
      <w:pPr>
        <w:pStyle w:val="26"/>
        <w:spacing w:line="360" w:lineRule="auto"/>
        <w:ind w:firstLine="480" w:firstLineChars="200"/>
        <w:rPr>
          <w:rFonts w:hAnsi="宋体" w:cs="宋体"/>
          <w:color w:val="auto"/>
          <w:szCs w:val="24"/>
        </w:rPr>
      </w:pPr>
      <w:r>
        <w:rPr>
          <w:rFonts w:hint="eastAsia" w:hAnsi="宋体" w:cs="宋体"/>
          <w:color w:val="auto"/>
          <w:szCs w:val="24"/>
        </w:rPr>
        <w:t>本合同在履行过程中，如发生争议，双方友好协商解决，如协商不成，双方同意向签约地法院起诉解决。</w:t>
      </w:r>
    </w:p>
    <w:p>
      <w:pPr>
        <w:pStyle w:val="26"/>
        <w:spacing w:line="360" w:lineRule="auto"/>
        <w:rPr>
          <w:rFonts w:hAnsi="宋体" w:cs="宋体"/>
          <w:b/>
          <w:bCs/>
          <w:color w:val="auto"/>
          <w:szCs w:val="24"/>
        </w:rPr>
      </w:pPr>
      <w:r>
        <w:rPr>
          <w:rFonts w:hint="eastAsia" w:hAnsi="宋体" w:cs="宋体"/>
          <w:b/>
          <w:bCs/>
          <w:color w:val="auto"/>
          <w:szCs w:val="24"/>
        </w:rPr>
        <w:t>十、其他：</w:t>
      </w:r>
    </w:p>
    <w:p>
      <w:pPr>
        <w:pStyle w:val="26"/>
        <w:spacing w:line="360" w:lineRule="auto"/>
        <w:ind w:firstLine="480" w:firstLineChars="200"/>
        <w:rPr>
          <w:rFonts w:hAnsi="宋体" w:cs="宋体"/>
          <w:color w:val="auto"/>
          <w:szCs w:val="24"/>
        </w:rPr>
      </w:pPr>
      <w:r>
        <w:rPr>
          <w:rFonts w:hint="eastAsia" w:hAnsi="宋体" w:cs="宋体"/>
          <w:color w:val="auto"/>
          <w:szCs w:val="24"/>
        </w:rPr>
        <w:t xml:space="preserve">本合同自双方签字盖章之日起生效。本合同一式伍份，甲方执肆份，乙方执壹份，具有同等法律效力。 </w:t>
      </w:r>
    </w:p>
    <w:p>
      <w:pPr>
        <w:pStyle w:val="26"/>
        <w:spacing w:line="360" w:lineRule="auto"/>
        <w:ind w:firstLine="480" w:firstLineChars="200"/>
        <w:rPr>
          <w:rFonts w:hAnsi="宋体" w:cs="宋体"/>
          <w:color w:val="auto"/>
          <w:szCs w:val="24"/>
        </w:rPr>
      </w:pPr>
    </w:p>
    <w:p>
      <w:pPr>
        <w:pStyle w:val="26"/>
        <w:spacing w:line="360" w:lineRule="auto"/>
        <w:rPr>
          <w:rFonts w:hAnsi="宋体" w:cs="宋体"/>
          <w:color w:val="auto"/>
          <w:szCs w:val="24"/>
        </w:rPr>
      </w:pPr>
      <w:r>
        <w:rPr>
          <w:rFonts w:hint="eastAsia" w:hAnsi="宋体" w:cs="宋体"/>
          <w:color w:val="auto"/>
          <w:szCs w:val="24"/>
        </w:rPr>
        <w:t xml:space="preserve">需方(甲方)：西安科技大学      方(乙方)：                       </w:t>
      </w:r>
    </w:p>
    <w:p>
      <w:pPr>
        <w:pStyle w:val="26"/>
        <w:spacing w:line="360" w:lineRule="auto"/>
        <w:rPr>
          <w:rFonts w:hAnsi="宋体" w:cs="宋体"/>
          <w:color w:val="auto"/>
          <w:szCs w:val="24"/>
        </w:rPr>
      </w:pPr>
      <w:r>
        <w:rPr>
          <w:rFonts w:hint="eastAsia" w:hAnsi="宋体" w:cs="宋体"/>
          <w:color w:val="auto"/>
          <w:szCs w:val="24"/>
        </w:rPr>
        <w:t xml:space="preserve">项目负责人：                  法定代表人：    </w:t>
      </w:r>
    </w:p>
    <w:p>
      <w:pPr>
        <w:pStyle w:val="26"/>
        <w:spacing w:line="360" w:lineRule="auto"/>
        <w:rPr>
          <w:rFonts w:hAnsi="宋体" w:cs="宋体"/>
          <w:color w:val="auto"/>
          <w:szCs w:val="24"/>
        </w:rPr>
      </w:pPr>
      <w:r>
        <w:rPr>
          <w:rFonts w:hint="eastAsia" w:hAnsi="宋体" w:cs="宋体"/>
          <w:color w:val="auto"/>
          <w:szCs w:val="24"/>
        </w:rPr>
        <w:t>授权代表：                    授权代表：</w:t>
      </w:r>
    </w:p>
    <w:p>
      <w:pPr>
        <w:pStyle w:val="26"/>
        <w:spacing w:line="360" w:lineRule="auto"/>
        <w:rPr>
          <w:rFonts w:hAnsi="宋体" w:cs="宋体"/>
          <w:color w:val="auto"/>
          <w:szCs w:val="24"/>
        </w:rPr>
      </w:pPr>
      <w:r>
        <w:rPr>
          <w:rFonts w:hint="eastAsia" w:hAnsi="宋体" w:cs="宋体"/>
          <w:color w:val="auto"/>
          <w:szCs w:val="24"/>
        </w:rPr>
        <w:t xml:space="preserve">电话：                        电    话： </w:t>
      </w:r>
    </w:p>
    <w:p>
      <w:pPr>
        <w:pStyle w:val="26"/>
        <w:spacing w:line="360" w:lineRule="auto"/>
        <w:rPr>
          <w:rFonts w:hAnsi="宋体" w:cs="宋体"/>
          <w:color w:val="auto"/>
          <w:szCs w:val="24"/>
        </w:rPr>
      </w:pPr>
      <w:r>
        <w:rPr>
          <w:rFonts w:hint="eastAsia" w:hAnsi="宋体" w:cs="宋体"/>
          <w:color w:val="auto"/>
          <w:szCs w:val="24"/>
        </w:rPr>
        <w:t xml:space="preserve">传真：                        传    真： </w:t>
      </w:r>
    </w:p>
    <w:p>
      <w:pPr>
        <w:pStyle w:val="26"/>
        <w:spacing w:line="360" w:lineRule="auto"/>
        <w:rPr>
          <w:rFonts w:hAnsi="宋体" w:cs="宋体"/>
          <w:color w:val="auto"/>
          <w:szCs w:val="24"/>
        </w:rPr>
      </w:pPr>
      <w:r>
        <w:rPr>
          <w:rFonts w:hint="eastAsia" w:hAnsi="宋体" w:cs="宋体"/>
          <w:color w:val="auto"/>
          <w:szCs w:val="24"/>
        </w:rPr>
        <w:t xml:space="preserve">开户银行：                    开户银行： </w:t>
      </w:r>
    </w:p>
    <w:p>
      <w:pPr>
        <w:pStyle w:val="26"/>
        <w:spacing w:line="360" w:lineRule="auto"/>
        <w:rPr>
          <w:rFonts w:hAnsi="宋体" w:cs="宋体"/>
          <w:color w:val="auto"/>
          <w:szCs w:val="24"/>
        </w:rPr>
      </w:pPr>
      <w:r>
        <w:rPr>
          <w:rFonts w:hint="eastAsia" w:hAnsi="宋体" w:cs="宋体"/>
          <w:color w:val="auto"/>
          <w:szCs w:val="24"/>
        </w:rPr>
        <w:t xml:space="preserve">帐号：                        帐    号：   </w:t>
      </w:r>
    </w:p>
    <w:p>
      <w:pPr>
        <w:pStyle w:val="26"/>
        <w:spacing w:line="360" w:lineRule="auto"/>
        <w:rPr>
          <w:rFonts w:hAnsi="宋体" w:cs="宋体"/>
          <w:color w:val="auto"/>
          <w:szCs w:val="24"/>
        </w:rPr>
      </w:pPr>
      <w:r>
        <w:rPr>
          <w:rFonts w:hint="eastAsia" w:hAnsi="宋体" w:cs="宋体"/>
          <w:color w:val="auto"/>
          <w:szCs w:val="24"/>
        </w:rPr>
        <w:t xml:space="preserve">邮政编码：                    邮政编码： </w:t>
      </w:r>
    </w:p>
    <w:p>
      <w:pPr>
        <w:pStyle w:val="26"/>
        <w:spacing w:line="360" w:lineRule="auto"/>
        <w:rPr>
          <w:rFonts w:hAnsi="宋体" w:cs="宋体"/>
          <w:color w:val="auto"/>
          <w:szCs w:val="24"/>
        </w:rPr>
      </w:pPr>
      <w:r>
        <w:rPr>
          <w:rFonts w:hint="eastAsia" w:hAnsi="宋体" w:cs="宋体"/>
          <w:color w:val="auto"/>
          <w:szCs w:val="24"/>
        </w:rPr>
        <w:t>签约时间：20**年  月  日      签约时间：20**年  月  日</w:t>
      </w:r>
    </w:p>
    <w:p>
      <w:pPr>
        <w:pStyle w:val="13"/>
        <w:ind w:firstLine="0" w:firstLineChars="0"/>
        <w:rPr>
          <w:color w:val="auto"/>
        </w:rPr>
      </w:pPr>
      <w:r>
        <w:rPr>
          <w:rFonts w:hint="eastAsia"/>
          <w:color w:val="auto"/>
          <w:szCs w:val="24"/>
        </w:rPr>
        <w:t>签约地点：西安</w:t>
      </w:r>
    </w:p>
    <w:p>
      <w:pPr>
        <w:rPr>
          <w:color w:val="auto"/>
        </w:rPr>
      </w:pPr>
      <w:r>
        <w:rPr>
          <w:color w:val="auto"/>
        </w:rPr>
        <w:br w:type="page"/>
      </w:r>
    </w:p>
    <w:p>
      <w:pPr>
        <w:pStyle w:val="3"/>
        <w:rPr>
          <w:color w:val="auto"/>
        </w:rPr>
      </w:pPr>
      <w:bookmarkStart w:id="84" w:name="_Toc24653"/>
      <w:bookmarkStart w:id="85" w:name="_Toc7656_WPSOffice_Level1"/>
      <w:bookmarkStart w:id="86" w:name="_Toc30765_WPSOffice_Level1"/>
      <w:bookmarkStart w:id="87" w:name="_Toc2020"/>
      <w:bookmarkStart w:id="88" w:name="_Toc25974"/>
      <w:r>
        <w:rPr>
          <w:rFonts w:hint="eastAsia"/>
          <w:color w:val="auto"/>
        </w:rPr>
        <w:t xml:space="preserve">第五章 </w:t>
      </w:r>
      <w:bookmarkEnd w:id="75"/>
      <w:bookmarkEnd w:id="84"/>
      <w:bookmarkEnd w:id="85"/>
      <w:bookmarkEnd w:id="86"/>
      <w:bookmarkEnd w:id="87"/>
      <w:bookmarkEnd w:id="88"/>
      <w:r>
        <w:rPr>
          <w:rFonts w:hint="eastAsia"/>
          <w:color w:val="auto"/>
        </w:rPr>
        <w:t>谈判响应文件格式</w:t>
      </w:r>
    </w:p>
    <w:p>
      <w:pPr>
        <w:rPr>
          <w:color w:val="auto"/>
        </w:rPr>
      </w:pPr>
    </w:p>
    <w:p>
      <w:pPr>
        <w:pStyle w:val="45"/>
        <w:rPr>
          <w:color w:val="auto"/>
        </w:rPr>
      </w:pPr>
    </w:p>
    <w:bookmarkEnd w:id="76"/>
    <w:bookmarkEnd w:id="77"/>
    <w:bookmarkEnd w:id="78"/>
    <w:bookmarkEnd w:id="79"/>
    <w:bookmarkEnd w:id="80"/>
    <w:bookmarkEnd w:id="81"/>
    <w:bookmarkEnd w:id="82"/>
    <w:p>
      <w:pPr>
        <w:jc w:val="right"/>
        <w:outlineLvl w:val="1"/>
        <w:rPr>
          <w:rFonts w:asciiTheme="minorEastAsia" w:hAnsiTheme="minorEastAsia" w:eastAsiaTheme="minorEastAsia" w:cstheme="minorEastAsia"/>
          <w:b/>
          <w:color w:val="auto"/>
          <w:kern w:val="0"/>
          <w:sz w:val="30"/>
          <w:szCs w:val="30"/>
          <w:bdr w:val="single" w:color="auto" w:sz="4" w:space="0"/>
        </w:rPr>
      </w:pPr>
      <w:bookmarkStart w:id="89" w:name="_Toc26060_WPSOffice_Level1"/>
      <w:bookmarkStart w:id="90" w:name="_Toc28128_WPSOffice_Level1"/>
      <w:bookmarkStart w:id="91" w:name="_Toc385992404"/>
      <w:bookmarkStart w:id="92" w:name="_Toc497712137"/>
      <w:bookmarkStart w:id="93" w:name="_Toc492955463"/>
      <w:bookmarkStart w:id="94" w:name="_Toc497546922"/>
      <w:bookmarkStart w:id="95" w:name="_Toc246928962"/>
      <w:bookmarkStart w:id="96" w:name="_Toc246928961"/>
      <w:bookmarkStart w:id="97" w:name="_Toc497711589"/>
      <w:bookmarkStart w:id="98" w:name="_Toc389620244"/>
      <w:bookmarkStart w:id="99" w:name="_Toc128557264"/>
      <w:bookmarkStart w:id="100" w:name="_Toc497551824"/>
      <w:r>
        <w:rPr>
          <w:rFonts w:hint="eastAsia" w:asciiTheme="minorEastAsia" w:hAnsiTheme="minorEastAsia" w:eastAsiaTheme="minorEastAsia" w:cstheme="minorEastAsia"/>
          <w:b/>
          <w:color w:val="auto"/>
          <w:sz w:val="30"/>
          <w:szCs w:val="30"/>
        </w:rPr>
        <w:t xml:space="preserve">               </w:t>
      </w:r>
      <w:r>
        <w:rPr>
          <w:rFonts w:hint="eastAsia" w:asciiTheme="minorEastAsia" w:hAnsiTheme="minorEastAsia" w:eastAsiaTheme="minorEastAsia" w:cstheme="minorEastAsia"/>
          <w:b/>
          <w:color w:val="auto"/>
          <w:kern w:val="0"/>
          <w:sz w:val="30"/>
          <w:szCs w:val="30"/>
          <w:bdr w:val="single" w:color="auto" w:sz="4" w:space="0"/>
        </w:rPr>
        <w:t>正/副本</w:t>
      </w:r>
      <w:bookmarkEnd w:id="89"/>
      <w:bookmarkEnd w:id="90"/>
    </w:p>
    <w:p>
      <w:pPr>
        <w:rPr>
          <w:rFonts w:asciiTheme="minorEastAsia" w:hAnsiTheme="minorEastAsia" w:eastAsiaTheme="minorEastAsia" w:cstheme="minorEastAsia"/>
          <w:b/>
          <w:color w:val="auto"/>
          <w:sz w:val="44"/>
          <w:szCs w:val="44"/>
        </w:rPr>
      </w:pPr>
    </w:p>
    <w:p>
      <w:pPr>
        <w:spacing w:line="700" w:lineRule="exact"/>
        <w:rPr>
          <w:rFonts w:asciiTheme="minorEastAsia" w:hAnsiTheme="minorEastAsia" w:eastAsiaTheme="minorEastAsia" w:cstheme="minorEastAsia"/>
          <w:b/>
          <w:color w:val="auto"/>
          <w:kern w:val="0"/>
          <w:sz w:val="40"/>
          <w:szCs w:val="52"/>
        </w:rPr>
      </w:pPr>
    </w:p>
    <w:p>
      <w:pPr>
        <w:spacing w:line="360" w:lineRule="auto"/>
        <w:jc w:val="center"/>
        <w:outlineLvl w:val="1"/>
        <w:rPr>
          <w:rFonts w:hint="eastAsia" w:asciiTheme="minorEastAsia" w:hAnsiTheme="minorEastAsia" w:eastAsiaTheme="minorEastAsia" w:cstheme="minorEastAsia"/>
          <w:b/>
          <w:color w:val="auto"/>
          <w:kern w:val="0"/>
          <w:sz w:val="52"/>
          <w:szCs w:val="52"/>
          <w:lang w:eastAsia="zh-CN"/>
        </w:rPr>
      </w:pPr>
      <w:r>
        <w:rPr>
          <w:rFonts w:hint="eastAsia" w:asciiTheme="minorEastAsia" w:hAnsiTheme="minorEastAsia" w:eastAsiaTheme="minorEastAsia" w:cstheme="minorEastAsia"/>
          <w:b/>
          <w:color w:val="auto"/>
          <w:kern w:val="0"/>
          <w:sz w:val="52"/>
          <w:szCs w:val="52"/>
          <w:lang w:eastAsia="zh-CN"/>
        </w:rPr>
        <w:t>西安科技大学物理实验教学中心升级改造建设项目（二次）</w:t>
      </w:r>
    </w:p>
    <w:p>
      <w:pPr>
        <w:spacing w:line="360" w:lineRule="auto"/>
        <w:jc w:val="center"/>
        <w:rPr>
          <w:rFonts w:ascii="宋体" w:hAnsi="宋体" w:cs="宋体"/>
          <w:b/>
          <w:color w:val="auto"/>
          <w:sz w:val="32"/>
          <w:szCs w:val="32"/>
        </w:rPr>
      </w:pPr>
      <w:r>
        <w:rPr>
          <w:rFonts w:hint="eastAsia" w:ascii="宋体" w:hAnsi="宋体" w:cs="宋体"/>
          <w:b/>
          <w:color w:val="auto"/>
          <w:sz w:val="32"/>
          <w:szCs w:val="32"/>
        </w:rPr>
        <w:t>项目编号：ZHZB-2022-JT-XXXX</w:t>
      </w:r>
    </w:p>
    <w:p>
      <w:pPr>
        <w:spacing w:line="360" w:lineRule="auto"/>
        <w:jc w:val="center"/>
        <w:rPr>
          <w:rFonts w:asciiTheme="minorEastAsia" w:hAnsiTheme="minorEastAsia" w:eastAsiaTheme="minorEastAsia" w:cstheme="minorEastAsia"/>
          <w:b/>
          <w:color w:val="auto"/>
          <w:kern w:val="0"/>
          <w:sz w:val="40"/>
          <w:szCs w:val="52"/>
        </w:rPr>
      </w:pPr>
    </w:p>
    <w:p>
      <w:pPr>
        <w:spacing w:line="360" w:lineRule="auto"/>
        <w:outlineLvl w:val="1"/>
        <w:rPr>
          <w:rFonts w:asciiTheme="minorEastAsia" w:hAnsiTheme="minorEastAsia" w:eastAsiaTheme="minorEastAsia" w:cstheme="minorEastAsia"/>
          <w:b/>
          <w:color w:val="auto"/>
          <w:sz w:val="64"/>
          <w:szCs w:val="64"/>
        </w:rPr>
      </w:pPr>
    </w:p>
    <w:p>
      <w:pPr>
        <w:spacing w:line="360" w:lineRule="auto"/>
        <w:jc w:val="center"/>
        <w:outlineLvl w:val="1"/>
        <w:rPr>
          <w:rFonts w:asciiTheme="minorEastAsia" w:hAnsiTheme="minorEastAsia" w:eastAsiaTheme="minorEastAsia" w:cstheme="minorEastAsia"/>
          <w:b/>
          <w:color w:val="auto"/>
          <w:sz w:val="64"/>
          <w:szCs w:val="64"/>
        </w:rPr>
      </w:pPr>
      <w:r>
        <w:rPr>
          <w:rFonts w:hint="eastAsia" w:asciiTheme="minorEastAsia" w:hAnsiTheme="minorEastAsia" w:eastAsiaTheme="minorEastAsia" w:cstheme="minorEastAsia"/>
          <w:b/>
          <w:color w:val="auto"/>
          <w:sz w:val="64"/>
          <w:szCs w:val="64"/>
        </w:rPr>
        <w:t xml:space="preserve">谈判响应文件 </w:t>
      </w: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pStyle w:val="45"/>
        <w:spacing w:line="360" w:lineRule="auto"/>
        <w:rPr>
          <w:color w:val="auto"/>
        </w:rPr>
      </w:pPr>
    </w:p>
    <w:p>
      <w:pPr>
        <w:spacing w:line="360" w:lineRule="auto"/>
        <w:rPr>
          <w:rFonts w:asciiTheme="minorEastAsia" w:hAnsiTheme="minorEastAsia" w:eastAsiaTheme="minorEastAsia" w:cstheme="minorEastAsia"/>
          <w:b/>
          <w:color w:val="auto"/>
          <w:sz w:val="32"/>
        </w:rPr>
      </w:pPr>
    </w:p>
    <w:p>
      <w:pPr>
        <w:spacing w:line="360" w:lineRule="auto"/>
        <w:ind w:firstLine="1265" w:firstLineChars="450"/>
        <w:rPr>
          <w:rFonts w:asciiTheme="minorEastAsia" w:hAnsiTheme="minorEastAsia" w:eastAsiaTheme="minorEastAsia" w:cstheme="minorEastAsia"/>
          <w:b/>
          <w:color w:val="auto"/>
          <w:sz w:val="28"/>
        </w:rPr>
      </w:pPr>
    </w:p>
    <w:p>
      <w:pPr>
        <w:pStyle w:val="45"/>
        <w:spacing w:line="360" w:lineRule="auto"/>
        <w:rPr>
          <w:color w:val="auto"/>
        </w:rPr>
      </w:pPr>
    </w:p>
    <w:p>
      <w:pPr>
        <w:pStyle w:val="45"/>
        <w:spacing w:line="360" w:lineRule="auto"/>
        <w:ind w:firstLine="0"/>
        <w:rPr>
          <w:color w:val="auto"/>
        </w:rPr>
      </w:pPr>
    </w:p>
    <w:p>
      <w:pPr>
        <w:spacing w:line="360" w:lineRule="auto"/>
        <w:ind w:firstLine="422" w:firstLineChars="150"/>
        <w:outlineLvl w:val="0"/>
        <w:rPr>
          <w:rFonts w:asciiTheme="minorEastAsia" w:hAnsiTheme="minorEastAsia" w:eastAsiaTheme="minorEastAsia" w:cstheme="minorEastAsia"/>
          <w:b/>
          <w:color w:val="auto"/>
          <w:sz w:val="28"/>
          <w:szCs w:val="22"/>
        </w:rPr>
      </w:pPr>
      <w:r>
        <w:rPr>
          <w:rFonts w:hint="eastAsia" w:asciiTheme="minorEastAsia" w:hAnsiTheme="minorEastAsia" w:eastAsiaTheme="minorEastAsia" w:cstheme="minorEastAsia"/>
          <w:b/>
          <w:color w:val="auto"/>
          <w:sz w:val="28"/>
        </w:rPr>
        <w:t xml:space="preserve">           </w:t>
      </w:r>
      <w:bookmarkStart w:id="101" w:name="_Toc2998"/>
      <w:bookmarkStart w:id="102" w:name="_Toc25247"/>
      <w:bookmarkStart w:id="103" w:name="_Toc9386"/>
      <w:bookmarkStart w:id="104" w:name="_Toc2335"/>
      <w:bookmarkStart w:id="105" w:name="_Toc27531"/>
      <w:bookmarkStart w:id="106" w:name="_Toc20865"/>
      <w:r>
        <w:rPr>
          <w:rFonts w:hint="eastAsia" w:asciiTheme="minorEastAsia" w:hAnsiTheme="minorEastAsia" w:eastAsiaTheme="minorEastAsia" w:cstheme="minorEastAsia"/>
          <w:b/>
          <w:color w:val="auto"/>
          <w:sz w:val="28"/>
        </w:rPr>
        <w:t>供       应       商：</w:t>
      </w:r>
      <w:r>
        <w:rPr>
          <w:rFonts w:hint="eastAsia" w:asciiTheme="minorEastAsia" w:hAnsiTheme="minorEastAsia" w:eastAsiaTheme="minorEastAsia" w:cstheme="minorEastAsia"/>
          <w:b/>
          <w:color w:val="auto"/>
          <w:sz w:val="28"/>
          <w:u w:val="single"/>
        </w:rPr>
        <w:t xml:space="preserve">            </w:t>
      </w:r>
      <w:r>
        <w:rPr>
          <w:rFonts w:hint="eastAsia" w:asciiTheme="minorEastAsia" w:hAnsiTheme="minorEastAsia" w:eastAsiaTheme="minorEastAsia" w:cstheme="minorEastAsia"/>
          <w:b/>
          <w:color w:val="auto"/>
          <w:sz w:val="28"/>
          <w:szCs w:val="22"/>
        </w:rPr>
        <w:t>（公章）</w:t>
      </w:r>
      <w:bookmarkEnd w:id="101"/>
      <w:bookmarkEnd w:id="102"/>
      <w:bookmarkEnd w:id="103"/>
      <w:bookmarkEnd w:id="104"/>
      <w:bookmarkEnd w:id="105"/>
      <w:bookmarkEnd w:id="106"/>
    </w:p>
    <w:p>
      <w:pPr>
        <w:spacing w:line="360" w:lineRule="auto"/>
        <w:ind w:firstLine="422" w:firstLineChars="150"/>
        <w:outlineLvl w:val="0"/>
        <w:rPr>
          <w:rFonts w:asciiTheme="minorEastAsia" w:hAnsiTheme="minorEastAsia" w:eastAsiaTheme="minorEastAsia" w:cstheme="minorEastAsia"/>
          <w:b/>
          <w:color w:val="auto"/>
          <w:sz w:val="28"/>
          <w:szCs w:val="22"/>
        </w:rPr>
      </w:pPr>
      <w:r>
        <w:rPr>
          <w:rFonts w:hint="eastAsia" w:asciiTheme="minorEastAsia" w:hAnsiTheme="minorEastAsia" w:eastAsiaTheme="minorEastAsia" w:cstheme="minorEastAsia"/>
          <w:b/>
          <w:color w:val="auto"/>
          <w:sz w:val="28"/>
          <w:szCs w:val="22"/>
        </w:rPr>
        <w:t xml:space="preserve">           </w:t>
      </w:r>
      <w:bookmarkStart w:id="107" w:name="_Toc11402"/>
      <w:bookmarkStart w:id="108" w:name="_Toc29052"/>
      <w:bookmarkStart w:id="109" w:name="_Toc20189"/>
      <w:bookmarkStart w:id="110" w:name="_Toc2564"/>
      <w:bookmarkStart w:id="111" w:name="_Toc5862"/>
      <w:bookmarkStart w:id="112" w:name="_Toc8601"/>
      <w:r>
        <w:rPr>
          <w:rFonts w:hint="eastAsia" w:asciiTheme="minorEastAsia" w:hAnsiTheme="minorEastAsia" w:eastAsiaTheme="minorEastAsia" w:cstheme="minorEastAsia"/>
          <w:b/>
          <w:color w:val="auto"/>
          <w:sz w:val="28"/>
          <w:szCs w:val="22"/>
        </w:rPr>
        <w:t>法定代表人或授权代表：</w:t>
      </w:r>
      <w:r>
        <w:rPr>
          <w:rFonts w:hint="eastAsia" w:asciiTheme="minorEastAsia" w:hAnsiTheme="minorEastAsia" w:eastAsiaTheme="minorEastAsia" w:cstheme="minorEastAsia"/>
          <w:b/>
          <w:color w:val="auto"/>
          <w:sz w:val="28"/>
          <w:szCs w:val="22"/>
          <w:u w:val="single"/>
        </w:rPr>
        <w:t xml:space="preserve">      </w:t>
      </w:r>
      <w:r>
        <w:rPr>
          <w:rFonts w:hint="eastAsia" w:asciiTheme="minorEastAsia" w:hAnsiTheme="minorEastAsia" w:eastAsiaTheme="minorEastAsia" w:cstheme="minorEastAsia"/>
          <w:b/>
          <w:color w:val="auto"/>
          <w:sz w:val="28"/>
          <w:szCs w:val="22"/>
        </w:rPr>
        <w:t>（签字或盖章）</w:t>
      </w:r>
      <w:bookmarkEnd w:id="107"/>
      <w:bookmarkEnd w:id="108"/>
      <w:bookmarkEnd w:id="109"/>
      <w:bookmarkEnd w:id="110"/>
      <w:bookmarkEnd w:id="111"/>
      <w:bookmarkEnd w:id="112"/>
      <w:r>
        <w:rPr>
          <w:rFonts w:hint="eastAsia" w:asciiTheme="minorEastAsia" w:hAnsiTheme="minorEastAsia" w:eastAsiaTheme="minorEastAsia" w:cstheme="minorEastAsia"/>
          <w:b/>
          <w:color w:val="auto"/>
          <w:sz w:val="28"/>
          <w:szCs w:val="22"/>
        </w:rPr>
        <w:t xml:space="preserve">      </w:t>
      </w:r>
    </w:p>
    <w:p>
      <w:pPr>
        <w:spacing w:line="360" w:lineRule="auto"/>
        <w:ind w:firstLine="1968" w:firstLineChars="700"/>
        <w:outlineLvl w:val="0"/>
        <w:rPr>
          <w:rFonts w:asciiTheme="minorEastAsia" w:hAnsiTheme="minorEastAsia" w:eastAsiaTheme="minorEastAsia" w:cstheme="minorEastAsia"/>
          <w:color w:val="auto"/>
        </w:rPr>
      </w:pPr>
      <w:bookmarkStart w:id="113" w:name="_Toc24095"/>
      <w:bookmarkStart w:id="114" w:name="_Toc1343"/>
      <w:bookmarkStart w:id="115" w:name="_Toc16303"/>
      <w:bookmarkStart w:id="116" w:name="_Toc31082"/>
      <w:bookmarkStart w:id="117" w:name="_Toc21507"/>
      <w:bookmarkStart w:id="118" w:name="_Toc11689"/>
      <w:r>
        <w:rPr>
          <w:rFonts w:hint="eastAsia" w:asciiTheme="minorEastAsia" w:hAnsiTheme="minorEastAsia" w:eastAsiaTheme="minorEastAsia" w:cstheme="minorEastAsia"/>
          <w:b/>
          <w:color w:val="auto"/>
          <w:sz w:val="28"/>
        </w:rPr>
        <w:t>日                期：</w:t>
      </w:r>
      <w:r>
        <w:rPr>
          <w:rFonts w:hint="eastAsia" w:asciiTheme="minorEastAsia" w:hAnsiTheme="minorEastAsia" w:eastAsiaTheme="minorEastAsia" w:cstheme="minorEastAsia"/>
          <w:b/>
          <w:color w:val="auto"/>
          <w:sz w:val="28"/>
          <w:u w:val="single"/>
        </w:rPr>
        <w:t xml:space="preserve">    </w:t>
      </w:r>
      <w:r>
        <w:rPr>
          <w:rFonts w:hint="eastAsia" w:asciiTheme="minorEastAsia" w:hAnsiTheme="minorEastAsia" w:eastAsiaTheme="minorEastAsia" w:cstheme="minorEastAsia"/>
          <w:b/>
          <w:color w:val="auto"/>
          <w:sz w:val="28"/>
        </w:rPr>
        <w:t>年</w:t>
      </w:r>
      <w:r>
        <w:rPr>
          <w:rFonts w:hint="eastAsia" w:asciiTheme="minorEastAsia" w:hAnsiTheme="minorEastAsia" w:eastAsiaTheme="minorEastAsia" w:cstheme="minorEastAsia"/>
          <w:b/>
          <w:color w:val="auto"/>
          <w:sz w:val="28"/>
          <w:u w:val="single"/>
        </w:rPr>
        <w:t xml:space="preserve">  </w:t>
      </w:r>
      <w:r>
        <w:rPr>
          <w:rFonts w:hint="eastAsia" w:asciiTheme="minorEastAsia" w:hAnsiTheme="minorEastAsia" w:eastAsiaTheme="minorEastAsia" w:cstheme="minorEastAsia"/>
          <w:b/>
          <w:color w:val="auto"/>
          <w:sz w:val="28"/>
        </w:rPr>
        <w:t>月</w:t>
      </w:r>
      <w:r>
        <w:rPr>
          <w:rFonts w:hint="eastAsia" w:asciiTheme="minorEastAsia" w:hAnsiTheme="minorEastAsia" w:eastAsiaTheme="minorEastAsia" w:cstheme="minorEastAsia"/>
          <w:b/>
          <w:color w:val="auto"/>
          <w:sz w:val="28"/>
          <w:u w:val="single"/>
        </w:rPr>
        <w:t xml:space="preserve">  </w:t>
      </w:r>
      <w:r>
        <w:rPr>
          <w:rFonts w:hint="eastAsia" w:asciiTheme="minorEastAsia" w:hAnsiTheme="minorEastAsia" w:eastAsiaTheme="minorEastAsia" w:cstheme="minorEastAsia"/>
          <w:b/>
          <w:color w:val="auto"/>
          <w:sz w:val="28"/>
        </w:rPr>
        <w:t>日</w:t>
      </w:r>
      <w:bookmarkEnd w:id="113"/>
      <w:bookmarkEnd w:id="114"/>
      <w:bookmarkEnd w:id="115"/>
      <w:bookmarkEnd w:id="116"/>
      <w:bookmarkEnd w:id="117"/>
      <w:bookmarkEnd w:id="118"/>
    </w:p>
    <w:p>
      <w:pPr>
        <w:pStyle w:val="4"/>
        <w:spacing w:line="800" w:lineRule="exact"/>
        <w:rPr>
          <w:rFonts w:asciiTheme="minorEastAsia" w:hAnsiTheme="minorEastAsia" w:eastAsiaTheme="minorEastAsia" w:cstheme="minorEastAsia"/>
          <w:color w:val="auto"/>
        </w:rPr>
        <w:sectPr>
          <w:headerReference r:id="rId9" w:type="default"/>
          <w:footerReference r:id="rId10" w:type="default"/>
          <w:footnotePr>
            <w:pos w:val="beneathText"/>
          </w:footnotePr>
          <w:pgSz w:w="11905" w:h="16838"/>
          <w:pgMar w:top="1440" w:right="1440" w:bottom="1440" w:left="1587" w:header="850" w:footer="992" w:gutter="0"/>
          <w:cols w:space="0" w:num="1"/>
          <w:titlePg/>
          <w:docGrid w:linePitch="312" w:charSpace="0"/>
        </w:sectPr>
      </w:pPr>
      <w:bookmarkStart w:id="119" w:name="_Toc21305"/>
      <w:bookmarkStart w:id="120" w:name="_Toc357087380"/>
    </w:p>
    <w:p>
      <w:pPr>
        <w:pStyle w:val="26"/>
        <w:spacing w:line="500" w:lineRule="exact"/>
        <w:ind w:firstLine="883" w:firstLineChars="200"/>
        <w:jc w:val="center"/>
        <w:rPr>
          <w:rFonts w:hAnsi="宋体" w:cs="宋体"/>
          <w:b/>
          <w:color w:val="auto"/>
          <w:sz w:val="44"/>
          <w:szCs w:val="44"/>
        </w:rPr>
      </w:pPr>
      <w:bookmarkStart w:id="121" w:name="_Toc6307"/>
      <w:bookmarkStart w:id="122" w:name="_Toc11365"/>
      <w:bookmarkStart w:id="123" w:name="_Toc19230"/>
      <w:bookmarkStart w:id="124" w:name="_Toc6510"/>
      <w:bookmarkStart w:id="125" w:name="_Toc28703"/>
      <w:bookmarkStart w:id="126" w:name="_Toc15488"/>
      <w:bookmarkStart w:id="127" w:name="_Toc24898_WPSOffice_Level1"/>
      <w:bookmarkStart w:id="128" w:name="_Toc28873"/>
      <w:bookmarkStart w:id="129" w:name="_Toc6546"/>
      <w:r>
        <w:rPr>
          <w:rFonts w:hint="eastAsia" w:hAnsi="宋体" w:cs="宋体"/>
          <w:b/>
          <w:color w:val="auto"/>
          <w:sz w:val="44"/>
          <w:szCs w:val="44"/>
        </w:rPr>
        <w:t>目    录</w:t>
      </w:r>
    </w:p>
    <w:p>
      <w:pPr>
        <w:pStyle w:val="26"/>
        <w:spacing w:line="500" w:lineRule="exact"/>
        <w:ind w:firstLine="883" w:firstLineChars="200"/>
        <w:jc w:val="center"/>
        <w:rPr>
          <w:rFonts w:hAnsi="宋体" w:cs="宋体"/>
          <w:b/>
          <w:color w:val="auto"/>
          <w:sz w:val="44"/>
          <w:szCs w:val="44"/>
        </w:rPr>
      </w:pPr>
    </w:p>
    <w:p>
      <w:pPr>
        <w:pStyle w:val="26"/>
        <w:spacing w:line="360" w:lineRule="auto"/>
        <w:ind w:firstLine="602" w:firstLineChars="200"/>
        <w:rPr>
          <w:rFonts w:hAnsi="宋体" w:cs="宋体"/>
          <w:b/>
          <w:bCs/>
          <w:color w:val="auto"/>
          <w:sz w:val="30"/>
          <w:szCs w:val="30"/>
        </w:rPr>
      </w:pPr>
      <w:r>
        <w:rPr>
          <w:rFonts w:hint="eastAsia" w:hAnsi="宋体" w:cs="宋体"/>
          <w:b/>
          <w:bCs/>
          <w:color w:val="auto"/>
          <w:sz w:val="30"/>
          <w:szCs w:val="30"/>
        </w:rPr>
        <w:t>一、响应函</w:t>
      </w:r>
    </w:p>
    <w:p>
      <w:pPr>
        <w:spacing w:line="360" w:lineRule="auto"/>
        <w:ind w:firstLine="602" w:firstLineChars="200"/>
        <w:rPr>
          <w:rFonts w:ascii="宋体" w:hAnsi="宋体" w:cs="宋体"/>
          <w:b/>
          <w:color w:val="auto"/>
          <w:sz w:val="30"/>
          <w:szCs w:val="30"/>
        </w:rPr>
      </w:pPr>
      <w:r>
        <w:rPr>
          <w:rFonts w:hint="eastAsia" w:ascii="宋体" w:hAnsi="宋体" w:cs="宋体"/>
          <w:b/>
          <w:color w:val="auto"/>
          <w:sz w:val="30"/>
          <w:szCs w:val="30"/>
        </w:rPr>
        <w:t>二、响应报价表</w:t>
      </w:r>
    </w:p>
    <w:p>
      <w:pPr>
        <w:pStyle w:val="26"/>
        <w:spacing w:line="360" w:lineRule="auto"/>
        <w:ind w:firstLine="602" w:firstLineChars="200"/>
        <w:rPr>
          <w:rFonts w:hAnsi="宋体" w:cs="宋体"/>
          <w:b/>
          <w:bCs/>
          <w:color w:val="auto"/>
          <w:sz w:val="30"/>
          <w:szCs w:val="30"/>
        </w:rPr>
      </w:pPr>
      <w:r>
        <w:rPr>
          <w:rFonts w:hint="eastAsia" w:hAnsi="宋体" w:cs="宋体"/>
          <w:b/>
          <w:bCs/>
          <w:color w:val="auto"/>
          <w:sz w:val="30"/>
          <w:szCs w:val="30"/>
        </w:rPr>
        <w:t>三、</w:t>
      </w:r>
      <w:r>
        <w:rPr>
          <w:rFonts w:hint="eastAsia" w:hAnsi="宋体" w:cs="宋体"/>
          <w:b/>
          <w:color w:val="auto"/>
          <w:sz w:val="30"/>
          <w:szCs w:val="30"/>
        </w:rPr>
        <w:t>响应方案说明</w:t>
      </w:r>
    </w:p>
    <w:p>
      <w:pPr>
        <w:pStyle w:val="26"/>
        <w:spacing w:line="360" w:lineRule="auto"/>
        <w:ind w:firstLine="602" w:firstLineChars="200"/>
        <w:rPr>
          <w:rFonts w:hAnsi="宋体" w:cs="宋体"/>
          <w:b/>
          <w:bCs/>
          <w:color w:val="auto"/>
          <w:sz w:val="30"/>
          <w:szCs w:val="30"/>
        </w:rPr>
      </w:pPr>
      <w:r>
        <w:rPr>
          <w:rFonts w:hint="eastAsia" w:hAnsi="宋体" w:cs="宋体"/>
          <w:b/>
          <w:bCs/>
          <w:color w:val="auto"/>
          <w:sz w:val="30"/>
          <w:szCs w:val="30"/>
        </w:rPr>
        <w:t>四、商务响应偏离表</w:t>
      </w:r>
    </w:p>
    <w:p>
      <w:pPr>
        <w:pStyle w:val="26"/>
        <w:spacing w:line="360" w:lineRule="auto"/>
        <w:ind w:firstLine="602" w:firstLineChars="200"/>
        <w:rPr>
          <w:rFonts w:hAnsi="宋体" w:cs="宋体"/>
          <w:b/>
          <w:bCs/>
          <w:color w:val="auto"/>
          <w:sz w:val="30"/>
          <w:szCs w:val="30"/>
        </w:rPr>
      </w:pPr>
      <w:r>
        <w:rPr>
          <w:rFonts w:hint="eastAsia" w:hAnsi="宋体" w:cs="宋体"/>
          <w:b/>
          <w:bCs/>
          <w:color w:val="auto"/>
          <w:sz w:val="30"/>
          <w:szCs w:val="30"/>
        </w:rPr>
        <w:t>五、资质证明文件</w:t>
      </w:r>
    </w:p>
    <w:p>
      <w:pPr>
        <w:spacing w:line="360" w:lineRule="auto"/>
        <w:ind w:firstLine="602" w:firstLineChars="200"/>
        <w:rPr>
          <w:rFonts w:ascii="宋体" w:hAnsi="宋体" w:cs="宋体"/>
          <w:b/>
          <w:color w:val="auto"/>
          <w:sz w:val="30"/>
          <w:szCs w:val="30"/>
        </w:rPr>
      </w:pPr>
      <w:r>
        <w:rPr>
          <w:rFonts w:hint="eastAsia" w:ascii="宋体" w:hAnsi="宋体" w:cs="宋体"/>
          <w:b/>
          <w:bCs/>
          <w:color w:val="auto"/>
          <w:sz w:val="30"/>
          <w:szCs w:val="30"/>
        </w:rPr>
        <w:t>六、供应商承诺书</w:t>
      </w:r>
    </w:p>
    <w:p>
      <w:pPr>
        <w:pStyle w:val="4"/>
        <w:rPr>
          <w:rFonts w:ascii="宋体" w:hAnsi="宋体" w:cs="宋体"/>
          <w:color w:val="auto"/>
        </w:rPr>
      </w:pPr>
      <w:r>
        <w:rPr>
          <w:rFonts w:hint="eastAsia"/>
          <w:color w:val="auto"/>
        </w:rPr>
        <w:br w:type="page"/>
      </w:r>
      <w:r>
        <w:rPr>
          <w:rFonts w:hint="eastAsia" w:ascii="宋体" w:hAnsi="宋体" w:cs="宋体"/>
          <w:color w:val="auto"/>
        </w:rPr>
        <w:t>一、响应函</w:t>
      </w:r>
    </w:p>
    <w:p>
      <w:pPr>
        <w:pStyle w:val="13"/>
        <w:ind w:firstLine="0" w:firstLineChars="0"/>
        <w:rPr>
          <w:color w:val="auto"/>
        </w:rPr>
      </w:pPr>
      <w:r>
        <w:rPr>
          <w:rFonts w:hint="eastAsia"/>
          <w:color w:val="auto"/>
        </w:rPr>
        <w:t>致：陕西正鸿招标有限公司</w:t>
      </w:r>
    </w:p>
    <w:p>
      <w:pPr>
        <w:pStyle w:val="13"/>
        <w:ind w:firstLine="480"/>
        <w:rPr>
          <w:color w:val="auto"/>
        </w:rPr>
      </w:pPr>
      <w:r>
        <w:rPr>
          <w:rFonts w:hint="eastAsia"/>
          <w:color w:val="auto"/>
        </w:rPr>
        <w:t>根据贵方</w:t>
      </w:r>
      <w:r>
        <w:rPr>
          <w:rFonts w:hint="eastAsia"/>
          <w:color w:val="auto"/>
          <w:u w:val="single"/>
        </w:rPr>
        <w:t xml:space="preserve">        （项目名称）      </w:t>
      </w:r>
      <w:r>
        <w:rPr>
          <w:rFonts w:hint="eastAsia"/>
          <w:color w:val="auto"/>
        </w:rPr>
        <w:t>的竞争性谈判文件(项目编号：</w:t>
      </w:r>
      <w:r>
        <w:rPr>
          <w:rFonts w:hint="eastAsia"/>
          <w:color w:val="auto"/>
          <w:u w:val="single"/>
        </w:rPr>
        <w:t xml:space="preserve">        </w:t>
      </w:r>
      <w:r>
        <w:rPr>
          <w:rFonts w:hint="eastAsia"/>
          <w:color w:val="auto"/>
        </w:rPr>
        <w:t>)，签字代表</w:t>
      </w:r>
      <w:r>
        <w:rPr>
          <w:rFonts w:hint="eastAsia"/>
          <w:color w:val="auto"/>
          <w:u w:val="single"/>
        </w:rPr>
        <w:t>（全名、职务）</w:t>
      </w:r>
      <w:r>
        <w:rPr>
          <w:rFonts w:hint="eastAsia"/>
          <w:color w:val="auto"/>
        </w:rPr>
        <w:t>经正式授权并代表供应商</w:t>
      </w:r>
      <w:r>
        <w:rPr>
          <w:rFonts w:hint="eastAsia"/>
          <w:color w:val="auto"/>
          <w:u w:val="single"/>
        </w:rPr>
        <w:t xml:space="preserve">（供应商名称、地址） </w:t>
      </w:r>
      <w:r>
        <w:rPr>
          <w:rFonts w:hint="eastAsia"/>
          <w:color w:val="auto"/>
        </w:rPr>
        <w:t>提交响应文件正本壹份、副本一式</w:t>
      </w:r>
      <w:r>
        <w:rPr>
          <w:rFonts w:hint="eastAsia"/>
          <w:color w:val="auto"/>
          <w:u w:val="single"/>
        </w:rPr>
        <w:t xml:space="preserve">   </w:t>
      </w:r>
      <w:r>
        <w:rPr>
          <w:rFonts w:hint="eastAsia"/>
          <w:color w:val="auto"/>
        </w:rPr>
        <w:t>份、电子版</w:t>
      </w:r>
      <w:r>
        <w:rPr>
          <w:rFonts w:hint="eastAsia"/>
          <w:color w:val="auto"/>
          <w:u w:val="single"/>
        </w:rPr>
        <w:t xml:space="preserve">   </w:t>
      </w:r>
      <w:r>
        <w:rPr>
          <w:rFonts w:hint="eastAsia"/>
          <w:color w:val="auto"/>
        </w:rPr>
        <w:t>份。</w:t>
      </w:r>
    </w:p>
    <w:p>
      <w:pPr>
        <w:pStyle w:val="13"/>
        <w:ind w:firstLine="480"/>
        <w:rPr>
          <w:color w:val="auto"/>
        </w:rPr>
      </w:pPr>
      <w:r>
        <w:rPr>
          <w:rFonts w:hint="eastAsia"/>
          <w:color w:val="auto"/>
        </w:rPr>
        <w:t>我方承诺如下：</w:t>
      </w:r>
    </w:p>
    <w:p>
      <w:pPr>
        <w:pStyle w:val="13"/>
        <w:ind w:firstLine="480"/>
        <w:rPr>
          <w:color w:val="auto"/>
        </w:rPr>
      </w:pPr>
      <w:r>
        <w:rPr>
          <w:rFonts w:hint="eastAsia"/>
          <w:color w:val="auto"/>
        </w:rPr>
        <w:t>1）谈判响应报价为：（大写）：</w:t>
      </w:r>
      <w:r>
        <w:rPr>
          <w:rFonts w:hint="eastAsia"/>
          <w:color w:val="auto"/>
          <w:u w:val="single"/>
        </w:rPr>
        <w:t xml:space="preserve">     </w:t>
      </w:r>
      <w:r>
        <w:rPr>
          <w:rFonts w:hint="eastAsia"/>
          <w:color w:val="auto"/>
          <w:szCs w:val="22"/>
        </w:rPr>
        <w:t>元</w:t>
      </w:r>
      <w:r>
        <w:rPr>
          <w:rFonts w:hint="eastAsia"/>
          <w:color w:val="auto"/>
        </w:rPr>
        <w:t>；（小写）：</w:t>
      </w:r>
      <w:r>
        <w:rPr>
          <w:rFonts w:hint="eastAsia"/>
          <w:color w:val="auto"/>
          <w:u w:val="single"/>
        </w:rPr>
        <w:t xml:space="preserve">     </w:t>
      </w:r>
      <w:r>
        <w:rPr>
          <w:rFonts w:hint="eastAsia"/>
          <w:color w:val="auto"/>
          <w:szCs w:val="22"/>
        </w:rPr>
        <w:t>元</w:t>
      </w:r>
      <w:r>
        <w:rPr>
          <w:rFonts w:hint="eastAsia"/>
          <w:color w:val="auto"/>
        </w:rPr>
        <w:t>。</w:t>
      </w:r>
    </w:p>
    <w:p>
      <w:pPr>
        <w:pStyle w:val="13"/>
        <w:ind w:firstLine="480"/>
        <w:rPr>
          <w:color w:val="auto"/>
        </w:rPr>
      </w:pPr>
      <w:r>
        <w:rPr>
          <w:rFonts w:hint="eastAsia"/>
          <w:color w:val="auto"/>
        </w:rPr>
        <w:t>2）如果成交，我们根据竞争性谈判文件的规定，履行合同的责任和义务。</w:t>
      </w:r>
    </w:p>
    <w:p>
      <w:pPr>
        <w:pStyle w:val="13"/>
        <w:ind w:firstLine="480"/>
        <w:rPr>
          <w:color w:val="auto"/>
        </w:rPr>
      </w:pPr>
      <w:r>
        <w:rPr>
          <w:rFonts w:hint="eastAsia"/>
          <w:color w:val="auto"/>
        </w:rPr>
        <w:t>3）我们已详细阅读和审核全部竞争性谈判文件（含修改部分，如有的话），及有关附件，我们知道必须放弃提出含糊不清或误解的问题的权利。</w:t>
      </w:r>
    </w:p>
    <w:p>
      <w:pPr>
        <w:pStyle w:val="13"/>
        <w:ind w:firstLine="480"/>
        <w:rPr>
          <w:color w:val="auto"/>
        </w:rPr>
      </w:pPr>
      <w:r>
        <w:rPr>
          <w:rFonts w:hint="eastAsia"/>
          <w:color w:val="auto"/>
        </w:rPr>
        <w:t>4）我们同意在谈判响应有效期内（自响应文件递交截止之日起</w:t>
      </w:r>
      <w:r>
        <w:rPr>
          <w:rFonts w:hint="eastAsia"/>
          <w:color w:val="auto"/>
          <w:u w:val="single"/>
        </w:rPr>
        <w:t xml:space="preserve">   </w:t>
      </w:r>
      <w:r>
        <w:rPr>
          <w:rFonts w:hint="eastAsia"/>
          <w:color w:val="auto"/>
        </w:rPr>
        <w:t>天），本谈判响应函对我方具有约束力。</w:t>
      </w:r>
    </w:p>
    <w:p>
      <w:pPr>
        <w:pStyle w:val="13"/>
        <w:ind w:firstLine="480"/>
        <w:rPr>
          <w:color w:val="auto"/>
        </w:rPr>
      </w:pPr>
      <w:r>
        <w:rPr>
          <w:rFonts w:hint="eastAsia"/>
          <w:color w:val="auto"/>
        </w:rPr>
        <w:t xml:space="preserve">5）同意提供贵方可能另外要求的与本谈判响应有关的任何证据和资料。 </w:t>
      </w:r>
    </w:p>
    <w:p>
      <w:pPr>
        <w:pStyle w:val="13"/>
        <w:ind w:firstLine="480"/>
        <w:rPr>
          <w:color w:val="auto"/>
        </w:rPr>
      </w:pPr>
      <w:r>
        <w:rPr>
          <w:rFonts w:hint="eastAsia"/>
          <w:color w:val="auto"/>
        </w:rPr>
        <w:t>6）我们同意，如果成交，向陕西正鸿招标有限公司交纳招标代理服务费。</w:t>
      </w:r>
    </w:p>
    <w:p>
      <w:pPr>
        <w:pStyle w:val="13"/>
        <w:ind w:firstLine="480"/>
        <w:rPr>
          <w:color w:val="auto"/>
        </w:rPr>
      </w:pPr>
      <w:r>
        <w:rPr>
          <w:rFonts w:hint="eastAsia"/>
          <w:color w:val="auto"/>
        </w:rPr>
        <w:t>7）与本谈判响应有关的一切正式往来通讯为：</w:t>
      </w:r>
    </w:p>
    <w:p>
      <w:pPr>
        <w:pStyle w:val="13"/>
        <w:ind w:firstLine="480"/>
        <w:rPr>
          <w:color w:val="auto"/>
        </w:rPr>
      </w:pP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地址：</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邮编：</w:t>
      </w:r>
      <w:r>
        <w:rPr>
          <w:rFonts w:hint="eastAsia" w:ascii="宋体" w:hAnsi="宋体" w:cs="宋体"/>
          <w:color w:val="auto"/>
          <w:sz w:val="24"/>
          <w:szCs w:val="24"/>
          <w:u w:val="single"/>
        </w:rPr>
        <w:t xml:space="preserve">                    </w:t>
      </w:r>
    </w:p>
    <w:p>
      <w:pPr>
        <w:spacing w:line="360" w:lineRule="auto"/>
        <w:rPr>
          <w:rFonts w:ascii="宋体" w:hAnsi="宋体" w:cs="宋体"/>
          <w:color w:val="auto"/>
        </w:rPr>
      </w:pPr>
      <w:r>
        <w:rPr>
          <w:rFonts w:hint="eastAsia" w:ascii="宋体" w:hAnsi="宋体" w:cs="宋体"/>
          <w:color w:val="auto"/>
          <w:sz w:val="24"/>
          <w:szCs w:val="24"/>
        </w:rPr>
        <w:tab/>
      </w:r>
      <w:r>
        <w:rPr>
          <w:rFonts w:hint="eastAsia" w:ascii="宋体" w:hAnsi="宋体" w:cs="宋体"/>
          <w:color w:val="auto"/>
          <w:sz w:val="24"/>
          <w:szCs w:val="24"/>
        </w:rPr>
        <w:t xml:space="preserve"> 电话：</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传真：</w:t>
      </w:r>
      <w:r>
        <w:rPr>
          <w:rFonts w:hint="eastAsia" w:ascii="宋体" w:hAnsi="宋体" w:cs="宋体"/>
          <w:color w:val="auto"/>
          <w:sz w:val="24"/>
          <w:szCs w:val="24"/>
          <w:u w:val="single"/>
        </w:rPr>
        <w:t xml:space="preserve">                     </w:t>
      </w:r>
    </w:p>
    <w:p>
      <w:pPr>
        <w:pStyle w:val="13"/>
        <w:ind w:firstLine="480"/>
        <w:rPr>
          <w:color w:val="auto"/>
        </w:rPr>
      </w:pPr>
      <w:r>
        <w:rPr>
          <w:rFonts w:hint="eastAsia"/>
          <w:color w:val="auto"/>
          <w:szCs w:val="24"/>
        </w:rPr>
        <w:t>供应商代表姓名、职务（印刷体）：</w:t>
      </w:r>
      <w:r>
        <w:rPr>
          <w:rFonts w:hint="eastAsia"/>
          <w:color w:val="auto"/>
          <w:u w:val="single"/>
        </w:rPr>
        <w:t xml:space="preserve">           </w:t>
      </w:r>
      <w:r>
        <w:rPr>
          <w:rFonts w:hint="eastAsia"/>
          <w:color w:val="auto"/>
        </w:rPr>
        <w:t xml:space="preserve">     </w:t>
      </w:r>
    </w:p>
    <w:p>
      <w:pPr>
        <w:pStyle w:val="13"/>
        <w:ind w:firstLine="480"/>
        <w:rPr>
          <w:color w:val="auto"/>
        </w:rPr>
      </w:pPr>
      <w:r>
        <w:rPr>
          <w:rFonts w:hint="eastAsia"/>
          <w:color w:val="auto"/>
        </w:rPr>
        <w:t>供应商名称：</w:t>
      </w:r>
      <w:r>
        <w:rPr>
          <w:rFonts w:hint="eastAsia"/>
          <w:color w:val="auto"/>
          <w:u w:val="single"/>
        </w:rPr>
        <w:t xml:space="preserve">                     </w:t>
      </w:r>
      <w:r>
        <w:rPr>
          <w:rFonts w:hint="eastAsia"/>
          <w:color w:val="auto"/>
        </w:rPr>
        <w:t xml:space="preserve">（公章）       </w:t>
      </w:r>
    </w:p>
    <w:p>
      <w:pPr>
        <w:pStyle w:val="13"/>
        <w:ind w:firstLine="480"/>
        <w:rPr>
          <w:color w:val="auto"/>
        </w:rPr>
      </w:pPr>
      <w:r>
        <w:rPr>
          <w:rFonts w:hint="eastAsia"/>
          <w:color w:val="auto"/>
        </w:rPr>
        <w:t>法定代表人或被授权代表或自然人：</w:t>
      </w:r>
      <w:r>
        <w:rPr>
          <w:rFonts w:hint="eastAsia"/>
          <w:color w:val="auto"/>
          <w:u w:val="single"/>
        </w:rPr>
        <w:t xml:space="preserve">      </w:t>
      </w:r>
      <w:r>
        <w:rPr>
          <w:rFonts w:hint="eastAsia"/>
          <w:color w:val="auto"/>
        </w:rPr>
        <w:t xml:space="preserve">（签字或盖章）       </w:t>
      </w:r>
    </w:p>
    <w:p>
      <w:pPr>
        <w:pStyle w:val="13"/>
        <w:ind w:firstLine="480"/>
        <w:rPr>
          <w:color w:val="auto"/>
        </w:rPr>
      </w:pPr>
      <w:r>
        <w:rPr>
          <w:rFonts w:hint="eastAsia"/>
          <w:color w:val="auto"/>
        </w:rPr>
        <w:t>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rPr>
          <w:rFonts w:ascii="宋体" w:hAnsi="宋体" w:cs="宋体"/>
          <w:color w:val="auto"/>
        </w:rPr>
      </w:pPr>
      <w:r>
        <w:rPr>
          <w:rFonts w:hint="eastAsia" w:ascii="宋体" w:hAnsi="宋体" w:cs="宋体"/>
          <w:color w:val="auto"/>
        </w:rPr>
        <w:br w:type="page"/>
      </w:r>
    </w:p>
    <w:p>
      <w:pPr>
        <w:pStyle w:val="4"/>
        <w:rPr>
          <w:color w:val="auto"/>
        </w:rPr>
      </w:pPr>
      <w:r>
        <w:rPr>
          <w:rFonts w:hint="eastAsia"/>
          <w:color w:val="auto"/>
        </w:rPr>
        <w:t>二、响应报价表</w:t>
      </w:r>
    </w:p>
    <w:p>
      <w:pPr>
        <w:pStyle w:val="5"/>
        <w:rPr>
          <w:color w:val="auto"/>
        </w:rPr>
      </w:pPr>
      <w:r>
        <w:rPr>
          <w:rFonts w:hint="eastAsia"/>
          <w:color w:val="auto"/>
        </w:rPr>
        <w:t>2.1谈判响应报价一览表</w:t>
      </w:r>
    </w:p>
    <w:tbl>
      <w:tblPr>
        <w:tblStyle w:val="47"/>
        <w:tblW w:w="8748" w:type="dxa"/>
        <w:tblInd w:w="0"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448"/>
        <w:gridCol w:w="6300"/>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84" w:hRule="atLeast"/>
        </w:trPr>
        <w:tc>
          <w:tcPr>
            <w:tcW w:w="2448" w:type="dxa"/>
            <w:tcBorders>
              <w:bottom w:val="single" w:color="auto" w:sz="4" w:space="0"/>
            </w:tcBorders>
            <w:vAlign w:val="center"/>
          </w:tcPr>
          <w:p>
            <w:pPr>
              <w:pStyle w:val="318"/>
              <w:rPr>
                <w:color w:val="auto"/>
              </w:rPr>
            </w:pPr>
            <w:r>
              <w:rPr>
                <w:rFonts w:hint="eastAsia"/>
                <w:color w:val="auto"/>
              </w:rPr>
              <w:t>项目名称</w:t>
            </w:r>
          </w:p>
        </w:tc>
        <w:tc>
          <w:tcPr>
            <w:tcW w:w="6300" w:type="dxa"/>
            <w:vAlign w:val="center"/>
          </w:tcPr>
          <w:p>
            <w:pPr>
              <w:pStyle w:val="318"/>
              <w:rPr>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2448" w:type="dxa"/>
            <w:tcBorders>
              <w:bottom w:val="single" w:color="auto" w:sz="4" w:space="0"/>
            </w:tcBorders>
            <w:vAlign w:val="center"/>
          </w:tcPr>
          <w:p>
            <w:pPr>
              <w:pStyle w:val="318"/>
              <w:rPr>
                <w:color w:val="auto"/>
              </w:rPr>
            </w:pPr>
            <w:r>
              <w:rPr>
                <w:rFonts w:hint="eastAsia"/>
                <w:color w:val="auto"/>
              </w:rPr>
              <w:t>项目编号</w:t>
            </w:r>
          </w:p>
        </w:tc>
        <w:tc>
          <w:tcPr>
            <w:tcW w:w="6300" w:type="dxa"/>
            <w:tcBorders>
              <w:bottom w:val="single" w:color="auto" w:sz="4" w:space="0"/>
            </w:tcBorders>
            <w:vAlign w:val="center"/>
          </w:tcPr>
          <w:p>
            <w:pPr>
              <w:pStyle w:val="318"/>
              <w:rPr>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trHeight w:val="916" w:hRule="atLeast"/>
        </w:trPr>
        <w:tc>
          <w:tcPr>
            <w:tcW w:w="2448" w:type="dxa"/>
            <w:vAlign w:val="center"/>
          </w:tcPr>
          <w:p>
            <w:pPr>
              <w:pStyle w:val="318"/>
              <w:rPr>
                <w:color w:val="auto"/>
              </w:rPr>
            </w:pPr>
            <w:r>
              <w:rPr>
                <w:rFonts w:hint="eastAsia"/>
                <w:color w:val="auto"/>
              </w:rPr>
              <w:t>响应报价</w:t>
            </w:r>
          </w:p>
        </w:tc>
        <w:tc>
          <w:tcPr>
            <w:tcW w:w="6300" w:type="dxa"/>
            <w:vAlign w:val="center"/>
          </w:tcPr>
          <w:p>
            <w:pPr>
              <w:pStyle w:val="13"/>
              <w:ind w:firstLine="0" w:firstLineChars="0"/>
              <w:rPr>
                <w:color w:val="auto"/>
              </w:rPr>
            </w:pPr>
            <w:r>
              <w:rPr>
                <w:rFonts w:hint="eastAsia"/>
                <w:color w:val="auto"/>
              </w:rPr>
              <w:t>大写：</w:t>
            </w:r>
            <w:r>
              <w:rPr>
                <w:rFonts w:hint="eastAsia"/>
                <w:color w:val="auto"/>
                <w:u w:val="single"/>
              </w:rPr>
              <w:t xml:space="preserve">        </w:t>
            </w:r>
          </w:p>
          <w:p>
            <w:pPr>
              <w:pStyle w:val="13"/>
              <w:ind w:firstLine="0" w:firstLineChars="0"/>
              <w:rPr>
                <w:color w:val="auto"/>
              </w:rPr>
            </w:pPr>
            <w:r>
              <w:rPr>
                <w:rFonts w:hint="eastAsia"/>
                <w:color w:val="auto"/>
              </w:rPr>
              <w:t>小写：</w:t>
            </w:r>
            <w:r>
              <w:rPr>
                <w:rFonts w:hint="eastAsia"/>
                <w:color w:val="auto"/>
                <w:u w:val="single"/>
              </w:rPr>
              <w:t xml:space="preserve">        </w:t>
            </w:r>
            <w:r>
              <w:rPr>
                <w:rFonts w:hint="eastAsia"/>
                <w:color w:val="auto"/>
                <w:szCs w:val="22"/>
              </w:rPr>
              <w:t>元</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92" w:hRule="atLeast"/>
        </w:trPr>
        <w:tc>
          <w:tcPr>
            <w:tcW w:w="2448" w:type="dxa"/>
            <w:tcBorders>
              <w:right w:val="single" w:color="auto" w:sz="4" w:space="0"/>
            </w:tcBorders>
            <w:vAlign w:val="center"/>
          </w:tcPr>
          <w:p>
            <w:pPr>
              <w:pStyle w:val="318"/>
              <w:rPr>
                <w:color w:val="auto"/>
              </w:rPr>
            </w:pPr>
            <w:r>
              <w:rPr>
                <w:rFonts w:hint="eastAsia"/>
                <w:color w:val="auto"/>
              </w:rPr>
              <w:t>交货期</w:t>
            </w:r>
          </w:p>
        </w:tc>
        <w:tc>
          <w:tcPr>
            <w:tcW w:w="6300" w:type="dxa"/>
            <w:tcBorders>
              <w:left w:val="single" w:color="auto" w:sz="4" w:space="0"/>
            </w:tcBorders>
            <w:vAlign w:val="center"/>
          </w:tcPr>
          <w:p>
            <w:pPr>
              <w:pStyle w:val="318"/>
              <w:rPr>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92" w:hRule="atLeast"/>
        </w:trPr>
        <w:tc>
          <w:tcPr>
            <w:tcW w:w="2448" w:type="dxa"/>
            <w:tcBorders>
              <w:right w:val="single" w:color="auto" w:sz="4" w:space="0"/>
            </w:tcBorders>
            <w:vAlign w:val="center"/>
          </w:tcPr>
          <w:p>
            <w:pPr>
              <w:pStyle w:val="318"/>
              <w:rPr>
                <w:color w:val="auto"/>
              </w:rPr>
            </w:pPr>
            <w:r>
              <w:rPr>
                <w:rFonts w:hint="eastAsia"/>
                <w:color w:val="auto"/>
              </w:rPr>
              <w:t>质保期</w:t>
            </w:r>
          </w:p>
        </w:tc>
        <w:tc>
          <w:tcPr>
            <w:tcW w:w="6300" w:type="dxa"/>
            <w:tcBorders>
              <w:left w:val="single" w:color="auto" w:sz="4" w:space="0"/>
            </w:tcBorders>
            <w:vAlign w:val="center"/>
          </w:tcPr>
          <w:p>
            <w:pPr>
              <w:pStyle w:val="318"/>
              <w:rPr>
                <w:color w:val="auto"/>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92" w:hRule="atLeast"/>
        </w:trPr>
        <w:tc>
          <w:tcPr>
            <w:tcW w:w="2448" w:type="dxa"/>
            <w:tcBorders>
              <w:right w:val="single" w:color="auto" w:sz="4" w:space="0"/>
            </w:tcBorders>
            <w:vAlign w:val="center"/>
          </w:tcPr>
          <w:p>
            <w:pPr>
              <w:pStyle w:val="318"/>
              <w:rPr>
                <w:color w:val="auto"/>
              </w:rPr>
            </w:pPr>
            <w:r>
              <w:rPr>
                <w:rFonts w:hint="eastAsia"/>
                <w:color w:val="auto"/>
              </w:rPr>
              <w:t>付款是否响应</w:t>
            </w:r>
          </w:p>
        </w:tc>
        <w:tc>
          <w:tcPr>
            <w:tcW w:w="6300" w:type="dxa"/>
            <w:tcBorders>
              <w:left w:val="single" w:color="auto" w:sz="4" w:space="0"/>
            </w:tcBorders>
            <w:vAlign w:val="center"/>
          </w:tcPr>
          <w:p>
            <w:pPr>
              <w:pStyle w:val="318"/>
              <w:rPr>
                <w:color w:val="auto"/>
              </w:rPr>
            </w:pPr>
          </w:p>
        </w:tc>
      </w:tr>
    </w:tbl>
    <w:p>
      <w:pPr>
        <w:pStyle w:val="13"/>
        <w:ind w:firstLine="480"/>
        <w:rPr>
          <w:color w:val="auto"/>
        </w:rPr>
      </w:pPr>
      <w:r>
        <w:rPr>
          <w:rFonts w:hint="eastAsia"/>
          <w:color w:val="auto"/>
        </w:rPr>
        <w:t>备注：表内报价内容以元为单位，保留小数点后（两位）。</w:t>
      </w:r>
    </w:p>
    <w:p>
      <w:pPr>
        <w:spacing w:line="336" w:lineRule="auto"/>
        <w:rPr>
          <w:rFonts w:ascii="宋体" w:hAnsi="宋体" w:cs="宋体"/>
          <w:color w:val="auto"/>
          <w:sz w:val="28"/>
          <w:szCs w:val="28"/>
        </w:rPr>
      </w:pPr>
    </w:p>
    <w:p>
      <w:pPr>
        <w:pStyle w:val="13"/>
        <w:ind w:firstLine="2880" w:firstLineChars="1200"/>
        <w:rPr>
          <w:color w:val="auto"/>
        </w:rPr>
      </w:pPr>
      <w:r>
        <w:rPr>
          <w:rFonts w:hint="eastAsia"/>
          <w:color w:val="auto"/>
        </w:rPr>
        <w:t>供应商名称：</w:t>
      </w:r>
      <w:r>
        <w:rPr>
          <w:rFonts w:hint="eastAsia"/>
          <w:color w:val="auto"/>
          <w:u w:val="single"/>
        </w:rPr>
        <w:t xml:space="preserve">                        </w:t>
      </w:r>
      <w:r>
        <w:rPr>
          <w:rFonts w:hint="eastAsia"/>
          <w:color w:val="auto"/>
        </w:rPr>
        <w:t>（公章）</w:t>
      </w:r>
    </w:p>
    <w:p>
      <w:pPr>
        <w:pStyle w:val="13"/>
        <w:ind w:firstLine="2880" w:firstLineChars="1200"/>
        <w:rPr>
          <w:color w:val="auto"/>
        </w:rPr>
      </w:pPr>
      <w:r>
        <w:rPr>
          <w:rFonts w:hint="eastAsia"/>
          <w:color w:val="auto"/>
        </w:rPr>
        <w:t>法定代表人或被授权代表或自然人：</w:t>
      </w:r>
      <w:r>
        <w:rPr>
          <w:rFonts w:hint="eastAsia"/>
          <w:color w:val="auto"/>
          <w:u w:val="single"/>
        </w:rPr>
        <w:t xml:space="preserve">      </w:t>
      </w:r>
      <w:r>
        <w:rPr>
          <w:rFonts w:hint="eastAsia"/>
          <w:color w:val="auto"/>
        </w:rPr>
        <w:t xml:space="preserve">（签字或盖章）      </w:t>
      </w:r>
    </w:p>
    <w:p>
      <w:pPr>
        <w:pStyle w:val="13"/>
        <w:ind w:firstLine="2880" w:firstLineChars="1200"/>
        <w:rPr>
          <w:color w:val="auto"/>
        </w:rPr>
      </w:pPr>
      <w:r>
        <w:rPr>
          <w:rFonts w:hint="eastAsia"/>
          <w:color w:val="auto"/>
        </w:rPr>
        <w:t>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rPr>
          <w:rFonts w:ascii="宋体" w:hAnsi="宋体" w:cs="宋体"/>
          <w:color w:val="auto"/>
        </w:rPr>
      </w:pPr>
      <w:r>
        <w:rPr>
          <w:rFonts w:hint="eastAsia" w:ascii="宋体" w:hAnsi="宋体" w:cs="宋体"/>
          <w:color w:val="auto"/>
        </w:rPr>
        <w:br w:type="page"/>
      </w:r>
    </w:p>
    <w:p>
      <w:pPr>
        <w:pStyle w:val="5"/>
        <w:rPr>
          <w:color w:val="auto"/>
        </w:rPr>
      </w:pPr>
      <w:r>
        <w:rPr>
          <w:rFonts w:hint="eastAsia"/>
          <w:color w:val="auto"/>
        </w:rPr>
        <w:t>2.2谈判响应分项报价表</w:t>
      </w:r>
    </w:p>
    <w:p>
      <w:pPr>
        <w:pStyle w:val="13"/>
        <w:ind w:firstLine="0" w:firstLineChars="0"/>
        <w:rPr>
          <w:color w:val="auto"/>
        </w:rPr>
      </w:pPr>
      <w:r>
        <w:rPr>
          <w:rFonts w:hint="eastAsia"/>
          <w:color w:val="auto"/>
        </w:rPr>
        <w:t>项目名称：</w:t>
      </w:r>
    </w:p>
    <w:p>
      <w:pPr>
        <w:pStyle w:val="13"/>
        <w:ind w:firstLine="0" w:firstLineChars="0"/>
        <w:rPr>
          <w:b/>
          <w:color w:val="auto"/>
        </w:rPr>
      </w:pPr>
      <w:r>
        <w:rPr>
          <w:rFonts w:hint="eastAsia"/>
          <w:color w:val="auto"/>
        </w:rPr>
        <w:t xml:space="preserve">项目编号： </w:t>
      </w:r>
      <w:r>
        <w:rPr>
          <w:rFonts w:hint="eastAsia"/>
          <w:bCs/>
          <w:color w:val="auto"/>
        </w:rPr>
        <w:t xml:space="preserve">                       </w:t>
      </w:r>
    </w:p>
    <w:tbl>
      <w:tblPr>
        <w:tblStyle w:val="47"/>
        <w:tblW w:w="9474" w:type="dxa"/>
        <w:jc w:val="center"/>
        <w:tblLayout w:type="fixed"/>
        <w:tblCellMar>
          <w:top w:w="0" w:type="dxa"/>
          <w:left w:w="28" w:type="dxa"/>
          <w:bottom w:w="0" w:type="dxa"/>
          <w:right w:w="28" w:type="dxa"/>
        </w:tblCellMar>
      </w:tblPr>
      <w:tblGrid>
        <w:gridCol w:w="701"/>
        <w:gridCol w:w="2330"/>
        <w:gridCol w:w="1553"/>
        <w:gridCol w:w="777"/>
        <w:gridCol w:w="888"/>
        <w:gridCol w:w="1075"/>
        <w:gridCol w:w="1075"/>
        <w:gridCol w:w="1075"/>
      </w:tblGrid>
      <w:tr>
        <w:tblPrEx>
          <w:tblCellMar>
            <w:top w:w="0" w:type="dxa"/>
            <w:left w:w="28" w:type="dxa"/>
            <w:bottom w:w="0" w:type="dxa"/>
            <w:right w:w="28" w:type="dxa"/>
          </w:tblCellMar>
        </w:tblPrEx>
        <w:trPr>
          <w:trHeight w:val="816" w:hRule="atLeast"/>
          <w:jc w:val="center"/>
        </w:trPr>
        <w:tc>
          <w:tcPr>
            <w:tcW w:w="701" w:type="dxa"/>
            <w:tcBorders>
              <w:top w:val="single" w:color="auto" w:sz="6" w:space="0"/>
              <w:left w:val="single" w:color="auto" w:sz="4" w:space="0"/>
              <w:bottom w:val="single" w:color="auto" w:sz="6" w:space="0"/>
            </w:tcBorders>
            <w:vAlign w:val="center"/>
          </w:tcPr>
          <w:p>
            <w:pPr>
              <w:pStyle w:val="318"/>
              <w:rPr>
                <w:color w:val="auto"/>
              </w:rPr>
            </w:pPr>
            <w:r>
              <w:rPr>
                <w:rFonts w:hint="eastAsia"/>
                <w:color w:val="auto"/>
              </w:rPr>
              <w:t>序号</w:t>
            </w:r>
          </w:p>
        </w:tc>
        <w:tc>
          <w:tcPr>
            <w:tcW w:w="2330" w:type="dxa"/>
            <w:tcBorders>
              <w:top w:val="single" w:color="auto" w:sz="6" w:space="0"/>
              <w:left w:val="single" w:color="auto" w:sz="6" w:space="0"/>
              <w:bottom w:val="single" w:color="auto" w:sz="6" w:space="0"/>
              <w:right w:val="single" w:color="auto" w:sz="6" w:space="0"/>
            </w:tcBorders>
            <w:vAlign w:val="center"/>
          </w:tcPr>
          <w:p>
            <w:pPr>
              <w:pStyle w:val="318"/>
              <w:rPr>
                <w:color w:val="auto"/>
              </w:rPr>
            </w:pPr>
            <w:r>
              <w:rPr>
                <w:rFonts w:hint="eastAsia"/>
                <w:color w:val="auto"/>
              </w:rPr>
              <w:t>名称</w:t>
            </w:r>
          </w:p>
        </w:tc>
        <w:tc>
          <w:tcPr>
            <w:tcW w:w="1553" w:type="dxa"/>
            <w:tcBorders>
              <w:top w:val="single" w:color="auto" w:sz="6" w:space="0"/>
              <w:left w:val="single" w:color="auto" w:sz="6" w:space="0"/>
              <w:bottom w:val="single" w:color="auto" w:sz="6" w:space="0"/>
              <w:right w:val="single" w:color="auto" w:sz="4" w:space="0"/>
            </w:tcBorders>
            <w:vAlign w:val="center"/>
          </w:tcPr>
          <w:p>
            <w:pPr>
              <w:pStyle w:val="318"/>
              <w:rPr>
                <w:color w:val="auto"/>
              </w:rPr>
            </w:pPr>
            <w:r>
              <w:rPr>
                <w:rFonts w:hint="eastAsia"/>
                <w:color w:val="auto"/>
              </w:rPr>
              <w:t>数量</w:t>
            </w:r>
          </w:p>
        </w:tc>
        <w:tc>
          <w:tcPr>
            <w:tcW w:w="777" w:type="dxa"/>
            <w:tcBorders>
              <w:top w:val="single" w:color="auto" w:sz="6" w:space="0"/>
              <w:left w:val="single" w:color="auto" w:sz="4" w:space="0"/>
              <w:bottom w:val="single" w:color="auto" w:sz="6" w:space="0"/>
              <w:right w:val="single" w:color="auto" w:sz="6" w:space="0"/>
            </w:tcBorders>
            <w:vAlign w:val="center"/>
          </w:tcPr>
          <w:p>
            <w:pPr>
              <w:pStyle w:val="318"/>
              <w:rPr>
                <w:color w:val="auto"/>
              </w:rPr>
            </w:pPr>
            <w:r>
              <w:rPr>
                <w:rFonts w:hint="eastAsia"/>
                <w:color w:val="auto"/>
              </w:rPr>
              <w:t>单位</w:t>
            </w:r>
          </w:p>
        </w:tc>
        <w:tc>
          <w:tcPr>
            <w:tcW w:w="888" w:type="dxa"/>
            <w:tcBorders>
              <w:top w:val="single" w:color="auto" w:sz="6" w:space="0"/>
              <w:left w:val="single" w:color="auto" w:sz="6" w:space="0"/>
              <w:bottom w:val="single" w:color="auto" w:sz="6" w:space="0"/>
              <w:right w:val="single" w:color="auto" w:sz="6" w:space="0"/>
            </w:tcBorders>
            <w:vAlign w:val="center"/>
          </w:tcPr>
          <w:p>
            <w:pPr>
              <w:pStyle w:val="318"/>
              <w:rPr>
                <w:color w:val="auto"/>
              </w:rPr>
            </w:pPr>
            <w:r>
              <w:rPr>
                <w:rFonts w:hint="eastAsia"/>
                <w:color w:val="auto"/>
              </w:rPr>
              <w:t>单价</w:t>
            </w:r>
          </w:p>
          <w:p>
            <w:pPr>
              <w:pStyle w:val="318"/>
              <w:rPr>
                <w:color w:val="auto"/>
              </w:rPr>
            </w:pPr>
            <w:r>
              <w:rPr>
                <w:rFonts w:hint="eastAsia"/>
                <w:color w:val="auto"/>
              </w:rPr>
              <w:t>（元）</w:t>
            </w:r>
          </w:p>
        </w:tc>
        <w:tc>
          <w:tcPr>
            <w:tcW w:w="1075" w:type="dxa"/>
            <w:tcBorders>
              <w:top w:val="single" w:color="auto" w:sz="6" w:space="0"/>
              <w:left w:val="single" w:color="auto" w:sz="6" w:space="0"/>
              <w:bottom w:val="single" w:color="auto" w:sz="6" w:space="0"/>
              <w:right w:val="single" w:color="auto" w:sz="6" w:space="0"/>
            </w:tcBorders>
            <w:vAlign w:val="center"/>
          </w:tcPr>
          <w:p>
            <w:pPr>
              <w:pStyle w:val="318"/>
              <w:rPr>
                <w:color w:val="auto"/>
              </w:rPr>
            </w:pPr>
            <w:r>
              <w:rPr>
                <w:rFonts w:hint="eastAsia"/>
                <w:color w:val="auto"/>
              </w:rPr>
              <w:t>合价</w:t>
            </w:r>
          </w:p>
          <w:p>
            <w:pPr>
              <w:pStyle w:val="318"/>
              <w:rPr>
                <w:color w:val="auto"/>
              </w:rPr>
            </w:pPr>
            <w:r>
              <w:rPr>
                <w:rFonts w:hint="eastAsia"/>
                <w:color w:val="auto"/>
              </w:rPr>
              <w:t>（元）</w:t>
            </w:r>
          </w:p>
        </w:tc>
        <w:tc>
          <w:tcPr>
            <w:tcW w:w="1075" w:type="dxa"/>
            <w:tcBorders>
              <w:top w:val="single" w:color="auto" w:sz="6" w:space="0"/>
              <w:left w:val="single" w:color="auto" w:sz="6" w:space="0"/>
              <w:bottom w:val="single" w:color="auto" w:sz="6" w:space="0"/>
              <w:right w:val="single" w:color="auto" w:sz="6" w:space="0"/>
            </w:tcBorders>
            <w:vAlign w:val="center"/>
          </w:tcPr>
          <w:p>
            <w:pPr>
              <w:pStyle w:val="318"/>
              <w:rPr>
                <w:color w:val="auto"/>
              </w:rPr>
            </w:pPr>
            <w:r>
              <w:rPr>
                <w:rFonts w:hint="eastAsia"/>
                <w:color w:val="auto"/>
              </w:rPr>
              <w:t>政策功能编码</w:t>
            </w:r>
          </w:p>
        </w:tc>
        <w:tc>
          <w:tcPr>
            <w:tcW w:w="1075" w:type="dxa"/>
            <w:tcBorders>
              <w:top w:val="single" w:color="auto" w:sz="6" w:space="0"/>
              <w:left w:val="single" w:color="auto" w:sz="6" w:space="0"/>
              <w:bottom w:val="single" w:color="auto" w:sz="6" w:space="0"/>
              <w:right w:val="single" w:color="auto" w:sz="6" w:space="0"/>
            </w:tcBorders>
            <w:vAlign w:val="center"/>
          </w:tcPr>
          <w:p>
            <w:pPr>
              <w:pStyle w:val="318"/>
              <w:rPr>
                <w:color w:val="auto"/>
              </w:rPr>
            </w:pPr>
            <w:r>
              <w:rPr>
                <w:rFonts w:hint="eastAsia"/>
                <w:color w:val="auto"/>
              </w:rPr>
              <w:t>备注</w:t>
            </w:r>
          </w:p>
        </w:tc>
      </w:tr>
      <w:tr>
        <w:tblPrEx>
          <w:tblCellMar>
            <w:top w:w="0" w:type="dxa"/>
            <w:left w:w="28" w:type="dxa"/>
            <w:bottom w:w="0" w:type="dxa"/>
            <w:right w:w="28" w:type="dxa"/>
          </w:tblCellMar>
        </w:tblPrEx>
        <w:trPr>
          <w:trHeight w:val="427" w:hRule="atLeast"/>
          <w:jc w:val="center"/>
        </w:trPr>
        <w:tc>
          <w:tcPr>
            <w:tcW w:w="701" w:type="dxa"/>
            <w:tcBorders>
              <w:top w:val="single" w:color="auto" w:sz="6" w:space="0"/>
              <w:left w:val="single" w:color="auto" w:sz="4" w:space="0"/>
              <w:bottom w:val="single" w:color="auto" w:sz="4" w:space="0"/>
            </w:tcBorders>
            <w:vAlign w:val="center"/>
          </w:tcPr>
          <w:p>
            <w:pPr>
              <w:pStyle w:val="318"/>
              <w:rPr>
                <w:color w:val="auto"/>
              </w:rPr>
            </w:pPr>
            <w:r>
              <w:rPr>
                <w:rFonts w:hint="eastAsia"/>
                <w:color w:val="auto"/>
              </w:rPr>
              <w:t>1</w:t>
            </w:r>
          </w:p>
        </w:tc>
        <w:tc>
          <w:tcPr>
            <w:tcW w:w="2330" w:type="dxa"/>
            <w:tcBorders>
              <w:top w:val="single" w:color="auto" w:sz="6" w:space="0"/>
              <w:left w:val="single" w:color="auto" w:sz="6" w:space="0"/>
              <w:bottom w:val="single" w:color="auto" w:sz="4" w:space="0"/>
              <w:right w:val="single" w:color="auto" w:sz="6" w:space="0"/>
            </w:tcBorders>
            <w:vAlign w:val="center"/>
          </w:tcPr>
          <w:p>
            <w:pPr>
              <w:pStyle w:val="318"/>
              <w:rPr>
                <w:color w:val="auto"/>
              </w:rPr>
            </w:pPr>
            <w:r>
              <w:rPr>
                <w:rFonts w:hint="eastAsia"/>
                <w:color w:val="auto"/>
              </w:rPr>
              <w:t>…</w:t>
            </w:r>
          </w:p>
        </w:tc>
        <w:tc>
          <w:tcPr>
            <w:tcW w:w="1553" w:type="dxa"/>
            <w:tcBorders>
              <w:top w:val="single" w:color="auto" w:sz="6" w:space="0"/>
              <w:left w:val="single" w:color="auto" w:sz="6" w:space="0"/>
              <w:bottom w:val="single" w:color="auto" w:sz="4" w:space="0"/>
              <w:right w:val="single" w:color="auto" w:sz="4" w:space="0"/>
            </w:tcBorders>
            <w:vAlign w:val="center"/>
          </w:tcPr>
          <w:p>
            <w:pPr>
              <w:pStyle w:val="318"/>
              <w:rPr>
                <w:color w:val="auto"/>
              </w:rPr>
            </w:pPr>
          </w:p>
        </w:tc>
        <w:tc>
          <w:tcPr>
            <w:tcW w:w="777" w:type="dxa"/>
            <w:tcBorders>
              <w:top w:val="single" w:color="auto" w:sz="6" w:space="0"/>
              <w:left w:val="single" w:color="auto" w:sz="4" w:space="0"/>
              <w:bottom w:val="single" w:color="auto" w:sz="4" w:space="0"/>
              <w:right w:val="single" w:color="auto" w:sz="6" w:space="0"/>
            </w:tcBorders>
            <w:vAlign w:val="center"/>
          </w:tcPr>
          <w:p>
            <w:pPr>
              <w:pStyle w:val="318"/>
              <w:rPr>
                <w:color w:val="auto"/>
              </w:rPr>
            </w:pPr>
          </w:p>
        </w:tc>
        <w:tc>
          <w:tcPr>
            <w:tcW w:w="888" w:type="dxa"/>
            <w:tcBorders>
              <w:top w:val="single" w:color="auto" w:sz="6" w:space="0"/>
              <w:left w:val="single" w:color="auto" w:sz="6" w:space="0"/>
              <w:bottom w:val="single" w:color="auto" w:sz="4" w:space="0"/>
              <w:right w:val="single" w:color="auto" w:sz="6" w:space="0"/>
            </w:tcBorders>
            <w:vAlign w:val="center"/>
          </w:tcPr>
          <w:p>
            <w:pPr>
              <w:pStyle w:val="318"/>
              <w:rPr>
                <w:color w:val="auto"/>
              </w:rPr>
            </w:pPr>
          </w:p>
        </w:tc>
        <w:tc>
          <w:tcPr>
            <w:tcW w:w="1075" w:type="dxa"/>
            <w:tcBorders>
              <w:top w:val="single" w:color="auto" w:sz="6" w:space="0"/>
              <w:left w:val="single" w:color="auto" w:sz="6" w:space="0"/>
              <w:bottom w:val="single" w:color="auto" w:sz="4" w:space="0"/>
              <w:right w:val="single" w:color="auto" w:sz="6" w:space="0"/>
            </w:tcBorders>
            <w:vAlign w:val="center"/>
          </w:tcPr>
          <w:p>
            <w:pPr>
              <w:pStyle w:val="318"/>
              <w:rPr>
                <w:color w:val="auto"/>
              </w:rPr>
            </w:pPr>
          </w:p>
        </w:tc>
        <w:tc>
          <w:tcPr>
            <w:tcW w:w="1075" w:type="dxa"/>
            <w:tcBorders>
              <w:top w:val="single" w:color="auto" w:sz="6" w:space="0"/>
              <w:left w:val="single" w:color="auto" w:sz="6" w:space="0"/>
              <w:bottom w:val="single" w:color="auto" w:sz="4" w:space="0"/>
              <w:right w:val="single" w:color="auto" w:sz="6" w:space="0"/>
            </w:tcBorders>
            <w:vAlign w:val="center"/>
          </w:tcPr>
          <w:p>
            <w:pPr>
              <w:pStyle w:val="318"/>
              <w:rPr>
                <w:color w:val="auto"/>
              </w:rPr>
            </w:pPr>
          </w:p>
        </w:tc>
        <w:tc>
          <w:tcPr>
            <w:tcW w:w="1075" w:type="dxa"/>
            <w:tcBorders>
              <w:top w:val="single" w:color="auto" w:sz="6" w:space="0"/>
              <w:left w:val="single" w:color="auto" w:sz="6" w:space="0"/>
              <w:bottom w:val="single" w:color="auto" w:sz="4" w:space="0"/>
              <w:right w:val="single" w:color="auto" w:sz="6" w:space="0"/>
            </w:tcBorders>
            <w:vAlign w:val="center"/>
          </w:tcPr>
          <w:p>
            <w:pPr>
              <w:pStyle w:val="318"/>
              <w:rPr>
                <w:color w:val="auto"/>
              </w:rPr>
            </w:pPr>
          </w:p>
        </w:tc>
      </w:tr>
      <w:tr>
        <w:tblPrEx>
          <w:tblCellMar>
            <w:top w:w="0" w:type="dxa"/>
            <w:left w:w="28" w:type="dxa"/>
            <w:bottom w:w="0" w:type="dxa"/>
            <w:right w:w="28" w:type="dxa"/>
          </w:tblCellMar>
        </w:tblPrEx>
        <w:trPr>
          <w:trHeight w:val="444" w:hRule="atLeast"/>
          <w:jc w:val="center"/>
        </w:trPr>
        <w:tc>
          <w:tcPr>
            <w:tcW w:w="701" w:type="dxa"/>
            <w:tcBorders>
              <w:top w:val="single" w:color="auto" w:sz="4" w:space="0"/>
              <w:left w:val="single" w:color="auto" w:sz="4" w:space="0"/>
              <w:bottom w:val="single" w:color="auto" w:sz="6" w:space="0"/>
            </w:tcBorders>
            <w:vAlign w:val="center"/>
          </w:tcPr>
          <w:p>
            <w:pPr>
              <w:pStyle w:val="318"/>
              <w:rPr>
                <w:color w:val="auto"/>
              </w:rPr>
            </w:pPr>
            <w:r>
              <w:rPr>
                <w:rFonts w:hint="eastAsia"/>
                <w:color w:val="auto"/>
              </w:rPr>
              <w:t>2</w:t>
            </w:r>
          </w:p>
        </w:tc>
        <w:tc>
          <w:tcPr>
            <w:tcW w:w="2330"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553" w:type="dxa"/>
            <w:tcBorders>
              <w:top w:val="single" w:color="auto" w:sz="4" w:space="0"/>
              <w:left w:val="single" w:color="auto" w:sz="6" w:space="0"/>
              <w:bottom w:val="single" w:color="auto" w:sz="6" w:space="0"/>
              <w:right w:val="single" w:color="auto" w:sz="4" w:space="0"/>
            </w:tcBorders>
            <w:vAlign w:val="center"/>
          </w:tcPr>
          <w:p>
            <w:pPr>
              <w:pStyle w:val="318"/>
              <w:rPr>
                <w:color w:val="auto"/>
              </w:rPr>
            </w:pPr>
          </w:p>
        </w:tc>
        <w:tc>
          <w:tcPr>
            <w:tcW w:w="777" w:type="dxa"/>
            <w:tcBorders>
              <w:top w:val="single" w:color="auto" w:sz="4" w:space="0"/>
              <w:left w:val="single" w:color="auto" w:sz="4" w:space="0"/>
              <w:bottom w:val="single" w:color="auto" w:sz="6" w:space="0"/>
              <w:right w:val="single" w:color="auto" w:sz="6" w:space="0"/>
            </w:tcBorders>
            <w:vAlign w:val="center"/>
          </w:tcPr>
          <w:p>
            <w:pPr>
              <w:pStyle w:val="318"/>
              <w:rPr>
                <w:color w:val="auto"/>
              </w:rPr>
            </w:pPr>
          </w:p>
        </w:tc>
        <w:tc>
          <w:tcPr>
            <w:tcW w:w="888"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r>
      <w:tr>
        <w:tblPrEx>
          <w:tblCellMar>
            <w:top w:w="0" w:type="dxa"/>
            <w:left w:w="28" w:type="dxa"/>
            <w:bottom w:w="0" w:type="dxa"/>
            <w:right w:w="28" w:type="dxa"/>
          </w:tblCellMar>
        </w:tblPrEx>
        <w:trPr>
          <w:trHeight w:val="450" w:hRule="atLeast"/>
          <w:jc w:val="center"/>
        </w:trPr>
        <w:tc>
          <w:tcPr>
            <w:tcW w:w="701" w:type="dxa"/>
            <w:tcBorders>
              <w:top w:val="single" w:color="auto" w:sz="4" w:space="0"/>
              <w:left w:val="single" w:color="auto" w:sz="4" w:space="0"/>
              <w:bottom w:val="single" w:color="auto" w:sz="6" w:space="0"/>
            </w:tcBorders>
            <w:vAlign w:val="center"/>
          </w:tcPr>
          <w:p>
            <w:pPr>
              <w:pStyle w:val="318"/>
              <w:rPr>
                <w:color w:val="auto"/>
              </w:rPr>
            </w:pPr>
            <w:r>
              <w:rPr>
                <w:rFonts w:hint="eastAsia"/>
                <w:color w:val="auto"/>
              </w:rPr>
              <w:t>3</w:t>
            </w:r>
          </w:p>
        </w:tc>
        <w:tc>
          <w:tcPr>
            <w:tcW w:w="2330"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553" w:type="dxa"/>
            <w:tcBorders>
              <w:top w:val="single" w:color="auto" w:sz="4" w:space="0"/>
              <w:left w:val="single" w:color="auto" w:sz="6" w:space="0"/>
              <w:bottom w:val="single" w:color="auto" w:sz="6" w:space="0"/>
              <w:right w:val="single" w:color="auto" w:sz="4" w:space="0"/>
            </w:tcBorders>
            <w:vAlign w:val="center"/>
          </w:tcPr>
          <w:p>
            <w:pPr>
              <w:pStyle w:val="318"/>
              <w:rPr>
                <w:color w:val="auto"/>
              </w:rPr>
            </w:pPr>
          </w:p>
        </w:tc>
        <w:tc>
          <w:tcPr>
            <w:tcW w:w="777" w:type="dxa"/>
            <w:tcBorders>
              <w:top w:val="single" w:color="auto" w:sz="4" w:space="0"/>
              <w:left w:val="single" w:color="auto" w:sz="4" w:space="0"/>
              <w:bottom w:val="single" w:color="auto" w:sz="6" w:space="0"/>
              <w:right w:val="single" w:color="auto" w:sz="6" w:space="0"/>
            </w:tcBorders>
            <w:vAlign w:val="center"/>
          </w:tcPr>
          <w:p>
            <w:pPr>
              <w:pStyle w:val="318"/>
              <w:rPr>
                <w:color w:val="auto"/>
              </w:rPr>
            </w:pPr>
          </w:p>
        </w:tc>
        <w:tc>
          <w:tcPr>
            <w:tcW w:w="888"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r>
      <w:tr>
        <w:trPr>
          <w:trHeight w:val="450" w:hRule="atLeast"/>
          <w:jc w:val="center"/>
        </w:trPr>
        <w:tc>
          <w:tcPr>
            <w:tcW w:w="701" w:type="dxa"/>
            <w:tcBorders>
              <w:top w:val="single" w:color="auto" w:sz="4" w:space="0"/>
              <w:left w:val="single" w:color="auto" w:sz="4" w:space="0"/>
              <w:bottom w:val="single" w:color="auto" w:sz="6" w:space="0"/>
            </w:tcBorders>
            <w:vAlign w:val="center"/>
          </w:tcPr>
          <w:p>
            <w:pPr>
              <w:pStyle w:val="318"/>
              <w:rPr>
                <w:color w:val="auto"/>
              </w:rPr>
            </w:pPr>
            <w:r>
              <w:rPr>
                <w:rFonts w:hint="eastAsia"/>
                <w:color w:val="auto"/>
              </w:rPr>
              <w:t>……</w:t>
            </w:r>
          </w:p>
        </w:tc>
        <w:tc>
          <w:tcPr>
            <w:tcW w:w="2330"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553" w:type="dxa"/>
            <w:tcBorders>
              <w:top w:val="single" w:color="auto" w:sz="4" w:space="0"/>
              <w:left w:val="single" w:color="auto" w:sz="6" w:space="0"/>
              <w:bottom w:val="single" w:color="auto" w:sz="6" w:space="0"/>
              <w:right w:val="single" w:color="auto" w:sz="4" w:space="0"/>
            </w:tcBorders>
            <w:vAlign w:val="center"/>
          </w:tcPr>
          <w:p>
            <w:pPr>
              <w:pStyle w:val="318"/>
              <w:rPr>
                <w:color w:val="auto"/>
              </w:rPr>
            </w:pPr>
          </w:p>
        </w:tc>
        <w:tc>
          <w:tcPr>
            <w:tcW w:w="777" w:type="dxa"/>
            <w:tcBorders>
              <w:top w:val="single" w:color="auto" w:sz="4" w:space="0"/>
              <w:left w:val="single" w:color="auto" w:sz="4" w:space="0"/>
              <w:bottom w:val="single" w:color="auto" w:sz="6" w:space="0"/>
              <w:right w:val="single" w:color="auto" w:sz="6" w:space="0"/>
            </w:tcBorders>
            <w:vAlign w:val="center"/>
          </w:tcPr>
          <w:p>
            <w:pPr>
              <w:pStyle w:val="318"/>
              <w:rPr>
                <w:color w:val="auto"/>
              </w:rPr>
            </w:pPr>
          </w:p>
        </w:tc>
        <w:tc>
          <w:tcPr>
            <w:tcW w:w="888"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r>
      <w:tr>
        <w:tblPrEx>
          <w:tblCellMar>
            <w:top w:w="0" w:type="dxa"/>
            <w:left w:w="28" w:type="dxa"/>
            <w:bottom w:w="0" w:type="dxa"/>
            <w:right w:w="28" w:type="dxa"/>
          </w:tblCellMar>
        </w:tblPrEx>
        <w:trPr>
          <w:trHeight w:val="450" w:hRule="atLeast"/>
          <w:jc w:val="center"/>
        </w:trPr>
        <w:tc>
          <w:tcPr>
            <w:tcW w:w="701" w:type="dxa"/>
            <w:tcBorders>
              <w:top w:val="single" w:color="auto" w:sz="4" w:space="0"/>
              <w:left w:val="single" w:color="auto" w:sz="4" w:space="0"/>
              <w:bottom w:val="single" w:color="auto" w:sz="6" w:space="0"/>
            </w:tcBorders>
            <w:vAlign w:val="center"/>
          </w:tcPr>
          <w:p>
            <w:pPr>
              <w:pStyle w:val="318"/>
              <w:rPr>
                <w:color w:val="auto"/>
              </w:rPr>
            </w:pPr>
            <w:r>
              <w:rPr>
                <w:rFonts w:hint="eastAsia"/>
                <w:color w:val="auto"/>
              </w:rPr>
              <w:t>……</w:t>
            </w:r>
          </w:p>
        </w:tc>
        <w:tc>
          <w:tcPr>
            <w:tcW w:w="2330"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553" w:type="dxa"/>
            <w:tcBorders>
              <w:top w:val="single" w:color="auto" w:sz="4" w:space="0"/>
              <w:left w:val="single" w:color="auto" w:sz="6" w:space="0"/>
              <w:bottom w:val="single" w:color="auto" w:sz="6" w:space="0"/>
              <w:right w:val="single" w:color="auto" w:sz="4" w:space="0"/>
            </w:tcBorders>
            <w:vAlign w:val="center"/>
          </w:tcPr>
          <w:p>
            <w:pPr>
              <w:pStyle w:val="318"/>
              <w:rPr>
                <w:color w:val="auto"/>
              </w:rPr>
            </w:pPr>
          </w:p>
        </w:tc>
        <w:tc>
          <w:tcPr>
            <w:tcW w:w="777" w:type="dxa"/>
            <w:tcBorders>
              <w:top w:val="single" w:color="auto" w:sz="4" w:space="0"/>
              <w:left w:val="single" w:color="auto" w:sz="4" w:space="0"/>
              <w:bottom w:val="single" w:color="auto" w:sz="6" w:space="0"/>
              <w:right w:val="single" w:color="auto" w:sz="6" w:space="0"/>
            </w:tcBorders>
            <w:vAlign w:val="center"/>
          </w:tcPr>
          <w:p>
            <w:pPr>
              <w:pStyle w:val="318"/>
              <w:rPr>
                <w:color w:val="auto"/>
              </w:rPr>
            </w:pPr>
          </w:p>
        </w:tc>
        <w:tc>
          <w:tcPr>
            <w:tcW w:w="888"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c>
          <w:tcPr>
            <w:tcW w:w="1075" w:type="dxa"/>
            <w:tcBorders>
              <w:top w:val="single" w:color="auto" w:sz="4" w:space="0"/>
              <w:left w:val="single" w:color="auto" w:sz="6" w:space="0"/>
              <w:bottom w:val="single" w:color="auto" w:sz="6" w:space="0"/>
              <w:right w:val="single" w:color="auto" w:sz="6" w:space="0"/>
            </w:tcBorders>
            <w:vAlign w:val="center"/>
          </w:tcPr>
          <w:p>
            <w:pPr>
              <w:pStyle w:val="318"/>
              <w:rPr>
                <w:color w:val="auto"/>
              </w:rPr>
            </w:pPr>
          </w:p>
        </w:tc>
      </w:tr>
      <w:tr>
        <w:tblPrEx>
          <w:tblCellMar>
            <w:top w:w="0" w:type="dxa"/>
            <w:left w:w="28" w:type="dxa"/>
            <w:bottom w:w="0" w:type="dxa"/>
            <w:right w:w="28" w:type="dxa"/>
          </w:tblCellMar>
        </w:tblPrEx>
        <w:trPr>
          <w:trHeight w:val="450" w:hRule="atLeast"/>
          <w:jc w:val="center"/>
        </w:trPr>
        <w:tc>
          <w:tcPr>
            <w:tcW w:w="3031" w:type="dxa"/>
            <w:gridSpan w:val="2"/>
            <w:tcBorders>
              <w:top w:val="single" w:color="auto" w:sz="4" w:space="0"/>
              <w:left w:val="single" w:color="auto" w:sz="4" w:space="0"/>
              <w:bottom w:val="single" w:color="auto" w:sz="6" w:space="0"/>
              <w:right w:val="single" w:color="auto" w:sz="6" w:space="0"/>
            </w:tcBorders>
            <w:vAlign w:val="center"/>
          </w:tcPr>
          <w:p>
            <w:pPr>
              <w:pStyle w:val="318"/>
              <w:rPr>
                <w:color w:val="auto"/>
              </w:rPr>
            </w:pPr>
            <w:r>
              <w:rPr>
                <w:rFonts w:hint="eastAsia"/>
                <w:color w:val="auto"/>
              </w:rPr>
              <w:t>总报价</w:t>
            </w:r>
          </w:p>
        </w:tc>
        <w:tc>
          <w:tcPr>
            <w:tcW w:w="6443" w:type="dxa"/>
            <w:gridSpan w:val="6"/>
            <w:tcBorders>
              <w:top w:val="single" w:color="auto" w:sz="4" w:space="0"/>
              <w:left w:val="single" w:color="auto" w:sz="6" w:space="0"/>
              <w:bottom w:val="single" w:color="auto" w:sz="6" w:space="0"/>
              <w:right w:val="single" w:color="auto" w:sz="6" w:space="0"/>
            </w:tcBorders>
            <w:vAlign w:val="center"/>
          </w:tcPr>
          <w:p>
            <w:pPr>
              <w:pStyle w:val="318"/>
              <w:jc w:val="left"/>
              <w:rPr>
                <w:color w:val="auto"/>
              </w:rPr>
            </w:pPr>
            <w:r>
              <w:rPr>
                <w:rFonts w:hint="eastAsia"/>
                <w:color w:val="auto"/>
              </w:rPr>
              <w:t>大写：                   小写：</w:t>
            </w:r>
          </w:p>
        </w:tc>
      </w:tr>
      <w:tr>
        <w:tblPrEx>
          <w:tblCellMar>
            <w:top w:w="0" w:type="dxa"/>
            <w:left w:w="28" w:type="dxa"/>
            <w:bottom w:w="0" w:type="dxa"/>
            <w:right w:w="28" w:type="dxa"/>
          </w:tblCellMar>
        </w:tblPrEx>
        <w:trPr>
          <w:trHeight w:val="488" w:hRule="atLeast"/>
          <w:jc w:val="center"/>
        </w:trPr>
        <w:tc>
          <w:tcPr>
            <w:tcW w:w="3031" w:type="dxa"/>
            <w:gridSpan w:val="2"/>
            <w:tcBorders>
              <w:top w:val="single" w:color="auto" w:sz="4" w:space="0"/>
              <w:left w:val="single" w:color="auto" w:sz="4" w:space="0"/>
              <w:bottom w:val="single" w:color="auto" w:sz="6" w:space="0"/>
              <w:right w:val="single" w:color="auto" w:sz="6" w:space="0"/>
            </w:tcBorders>
            <w:vAlign w:val="center"/>
          </w:tcPr>
          <w:p>
            <w:pPr>
              <w:pStyle w:val="318"/>
              <w:rPr>
                <w:color w:val="auto"/>
              </w:rPr>
            </w:pPr>
            <w:r>
              <w:rPr>
                <w:rFonts w:hint="eastAsia"/>
                <w:color w:val="auto"/>
              </w:rPr>
              <w:t>备注</w:t>
            </w:r>
          </w:p>
        </w:tc>
        <w:tc>
          <w:tcPr>
            <w:tcW w:w="6443" w:type="dxa"/>
            <w:gridSpan w:val="6"/>
            <w:tcBorders>
              <w:top w:val="single" w:color="auto" w:sz="4" w:space="0"/>
              <w:left w:val="single" w:color="auto" w:sz="6" w:space="0"/>
              <w:bottom w:val="single" w:color="auto" w:sz="6" w:space="0"/>
              <w:right w:val="single" w:color="auto" w:sz="6" w:space="0"/>
            </w:tcBorders>
            <w:vAlign w:val="center"/>
          </w:tcPr>
          <w:p>
            <w:pPr>
              <w:pStyle w:val="318"/>
              <w:jc w:val="left"/>
              <w:rPr>
                <w:color w:val="auto"/>
              </w:rPr>
            </w:pPr>
            <w:r>
              <w:rPr>
                <w:rFonts w:hint="eastAsia"/>
                <w:color w:val="auto"/>
              </w:rPr>
              <w:t>保留小数点后两位。</w:t>
            </w:r>
          </w:p>
        </w:tc>
      </w:tr>
    </w:tbl>
    <w:p>
      <w:pPr>
        <w:tabs>
          <w:tab w:val="left" w:pos="7200"/>
          <w:tab w:val="left" w:pos="8504"/>
        </w:tabs>
        <w:spacing w:line="360" w:lineRule="auto"/>
        <w:ind w:right="-1"/>
        <w:rPr>
          <w:rFonts w:ascii="宋体" w:hAnsi="宋体" w:cs="宋体"/>
          <w:color w:val="auto"/>
        </w:rPr>
      </w:pPr>
    </w:p>
    <w:p>
      <w:pPr>
        <w:spacing w:line="120" w:lineRule="exact"/>
        <w:rPr>
          <w:rFonts w:ascii="宋体" w:hAnsi="宋体" w:cs="宋体"/>
          <w:color w:val="auto"/>
        </w:rPr>
      </w:pPr>
    </w:p>
    <w:p>
      <w:pPr>
        <w:pStyle w:val="13"/>
        <w:ind w:firstLine="2880" w:firstLineChars="1200"/>
        <w:rPr>
          <w:color w:val="auto"/>
        </w:rPr>
      </w:pPr>
      <w:r>
        <w:rPr>
          <w:rFonts w:hint="eastAsia"/>
          <w:color w:val="auto"/>
        </w:rPr>
        <w:t>供应商名称：</w:t>
      </w:r>
      <w:r>
        <w:rPr>
          <w:rFonts w:hint="eastAsia"/>
          <w:color w:val="auto"/>
          <w:u w:val="single"/>
        </w:rPr>
        <w:t xml:space="preserve">                        </w:t>
      </w:r>
      <w:r>
        <w:rPr>
          <w:rFonts w:hint="eastAsia"/>
          <w:color w:val="auto"/>
        </w:rPr>
        <w:t>（公章）</w:t>
      </w:r>
    </w:p>
    <w:p>
      <w:pPr>
        <w:pStyle w:val="13"/>
        <w:ind w:firstLine="2880" w:firstLineChars="1200"/>
        <w:rPr>
          <w:color w:val="auto"/>
        </w:rPr>
      </w:pPr>
      <w:r>
        <w:rPr>
          <w:rFonts w:hint="eastAsia"/>
          <w:color w:val="auto"/>
        </w:rPr>
        <w:t>法定代表人或被授权代表或自然人：</w:t>
      </w:r>
      <w:r>
        <w:rPr>
          <w:rFonts w:hint="eastAsia"/>
          <w:color w:val="auto"/>
          <w:u w:val="single"/>
        </w:rPr>
        <w:t xml:space="preserve">      </w:t>
      </w:r>
      <w:r>
        <w:rPr>
          <w:rFonts w:hint="eastAsia"/>
          <w:color w:val="auto"/>
        </w:rPr>
        <w:t xml:space="preserve">（签字或盖章）      </w:t>
      </w:r>
    </w:p>
    <w:p>
      <w:pPr>
        <w:pStyle w:val="13"/>
        <w:ind w:firstLine="2880" w:firstLineChars="1200"/>
        <w:rPr>
          <w:color w:val="auto"/>
        </w:rPr>
      </w:pPr>
      <w:r>
        <w:rPr>
          <w:rFonts w:hint="eastAsia"/>
          <w:color w:val="auto"/>
        </w:rPr>
        <w:t>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pStyle w:val="13"/>
        <w:ind w:firstLine="0" w:firstLineChars="0"/>
        <w:rPr>
          <w:color w:val="auto"/>
          <w:szCs w:val="22"/>
        </w:rPr>
      </w:pPr>
      <w:r>
        <w:rPr>
          <w:rFonts w:hint="eastAsia"/>
          <w:color w:val="auto"/>
          <w:szCs w:val="22"/>
        </w:rPr>
        <w:t>注：</w:t>
      </w:r>
    </w:p>
    <w:p>
      <w:pPr>
        <w:pStyle w:val="13"/>
        <w:ind w:firstLine="480"/>
        <w:rPr>
          <w:color w:val="auto"/>
        </w:rPr>
      </w:pPr>
      <w:r>
        <w:rPr>
          <w:rFonts w:hint="eastAsia"/>
          <w:color w:val="auto"/>
        </w:rPr>
        <w:t>1.如果按单价计算的结果与总价不一致，以单价为准修正总价。</w:t>
      </w:r>
    </w:p>
    <w:p>
      <w:pPr>
        <w:pStyle w:val="13"/>
        <w:ind w:firstLine="480"/>
        <w:rPr>
          <w:color w:val="auto"/>
        </w:rPr>
      </w:pPr>
      <w:r>
        <w:rPr>
          <w:rFonts w:hint="eastAsia"/>
          <w:color w:val="auto"/>
        </w:rPr>
        <w:t>2.如果不提供详细分项报价将视为没有实质性响应谈判文件。</w:t>
      </w:r>
    </w:p>
    <w:p>
      <w:pPr>
        <w:pStyle w:val="13"/>
        <w:ind w:firstLine="480"/>
        <w:rPr>
          <w:color w:val="auto"/>
        </w:rPr>
      </w:pPr>
      <w:r>
        <w:rPr>
          <w:rFonts w:hint="eastAsia"/>
          <w:color w:val="auto"/>
        </w:rPr>
        <w:t>3.供应商可适当调整该表格式，但不得减少信息内容。</w:t>
      </w:r>
    </w:p>
    <w:p>
      <w:pPr>
        <w:pStyle w:val="13"/>
        <w:ind w:firstLine="480"/>
        <w:rPr>
          <w:color w:val="auto"/>
        </w:rPr>
      </w:pPr>
      <w:r>
        <w:rPr>
          <w:rFonts w:hint="eastAsia"/>
          <w:color w:val="auto"/>
        </w:rPr>
        <w:t>4.政策功能编码是指产品的中国环境标志认证证书编号、节能标志认证证书号（后附证明材料，格式及要求见附件“节能产品”、“环境标志产品”证明材料）。</w:t>
      </w:r>
    </w:p>
    <w:p>
      <w:pPr>
        <w:rPr>
          <w:rStyle w:val="325"/>
          <w:color w:val="auto"/>
        </w:rPr>
      </w:pPr>
      <w:r>
        <w:rPr>
          <w:rStyle w:val="325"/>
          <w:rFonts w:hint="eastAsia"/>
          <w:color w:val="auto"/>
        </w:rPr>
        <w:br w:type="page"/>
      </w:r>
    </w:p>
    <w:p>
      <w:pPr>
        <w:pStyle w:val="5"/>
        <w:rPr>
          <w:color w:val="auto"/>
          <w:spacing w:val="4"/>
        </w:rPr>
      </w:pPr>
      <w:r>
        <w:rPr>
          <w:rStyle w:val="325"/>
          <w:rFonts w:hint="eastAsia"/>
          <w:b/>
          <w:color w:val="auto"/>
        </w:rPr>
        <w:t>2.3关键零部件及备品备件清单（如有）</w:t>
      </w:r>
    </w:p>
    <w:tbl>
      <w:tblPr>
        <w:tblStyle w:val="4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4"/>
        <w:gridCol w:w="1692"/>
        <w:gridCol w:w="1764"/>
        <w:gridCol w:w="1494"/>
        <w:gridCol w:w="1470"/>
        <w:gridCol w:w="14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6" w:hRule="atLeast"/>
          <w:jc w:val="center"/>
        </w:trPr>
        <w:tc>
          <w:tcPr>
            <w:tcW w:w="924" w:type="dxa"/>
            <w:vAlign w:val="center"/>
          </w:tcPr>
          <w:p>
            <w:pPr>
              <w:pStyle w:val="318"/>
              <w:rPr>
                <w:color w:val="auto"/>
              </w:rPr>
            </w:pPr>
            <w:r>
              <w:rPr>
                <w:rFonts w:hint="eastAsia"/>
                <w:color w:val="auto"/>
              </w:rPr>
              <w:t>序号</w:t>
            </w:r>
          </w:p>
        </w:tc>
        <w:tc>
          <w:tcPr>
            <w:tcW w:w="1692" w:type="dxa"/>
            <w:vAlign w:val="center"/>
          </w:tcPr>
          <w:p>
            <w:pPr>
              <w:pStyle w:val="318"/>
              <w:rPr>
                <w:color w:val="auto"/>
              </w:rPr>
            </w:pPr>
            <w:r>
              <w:rPr>
                <w:rFonts w:hint="eastAsia"/>
                <w:color w:val="auto"/>
              </w:rPr>
              <w:t>名称</w:t>
            </w:r>
          </w:p>
        </w:tc>
        <w:tc>
          <w:tcPr>
            <w:tcW w:w="1764" w:type="dxa"/>
            <w:vAlign w:val="center"/>
          </w:tcPr>
          <w:p>
            <w:pPr>
              <w:pStyle w:val="318"/>
              <w:rPr>
                <w:color w:val="auto"/>
              </w:rPr>
            </w:pPr>
            <w:r>
              <w:rPr>
                <w:rFonts w:hint="eastAsia"/>
                <w:color w:val="auto"/>
              </w:rPr>
              <w:t>型号、规格</w:t>
            </w:r>
          </w:p>
        </w:tc>
        <w:tc>
          <w:tcPr>
            <w:tcW w:w="1494" w:type="dxa"/>
            <w:vAlign w:val="center"/>
          </w:tcPr>
          <w:p>
            <w:pPr>
              <w:pStyle w:val="318"/>
              <w:rPr>
                <w:color w:val="auto"/>
              </w:rPr>
            </w:pPr>
            <w:r>
              <w:rPr>
                <w:rFonts w:hint="eastAsia"/>
                <w:color w:val="auto"/>
              </w:rPr>
              <w:t>国别、制造商</w:t>
            </w:r>
          </w:p>
        </w:tc>
        <w:tc>
          <w:tcPr>
            <w:tcW w:w="1470" w:type="dxa"/>
            <w:vAlign w:val="center"/>
          </w:tcPr>
          <w:p>
            <w:pPr>
              <w:pStyle w:val="318"/>
              <w:rPr>
                <w:color w:val="auto"/>
              </w:rPr>
            </w:pPr>
            <w:r>
              <w:rPr>
                <w:rFonts w:hint="eastAsia"/>
                <w:color w:val="auto"/>
              </w:rPr>
              <w:t>单价</w:t>
            </w:r>
          </w:p>
          <w:p>
            <w:pPr>
              <w:pStyle w:val="318"/>
              <w:rPr>
                <w:color w:val="auto"/>
              </w:rPr>
            </w:pPr>
            <w:r>
              <w:rPr>
                <w:rFonts w:hint="eastAsia"/>
                <w:color w:val="auto"/>
              </w:rPr>
              <w:t>（元）</w:t>
            </w:r>
          </w:p>
        </w:tc>
        <w:tc>
          <w:tcPr>
            <w:tcW w:w="1453" w:type="dxa"/>
            <w:vAlign w:val="center"/>
          </w:tcPr>
          <w:p>
            <w:pPr>
              <w:pStyle w:val="318"/>
              <w:rPr>
                <w:color w:val="auto"/>
              </w:rPr>
            </w:pPr>
            <w:r>
              <w:rPr>
                <w:rFonts w:hint="eastAsia"/>
                <w:color w:val="auto"/>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jc w:val="center"/>
        </w:trPr>
        <w:tc>
          <w:tcPr>
            <w:tcW w:w="924" w:type="dxa"/>
            <w:vAlign w:val="center"/>
          </w:tcPr>
          <w:p>
            <w:pPr>
              <w:pStyle w:val="318"/>
              <w:rPr>
                <w:color w:val="auto"/>
              </w:rPr>
            </w:pPr>
            <w:r>
              <w:rPr>
                <w:rFonts w:hint="eastAsia"/>
                <w:color w:val="auto"/>
              </w:rPr>
              <w:t>1</w:t>
            </w:r>
          </w:p>
        </w:tc>
        <w:tc>
          <w:tcPr>
            <w:tcW w:w="1692" w:type="dxa"/>
            <w:vAlign w:val="center"/>
          </w:tcPr>
          <w:p>
            <w:pPr>
              <w:pStyle w:val="318"/>
              <w:rPr>
                <w:color w:val="auto"/>
              </w:rPr>
            </w:pPr>
            <w:r>
              <w:rPr>
                <w:rFonts w:hint="eastAsia"/>
                <w:color w:val="auto"/>
              </w:rPr>
              <w:t>…</w:t>
            </w:r>
          </w:p>
        </w:tc>
        <w:tc>
          <w:tcPr>
            <w:tcW w:w="1764" w:type="dxa"/>
            <w:vAlign w:val="center"/>
          </w:tcPr>
          <w:p>
            <w:pPr>
              <w:pStyle w:val="318"/>
              <w:rPr>
                <w:color w:val="auto"/>
              </w:rPr>
            </w:pPr>
          </w:p>
        </w:tc>
        <w:tc>
          <w:tcPr>
            <w:tcW w:w="1494" w:type="dxa"/>
          </w:tcPr>
          <w:p>
            <w:pPr>
              <w:pStyle w:val="318"/>
              <w:rPr>
                <w:color w:val="auto"/>
              </w:rPr>
            </w:pPr>
          </w:p>
        </w:tc>
        <w:tc>
          <w:tcPr>
            <w:tcW w:w="1470" w:type="dxa"/>
            <w:vAlign w:val="center"/>
          </w:tcPr>
          <w:p>
            <w:pPr>
              <w:pStyle w:val="318"/>
              <w:rPr>
                <w:color w:val="auto"/>
              </w:rPr>
            </w:pPr>
          </w:p>
        </w:tc>
        <w:tc>
          <w:tcPr>
            <w:tcW w:w="1453" w:type="dxa"/>
            <w:vAlign w:val="center"/>
          </w:tcPr>
          <w:p>
            <w:pPr>
              <w:pStyle w:val="318"/>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6" w:hRule="atLeast"/>
          <w:jc w:val="center"/>
        </w:trPr>
        <w:tc>
          <w:tcPr>
            <w:tcW w:w="924" w:type="dxa"/>
            <w:vAlign w:val="center"/>
          </w:tcPr>
          <w:p>
            <w:pPr>
              <w:pStyle w:val="318"/>
              <w:rPr>
                <w:color w:val="auto"/>
              </w:rPr>
            </w:pPr>
            <w:r>
              <w:rPr>
                <w:rFonts w:hint="eastAsia"/>
                <w:color w:val="auto"/>
              </w:rPr>
              <w:t>2</w:t>
            </w:r>
          </w:p>
        </w:tc>
        <w:tc>
          <w:tcPr>
            <w:tcW w:w="1692" w:type="dxa"/>
            <w:vAlign w:val="center"/>
          </w:tcPr>
          <w:p>
            <w:pPr>
              <w:pStyle w:val="318"/>
              <w:rPr>
                <w:color w:val="auto"/>
              </w:rPr>
            </w:pPr>
            <w:r>
              <w:rPr>
                <w:rFonts w:hint="eastAsia"/>
                <w:color w:val="auto"/>
              </w:rPr>
              <w:t>…</w:t>
            </w:r>
          </w:p>
        </w:tc>
        <w:tc>
          <w:tcPr>
            <w:tcW w:w="1764" w:type="dxa"/>
            <w:vAlign w:val="center"/>
          </w:tcPr>
          <w:p>
            <w:pPr>
              <w:pStyle w:val="318"/>
              <w:rPr>
                <w:color w:val="auto"/>
              </w:rPr>
            </w:pPr>
          </w:p>
        </w:tc>
        <w:tc>
          <w:tcPr>
            <w:tcW w:w="1494" w:type="dxa"/>
          </w:tcPr>
          <w:p>
            <w:pPr>
              <w:pStyle w:val="318"/>
              <w:rPr>
                <w:color w:val="auto"/>
              </w:rPr>
            </w:pPr>
          </w:p>
        </w:tc>
        <w:tc>
          <w:tcPr>
            <w:tcW w:w="1470" w:type="dxa"/>
            <w:vAlign w:val="center"/>
          </w:tcPr>
          <w:p>
            <w:pPr>
              <w:pStyle w:val="318"/>
              <w:rPr>
                <w:color w:val="auto"/>
              </w:rPr>
            </w:pPr>
          </w:p>
        </w:tc>
        <w:tc>
          <w:tcPr>
            <w:tcW w:w="1453" w:type="dxa"/>
            <w:vAlign w:val="center"/>
          </w:tcPr>
          <w:p>
            <w:pPr>
              <w:pStyle w:val="318"/>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2" w:hRule="atLeast"/>
          <w:jc w:val="center"/>
        </w:trPr>
        <w:tc>
          <w:tcPr>
            <w:tcW w:w="924" w:type="dxa"/>
            <w:vAlign w:val="center"/>
          </w:tcPr>
          <w:p>
            <w:pPr>
              <w:pStyle w:val="318"/>
              <w:rPr>
                <w:color w:val="auto"/>
              </w:rPr>
            </w:pPr>
            <w:r>
              <w:rPr>
                <w:rFonts w:hint="eastAsia"/>
                <w:color w:val="auto"/>
              </w:rPr>
              <w:t>…</w:t>
            </w:r>
          </w:p>
        </w:tc>
        <w:tc>
          <w:tcPr>
            <w:tcW w:w="1692" w:type="dxa"/>
            <w:vAlign w:val="center"/>
          </w:tcPr>
          <w:p>
            <w:pPr>
              <w:pStyle w:val="318"/>
              <w:rPr>
                <w:color w:val="auto"/>
              </w:rPr>
            </w:pPr>
          </w:p>
        </w:tc>
        <w:tc>
          <w:tcPr>
            <w:tcW w:w="1764" w:type="dxa"/>
            <w:vAlign w:val="center"/>
          </w:tcPr>
          <w:p>
            <w:pPr>
              <w:pStyle w:val="318"/>
              <w:rPr>
                <w:color w:val="auto"/>
              </w:rPr>
            </w:pPr>
          </w:p>
        </w:tc>
        <w:tc>
          <w:tcPr>
            <w:tcW w:w="1494" w:type="dxa"/>
          </w:tcPr>
          <w:p>
            <w:pPr>
              <w:pStyle w:val="318"/>
              <w:rPr>
                <w:color w:val="auto"/>
              </w:rPr>
            </w:pPr>
          </w:p>
        </w:tc>
        <w:tc>
          <w:tcPr>
            <w:tcW w:w="1470" w:type="dxa"/>
            <w:vAlign w:val="center"/>
          </w:tcPr>
          <w:p>
            <w:pPr>
              <w:pStyle w:val="318"/>
              <w:rPr>
                <w:color w:val="auto"/>
              </w:rPr>
            </w:pPr>
          </w:p>
        </w:tc>
        <w:tc>
          <w:tcPr>
            <w:tcW w:w="1453" w:type="dxa"/>
            <w:vAlign w:val="center"/>
          </w:tcPr>
          <w:p>
            <w:pPr>
              <w:pStyle w:val="318"/>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2" w:hRule="atLeast"/>
          <w:jc w:val="center"/>
        </w:trPr>
        <w:tc>
          <w:tcPr>
            <w:tcW w:w="924" w:type="dxa"/>
            <w:vAlign w:val="center"/>
          </w:tcPr>
          <w:p>
            <w:pPr>
              <w:pStyle w:val="318"/>
              <w:rPr>
                <w:color w:val="auto"/>
              </w:rPr>
            </w:pPr>
          </w:p>
        </w:tc>
        <w:tc>
          <w:tcPr>
            <w:tcW w:w="1692" w:type="dxa"/>
            <w:vAlign w:val="center"/>
          </w:tcPr>
          <w:p>
            <w:pPr>
              <w:pStyle w:val="318"/>
              <w:rPr>
                <w:color w:val="auto"/>
              </w:rPr>
            </w:pPr>
          </w:p>
        </w:tc>
        <w:tc>
          <w:tcPr>
            <w:tcW w:w="1764" w:type="dxa"/>
            <w:vAlign w:val="center"/>
          </w:tcPr>
          <w:p>
            <w:pPr>
              <w:pStyle w:val="318"/>
              <w:rPr>
                <w:color w:val="auto"/>
              </w:rPr>
            </w:pPr>
          </w:p>
        </w:tc>
        <w:tc>
          <w:tcPr>
            <w:tcW w:w="1494" w:type="dxa"/>
          </w:tcPr>
          <w:p>
            <w:pPr>
              <w:pStyle w:val="318"/>
              <w:rPr>
                <w:color w:val="auto"/>
              </w:rPr>
            </w:pPr>
          </w:p>
        </w:tc>
        <w:tc>
          <w:tcPr>
            <w:tcW w:w="1470" w:type="dxa"/>
            <w:vAlign w:val="center"/>
          </w:tcPr>
          <w:p>
            <w:pPr>
              <w:pStyle w:val="318"/>
              <w:rPr>
                <w:color w:val="auto"/>
              </w:rPr>
            </w:pPr>
          </w:p>
        </w:tc>
        <w:tc>
          <w:tcPr>
            <w:tcW w:w="1453" w:type="dxa"/>
            <w:vAlign w:val="center"/>
          </w:tcPr>
          <w:p>
            <w:pPr>
              <w:pStyle w:val="318"/>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2" w:hRule="atLeast"/>
          <w:jc w:val="center"/>
        </w:trPr>
        <w:tc>
          <w:tcPr>
            <w:tcW w:w="924" w:type="dxa"/>
            <w:vAlign w:val="center"/>
          </w:tcPr>
          <w:p>
            <w:pPr>
              <w:pStyle w:val="318"/>
              <w:rPr>
                <w:color w:val="auto"/>
              </w:rPr>
            </w:pPr>
          </w:p>
        </w:tc>
        <w:tc>
          <w:tcPr>
            <w:tcW w:w="1692" w:type="dxa"/>
            <w:vAlign w:val="center"/>
          </w:tcPr>
          <w:p>
            <w:pPr>
              <w:pStyle w:val="318"/>
              <w:rPr>
                <w:color w:val="auto"/>
              </w:rPr>
            </w:pPr>
          </w:p>
        </w:tc>
        <w:tc>
          <w:tcPr>
            <w:tcW w:w="1764" w:type="dxa"/>
            <w:vAlign w:val="center"/>
          </w:tcPr>
          <w:p>
            <w:pPr>
              <w:pStyle w:val="318"/>
              <w:rPr>
                <w:color w:val="auto"/>
              </w:rPr>
            </w:pPr>
          </w:p>
        </w:tc>
        <w:tc>
          <w:tcPr>
            <w:tcW w:w="1494" w:type="dxa"/>
          </w:tcPr>
          <w:p>
            <w:pPr>
              <w:pStyle w:val="318"/>
              <w:rPr>
                <w:color w:val="auto"/>
              </w:rPr>
            </w:pPr>
          </w:p>
        </w:tc>
        <w:tc>
          <w:tcPr>
            <w:tcW w:w="1470" w:type="dxa"/>
            <w:vAlign w:val="center"/>
          </w:tcPr>
          <w:p>
            <w:pPr>
              <w:pStyle w:val="318"/>
              <w:rPr>
                <w:color w:val="auto"/>
              </w:rPr>
            </w:pPr>
          </w:p>
        </w:tc>
        <w:tc>
          <w:tcPr>
            <w:tcW w:w="1453" w:type="dxa"/>
            <w:vAlign w:val="center"/>
          </w:tcPr>
          <w:p>
            <w:pPr>
              <w:pStyle w:val="318"/>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2" w:hRule="atLeast"/>
          <w:jc w:val="center"/>
        </w:trPr>
        <w:tc>
          <w:tcPr>
            <w:tcW w:w="924" w:type="dxa"/>
            <w:vAlign w:val="center"/>
          </w:tcPr>
          <w:p>
            <w:pPr>
              <w:pStyle w:val="318"/>
              <w:rPr>
                <w:color w:val="auto"/>
              </w:rPr>
            </w:pPr>
          </w:p>
        </w:tc>
        <w:tc>
          <w:tcPr>
            <w:tcW w:w="1692" w:type="dxa"/>
            <w:vAlign w:val="center"/>
          </w:tcPr>
          <w:p>
            <w:pPr>
              <w:pStyle w:val="318"/>
              <w:rPr>
                <w:color w:val="auto"/>
              </w:rPr>
            </w:pPr>
          </w:p>
        </w:tc>
        <w:tc>
          <w:tcPr>
            <w:tcW w:w="1764" w:type="dxa"/>
            <w:vAlign w:val="center"/>
          </w:tcPr>
          <w:p>
            <w:pPr>
              <w:pStyle w:val="318"/>
              <w:rPr>
                <w:color w:val="auto"/>
              </w:rPr>
            </w:pPr>
          </w:p>
        </w:tc>
        <w:tc>
          <w:tcPr>
            <w:tcW w:w="1494" w:type="dxa"/>
          </w:tcPr>
          <w:p>
            <w:pPr>
              <w:pStyle w:val="318"/>
              <w:rPr>
                <w:color w:val="auto"/>
              </w:rPr>
            </w:pPr>
          </w:p>
        </w:tc>
        <w:tc>
          <w:tcPr>
            <w:tcW w:w="1470" w:type="dxa"/>
            <w:vAlign w:val="center"/>
          </w:tcPr>
          <w:p>
            <w:pPr>
              <w:pStyle w:val="318"/>
              <w:rPr>
                <w:color w:val="auto"/>
              </w:rPr>
            </w:pPr>
          </w:p>
        </w:tc>
        <w:tc>
          <w:tcPr>
            <w:tcW w:w="1453" w:type="dxa"/>
            <w:vAlign w:val="center"/>
          </w:tcPr>
          <w:p>
            <w:pPr>
              <w:pStyle w:val="318"/>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2" w:hRule="atLeast"/>
          <w:jc w:val="center"/>
        </w:trPr>
        <w:tc>
          <w:tcPr>
            <w:tcW w:w="924" w:type="dxa"/>
            <w:vAlign w:val="center"/>
          </w:tcPr>
          <w:p>
            <w:pPr>
              <w:pStyle w:val="318"/>
              <w:rPr>
                <w:color w:val="auto"/>
              </w:rPr>
            </w:pPr>
          </w:p>
        </w:tc>
        <w:tc>
          <w:tcPr>
            <w:tcW w:w="1692" w:type="dxa"/>
            <w:vAlign w:val="center"/>
          </w:tcPr>
          <w:p>
            <w:pPr>
              <w:pStyle w:val="318"/>
              <w:rPr>
                <w:color w:val="auto"/>
              </w:rPr>
            </w:pPr>
          </w:p>
        </w:tc>
        <w:tc>
          <w:tcPr>
            <w:tcW w:w="1764" w:type="dxa"/>
            <w:vAlign w:val="center"/>
          </w:tcPr>
          <w:p>
            <w:pPr>
              <w:pStyle w:val="318"/>
              <w:rPr>
                <w:color w:val="auto"/>
              </w:rPr>
            </w:pPr>
          </w:p>
        </w:tc>
        <w:tc>
          <w:tcPr>
            <w:tcW w:w="1494" w:type="dxa"/>
          </w:tcPr>
          <w:p>
            <w:pPr>
              <w:pStyle w:val="318"/>
              <w:rPr>
                <w:color w:val="auto"/>
              </w:rPr>
            </w:pPr>
          </w:p>
        </w:tc>
        <w:tc>
          <w:tcPr>
            <w:tcW w:w="1470" w:type="dxa"/>
            <w:vAlign w:val="center"/>
          </w:tcPr>
          <w:p>
            <w:pPr>
              <w:pStyle w:val="318"/>
              <w:rPr>
                <w:color w:val="auto"/>
              </w:rPr>
            </w:pPr>
          </w:p>
        </w:tc>
        <w:tc>
          <w:tcPr>
            <w:tcW w:w="1453" w:type="dxa"/>
            <w:vAlign w:val="center"/>
          </w:tcPr>
          <w:p>
            <w:pPr>
              <w:pStyle w:val="318"/>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1" w:hRule="atLeast"/>
          <w:jc w:val="center"/>
        </w:trPr>
        <w:tc>
          <w:tcPr>
            <w:tcW w:w="924" w:type="dxa"/>
            <w:vAlign w:val="center"/>
          </w:tcPr>
          <w:p>
            <w:pPr>
              <w:pStyle w:val="318"/>
              <w:rPr>
                <w:color w:val="auto"/>
              </w:rPr>
            </w:pPr>
          </w:p>
        </w:tc>
        <w:tc>
          <w:tcPr>
            <w:tcW w:w="1692" w:type="dxa"/>
            <w:vAlign w:val="center"/>
          </w:tcPr>
          <w:p>
            <w:pPr>
              <w:pStyle w:val="318"/>
              <w:rPr>
                <w:color w:val="auto"/>
              </w:rPr>
            </w:pPr>
          </w:p>
        </w:tc>
        <w:tc>
          <w:tcPr>
            <w:tcW w:w="1764" w:type="dxa"/>
            <w:vAlign w:val="center"/>
          </w:tcPr>
          <w:p>
            <w:pPr>
              <w:pStyle w:val="318"/>
              <w:rPr>
                <w:color w:val="auto"/>
              </w:rPr>
            </w:pPr>
          </w:p>
        </w:tc>
        <w:tc>
          <w:tcPr>
            <w:tcW w:w="1494" w:type="dxa"/>
          </w:tcPr>
          <w:p>
            <w:pPr>
              <w:pStyle w:val="318"/>
              <w:rPr>
                <w:color w:val="auto"/>
              </w:rPr>
            </w:pPr>
          </w:p>
        </w:tc>
        <w:tc>
          <w:tcPr>
            <w:tcW w:w="1470" w:type="dxa"/>
            <w:vAlign w:val="center"/>
          </w:tcPr>
          <w:p>
            <w:pPr>
              <w:pStyle w:val="318"/>
              <w:rPr>
                <w:color w:val="auto"/>
              </w:rPr>
            </w:pPr>
          </w:p>
        </w:tc>
        <w:tc>
          <w:tcPr>
            <w:tcW w:w="1453" w:type="dxa"/>
            <w:vAlign w:val="center"/>
          </w:tcPr>
          <w:p>
            <w:pPr>
              <w:pStyle w:val="318"/>
              <w:rPr>
                <w:color w:val="auto"/>
              </w:rPr>
            </w:pPr>
          </w:p>
        </w:tc>
      </w:tr>
    </w:tbl>
    <w:p>
      <w:pPr>
        <w:tabs>
          <w:tab w:val="left" w:pos="7200"/>
          <w:tab w:val="left" w:pos="8504"/>
        </w:tabs>
        <w:spacing w:line="360" w:lineRule="auto"/>
        <w:ind w:right="-1"/>
        <w:rPr>
          <w:rFonts w:ascii="宋体" w:hAnsi="宋体" w:cs="宋体"/>
          <w:color w:val="auto"/>
        </w:rPr>
      </w:pPr>
    </w:p>
    <w:p>
      <w:pPr>
        <w:spacing w:line="120" w:lineRule="exact"/>
        <w:rPr>
          <w:rFonts w:ascii="宋体" w:hAnsi="宋体" w:cs="宋体"/>
          <w:color w:val="auto"/>
        </w:rPr>
      </w:pPr>
    </w:p>
    <w:p>
      <w:pPr>
        <w:pStyle w:val="13"/>
        <w:ind w:firstLine="2880" w:firstLineChars="1200"/>
        <w:rPr>
          <w:color w:val="auto"/>
        </w:rPr>
      </w:pPr>
      <w:r>
        <w:rPr>
          <w:rFonts w:hint="eastAsia"/>
          <w:color w:val="auto"/>
        </w:rPr>
        <w:t>供应商名称：</w:t>
      </w:r>
      <w:r>
        <w:rPr>
          <w:rFonts w:hint="eastAsia"/>
          <w:color w:val="auto"/>
          <w:u w:val="single"/>
        </w:rPr>
        <w:t xml:space="preserve">                        </w:t>
      </w:r>
      <w:r>
        <w:rPr>
          <w:rFonts w:hint="eastAsia"/>
          <w:color w:val="auto"/>
        </w:rPr>
        <w:t>（公章）</w:t>
      </w:r>
    </w:p>
    <w:p>
      <w:pPr>
        <w:pStyle w:val="13"/>
        <w:ind w:firstLine="2880" w:firstLineChars="1200"/>
        <w:rPr>
          <w:color w:val="auto"/>
        </w:rPr>
      </w:pPr>
      <w:r>
        <w:rPr>
          <w:rFonts w:hint="eastAsia"/>
          <w:color w:val="auto"/>
        </w:rPr>
        <w:t>法定代表人或被授权代表或自然人：</w:t>
      </w:r>
      <w:r>
        <w:rPr>
          <w:rFonts w:hint="eastAsia"/>
          <w:color w:val="auto"/>
          <w:u w:val="single"/>
        </w:rPr>
        <w:t xml:space="preserve">      </w:t>
      </w:r>
      <w:r>
        <w:rPr>
          <w:rFonts w:hint="eastAsia"/>
          <w:color w:val="auto"/>
        </w:rPr>
        <w:t xml:space="preserve">（签字或盖章）      </w:t>
      </w:r>
    </w:p>
    <w:p>
      <w:pPr>
        <w:pStyle w:val="13"/>
        <w:ind w:firstLine="2880" w:firstLineChars="1200"/>
        <w:rPr>
          <w:color w:val="auto"/>
        </w:rPr>
      </w:pPr>
      <w:r>
        <w:rPr>
          <w:rFonts w:hint="eastAsia"/>
          <w:color w:val="auto"/>
        </w:rPr>
        <w:t>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spacing w:line="440" w:lineRule="exact"/>
        <w:rPr>
          <w:rFonts w:ascii="宋体" w:hAnsi="宋体" w:cs="宋体"/>
          <w:color w:val="auto"/>
        </w:rPr>
      </w:pPr>
    </w:p>
    <w:p>
      <w:pPr>
        <w:rPr>
          <w:rStyle w:val="325"/>
          <w:color w:val="auto"/>
        </w:rPr>
      </w:pPr>
      <w:r>
        <w:rPr>
          <w:rStyle w:val="325"/>
          <w:rFonts w:hint="eastAsia"/>
          <w:color w:val="auto"/>
        </w:rPr>
        <w:br w:type="page"/>
      </w:r>
    </w:p>
    <w:p>
      <w:pPr>
        <w:pStyle w:val="5"/>
        <w:rPr>
          <w:color w:val="auto"/>
          <w:spacing w:val="4"/>
        </w:rPr>
      </w:pPr>
      <w:r>
        <w:rPr>
          <w:rStyle w:val="325"/>
          <w:rFonts w:hint="eastAsia"/>
          <w:b/>
          <w:color w:val="auto"/>
        </w:rPr>
        <w:t>2.4耗材清单（如有）</w:t>
      </w:r>
    </w:p>
    <w:tbl>
      <w:tblPr>
        <w:tblStyle w:val="4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3"/>
        <w:gridCol w:w="2214"/>
        <w:gridCol w:w="1529"/>
        <w:gridCol w:w="1594"/>
        <w:gridCol w:w="1588"/>
        <w:gridCol w:w="15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93" w:hRule="atLeast"/>
        </w:trPr>
        <w:tc>
          <w:tcPr>
            <w:tcW w:w="963" w:type="dxa"/>
            <w:vAlign w:val="center"/>
          </w:tcPr>
          <w:p>
            <w:pPr>
              <w:pStyle w:val="318"/>
              <w:rPr>
                <w:color w:val="auto"/>
              </w:rPr>
            </w:pPr>
            <w:r>
              <w:rPr>
                <w:rFonts w:hint="eastAsia"/>
                <w:color w:val="auto"/>
              </w:rPr>
              <w:t>序号</w:t>
            </w:r>
          </w:p>
        </w:tc>
        <w:tc>
          <w:tcPr>
            <w:tcW w:w="2214" w:type="dxa"/>
            <w:vAlign w:val="center"/>
          </w:tcPr>
          <w:p>
            <w:pPr>
              <w:pStyle w:val="318"/>
              <w:rPr>
                <w:color w:val="auto"/>
              </w:rPr>
            </w:pPr>
            <w:r>
              <w:rPr>
                <w:rFonts w:hint="eastAsia"/>
                <w:color w:val="auto"/>
              </w:rPr>
              <w:t>耗材名称</w:t>
            </w:r>
          </w:p>
        </w:tc>
        <w:tc>
          <w:tcPr>
            <w:tcW w:w="1529" w:type="dxa"/>
            <w:vAlign w:val="center"/>
          </w:tcPr>
          <w:p>
            <w:pPr>
              <w:pStyle w:val="318"/>
              <w:rPr>
                <w:color w:val="auto"/>
              </w:rPr>
            </w:pPr>
            <w:r>
              <w:rPr>
                <w:rFonts w:hint="eastAsia"/>
                <w:color w:val="auto"/>
              </w:rPr>
              <w:t>规格</w:t>
            </w:r>
          </w:p>
        </w:tc>
        <w:tc>
          <w:tcPr>
            <w:tcW w:w="1594" w:type="dxa"/>
            <w:vAlign w:val="center"/>
          </w:tcPr>
          <w:p>
            <w:pPr>
              <w:pStyle w:val="318"/>
              <w:rPr>
                <w:color w:val="auto"/>
              </w:rPr>
            </w:pPr>
            <w:r>
              <w:rPr>
                <w:rFonts w:hint="eastAsia"/>
                <w:color w:val="auto"/>
              </w:rPr>
              <w:t>单价（元）</w:t>
            </w:r>
          </w:p>
        </w:tc>
        <w:tc>
          <w:tcPr>
            <w:tcW w:w="1588" w:type="dxa"/>
            <w:vAlign w:val="center"/>
          </w:tcPr>
          <w:p>
            <w:pPr>
              <w:pStyle w:val="318"/>
              <w:rPr>
                <w:color w:val="auto"/>
              </w:rPr>
            </w:pPr>
            <w:r>
              <w:rPr>
                <w:rFonts w:hint="eastAsia"/>
                <w:color w:val="auto"/>
              </w:rPr>
              <w:t>预计年用量</w:t>
            </w:r>
          </w:p>
        </w:tc>
        <w:tc>
          <w:tcPr>
            <w:tcW w:w="1588" w:type="dxa"/>
            <w:vAlign w:val="center"/>
          </w:tcPr>
          <w:p>
            <w:pPr>
              <w:pStyle w:val="318"/>
              <w:rPr>
                <w:color w:val="auto"/>
              </w:rPr>
            </w:pPr>
            <w:r>
              <w:rPr>
                <w:rFonts w:hint="eastAsia"/>
                <w:color w:val="auto"/>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3" w:hRule="atLeast"/>
        </w:trPr>
        <w:tc>
          <w:tcPr>
            <w:tcW w:w="963" w:type="dxa"/>
            <w:vAlign w:val="center"/>
          </w:tcPr>
          <w:p>
            <w:pPr>
              <w:pStyle w:val="318"/>
              <w:rPr>
                <w:color w:val="auto"/>
              </w:rPr>
            </w:pPr>
            <w:r>
              <w:rPr>
                <w:rFonts w:hint="eastAsia"/>
                <w:color w:val="auto"/>
              </w:rPr>
              <w:t>1</w:t>
            </w:r>
          </w:p>
        </w:tc>
        <w:tc>
          <w:tcPr>
            <w:tcW w:w="2214" w:type="dxa"/>
            <w:vAlign w:val="center"/>
          </w:tcPr>
          <w:p>
            <w:pPr>
              <w:pStyle w:val="318"/>
              <w:rPr>
                <w:color w:val="auto"/>
              </w:rPr>
            </w:pPr>
          </w:p>
        </w:tc>
        <w:tc>
          <w:tcPr>
            <w:tcW w:w="1529" w:type="dxa"/>
            <w:vAlign w:val="center"/>
          </w:tcPr>
          <w:p>
            <w:pPr>
              <w:pStyle w:val="318"/>
              <w:rPr>
                <w:color w:val="auto"/>
              </w:rPr>
            </w:pPr>
          </w:p>
        </w:tc>
        <w:tc>
          <w:tcPr>
            <w:tcW w:w="1594" w:type="dxa"/>
            <w:vAlign w:val="center"/>
          </w:tcPr>
          <w:p>
            <w:pPr>
              <w:pStyle w:val="318"/>
              <w:rPr>
                <w:color w:val="auto"/>
              </w:rPr>
            </w:pPr>
          </w:p>
        </w:tc>
        <w:tc>
          <w:tcPr>
            <w:tcW w:w="1588" w:type="dxa"/>
            <w:vAlign w:val="center"/>
          </w:tcPr>
          <w:p>
            <w:pPr>
              <w:pStyle w:val="318"/>
              <w:rPr>
                <w:color w:val="auto"/>
              </w:rPr>
            </w:pPr>
          </w:p>
        </w:tc>
        <w:tc>
          <w:tcPr>
            <w:tcW w:w="1588" w:type="dxa"/>
          </w:tcPr>
          <w:p>
            <w:pPr>
              <w:pStyle w:val="318"/>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3" w:hRule="atLeast"/>
        </w:trPr>
        <w:tc>
          <w:tcPr>
            <w:tcW w:w="963" w:type="dxa"/>
            <w:vAlign w:val="center"/>
          </w:tcPr>
          <w:p>
            <w:pPr>
              <w:pStyle w:val="318"/>
              <w:rPr>
                <w:color w:val="auto"/>
              </w:rPr>
            </w:pPr>
            <w:r>
              <w:rPr>
                <w:rFonts w:hint="eastAsia"/>
                <w:color w:val="auto"/>
              </w:rPr>
              <w:t>2</w:t>
            </w:r>
          </w:p>
        </w:tc>
        <w:tc>
          <w:tcPr>
            <w:tcW w:w="2214" w:type="dxa"/>
            <w:vAlign w:val="center"/>
          </w:tcPr>
          <w:p>
            <w:pPr>
              <w:pStyle w:val="318"/>
              <w:rPr>
                <w:color w:val="auto"/>
              </w:rPr>
            </w:pPr>
          </w:p>
        </w:tc>
        <w:tc>
          <w:tcPr>
            <w:tcW w:w="1529" w:type="dxa"/>
            <w:vAlign w:val="center"/>
          </w:tcPr>
          <w:p>
            <w:pPr>
              <w:pStyle w:val="318"/>
              <w:rPr>
                <w:color w:val="auto"/>
              </w:rPr>
            </w:pPr>
          </w:p>
        </w:tc>
        <w:tc>
          <w:tcPr>
            <w:tcW w:w="1594" w:type="dxa"/>
            <w:vAlign w:val="center"/>
          </w:tcPr>
          <w:p>
            <w:pPr>
              <w:pStyle w:val="318"/>
              <w:rPr>
                <w:color w:val="auto"/>
              </w:rPr>
            </w:pPr>
          </w:p>
        </w:tc>
        <w:tc>
          <w:tcPr>
            <w:tcW w:w="1588" w:type="dxa"/>
            <w:vAlign w:val="center"/>
          </w:tcPr>
          <w:p>
            <w:pPr>
              <w:pStyle w:val="318"/>
              <w:rPr>
                <w:color w:val="auto"/>
              </w:rPr>
            </w:pPr>
          </w:p>
        </w:tc>
        <w:tc>
          <w:tcPr>
            <w:tcW w:w="1588" w:type="dxa"/>
          </w:tcPr>
          <w:p>
            <w:pPr>
              <w:pStyle w:val="318"/>
              <w:rPr>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4" w:hRule="atLeast"/>
        </w:trPr>
        <w:tc>
          <w:tcPr>
            <w:tcW w:w="963" w:type="dxa"/>
            <w:vAlign w:val="center"/>
          </w:tcPr>
          <w:p>
            <w:pPr>
              <w:pStyle w:val="318"/>
              <w:rPr>
                <w:color w:val="auto"/>
              </w:rPr>
            </w:pPr>
            <w:r>
              <w:rPr>
                <w:rFonts w:hint="eastAsia"/>
                <w:color w:val="auto"/>
              </w:rPr>
              <w:t>…</w:t>
            </w:r>
          </w:p>
        </w:tc>
        <w:tc>
          <w:tcPr>
            <w:tcW w:w="2214" w:type="dxa"/>
            <w:vAlign w:val="center"/>
          </w:tcPr>
          <w:p>
            <w:pPr>
              <w:pStyle w:val="318"/>
              <w:rPr>
                <w:color w:val="auto"/>
              </w:rPr>
            </w:pPr>
          </w:p>
        </w:tc>
        <w:tc>
          <w:tcPr>
            <w:tcW w:w="1529" w:type="dxa"/>
            <w:vAlign w:val="center"/>
          </w:tcPr>
          <w:p>
            <w:pPr>
              <w:pStyle w:val="318"/>
              <w:rPr>
                <w:color w:val="auto"/>
              </w:rPr>
            </w:pPr>
          </w:p>
        </w:tc>
        <w:tc>
          <w:tcPr>
            <w:tcW w:w="1594" w:type="dxa"/>
            <w:vAlign w:val="center"/>
          </w:tcPr>
          <w:p>
            <w:pPr>
              <w:pStyle w:val="318"/>
              <w:rPr>
                <w:color w:val="auto"/>
              </w:rPr>
            </w:pPr>
          </w:p>
        </w:tc>
        <w:tc>
          <w:tcPr>
            <w:tcW w:w="1588" w:type="dxa"/>
            <w:vAlign w:val="center"/>
          </w:tcPr>
          <w:p>
            <w:pPr>
              <w:pStyle w:val="318"/>
              <w:rPr>
                <w:color w:val="auto"/>
              </w:rPr>
            </w:pPr>
          </w:p>
        </w:tc>
        <w:tc>
          <w:tcPr>
            <w:tcW w:w="1588" w:type="dxa"/>
          </w:tcPr>
          <w:p>
            <w:pPr>
              <w:pStyle w:val="318"/>
              <w:rPr>
                <w:color w:val="auto"/>
              </w:rPr>
            </w:pPr>
          </w:p>
        </w:tc>
      </w:tr>
    </w:tbl>
    <w:p>
      <w:pPr>
        <w:tabs>
          <w:tab w:val="left" w:pos="7200"/>
          <w:tab w:val="left" w:pos="8504"/>
        </w:tabs>
        <w:spacing w:line="360" w:lineRule="auto"/>
        <w:ind w:right="-1"/>
        <w:rPr>
          <w:rFonts w:ascii="宋体" w:hAnsi="宋体" w:cs="宋体"/>
          <w:color w:val="auto"/>
        </w:rPr>
      </w:pPr>
    </w:p>
    <w:p>
      <w:pPr>
        <w:spacing w:line="120" w:lineRule="exact"/>
        <w:rPr>
          <w:rFonts w:ascii="宋体" w:hAnsi="宋体" w:cs="宋体"/>
          <w:color w:val="auto"/>
        </w:rPr>
      </w:pPr>
    </w:p>
    <w:p>
      <w:pPr>
        <w:pStyle w:val="13"/>
        <w:ind w:firstLine="2880" w:firstLineChars="1200"/>
        <w:rPr>
          <w:color w:val="auto"/>
        </w:rPr>
      </w:pPr>
      <w:r>
        <w:rPr>
          <w:rFonts w:hint="eastAsia"/>
          <w:color w:val="auto"/>
        </w:rPr>
        <w:t>供应商名称：</w:t>
      </w:r>
      <w:r>
        <w:rPr>
          <w:rFonts w:hint="eastAsia"/>
          <w:color w:val="auto"/>
          <w:u w:val="single"/>
        </w:rPr>
        <w:t xml:space="preserve">                        </w:t>
      </w:r>
      <w:r>
        <w:rPr>
          <w:rFonts w:hint="eastAsia"/>
          <w:color w:val="auto"/>
        </w:rPr>
        <w:t>（公章）</w:t>
      </w:r>
    </w:p>
    <w:p>
      <w:pPr>
        <w:pStyle w:val="13"/>
        <w:ind w:firstLine="2880" w:firstLineChars="1200"/>
        <w:rPr>
          <w:color w:val="auto"/>
        </w:rPr>
      </w:pPr>
      <w:r>
        <w:rPr>
          <w:rFonts w:hint="eastAsia"/>
          <w:color w:val="auto"/>
        </w:rPr>
        <w:t>法定代表人或被授权代表或自然人：</w:t>
      </w:r>
      <w:r>
        <w:rPr>
          <w:rFonts w:hint="eastAsia"/>
          <w:color w:val="auto"/>
          <w:u w:val="single"/>
        </w:rPr>
        <w:t xml:space="preserve">      </w:t>
      </w:r>
      <w:r>
        <w:rPr>
          <w:rFonts w:hint="eastAsia"/>
          <w:color w:val="auto"/>
        </w:rPr>
        <w:t xml:space="preserve">（签字或盖章）      </w:t>
      </w:r>
    </w:p>
    <w:p>
      <w:pPr>
        <w:pStyle w:val="13"/>
        <w:ind w:firstLine="2880" w:firstLineChars="1200"/>
        <w:rPr>
          <w:color w:val="auto"/>
        </w:rPr>
      </w:pPr>
      <w:r>
        <w:rPr>
          <w:rFonts w:hint="eastAsia"/>
          <w:color w:val="auto"/>
        </w:rPr>
        <w:t>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pStyle w:val="13"/>
        <w:ind w:firstLine="2880" w:firstLineChars="1200"/>
        <w:rPr>
          <w:color w:val="auto"/>
        </w:rPr>
      </w:pPr>
    </w:p>
    <w:p>
      <w:pPr>
        <w:rPr>
          <w:color w:val="auto"/>
        </w:rPr>
      </w:pPr>
      <w:r>
        <w:rPr>
          <w:rFonts w:hint="eastAsia"/>
          <w:color w:val="auto"/>
        </w:rPr>
        <w:br w:type="page"/>
      </w:r>
    </w:p>
    <w:p>
      <w:pPr>
        <w:pStyle w:val="4"/>
        <w:rPr>
          <w:rFonts w:ascii="宋体" w:hAnsi="宋体" w:cs="宋体"/>
          <w:color w:val="auto"/>
        </w:rPr>
      </w:pPr>
      <w:r>
        <w:rPr>
          <w:rFonts w:hint="eastAsia" w:ascii="宋体" w:hAnsi="宋体" w:cs="宋体"/>
          <w:color w:val="auto"/>
        </w:rPr>
        <w:t>三、响应方案说明书</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供应商按谈判文件的要求，依据</w:t>
      </w:r>
      <w:r>
        <w:rPr>
          <w:rFonts w:hint="eastAsia" w:ascii="宋体" w:hAnsi="宋体" w:cs="宋体"/>
          <w:b/>
          <w:bCs/>
          <w:color w:val="auto"/>
          <w:sz w:val="24"/>
          <w:szCs w:val="24"/>
        </w:rPr>
        <w:t>第三章“采购内容及要求”</w:t>
      </w:r>
      <w:r>
        <w:rPr>
          <w:rFonts w:hint="eastAsia" w:ascii="宋体" w:hAnsi="宋体" w:cs="宋体"/>
          <w:color w:val="auto"/>
          <w:sz w:val="24"/>
          <w:szCs w:val="24"/>
        </w:rPr>
        <w:t>相关内容编写，自主编写方案说明书。内容至少应包括如下：</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1、完成项目的实施方案，要求供应商针对本项目的需求提出全面、完整的实施方案；</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2、谈判响应产品的商标、型号、功能、技术规格、详细的供货配置清单（原材料说明、结构图、效果图（如有））；</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3、谈判响应产品来源渠道合法的证明文件（包括但不限于销售协议、代理协议、原厂授权等）；</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4、填写技术响应偏离表（见附表1）并提供支持文件，详细、据实说明优于或偏离招标要求的指标（如有）；</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5、谈判响应产品的制造商情况及原产地、质量标准、检测标准、是否符合国家规范及相关认证等；</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6、谈判响应产品功能证明材料（测试报告、官网和功能截图等）；</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7、质量保证措施及承诺；</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8、培训方案；</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9、售后服务方案及承诺；</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10、验收依据；</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11、同类项目业绩（见附表2）；</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12、</w:t>
      </w:r>
      <w:r>
        <w:rPr>
          <w:rFonts w:hint="eastAsia" w:ascii="宋体" w:hAnsi="宋体" w:cs="宋体"/>
          <w:color w:val="auto"/>
          <w:sz w:val="24"/>
          <w:szCs w:val="24"/>
          <w:lang w:val="en-US" w:eastAsia="zh-CN"/>
        </w:rPr>
        <w:t>拟派项目负责人</w:t>
      </w:r>
      <w:r>
        <w:rPr>
          <w:rFonts w:hint="eastAsia" w:ascii="宋体" w:hAnsi="宋体" w:cs="宋体"/>
          <w:color w:val="auto"/>
          <w:sz w:val="24"/>
          <w:szCs w:val="24"/>
        </w:rPr>
        <w:t>（见附表3）；</w:t>
      </w:r>
    </w:p>
    <w:p>
      <w:pPr>
        <w:pStyle w:val="14"/>
        <w:spacing w:line="360" w:lineRule="auto"/>
        <w:ind w:left="0" w:firstLine="480" w:firstLineChars="200"/>
        <w:rPr>
          <w:rFonts w:ascii="宋体" w:hAnsi="宋体" w:cs="宋体"/>
          <w:color w:val="auto"/>
          <w:sz w:val="24"/>
          <w:szCs w:val="24"/>
        </w:rPr>
      </w:pPr>
      <w:r>
        <w:rPr>
          <w:rFonts w:hint="eastAsia" w:ascii="宋体" w:hAnsi="宋体" w:cs="宋体"/>
          <w:color w:val="auto"/>
          <w:sz w:val="24"/>
          <w:szCs w:val="24"/>
        </w:rPr>
        <w:t>13、供应商认为有必要说明的问题（如有）。</w:t>
      </w:r>
    </w:p>
    <w:p>
      <w:pPr>
        <w:spacing w:line="360" w:lineRule="auto"/>
        <w:rPr>
          <w:rFonts w:ascii="宋体" w:hAnsi="宋体" w:cs="宋体"/>
          <w:color w:val="auto"/>
          <w:sz w:val="24"/>
          <w:szCs w:val="24"/>
        </w:rPr>
      </w:pPr>
      <w:r>
        <w:rPr>
          <w:rFonts w:hint="eastAsia" w:ascii="宋体" w:hAnsi="宋体" w:cs="宋体"/>
          <w:color w:val="auto"/>
          <w:sz w:val="24"/>
          <w:szCs w:val="24"/>
        </w:rPr>
        <w:br w:type="page"/>
      </w:r>
    </w:p>
    <w:p>
      <w:pPr>
        <w:pStyle w:val="6"/>
        <w:rPr>
          <w:rStyle w:val="322"/>
          <w:b/>
          <w:color w:val="auto"/>
        </w:rPr>
      </w:pPr>
      <w:r>
        <w:rPr>
          <w:rStyle w:val="322"/>
          <w:rFonts w:hint="eastAsia"/>
          <w:b/>
          <w:color w:val="auto"/>
        </w:rPr>
        <w:t>附表1：技术响应偏离表</w:t>
      </w:r>
    </w:p>
    <w:p>
      <w:pPr>
        <w:pStyle w:val="21"/>
        <w:rPr>
          <w:rFonts w:ascii="宋体" w:hAnsi="宋体" w:cs="宋体"/>
          <w:color w:val="auto"/>
        </w:rPr>
      </w:pPr>
    </w:p>
    <w:p>
      <w:pPr>
        <w:pStyle w:val="13"/>
        <w:ind w:firstLine="480"/>
        <w:rPr>
          <w:color w:val="auto"/>
          <w:u w:val="single"/>
        </w:rPr>
      </w:pPr>
      <w:r>
        <w:rPr>
          <w:rFonts w:hint="eastAsia"/>
          <w:color w:val="auto"/>
        </w:rPr>
        <w:t>项目名称：</w:t>
      </w:r>
      <w:r>
        <w:rPr>
          <w:rFonts w:hint="eastAsia"/>
          <w:color w:val="auto"/>
          <w:u w:val="single"/>
        </w:rPr>
        <w:t xml:space="preserve">                                  </w:t>
      </w:r>
    </w:p>
    <w:p>
      <w:pPr>
        <w:pStyle w:val="13"/>
        <w:ind w:firstLine="480"/>
        <w:rPr>
          <w:color w:val="auto"/>
          <w:spacing w:val="4"/>
          <w:szCs w:val="24"/>
        </w:rPr>
      </w:pPr>
      <w:r>
        <w:rPr>
          <w:rFonts w:hint="eastAsia"/>
          <w:color w:val="auto"/>
        </w:rPr>
        <w:t>项目编号：</w:t>
      </w:r>
      <w:r>
        <w:rPr>
          <w:rFonts w:hint="eastAsia"/>
          <w:color w:val="auto"/>
          <w:u w:val="single"/>
        </w:rPr>
        <w:t xml:space="preserve">                                </w:t>
      </w:r>
      <w:r>
        <w:rPr>
          <w:rFonts w:hint="eastAsia"/>
          <w:bCs/>
          <w:color w:val="auto"/>
          <w:spacing w:val="4"/>
          <w:szCs w:val="24"/>
        </w:rPr>
        <w:t xml:space="preserve">                                      </w:t>
      </w:r>
    </w:p>
    <w:tbl>
      <w:tblPr>
        <w:tblStyle w:val="47"/>
        <w:tblW w:w="970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50"/>
        <w:gridCol w:w="2170"/>
        <w:gridCol w:w="2078"/>
        <w:gridCol w:w="2261"/>
        <w:gridCol w:w="1211"/>
        <w:gridCol w:w="113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0" w:hRule="atLeast"/>
          <w:jc w:val="center"/>
        </w:trPr>
        <w:tc>
          <w:tcPr>
            <w:tcW w:w="850" w:type="dxa"/>
            <w:vAlign w:val="center"/>
          </w:tcPr>
          <w:p>
            <w:pPr>
              <w:pStyle w:val="318"/>
              <w:rPr>
                <w:b/>
                <w:bCs/>
                <w:color w:val="auto"/>
              </w:rPr>
            </w:pPr>
            <w:r>
              <w:rPr>
                <w:rFonts w:hint="eastAsia"/>
                <w:b/>
                <w:bCs/>
                <w:color w:val="auto"/>
              </w:rPr>
              <w:t>序号</w:t>
            </w:r>
          </w:p>
        </w:tc>
        <w:tc>
          <w:tcPr>
            <w:tcW w:w="2170" w:type="dxa"/>
            <w:vAlign w:val="center"/>
          </w:tcPr>
          <w:p>
            <w:pPr>
              <w:pStyle w:val="318"/>
              <w:rPr>
                <w:b/>
                <w:bCs/>
                <w:color w:val="auto"/>
              </w:rPr>
            </w:pPr>
            <w:r>
              <w:rPr>
                <w:rFonts w:hint="eastAsia"/>
                <w:b/>
                <w:bCs/>
                <w:color w:val="auto"/>
              </w:rPr>
              <w:t>名称</w:t>
            </w:r>
          </w:p>
        </w:tc>
        <w:tc>
          <w:tcPr>
            <w:tcW w:w="2078" w:type="dxa"/>
            <w:vAlign w:val="center"/>
          </w:tcPr>
          <w:p>
            <w:pPr>
              <w:pStyle w:val="318"/>
              <w:rPr>
                <w:b/>
                <w:bCs/>
                <w:color w:val="auto"/>
              </w:rPr>
            </w:pPr>
            <w:r>
              <w:rPr>
                <w:rFonts w:hint="eastAsia"/>
                <w:b/>
                <w:bCs/>
                <w:color w:val="auto"/>
              </w:rPr>
              <w:t>谈判文件要求</w:t>
            </w:r>
          </w:p>
        </w:tc>
        <w:tc>
          <w:tcPr>
            <w:tcW w:w="2261" w:type="dxa"/>
            <w:vAlign w:val="center"/>
          </w:tcPr>
          <w:p>
            <w:pPr>
              <w:pStyle w:val="318"/>
              <w:rPr>
                <w:b/>
                <w:bCs/>
                <w:color w:val="auto"/>
              </w:rPr>
            </w:pPr>
            <w:r>
              <w:rPr>
                <w:rFonts w:hint="eastAsia"/>
                <w:b/>
                <w:bCs/>
                <w:color w:val="auto"/>
              </w:rPr>
              <w:t>响应内容</w:t>
            </w:r>
          </w:p>
        </w:tc>
        <w:tc>
          <w:tcPr>
            <w:tcW w:w="1211" w:type="dxa"/>
            <w:vAlign w:val="center"/>
          </w:tcPr>
          <w:p>
            <w:pPr>
              <w:pStyle w:val="318"/>
              <w:rPr>
                <w:b/>
                <w:bCs/>
                <w:color w:val="auto"/>
              </w:rPr>
            </w:pPr>
            <w:r>
              <w:rPr>
                <w:rFonts w:hint="eastAsia"/>
                <w:b/>
                <w:bCs/>
                <w:color w:val="auto"/>
              </w:rPr>
              <w:t>偏离说明</w:t>
            </w:r>
          </w:p>
        </w:tc>
        <w:tc>
          <w:tcPr>
            <w:tcW w:w="1132" w:type="dxa"/>
            <w:vAlign w:val="center"/>
          </w:tcPr>
          <w:p>
            <w:pPr>
              <w:pStyle w:val="318"/>
              <w:rPr>
                <w:b/>
                <w:bCs/>
                <w:color w:val="auto"/>
              </w:rPr>
            </w:pPr>
            <w:r>
              <w:rPr>
                <w:rFonts w:hint="eastAsia"/>
                <w:b/>
                <w:bCs/>
                <w:color w:val="auto"/>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0" w:hRule="atLeast"/>
          <w:jc w:val="center"/>
        </w:trPr>
        <w:tc>
          <w:tcPr>
            <w:tcW w:w="850" w:type="dxa"/>
            <w:vAlign w:val="center"/>
          </w:tcPr>
          <w:p>
            <w:pPr>
              <w:pStyle w:val="318"/>
              <w:rPr>
                <w:color w:val="auto"/>
              </w:rPr>
            </w:pPr>
          </w:p>
        </w:tc>
        <w:tc>
          <w:tcPr>
            <w:tcW w:w="2170" w:type="dxa"/>
            <w:vAlign w:val="center"/>
          </w:tcPr>
          <w:p>
            <w:pPr>
              <w:pStyle w:val="318"/>
              <w:rPr>
                <w:color w:val="auto"/>
              </w:rPr>
            </w:pPr>
          </w:p>
        </w:tc>
        <w:tc>
          <w:tcPr>
            <w:tcW w:w="2078" w:type="dxa"/>
            <w:vAlign w:val="center"/>
          </w:tcPr>
          <w:p>
            <w:pPr>
              <w:pStyle w:val="318"/>
              <w:rPr>
                <w:color w:val="auto"/>
              </w:rPr>
            </w:pPr>
          </w:p>
        </w:tc>
        <w:tc>
          <w:tcPr>
            <w:tcW w:w="2261" w:type="dxa"/>
            <w:vAlign w:val="center"/>
          </w:tcPr>
          <w:p>
            <w:pPr>
              <w:pStyle w:val="318"/>
              <w:rPr>
                <w:color w:val="auto"/>
              </w:rPr>
            </w:pPr>
          </w:p>
        </w:tc>
        <w:tc>
          <w:tcPr>
            <w:tcW w:w="1211" w:type="dxa"/>
            <w:vAlign w:val="center"/>
          </w:tcPr>
          <w:p>
            <w:pPr>
              <w:pStyle w:val="318"/>
              <w:rPr>
                <w:color w:val="auto"/>
              </w:rPr>
            </w:pPr>
          </w:p>
        </w:tc>
        <w:tc>
          <w:tcPr>
            <w:tcW w:w="1132" w:type="dxa"/>
            <w:vAlign w:val="center"/>
          </w:tcPr>
          <w:p>
            <w:pPr>
              <w:pStyle w:val="318"/>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0" w:hRule="atLeast"/>
          <w:jc w:val="center"/>
        </w:trPr>
        <w:tc>
          <w:tcPr>
            <w:tcW w:w="850" w:type="dxa"/>
            <w:vAlign w:val="center"/>
          </w:tcPr>
          <w:p>
            <w:pPr>
              <w:pStyle w:val="318"/>
              <w:rPr>
                <w:color w:val="auto"/>
              </w:rPr>
            </w:pPr>
          </w:p>
        </w:tc>
        <w:tc>
          <w:tcPr>
            <w:tcW w:w="2170" w:type="dxa"/>
            <w:vAlign w:val="center"/>
          </w:tcPr>
          <w:p>
            <w:pPr>
              <w:pStyle w:val="318"/>
              <w:rPr>
                <w:color w:val="auto"/>
              </w:rPr>
            </w:pPr>
          </w:p>
        </w:tc>
        <w:tc>
          <w:tcPr>
            <w:tcW w:w="2078" w:type="dxa"/>
            <w:vAlign w:val="center"/>
          </w:tcPr>
          <w:p>
            <w:pPr>
              <w:pStyle w:val="318"/>
              <w:rPr>
                <w:color w:val="auto"/>
              </w:rPr>
            </w:pPr>
          </w:p>
        </w:tc>
        <w:tc>
          <w:tcPr>
            <w:tcW w:w="2261" w:type="dxa"/>
            <w:vAlign w:val="center"/>
          </w:tcPr>
          <w:p>
            <w:pPr>
              <w:pStyle w:val="318"/>
              <w:rPr>
                <w:color w:val="auto"/>
              </w:rPr>
            </w:pPr>
          </w:p>
        </w:tc>
        <w:tc>
          <w:tcPr>
            <w:tcW w:w="1211" w:type="dxa"/>
            <w:vAlign w:val="center"/>
          </w:tcPr>
          <w:p>
            <w:pPr>
              <w:pStyle w:val="318"/>
              <w:rPr>
                <w:color w:val="auto"/>
              </w:rPr>
            </w:pPr>
          </w:p>
        </w:tc>
        <w:tc>
          <w:tcPr>
            <w:tcW w:w="1132" w:type="dxa"/>
            <w:vAlign w:val="center"/>
          </w:tcPr>
          <w:p>
            <w:pPr>
              <w:pStyle w:val="318"/>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0" w:hRule="atLeast"/>
          <w:jc w:val="center"/>
        </w:trPr>
        <w:tc>
          <w:tcPr>
            <w:tcW w:w="850" w:type="dxa"/>
            <w:vAlign w:val="center"/>
          </w:tcPr>
          <w:p>
            <w:pPr>
              <w:pStyle w:val="318"/>
              <w:rPr>
                <w:color w:val="auto"/>
              </w:rPr>
            </w:pPr>
          </w:p>
        </w:tc>
        <w:tc>
          <w:tcPr>
            <w:tcW w:w="2170" w:type="dxa"/>
            <w:vAlign w:val="center"/>
          </w:tcPr>
          <w:p>
            <w:pPr>
              <w:pStyle w:val="318"/>
              <w:rPr>
                <w:color w:val="auto"/>
              </w:rPr>
            </w:pPr>
          </w:p>
        </w:tc>
        <w:tc>
          <w:tcPr>
            <w:tcW w:w="2078" w:type="dxa"/>
            <w:vAlign w:val="center"/>
          </w:tcPr>
          <w:p>
            <w:pPr>
              <w:pStyle w:val="318"/>
              <w:rPr>
                <w:color w:val="auto"/>
              </w:rPr>
            </w:pPr>
          </w:p>
        </w:tc>
        <w:tc>
          <w:tcPr>
            <w:tcW w:w="2261" w:type="dxa"/>
            <w:vAlign w:val="center"/>
          </w:tcPr>
          <w:p>
            <w:pPr>
              <w:pStyle w:val="318"/>
              <w:rPr>
                <w:color w:val="auto"/>
              </w:rPr>
            </w:pPr>
          </w:p>
        </w:tc>
        <w:tc>
          <w:tcPr>
            <w:tcW w:w="1211" w:type="dxa"/>
            <w:vAlign w:val="center"/>
          </w:tcPr>
          <w:p>
            <w:pPr>
              <w:pStyle w:val="318"/>
              <w:rPr>
                <w:color w:val="auto"/>
              </w:rPr>
            </w:pPr>
          </w:p>
        </w:tc>
        <w:tc>
          <w:tcPr>
            <w:tcW w:w="1132" w:type="dxa"/>
            <w:vAlign w:val="center"/>
          </w:tcPr>
          <w:p>
            <w:pPr>
              <w:pStyle w:val="318"/>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0" w:hRule="atLeast"/>
          <w:jc w:val="center"/>
        </w:trPr>
        <w:tc>
          <w:tcPr>
            <w:tcW w:w="850" w:type="dxa"/>
            <w:vAlign w:val="center"/>
          </w:tcPr>
          <w:p>
            <w:pPr>
              <w:pStyle w:val="318"/>
              <w:rPr>
                <w:color w:val="auto"/>
              </w:rPr>
            </w:pPr>
          </w:p>
        </w:tc>
        <w:tc>
          <w:tcPr>
            <w:tcW w:w="2170" w:type="dxa"/>
            <w:vAlign w:val="center"/>
          </w:tcPr>
          <w:p>
            <w:pPr>
              <w:pStyle w:val="318"/>
              <w:rPr>
                <w:color w:val="auto"/>
              </w:rPr>
            </w:pPr>
          </w:p>
        </w:tc>
        <w:tc>
          <w:tcPr>
            <w:tcW w:w="2078" w:type="dxa"/>
            <w:vAlign w:val="center"/>
          </w:tcPr>
          <w:p>
            <w:pPr>
              <w:pStyle w:val="318"/>
              <w:rPr>
                <w:color w:val="auto"/>
              </w:rPr>
            </w:pPr>
          </w:p>
        </w:tc>
        <w:tc>
          <w:tcPr>
            <w:tcW w:w="2261" w:type="dxa"/>
            <w:vAlign w:val="center"/>
          </w:tcPr>
          <w:p>
            <w:pPr>
              <w:pStyle w:val="318"/>
              <w:rPr>
                <w:color w:val="auto"/>
              </w:rPr>
            </w:pPr>
          </w:p>
        </w:tc>
        <w:tc>
          <w:tcPr>
            <w:tcW w:w="1211" w:type="dxa"/>
            <w:vAlign w:val="center"/>
          </w:tcPr>
          <w:p>
            <w:pPr>
              <w:pStyle w:val="318"/>
              <w:rPr>
                <w:color w:val="auto"/>
              </w:rPr>
            </w:pPr>
          </w:p>
        </w:tc>
        <w:tc>
          <w:tcPr>
            <w:tcW w:w="1132" w:type="dxa"/>
            <w:vAlign w:val="center"/>
          </w:tcPr>
          <w:p>
            <w:pPr>
              <w:pStyle w:val="318"/>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0" w:hRule="atLeast"/>
          <w:jc w:val="center"/>
        </w:trPr>
        <w:tc>
          <w:tcPr>
            <w:tcW w:w="850" w:type="dxa"/>
            <w:vAlign w:val="center"/>
          </w:tcPr>
          <w:p>
            <w:pPr>
              <w:pStyle w:val="318"/>
              <w:rPr>
                <w:color w:val="auto"/>
              </w:rPr>
            </w:pPr>
          </w:p>
        </w:tc>
        <w:tc>
          <w:tcPr>
            <w:tcW w:w="2170" w:type="dxa"/>
            <w:vAlign w:val="center"/>
          </w:tcPr>
          <w:p>
            <w:pPr>
              <w:pStyle w:val="318"/>
              <w:rPr>
                <w:color w:val="auto"/>
              </w:rPr>
            </w:pPr>
          </w:p>
        </w:tc>
        <w:tc>
          <w:tcPr>
            <w:tcW w:w="2078" w:type="dxa"/>
            <w:vAlign w:val="center"/>
          </w:tcPr>
          <w:p>
            <w:pPr>
              <w:pStyle w:val="318"/>
              <w:rPr>
                <w:color w:val="auto"/>
              </w:rPr>
            </w:pPr>
          </w:p>
        </w:tc>
        <w:tc>
          <w:tcPr>
            <w:tcW w:w="2261" w:type="dxa"/>
            <w:vAlign w:val="center"/>
          </w:tcPr>
          <w:p>
            <w:pPr>
              <w:pStyle w:val="318"/>
              <w:rPr>
                <w:color w:val="auto"/>
              </w:rPr>
            </w:pPr>
          </w:p>
        </w:tc>
        <w:tc>
          <w:tcPr>
            <w:tcW w:w="1211" w:type="dxa"/>
            <w:vAlign w:val="center"/>
          </w:tcPr>
          <w:p>
            <w:pPr>
              <w:pStyle w:val="318"/>
              <w:rPr>
                <w:color w:val="auto"/>
              </w:rPr>
            </w:pPr>
          </w:p>
        </w:tc>
        <w:tc>
          <w:tcPr>
            <w:tcW w:w="1132" w:type="dxa"/>
            <w:vAlign w:val="center"/>
          </w:tcPr>
          <w:p>
            <w:pPr>
              <w:pStyle w:val="318"/>
              <w:rPr>
                <w:color w:val="auto"/>
              </w:rPr>
            </w:pPr>
          </w:p>
        </w:tc>
      </w:tr>
    </w:tbl>
    <w:p>
      <w:pPr>
        <w:spacing w:line="336" w:lineRule="auto"/>
        <w:rPr>
          <w:rFonts w:ascii="宋体" w:hAnsi="宋体" w:cs="宋体"/>
          <w:color w:val="auto"/>
          <w:sz w:val="24"/>
          <w:szCs w:val="24"/>
        </w:rPr>
      </w:pPr>
    </w:p>
    <w:p>
      <w:pPr>
        <w:pStyle w:val="13"/>
        <w:ind w:firstLine="2880" w:firstLineChars="1200"/>
        <w:rPr>
          <w:color w:val="auto"/>
        </w:rPr>
      </w:pPr>
      <w:r>
        <w:rPr>
          <w:rFonts w:hint="eastAsia"/>
          <w:color w:val="auto"/>
        </w:rPr>
        <w:t>供应商名称：</w:t>
      </w:r>
      <w:r>
        <w:rPr>
          <w:rFonts w:hint="eastAsia"/>
          <w:color w:val="auto"/>
          <w:u w:val="single"/>
        </w:rPr>
        <w:t xml:space="preserve">                        </w:t>
      </w:r>
      <w:r>
        <w:rPr>
          <w:rFonts w:hint="eastAsia"/>
          <w:color w:val="auto"/>
        </w:rPr>
        <w:t>（印章）</w:t>
      </w:r>
    </w:p>
    <w:p>
      <w:pPr>
        <w:pStyle w:val="13"/>
        <w:ind w:firstLine="2880" w:firstLineChars="1200"/>
        <w:rPr>
          <w:color w:val="auto"/>
        </w:rPr>
      </w:pPr>
      <w:r>
        <w:rPr>
          <w:rFonts w:hint="eastAsia"/>
          <w:color w:val="auto"/>
        </w:rPr>
        <w:t>法定代表人或被授权代表或自然人：</w:t>
      </w:r>
      <w:r>
        <w:rPr>
          <w:rFonts w:hint="eastAsia"/>
          <w:color w:val="auto"/>
          <w:u w:val="single"/>
        </w:rPr>
        <w:t xml:space="preserve">      </w:t>
      </w:r>
      <w:r>
        <w:rPr>
          <w:rFonts w:hint="eastAsia"/>
          <w:color w:val="auto"/>
        </w:rPr>
        <w:t xml:space="preserve">（签字或盖章）     </w:t>
      </w:r>
    </w:p>
    <w:p>
      <w:pPr>
        <w:pStyle w:val="13"/>
        <w:ind w:firstLine="2880" w:firstLineChars="1200"/>
        <w:rPr>
          <w:color w:val="auto"/>
          <w:szCs w:val="24"/>
        </w:rPr>
      </w:pPr>
      <w:r>
        <w:rPr>
          <w:rFonts w:hint="eastAsia"/>
          <w:color w:val="auto"/>
        </w:rPr>
        <w:t>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pStyle w:val="13"/>
        <w:ind w:firstLine="0" w:firstLineChars="0"/>
        <w:rPr>
          <w:b/>
          <w:bCs/>
          <w:color w:val="auto"/>
          <w:sz w:val="21"/>
          <w:szCs w:val="21"/>
        </w:rPr>
      </w:pPr>
    </w:p>
    <w:p>
      <w:pPr>
        <w:pStyle w:val="13"/>
        <w:ind w:firstLine="0" w:firstLineChars="0"/>
        <w:rPr>
          <w:b/>
          <w:bCs/>
          <w:color w:val="auto"/>
          <w:sz w:val="21"/>
          <w:szCs w:val="21"/>
        </w:rPr>
      </w:pPr>
      <w:r>
        <w:rPr>
          <w:rFonts w:hint="eastAsia"/>
          <w:b/>
          <w:bCs/>
          <w:color w:val="auto"/>
          <w:sz w:val="21"/>
          <w:szCs w:val="21"/>
        </w:rPr>
        <w:t>注：</w:t>
      </w:r>
    </w:p>
    <w:p>
      <w:pPr>
        <w:pStyle w:val="13"/>
        <w:ind w:firstLine="420"/>
        <w:rPr>
          <w:color w:val="auto"/>
          <w:sz w:val="21"/>
          <w:szCs w:val="21"/>
        </w:rPr>
      </w:pPr>
      <w:r>
        <w:rPr>
          <w:rFonts w:hint="eastAsia"/>
          <w:color w:val="auto"/>
          <w:sz w:val="21"/>
          <w:szCs w:val="21"/>
        </w:rPr>
        <w:t>1.谈判文件要求指谈判文件</w:t>
      </w:r>
      <w:r>
        <w:rPr>
          <w:rFonts w:hint="eastAsia"/>
          <w:b/>
          <w:bCs/>
          <w:color w:val="auto"/>
          <w:sz w:val="21"/>
          <w:szCs w:val="21"/>
        </w:rPr>
        <w:t xml:space="preserve">第三章“采购内容及要求”一、采购清单及技术要求 </w:t>
      </w:r>
      <w:r>
        <w:rPr>
          <w:rFonts w:hint="eastAsia"/>
          <w:color w:val="auto"/>
          <w:sz w:val="21"/>
          <w:szCs w:val="21"/>
        </w:rPr>
        <w:t>所列内容，供应商应按照谈判文件中的内容逐项响应。</w:t>
      </w:r>
    </w:p>
    <w:p>
      <w:pPr>
        <w:pStyle w:val="13"/>
        <w:ind w:firstLine="420"/>
        <w:rPr>
          <w:color w:val="auto"/>
          <w:sz w:val="21"/>
          <w:szCs w:val="21"/>
        </w:rPr>
      </w:pPr>
      <w:r>
        <w:rPr>
          <w:rFonts w:hint="eastAsia"/>
          <w:color w:val="auto"/>
          <w:sz w:val="21"/>
          <w:szCs w:val="21"/>
        </w:rPr>
        <w:t>2.响应内容指供应商拟提供的投标产品的功能及技术规格(参数),供应商应逐条如实填写并提供相应的支持文件。</w:t>
      </w:r>
    </w:p>
    <w:p>
      <w:pPr>
        <w:pStyle w:val="13"/>
        <w:ind w:firstLine="420"/>
        <w:rPr>
          <w:color w:val="auto"/>
          <w:sz w:val="21"/>
          <w:szCs w:val="21"/>
        </w:rPr>
      </w:pPr>
      <w:r>
        <w:rPr>
          <w:rFonts w:hint="eastAsia"/>
          <w:color w:val="auto"/>
          <w:sz w:val="21"/>
          <w:szCs w:val="21"/>
        </w:rPr>
        <w:t>3.偏离说明填写：优于、满足或低于。</w:t>
      </w:r>
    </w:p>
    <w:p>
      <w:pPr>
        <w:pStyle w:val="13"/>
        <w:ind w:firstLine="420"/>
        <w:rPr>
          <w:color w:val="auto"/>
          <w:sz w:val="21"/>
          <w:szCs w:val="21"/>
        </w:rPr>
      </w:pPr>
      <w:r>
        <w:rPr>
          <w:rFonts w:hint="eastAsia"/>
          <w:color w:val="auto"/>
          <w:sz w:val="21"/>
          <w:szCs w:val="21"/>
        </w:rPr>
        <w:t>4.供应商必须据实填写，不得虚假响应，否则将取消其投标或中标（成交）资格。</w:t>
      </w:r>
    </w:p>
    <w:p>
      <w:pPr>
        <w:pStyle w:val="13"/>
        <w:ind w:firstLine="420"/>
        <w:rPr>
          <w:color w:val="auto"/>
          <w:sz w:val="21"/>
          <w:szCs w:val="21"/>
        </w:rPr>
      </w:pPr>
    </w:p>
    <w:p>
      <w:pPr>
        <w:rPr>
          <w:rFonts w:ascii="宋体" w:hAnsi="宋体" w:cs="宋体"/>
          <w:color w:val="auto"/>
          <w:sz w:val="24"/>
          <w:szCs w:val="24"/>
          <w:u w:val="single"/>
        </w:rPr>
      </w:pPr>
      <w:r>
        <w:rPr>
          <w:rFonts w:hint="eastAsia" w:ascii="宋体" w:hAnsi="宋体" w:cs="宋体"/>
          <w:color w:val="auto"/>
          <w:sz w:val="24"/>
          <w:szCs w:val="24"/>
          <w:u w:val="single"/>
        </w:rPr>
        <w:br w:type="page"/>
      </w:r>
    </w:p>
    <w:p>
      <w:pPr>
        <w:pStyle w:val="6"/>
        <w:rPr>
          <w:color w:val="auto"/>
        </w:rPr>
      </w:pPr>
      <w:r>
        <w:rPr>
          <w:rFonts w:hint="eastAsia"/>
          <w:color w:val="auto"/>
        </w:rPr>
        <w:t>附表2  业绩一览表</w:t>
      </w:r>
    </w:p>
    <w:tbl>
      <w:tblPr>
        <w:tblStyle w:val="4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7"/>
        <w:gridCol w:w="3663"/>
        <w:gridCol w:w="2241"/>
        <w:gridCol w:w="215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7"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b/>
                <w:bCs/>
                <w:color w:val="auto"/>
              </w:rPr>
            </w:pPr>
            <w:r>
              <w:rPr>
                <w:rFonts w:hint="eastAsia"/>
                <w:b/>
                <w:bCs/>
                <w:color w:val="auto"/>
              </w:rPr>
              <w:t>序号</w:t>
            </w: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b/>
                <w:bCs/>
                <w:color w:val="auto"/>
              </w:rPr>
            </w:pPr>
            <w:r>
              <w:rPr>
                <w:rFonts w:hint="eastAsia"/>
                <w:b/>
                <w:bCs/>
                <w:color w:val="auto"/>
              </w:rPr>
              <w:t>项目名称</w:t>
            </w: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b/>
                <w:bCs/>
                <w:color w:val="auto"/>
              </w:rPr>
            </w:pPr>
            <w:r>
              <w:rPr>
                <w:rFonts w:hint="eastAsia"/>
                <w:b/>
                <w:bCs/>
                <w:color w:val="auto"/>
              </w:rPr>
              <w:t>合同金额</w:t>
            </w: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b/>
                <w:bCs/>
                <w:color w:val="auto"/>
              </w:rPr>
            </w:pPr>
            <w:r>
              <w:rPr>
                <w:rFonts w:hint="eastAsia"/>
                <w:b/>
                <w:bCs/>
                <w:color w:val="auto"/>
              </w:rPr>
              <w:t>起止时间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5" w:hRule="exact"/>
          <w:jc w:val="center"/>
        </w:trPr>
        <w:tc>
          <w:tcPr>
            <w:tcW w:w="837"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366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241"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c>
          <w:tcPr>
            <w:tcW w:w="2153" w:type="dxa"/>
            <w:tcBorders>
              <w:top w:val="single" w:color="auto" w:sz="4" w:space="0"/>
              <w:left w:val="single" w:color="auto" w:sz="4" w:space="0"/>
              <w:bottom w:val="single" w:color="auto" w:sz="4" w:space="0"/>
              <w:right w:val="single" w:color="auto" w:sz="4" w:space="0"/>
            </w:tcBorders>
            <w:vAlign w:val="center"/>
          </w:tcPr>
          <w:p>
            <w:pPr>
              <w:pStyle w:val="318"/>
              <w:rPr>
                <w:color w:val="auto"/>
              </w:rPr>
            </w:pPr>
          </w:p>
        </w:tc>
      </w:tr>
    </w:tbl>
    <w:p>
      <w:pPr>
        <w:rPr>
          <w:rFonts w:ascii="宋体" w:hAnsi="宋体" w:cs="宋体"/>
          <w:color w:val="auto"/>
          <w:sz w:val="24"/>
          <w:szCs w:val="24"/>
        </w:rPr>
      </w:pPr>
    </w:p>
    <w:p>
      <w:pPr>
        <w:pStyle w:val="13"/>
        <w:ind w:firstLine="0" w:firstLineChars="0"/>
        <w:rPr>
          <w:color w:val="auto"/>
          <w:sz w:val="21"/>
          <w:szCs w:val="16"/>
        </w:rPr>
      </w:pPr>
      <w:r>
        <w:rPr>
          <w:rFonts w:hint="eastAsia"/>
          <w:color w:val="auto"/>
          <w:sz w:val="21"/>
          <w:szCs w:val="16"/>
        </w:rPr>
        <w:t>注：</w:t>
      </w:r>
    </w:p>
    <w:p>
      <w:pPr>
        <w:pStyle w:val="13"/>
        <w:ind w:firstLine="420"/>
        <w:rPr>
          <w:color w:val="auto"/>
          <w:sz w:val="21"/>
          <w:szCs w:val="16"/>
        </w:rPr>
      </w:pPr>
      <w:r>
        <w:rPr>
          <w:rFonts w:hint="eastAsia"/>
          <w:color w:val="auto"/>
          <w:sz w:val="21"/>
          <w:szCs w:val="16"/>
        </w:rPr>
        <w:t>1.后附证明资料</w:t>
      </w:r>
    </w:p>
    <w:p>
      <w:pPr>
        <w:rPr>
          <w:rStyle w:val="322"/>
          <w:color w:val="auto"/>
        </w:rPr>
      </w:pPr>
      <w:r>
        <w:rPr>
          <w:rStyle w:val="322"/>
          <w:rFonts w:hint="eastAsia"/>
          <w:color w:val="auto"/>
        </w:rPr>
        <w:br w:type="page"/>
      </w:r>
    </w:p>
    <w:p>
      <w:pPr>
        <w:pStyle w:val="6"/>
        <w:rPr>
          <w:rStyle w:val="323"/>
          <w:rFonts w:hint="eastAsia" w:ascii="宋体" w:hAnsi="宋体" w:eastAsia="宋体" w:cs="宋体"/>
          <w:b/>
          <w:color w:val="auto"/>
          <w:lang w:eastAsia="zh-CN"/>
        </w:rPr>
      </w:pPr>
      <w:r>
        <w:rPr>
          <w:rStyle w:val="322"/>
          <w:rFonts w:hint="eastAsia"/>
          <w:b/>
          <w:color w:val="auto"/>
        </w:rPr>
        <w:t xml:space="preserve">附表3  </w:t>
      </w:r>
      <w:r>
        <w:rPr>
          <w:rStyle w:val="322"/>
          <w:rFonts w:hint="eastAsia"/>
          <w:b/>
          <w:color w:val="auto"/>
          <w:lang w:val="en-US" w:eastAsia="zh-CN"/>
        </w:rPr>
        <w:t>拟派项目负责人</w:t>
      </w:r>
    </w:p>
    <w:p>
      <w:pPr>
        <w:pStyle w:val="318"/>
        <w:rPr>
          <w:rStyle w:val="324"/>
          <w:b/>
          <w:bCs/>
          <w:color w:val="auto"/>
        </w:rPr>
      </w:pPr>
      <w:bookmarkStart w:id="130" w:name="_Toc225566702"/>
      <w:bookmarkStart w:id="131" w:name="_Toc5833"/>
      <w:bookmarkStart w:id="132" w:name="_Toc403077653"/>
      <w:bookmarkStart w:id="133" w:name="_Toc341541376"/>
      <w:bookmarkStart w:id="134" w:name="_Toc15882"/>
      <w:bookmarkStart w:id="135" w:name="_Toc225567482"/>
      <w:bookmarkStart w:id="136" w:name="_Toc16685"/>
      <w:bookmarkStart w:id="137" w:name="_Toc8175"/>
      <w:bookmarkStart w:id="138" w:name="_Toc6668"/>
      <w:bookmarkStart w:id="139" w:name="_Toc225410182"/>
      <w:bookmarkStart w:id="140" w:name="_Toc225415660"/>
      <w:bookmarkStart w:id="141" w:name="_Toc426457711"/>
      <w:bookmarkStart w:id="142" w:name="_Toc225409966"/>
      <w:bookmarkStart w:id="143" w:name="_Toc396304715"/>
      <w:bookmarkStart w:id="144" w:name="_Toc225415861"/>
      <w:bookmarkStart w:id="145" w:name="_Toc5691"/>
      <w:bookmarkStart w:id="146" w:name="_Toc225416062"/>
      <w:bookmarkStart w:id="147" w:name="_Toc225412374"/>
      <w:bookmarkStart w:id="148" w:name="_Toc26060"/>
      <w:bookmarkStart w:id="149" w:name="_Toc4548"/>
      <w:bookmarkStart w:id="150" w:name="_Toc225412172"/>
      <w:bookmarkStart w:id="151" w:name="_Toc225566883"/>
      <w:bookmarkStart w:id="152" w:name="_Toc14010"/>
      <w:bookmarkStart w:id="153" w:name="_Toc225410808"/>
      <w:r>
        <w:rPr>
          <w:rStyle w:val="324"/>
          <w:rFonts w:hint="eastAsia"/>
          <w:b/>
          <w:bCs/>
          <w:color w:val="auto"/>
        </w:rPr>
        <w:t>本项目拟</w:t>
      </w:r>
      <w:r>
        <w:rPr>
          <w:rStyle w:val="324"/>
          <w:rFonts w:hint="eastAsia"/>
          <w:b/>
          <w:bCs/>
          <w:color w:val="auto"/>
          <w:lang w:val="en-US" w:eastAsia="zh-CN"/>
        </w:rPr>
        <w:t>派项目负责人</w:t>
      </w:r>
      <w:r>
        <w:rPr>
          <w:rStyle w:val="324"/>
          <w:rFonts w:hint="eastAsia"/>
          <w:b/>
          <w:bCs/>
          <w:color w:val="auto"/>
        </w:rPr>
        <w:t>简历表</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272"/>
        <w:gridCol w:w="1577"/>
        <w:gridCol w:w="1525"/>
        <w:gridCol w:w="1286"/>
        <w:gridCol w:w="45"/>
        <w:gridCol w:w="1709"/>
        <w:gridCol w:w="7"/>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772" w:type="dxa"/>
            <w:gridSpan w:val="2"/>
            <w:vAlign w:val="center"/>
          </w:tcPr>
          <w:p>
            <w:pPr>
              <w:pStyle w:val="318"/>
              <w:rPr>
                <w:color w:val="auto"/>
              </w:rPr>
            </w:pPr>
            <w:r>
              <w:rPr>
                <w:rFonts w:hint="eastAsia"/>
                <w:color w:val="auto"/>
              </w:rPr>
              <w:t>姓  名</w:t>
            </w:r>
          </w:p>
        </w:tc>
        <w:tc>
          <w:tcPr>
            <w:tcW w:w="1577" w:type="dxa"/>
            <w:vAlign w:val="center"/>
          </w:tcPr>
          <w:p>
            <w:pPr>
              <w:pStyle w:val="318"/>
              <w:rPr>
                <w:color w:val="auto"/>
              </w:rPr>
            </w:pPr>
          </w:p>
        </w:tc>
        <w:tc>
          <w:tcPr>
            <w:tcW w:w="1525" w:type="dxa"/>
            <w:vAlign w:val="center"/>
          </w:tcPr>
          <w:p>
            <w:pPr>
              <w:pStyle w:val="318"/>
              <w:rPr>
                <w:color w:val="auto"/>
              </w:rPr>
            </w:pPr>
            <w:r>
              <w:rPr>
                <w:rFonts w:hint="eastAsia"/>
                <w:color w:val="auto"/>
              </w:rPr>
              <w:t>性 别</w:t>
            </w:r>
          </w:p>
        </w:tc>
        <w:tc>
          <w:tcPr>
            <w:tcW w:w="1331" w:type="dxa"/>
            <w:gridSpan w:val="2"/>
            <w:vAlign w:val="center"/>
          </w:tcPr>
          <w:p>
            <w:pPr>
              <w:pStyle w:val="318"/>
              <w:rPr>
                <w:color w:val="auto"/>
              </w:rPr>
            </w:pPr>
          </w:p>
        </w:tc>
        <w:tc>
          <w:tcPr>
            <w:tcW w:w="1709" w:type="dxa"/>
            <w:vAlign w:val="center"/>
          </w:tcPr>
          <w:p>
            <w:pPr>
              <w:pStyle w:val="318"/>
              <w:rPr>
                <w:color w:val="auto"/>
              </w:rPr>
            </w:pPr>
            <w:r>
              <w:rPr>
                <w:rFonts w:hint="eastAsia"/>
                <w:color w:val="auto"/>
              </w:rPr>
              <w:t>年 龄</w:t>
            </w:r>
          </w:p>
        </w:tc>
        <w:tc>
          <w:tcPr>
            <w:tcW w:w="1139" w:type="dxa"/>
            <w:gridSpan w:val="2"/>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772" w:type="dxa"/>
            <w:gridSpan w:val="2"/>
            <w:vAlign w:val="center"/>
          </w:tcPr>
          <w:p>
            <w:pPr>
              <w:pStyle w:val="318"/>
              <w:rPr>
                <w:color w:val="auto"/>
              </w:rPr>
            </w:pPr>
            <w:r>
              <w:rPr>
                <w:rFonts w:hint="eastAsia"/>
                <w:color w:val="auto"/>
              </w:rPr>
              <w:t>职  称</w:t>
            </w:r>
          </w:p>
        </w:tc>
        <w:tc>
          <w:tcPr>
            <w:tcW w:w="1577" w:type="dxa"/>
            <w:vAlign w:val="center"/>
          </w:tcPr>
          <w:p>
            <w:pPr>
              <w:pStyle w:val="318"/>
              <w:rPr>
                <w:color w:val="auto"/>
              </w:rPr>
            </w:pPr>
          </w:p>
        </w:tc>
        <w:tc>
          <w:tcPr>
            <w:tcW w:w="1525" w:type="dxa"/>
            <w:vAlign w:val="center"/>
          </w:tcPr>
          <w:p>
            <w:pPr>
              <w:pStyle w:val="318"/>
              <w:rPr>
                <w:color w:val="auto"/>
              </w:rPr>
            </w:pPr>
            <w:r>
              <w:rPr>
                <w:rFonts w:hint="eastAsia"/>
                <w:color w:val="auto"/>
              </w:rPr>
              <w:t>身份证号</w:t>
            </w:r>
          </w:p>
        </w:tc>
        <w:tc>
          <w:tcPr>
            <w:tcW w:w="1331" w:type="dxa"/>
            <w:gridSpan w:val="2"/>
            <w:vAlign w:val="center"/>
          </w:tcPr>
          <w:p>
            <w:pPr>
              <w:pStyle w:val="318"/>
              <w:rPr>
                <w:color w:val="auto"/>
              </w:rPr>
            </w:pPr>
          </w:p>
        </w:tc>
        <w:tc>
          <w:tcPr>
            <w:tcW w:w="1709" w:type="dxa"/>
            <w:vAlign w:val="center"/>
          </w:tcPr>
          <w:p>
            <w:pPr>
              <w:pStyle w:val="318"/>
              <w:rPr>
                <w:color w:val="auto"/>
              </w:rPr>
            </w:pPr>
            <w:r>
              <w:rPr>
                <w:rFonts w:hint="eastAsia"/>
                <w:color w:val="auto"/>
              </w:rPr>
              <w:t>专业/年限</w:t>
            </w:r>
          </w:p>
        </w:tc>
        <w:tc>
          <w:tcPr>
            <w:tcW w:w="1139" w:type="dxa"/>
            <w:gridSpan w:val="2"/>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772" w:type="dxa"/>
            <w:gridSpan w:val="2"/>
            <w:vAlign w:val="center"/>
          </w:tcPr>
          <w:p>
            <w:pPr>
              <w:pStyle w:val="318"/>
              <w:rPr>
                <w:color w:val="auto"/>
              </w:rPr>
            </w:pPr>
            <w:r>
              <w:rPr>
                <w:rFonts w:hint="eastAsia"/>
                <w:color w:val="auto"/>
              </w:rPr>
              <w:t>毕业时间</w:t>
            </w:r>
          </w:p>
        </w:tc>
        <w:tc>
          <w:tcPr>
            <w:tcW w:w="1577" w:type="dxa"/>
            <w:vAlign w:val="center"/>
          </w:tcPr>
          <w:p>
            <w:pPr>
              <w:pStyle w:val="318"/>
              <w:rPr>
                <w:color w:val="auto"/>
              </w:rPr>
            </w:pPr>
          </w:p>
        </w:tc>
        <w:tc>
          <w:tcPr>
            <w:tcW w:w="1525" w:type="dxa"/>
            <w:vAlign w:val="center"/>
          </w:tcPr>
          <w:p>
            <w:pPr>
              <w:pStyle w:val="318"/>
              <w:rPr>
                <w:color w:val="auto"/>
              </w:rPr>
            </w:pPr>
            <w:r>
              <w:rPr>
                <w:rFonts w:hint="eastAsia"/>
                <w:color w:val="auto"/>
              </w:rPr>
              <w:t>毕业学校</w:t>
            </w:r>
          </w:p>
        </w:tc>
        <w:tc>
          <w:tcPr>
            <w:tcW w:w="1331" w:type="dxa"/>
            <w:gridSpan w:val="2"/>
            <w:vAlign w:val="center"/>
          </w:tcPr>
          <w:p>
            <w:pPr>
              <w:pStyle w:val="318"/>
              <w:rPr>
                <w:color w:val="auto"/>
              </w:rPr>
            </w:pPr>
          </w:p>
        </w:tc>
        <w:tc>
          <w:tcPr>
            <w:tcW w:w="1709" w:type="dxa"/>
            <w:vAlign w:val="center"/>
          </w:tcPr>
          <w:p>
            <w:pPr>
              <w:pStyle w:val="318"/>
              <w:rPr>
                <w:color w:val="auto"/>
              </w:rPr>
            </w:pPr>
            <w:r>
              <w:rPr>
                <w:rFonts w:hint="eastAsia"/>
                <w:color w:val="auto"/>
              </w:rPr>
              <w:t>学历/专业</w:t>
            </w:r>
          </w:p>
        </w:tc>
        <w:tc>
          <w:tcPr>
            <w:tcW w:w="1139" w:type="dxa"/>
            <w:gridSpan w:val="2"/>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772" w:type="dxa"/>
            <w:gridSpan w:val="2"/>
            <w:vAlign w:val="center"/>
          </w:tcPr>
          <w:p>
            <w:pPr>
              <w:pStyle w:val="318"/>
              <w:rPr>
                <w:color w:val="auto"/>
              </w:rPr>
            </w:pPr>
            <w:r>
              <w:rPr>
                <w:rFonts w:hint="eastAsia"/>
                <w:color w:val="auto"/>
              </w:rPr>
              <w:t>资格证书</w:t>
            </w:r>
          </w:p>
        </w:tc>
        <w:tc>
          <w:tcPr>
            <w:tcW w:w="1577" w:type="dxa"/>
            <w:vAlign w:val="center"/>
          </w:tcPr>
          <w:p>
            <w:pPr>
              <w:pStyle w:val="318"/>
              <w:rPr>
                <w:color w:val="auto"/>
              </w:rPr>
            </w:pPr>
          </w:p>
        </w:tc>
        <w:tc>
          <w:tcPr>
            <w:tcW w:w="1525" w:type="dxa"/>
            <w:vAlign w:val="center"/>
          </w:tcPr>
          <w:p>
            <w:pPr>
              <w:pStyle w:val="318"/>
              <w:rPr>
                <w:color w:val="auto"/>
              </w:rPr>
            </w:pPr>
            <w:r>
              <w:rPr>
                <w:rFonts w:hint="eastAsia"/>
                <w:color w:val="auto"/>
              </w:rPr>
              <w:t>注册时间</w:t>
            </w:r>
          </w:p>
        </w:tc>
        <w:tc>
          <w:tcPr>
            <w:tcW w:w="1331" w:type="dxa"/>
            <w:gridSpan w:val="2"/>
            <w:vAlign w:val="center"/>
          </w:tcPr>
          <w:p>
            <w:pPr>
              <w:pStyle w:val="318"/>
              <w:rPr>
                <w:color w:val="auto"/>
              </w:rPr>
            </w:pPr>
          </w:p>
        </w:tc>
        <w:tc>
          <w:tcPr>
            <w:tcW w:w="1709" w:type="dxa"/>
            <w:vAlign w:val="center"/>
          </w:tcPr>
          <w:p>
            <w:pPr>
              <w:pStyle w:val="318"/>
              <w:rPr>
                <w:color w:val="auto"/>
              </w:rPr>
            </w:pPr>
            <w:r>
              <w:rPr>
                <w:rFonts w:hint="eastAsia"/>
                <w:color w:val="auto"/>
              </w:rPr>
              <w:t>从业时间</w:t>
            </w:r>
          </w:p>
        </w:tc>
        <w:tc>
          <w:tcPr>
            <w:tcW w:w="1139" w:type="dxa"/>
            <w:gridSpan w:val="2"/>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3349" w:type="dxa"/>
            <w:gridSpan w:val="3"/>
            <w:vAlign w:val="center"/>
          </w:tcPr>
          <w:p>
            <w:pPr>
              <w:pStyle w:val="318"/>
              <w:rPr>
                <w:color w:val="auto"/>
              </w:rPr>
            </w:pPr>
            <w:r>
              <w:rPr>
                <w:rFonts w:hint="eastAsia"/>
                <w:color w:val="auto"/>
              </w:rPr>
              <w:t>是否属供应商固定雇员</w:t>
            </w:r>
          </w:p>
        </w:tc>
        <w:tc>
          <w:tcPr>
            <w:tcW w:w="1525" w:type="dxa"/>
            <w:vAlign w:val="center"/>
          </w:tcPr>
          <w:p>
            <w:pPr>
              <w:pStyle w:val="318"/>
              <w:rPr>
                <w:color w:val="auto"/>
              </w:rPr>
            </w:pPr>
          </w:p>
        </w:tc>
        <w:tc>
          <w:tcPr>
            <w:tcW w:w="3040" w:type="dxa"/>
            <w:gridSpan w:val="3"/>
            <w:vAlign w:val="center"/>
          </w:tcPr>
          <w:p>
            <w:pPr>
              <w:pStyle w:val="318"/>
              <w:rPr>
                <w:color w:val="auto"/>
              </w:rPr>
            </w:pPr>
            <w:r>
              <w:rPr>
                <w:rFonts w:hint="eastAsia"/>
                <w:color w:val="auto"/>
              </w:rPr>
              <w:t>为供应商服务时间</w:t>
            </w:r>
          </w:p>
        </w:tc>
        <w:tc>
          <w:tcPr>
            <w:tcW w:w="1139" w:type="dxa"/>
            <w:gridSpan w:val="2"/>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3349" w:type="dxa"/>
            <w:gridSpan w:val="3"/>
            <w:vAlign w:val="center"/>
          </w:tcPr>
          <w:p>
            <w:pPr>
              <w:pStyle w:val="318"/>
              <w:rPr>
                <w:color w:val="auto"/>
              </w:rPr>
            </w:pPr>
            <w:r>
              <w:rPr>
                <w:rFonts w:hint="eastAsia"/>
                <w:color w:val="auto"/>
              </w:rPr>
              <w:t>拟在本项目担任职务</w:t>
            </w:r>
          </w:p>
        </w:tc>
        <w:tc>
          <w:tcPr>
            <w:tcW w:w="5704" w:type="dxa"/>
            <w:gridSpan w:val="6"/>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053" w:type="dxa"/>
            <w:gridSpan w:val="9"/>
            <w:vAlign w:val="center"/>
          </w:tcPr>
          <w:p>
            <w:pPr>
              <w:pStyle w:val="318"/>
              <w:rPr>
                <w:color w:val="auto"/>
              </w:rPr>
            </w:pPr>
            <w:r>
              <w:rPr>
                <w:rFonts w:hint="eastAsia"/>
                <w:color w:val="auto"/>
              </w:rPr>
              <w:t>教育和培训背景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trPr>
        <w:tc>
          <w:tcPr>
            <w:tcW w:w="9053" w:type="dxa"/>
            <w:gridSpan w:val="9"/>
          </w:tcPr>
          <w:p>
            <w:pPr>
              <w:pStyle w:val="318"/>
              <w:rPr>
                <w:color w:val="auto"/>
              </w:rPr>
            </w:pPr>
            <w:r>
              <w:rPr>
                <w:rFonts w:hint="eastAsia"/>
                <w:color w:val="auto"/>
              </w:rPr>
              <w:t>（教育背景从大学开始，包括毕业院校名称、专业、起始时间。培训填写与专业技术、业务有关的内容）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053" w:type="dxa"/>
            <w:gridSpan w:val="9"/>
            <w:vAlign w:val="center"/>
          </w:tcPr>
          <w:p>
            <w:pPr>
              <w:pStyle w:val="318"/>
              <w:rPr>
                <w:color w:val="auto"/>
              </w:rPr>
            </w:pPr>
            <w:r>
              <w:rPr>
                <w:rFonts w:hint="eastAsia"/>
                <w:color w:val="auto"/>
              </w:rPr>
              <w:t>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00" w:type="dxa"/>
            <w:vAlign w:val="center"/>
          </w:tcPr>
          <w:p>
            <w:pPr>
              <w:pStyle w:val="318"/>
              <w:rPr>
                <w:color w:val="auto"/>
              </w:rPr>
            </w:pPr>
            <w:r>
              <w:rPr>
                <w:rFonts w:hint="eastAsia"/>
                <w:color w:val="auto"/>
              </w:rPr>
              <w:t>时  间</w:t>
            </w:r>
          </w:p>
        </w:tc>
        <w:tc>
          <w:tcPr>
            <w:tcW w:w="3374" w:type="dxa"/>
            <w:gridSpan w:val="3"/>
            <w:vAlign w:val="center"/>
          </w:tcPr>
          <w:p>
            <w:pPr>
              <w:pStyle w:val="318"/>
              <w:rPr>
                <w:color w:val="auto"/>
              </w:rPr>
            </w:pPr>
            <w:r>
              <w:rPr>
                <w:rFonts w:hint="eastAsia"/>
                <w:color w:val="auto"/>
              </w:rPr>
              <w:t>参加过的项目名称</w:t>
            </w:r>
          </w:p>
          <w:p>
            <w:pPr>
              <w:pStyle w:val="318"/>
              <w:rPr>
                <w:color w:val="auto"/>
              </w:rPr>
            </w:pPr>
            <w:r>
              <w:rPr>
                <w:rFonts w:hint="eastAsia"/>
                <w:color w:val="auto"/>
              </w:rPr>
              <w:t>及当时所在单位</w:t>
            </w:r>
          </w:p>
        </w:tc>
        <w:tc>
          <w:tcPr>
            <w:tcW w:w="1286" w:type="dxa"/>
            <w:vAlign w:val="center"/>
          </w:tcPr>
          <w:p>
            <w:pPr>
              <w:pStyle w:val="318"/>
              <w:rPr>
                <w:color w:val="auto"/>
              </w:rPr>
            </w:pPr>
            <w:r>
              <w:rPr>
                <w:rFonts w:hint="eastAsia"/>
                <w:color w:val="auto"/>
              </w:rPr>
              <w:t>担任何职</w:t>
            </w:r>
          </w:p>
        </w:tc>
        <w:tc>
          <w:tcPr>
            <w:tcW w:w="1761" w:type="dxa"/>
            <w:gridSpan w:val="3"/>
            <w:vAlign w:val="center"/>
          </w:tcPr>
          <w:p>
            <w:pPr>
              <w:pStyle w:val="318"/>
              <w:rPr>
                <w:color w:val="auto"/>
              </w:rPr>
            </w:pPr>
            <w:r>
              <w:rPr>
                <w:rFonts w:hint="eastAsia"/>
                <w:color w:val="auto"/>
              </w:rPr>
              <w:t>主要工作内容</w:t>
            </w:r>
          </w:p>
        </w:tc>
        <w:tc>
          <w:tcPr>
            <w:tcW w:w="1132" w:type="dxa"/>
            <w:vAlign w:val="center"/>
          </w:tcPr>
          <w:p>
            <w:pPr>
              <w:pStyle w:val="318"/>
              <w:rPr>
                <w:color w:val="auto"/>
              </w:rPr>
            </w:pPr>
            <w:r>
              <w:rPr>
                <w:rFonts w:hint="eastAsia"/>
                <w:color w:val="auto"/>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00" w:type="dxa"/>
            <w:vAlign w:val="center"/>
          </w:tcPr>
          <w:p>
            <w:pPr>
              <w:pStyle w:val="318"/>
              <w:rPr>
                <w:color w:val="auto"/>
              </w:rPr>
            </w:pPr>
          </w:p>
        </w:tc>
        <w:tc>
          <w:tcPr>
            <w:tcW w:w="3374" w:type="dxa"/>
            <w:gridSpan w:val="3"/>
            <w:vAlign w:val="center"/>
          </w:tcPr>
          <w:p>
            <w:pPr>
              <w:pStyle w:val="318"/>
              <w:rPr>
                <w:color w:val="auto"/>
              </w:rPr>
            </w:pPr>
          </w:p>
        </w:tc>
        <w:tc>
          <w:tcPr>
            <w:tcW w:w="1286" w:type="dxa"/>
            <w:vAlign w:val="center"/>
          </w:tcPr>
          <w:p>
            <w:pPr>
              <w:pStyle w:val="318"/>
              <w:rPr>
                <w:color w:val="auto"/>
              </w:rPr>
            </w:pPr>
          </w:p>
        </w:tc>
        <w:tc>
          <w:tcPr>
            <w:tcW w:w="1761" w:type="dxa"/>
            <w:gridSpan w:val="3"/>
            <w:vAlign w:val="center"/>
          </w:tcPr>
          <w:p>
            <w:pPr>
              <w:pStyle w:val="318"/>
              <w:rPr>
                <w:color w:val="auto"/>
              </w:rPr>
            </w:pPr>
          </w:p>
        </w:tc>
        <w:tc>
          <w:tcPr>
            <w:tcW w:w="1132" w:type="dxa"/>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500" w:type="dxa"/>
            <w:vAlign w:val="center"/>
          </w:tcPr>
          <w:p>
            <w:pPr>
              <w:pStyle w:val="318"/>
              <w:rPr>
                <w:color w:val="auto"/>
              </w:rPr>
            </w:pPr>
          </w:p>
        </w:tc>
        <w:tc>
          <w:tcPr>
            <w:tcW w:w="3374" w:type="dxa"/>
            <w:gridSpan w:val="3"/>
            <w:vAlign w:val="center"/>
          </w:tcPr>
          <w:p>
            <w:pPr>
              <w:pStyle w:val="318"/>
              <w:rPr>
                <w:color w:val="auto"/>
              </w:rPr>
            </w:pPr>
          </w:p>
        </w:tc>
        <w:tc>
          <w:tcPr>
            <w:tcW w:w="1286" w:type="dxa"/>
            <w:vAlign w:val="center"/>
          </w:tcPr>
          <w:p>
            <w:pPr>
              <w:pStyle w:val="318"/>
              <w:rPr>
                <w:color w:val="auto"/>
              </w:rPr>
            </w:pPr>
          </w:p>
        </w:tc>
        <w:tc>
          <w:tcPr>
            <w:tcW w:w="1761" w:type="dxa"/>
            <w:gridSpan w:val="3"/>
            <w:vAlign w:val="center"/>
          </w:tcPr>
          <w:p>
            <w:pPr>
              <w:pStyle w:val="318"/>
              <w:rPr>
                <w:color w:val="auto"/>
              </w:rPr>
            </w:pPr>
          </w:p>
        </w:tc>
        <w:tc>
          <w:tcPr>
            <w:tcW w:w="1132" w:type="dxa"/>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00" w:type="dxa"/>
            <w:vAlign w:val="center"/>
          </w:tcPr>
          <w:p>
            <w:pPr>
              <w:pStyle w:val="318"/>
              <w:rPr>
                <w:color w:val="auto"/>
              </w:rPr>
            </w:pPr>
          </w:p>
        </w:tc>
        <w:tc>
          <w:tcPr>
            <w:tcW w:w="3374" w:type="dxa"/>
            <w:gridSpan w:val="3"/>
            <w:vAlign w:val="center"/>
          </w:tcPr>
          <w:p>
            <w:pPr>
              <w:pStyle w:val="318"/>
              <w:rPr>
                <w:color w:val="auto"/>
              </w:rPr>
            </w:pPr>
          </w:p>
        </w:tc>
        <w:tc>
          <w:tcPr>
            <w:tcW w:w="1286" w:type="dxa"/>
            <w:vAlign w:val="center"/>
          </w:tcPr>
          <w:p>
            <w:pPr>
              <w:pStyle w:val="318"/>
              <w:rPr>
                <w:color w:val="auto"/>
              </w:rPr>
            </w:pPr>
          </w:p>
        </w:tc>
        <w:tc>
          <w:tcPr>
            <w:tcW w:w="1761" w:type="dxa"/>
            <w:gridSpan w:val="3"/>
            <w:vAlign w:val="center"/>
          </w:tcPr>
          <w:p>
            <w:pPr>
              <w:pStyle w:val="318"/>
              <w:rPr>
                <w:color w:val="auto"/>
              </w:rPr>
            </w:pPr>
          </w:p>
        </w:tc>
        <w:tc>
          <w:tcPr>
            <w:tcW w:w="1132" w:type="dxa"/>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00" w:type="dxa"/>
            <w:vAlign w:val="center"/>
          </w:tcPr>
          <w:p>
            <w:pPr>
              <w:pStyle w:val="318"/>
              <w:rPr>
                <w:color w:val="auto"/>
              </w:rPr>
            </w:pPr>
          </w:p>
        </w:tc>
        <w:tc>
          <w:tcPr>
            <w:tcW w:w="3374" w:type="dxa"/>
            <w:gridSpan w:val="3"/>
            <w:vAlign w:val="center"/>
          </w:tcPr>
          <w:p>
            <w:pPr>
              <w:pStyle w:val="318"/>
              <w:rPr>
                <w:color w:val="auto"/>
              </w:rPr>
            </w:pPr>
          </w:p>
        </w:tc>
        <w:tc>
          <w:tcPr>
            <w:tcW w:w="1286" w:type="dxa"/>
            <w:vAlign w:val="center"/>
          </w:tcPr>
          <w:p>
            <w:pPr>
              <w:pStyle w:val="318"/>
              <w:rPr>
                <w:color w:val="auto"/>
              </w:rPr>
            </w:pPr>
          </w:p>
        </w:tc>
        <w:tc>
          <w:tcPr>
            <w:tcW w:w="1761" w:type="dxa"/>
            <w:gridSpan w:val="3"/>
            <w:vAlign w:val="center"/>
          </w:tcPr>
          <w:p>
            <w:pPr>
              <w:pStyle w:val="318"/>
              <w:rPr>
                <w:color w:val="auto"/>
              </w:rPr>
            </w:pPr>
          </w:p>
        </w:tc>
        <w:tc>
          <w:tcPr>
            <w:tcW w:w="1132" w:type="dxa"/>
            <w:vAlign w:val="center"/>
          </w:tcPr>
          <w:p>
            <w:pPr>
              <w:pStyle w:val="318"/>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053" w:type="dxa"/>
            <w:gridSpan w:val="9"/>
            <w:vAlign w:val="center"/>
          </w:tcPr>
          <w:p>
            <w:pPr>
              <w:pStyle w:val="318"/>
              <w:rPr>
                <w:color w:val="auto"/>
              </w:rPr>
            </w:pPr>
            <w:r>
              <w:rPr>
                <w:color w:val="auto"/>
              </w:rPr>
              <w:t>拟投入</w:t>
            </w:r>
            <w:r>
              <w:rPr>
                <w:rFonts w:hint="eastAsia"/>
                <w:color w:val="auto"/>
                <w:lang w:val="en-US" w:eastAsia="zh-CN"/>
              </w:rPr>
              <w:t>其他</w:t>
            </w:r>
            <w:r>
              <w:rPr>
                <w:color w:val="auto"/>
              </w:rPr>
              <w:t>人员情况</w:t>
            </w:r>
          </w:p>
          <w:p>
            <w:pPr>
              <w:pStyle w:val="318"/>
              <w:rPr>
                <w:color w:val="auto"/>
              </w:rPr>
            </w:pPr>
            <w:r>
              <w:rPr>
                <w:color w:val="auto"/>
              </w:rPr>
              <w:t>（简要说明为保障项目顺利开展拟投入人员情况）</w:t>
            </w:r>
          </w:p>
        </w:tc>
      </w:tr>
    </w:tbl>
    <w:p>
      <w:pPr>
        <w:pStyle w:val="13"/>
        <w:ind w:firstLine="0" w:firstLineChars="0"/>
        <w:rPr>
          <w:b/>
          <w:bCs/>
          <w:color w:val="auto"/>
        </w:rPr>
      </w:pPr>
      <w:r>
        <w:rPr>
          <w:rFonts w:hint="eastAsia"/>
          <w:b/>
          <w:bCs/>
          <w:color w:val="auto"/>
        </w:rPr>
        <w:t>注：</w:t>
      </w:r>
    </w:p>
    <w:p>
      <w:pPr>
        <w:pStyle w:val="13"/>
        <w:numPr>
          <w:ilvl w:val="0"/>
          <w:numId w:val="0"/>
        </w:numPr>
        <w:ind w:firstLine="480" w:firstLineChars="200"/>
        <w:rPr>
          <w:rFonts w:hint="eastAsia"/>
          <w:color w:val="auto"/>
        </w:rPr>
      </w:pPr>
      <w:r>
        <w:rPr>
          <w:rFonts w:hint="eastAsia"/>
          <w:color w:val="auto"/>
          <w:lang w:val="en-US" w:eastAsia="zh-CN"/>
        </w:rPr>
        <w:t>1.</w:t>
      </w:r>
      <w:r>
        <w:rPr>
          <w:rFonts w:hint="eastAsia"/>
          <w:color w:val="auto"/>
        </w:rPr>
        <w:t>表后须须提供具备专业人员相关证明材料（包括但不限于职称证、劳动合同或社保证明等）、获奖证书（如果有）复印件。</w:t>
      </w:r>
    </w:p>
    <w:p>
      <w:pPr>
        <w:pStyle w:val="13"/>
        <w:numPr>
          <w:ilvl w:val="0"/>
          <w:numId w:val="0"/>
        </w:numPr>
        <w:ind w:firstLine="480" w:firstLineChars="200"/>
        <w:rPr>
          <w:color w:val="auto"/>
        </w:rPr>
      </w:pPr>
      <w:r>
        <w:rPr>
          <w:rFonts w:hint="eastAsia" w:ascii="宋体" w:hAnsi="宋体" w:cs="宋体"/>
          <w:color w:val="auto"/>
          <w:sz w:val="24"/>
          <w:szCs w:val="22"/>
        </w:rPr>
        <w:t>2.获奖情况包括项目、集体或个人获奖情况，如有，应附复印件或者扫描件。</w:t>
      </w:r>
      <w:r>
        <w:rPr>
          <w:rFonts w:hint="eastAsia"/>
          <w:color w:val="auto"/>
        </w:rPr>
        <w:br w:type="page"/>
      </w:r>
    </w:p>
    <w:p>
      <w:pPr>
        <w:pStyle w:val="4"/>
        <w:rPr>
          <w:color w:val="auto"/>
        </w:rPr>
      </w:pPr>
      <w:r>
        <w:rPr>
          <w:rFonts w:hint="eastAsia"/>
          <w:color w:val="auto"/>
        </w:rPr>
        <w:t>四、商务响应偏离表</w:t>
      </w:r>
    </w:p>
    <w:p>
      <w:pPr>
        <w:pStyle w:val="13"/>
        <w:ind w:firstLine="480"/>
        <w:rPr>
          <w:color w:val="auto"/>
          <w:u w:val="single"/>
        </w:rPr>
      </w:pPr>
      <w:r>
        <w:rPr>
          <w:rFonts w:hint="eastAsia"/>
          <w:color w:val="auto"/>
        </w:rPr>
        <w:t>项目名称：</w:t>
      </w:r>
      <w:r>
        <w:rPr>
          <w:rFonts w:hint="eastAsia"/>
          <w:color w:val="auto"/>
          <w:u w:val="single"/>
        </w:rPr>
        <w:t xml:space="preserve">                                  </w:t>
      </w:r>
    </w:p>
    <w:p>
      <w:pPr>
        <w:pStyle w:val="13"/>
        <w:ind w:firstLine="480"/>
        <w:rPr>
          <w:color w:val="auto"/>
          <w:spacing w:val="4"/>
          <w:szCs w:val="24"/>
        </w:rPr>
      </w:pPr>
      <w:r>
        <w:rPr>
          <w:rFonts w:hint="eastAsia"/>
          <w:color w:val="auto"/>
        </w:rPr>
        <w:t>项目编号：</w:t>
      </w:r>
      <w:r>
        <w:rPr>
          <w:rFonts w:hint="eastAsia"/>
          <w:color w:val="auto"/>
          <w:u w:val="single"/>
        </w:rPr>
        <w:t xml:space="preserve">                                  </w:t>
      </w:r>
      <w:r>
        <w:rPr>
          <w:rFonts w:hint="eastAsia"/>
          <w:bCs/>
          <w:color w:val="auto"/>
          <w:spacing w:val="4"/>
          <w:szCs w:val="24"/>
        </w:rPr>
        <w:t xml:space="preserve">                                        </w:t>
      </w:r>
    </w:p>
    <w:tbl>
      <w:tblPr>
        <w:tblStyle w:val="47"/>
        <w:tblW w:w="970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50"/>
        <w:gridCol w:w="2170"/>
        <w:gridCol w:w="2078"/>
        <w:gridCol w:w="2261"/>
        <w:gridCol w:w="1211"/>
        <w:gridCol w:w="113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20" w:hRule="atLeast"/>
          <w:jc w:val="center"/>
        </w:trPr>
        <w:tc>
          <w:tcPr>
            <w:tcW w:w="850" w:type="dxa"/>
            <w:vAlign w:val="center"/>
          </w:tcPr>
          <w:p>
            <w:pPr>
              <w:pStyle w:val="318"/>
              <w:rPr>
                <w:b/>
                <w:bCs/>
                <w:color w:val="auto"/>
              </w:rPr>
            </w:pPr>
            <w:r>
              <w:rPr>
                <w:rFonts w:hint="eastAsia"/>
                <w:b/>
                <w:bCs/>
                <w:color w:val="auto"/>
              </w:rPr>
              <w:t>序号</w:t>
            </w:r>
          </w:p>
        </w:tc>
        <w:tc>
          <w:tcPr>
            <w:tcW w:w="2170" w:type="dxa"/>
            <w:vAlign w:val="center"/>
          </w:tcPr>
          <w:p>
            <w:pPr>
              <w:pStyle w:val="318"/>
              <w:rPr>
                <w:b/>
                <w:bCs/>
                <w:color w:val="auto"/>
              </w:rPr>
            </w:pPr>
            <w:r>
              <w:rPr>
                <w:rFonts w:hint="eastAsia"/>
                <w:b/>
                <w:bCs/>
                <w:color w:val="auto"/>
              </w:rPr>
              <w:t>名称</w:t>
            </w:r>
          </w:p>
        </w:tc>
        <w:tc>
          <w:tcPr>
            <w:tcW w:w="2078" w:type="dxa"/>
            <w:vAlign w:val="center"/>
          </w:tcPr>
          <w:p>
            <w:pPr>
              <w:pStyle w:val="318"/>
              <w:rPr>
                <w:b/>
                <w:bCs/>
                <w:color w:val="auto"/>
              </w:rPr>
            </w:pPr>
            <w:r>
              <w:rPr>
                <w:rFonts w:hint="eastAsia"/>
                <w:b/>
                <w:bCs/>
                <w:color w:val="auto"/>
              </w:rPr>
              <w:t>谈判文件要求</w:t>
            </w:r>
          </w:p>
        </w:tc>
        <w:tc>
          <w:tcPr>
            <w:tcW w:w="2261" w:type="dxa"/>
            <w:vAlign w:val="center"/>
          </w:tcPr>
          <w:p>
            <w:pPr>
              <w:pStyle w:val="318"/>
              <w:rPr>
                <w:b/>
                <w:bCs/>
                <w:color w:val="auto"/>
              </w:rPr>
            </w:pPr>
            <w:r>
              <w:rPr>
                <w:rFonts w:hint="eastAsia"/>
                <w:b/>
                <w:bCs/>
                <w:color w:val="auto"/>
              </w:rPr>
              <w:t>响应内容</w:t>
            </w:r>
          </w:p>
        </w:tc>
        <w:tc>
          <w:tcPr>
            <w:tcW w:w="1211" w:type="dxa"/>
            <w:vAlign w:val="center"/>
          </w:tcPr>
          <w:p>
            <w:pPr>
              <w:pStyle w:val="318"/>
              <w:rPr>
                <w:b/>
                <w:bCs/>
                <w:color w:val="auto"/>
              </w:rPr>
            </w:pPr>
            <w:r>
              <w:rPr>
                <w:rFonts w:hint="eastAsia"/>
                <w:b/>
                <w:bCs/>
                <w:color w:val="auto"/>
              </w:rPr>
              <w:t>偏离说明</w:t>
            </w:r>
          </w:p>
        </w:tc>
        <w:tc>
          <w:tcPr>
            <w:tcW w:w="1132" w:type="dxa"/>
            <w:vAlign w:val="center"/>
          </w:tcPr>
          <w:p>
            <w:pPr>
              <w:pStyle w:val="318"/>
              <w:rPr>
                <w:b/>
                <w:bCs/>
                <w:color w:val="auto"/>
              </w:rPr>
            </w:pPr>
            <w:r>
              <w:rPr>
                <w:rFonts w:hint="eastAsia"/>
                <w:b/>
                <w:bCs/>
                <w:color w:val="auto"/>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0" w:hRule="atLeast"/>
          <w:jc w:val="center"/>
        </w:trPr>
        <w:tc>
          <w:tcPr>
            <w:tcW w:w="850" w:type="dxa"/>
            <w:vAlign w:val="center"/>
          </w:tcPr>
          <w:p>
            <w:pPr>
              <w:pStyle w:val="318"/>
              <w:rPr>
                <w:color w:val="auto"/>
              </w:rPr>
            </w:pPr>
          </w:p>
        </w:tc>
        <w:tc>
          <w:tcPr>
            <w:tcW w:w="2170" w:type="dxa"/>
            <w:vAlign w:val="center"/>
          </w:tcPr>
          <w:p>
            <w:pPr>
              <w:pStyle w:val="318"/>
              <w:rPr>
                <w:color w:val="auto"/>
              </w:rPr>
            </w:pPr>
          </w:p>
        </w:tc>
        <w:tc>
          <w:tcPr>
            <w:tcW w:w="2078" w:type="dxa"/>
            <w:vAlign w:val="center"/>
          </w:tcPr>
          <w:p>
            <w:pPr>
              <w:pStyle w:val="318"/>
              <w:rPr>
                <w:color w:val="auto"/>
              </w:rPr>
            </w:pPr>
          </w:p>
        </w:tc>
        <w:tc>
          <w:tcPr>
            <w:tcW w:w="2261" w:type="dxa"/>
            <w:vAlign w:val="center"/>
          </w:tcPr>
          <w:p>
            <w:pPr>
              <w:pStyle w:val="318"/>
              <w:rPr>
                <w:color w:val="auto"/>
              </w:rPr>
            </w:pPr>
          </w:p>
        </w:tc>
        <w:tc>
          <w:tcPr>
            <w:tcW w:w="1211" w:type="dxa"/>
            <w:vAlign w:val="center"/>
          </w:tcPr>
          <w:p>
            <w:pPr>
              <w:pStyle w:val="318"/>
              <w:rPr>
                <w:color w:val="auto"/>
              </w:rPr>
            </w:pPr>
          </w:p>
        </w:tc>
        <w:tc>
          <w:tcPr>
            <w:tcW w:w="1132" w:type="dxa"/>
            <w:vAlign w:val="center"/>
          </w:tcPr>
          <w:p>
            <w:pPr>
              <w:pStyle w:val="318"/>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0" w:hRule="atLeast"/>
          <w:jc w:val="center"/>
        </w:trPr>
        <w:tc>
          <w:tcPr>
            <w:tcW w:w="850" w:type="dxa"/>
            <w:vAlign w:val="center"/>
          </w:tcPr>
          <w:p>
            <w:pPr>
              <w:pStyle w:val="318"/>
              <w:rPr>
                <w:color w:val="auto"/>
              </w:rPr>
            </w:pPr>
          </w:p>
        </w:tc>
        <w:tc>
          <w:tcPr>
            <w:tcW w:w="2170" w:type="dxa"/>
            <w:vAlign w:val="center"/>
          </w:tcPr>
          <w:p>
            <w:pPr>
              <w:pStyle w:val="318"/>
              <w:rPr>
                <w:color w:val="auto"/>
              </w:rPr>
            </w:pPr>
          </w:p>
        </w:tc>
        <w:tc>
          <w:tcPr>
            <w:tcW w:w="2078" w:type="dxa"/>
            <w:vAlign w:val="center"/>
          </w:tcPr>
          <w:p>
            <w:pPr>
              <w:pStyle w:val="318"/>
              <w:rPr>
                <w:color w:val="auto"/>
              </w:rPr>
            </w:pPr>
          </w:p>
        </w:tc>
        <w:tc>
          <w:tcPr>
            <w:tcW w:w="2261" w:type="dxa"/>
            <w:vAlign w:val="center"/>
          </w:tcPr>
          <w:p>
            <w:pPr>
              <w:pStyle w:val="318"/>
              <w:rPr>
                <w:color w:val="auto"/>
              </w:rPr>
            </w:pPr>
          </w:p>
        </w:tc>
        <w:tc>
          <w:tcPr>
            <w:tcW w:w="1211" w:type="dxa"/>
            <w:vAlign w:val="center"/>
          </w:tcPr>
          <w:p>
            <w:pPr>
              <w:pStyle w:val="318"/>
              <w:rPr>
                <w:color w:val="auto"/>
              </w:rPr>
            </w:pPr>
          </w:p>
        </w:tc>
        <w:tc>
          <w:tcPr>
            <w:tcW w:w="1132" w:type="dxa"/>
            <w:vAlign w:val="center"/>
          </w:tcPr>
          <w:p>
            <w:pPr>
              <w:pStyle w:val="318"/>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0" w:hRule="atLeast"/>
          <w:jc w:val="center"/>
        </w:trPr>
        <w:tc>
          <w:tcPr>
            <w:tcW w:w="850" w:type="dxa"/>
            <w:vAlign w:val="center"/>
          </w:tcPr>
          <w:p>
            <w:pPr>
              <w:pStyle w:val="318"/>
              <w:rPr>
                <w:color w:val="auto"/>
              </w:rPr>
            </w:pPr>
          </w:p>
        </w:tc>
        <w:tc>
          <w:tcPr>
            <w:tcW w:w="2170" w:type="dxa"/>
            <w:vAlign w:val="center"/>
          </w:tcPr>
          <w:p>
            <w:pPr>
              <w:pStyle w:val="318"/>
              <w:rPr>
                <w:color w:val="auto"/>
              </w:rPr>
            </w:pPr>
          </w:p>
        </w:tc>
        <w:tc>
          <w:tcPr>
            <w:tcW w:w="2078" w:type="dxa"/>
            <w:vAlign w:val="center"/>
          </w:tcPr>
          <w:p>
            <w:pPr>
              <w:pStyle w:val="318"/>
              <w:rPr>
                <w:color w:val="auto"/>
              </w:rPr>
            </w:pPr>
          </w:p>
        </w:tc>
        <w:tc>
          <w:tcPr>
            <w:tcW w:w="2261" w:type="dxa"/>
            <w:vAlign w:val="center"/>
          </w:tcPr>
          <w:p>
            <w:pPr>
              <w:pStyle w:val="318"/>
              <w:rPr>
                <w:color w:val="auto"/>
              </w:rPr>
            </w:pPr>
          </w:p>
        </w:tc>
        <w:tc>
          <w:tcPr>
            <w:tcW w:w="1211" w:type="dxa"/>
            <w:vAlign w:val="center"/>
          </w:tcPr>
          <w:p>
            <w:pPr>
              <w:pStyle w:val="318"/>
              <w:rPr>
                <w:color w:val="auto"/>
              </w:rPr>
            </w:pPr>
          </w:p>
        </w:tc>
        <w:tc>
          <w:tcPr>
            <w:tcW w:w="1132" w:type="dxa"/>
            <w:vAlign w:val="center"/>
          </w:tcPr>
          <w:p>
            <w:pPr>
              <w:pStyle w:val="318"/>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0" w:hRule="atLeast"/>
          <w:jc w:val="center"/>
        </w:trPr>
        <w:tc>
          <w:tcPr>
            <w:tcW w:w="850" w:type="dxa"/>
            <w:vAlign w:val="center"/>
          </w:tcPr>
          <w:p>
            <w:pPr>
              <w:pStyle w:val="318"/>
              <w:rPr>
                <w:color w:val="auto"/>
              </w:rPr>
            </w:pPr>
          </w:p>
        </w:tc>
        <w:tc>
          <w:tcPr>
            <w:tcW w:w="2170" w:type="dxa"/>
            <w:vAlign w:val="center"/>
          </w:tcPr>
          <w:p>
            <w:pPr>
              <w:pStyle w:val="318"/>
              <w:rPr>
                <w:color w:val="auto"/>
              </w:rPr>
            </w:pPr>
          </w:p>
        </w:tc>
        <w:tc>
          <w:tcPr>
            <w:tcW w:w="2078" w:type="dxa"/>
            <w:vAlign w:val="center"/>
          </w:tcPr>
          <w:p>
            <w:pPr>
              <w:pStyle w:val="318"/>
              <w:rPr>
                <w:color w:val="auto"/>
              </w:rPr>
            </w:pPr>
          </w:p>
        </w:tc>
        <w:tc>
          <w:tcPr>
            <w:tcW w:w="2261" w:type="dxa"/>
            <w:vAlign w:val="center"/>
          </w:tcPr>
          <w:p>
            <w:pPr>
              <w:pStyle w:val="318"/>
              <w:rPr>
                <w:color w:val="auto"/>
              </w:rPr>
            </w:pPr>
          </w:p>
        </w:tc>
        <w:tc>
          <w:tcPr>
            <w:tcW w:w="1211" w:type="dxa"/>
            <w:vAlign w:val="center"/>
          </w:tcPr>
          <w:p>
            <w:pPr>
              <w:pStyle w:val="318"/>
              <w:rPr>
                <w:color w:val="auto"/>
              </w:rPr>
            </w:pPr>
          </w:p>
        </w:tc>
        <w:tc>
          <w:tcPr>
            <w:tcW w:w="1132" w:type="dxa"/>
            <w:vAlign w:val="center"/>
          </w:tcPr>
          <w:p>
            <w:pPr>
              <w:pStyle w:val="318"/>
              <w:rPr>
                <w:color w:va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620" w:hRule="atLeast"/>
          <w:jc w:val="center"/>
        </w:trPr>
        <w:tc>
          <w:tcPr>
            <w:tcW w:w="850" w:type="dxa"/>
            <w:vAlign w:val="center"/>
          </w:tcPr>
          <w:p>
            <w:pPr>
              <w:pStyle w:val="318"/>
              <w:rPr>
                <w:color w:val="auto"/>
              </w:rPr>
            </w:pPr>
          </w:p>
        </w:tc>
        <w:tc>
          <w:tcPr>
            <w:tcW w:w="2170" w:type="dxa"/>
            <w:vAlign w:val="center"/>
          </w:tcPr>
          <w:p>
            <w:pPr>
              <w:pStyle w:val="318"/>
              <w:rPr>
                <w:color w:val="auto"/>
              </w:rPr>
            </w:pPr>
          </w:p>
        </w:tc>
        <w:tc>
          <w:tcPr>
            <w:tcW w:w="2078" w:type="dxa"/>
            <w:vAlign w:val="center"/>
          </w:tcPr>
          <w:p>
            <w:pPr>
              <w:pStyle w:val="318"/>
              <w:rPr>
                <w:color w:val="auto"/>
              </w:rPr>
            </w:pPr>
          </w:p>
        </w:tc>
        <w:tc>
          <w:tcPr>
            <w:tcW w:w="2261" w:type="dxa"/>
            <w:vAlign w:val="center"/>
          </w:tcPr>
          <w:p>
            <w:pPr>
              <w:pStyle w:val="318"/>
              <w:rPr>
                <w:color w:val="auto"/>
              </w:rPr>
            </w:pPr>
          </w:p>
        </w:tc>
        <w:tc>
          <w:tcPr>
            <w:tcW w:w="1211" w:type="dxa"/>
            <w:vAlign w:val="center"/>
          </w:tcPr>
          <w:p>
            <w:pPr>
              <w:pStyle w:val="318"/>
              <w:rPr>
                <w:color w:val="auto"/>
              </w:rPr>
            </w:pPr>
          </w:p>
        </w:tc>
        <w:tc>
          <w:tcPr>
            <w:tcW w:w="1132" w:type="dxa"/>
            <w:vAlign w:val="center"/>
          </w:tcPr>
          <w:p>
            <w:pPr>
              <w:pStyle w:val="318"/>
              <w:rPr>
                <w:color w:val="auto"/>
              </w:rPr>
            </w:pPr>
          </w:p>
        </w:tc>
      </w:tr>
    </w:tbl>
    <w:p>
      <w:pPr>
        <w:spacing w:line="336" w:lineRule="auto"/>
        <w:rPr>
          <w:rFonts w:ascii="宋体" w:hAnsi="宋体" w:cs="宋体"/>
          <w:color w:val="auto"/>
          <w:sz w:val="24"/>
          <w:szCs w:val="24"/>
        </w:rPr>
      </w:pPr>
    </w:p>
    <w:p>
      <w:pPr>
        <w:pStyle w:val="13"/>
        <w:ind w:firstLine="2880" w:firstLineChars="1200"/>
        <w:rPr>
          <w:color w:val="auto"/>
        </w:rPr>
      </w:pPr>
      <w:r>
        <w:rPr>
          <w:rFonts w:hint="eastAsia"/>
          <w:color w:val="auto"/>
        </w:rPr>
        <w:t>供应商名称：</w:t>
      </w:r>
      <w:r>
        <w:rPr>
          <w:rFonts w:hint="eastAsia"/>
          <w:color w:val="auto"/>
          <w:u w:val="single"/>
        </w:rPr>
        <w:t xml:space="preserve">                        </w:t>
      </w:r>
      <w:r>
        <w:rPr>
          <w:rFonts w:hint="eastAsia"/>
          <w:color w:val="auto"/>
        </w:rPr>
        <w:t>（公章）</w:t>
      </w:r>
    </w:p>
    <w:p>
      <w:pPr>
        <w:pStyle w:val="13"/>
        <w:ind w:firstLine="2880" w:firstLineChars="1200"/>
        <w:rPr>
          <w:color w:val="auto"/>
        </w:rPr>
      </w:pPr>
      <w:r>
        <w:rPr>
          <w:rFonts w:hint="eastAsia"/>
          <w:color w:val="auto"/>
        </w:rPr>
        <w:t>法定代表人或被授权代表或自然人：</w:t>
      </w:r>
      <w:r>
        <w:rPr>
          <w:rFonts w:hint="eastAsia"/>
          <w:color w:val="auto"/>
          <w:u w:val="single"/>
        </w:rPr>
        <w:t xml:space="preserve">      </w:t>
      </w:r>
      <w:r>
        <w:rPr>
          <w:rFonts w:hint="eastAsia"/>
          <w:color w:val="auto"/>
        </w:rPr>
        <w:t xml:space="preserve">（签字或盖章）     </w:t>
      </w:r>
    </w:p>
    <w:p>
      <w:pPr>
        <w:pStyle w:val="13"/>
        <w:ind w:firstLine="2880" w:firstLineChars="1200"/>
        <w:rPr>
          <w:color w:val="auto"/>
          <w:szCs w:val="24"/>
        </w:rPr>
      </w:pPr>
      <w:r>
        <w:rPr>
          <w:rFonts w:hint="eastAsia"/>
          <w:color w:val="auto"/>
        </w:rPr>
        <w:t>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pStyle w:val="13"/>
        <w:ind w:firstLine="0" w:firstLineChars="0"/>
        <w:rPr>
          <w:b/>
          <w:bCs/>
          <w:color w:val="auto"/>
          <w:sz w:val="21"/>
          <w:szCs w:val="21"/>
        </w:rPr>
      </w:pPr>
    </w:p>
    <w:p>
      <w:pPr>
        <w:pStyle w:val="13"/>
        <w:ind w:firstLine="0" w:firstLineChars="0"/>
        <w:rPr>
          <w:b/>
          <w:bCs/>
          <w:color w:val="auto"/>
          <w:sz w:val="21"/>
          <w:szCs w:val="21"/>
        </w:rPr>
      </w:pPr>
      <w:r>
        <w:rPr>
          <w:rFonts w:hint="eastAsia"/>
          <w:b/>
          <w:bCs/>
          <w:color w:val="auto"/>
          <w:sz w:val="21"/>
          <w:szCs w:val="21"/>
        </w:rPr>
        <w:t>注：</w:t>
      </w:r>
    </w:p>
    <w:p>
      <w:pPr>
        <w:pStyle w:val="13"/>
        <w:ind w:firstLine="420"/>
        <w:rPr>
          <w:color w:val="auto"/>
          <w:sz w:val="21"/>
          <w:szCs w:val="21"/>
        </w:rPr>
      </w:pPr>
      <w:r>
        <w:rPr>
          <w:rFonts w:hint="eastAsia"/>
          <w:color w:val="auto"/>
          <w:sz w:val="21"/>
          <w:szCs w:val="21"/>
        </w:rPr>
        <w:t>1.本表只填写响应文件中与磋商文件</w:t>
      </w:r>
      <w:r>
        <w:rPr>
          <w:rFonts w:hint="eastAsia"/>
          <w:b/>
          <w:bCs/>
          <w:color w:val="auto"/>
          <w:sz w:val="21"/>
          <w:szCs w:val="21"/>
        </w:rPr>
        <w:t>第三章“采购内容及要求”二、商务要求</w:t>
      </w:r>
      <w:r>
        <w:rPr>
          <w:rFonts w:hint="eastAsia"/>
          <w:color w:val="auto"/>
          <w:sz w:val="21"/>
          <w:szCs w:val="21"/>
        </w:rPr>
        <w:t>及</w:t>
      </w:r>
      <w:r>
        <w:rPr>
          <w:rFonts w:hint="eastAsia"/>
          <w:b/>
          <w:bCs/>
          <w:color w:val="auto"/>
          <w:sz w:val="21"/>
          <w:szCs w:val="21"/>
        </w:rPr>
        <w:t>第四章“商务及合同主要条款”有偏离（包括正偏离和负偏离）</w:t>
      </w:r>
      <w:r>
        <w:rPr>
          <w:rFonts w:hint="eastAsia"/>
          <w:color w:val="auto"/>
          <w:sz w:val="21"/>
          <w:szCs w:val="21"/>
        </w:rPr>
        <w:t>的内容，响应文件中商务响应与磋商文件要求完全一致的，不用在此表中列出，但必须提交空白表。</w:t>
      </w:r>
    </w:p>
    <w:p>
      <w:pPr>
        <w:pStyle w:val="13"/>
        <w:ind w:firstLine="420"/>
        <w:rPr>
          <w:color w:val="auto"/>
          <w:sz w:val="21"/>
          <w:szCs w:val="21"/>
        </w:rPr>
      </w:pPr>
      <w:r>
        <w:rPr>
          <w:rFonts w:hint="eastAsia"/>
          <w:color w:val="auto"/>
          <w:sz w:val="21"/>
          <w:szCs w:val="21"/>
        </w:rPr>
        <w:t>2.凡是响应文件的商务响应与磋商文件的要求之间存在负偏离（即不能满足磋商文件要求）的或者正偏离（即优于磋商文件要求），必须在响应文件的“商务响应偏离表”中予以明确响应（偏离填写：正偏离或负偏离）。</w:t>
      </w:r>
    </w:p>
    <w:p>
      <w:pPr>
        <w:pStyle w:val="13"/>
        <w:ind w:firstLine="420"/>
        <w:rPr>
          <w:color w:val="auto"/>
          <w:sz w:val="21"/>
          <w:szCs w:val="21"/>
        </w:rPr>
      </w:pPr>
      <w:r>
        <w:rPr>
          <w:rFonts w:hint="eastAsia"/>
          <w:color w:val="auto"/>
          <w:sz w:val="21"/>
          <w:szCs w:val="21"/>
        </w:rPr>
        <w:t>3.如果在响应文件的“商务响应偏离表”之外发现上述负偏离的，评标时磋商小组将作出对供应商不利的评估。</w:t>
      </w:r>
    </w:p>
    <w:p>
      <w:pPr>
        <w:pStyle w:val="13"/>
        <w:ind w:firstLine="420"/>
        <w:rPr>
          <w:color w:val="auto"/>
        </w:rPr>
      </w:pPr>
      <w:r>
        <w:rPr>
          <w:rFonts w:hint="eastAsia"/>
          <w:color w:val="auto"/>
          <w:sz w:val="21"/>
          <w:szCs w:val="21"/>
        </w:rPr>
        <w:t>4.供应商必须据实填写，不得虚假响应，否则将取消其谈判响应或中标资格，并按有关规定进处罚。</w:t>
      </w:r>
    </w:p>
    <w:p>
      <w:pPr>
        <w:rPr>
          <w:color w:val="auto"/>
        </w:rPr>
      </w:pPr>
      <w:r>
        <w:rPr>
          <w:rFonts w:hint="eastAsia"/>
          <w:color w:val="auto"/>
        </w:rPr>
        <w:br w:type="page"/>
      </w:r>
    </w:p>
    <w:p>
      <w:pPr>
        <w:pStyle w:val="4"/>
        <w:rPr>
          <w:color w:val="auto"/>
        </w:rPr>
      </w:pPr>
      <w:r>
        <w:rPr>
          <w:rFonts w:hint="eastAsia"/>
          <w:color w:val="auto"/>
        </w:rPr>
        <w:t>五、资格证明文件</w:t>
      </w:r>
    </w:p>
    <w:p>
      <w:pPr>
        <w:pStyle w:val="13"/>
        <w:ind w:firstLine="480"/>
        <w:rPr>
          <w:color w:val="auto"/>
        </w:rPr>
      </w:pPr>
      <w:r>
        <w:rPr>
          <w:rFonts w:hint="eastAsia"/>
          <w:color w:val="auto"/>
        </w:rPr>
        <w:t>供应商按谈判文件的要求，依据第二章“供应商须知”供应商须知前附表 供应商资格条件 所列内容逐项提供加盖公章的复印件，缺少其中任何一项，其响应文件将被视为无效文件。</w:t>
      </w:r>
    </w:p>
    <w:p>
      <w:pPr>
        <w:pStyle w:val="318"/>
        <w:ind w:firstLine="480" w:firstLineChars="200"/>
        <w:jc w:val="left"/>
        <w:rPr>
          <w:color w:val="auto"/>
        </w:rPr>
      </w:pPr>
      <w:r>
        <w:rPr>
          <w:rFonts w:hint="eastAsia"/>
          <w:color w:val="auto"/>
        </w:rPr>
        <w:t>（1）基本资格条件：符合《中华人民共和国政府采购法》第二十二条的规定：</w:t>
      </w:r>
    </w:p>
    <w:p>
      <w:pPr>
        <w:pStyle w:val="318"/>
        <w:ind w:firstLine="480" w:firstLineChars="200"/>
        <w:jc w:val="left"/>
        <w:rPr>
          <w:color w:val="auto"/>
        </w:rPr>
      </w:pPr>
      <w:r>
        <w:rPr>
          <w:rFonts w:hint="eastAsia"/>
          <w:color w:val="auto"/>
        </w:rPr>
        <w:t>1）具有独立承担民事责任能力的法人、其他组织或自然人，提供合法有效的统一社会信用代码营业执照（事业单位提供法人证书，自然人提供身份证）；</w:t>
      </w:r>
    </w:p>
    <w:p>
      <w:pPr>
        <w:pStyle w:val="318"/>
        <w:ind w:firstLine="480" w:firstLineChars="200"/>
        <w:jc w:val="left"/>
        <w:rPr>
          <w:color w:val="auto"/>
        </w:rPr>
      </w:pPr>
      <w:r>
        <w:rPr>
          <w:rFonts w:hint="eastAsia"/>
          <w:color w:val="auto"/>
        </w:rPr>
        <w:t>2）财务状况报告：法人提供经审计的2020或2021年度的财务报告（成立时间至递交响应文件截止时间不足一年的可提供成立后任意时段的资产负债表）或递交响应文件截止时间前六个月内银行出具的资信证明；其他组织和自然人提供银行出具的资信证明或财务报表；</w:t>
      </w:r>
    </w:p>
    <w:p>
      <w:pPr>
        <w:pStyle w:val="318"/>
        <w:ind w:firstLine="480" w:firstLineChars="200"/>
        <w:jc w:val="left"/>
        <w:rPr>
          <w:color w:val="auto"/>
        </w:rPr>
      </w:pPr>
      <w:r>
        <w:rPr>
          <w:rFonts w:hint="eastAsia"/>
          <w:color w:val="auto"/>
        </w:rPr>
        <w:t>3）税收缴纳证明：法人提供递交响应文件截止时间前一年内至少一个月依法缴纳税收的相关凭据（时间以税款所属日期为准，税种须包含增值税或企业所得税或营业税，凭据应有税务机关或代收机关的公章或业务专用章）；其他组织和自然人提供缴纳税收的凭据；依法免税的供应商应提供相关文件证明；</w:t>
      </w:r>
    </w:p>
    <w:p>
      <w:pPr>
        <w:pStyle w:val="318"/>
        <w:ind w:firstLine="480" w:firstLineChars="200"/>
        <w:jc w:val="left"/>
        <w:rPr>
          <w:color w:val="auto"/>
        </w:rPr>
      </w:pPr>
      <w:r>
        <w:rPr>
          <w:rFonts w:hint="eastAsia"/>
          <w:color w:val="auto"/>
        </w:rPr>
        <w:t>4）社会保障资金缴纳证明：提供递交响应文件截止时间前一年内至少一个月已缴纳的社会保障资金的凭据（社会保障资金缴存单据或社保机构开具的社会保险参保缴费情况证明）；依法不需要缴纳社会保障资金的供应商应提供相关文件证明；</w:t>
      </w:r>
    </w:p>
    <w:p>
      <w:pPr>
        <w:pStyle w:val="318"/>
        <w:ind w:firstLine="480" w:firstLineChars="200"/>
        <w:jc w:val="left"/>
        <w:rPr>
          <w:color w:val="auto"/>
        </w:rPr>
      </w:pPr>
      <w:r>
        <w:rPr>
          <w:rFonts w:hint="eastAsia"/>
          <w:color w:val="auto"/>
        </w:rPr>
        <w:t>5）提供具有履行本合同所必需的设备和专业技术能力的说明及承诺；</w:t>
      </w:r>
    </w:p>
    <w:p>
      <w:pPr>
        <w:pStyle w:val="318"/>
        <w:ind w:firstLine="480" w:firstLineChars="200"/>
        <w:jc w:val="left"/>
        <w:rPr>
          <w:color w:val="auto"/>
        </w:rPr>
      </w:pPr>
      <w:r>
        <w:rPr>
          <w:rFonts w:hint="eastAsia"/>
          <w:color w:val="auto"/>
        </w:rPr>
        <w:t xml:space="preserve">6）提供参加本次政府采购活动前三年内在经营活动中没有重大违法记录的书面声明； </w:t>
      </w:r>
    </w:p>
    <w:p>
      <w:pPr>
        <w:pStyle w:val="318"/>
        <w:ind w:firstLine="480" w:firstLineChars="200"/>
        <w:jc w:val="left"/>
        <w:rPr>
          <w:color w:val="auto"/>
        </w:rPr>
      </w:pPr>
      <w:r>
        <w:rPr>
          <w:rFonts w:hint="eastAsia"/>
          <w:color w:val="auto"/>
        </w:rPr>
        <w:t>（2）本项目的特定资格要求：</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1）法定代表人授权书（附法定代表人、被授权人身份证复印件）、被授权人身份证（法定代表人直接参加投标，须提供法定代表人身份证明及身份证原件）及被授权人投标截止日前一年内任意一个月的社会保障资金（养老保险或医疗保险）的缴纳证明或有效期内的劳动合同； </w:t>
      </w:r>
    </w:p>
    <w:p>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p>
      <w:pPr>
        <w:pStyle w:val="13"/>
        <w:ind w:firstLine="480"/>
        <w:rPr>
          <w:color w:val="auto"/>
        </w:rPr>
      </w:pPr>
    </w:p>
    <w:p>
      <w:pPr>
        <w:rPr>
          <w:color w:val="auto"/>
        </w:rPr>
      </w:pPr>
      <w:r>
        <w:rPr>
          <w:rFonts w:hint="eastAsia"/>
          <w:color w:val="auto"/>
        </w:rPr>
        <w:br w:type="page"/>
      </w:r>
    </w:p>
    <w:p>
      <w:pPr>
        <w:pStyle w:val="6"/>
        <w:rPr>
          <w:color w:val="auto"/>
        </w:rPr>
      </w:pPr>
      <w:r>
        <w:rPr>
          <w:rFonts w:hint="eastAsia"/>
          <w:color w:val="auto"/>
        </w:rPr>
        <w:t>附件1  法定代表人身份证明/法定代表人授权委托书</w:t>
      </w:r>
    </w:p>
    <w:p>
      <w:pPr>
        <w:pStyle w:val="21"/>
        <w:jc w:val="center"/>
        <w:rPr>
          <w:rFonts w:ascii="宋体" w:hAnsi="宋体" w:cs="宋体"/>
          <w:bCs/>
          <w:color w:val="auto"/>
          <w:sz w:val="32"/>
          <w:szCs w:val="32"/>
        </w:rPr>
      </w:pPr>
    </w:p>
    <w:p>
      <w:pPr>
        <w:pStyle w:val="5"/>
        <w:rPr>
          <w:color w:val="auto"/>
        </w:rPr>
      </w:pPr>
      <w:r>
        <w:rPr>
          <w:rFonts w:hint="eastAsia"/>
          <w:color w:val="auto"/>
        </w:rPr>
        <w:t>法定代表人身份证明（格式）</w:t>
      </w:r>
    </w:p>
    <w:p>
      <w:pPr>
        <w:pStyle w:val="13"/>
        <w:ind w:firstLine="480"/>
        <w:rPr>
          <w:color w:val="auto"/>
          <w:u w:val="single"/>
        </w:rPr>
      </w:pPr>
      <w:r>
        <w:rPr>
          <w:rFonts w:hint="eastAsia"/>
          <w:color w:val="auto"/>
        </w:rPr>
        <w:t>供应商名称：</w:t>
      </w:r>
      <w:r>
        <w:rPr>
          <w:rFonts w:hint="eastAsia"/>
          <w:color w:val="auto"/>
          <w:u w:val="single"/>
        </w:rPr>
        <w:t xml:space="preserve">                                </w:t>
      </w:r>
    </w:p>
    <w:p>
      <w:pPr>
        <w:pStyle w:val="13"/>
        <w:ind w:firstLine="480"/>
        <w:rPr>
          <w:color w:val="auto"/>
        </w:rPr>
      </w:pPr>
      <w:r>
        <w:rPr>
          <w:rFonts w:hint="eastAsia"/>
          <w:color w:val="auto"/>
        </w:rPr>
        <w:t>统一社会信用代码：</w:t>
      </w:r>
      <w:r>
        <w:rPr>
          <w:rFonts w:hint="eastAsia"/>
          <w:color w:val="auto"/>
          <w:u w:val="single"/>
        </w:rPr>
        <w:t xml:space="preserve">                          </w:t>
      </w:r>
      <w:r>
        <w:rPr>
          <w:rFonts w:hint="eastAsia"/>
          <w:color w:val="auto"/>
        </w:rPr>
        <w:t xml:space="preserve">   </w:t>
      </w:r>
    </w:p>
    <w:p>
      <w:pPr>
        <w:pStyle w:val="13"/>
        <w:ind w:firstLine="480"/>
        <w:rPr>
          <w:color w:val="auto"/>
        </w:rPr>
      </w:pPr>
      <w:r>
        <w:rPr>
          <w:rFonts w:hint="eastAsia"/>
          <w:color w:val="auto"/>
        </w:rPr>
        <w:t>注册地址：</w:t>
      </w:r>
      <w:r>
        <w:rPr>
          <w:rFonts w:hint="eastAsia"/>
          <w:color w:val="auto"/>
          <w:u w:val="single"/>
        </w:rPr>
        <w:t xml:space="preserve">                                  </w:t>
      </w:r>
      <w:r>
        <w:rPr>
          <w:rFonts w:hint="eastAsia"/>
          <w:color w:val="auto"/>
        </w:rPr>
        <w:t xml:space="preserve">    </w:t>
      </w:r>
    </w:p>
    <w:p>
      <w:pPr>
        <w:pStyle w:val="13"/>
        <w:ind w:firstLine="480"/>
        <w:rPr>
          <w:color w:val="auto"/>
        </w:rPr>
      </w:pPr>
      <w:r>
        <w:rPr>
          <w:rFonts w:hint="eastAsia"/>
          <w:color w:val="auto"/>
        </w:rPr>
        <w:t>成立时间：</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pStyle w:val="13"/>
        <w:ind w:firstLine="480"/>
        <w:rPr>
          <w:color w:val="auto"/>
        </w:rPr>
      </w:pPr>
      <w:r>
        <w:rPr>
          <w:rFonts w:hint="eastAsia"/>
          <w:color w:val="auto"/>
        </w:rPr>
        <w:t>经营期限：</w:t>
      </w:r>
      <w:r>
        <w:rPr>
          <w:rFonts w:hint="eastAsia"/>
          <w:color w:val="auto"/>
          <w:u w:val="single"/>
        </w:rPr>
        <w:t xml:space="preserve">                   </w:t>
      </w:r>
      <w:r>
        <w:rPr>
          <w:rFonts w:hint="eastAsia"/>
          <w:color w:val="auto"/>
        </w:rPr>
        <w:t xml:space="preserve">            </w:t>
      </w:r>
    </w:p>
    <w:p>
      <w:pPr>
        <w:pStyle w:val="13"/>
        <w:ind w:firstLine="480"/>
        <w:rPr>
          <w:color w:val="auto"/>
        </w:rPr>
      </w:pPr>
      <w:r>
        <w:rPr>
          <w:rFonts w:hint="eastAsia"/>
          <w:color w:val="auto"/>
        </w:rPr>
        <w:t>姓名：</w:t>
      </w:r>
      <w:r>
        <w:rPr>
          <w:rFonts w:hint="eastAsia"/>
          <w:color w:val="auto"/>
          <w:u w:val="single"/>
        </w:rPr>
        <w:t xml:space="preserve">      </w:t>
      </w:r>
      <w:r>
        <w:rPr>
          <w:rFonts w:hint="eastAsia"/>
          <w:color w:val="auto"/>
        </w:rPr>
        <w:t>性别：</w:t>
      </w:r>
      <w:r>
        <w:rPr>
          <w:rFonts w:hint="eastAsia"/>
          <w:color w:val="auto"/>
          <w:u w:val="single"/>
        </w:rPr>
        <w:t xml:space="preserve">   </w:t>
      </w:r>
      <w:r>
        <w:rPr>
          <w:rFonts w:hint="eastAsia"/>
          <w:color w:val="auto"/>
        </w:rPr>
        <w:t>年龄：</w:t>
      </w:r>
      <w:r>
        <w:rPr>
          <w:rFonts w:hint="eastAsia"/>
          <w:color w:val="auto"/>
          <w:u w:val="single"/>
        </w:rPr>
        <w:t xml:space="preserve">   </w:t>
      </w:r>
      <w:r>
        <w:rPr>
          <w:rFonts w:hint="eastAsia"/>
          <w:color w:val="auto"/>
        </w:rPr>
        <w:t>联系电话：</w:t>
      </w:r>
      <w:r>
        <w:rPr>
          <w:rFonts w:hint="eastAsia"/>
          <w:color w:val="auto"/>
          <w:u w:val="single"/>
        </w:rPr>
        <w:t xml:space="preserve">      </w:t>
      </w:r>
      <w:r>
        <w:rPr>
          <w:rFonts w:hint="eastAsia"/>
          <w:color w:val="auto"/>
        </w:rPr>
        <w:t>系</w:t>
      </w:r>
      <w:r>
        <w:rPr>
          <w:rFonts w:hint="eastAsia"/>
          <w:color w:val="auto"/>
          <w:u w:val="single"/>
        </w:rPr>
        <w:t xml:space="preserve">           </w:t>
      </w:r>
      <w:r>
        <w:rPr>
          <w:rFonts w:hint="eastAsia"/>
          <w:color w:val="auto"/>
        </w:rPr>
        <w:t>（供应商名称）的法定代表人。</w:t>
      </w:r>
    </w:p>
    <w:p>
      <w:pPr>
        <w:pStyle w:val="13"/>
        <w:ind w:firstLine="480"/>
        <w:rPr>
          <w:color w:val="auto"/>
        </w:rPr>
      </w:pPr>
      <w:r>
        <w:rPr>
          <w:rFonts w:hint="eastAsia"/>
          <w:color w:val="auto"/>
        </w:rPr>
        <w:t>特此证明。</w:t>
      </w:r>
    </w:p>
    <w:p>
      <w:pPr>
        <w:pStyle w:val="13"/>
        <w:ind w:firstLine="480"/>
        <w:rPr>
          <w:color w:val="auto"/>
        </w:rPr>
      </w:pPr>
      <w:r>
        <w:rPr>
          <w:rFonts w:hint="eastAsia"/>
          <w:color w:val="auto"/>
        </w:rPr>
        <w:t>附：法定代表人身份证复印件</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3" w:hRule="atLeast"/>
        </w:trPr>
        <w:tc>
          <w:tcPr>
            <w:tcW w:w="9055" w:type="dxa"/>
            <w:vAlign w:val="center"/>
          </w:tcPr>
          <w:p>
            <w:pPr>
              <w:pStyle w:val="318"/>
              <w:rPr>
                <w:color w:val="auto"/>
              </w:rPr>
            </w:pPr>
            <w:r>
              <w:rPr>
                <w:rFonts w:hint="eastAsia"/>
                <w:color w:val="auto"/>
              </w:rPr>
              <w:t>法人身份证复印件</w:t>
            </w:r>
          </w:p>
          <w:p>
            <w:pPr>
              <w:pStyle w:val="318"/>
              <w:rPr>
                <w:color w:val="auto"/>
                <w:szCs w:val="24"/>
              </w:rPr>
            </w:pPr>
            <w:r>
              <w:rPr>
                <w:rFonts w:hint="eastAsia"/>
                <w:color w:val="auto"/>
              </w:rPr>
              <w:t>正、反面</w:t>
            </w:r>
          </w:p>
        </w:tc>
      </w:tr>
    </w:tbl>
    <w:p>
      <w:pPr>
        <w:tabs>
          <w:tab w:val="left" w:pos="8820"/>
        </w:tabs>
        <w:spacing w:line="336" w:lineRule="auto"/>
        <w:jc w:val="center"/>
        <w:rPr>
          <w:rFonts w:ascii="宋体" w:hAnsi="宋体" w:cs="宋体"/>
          <w:b/>
          <w:bCs/>
          <w:color w:val="auto"/>
          <w:sz w:val="24"/>
          <w:szCs w:val="24"/>
        </w:rPr>
      </w:pPr>
    </w:p>
    <w:p>
      <w:pPr>
        <w:pStyle w:val="13"/>
        <w:ind w:firstLine="4080" w:firstLineChars="1700"/>
        <w:rPr>
          <w:color w:val="auto"/>
        </w:rPr>
      </w:pPr>
      <w:r>
        <w:rPr>
          <w:rFonts w:hint="eastAsia"/>
          <w:color w:val="auto"/>
        </w:rPr>
        <w:t>供应商名称：</w:t>
      </w:r>
      <w:r>
        <w:rPr>
          <w:rFonts w:hint="eastAsia"/>
          <w:color w:val="auto"/>
          <w:u w:val="single"/>
        </w:rPr>
        <w:t xml:space="preserve">                </w:t>
      </w:r>
      <w:r>
        <w:rPr>
          <w:rFonts w:hint="eastAsia"/>
          <w:color w:val="auto"/>
        </w:rPr>
        <w:t>（公章）</w:t>
      </w:r>
    </w:p>
    <w:p>
      <w:pPr>
        <w:pStyle w:val="13"/>
        <w:ind w:firstLine="480"/>
        <w:rPr>
          <w:color w:val="auto"/>
        </w:rPr>
      </w:pPr>
      <w:r>
        <w:rPr>
          <w:rFonts w:hint="eastAsia"/>
          <w:color w:val="auto"/>
        </w:rPr>
        <w:t xml:space="preserve">   </w:t>
      </w:r>
    </w:p>
    <w:p>
      <w:pPr>
        <w:pStyle w:val="13"/>
        <w:ind w:firstLine="4080" w:firstLineChars="1700"/>
        <w:rPr>
          <w:color w:val="auto"/>
          <w:u w:val="single"/>
        </w:rPr>
      </w:pPr>
      <w:r>
        <w:rPr>
          <w:rFonts w:hint="eastAsia"/>
          <w:color w:val="auto"/>
        </w:rPr>
        <w:t>法定代表人或被授权代表（签字或盖章）：</w:t>
      </w:r>
      <w:r>
        <w:rPr>
          <w:rFonts w:hint="eastAsia"/>
          <w:color w:val="auto"/>
          <w:u w:val="single"/>
        </w:rPr>
        <w:t xml:space="preserve">  </w:t>
      </w:r>
    </w:p>
    <w:p>
      <w:pPr>
        <w:pStyle w:val="13"/>
        <w:ind w:firstLine="480"/>
        <w:rPr>
          <w:color w:val="auto"/>
          <w:u w:val="single"/>
        </w:rPr>
      </w:pPr>
    </w:p>
    <w:p>
      <w:pPr>
        <w:pStyle w:val="13"/>
        <w:ind w:firstLine="4080" w:firstLineChars="1700"/>
        <w:rPr>
          <w:color w:val="auto"/>
          <w:szCs w:val="24"/>
          <w:u w:val="single"/>
        </w:rPr>
      </w:pPr>
      <w:r>
        <w:rPr>
          <w:rFonts w:hint="eastAsia"/>
          <w:color w:val="auto"/>
        </w:rPr>
        <w:t>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pStyle w:val="21"/>
        <w:rPr>
          <w:rFonts w:ascii="宋体" w:hAnsi="宋体" w:cs="宋体"/>
          <w:color w:val="auto"/>
        </w:rPr>
      </w:pPr>
    </w:p>
    <w:p>
      <w:pPr>
        <w:pStyle w:val="5"/>
        <w:rPr>
          <w:rStyle w:val="325"/>
          <w:b/>
          <w:color w:val="auto"/>
        </w:rPr>
      </w:pPr>
      <w:r>
        <w:rPr>
          <w:rFonts w:hint="eastAsia"/>
          <w:bCs/>
          <w:color w:val="auto"/>
          <w:sz w:val="32"/>
          <w:szCs w:val="32"/>
        </w:rPr>
        <w:br w:type="page"/>
      </w:r>
      <w:r>
        <w:rPr>
          <w:rStyle w:val="325"/>
          <w:rFonts w:hint="eastAsia"/>
          <w:b/>
          <w:color w:val="auto"/>
        </w:rPr>
        <w:t>法定代表人授权委托书（格式）</w:t>
      </w:r>
    </w:p>
    <w:p>
      <w:pPr>
        <w:tabs>
          <w:tab w:val="left" w:pos="8820"/>
        </w:tabs>
        <w:spacing w:line="336" w:lineRule="auto"/>
        <w:ind w:firstLine="570"/>
        <w:rPr>
          <w:rFonts w:ascii="宋体" w:hAnsi="宋体" w:cs="宋体"/>
          <w:color w:val="auto"/>
          <w:sz w:val="24"/>
          <w:szCs w:val="24"/>
        </w:rPr>
      </w:pPr>
    </w:p>
    <w:p>
      <w:pPr>
        <w:pStyle w:val="13"/>
        <w:ind w:firstLine="480"/>
        <w:rPr>
          <w:color w:val="auto"/>
        </w:rPr>
      </w:pPr>
      <w:r>
        <w:rPr>
          <w:rFonts w:hint="eastAsia"/>
          <w:color w:val="auto"/>
        </w:rPr>
        <w:t>本授权委托书声明：我</w:t>
      </w:r>
      <w:r>
        <w:rPr>
          <w:rFonts w:hint="eastAsia"/>
          <w:color w:val="auto"/>
          <w:u w:val="single"/>
        </w:rPr>
        <w:t>（法定代表人姓名）</w:t>
      </w:r>
      <w:r>
        <w:rPr>
          <w:rFonts w:hint="eastAsia"/>
          <w:color w:val="auto"/>
        </w:rPr>
        <w:t>系注册于</w:t>
      </w:r>
      <w:r>
        <w:rPr>
          <w:rFonts w:hint="eastAsia"/>
          <w:color w:val="auto"/>
          <w:u w:val="single"/>
        </w:rPr>
        <w:t xml:space="preserve">    （供应商地址）   </w:t>
      </w:r>
      <w:r>
        <w:rPr>
          <w:rFonts w:hint="eastAsia"/>
          <w:color w:val="auto"/>
        </w:rPr>
        <w:t>的</w:t>
      </w:r>
      <w:r>
        <w:rPr>
          <w:rFonts w:hint="eastAsia"/>
          <w:color w:val="auto"/>
          <w:u w:val="single"/>
        </w:rPr>
        <w:t xml:space="preserve">（供应商名称）  </w:t>
      </w:r>
      <w:r>
        <w:rPr>
          <w:rFonts w:hint="eastAsia"/>
          <w:color w:val="auto"/>
        </w:rPr>
        <w:t>的法定代表人，现代表公司授权下面签字的</w:t>
      </w:r>
      <w:r>
        <w:rPr>
          <w:rFonts w:hint="eastAsia"/>
          <w:color w:val="auto"/>
          <w:u w:val="single"/>
        </w:rPr>
        <w:t>（被授权人的姓名、职务）</w:t>
      </w:r>
      <w:r>
        <w:rPr>
          <w:rFonts w:hint="eastAsia"/>
          <w:color w:val="auto"/>
        </w:rPr>
        <w:t>为我公司合法代理人，代表本公司参加</w:t>
      </w:r>
      <w:r>
        <w:rPr>
          <w:rFonts w:hint="eastAsia"/>
          <w:color w:val="auto"/>
          <w:u w:val="single"/>
        </w:rPr>
        <w:t>（项目名称）(项目编号)(标项名称)</w:t>
      </w:r>
      <w:r>
        <w:rPr>
          <w:rFonts w:hint="eastAsia"/>
          <w:color w:val="auto"/>
        </w:rPr>
        <w:t>的谈判响应活动。代理人在本次谈判响应中所签署的一切文件和处理的一切有关事物，我公司均予承认。</w:t>
      </w:r>
    </w:p>
    <w:tbl>
      <w:tblPr>
        <w:tblStyle w:val="47"/>
        <w:tblW w:w="8539" w:type="dxa"/>
        <w:tblInd w:w="0" w:type="dxa"/>
        <w:tblLayout w:type="fixed"/>
        <w:tblCellMar>
          <w:top w:w="0" w:type="dxa"/>
          <w:left w:w="108" w:type="dxa"/>
          <w:bottom w:w="0" w:type="dxa"/>
          <w:right w:w="108" w:type="dxa"/>
        </w:tblCellMar>
      </w:tblPr>
      <w:tblGrid>
        <w:gridCol w:w="4379"/>
        <w:gridCol w:w="4160"/>
      </w:tblGrid>
      <w:tr>
        <w:tblPrEx>
          <w:tblCellMar>
            <w:top w:w="0" w:type="dxa"/>
            <w:left w:w="108" w:type="dxa"/>
            <w:bottom w:w="0" w:type="dxa"/>
            <w:right w:w="108" w:type="dxa"/>
          </w:tblCellMar>
        </w:tblPrEx>
        <w:trPr>
          <w:trHeight w:val="617" w:hRule="atLeast"/>
        </w:trPr>
        <w:tc>
          <w:tcPr>
            <w:tcW w:w="4379" w:type="dxa"/>
            <w:vAlign w:val="center"/>
          </w:tcPr>
          <w:p>
            <w:pPr>
              <w:pStyle w:val="318"/>
              <w:jc w:val="both"/>
              <w:rPr>
                <w:color w:val="auto"/>
              </w:rPr>
            </w:pPr>
            <w:r>
              <w:rPr>
                <w:rFonts w:hint="eastAsia"/>
                <w:color w:val="auto"/>
              </w:rPr>
              <w:t>被授权人签字或盖章：</w:t>
            </w:r>
          </w:p>
        </w:tc>
        <w:tc>
          <w:tcPr>
            <w:tcW w:w="4160" w:type="dxa"/>
            <w:vAlign w:val="center"/>
          </w:tcPr>
          <w:p>
            <w:pPr>
              <w:pStyle w:val="318"/>
              <w:jc w:val="both"/>
              <w:rPr>
                <w:color w:val="auto"/>
              </w:rPr>
            </w:pPr>
            <w:r>
              <w:rPr>
                <w:rFonts w:hint="eastAsia"/>
                <w:color w:val="auto"/>
              </w:rPr>
              <w:t>法定代表人签字或盖章：</w:t>
            </w:r>
          </w:p>
        </w:tc>
      </w:tr>
      <w:tr>
        <w:tblPrEx>
          <w:tblCellMar>
            <w:top w:w="0" w:type="dxa"/>
            <w:left w:w="108" w:type="dxa"/>
            <w:bottom w:w="0" w:type="dxa"/>
            <w:right w:w="108" w:type="dxa"/>
          </w:tblCellMar>
        </w:tblPrEx>
        <w:trPr>
          <w:trHeight w:val="617" w:hRule="atLeast"/>
        </w:trPr>
        <w:tc>
          <w:tcPr>
            <w:tcW w:w="4379" w:type="dxa"/>
            <w:vAlign w:val="center"/>
          </w:tcPr>
          <w:p>
            <w:pPr>
              <w:pStyle w:val="318"/>
              <w:jc w:val="both"/>
              <w:rPr>
                <w:color w:val="auto"/>
              </w:rPr>
            </w:pPr>
            <w:r>
              <w:rPr>
                <w:rFonts w:hint="eastAsia"/>
                <w:color w:val="auto"/>
              </w:rPr>
              <w:t>职务：</w:t>
            </w:r>
          </w:p>
        </w:tc>
        <w:tc>
          <w:tcPr>
            <w:tcW w:w="4160" w:type="dxa"/>
            <w:vAlign w:val="center"/>
          </w:tcPr>
          <w:p>
            <w:pPr>
              <w:pStyle w:val="318"/>
              <w:jc w:val="both"/>
              <w:rPr>
                <w:color w:val="auto"/>
              </w:rPr>
            </w:pPr>
            <w:r>
              <w:rPr>
                <w:rFonts w:hint="eastAsia"/>
                <w:color w:val="auto"/>
              </w:rPr>
              <w:t>职务：</w:t>
            </w:r>
          </w:p>
        </w:tc>
      </w:tr>
      <w:tr>
        <w:tblPrEx>
          <w:tblCellMar>
            <w:top w:w="0" w:type="dxa"/>
            <w:left w:w="108" w:type="dxa"/>
            <w:bottom w:w="0" w:type="dxa"/>
            <w:right w:w="108" w:type="dxa"/>
          </w:tblCellMar>
        </w:tblPrEx>
        <w:trPr>
          <w:trHeight w:val="617" w:hRule="atLeast"/>
        </w:trPr>
        <w:tc>
          <w:tcPr>
            <w:tcW w:w="4379" w:type="dxa"/>
            <w:vAlign w:val="center"/>
          </w:tcPr>
          <w:p>
            <w:pPr>
              <w:pStyle w:val="318"/>
              <w:jc w:val="both"/>
              <w:rPr>
                <w:color w:val="auto"/>
              </w:rPr>
            </w:pPr>
            <w:r>
              <w:rPr>
                <w:rFonts w:hint="eastAsia"/>
                <w:color w:val="auto"/>
              </w:rPr>
              <w:t>身份证号：</w:t>
            </w:r>
          </w:p>
        </w:tc>
        <w:tc>
          <w:tcPr>
            <w:tcW w:w="4160" w:type="dxa"/>
            <w:vAlign w:val="center"/>
          </w:tcPr>
          <w:p>
            <w:pPr>
              <w:pStyle w:val="318"/>
              <w:jc w:val="both"/>
              <w:rPr>
                <w:color w:val="auto"/>
              </w:rPr>
            </w:pPr>
            <w:r>
              <w:rPr>
                <w:rFonts w:hint="eastAsia"/>
                <w:color w:val="auto"/>
              </w:rPr>
              <w:t>身份证号：</w:t>
            </w:r>
          </w:p>
        </w:tc>
      </w:tr>
      <w:tr>
        <w:tblPrEx>
          <w:tblCellMar>
            <w:top w:w="0" w:type="dxa"/>
            <w:left w:w="108" w:type="dxa"/>
            <w:bottom w:w="0" w:type="dxa"/>
            <w:right w:w="108" w:type="dxa"/>
          </w:tblCellMar>
        </w:tblPrEx>
        <w:trPr>
          <w:trHeight w:val="617" w:hRule="atLeast"/>
        </w:trPr>
        <w:tc>
          <w:tcPr>
            <w:tcW w:w="4379" w:type="dxa"/>
            <w:vAlign w:val="center"/>
          </w:tcPr>
          <w:p>
            <w:pPr>
              <w:pStyle w:val="318"/>
              <w:jc w:val="both"/>
              <w:rPr>
                <w:color w:val="auto"/>
              </w:rPr>
            </w:pPr>
            <w:r>
              <w:rPr>
                <w:rFonts w:hint="eastAsia"/>
                <w:color w:val="auto"/>
              </w:rPr>
              <w:t>所在部门：</w:t>
            </w:r>
          </w:p>
        </w:tc>
        <w:tc>
          <w:tcPr>
            <w:tcW w:w="4160" w:type="dxa"/>
            <w:vAlign w:val="center"/>
          </w:tcPr>
          <w:p>
            <w:pPr>
              <w:pStyle w:val="318"/>
              <w:rPr>
                <w:color w:val="auto"/>
              </w:rPr>
            </w:pPr>
          </w:p>
        </w:tc>
      </w:tr>
      <w:tr>
        <w:tblPrEx>
          <w:tblCellMar>
            <w:top w:w="0" w:type="dxa"/>
            <w:left w:w="108" w:type="dxa"/>
            <w:bottom w:w="0" w:type="dxa"/>
            <w:right w:w="108" w:type="dxa"/>
          </w:tblCellMar>
        </w:tblPrEx>
        <w:trPr>
          <w:trHeight w:val="617" w:hRule="atLeast"/>
        </w:trPr>
        <w:tc>
          <w:tcPr>
            <w:tcW w:w="4379" w:type="dxa"/>
            <w:vAlign w:val="center"/>
          </w:tcPr>
          <w:p>
            <w:pPr>
              <w:pStyle w:val="318"/>
              <w:jc w:val="both"/>
              <w:rPr>
                <w:color w:val="auto"/>
              </w:rPr>
            </w:pPr>
            <w:r>
              <w:rPr>
                <w:rFonts w:hint="eastAsia"/>
                <w:color w:val="auto"/>
              </w:rPr>
              <w:t>联系电话：</w:t>
            </w:r>
          </w:p>
        </w:tc>
        <w:tc>
          <w:tcPr>
            <w:tcW w:w="4160" w:type="dxa"/>
            <w:vAlign w:val="center"/>
          </w:tcPr>
          <w:p>
            <w:pPr>
              <w:pStyle w:val="318"/>
              <w:rPr>
                <w:color w:val="auto"/>
              </w:rPr>
            </w:pPr>
          </w:p>
        </w:tc>
      </w:tr>
    </w:tbl>
    <w:p>
      <w:pPr>
        <w:pStyle w:val="21"/>
        <w:rPr>
          <w:rFonts w:ascii="宋体" w:hAnsi="宋体" w:cs="宋体"/>
          <w:color w:val="auto"/>
          <w:sz w:val="24"/>
          <w:szCs w:val="24"/>
        </w:rPr>
      </w:pPr>
    </w:p>
    <w:p>
      <w:pPr>
        <w:pStyle w:val="13"/>
        <w:ind w:firstLine="480"/>
        <w:rPr>
          <w:color w:val="auto"/>
        </w:rPr>
      </w:pPr>
      <w:r>
        <w:rPr>
          <w:rFonts w:hint="eastAsia"/>
          <w:color w:val="auto"/>
        </w:rPr>
        <w:t>本授权书有效期自谈判响应之日起</w:t>
      </w:r>
      <w:r>
        <w:rPr>
          <w:rFonts w:hint="eastAsia"/>
          <w:color w:val="auto"/>
          <w:u w:val="single"/>
        </w:rPr>
        <w:t xml:space="preserve">   </w:t>
      </w:r>
      <w:r>
        <w:rPr>
          <w:rFonts w:hint="eastAsia"/>
          <w:color w:val="auto"/>
        </w:rPr>
        <w:t>天，特此声明。</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7"/>
        <w:gridCol w:w="4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3" w:hRule="atLeast"/>
        </w:trPr>
        <w:tc>
          <w:tcPr>
            <w:tcW w:w="4527" w:type="dxa"/>
            <w:vAlign w:val="center"/>
          </w:tcPr>
          <w:p>
            <w:pPr>
              <w:pStyle w:val="318"/>
              <w:rPr>
                <w:color w:val="auto"/>
              </w:rPr>
            </w:pPr>
            <w:r>
              <w:rPr>
                <w:rFonts w:hint="eastAsia"/>
                <w:color w:val="auto"/>
              </w:rPr>
              <w:t>法人身份证复印件</w:t>
            </w:r>
          </w:p>
          <w:p>
            <w:pPr>
              <w:pStyle w:val="318"/>
              <w:rPr>
                <w:color w:val="auto"/>
              </w:rPr>
            </w:pPr>
            <w:r>
              <w:rPr>
                <w:rFonts w:hint="eastAsia"/>
                <w:color w:val="auto"/>
              </w:rPr>
              <w:t>正、反面</w:t>
            </w:r>
          </w:p>
        </w:tc>
        <w:tc>
          <w:tcPr>
            <w:tcW w:w="4528" w:type="dxa"/>
            <w:vAlign w:val="center"/>
          </w:tcPr>
          <w:p>
            <w:pPr>
              <w:pStyle w:val="318"/>
              <w:rPr>
                <w:color w:val="auto"/>
              </w:rPr>
            </w:pPr>
            <w:r>
              <w:rPr>
                <w:rFonts w:hint="eastAsia"/>
                <w:color w:val="auto"/>
              </w:rPr>
              <w:t>被授权人身份证复印件</w:t>
            </w:r>
          </w:p>
          <w:p>
            <w:pPr>
              <w:pStyle w:val="318"/>
              <w:rPr>
                <w:color w:val="auto"/>
              </w:rPr>
            </w:pPr>
            <w:r>
              <w:rPr>
                <w:rFonts w:hint="eastAsia"/>
                <w:color w:val="auto"/>
              </w:rPr>
              <w:t>正、反面</w:t>
            </w:r>
          </w:p>
          <w:p>
            <w:pPr>
              <w:pStyle w:val="318"/>
              <w:rPr>
                <w:color w:val="auto"/>
              </w:rPr>
            </w:pPr>
          </w:p>
        </w:tc>
      </w:tr>
    </w:tbl>
    <w:p>
      <w:pPr>
        <w:pStyle w:val="21"/>
        <w:rPr>
          <w:rFonts w:ascii="宋体" w:hAnsi="宋体" w:cs="宋体"/>
          <w:color w:val="auto"/>
          <w:sz w:val="24"/>
          <w:szCs w:val="24"/>
        </w:rPr>
      </w:pPr>
    </w:p>
    <w:p>
      <w:pPr>
        <w:pStyle w:val="13"/>
        <w:ind w:firstLine="4080" w:firstLineChars="1700"/>
        <w:rPr>
          <w:color w:val="auto"/>
        </w:rPr>
      </w:pPr>
      <w:bookmarkStart w:id="154" w:name="_Hlt491573490"/>
      <w:bookmarkEnd w:id="154"/>
      <w:bookmarkStart w:id="155" w:name="_Hlt492284272"/>
      <w:bookmarkEnd w:id="155"/>
      <w:r>
        <w:rPr>
          <w:rFonts w:hint="eastAsia"/>
          <w:color w:val="auto"/>
        </w:rPr>
        <w:t>供应商名称：</w:t>
      </w:r>
      <w:r>
        <w:rPr>
          <w:rFonts w:hint="eastAsia"/>
          <w:color w:val="auto"/>
          <w:u w:val="single"/>
        </w:rPr>
        <w:t xml:space="preserve">                </w:t>
      </w:r>
      <w:r>
        <w:rPr>
          <w:rFonts w:hint="eastAsia"/>
          <w:color w:val="auto"/>
        </w:rPr>
        <w:t>（公章）</w:t>
      </w:r>
    </w:p>
    <w:p>
      <w:pPr>
        <w:pStyle w:val="13"/>
        <w:ind w:firstLine="480"/>
        <w:rPr>
          <w:color w:val="auto"/>
        </w:rPr>
      </w:pPr>
      <w:r>
        <w:rPr>
          <w:rFonts w:hint="eastAsia"/>
          <w:color w:val="auto"/>
        </w:rPr>
        <w:t xml:space="preserve">   </w:t>
      </w:r>
    </w:p>
    <w:p>
      <w:pPr>
        <w:pStyle w:val="13"/>
        <w:ind w:firstLine="4080" w:firstLineChars="1700"/>
        <w:rPr>
          <w:color w:val="auto"/>
          <w:szCs w:val="24"/>
          <w:u w:val="single"/>
        </w:rPr>
      </w:pPr>
      <w:r>
        <w:rPr>
          <w:rFonts w:hint="eastAsia"/>
          <w:color w:val="auto"/>
        </w:rPr>
        <w:t>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wordWrap w:val="0"/>
        <w:spacing w:line="336" w:lineRule="auto"/>
        <w:rPr>
          <w:rFonts w:ascii="宋体" w:hAnsi="宋体" w:cs="宋体"/>
          <w:color w:val="auto"/>
          <w:sz w:val="24"/>
          <w:szCs w:val="24"/>
          <w:u w:val="single"/>
        </w:rPr>
      </w:pPr>
    </w:p>
    <w:p>
      <w:pPr>
        <w:pStyle w:val="13"/>
        <w:ind w:firstLine="0" w:firstLineChars="0"/>
        <w:rPr>
          <w:b/>
          <w:bCs/>
          <w:color w:val="auto"/>
        </w:rPr>
      </w:pPr>
      <w:r>
        <w:rPr>
          <w:rFonts w:hint="eastAsia"/>
          <w:b/>
          <w:bCs/>
          <w:color w:val="auto"/>
        </w:rPr>
        <w:t>注：</w:t>
      </w:r>
    </w:p>
    <w:p>
      <w:pPr>
        <w:pStyle w:val="13"/>
        <w:ind w:firstLine="480"/>
        <w:rPr>
          <w:color w:val="auto"/>
        </w:rPr>
      </w:pPr>
      <w:r>
        <w:rPr>
          <w:rFonts w:hint="eastAsia"/>
          <w:color w:val="auto"/>
        </w:rPr>
        <w:t>1.此授权书的有效期应与响应文件有效期一致；</w:t>
      </w:r>
    </w:p>
    <w:p>
      <w:pPr>
        <w:pStyle w:val="13"/>
        <w:ind w:firstLine="480"/>
        <w:rPr>
          <w:color w:val="auto"/>
        </w:rPr>
      </w:pPr>
      <w:r>
        <w:rPr>
          <w:rFonts w:hint="eastAsia"/>
          <w:color w:val="auto"/>
        </w:rPr>
        <w:t>2.</w:t>
      </w:r>
      <w:r>
        <w:rPr>
          <w:rFonts w:hint="eastAsia"/>
          <w:color w:val="auto"/>
          <w:lang w:val="zh-CN"/>
        </w:rPr>
        <w:t>法定代表人直接</w:t>
      </w:r>
      <w:r>
        <w:rPr>
          <w:rFonts w:hint="eastAsia"/>
          <w:color w:val="auto"/>
        </w:rPr>
        <w:t>谈判响应</w:t>
      </w:r>
      <w:r>
        <w:rPr>
          <w:rFonts w:hint="eastAsia"/>
          <w:color w:val="auto"/>
          <w:lang w:val="zh-CN"/>
        </w:rPr>
        <w:t>时无需提供。</w:t>
      </w:r>
    </w:p>
    <w:p>
      <w:pPr>
        <w:pStyle w:val="6"/>
        <w:rPr>
          <w:rStyle w:val="322"/>
          <w:b/>
          <w:color w:val="auto"/>
        </w:rPr>
      </w:pPr>
      <w:bookmarkStart w:id="156" w:name="_Toc14599"/>
      <w:r>
        <w:rPr>
          <w:rFonts w:hint="eastAsia"/>
          <w:color w:val="auto"/>
        </w:rPr>
        <w:br w:type="page"/>
      </w:r>
      <w:r>
        <w:rPr>
          <w:rStyle w:val="322"/>
          <w:rFonts w:hint="eastAsia"/>
          <w:b/>
          <w:color w:val="auto"/>
        </w:rPr>
        <w:t>附件2  履行合同所必需的设备和专业技术能力的承诺（格式）</w:t>
      </w:r>
      <w:bookmarkEnd w:id="156"/>
    </w:p>
    <w:p>
      <w:pPr>
        <w:rPr>
          <w:rFonts w:ascii="宋体" w:hAnsi="宋体" w:cs="宋体"/>
          <w:color w:val="auto"/>
        </w:rPr>
      </w:pPr>
    </w:p>
    <w:p>
      <w:pPr>
        <w:spacing w:line="336" w:lineRule="auto"/>
        <w:rPr>
          <w:rFonts w:ascii="宋体" w:hAnsi="宋体" w:cs="宋体"/>
          <w:color w:val="auto"/>
          <w:spacing w:val="4"/>
          <w:sz w:val="24"/>
          <w:szCs w:val="24"/>
          <w:u w:val="single"/>
        </w:rPr>
      </w:pPr>
      <w:r>
        <w:rPr>
          <w:rFonts w:hint="eastAsia" w:ascii="宋体" w:hAnsi="宋体" w:cs="宋体"/>
          <w:color w:val="auto"/>
          <w:spacing w:val="4"/>
          <w:sz w:val="24"/>
          <w:szCs w:val="24"/>
          <w:u w:val="single"/>
        </w:rPr>
        <w:t>（采购人名称）：</w:t>
      </w:r>
    </w:p>
    <w:p>
      <w:pPr>
        <w:pStyle w:val="21"/>
        <w:rPr>
          <w:rFonts w:ascii="宋体" w:hAnsi="宋体" w:cs="宋体"/>
          <w:color w:val="auto"/>
          <w:sz w:val="24"/>
          <w:szCs w:val="24"/>
        </w:rPr>
      </w:pPr>
    </w:p>
    <w:p>
      <w:pPr>
        <w:pStyle w:val="26"/>
        <w:adjustRightInd w:val="0"/>
        <w:snapToGrid w:val="0"/>
        <w:spacing w:line="336" w:lineRule="auto"/>
        <w:ind w:firstLine="493"/>
        <w:rPr>
          <w:rFonts w:hAnsi="宋体" w:cs="宋体"/>
          <w:color w:val="auto"/>
          <w:spacing w:val="4"/>
          <w:szCs w:val="24"/>
        </w:rPr>
      </w:pPr>
      <w:r>
        <w:rPr>
          <w:rFonts w:hint="eastAsia" w:hAnsi="宋体" w:cs="宋体"/>
          <w:color w:val="auto"/>
          <w:spacing w:val="4"/>
          <w:szCs w:val="24"/>
          <w:u w:val="single"/>
        </w:rPr>
        <w:t>（供应商名称）</w:t>
      </w:r>
      <w:r>
        <w:rPr>
          <w:rFonts w:hint="eastAsia" w:hAnsi="宋体" w:cs="宋体"/>
          <w:color w:val="auto"/>
          <w:spacing w:val="4"/>
          <w:szCs w:val="24"/>
        </w:rPr>
        <w:t xml:space="preserve"> 于</w:t>
      </w:r>
      <w:r>
        <w:rPr>
          <w:rFonts w:hint="eastAsia" w:hAnsi="宋体" w:cs="宋体"/>
          <w:color w:val="auto"/>
          <w:spacing w:val="4"/>
          <w:szCs w:val="24"/>
          <w:u w:val="single"/>
        </w:rPr>
        <w:t xml:space="preserve">     </w:t>
      </w:r>
      <w:r>
        <w:rPr>
          <w:rFonts w:hint="eastAsia" w:hAnsi="宋体" w:cs="宋体"/>
          <w:color w:val="auto"/>
          <w:spacing w:val="4"/>
          <w:szCs w:val="24"/>
        </w:rPr>
        <w:t>年</w:t>
      </w:r>
      <w:r>
        <w:rPr>
          <w:rFonts w:hint="eastAsia" w:hAnsi="宋体" w:cs="宋体"/>
          <w:color w:val="auto"/>
          <w:spacing w:val="4"/>
          <w:szCs w:val="24"/>
          <w:u w:val="single"/>
        </w:rPr>
        <w:t xml:space="preserve">    </w:t>
      </w:r>
      <w:r>
        <w:rPr>
          <w:rFonts w:hint="eastAsia" w:hAnsi="宋体" w:cs="宋体"/>
          <w:color w:val="auto"/>
          <w:spacing w:val="4"/>
          <w:szCs w:val="24"/>
        </w:rPr>
        <w:t>月</w:t>
      </w:r>
      <w:r>
        <w:rPr>
          <w:rFonts w:hint="eastAsia" w:hAnsi="宋体" w:cs="宋体"/>
          <w:color w:val="auto"/>
          <w:spacing w:val="4"/>
          <w:szCs w:val="24"/>
          <w:u w:val="single"/>
        </w:rPr>
        <w:t xml:space="preserve">   </w:t>
      </w:r>
      <w:r>
        <w:rPr>
          <w:rFonts w:hint="eastAsia" w:hAnsi="宋体" w:cs="宋体"/>
          <w:color w:val="auto"/>
          <w:spacing w:val="4"/>
          <w:szCs w:val="24"/>
        </w:rPr>
        <w:t>日在中华人民共和国境内</w:t>
      </w:r>
      <w:r>
        <w:rPr>
          <w:rFonts w:hint="eastAsia" w:hAnsi="宋体" w:cs="宋体"/>
          <w:color w:val="auto"/>
          <w:spacing w:val="4"/>
          <w:szCs w:val="24"/>
          <w:u w:val="single"/>
        </w:rPr>
        <w:t xml:space="preserve">     （详细注册地址）     </w:t>
      </w:r>
      <w:r>
        <w:rPr>
          <w:rFonts w:hint="eastAsia" w:hAnsi="宋体" w:cs="宋体"/>
          <w:color w:val="auto"/>
          <w:spacing w:val="4"/>
          <w:szCs w:val="24"/>
        </w:rPr>
        <w:t>合法注册并经营，公司主营业务为</w:t>
      </w:r>
      <w:r>
        <w:rPr>
          <w:rFonts w:hint="eastAsia" w:hAnsi="宋体" w:cs="宋体"/>
          <w:color w:val="auto"/>
          <w:spacing w:val="4"/>
          <w:szCs w:val="24"/>
          <w:u w:val="single"/>
        </w:rPr>
        <w:t xml:space="preserve">                          </w:t>
      </w:r>
      <w:r>
        <w:rPr>
          <w:rFonts w:hint="eastAsia" w:hAnsi="宋体" w:cs="宋体"/>
          <w:color w:val="auto"/>
          <w:spacing w:val="4"/>
          <w:szCs w:val="24"/>
        </w:rPr>
        <w:t>，营业（生产经营）面积为</w:t>
      </w:r>
      <w:r>
        <w:rPr>
          <w:rFonts w:hint="eastAsia" w:hAnsi="宋体" w:cs="宋体"/>
          <w:color w:val="auto"/>
          <w:spacing w:val="4"/>
          <w:szCs w:val="24"/>
          <w:u w:val="single"/>
        </w:rPr>
        <w:t xml:space="preserve">             </w:t>
      </w:r>
      <w:r>
        <w:rPr>
          <w:rFonts w:hint="eastAsia" w:hAnsi="宋体" w:cs="宋体"/>
          <w:color w:val="auto"/>
          <w:spacing w:val="4"/>
          <w:szCs w:val="24"/>
        </w:rPr>
        <w:t xml:space="preserve"> ，现有员工数量为</w:t>
      </w:r>
      <w:r>
        <w:rPr>
          <w:rFonts w:hint="eastAsia" w:hAnsi="宋体" w:cs="宋体"/>
          <w:color w:val="auto"/>
          <w:spacing w:val="4"/>
          <w:szCs w:val="24"/>
          <w:u w:val="single"/>
        </w:rPr>
        <w:t xml:space="preserve">         </w:t>
      </w:r>
      <w:r>
        <w:rPr>
          <w:rFonts w:hint="eastAsia" w:hAnsi="宋体" w:cs="宋体"/>
          <w:color w:val="auto"/>
          <w:spacing w:val="4"/>
          <w:szCs w:val="24"/>
        </w:rPr>
        <w:t>，本公司郑重承诺，具有履行本合同所必需的设备和专业技术能力。</w:t>
      </w:r>
    </w:p>
    <w:p>
      <w:pPr>
        <w:pStyle w:val="26"/>
        <w:adjustRightInd w:val="0"/>
        <w:snapToGrid w:val="0"/>
        <w:ind w:firstLine="496"/>
        <w:rPr>
          <w:rFonts w:hAnsi="宋体" w:cs="宋体"/>
          <w:color w:val="auto"/>
          <w:spacing w:val="4"/>
          <w:szCs w:val="24"/>
        </w:rPr>
      </w:pPr>
    </w:p>
    <w:p>
      <w:pPr>
        <w:pStyle w:val="26"/>
        <w:adjustRightInd w:val="0"/>
        <w:snapToGrid w:val="0"/>
        <w:ind w:firstLine="496"/>
        <w:rPr>
          <w:rFonts w:hAnsi="宋体" w:cs="宋体"/>
          <w:color w:val="auto"/>
          <w:spacing w:val="4"/>
          <w:szCs w:val="24"/>
        </w:rPr>
      </w:pPr>
    </w:p>
    <w:p>
      <w:pPr>
        <w:pStyle w:val="13"/>
        <w:ind w:firstLine="4080" w:firstLineChars="1700"/>
        <w:rPr>
          <w:color w:val="auto"/>
        </w:rPr>
      </w:pPr>
      <w:r>
        <w:rPr>
          <w:rFonts w:hint="eastAsia"/>
          <w:color w:val="auto"/>
        </w:rPr>
        <w:t>供应商名称：</w:t>
      </w:r>
      <w:r>
        <w:rPr>
          <w:rFonts w:hint="eastAsia"/>
          <w:color w:val="auto"/>
          <w:u w:val="single"/>
        </w:rPr>
        <w:t xml:space="preserve">                </w:t>
      </w:r>
      <w:r>
        <w:rPr>
          <w:rFonts w:hint="eastAsia"/>
          <w:color w:val="auto"/>
        </w:rPr>
        <w:t>（公章）</w:t>
      </w:r>
    </w:p>
    <w:p>
      <w:pPr>
        <w:pStyle w:val="13"/>
        <w:ind w:firstLine="4080" w:firstLineChars="1700"/>
        <w:rPr>
          <w:color w:val="auto"/>
          <w:u w:val="single"/>
        </w:rPr>
      </w:pPr>
      <w:r>
        <w:rPr>
          <w:rFonts w:hint="eastAsia"/>
          <w:color w:val="auto"/>
        </w:rPr>
        <w:t>法定代表人或被授权代表（签字或盖章）：</w:t>
      </w:r>
      <w:r>
        <w:rPr>
          <w:rFonts w:hint="eastAsia"/>
          <w:color w:val="auto"/>
          <w:u w:val="single"/>
        </w:rPr>
        <w:t xml:space="preserve">  </w:t>
      </w:r>
    </w:p>
    <w:p>
      <w:pPr>
        <w:pStyle w:val="13"/>
        <w:ind w:firstLine="4080" w:firstLineChars="1700"/>
        <w:rPr>
          <w:color w:val="auto"/>
          <w:szCs w:val="24"/>
        </w:rPr>
      </w:pPr>
      <w:r>
        <w:rPr>
          <w:rFonts w:hint="eastAsia"/>
          <w:color w:val="auto"/>
        </w:rPr>
        <w:t>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spacing w:line="360" w:lineRule="auto"/>
        <w:rPr>
          <w:rFonts w:ascii="宋体" w:hAnsi="宋体" w:cs="宋体"/>
          <w:color w:val="auto"/>
          <w:sz w:val="24"/>
        </w:rPr>
      </w:pPr>
    </w:p>
    <w:p>
      <w:pPr>
        <w:pStyle w:val="21"/>
        <w:rPr>
          <w:rFonts w:ascii="宋体" w:hAnsi="宋体" w:cs="宋体"/>
          <w:color w:val="auto"/>
        </w:rPr>
      </w:pPr>
    </w:p>
    <w:p>
      <w:pPr>
        <w:pStyle w:val="6"/>
        <w:rPr>
          <w:rStyle w:val="322"/>
          <w:b/>
          <w:color w:val="auto"/>
        </w:rPr>
      </w:pPr>
      <w:r>
        <w:rPr>
          <w:rFonts w:hint="eastAsia"/>
          <w:color w:val="auto"/>
          <w:kern w:val="2"/>
          <w:sz w:val="32"/>
          <w:szCs w:val="32"/>
        </w:rPr>
        <w:br w:type="page"/>
      </w:r>
      <w:bookmarkStart w:id="157" w:name="_Toc31818"/>
      <w:r>
        <w:rPr>
          <w:rStyle w:val="322"/>
          <w:rFonts w:hint="eastAsia"/>
          <w:b/>
          <w:color w:val="auto"/>
        </w:rPr>
        <w:t>附件3  参加政府采购活动前3年内在经营活动中没有重大违法记录的书面声明（格式）</w:t>
      </w:r>
      <w:bookmarkEnd w:id="157"/>
    </w:p>
    <w:p>
      <w:pPr>
        <w:pStyle w:val="21"/>
        <w:rPr>
          <w:rFonts w:ascii="宋体" w:hAnsi="宋体" w:cs="宋体"/>
          <w:color w:val="auto"/>
        </w:rPr>
      </w:pPr>
    </w:p>
    <w:p>
      <w:pPr>
        <w:pStyle w:val="13"/>
        <w:ind w:firstLine="0" w:firstLineChars="0"/>
        <w:rPr>
          <w:color w:val="auto"/>
        </w:rPr>
      </w:pPr>
      <w:r>
        <w:rPr>
          <w:rFonts w:hint="eastAsia"/>
          <w:color w:val="auto"/>
        </w:rPr>
        <w:t>本单位郑重声明：</w:t>
      </w:r>
    </w:p>
    <w:p>
      <w:pPr>
        <w:pStyle w:val="13"/>
        <w:ind w:firstLine="480"/>
        <w:rPr>
          <w:color w:val="auto"/>
        </w:rPr>
      </w:pPr>
      <w:r>
        <w:rPr>
          <w:rFonts w:hint="eastAsia"/>
          <w:color w:val="auto"/>
        </w:rPr>
        <w:t>我单位在参加采购活动前3年内在经营活动中没有《政府采购法》第二十二条第一款第(五)项所称重大违法记录，包括：</w:t>
      </w:r>
    </w:p>
    <w:p>
      <w:pPr>
        <w:pStyle w:val="13"/>
        <w:ind w:firstLine="480"/>
        <w:rPr>
          <w:color w:val="auto"/>
        </w:rPr>
      </w:pPr>
      <w:r>
        <w:rPr>
          <w:rFonts w:hint="eastAsia"/>
          <w:color w:val="auto"/>
        </w:rPr>
        <w:t>我单位或者其法定代表人、董事、监事、高级管理人员未因经营活动中的违法行为受到刑事处罚或者责令停产停业、吊销许可证或者执照、较大数额罚款等行政处罚。</w:t>
      </w:r>
    </w:p>
    <w:p>
      <w:pPr>
        <w:pStyle w:val="13"/>
        <w:ind w:firstLine="480"/>
        <w:rPr>
          <w:color w:val="auto"/>
          <w:szCs w:val="24"/>
        </w:rPr>
      </w:pPr>
      <w:r>
        <w:rPr>
          <w:rFonts w:hint="eastAsia"/>
          <w:color w:val="auto"/>
        </w:rPr>
        <w:t>特此声明！</w:t>
      </w:r>
    </w:p>
    <w:p>
      <w:pPr>
        <w:pStyle w:val="26"/>
        <w:spacing w:line="336" w:lineRule="auto"/>
        <w:ind w:firstLine="480" w:firstLineChars="200"/>
        <w:rPr>
          <w:rFonts w:hAnsi="宋体" w:cs="宋体"/>
          <w:color w:val="auto"/>
          <w:szCs w:val="24"/>
        </w:rPr>
      </w:pPr>
    </w:p>
    <w:p>
      <w:pPr>
        <w:pStyle w:val="13"/>
        <w:ind w:firstLine="4080" w:firstLineChars="1700"/>
        <w:rPr>
          <w:color w:val="auto"/>
        </w:rPr>
      </w:pPr>
      <w:r>
        <w:rPr>
          <w:rFonts w:hint="eastAsia"/>
          <w:color w:val="auto"/>
        </w:rPr>
        <w:t>供应商名称：</w:t>
      </w:r>
      <w:r>
        <w:rPr>
          <w:rFonts w:hint="eastAsia"/>
          <w:color w:val="auto"/>
          <w:u w:val="single"/>
        </w:rPr>
        <w:t xml:space="preserve">                </w:t>
      </w:r>
      <w:r>
        <w:rPr>
          <w:rFonts w:hint="eastAsia"/>
          <w:color w:val="auto"/>
        </w:rPr>
        <w:t>（公章）</w:t>
      </w:r>
    </w:p>
    <w:p>
      <w:pPr>
        <w:pStyle w:val="13"/>
        <w:ind w:firstLine="4080" w:firstLineChars="1700"/>
        <w:rPr>
          <w:color w:val="auto"/>
          <w:u w:val="single"/>
        </w:rPr>
      </w:pPr>
      <w:r>
        <w:rPr>
          <w:rFonts w:hint="eastAsia"/>
          <w:color w:val="auto"/>
        </w:rPr>
        <w:t>法定代表人或被授权代表（签字或盖章）：</w:t>
      </w:r>
      <w:r>
        <w:rPr>
          <w:rFonts w:hint="eastAsia"/>
          <w:color w:val="auto"/>
          <w:u w:val="single"/>
        </w:rPr>
        <w:t xml:space="preserve">      </w:t>
      </w:r>
    </w:p>
    <w:p>
      <w:pPr>
        <w:pStyle w:val="13"/>
        <w:ind w:firstLine="4080" w:firstLineChars="1700"/>
        <w:rPr>
          <w:color w:val="auto"/>
        </w:rPr>
      </w:pPr>
      <w:r>
        <w:rPr>
          <w:rFonts w:hint="eastAsia"/>
          <w:color w:val="auto"/>
        </w:rPr>
        <w:t>日期：</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
    <w:p>
      <w:pPr>
        <w:pStyle w:val="14"/>
        <w:rPr>
          <w:color w:val="auto"/>
        </w:rPr>
      </w:pPr>
    </w:p>
    <w:p>
      <w:pPr>
        <w:rPr>
          <w:color w:val="auto"/>
        </w:rPr>
      </w:pPr>
    </w:p>
    <w:p>
      <w:pPr>
        <w:rPr>
          <w:color w:val="auto"/>
        </w:rPr>
      </w:pPr>
    </w:p>
    <w:p>
      <w:pPr>
        <w:rPr>
          <w:color w:val="auto"/>
        </w:rPr>
      </w:pPr>
    </w:p>
    <w:p>
      <w:pPr>
        <w:rPr>
          <w:color w:val="auto"/>
        </w:rPr>
      </w:pPr>
    </w:p>
    <w:p>
      <w:pPr>
        <w:rPr>
          <w:color w:val="auto"/>
        </w:rPr>
      </w:pPr>
      <w:r>
        <w:rPr>
          <w:rFonts w:hint="eastAsia"/>
          <w:color w:val="auto"/>
        </w:rPr>
        <w:br w:type="page"/>
      </w:r>
    </w:p>
    <w:bookmarkEnd w:id="91"/>
    <w:bookmarkEnd w:id="92"/>
    <w:bookmarkEnd w:id="93"/>
    <w:bookmarkEnd w:id="94"/>
    <w:bookmarkEnd w:id="95"/>
    <w:bookmarkEnd w:id="96"/>
    <w:bookmarkEnd w:id="97"/>
    <w:bookmarkEnd w:id="98"/>
    <w:bookmarkEnd w:id="99"/>
    <w:bookmarkEnd w:id="100"/>
    <w:bookmarkEnd w:id="119"/>
    <w:bookmarkEnd w:id="120"/>
    <w:bookmarkEnd w:id="121"/>
    <w:bookmarkEnd w:id="122"/>
    <w:bookmarkEnd w:id="123"/>
    <w:bookmarkEnd w:id="124"/>
    <w:bookmarkEnd w:id="125"/>
    <w:bookmarkEnd w:id="126"/>
    <w:bookmarkEnd w:id="127"/>
    <w:bookmarkEnd w:id="128"/>
    <w:bookmarkEnd w:id="129"/>
    <w:p>
      <w:pPr>
        <w:pStyle w:val="4"/>
        <w:rPr>
          <w:rStyle w:val="288"/>
          <w:b/>
          <w:color w:val="auto"/>
        </w:rPr>
      </w:pPr>
      <w:r>
        <w:rPr>
          <w:rStyle w:val="288"/>
          <w:rFonts w:hint="eastAsia"/>
          <w:b/>
          <w:color w:val="auto"/>
        </w:rPr>
        <w:t>六、供应商承诺书</w:t>
      </w:r>
    </w:p>
    <w:p>
      <w:pPr>
        <w:pStyle w:val="5"/>
        <w:rPr>
          <w:color w:val="auto"/>
        </w:rPr>
      </w:pPr>
      <w:r>
        <w:rPr>
          <w:rFonts w:hint="eastAsia"/>
          <w:color w:val="auto"/>
        </w:rPr>
        <w:t>陕西省政府采购供应商拒绝政府采购领域商业贿赂承诺书Ⅰ</w:t>
      </w:r>
    </w:p>
    <w:p>
      <w:pPr>
        <w:pStyle w:val="13"/>
        <w:ind w:firstLine="480"/>
        <w:rPr>
          <w:color w:val="auto"/>
          <w:szCs w:val="24"/>
        </w:rPr>
      </w:pPr>
      <w:r>
        <w:rPr>
          <w:rFonts w:hint="eastAsia"/>
          <w:color w:val="auto"/>
          <w:szCs w:val="24"/>
        </w:rPr>
        <w:t xml:space="preserve"> 为响应党中央、国务院关于治理政府采购领域商业贿赂行为的号召，我公司在此庄严承诺：</w:t>
      </w:r>
    </w:p>
    <w:p>
      <w:pPr>
        <w:pStyle w:val="13"/>
        <w:ind w:firstLine="480"/>
        <w:rPr>
          <w:color w:val="auto"/>
          <w:szCs w:val="24"/>
        </w:rPr>
      </w:pPr>
      <w:r>
        <w:rPr>
          <w:rFonts w:hint="eastAsia"/>
          <w:color w:val="auto"/>
          <w:szCs w:val="24"/>
        </w:rPr>
        <w:t>1、自觉遵守各项法律、法规、规章、制度以及社会公德，诚信经营，维护廉洁环境，与同场竞争的供应商平等参加政府采购活动。</w:t>
      </w:r>
    </w:p>
    <w:p>
      <w:pPr>
        <w:pStyle w:val="13"/>
        <w:ind w:firstLine="480"/>
        <w:rPr>
          <w:color w:val="auto"/>
          <w:szCs w:val="24"/>
        </w:rPr>
      </w:pPr>
      <w:r>
        <w:rPr>
          <w:rFonts w:hint="eastAsia"/>
          <w:color w:val="auto"/>
          <w:szCs w:val="24"/>
        </w:rPr>
        <w:t>2、不向政府采购人、采购代理机构和政府采购谈判小组进行任何形式的商业贿赂以谋取交易机会。</w:t>
      </w:r>
    </w:p>
    <w:p>
      <w:pPr>
        <w:pStyle w:val="13"/>
        <w:ind w:firstLine="480"/>
        <w:rPr>
          <w:color w:val="auto"/>
          <w:szCs w:val="24"/>
        </w:rPr>
      </w:pPr>
      <w:r>
        <w:rPr>
          <w:rFonts w:hint="eastAsia"/>
          <w:color w:val="auto"/>
          <w:szCs w:val="24"/>
        </w:rPr>
        <w:t>3、不向政府采购代理机构和采购人提供虚假资质文件或采用虚假应标方式参与政府采购市场竞争并谋取成交。</w:t>
      </w:r>
    </w:p>
    <w:p>
      <w:pPr>
        <w:pStyle w:val="13"/>
        <w:ind w:firstLine="480"/>
        <w:rPr>
          <w:color w:val="auto"/>
          <w:szCs w:val="24"/>
        </w:rPr>
      </w:pPr>
      <w:r>
        <w:rPr>
          <w:rFonts w:hint="eastAsia"/>
          <w:color w:val="auto"/>
          <w:szCs w:val="24"/>
        </w:rPr>
        <w:t>4、不采取“围标、陪标”等商业欺诈手段获得政府采购订单。</w:t>
      </w:r>
    </w:p>
    <w:p>
      <w:pPr>
        <w:pStyle w:val="13"/>
        <w:ind w:firstLine="480"/>
        <w:rPr>
          <w:color w:val="auto"/>
          <w:szCs w:val="24"/>
        </w:rPr>
      </w:pPr>
      <w:r>
        <w:rPr>
          <w:rFonts w:hint="eastAsia"/>
          <w:color w:val="auto"/>
          <w:szCs w:val="24"/>
        </w:rPr>
        <w:t>5、不采取不正当手段诋毁、排挤其他供应商。</w:t>
      </w:r>
    </w:p>
    <w:p>
      <w:pPr>
        <w:pStyle w:val="13"/>
        <w:ind w:firstLine="480"/>
        <w:rPr>
          <w:color w:val="auto"/>
          <w:szCs w:val="24"/>
        </w:rPr>
      </w:pPr>
      <w:r>
        <w:rPr>
          <w:rFonts w:hint="eastAsia"/>
          <w:color w:val="auto"/>
          <w:szCs w:val="24"/>
        </w:rPr>
        <w:t>6、不在提供商品和服务时“偷梁换柱、以次充好”损害采购人的合法权益。</w:t>
      </w:r>
    </w:p>
    <w:p>
      <w:pPr>
        <w:pStyle w:val="13"/>
        <w:ind w:firstLine="480"/>
        <w:rPr>
          <w:color w:val="auto"/>
          <w:szCs w:val="24"/>
        </w:rPr>
      </w:pPr>
      <w:r>
        <w:rPr>
          <w:rFonts w:hint="eastAsia"/>
          <w:color w:val="auto"/>
          <w:szCs w:val="24"/>
        </w:rPr>
        <w:t>7、不与采购人、采购代理机构政府采购谈判小组或其它供应商恶意串通，进行质疑和投诉，维护政府采购市场秩序。</w:t>
      </w:r>
    </w:p>
    <w:p>
      <w:pPr>
        <w:pStyle w:val="13"/>
        <w:ind w:firstLine="480"/>
        <w:rPr>
          <w:color w:val="auto"/>
          <w:szCs w:val="24"/>
        </w:rPr>
      </w:pPr>
      <w:r>
        <w:rPr>
          <w:rFonts w:hint="eastAsia"/>
          <w:color w:val="auto"/>
          <w:szCs w:val="24"/>
        </w:rPr>
        <w:t>8、尊重和接受政府采购监督管理部门的监督和政府采购代理机构的采购要求，承担因违约行为给采购人造成的损失。</w:t>
      </w:r>
    </w:p>
    <w:p>
      <w:pPr>
        <w:pStyle w:val="13"/>
        <w:ind w:firstLine="480"/>
        <w:rPr>
          <w:color w:val="auto"/>
          <w:szCs w:val="24"/>
        </w:rPr>
      </w:pPr>
      <w:r>
        <w:rPr>
          <w:rFonts w:hint="eastAsia"/>
          <w:color w:val="auto"/>
          <w:szCs w:val="24"/>
        </w:rPr>
        <w:t>9、不发生其它有悖于政府采购公开、公平、公正和诚信原则的行为。</w:t>
      </w:r>
    </w:p>
    <w:p>
      <w:pPr>
        <w:pStyle w:val="13"/>
        <w:ind w:firstLine="480"/>
        <w:rPr>
          <w:color w:val="auto"/>
          <w:szCs w:val="24"/>
        </w:rPr>
      </w:pPr>
    </w:p>
    <w:p>
      <w:pPr>
        <w:pStyle w:val="13"/>
        <w:ind w:firstLine="480"/>
        <w:rPr>
          <w:color w:val="auto"/>
          <w:szCs w:val="24"/>
        </w:rPr>
      </w:pPr>
      <w:r>
        <w:rPr>
          <w:rFonts w:hint="eastAsia"/>
          <w:color w:val="auto"/>
          <w:szCs w:val="24"/>
        </w:rPr>
        <w:t>承诺单位：</w:t>
      </w:r>
      <w:r>
        <w:rPr>
          <w:rFonts w:hint="eastAsia"/>
          <w:color w:val="auto"/>
          <w:szCs w:val="24"/>
          <w:u w:val="single"/>
        </w:rPr>
        <w:t xml:space="preserve">                          </w:t>
      </w:r>
      <w:r>
        <w:rPr>
          <w:rFonts w:hint="eastAsia"/>
          <w:color w:val="auto"/>
          <w:szCs w:val="24"/>
        </w:rPr>
        <w:t>（公章）</w:t>
      </w:r>
    </w:p>
    <w:p>
      <w:pPr>
        <w:pStyle w:val="13"/>
        <w:ind w:firstLine="480"/>
        <w:rPr>
          <w:color w:val="auto"/>
          <w:szCs w:val="24"/>
        </w:rPr>
      </w:pPr>
      <w:r>
        <w:rPr>
          <w:rFonts w:hint="eastAsia"/>
          <w:color w:val="auto"/>
          <w:szCs w:val="24"/>
        </w:rPr>
        <w:t>法定代表人或被授权代表：</w:t>
      </w:r>
      <w:r>
        <w:rPr>
          <w:rFonts w:hint="eastAsia"/>
          <w:color w:val="auto"/>
          <w:szCs w:val="24"/>
          <w:u w:val="single"/>
        </w:rPr>
        <w:t xml:space="preserve">      </w:t>
      </w:r>
      <w:r>
        <w:rPr>
          <w:rFonts w:hint="eastAsia"/>
          <w:color w:val="auto"/>
          <w:szCs w:val="24"/>
        </w:rPr>
        <w:t>（签字或盖章）</w:t>
      </w:r>
    </w:p>
    <w:p>
      <w:pPr>
        <w:pStyle w:val="13"/>
        <w:ind w:firstLine="480"/>
        <w:rPr>
          <w:color w:val="auto"/>
          <w:szCs w:val="24"/>
        </w:rPr>
      </w:pPr>
      <w:r>
        <w:rPr>
          <w:rFonts w:hint="eastAsia"/>
          <w:color w:val="auto"/>
          <w:szCs w:val="24"/>
        </w:rPr>
        <w:t>地址：</w:t>
      </w:r>
      <w:r>
        <w:rPr>
          <w:rFonts w:hint="eastAsia"/>
          <w:color w:val="auto"/>
          <w:szCs w:val="24"/>
          <w:u w:val="single"/>
        </w:rPr>
        <w:t xml:space="preserve">                                     </w:t>
      </w:r>
    </w:p>
    <w:p>
      <w:pPr>
        <w:pStyle w:val="13"/>
        <w:ind w:firstLine="480"/>
        <w:rPr>
          <w:color w:val="auto"/>
          <w:szCs w:val="24"/>
        </w:rPr>
      </w:pPr>
      <w:r>
        <w:rPr>
          <w:rFonts w:hint="eastAsia"/>
          <w:color w:val="auto"/>
          <w:szCs w:val="24"/>
        </w:rPr>
        <w:t>邮编：</w:t>
      </w:r>
      <w:r>
        <w:rPr>
          <w:rFonts w:hint="eastAsia"/>
          <w:color w:val="auto"/>
          <w:szCs w:val="24"/>
          <w:u w:val="single"/>
        </w:rPr>
        <w:t xml:space="preserve">                                     </w:t>
      </w:r>
    </w:p>
    <w:p>
      <w:pPr>
        <w:pStyle w:val="13"/>
        <w:ind w:firstLine="480"/>
        <w:rPr>
          <w:color w:val="auto"/>
          <w:szCs w:val="24"/>
        </w:rPr>
      </w:pPr>
      <w:r>
        <w:rPr>
          <w:rFonts w:hint="eastAsia"/>
          <w:color w:val="auto"/>
          <w:szCs w:val="24"/>
        </w:rPr>
        <w:t>电话：</w:t>
      </w:r>
      <w:r>
        <w:rPr>
          <w:rFonts w:hint="eastAsia"/>
          <w:color w:val="auto"/>
          <w:szCs w:val="24"/>
          <w:u w:val="single"/>
        </w:rPr>
        <w:t xml:space="preserve">                                     </w:t>
      </w:r>
    </w:p>
    <w:p>
      <w:pPr>
        <w:pStyle w:val="13"/>
        <w:ind w:firstLine="480"/>
        <w:rPr>
          <w:color w:val="auto"/>
          <w:szCs w:val="24"/>
        </w:rPr>
      </w:pPr>
      <w:r>
        <w:rPr>
          <w:rFonts w:hint="eastAsia"/>
          <w:color w:val="auto"/>
          <w:szCs w:val="24"/>
        </w:rPr>
        <w:t>日期：</w:t>
      </w:r>
      <w:r>
        <w:rPr>
          <w:rFonts w:hint="eastAsia"/>
          <w:color w:val="auto"/>
          <w:szCs w:val="24"/>
          <w:u w:val="single"/>
        </w:rPr>
        <w:t xml:space="preserve">    </w:t>
      </w:r>
      <w:r>
        <w:rPr>
          <w:rFonts w:hint="eastAsia"/>
          <w:color w:val="auto"/>
          <w:szCs w:val="24"/>
        </w:rPr>
        <w:t>年</w:t>
      </w:r>
      <w:r>
        <w:rPr>
          <w:rFonts w:hint="eastAsia"/>
          <w:color w:val="auto"/>
          <w:szCs w:val="24"/>
          <w:u w:val="single"/>
        </w:rPr>
        <w:t xml:space="preserve">   </w:t>
      </w:r>
      <w:r>
        <w:rPr>
          <w:rFonts w:hint="eastAsia"/>
          <w:color w:val="auto"/>
          <w:szCs w:val="24"/>
        </w:rPr>
        <w:t>月</w:t>
      </w:r>
      <w:r>
        <w:rPr>
          <w:rFonts w:hint="eastAsia"/>
          <w:color w:val="auto"/>
          <w:szCs w:val="24"/>
          <w:u w:val="single"/>
        </w:rPr>
        <w:t xml:space="preserve">   </w:t>
      </w:r>
      <w:r>
        <w:rPr>
          <w:rFonts w:hint="eastAsia"/>
          <w:color w:val="auto"/>
          <w:szCs w:val="24"/>
        </w:rPr>
        <w:t>日</w:t>
      </w:r>
    </w:p>
    <w:p>
      <w:pPr>
        <w:pStyle w:val="5"/>
        <w:rPr>
          <w:rStyle w:val="325"/>
          <w:b/>
          <w:color w:val="auto"/>
        </w:rPr>
      </w:pPr>
      <w:r>
        <w:rPr>
          <w:rFonts w:eastAsia="仿宋"/>
          <w:color w:val="auto"/>
          <w:sz w:val="32"/>
          <w:szCs w:val="32"/>
        </w:rPr>
        <w:br w:type="page"/>
      </w:r>
      <w:r>
        <w:rPr>
          <w:rFonts w:hint="eastAsia"/>
          <w:bCs/>
          <w:color w:val="auto"/>
          <w:szCs w:val="28"/>
        </w:rPr>
        <w:t>承诺书Ⅱ</w:t>
      </w:r>
    </w:p>
    <w:p>
      <w:pPr>
        <w:pStyle w:val="13"/>
        <w:spacing w:line="420" w:lineRule="exact"/>
        <w:ind w:firstLine="0" w:firstLineChars="0"/>
        <w:rPr>
          <w:color w:val="auto"/>
          <w:szCs w:val="24"/>
        </w:rPr>
      </w:pPr>
      <w:r>
        <w:rPr>
          <w:rFonts w:hint="eastAsia"/>
          <w:color w:val="auto"/>
          <w:szCs w:val="24"/>
        </w:rPr>
        <w:t>致：陕西正鸿招标有限公司</w:t>
      </w:r>
    </w:p>
    <w:p>
      <w:pPr>
        <w:pStyle w:val="13"/>
        <w:spacing w:line="420" w:lineRule="exact"/>
        <w:ind w:firstLine="480"/>
        <w:rPr>
          <w:color w:val="auto"/>
          <w:szCs w:val="24"/>
          <w:lang w:val="zh-CN"/>
        </w:rPr>
      </w:pPr>
      <w:r>
        <w:rPr>
          <w:rFonts w:hint="eastAsia"/>
          <w:color w:val="auto"/>
          <w:szCs w:val="24"/>
          <w:lang w:val="zh-CN"/>
        </w:rPr>
        <w:t>为了诚实、客观、有序地参与陕西省政府采购活动，愿就以下内容作出承诺：</w:t>
      </w:r>
    </w:p>
    <w:p>
      <w:pPr>
        <w:pStyle w:val="13"/>
        <w:spacing w:line="420" w:lineRule="exact"/>
        <w:ind w:firstLine="480"/>
        <w:rPr>
          <w:color w:val="auto"/>
          <w:szCs w:val="24"/>
          <w:lang w:val="zh-CN"/>
        </w:rPr>
      </w:pPr>
      <w:r>
        <w:rPr>
          <w:rFonts w:hint="eastAsia"/>
          <w:color w:val="auto"/>
          <w:szCs w:val="24"/>
          <w:lang w:val="zh-CN"/>
        </w:rPr>
        <w:t>1、参加采购代理机构组织的政府采购活动时，严格按照谈判文件的规定和要求提供所需的相关材料，并对所提供的各类资料的真实性负责，不虚假应标，不虚列业绩。</w:t>
      </w:r>
    </w:p>
    <w:p>
      <w:pPr>
        <w:pStyle w:val="13"/>
        <w:spacing w:line="420" w:lineRule="exact"/>
        <w:ind w:firstLine="480"/>
        <w:rPr>
          <w:color w:val="auto"/>
          <w:szCs w:val="24"/>
          <w:lang w:val="zh-CN"/>
        </w:rPr>
      </w:pPr>
      <w:r>
        <w:rPr>
          <w:rFonts w:hint="eastAsia"/>
          <w:color w:val="auto"/>
          <w:szCs w:val="24"/>
          <w:lang w:val="zh-CN"/>
        </w:rPr>
        <w:t>2、尊重参与政府采购活动各相关方的合法行为，接受政府采购活动依法形成的意见、结果。</w:t>
      </w:r>
    </w:p>
    <w:p>
      <w:pPr>
        <w:pStyle w:val="13"/>
        <w:spacing w:line="420" w:lineRule="exact"/>
        <w:ind w:firstLine="480"/>
        <w:rPr>
          <w:color w:val="auto"/>
          <w:szCs w:val="24"/>
        </w:rPr>
      </w:pPr>
      <w:r>
        <w:rPr>
          <w:rFonts w:hint="eastAsia"/>
          <w:color w:val="auto"/>
          <w:szCs w:val="24"/>
          <w:lang w:val="zh-CN"/>
        </w:rPr>
        <w:t>3、依法参加政府采购活动，不围标、串标，维护市场秩序，不提供“三无”产品、以次充好，保证为正品。</w:t>
      </w:r>
      <w:r>
        <w:rPr>
          <w:rFonts w:hint="eastAsia"/>
          <w:color w:val="auto"/>
          <w:szCs w:val="24"/>
        </w:rPr>
        <w:t>近三年因产品供货问题的不法行为记录为</w:t>
      </w:r>
      <w:r>
        <w:rPr>
          <w:rFonts w:hint="eastAsia"/>
          <w:color w:val="auto"/>
          <w:szCs w:val="24"/>
          <w:u w:val="single"/>
        </w:rPr>
        <w:t xml:space="preserve">   </w:t>
      </w:r>
      <w:r>
        <w:rPr>
          <w:rFonts w:hint="eastAsia"/>
          <w:color w:val="auto"/>
          <w:szCs w:val="24"/>
        </w:rPr>
        <w:t>次（没有填零），如有隐瞒实情，愿承担一切责任及后果。</w:t>
      </w:r>
    </w:p>
    <w:p>
      <w:pPr>
        <w:pStyle w:val="13"/>
        <w:spacing w:line="420" w:lineRule="exact"/>
        <w:ind w:firstLine="480"/>
        <w:rPr>
          <w:color w:val="auto"/>
          <w:szCs w:val="24"/>
        </w:rPr>
      </w:pPr>
      <w:r>
        <w:rPr>
          <w:rFonts w:hint="eastAsia"/>
          <w:color w:val="auto"/>
          <w:szCs w:val="24"/>
          <w:lang w:val="zh-CN"/>
        </w:rPr>
        <w:t>4、</w:t>
      </w:r>
      <w:r>
        <w:rPr>
          <w:rFonts w:hint="eastAsia"/>
          <w:color w:val="auto"/>
          <w:szCs w:val="24"/>
        </w:rPr>
        <w:t>作为参加贵公司组织的采购项目的供应商，本公司承诺：在参加本项目谈判之前不存在被依法禁止经营行为、财产被接管或冻结的情况，如有隐瞒实情，愿承担一切责任及后果。</w:t>
      </w:r>
    </w:p>
    <w:p>
      <w:pPr>
        <w:pStyle w:val="13"/>
        <w:spacing w:line="420" w:lineRule="exact"/>
        <w:ind w:firstLine="480"/>
        <w:rPr>
          <w:color w:val="auto"/>
          <w:szCs w:val="24"/>
        </w:rPr>
      </w:pPr>
      <w:r>
        <w:rPr>
          <w:rFonts w:hint="eastAsia"/>
          <w:color w:val="auto"/>
          <w:szCs w:val="24"/>
        </w:rPr>
        <w:t>5、近三年受到有关行政主管部门的行政处理、不良行为记录为</w:t>
      </w:r>
      <w:r>
        <w:rPr>
          <w:rFonts w:hint="eastAsia"/>
          <w:color w:val="auto"/>
          <w:szCs w:val="24"/>
          <w:u w:val="single"/>
        </w:rPr>
        <w:t xml:space="preserve">    </w:t>
      </w:r>
      <w:r>
        <w:rPr>
          <w:rFonts w:hint="eastAsia"/>
          <w:color w:val="auto"/>
          <w:szCs w:val="24"/>
        </w:rPr>
        <w:t>次（没有填零），如有隐瞒实情，愿承担一切责任及后果。</w:t>
      </w:r>
    </w:p>
    <w:p>
      <w:pPr>
        <w:pStyle w:val="13"/>
        <w:spacing w:line="420" w:lineRule="exact"/>
        <w:ind w:firstLine="480"/>
        <w:rPr>
          <w:color w:val="auto"/>
          <w:szCs w:val="24"/>
          <w:lang w:val="zh-CN"/>
        </w:rPr>
      </w:pPr>
      <w:r>
        <w:rPr>
          <w:rFonts w:hint="eastAsia"/>
          <w:color w:val="auto"/>
          <w:szCs w:val="24"/>
        </w:rPr>
        <w:t>6、参加本次谈判提交的所有资质证明文件及业绩证明是真实的、有效的，如有隐瞒实情，愿承担一切责任及后果。</w:t>
      </w:r>
    </w:p>
    <w:p>
      <w:pPr>
        <w:pStyle w:val="13"/>
        <w:spacing w:line="420" w:lineRule="exact"/>
        <w:ind w:firstLine="480"/>
        <w:rPr>
          <w:color w:val="auto"/>
          <w:szCs w:val="24"/>
          <w:lang w:val="zh-CN"/>
        </w:rPr>
      </w:pPr>
      <w:r>
        <w:rPr>
          <w:rFonts w:hint="eastAsia"/>
          <w:color w:val="auto"/>
          <w:szCs w:val="24"/>
          <w:lang w:val="zh-CN"/>
        </w:rPr>
        <w:t>7、积极推动政府采购活动健康开展，对采购活动有疑问、异议时，按法律规定的程序实名（加盖单位章和法定代表人签名）反映情况，不恶意中伤、无事生非，以和谐、平等的心态参加政府采购活动。</w:t>
      </w:r>
    </w:p>
    <w:p>
      <w:pPr>
        <w:pStyle w:val="13"/>
        <w:spacing w:line="420" w:lineRule="exact"/>
        <w:ind w:firstLine="480"/>
        <w:rPr>
          <w:color w:val="auto"/>
          <w:szCs w:val="24"/>
          <w:lang w:val="zh-CN"/>
        </w:rPr>
      </w:pPr>
      <w:r>
        <w:rPr>
          <w:rFonts w:hint="eastAsia"/>
          <w:color w:val="auto"/>
          <w:szCs w:val="24"/>
          <w:lang w:val="zh-CN"/>
        </w:rPr>
        <w:t>8、认真履行成交单位应承担的责任和义务，全面执行采购合同规定的各项内容，保质保量地按时提供采购物品。</w:t>
      </w:r>
    </w:p>
    <w:p>
      <w:pPr>
        <w:pStyle w:val="13"/>
        <w:spacing w:line="420" w:lineRule="exact"/>
        <w:ind w:firstLine="480"/>
        <w:rPr>
          <w:color w:val="auto"/>
          <w:szCs w:val="24"/>
          <w:lang w:val="zh-CN"/>
        </w:rPr>
      </w:pPr>
      <w:r>
        <w:rPr>
          <w:rFonts w:hint="eastAsia"/>
          <w:color w:val="auto"/>
          <w:szCs w:val="24"/>
          <w:lang w:val="zh-CN"/>
        </w:rPr>
        <w:t>若本企业（单位）发生有悖于上述承诺的行为，愿意接受《中华人民共和国政府采购法》和《中华人民共和国政府采购法实施条例》中对供应商的相关处理。</w:t>
      </w:r>
    </w:p>
    <w:p>
      <w:pPr>
        <w:pStyle w:val="13"/>
        <w:spacing w:line="420" w:lineRule="exact"/>
        <w:ind w:firstLine="480"/>
        <w:rPr>
          <w:color w:val="auto"/>
        </w:rPr>
      </w:pPr>
      <w:r>
        <w:rPr>
          <w:rFonts w:hint="eastAsia"/>
          <w:color w:val="auto"/>
          <w:szCs w:val="24"/>
          <w:lang w:val="zh-CN"/>
        </w:rPr>
        <w:t>本承诺是采购项目响应文件的组成部分。</w:t>
      </w:r>
    </w:p>
    <w:p>
      <w:pPr>
        <w:pStyle w:val="13"/>
        <w:spacing w:line="420" w:lineRule="exact"/>
        <w:ind w:firstLine="480"/>
        <w:rPr>
          <w:color w:val="auto"/>
          <w:szCs w:val="24"/>
        </w:rPr>
      </w:pPr>
      <w:r>
        <w:rPr>
          <w:rFonts w:hint="eastAsia"/>
          <w:color w:val="auto"/>
          <w:szCs w:val="24"/>
        </w:rPr>
        <w:t>承诺单位：</w:t>
      </w:r>
      <w:r>
        <w:rPr>
          <w:rFonts w:hint="eastAsia"/>
          <w:color w:val="auto"/>
          <w:szCs w:val="24"/>
          <w:u w:val="single"/>
        </w:rPr>
        <w:t xml:space="preserve">                          </w:t>
      </w:r>
      <w:r>
        <w:rPr>
          <w:rFonts w:hint="eastAsia"/>
          <w:color w:val="auto"/>
          <w:szCs w:val="24"/>
        </w:rPr>
        <w:t>（公章）</w:t>
      </w:r>
    </w:p>
    <w:p>
      <w:pPr>
        <w:pStyle w:val="13"/>
        <w:spacing w:line="420" w:lineRule="exact"/>
        <w:ind w:firstLine="480"/>
        <w:rPr>
          <w:color w:val="auto"/>
          <w:szCs w:val="24"/>
        </w:rPr>
      </w:pPr>
      <w:r>
        <w:rPr>
          <w:rFonts w:hint="eastAsia"/>
          <w:color w:val="auto"/>
          <w:szCs w:val="24"/>
        </w:rPr>
        <w:t>法定代表人或被授权代表：</w:t>
      </w:r>
      <w:r>
        <w:rPr>
          <w:rFonts w:hint="eastAsia"/>
          <w:color w:val="auto"/>
          <w:szCs w:val="24"/>
          <w:u w:val="single"/>
        </w:rPr>
        <w:t xml:space="preserve">      </w:t>
      </w:r>
      <w:r>
        <w:rPr>
          <w:rFonts w:hint="eastAsia"/>
          <w:color w:val="auto"/>
          <w:szCs w:val="24"/>
        </w:rPr>
        <w:t>（签字或盖章）</w:t>
      </w:r>
    </w:p>
    <w:p>
      <w:pPr>
        <w:pStyle w:val="13"/>
        <w:spacing w:line="420" w:lineRule="exact"/>
        <w:ind w:firstLine="480"/>
        <w:rPr>
          <w:color w:val="auto"/>
          <w:szCs w:val="24"/>
        </w:rPr>
      </w:pPr>
      <w:r>
        <w:rPr>
          <w:rFonts w:hint="eastAsia"/>
          <w:color w:val="auto"/>
          <w:szCs w:val="24"/>
        </w:rPr>
        <w:t>地址：</w:t>
      </w:r>
      <w:r>
        <w:rPr>
          <w:rFonts w:hint="eastAsia"/>
          <w:color w:val="auto"/>
          <w:szCs w:val="24"/>
          <w:u w:val="single"/>
        </w:rPr>
        <w:t xml:space="preserve">                                     </w:t>
      </w:r>
    </w:p>
    <w:p>
      <w:pPr>
        <w:pStyle w:val="13"/>
        <w:spacing w:line="420" w:lineRule="exact"/>
        <w:ind w:firstLine="480"/>
        <w:rPr>
          <w:color w:val="auto"/>
          <w:szCs w:val="24"/>
        </w:rPr>
      </w:pPr>
      <w:r>
        <w:rPr>
          <w:rFonts w:hint="eastAsia"/>
          <w:color w:val="auto"/>
          <w:szCs w:val="24"/>
        </w:rPr>
        <w:t>邮编：</w:t>
      </w:r>
      <w:r>
        <w:rPr>
          <w:rFonts w:hint="eastAsia"/>
          <w:color w:val="auto"/>
          <w:szCs w:val="24"/>
          <w:u w:val="single"/>
        </w:rPr>
        <w:t xml:space="preserve">                                     </w:t>
      </w:r>
    </w:p>
    <w:p>
      <w:pPr>
        <w:pStyle w:val="13"/>
        <w:spacing w:line="420" w:lineRule="exact"/>
        <w:ind w:firstLine="480"/>
        <w:rPr>
          <w:color w:val="auto"/>
          <w:szCs w:val="24"/>
        </w:rPr>
      </w:pPr>
      <w:r>
        <w:rPr>
          <w:rFonts w:hint="eastAsia"/>
          <w:color w:val="auto"/>
          <w:szCs w:val="24"/>
        </w:rPr>
        <w:t>电话：</w:t>
      </w:r>
      <w:r>
        <w:rPr>
          <w:rFonts w:hint="eastAsia"/>
          <w:color w:val="auto"/>
          <w:szCs w:val="24"/>
          <w:u w:val="single"/>
        </w:rPr>
        <w:t xml:space="preserve">                                     </w:t>
      </w:r>
    </w:p>
    <w:p>
      <w:pPr>
        <w:pStyle w:val="13"/>
        <w:spacing w:line="420" w:lineRule="exact"/>
        <w:ind w:firstLine="480"/>
        <w:rPr>
          <w:rFonts w:ascii="Times New Roman" w:hAnsi="Times New Roman" w:cs="Times New Roman"/>
          <w:color w:val="auto"/>
          <w:szCs w:val="24"/>
        </w:rPr>
      </w:pPr>
      <w:r>
        <w:rPr>
          <w:rFonts w:hint="eastAsia"/>
          <w:color w:val="auto"/>
          <w:szCs w:val="24"/>
        </w:rPr>
        <w:t>日期：</w:t>
      </w:r>
      <w:r>
        <w:rPr>
          <w:rFonts w:hint="eastAsia"/>
          <w:color w:val="auto"/>
          <w:szCs w:val="24"/>
          <w:u w:val="single"/>
        </w:rPr>
        <w:t xml:space="preserve">    </w:t>
      </w:r>
      <w:r>
        <w:rPr>
          <w:rFonts w:hint="eastAsia"/>
          <w:color w:val="auto"/>
          <w:szCs w:val="24"/>
        </w:rPr>
        <w:t>年</w:t>
      </w:r>
      <w:r>
        <w:rPr>
          <w:rFonts w:hint="eastAsia"/>
          <w:color w:val="auto"/>
          <w:szCs w:val="24"/>
          <w:u w:val="single"/>
        </w:rPr>
        <w:t xml:space="preserve">   </w:t>
      </w:r>
      <w:r>
        <w:rPr>
          <w:rFonts w:hint="eastAsia"/>
          <w:color w:val="auto"/>
          <w:szCs w:val="24"/>
        </w:rPr>
        <w:t>月</w:t>
      </w:r>
      <w:r>
        <w:rPr>
          <w:rFonts w:hint="eastAsia"/>
          <w:color w:val="auto"/>
          <w:szCs w:val="24"/>
          <w:u w:val="single"/>
        </w:rPr>
        <w:t xml:space="preserve">   </w:t>
      </w:r>
      <w:r>
        <w:rPr>
          <w:rFonts w:hint="eastAsia"/>
          <w:color w:val="auto"/>
          <w:szCs w:val="24"/>
        </w:rPr>
        <w:t>日</w:t>
      </w:r>
    </w:p>
    <w:p>
      <w:pPr>
        <w:pStyle w:val="6"/>
        <w:tabs>
          <w:tab w:val="left" w:pos="864"/>
        </w:tabs>
        <w:spacing w:line="240" w:lineRule="auto"/>
        <w:rPr>
          <w:color w:val="auto"/>
        </w:rPr>
      </w:pPr>
      <w:r>
        <w:rPr>
          <w:rFonts w:hint="eastAsia"/>
          <w:color w:val="auto"/>
          <w:sz w:val="32"/>
          <w:szCs w:val="32"/>
        </w:rPr>
        <w:br w:type="page"/>
      </w:r>
      <w:bookmarkStart w:id="158" w:name="_Toc13836"/>
      <w:r>
        <w:rPr>
          <w:rFonts w:hint="eastAsia"/>
          <w:color w:val="auto"/>
        </w:rPr>
        <w:t>附：</w:t>
      </w:r>
    </w:p>
    <w:p>
      <w:pPr>
        <w:pStyle w:val="5"/>
        <w:rPr>
          <w:color w:val="auto"/>
        </w:rPr>
      </w:pPr>
      <w:r>
        <w:rPr>
          <w:rFonts w:hint="eastAsia"/>
          <w:color w:val="auto"/>
        </w:rPr>
        <w:t>中小企业声明函（货物）</w:t>
      </w:r>
    </w:p>
    <w:p>
      <w:pPr>
        <w:pStyle w:val="13"/>
        <w:spacing w:line="480" w:lineRule="auto"/>
        <w:ind w:firstLine="480"/>
        <w:rPr>
          <w:color w:val="auto"/>
        </w:rPr>
      </w:pPr>
      <w:r>
        <w:rPr>
          <w:rFonts w:hint="eastAsia"/>
          <w:color w:val="auto"/>
        </w:rPr>
        <w:t>本公司（联合体）郑重声明，根据《政府采购促进中小企业发展管理办法》（财库﹝2020﹞46 号）的规定，本公司（联合体）参加</w:t>
      </w:r>
      <w:r>
        <w:rPr>
          <w:rFonts w:hint="eastAsia"/>
          <w:color w:val="auto"/>
          <w:u w:val="single"/>
        </w:rPr>
        <w:t>（单位名称）</w:t>
      </w:r>
      <w:r>
        <w:rPr>
          <w:rFonts w:hint="eastAsia"/>
          <w:color w:val="auto"/>
        </w:rPr>
        <w:t>的</w:t>
      </w:r>
      <w:r>
        <w:rPr>
          <w:rFonts w:hint="eastAsia"/>
          <w:color w:val="auto"/>
          <w:u w:val="single"/>
        </w:rPr>
        <w:t>（项目名称）</w:t>
      </w:r>
      <w:r>
        <w:rPr>
          <w:rFonts w:hint="eastAsia"/>
          <w:color w:val="auto"/>
        </w:rPr>
        <w:t>采购活动，提供的货物全部由符合政策要求的中小企业制造。相关企业（含联合体中的中小企业、签订分包意向协议的中小企业） 的具体情况如下：</w:t>
      </w:r>
    </w:p>
    <w:p>
      <w:pPr>
        <w:pStyle w:val="13"/>
        <w:spacing w:line="480" w:lineRule="auto"/>
        <w:ind w:firstLine="480"/>
        <w:rPr>
          <w:color w:val="auto"/>
        </w:rPr>
      </w:pPr>
      <w:r>
        <w:rPr>
          <w:rFonts w:hint="eastAsia"/>
          <w:color w:val="auto"/>
        </w:rPr>
        <w:t>1.</w:t>
      </w:r>
      <w:r>
        <w:rPr>
          <w:rFonts w:hint="eastAsia"/>
          <w:color w:val="auto"/>
          <w:u w:val="single"/>
        </w:rPr>
        <w:t xml:space="preserve"> （标的名称） </w:t>
      </w:r>
      <w:r>
        <w:rPr>
          <w:rFonts w:hint="eastAsia"/>
          <w:color w:val="auto"/>
        </w:rPr>
        <w:t>，属于</w:t>
      </w:r>
      <w:r>
        <w:rPr>
          <w:rFonts w:hint="eastAsia"/>
          <w:color w:val="auto"/>
          <w:u w:val="single"/>
        </w:rPr>
        <w:t>（采购文件中明确的所属行业）</w:t>
      </w:r>
      <w:r>
        <w:rPr>
          <w:rFonts w:hint="eastAsia"/>
          <w:color w:val="auto"/>
        </w:rPr>
        <w:t>行业；制造商为</w:t>
      </w:r>
      <w:r>
        <w:rPr>
          <w:rFonts w:hint="eastAsia"/>
          <w:color w:val="auto"/>
          <w:u w:val="single"/>
        </w:rPr>
        <w:t>（企业名称）</w:t>
      </w:r>
      <w:r>
        <w:rPr>
          <w:rFonts w:hint="eastAsia"/>
          <w:color w:val="auto"/>
        </w:rPr>
        <w:t>，从业人员</w:t>
      </w:r>
      <w:r>
        <w:rPr>
          <w:rFonts w:hint="eastAsia"/>
          <w:color w:val="auto"/>
          <w:u w:val="single"/>
        </w:rPr>
        <w:t xml:space="preserve"> </w:t>
      </w:r>
      <w:r>
        <w:rPr>
          <w:rFonts w:hint="eastAsia"/>
          <w:color w:val="auto"/>
          <w:u w:val="single"/>
        </w:rPr>
        <w:tab/>
      </w:r>
      <w:r>
        <w:rPr>
          <w:rFonts w:hint="eastAsia"/>
          <w:color w:val="auto"/>
        </w:rPr>
        <w:t>人，营业收入为</w:t>
      </w:r>
      <w:r>
        <w:rPr>
          <w:rFonts w:hint="eastAsia"/>
          <w:color w:val="auto"/>
          <w:u w:val="single"/>
        </w:rPr>
        <w:t xml:space="preserve"> </w:t>
      </w:r>
      <w:r>
        <w:rPr>
          <w:rFonts w:hint="eastAsia"/>
          <w:color w:val="auto"/>
          <w:u w:val="single"/>
        </w:rPr>
        <w:tab/>
      </w:r>
      <w:r>
        <w:rPr>
          <w:rFonts w:hint="eastAsia"/>
          <w:color w:val="auto"/>
        </w:rPr>
        <w:t>万元，资产总额为</w:t>
      </w:r>
      <w:r>
        <w:rPr>
          <w:rFonts w:hint="eastAsia"/>
          <w:color w:val="auto"/>
          <w:u w:val="single"/>
        </w:rPr>
        <w:t xml:space="preserve"> </w:t>
      </w:r>
      <w:r>
        <w:rPr>
          <w:rFonts w:hint="eastAsia"/>
          <w:color w:val="auto"/>
          <w:u w:val="single"/>
        </w:rPr>
        <w:tab/>
      </w:r>
      <w:r>
        <w:rPr>
          <w:rFonts w:hint="eastAsia"/>
          <w:color w:val="auto"/>
          <w:u w:val="single"/>
        </w:rPr>
        <w:t xml:space="preserve">   </w:t>
      </w:r>
      <w:r>
        <w:rPr>
          <w:rFonts w:hint="eastAsia"/>
          <w:color w:val="auto"/>
        </w:rPr>
        <w:t>万元1，属于</w:t>
      </w:r>
      <w:r>
        <w:rPr>
          <w:rFonts w:hint="eastAsia"/>
          <w:color w:val="auto"/>
          <w:u w:val="single"/>
        </w:rPr>
        <w:t>（中型企业、小型企业、微型企业）</w:t>
      </w:r>
      <w:r>
        <w:rPr>
          <w:rFonts w:hint="eastAsia"/>
          <w:color w:val="auto"/>
        </w:rPr>
        <w:t>；</w:t>
      </w:r>
    </w:p>
    <w:p>
      <w:pPr>
        <w:pStyle w:val="13"/>
        <w:spacing w:line="480" w:lineRule="auto"/>
        <w:ind w:firstLine="480"/>
        <w:rPr>
          <w:color w:val="auto"/>
        </w:rPr>
      </w:pPr>
      <w:r>
        <w:rPr>
          <w:rFonts w:hint="eastAsia"/>
          <w:color w:val="auto"/>
        </w:rPr>
        <w:t>2.</w:t>
      </w:r>
      <w:r>
        <w:rPr>
          <w:rFonts w:hint="eastAsia"/>
          <w:color w:val="auto"/>
          <w:u w:val="single"/>
        </w:rPr>
        <w:t xml:space="preserve"> （ 标 的 名 称 ） </w:t>
      </w:r>
      <w:r>
        <w:rPr>
          <w:rFonts w:hint="eastAsia"/>
          <w:color w:val="auto"/>
        </w:rPr>
        <w:t>， 属 于</w:t>
      </w:r>
      <w:r>
        <w:rPr>
          <w:rFonts w:hint="eastAsia"/>
          <w:color w:val="auto"/>
          <w:u w:val="single"/>
        </w:rPr>
        <w:t xml:space="preserve">（ 采 购 文 件 中 明 确 的 所 属 行 业 ） </w:t>
      </w:r>
      <w:r>
        <w:rPr>
          <w:rFonts w:hint="eastAsia"/>
          <w:color w:val="auto"/>
        </w:rPr>
        <w:t>行业；制造商为</w:t>
      </w:r>
      <w:r>
        <w:rPr>
          <w:rFonts w:hint="eastAsia"/>
          <w:color w:val="auto"/>
          <w:u w:val="single"/>
        </w:rPr>
        <w:t>（企业名称）</w:t>
      </w:r>
      <w:r>
        <w:rPr>
          <w:rFonts w:hint="eastAsia"/>
          <w:color w:val="auto"/>
        </w:rPr>
        <w:t>，从业人员</w:t>
      </w:r>
      <w:r>
        <w:rPr>
          <w:rFonts w:hint="eastAsia"/>
          <w:color w:val="auto"/>
          <w:u w:val="single"/>
        </w:rPr>
        <w:t xml:space="preserve"> </w:t>
      </w:r>
      <w:r>
        <w:rPr>
          <w:rFonts w:hint="eastAsia"/>
          <w:color w:val="auto"/>
          <w:u w:val="single"/>
        </w:rPr>
        <w:tab/>
      </w:r>
      <w:r>
        <w:rPr>
          <w:rFonts w:hint="eastAsia"/>
          <w:color w:val="auto"/>
        </w:rPr>
        <w:t>人，营业收入为</w:t>
      </w:r>
      <w:r>
        <w:rPr>
          <w:rFonts w:hint="eastAsia"/>
          <w:color w:val="auto"/>
          <w:u w:val="single"/>
        </w:rPr>
        <w:t xml:space="preserve"> </w:t>
      </w:r>
      <w:r>
        <w:rPr>
          <w:rFonts w:hint="eastAsia"/>
          <w:color w:val="auto"/>
          <w:u w:val="single"/>
        </w:rPr>
        <w:tab/>
      </w:r>
      <w:r>
        <w:rPr>
          <w:rFonts w:hint="eastAsia"/>
          <w:color w:val="auto"/>
        </w:rPr>
        <w:t>万元，资产总额为</w:t>
      </w:r>
      <w:r>
        <w:rPr>
          <w:rFonts w:hint="eastAsia"/>
          <w:color w:val="auto"/>
          <w:u w:val="single"/>
        </w:rPr>
        <w:t xml:space="preserve"> </w:t>
      </w:r>
      <w:r>
        <w:rPr>
          <w:rFonts w:hint="eastAsia"/>
          <w:color w:val="auto"/>
          <w:u w:val="single"/>
        </w:rPr>
        <w:tab/>
      </w:r>
      <w:r>
        <w:rPr>
          <w:rFonts w:hint="eastAsia"/>
          <w:color w:val="auto"/>
          <w:u w:val="single"/>
        </w:rPr>
        <w:t xml:space="preserve">  </w:t>
      </w:r>
      <w:r>
        <w:rPr>
          <w:rFonts w:hint="eastAsia"/>
          <w:color w:val="auto"/>
        </w:rPr>
        <w:t>万元，属于</w:t>
      </w:r>
      <w:r>
        <w:rPr>
          <w:rFonts w:hint="eastAsia"/>
          <w:color w:val="auto"/>
          <w:u w:val="single"/>
        </w:rPr>
        <w:t>（中型企业、小型企业、微型企业）</w:t>
      </w:r>
      <w:r>
        <w:rPr>
          <w:rFonts w:hint="eastAsia"/>
          <w:color w:val="auto"/>
        </w:rPr>
        <w:t>；</w:t>
      </w:r>
    </w:p>
    <w:p>
      <w:pPr>
        <w:pStyle w:val="13"/>
        <w:ind w:firstLine="480"/>
        <w:rPr>
          <w:color w:val="auto"/>
        </w:rPr>
      </w:pPr>
      <w:r>
        <w:rPr>
          <w:rFonts w:hint="eastAsia"/>
          <w:color w:val="auto"/>
        </w:rPr>
        <w:t>……</w:t>
      </w:r>
    </w:p>
    <w:p>
      <w:pPr>
        <w:pStyle w:val="13"/>
        <w:ind w:firstLine="480"/>
        <w:rPr>
          <w:color w:val="auto"/>
        </w:rPr>
      </w:pPr>
      <w:r>
        <w:rPr>
          <w:rFonts w:hint="eastAsia"/>
          <w:color w:val="auto"/>
        </w:rPr>
        <w:t>以上企业，不属于大企业的分支机构，不存在控股股东为大企业的情形，也不存在与大企业的负责人为同一人的情形。</w:t>
      </w:r>
    </w:p>
    <w:p>
      <w:pPr>
        <w:pStyle w:val="13"/>
        <w:ind w:firstLine="480"/>
        <w:rPr>
          <w:color w:val="auto"/>
        </w:rPr>
      </w:pPr>
      <w:r>
        <w:rPr>
          <w:rFonts w:hint="eastAsia"/>
          <w:color w:val="auto"/>
        </w:rPr>
        <w:t>本企业对上述声明内容的真实性负责。如有虚假，将依法承担相应责任。</w:t>
      </w:r>
    </w:p>
    <w:p>
      <w:pPr>
        <w:pStyle w:val="13"/>
        <w:ind w:firstLine="5040" w:firstLineChars="2100"/>
        <w:rPr>
          <w:color w:val="auto"/>
          <w:u w:val="single"/>
        </w:rPr>
      </w:pPr>
      <w:r>
        <w:rPr>
          <w:rFonts w:hint="eastAsia"/>
          <w:color w:val="auto"/>
        </w:rPr>
        <w:t>企业名称（盖章）：</w:t>
      </w:r>
      <w:r>
        <w:rPr>
          <w:rFonts w:hint="eastAsia"/>
          <w:color w:val="auto"/>
          <w:u w:val="single"/>
        </w:rPr>
        <w:t xml:space="preserve">              </w:t>
      </w:r>
    </w:p>
    <w:p>
      <w:pPr>
        <w:pStyle w:val="13"/>
        <w:ind w:firstLine="5040" w:firstLineChars="2100"/>
        <w:rPr>
          <w:color w:val="auto"/>
          <w:u w:val="single"/>
        </w:rPr>
      </w:pPr>
      <w:r>
        <w:rPr>
          <w:rFonts w:hint="eastAsia"/>
          <w:color w:val="auto"/>
        </w:rPr>
        <w:t>日期：</w:t>
      </w:r>
      <w:r>
        <w:rPr>
          <w:rFonts w:hint="eastAsia"/>
          <w:color w:val="auto"/>
          <w:u w:val="single"/>
        </w:rPr>
        <w:t xml:space="preserve">                         </w:t>
      </w:r>
    </w:p>
    <w:p>
      <w:pPr>
        <w:pStyle w:val="13"/>
        <w:ind w:firstLine="480"/>
        <w:rPr>
          <w:color w:val="auto"/>
        </w:rPr>
      </w:pPr>
    </w:p>
    <w:p>
      <w:pPr>
        <w:pStyle w:val="13"/>
        <w:ind w:firstLine="420"/>
        <w:rPr>
          <w:color w:val="auto"/>
          <w:sz w:val="21"/>
          <w:szCs w:val="21"/>
        </w:rPr>
      </w:pPr>
      <w:r>
        <w:rPr>
          <w:rFonts w:hint="eastAsia"/>
          <w:color w:val="auto"/>
          <w:sz w:val="21"/>
          <w:szCs w:val="21"/>
        </w:rPr>
        <w:t>1从业人员、营业收入、资产总额填报上一年度数据，无上一年度数据的新成立企业可不填报。</w:t>
      </w:r>
    </w:p>
    <w:p>
      <w:pPr>
        <w:rPr>
          <w:rFonts w:ascii="宋体" w:hAnsi="宋体" w:cs="宋体"/>
          <w:color w:val="auto"/>
          <w:szCs w:val="21"/>
        </w:rPr>
      </w:pPr>
    </w:p>
    <w:p>
      <w:pPr>
        <w:pStyle w:val="6"/>
        <w:rPr>
          <w:bCs/>
          <w:color w:val="auto"/>
          <w:kern w:val="2"/>
          <w:sz w:val="28"/>
          <w:szCs w:val="28"/>
        </w:rPr>
      </w:pPr>
      <w:r>
        <w:rPr>
          <w:rFonts w:hint="eastAsia"/>
          <w:color w:val="auto"/>
          <w:szCs w:val="21"/>
        </w:rPr>
        <w:br w:type="page"/>
      </w:r>
      <w:r>
        <w:rPr>
          <w:rFonts w:hint="eastAsia"/>
          <w:bCs/>
          <w:color w:val="auto"/>
        </w:rPr>
        <w:t>附：《中小企业划型标准规定》各行业划型标准</w:t>
      </w:r>
    </w:p>
    <w:p>
      <w:pPr>
        <w:pStyle w:val="13"/>
        <w:ind w:firstLine="420"/>
        <w:rPr>
          <w:color w:val="auto"/>
          <w:sz w:val="21"/>
          <w:szCs w:val="21"/>
        </w:rPr>
      </w:pPr>
      <w:r>
        <w:rPr>
          <w:rFonts w:hint="eastAsia"/>
          <w:color w:val="auto"/>
          <w:sz w:val="21"/>
          <w:szCs w:val="21"/>
        </w:rPr>
        <w:t>（一）农、林、牧、渔业。营业收入20000万元以下的为中小微型企业。其中，营业收入500万元及以上的为中型企业，营业收入50万元及以上的为小型企业，营业收入50万元以下的为微型企业。</w:t>
      </w:r>
    </w:p>
    <w:p>
      <w:pPr>
        <w:pStyle w:val="13"/>
        <w:ind w:firstLine="420"/>
        <w:rPr>
          <w:color w:val="auto"/>
          <w:sz w:val="21"/>
          <w:szCs w:val="21"/>
        </w:rPr>
      </w:pPr>
      <w:r>
        <w:rPr>
          <w:rFonts w:hint="eastAsia"/>
          <w:color w:val="auto"/>
          <w:sz w:val="21"/>
          <w:szCs w:val="21"/>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pStyle w:val="13"/>
        <w:ind w:firstLine="420"/>
        <w:rPr>
          <w:color w:val="auto"/>
          <w:sz w:val="21"/>
          <w:szCs w:val="21"/>
        </w:rPr>
      </w:pPr>
      <w:r>
        <w:rPr>
          <w:rFonts w:hint="eastAsia"/>
          <w:color w:val="auto"/>
          <w:sz w:val="21"/>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pStyle w:val="13"/>
        <w:ind w:firstLine="420"/>
        <w:rPr>
          <w:color w:val="auto"/>
          <w:sz w:val="21"/>
          <w:szCs w:val="21"/>
        </w:rPr>
      </w:pPr>
      <w:r>
        <w:rPr>
          <w:rFonts w:hint="eastAsia"/>
          <w:color w:val="auto"/>
          <w:sz w:val="21"/>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pStyle w:val="13"/>
        <w:ind w:firstLine="420"/>
        <w:rPr>
          <w:color w:val="auto"/>
          <w:sz w:val="21"/>
          <w:szCs w:val="21"/>
        </w:rPr>
      </w:pPr>
      <w:r>
        <w:rPr>
          <w:rFonts w:hint="eastAsia"/>
          <w:color w:val="auto"/>
          <w:sz w:val="21"/>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pStyle w:val="13"/>
        <w:ind w:firstLine="420"/>
        <w:rPr>
          <w:color w:val="auto"/>
          <w:sz w:val="21"/>
          <w:szCs w:val="21"/>
        </w:rPr>
      </w:pPr>
      <w:r>
        <w:rPr>
          <w:rFonts w:hint="eastAsia"/>
          <w:color w:val="auto"/>
          <w:sz w:val="21"/>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pStyle w:val="13"/>
        <w:ind w:firstLine="420"/>
        <w:rPr>
          <w:color w:val="auto"/>
          <w:sz w:val="21"/>
          <w:szCs w:val="21"/>
        </w:rPr>
      </w:pPr>
      <w:r>
        <w:rPr>
          <w:rFonts w:hint="eastAsia"/>
          <w:color w:val="auto"/>
          <w:sz w:val="21"/>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pStyle w:val="13"/>
        <w:ind w:firstLine="420"/>
        <w:rPr>
          <w:color w:val="auto"/>
          <w:sz w:val="21"/>
          <w:szCs w:val="21"/>
        </w:rPr>
      </w:pPr>
      <w:r>
        <w:rPr>
          <w:rFonts w:hint="eastAsia"/>
          <w:color w:val="auto"/>
          <w:sz w:val="21"/>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pStyle w:val="13"/>
        <w:ind w:firstLine="420"/>
        <w:rPr>
          <w:color w:val="auto"/>
          <w:sz w:val="21"/>
          <w:szCs w:val="21"/>
        </w:rPr>
      </w:pPr>
      <w:r>
        <w:rPr>
          <w:rFonts w:hint="eastAsia"/>
          <w:color w:val="auto"/>
          <w:sz w:val="21"/>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pStyle w:val="13"/>
        <w:ind w:firstLine="420"/>
        <w:rPr>
          <w:color w:val="auto"/>
          <w:sz w:val="21"/>
          <w:szCs w:val="21"/>
        </w:rPr>
      </w:pPr>
      <w:r>
        <w:rPr>
          <w:rFonts w:hint="eastAsia"/>
          <w:color w:val="auto"/>
          <w:sz w:val="21"/>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pStyle w:val="13"/>
        <w:ind w:firstLine="420"/>
        <w:rPr>
          <w:color w:val="auto"/>
          <w:sz w:val="21"/>
          <w:szCs w:val="21"/>
        </w:rPr>
      </w:pPr>
      <w:r>
        <w:rPr>
          <w:rFonts w:hint="eastAsia"/>
          <w:color w:val="auto"/>
          <w:sz w:val="21"/>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pStyle w:val="13"/>
        <w:ind w:firstLine="420"/>
        <w:rPr>
          <w:color w:val="auto"/>
          <w:sz w:val="21"/>
          <w:szCs w:val="21"/>
        </w:rPr>
      </w:pPr>
      <w:r>
        <w:rPr>
          <w:rFonts w:hint="eastAsia"/>
          <w:color w:val="auto"/>
          <w:sz w:val="21"/>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pStyle w:val="13"/>
        <w:ind w:firstLine="420"/>
        <w:rPr>
          <w:color w:val="auto"/>
          <w:sz w:val="21"/>
          <w:szCs w:val="21"/>
        </w:rPr>
      </w:pPr>
      <w:r>
        <w:rPr>
          <w:rFonts w:hint="eastAsia"/>
          <w:color w:val="auto"/>
          <w:sz w:val="21"/>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pStyle w:val="13"/>
        <w:ind w:firstLine="420"/>
        <w:rPr>
          <w:color w:val="auto"/>
          <w:sz w:val="21"/>
          <w:szCs w:val="21"/>
        </w:rPr>
      </w:pPr>
      <w:r>
        <w:rPr>
          <w:rFonts w:hint="eastAsia"/>
          <w:color w:val="auto"/>
          <w:sz w:val="21"/>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pStyle w:val="13"/>
        <w:ind w:firstLine="420"/>
        <w:rPr>
          <w:color w:val="auto"/>
          <w:sz w:val="21"/>
          <w:szCs w:val="21"/>
        </w:rPr>
      </w:pPr>
      <w:r>
        <w:rPr>
          <w:rFonts w:hint="eastAsia"/>
          <w:color w:val="auto"/>
          <w:sz w:val="21"/>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pStyle w:val="13"/>
        <w:ind w:firstLine="420"/>
        <w:rPr>
          <w:color w:val="auto"/>
          <w:sz w:val="21"/>
          <w:szCs w:val="21"/>
        </w:rPr>
      </w:pPr>
      <w:r>
        <w:rPr>
          <w:rFonts w:hint="eastAsia"/>
          <w:color w:val="auto"/>
          <w:sz w:val="21"/>
          <w:szCs w:val="21"/>
        </w:rPr>
        <w:t>（十六）其他未列明行业。从业人员300人以下的为中小微型企业。其中，从业人员100人及以上的为中型企业；从业人员10人及以上的为小型企业；从业人员10人以下的为微型企业。</w:t>
      </w:r>
    </w:p>
    <w:p>
      <w:pPr>
        <w:tabs>
          <w:tab w:val="left" w:pos="1620"/>
          <w:tab w:val="left" w:pos="1800"/>
        </w:tabs>
        <w:spacing w:line="500" w:lineRule="exact"/>
        <w:ind w:firstLine="420" w:firstLineChars="200"/>
        <w:rPr>
          <w:rFonts w:ascii="宋体" w:hAnsi="宋体" w:cs="宋体"/>
          <w:color w:val="auto"/>
          <w:szCs w:val="21"/>
        </w:rPr>
      </w:pPr>
    </w:p>
    <w:p>
      <w:pPr>
        <w:pStyle w:val="5"/>
        <w:rPr>
          <w:color w:val="auto"/>
        </w:rPr>
      </w:pPr>
      <w:bookmarkStart w:id="159" w:name="_Toc1469"/>
      <w:r>
        <w:rPr>
          <w:rFonts w:hint="eastAsia"/>
          <w:color w:val="auto"/>
          <w:sz w:val="32"/>
          <w:szCs w:val="32"/>
        </w:rPr>
        <w:br w:type="page"/>
      </w:r>
      <w:bookmarkEnd w:id="158"/>
      <w:bookmarkEnd w:id="159"/>
      <w:bookmarkStart w:id="160" w:name="_Toc28634"/>
      <w:bookmarkStart w:id="161" w:name="OLE_LINK13"/>
      <w:bookmarkStart w:id="162" w:name="OLE_LINK14"/>
      <w:r>
        <w:rPr>
          <w:rFonts w:hint="eastAsia"/>
          <w:bCs/>
          <w:color w:val="auto"/>
          <w:szCs w:val="28"/>
        </w:rPr>
        <w:t>残疾人福利性单位声明函（如有）</w:t>
      </w:r>
      <w:bookmarkEnd w:id="160"/>
    </w:p>
    <w:bookmarkEnd w:id="161"/>
    <w:bookmarkEnd w:id="162"/>
    <w:p>
      <w:pPr>
        <w:pStyle w:val="13"/>
        <w:ind w:firstLine="480"/>
        <w:rPr>
          <w:color w:val="auto"/>
        </w:rPr>
      </w:pPr>
      <w:r>
        <w:rPr>
          <w:rFonts w:hint="eastAsia"/>
          <w:color w:val="auto"/>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13"/>
        <w:ind w:firstLine="480"/>
        <w:rPr>
          <w:color w:val="auto"/>
          <w:spacing w:val="6"/>
          <w:szCs w:val="24"/>
        </w:rPr>
      </w:pPr>
      <w:r>
        <w:rPr>
          <w:rFonts w:hint="eastAsia"/>
          <w:color w:val="auto"/>
        </w:rPr>
        <w:t>本单位对上述声明的真实性负责。如有虚假，将依法承担相应责任。</w:t>
      </w:r>
    </w:p>
    <w:p>
      <w:pPr>
        <w:tabs>
          <w:tab w:val="left" w:pos="1620"/>
          <w:tab w:val="left" w:pos="1800"/>
        </w:tabs>
        <w:spacing w:line="500" w:lineRule="exact"/>
        <w:rPr>
          <w:rFonts w:ascii="宋体" w:hAnsi="宋体" w:cs="宋体"/>
          <w:color w:val="auto"/>
          <w:spacing w:val="6"/>
          <w:sz w:val="24"/>
          <w:szCs w:val="24"/>
        </w:rPr>
      </w:pPr>
      <w:r>
        <w:rPr>
          <w:rFonts w:hint="eastAsia" w:ascii="宋体" w:hAnsi="宋体" w:cs="宋体"/>
          <w:color w:val="auto"/>
          <w:spacing w:val="6"/>
          <w:sz w:val="24"/>
          <w:szCs w:val="24"/>
        </w:rPr>
        <w:t xml:space="preserve">                          </w:t>
      </w:r>
    </w:p>
    <w:p>
      <w:pPr>
        <w:tabs>
          <w:tab w:val="left" w:pos="1620"/>
          <w:tab w:val="left" w:pos="1800"/>
        </w:tabs>
        <w:spacing w:line="500" w:lineRule="exact"/>
        <w:ind w:firstLine="4800" w:firstLineChars="2000"/>
        <w:rPr>
          <w:rFonts w:ascii="宋体" w:hAnsi="宋体" w:cs="宋体"/>
          <w:color w:val="auto"/>
          <w:sz w:val="24"/>
          <w:szCs w:val="24"/>
        </w:rPr>
      </w:pPr>
      <w:r>
        <w:rPr>
          <w:rFonts w:hint="eastAsia" w:ascii="宋体" w:hAnsi="宋体" w:cs="宋体"/>
          <w:color w:val="auto"/>
          <w:sz w:val="24"/>
          <w:szCs w:val="24"/>
        </w:rPr>
        <w:t>单位名称（公章）：</w:t>
      </w:r>
      <w:r>
        <w:rPr>
          <w:rFonts w:hint="eastAsia" w:ascii="宋体" w:hAnsi="宋体" w:cs="宋体"/>
          <w:color w:val="auto"/>
          <w:sz w:val="24"/>
          <w:szCs w:val="24"/>
          <w:u w:val="single"/>
        </w:rPr>
        <w:t xml:space="preserve">                </w:t>
      </w:r>
    </w:p>
    <w:p>
      <w:pPr>
        <w:tabs>
          <w:tab w:val="left" w:pos="1620"/>
          <w:tab w:val="left" w:pos="1800"/>
        </w:tabs>
        <w:spacing w:line="500" w:lineRule="exact"/>
        <w:rPr>
          <w:rFonts w:ascii="宋体" w:hAnsi="宋体" w:cs="宋体"/>
          <w:color w:val="auto"/>
          <w:sz w:val="24"/>
          <w:szCs w:val="24"/>
          <w:u w:val="single"/>
        </w:rPr>
      </w:pPr>
      <w:r>
        <w:rPr>
          <w:rFonts w:hint="eastAsia" w:ascii="宋体" w:hAnsi="宋体" w:cs="宋体"/>
          <w:color w:val="auto"/>
          <w:sz w:val="24"/>
          <w:szCs w:val="24"/>
        </w:rPr>
        <w:t xml:space="preserve">                                        日   期：</w:t>
      </w:r>
      <w:r>
        <w:rPr>
          <w:rFonts w:hint="eastAsia" w:ascii="宋体" w:hAnsi="宋体" w:cs="宋体"/>
          <w:color w:val="auto"/>
          <w:sz w:val="24"/>
          <w:szCs w:val="24"/>
          <w:u w:val="single"/>
        </w:rPr>
        <w:t xml:space="preserve">                          </w:t>
      </w:r>
    </w:p>
    <w:p>
      <w:pPr>
        <w:tabs>
          <w:tab w:val="left" w:pos="4860"/>
        </w:tabs>
        <w:spacing w:line="588" w:lineRule="exact"/>
        <w:ind w:right="1560" w:firstLine="584" w:firstLineChars="200"/>
        <w:jc w:val="center"/>
        <w:rPr>
          <w:rFonts w:ascii="宋体" w:hAnsi="宋体" w:cs="宋体"/>
          <w:color w:val="auto"/>
          <w:spacing w:val="6"/>
          <w:sz w:val="28"/>
          <w:szCs w:val="28"/>
        </w:rPr>
      </w:pPr>
    </w:p>
    <w:p>
      <w:pPr>
        <w:tabs>
          <w:tab w:val="left" w:pos="1620"/>
          <w:tab w:val="left" w:pos="1800"/>
        </w:tabs>
        <w:spacing w:line="440" w:lineRule="exact"/>
        <w:ind w:right="540" w:rightChars="257"/>
        <w:rPr>
          <w:rFonts w:ascii="宋体" w:hAnsi="宋体" w:cs="宋体"/>
          <w:color w:val="auto"/>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rPr>
          <w:rFonts w:ascii="宋体" w:hAnsi="宋体" w:cs="宋体"/>
          <w:color w:val="auto"/>
          <w:sz w:val="24"/>
          <w:szCs w:val="24"/>
        </w:rPr>
      </w:pPr>
    </w:p>
    <w:p>
      <w:pPr>
        <w:pStyle w:val="5"/>
        <w:rPr>
          <w:color w:val="auto"/>
          <w:szCs w:val="28"/>
        </w:rPr>
      </w:pPr>
      <w:r>
        <w:rPr>
          <w:rFonts w:hint="eastAsia"/>
          <w:color w:val="auto"/>
          <w:sz w:val="30"/>
          <w:szCs w:val="30"/>
        </w:rPr>
        <w:br w:type="page"/>
      </w:r>
      <w:bookmarkStart w:id="163" w:name="_Toc26028"/>
      <w:r>
        <w:rPr>
          <w:rFonts w:hint="eastAsia"/>
          <w:color w:val="auto"/>
        </w:rPr>
        <w:t>监狱企业证明文件（如有）</w:t>
      </w:r>
      <w:bookmarkEnd w:id="163"/>
    </w:p>
    <w:p>
      <w:pPr>
        <w:pStyle w:val="13"/>
        <w:ind w:firstLine="480"/>
        <w:rPr>
          <w:color w:val="auto"/>
        </w:rPr>
      </w:pPr>
      <w:r>
        <w:rPr>
          <w:rFonts w:hint="eastAsia"/>
          <w:color w:val="auto"/>
        </w:rPr>
        <w:t>根据财政部、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pStyle w:val="13"/>
        <w:ind w:firstLine="480"/>
        <w:rPr>
          <w:color w:val="auto"/>
          <w:szCs w:val="24"/>
        </w:rPr>
      </w:pPr>
      <w:r>
        <w:rPr>
          <w:rFonts w:hint="eastAsia"/>
          <w:color w:val="auto"/>
        </w:rPr>
        <w:t>监狱企业参加政府采购活动时，应当提供由省级以上监狱管理局、戒毒管理局（含新疆生产建设兵团）出具的属于监狱企业的证明文件。</w:t>
      </w:r>
    </w:p>
    <w:p>
      <w:pPr>
        <w:rPr>
          <w:rFonts w:ascii="宋体" w:hAnsi="宋体" w:cs="宋体"/>
          <w:b/>
          <w:color w:val="auto"/>
          <w:sz w:val="44"/>
          <w:szCs w:val="44"/>
        </w:rPr>
      </w:pPr>
      <w:r>
        <w:rPr>
          <w:rFonts w:hint="eastAsia" w:ascii="宋体" w:hAnsi="宋体" w:cs="宋体"/>
          <w:b/>
          <w:color w:val="auto"/>
          <w:sz w:val="44"/>
          <w:szCs w:val="44"/>
        </w:rPr>
        <w:br w:type="page"/>
      </w:r>
    </w:p>
    <w:p>
      <w:pPr>
        <w:pStyle w:val="5"/>
        <w:rPr>
          <w:color w:val="auto"/>
        </w:rPr>
      </w:pPr>
      <w:r>
        <w:rPr>
          <w:rFonts w:hint="eastAsia"/>
          <w:color w:val="auto"/>
        </w:rPr>
        <w:t>“节能产品”、“环境标志产品”证明材料</w:t>
      </w:r>
    </w:p>
    <w:p>
      <w:pPr>
        <w:pStyle w:val="26"/>
        <w:rPr>
          <w:rFonts w:hAnsi="宋体" w:cs="宋体"/>
          <w:color w:val="auto"/>
        </w:rPr>
      </w:pPr>
    </w:p>
    <w:p>
      <w:pPr>
        <w:pStyle w:val="13"/>
        <w:ind w:firstLine="0" w:firstLineChars="0"/>
        <w:rPr>
          <w:color w:val="auto"/>
        </w:rPr>
      </w:pPr>
      <w:r>
        <w:rPr>
          <w:rFonts w:hint="eastAsia"/>
          <w:color w:val="auto"/>
        </w:rPr>
        <w:t>说明：</w:t>
      </w:r>
    </w:p>
    <w:p>
      <w:pPr>
        <w:pStyle w:val="13"/>
        <w:ind w:firstLine="480"/>
        <w:rPr>
          <w:color w:val="auto"/>
        </w:rPr>
      </w:pPr>
      <w:r>
        <w:rPr>
          <w:rFonts w:hint="eastAsia"/>
          <w:color w:val="auto"/>
        </w:rPr>
        <w:t>1.供应商提供的主要材料与设备属于节能产品或环境标志产品的，应当按照规定提供相关证明材料，并填写相应的证书编号；</w:t>
      </w:r>
    </w:p>
    <w:p>
      <w:pPr>
        <w:pStyle w:val="13"/>
        <w:ind w:firstLine="480"/>
        <w:rPr>
          <w:rStyle w:val="322"/>
          <w:bCs w:val="0"/>
          <w:color w:val="auto"/>
        </w:rPr>
      </w:pPr>
      <w:r>
        <w:rPr>
          <w:rFonts w:hint="eastAsia"/>
          <w:color w:val="auto"/>
        </w:rPr>
        <w:t>2.供应商未按上述要求提供、填写的，评审时不予加分。</w:t>
      </w:r>
    </w:p>
    <w:p>
      <w:pPr>
        <w:pStyle w:val="21"/>
        <w:rPr>
          <w:color w:val="auto"/>
        </w:rPr>
        <w:sectPr>
          <w:footerReference r:id="rId11" w:type="first"/>
          <w:pgSz w:w="11906" w:h="16838"/>
          <w:pgMar w:top="1440" w:right="1440" w:bottom="1440" w:left="1587" w:header="992" w:footer="850" w:gutter="0"/>
          <w:cols w:space="720" w:num="1"/>
          <w:docGrid w:linePitch="312" w:charSpace="0"/>
        </w:sectPr>
      </w:pPr>
    </w:p>
    <w:p>
      <w:pPr>
        <w:pStyle w:val="21"/>
        <w:rPr>
          <w:color w:val="auto"/>
        </w:rPr>
      </w:pPr>
    </w:p>
    <w:p>
      <w:pPr>
        <w:spacing w:line="336" w:lineRule="auto"/>
        <w:ind w:firstLine="221" w:firstLineChars="50"/>
        <w:rPr>
          <w:rFonts w:ascii="宋体" w:hAnsi="宋体" w:cs="宋体"/>
          <w:b/>
          <w:color w:val="auto"/>
          <w:sz w:val="44"/>
          <w:szCs w:val="44"/>
        </w:rPr>
      </w:pPr>
    </w:p>
    <w:p>
      <w:pPr>
        <w:spacing w:line="336" w:lineRule="auto"/>
        <w:ind w:firstLine="221" w:firstLineChars="50"/>
        <w:rPr>
          <w:rFonts w:ascii="宋体" w:hAnsi="宋体" w:cs="宋体"/>
          <w:b/>
          <w:color w:val="auto"/>
          <w:sz w:val="44"/>
          <w:szCs w:val="44"/>
        </w:rPr>
      </w:pPr>
    </w:p>
    <w:p>
      <w:pPr>
        <w:spacing w:line="336" w:lineRule="auto"/>
        <w:ind w:firstLine="221" w:firstLineChars="50"/>
        <w:rPr>
          <w:rFonts w:ascii="宋体" w:hAnsi="宋体" w:cs="宋体"/>
          <w:b/>
          <w:color w:val="auto"/>
          <w:sz w:val="44"/>
          <w:szCs w:val="44"/>
        </w:rPr>
      </w:pPr>
    </w:p>
    <w:p>
      <w:pPr>
        <w:spacing w:line="336" w:lineRule="auto"/>
        <w:ind w:firstLine="221" w:firstLineChars="50"/>
        <w:rPr>
          <w:rFonts w:ascii="宋体" w:hAnsi="宋体" w:cs="宋体"/>
          <w:b/>
          <w:color w:val="auto"/>
          <w:sz w:val="44"/>
          <w:szCs w:val="44"/>
        </w:rPr>
      </w:pPr>
    </w:p>
    <w:p>
      <w:pPr>
        <w:spacing w:line="336" w:lineRule="auto"/>
        <w:ind w:firstLine="221" w:firstLineChars="50"/>
        <w:rPr>
          <w:rFonts w:ascii="宋体" w:hAnsi="宋体" w:cs="宋体"/>
          <w:b/>
          <w:color w:val="auto"/>
          <w:sz w:val="44"/>
          <w:szCs w:val="44"/>
        </w:rPr>
      </w:pPr>
    </w:p>
    <w:p>
      <w:pPr>
        <w:pStyle w:val="21"/>
        <w:rPr>
          <w:color w:val="auto"/>
        </w:rPr>
      </w:pPr>
    </w:p>
    <w:p>
      <w:pPr>
        <w:spacing w:line="336" w:lineRule="auto"/>
        <w:ind w:firstLine="221" w:firstLineChars="50"/>
        <w:rPr>
          <w:rFonts w:ascii="宋体" w:hAnsi="宋体" w:cs="宋体"/>
          <w:b/>
          <w:color w:val="auto"/>
          <w:sz w:val="44"/>
          <w:szCs w:val="44"/>
        </w:rPr>
      </w:pPr>
    </w:p>
    <w:p>
      <w:pPr>
        <w:spacing w:line="336" w:lineRule="auto"/>
        <w:ind w:firstLine="221" w:firstLineChars="50"/>
        <w:rPr>
          <w:rFonts w:ascii="宋体" w:hAnsi="宋体" w:cs="宋体"/>
          <w:b/>
          <w:color w:val="auto"/>
          <w:sz w:val="44"/>
          <w:szCs w:val="44"/>
        </w:rPr>
      </w:pPr>
    </w:p>
    <w:p>
      <w:pPr>
        <w:spacing w:line="336" w:lineRule="auto"/>
        <w:ind w:firstLine="221" w:firstLineChars="50"/>
        <w:rPr>
          <w:rFonts w:ascii="宋体" w:hAnsi="宋体" w:cs="宋体"/>
          <w:b/>
          <w:color w:val="auto"/>
          <w:sz w:val="44"/>
          <w:szCs w:val="44"/>
        </w:rPr>
      </w:pPr>
    </w:p>
    <w:p>
      <w:pPr>
        <w:spacing w:line="336" w:lineRule="auto"/>
        <w:ind w:firstLine="221" w:firstLineChars="50"/>
        <w:rPr>
          <w:rFonts w:ascii="宋体" w:hAnsi="宋体" w:cs="宋体"/>
          <w:b/>
          <w:color w:val="auto"/>
          <w:sz w:val="44"/>
          <w:szCs w:val="44"/>
        </w:rPr>
      </w:pPr>
    </w:p>
    <w:p>
      <w:pPr>
        <w:spacing w:line="336" w:lineRule="auto"/>
        <w:ind w:firstLine="221" w:firstLineChars="50"/>
        <w:rPr>
          <w:rFonts w:ascii="宋体" w:hAnsi="宋体" w:cs="宋体"/>
          <w:b/>
          <w:color w:val="auto"/>
          <w:sz w:val="44"/>
          <w:szCs w:val="44"/>
        </w:rPr>
      </w:pPr>
    </w:p>
    <w:p>
      <w:pPr>
        <w:rPr>
          <w:rFonts w:ascii="宋体" w:hAnsi="宋体" w:cs="宋体"/>
          <w:b/>
          <w:color w:val="auto"/>
          <w:sz w:val="44"/>
          <w:szCs w:val="44"/>
        </w:rPr>
      </w:pPr>
    </w:p>
    <w:p>
      <w:pPr>
        <w:pStyle w:val="21"/>
        <w:rPr>
          <w:color w:val="auto"/>
        </w:rPr>
      </w:pPr>
    </w:p>
    <w:p>
      <w:pPr>
        <w:spacing w:line="336" w:lineRule="auto"/>
        <w:ind w:firstLine="221" w:firstLineChars="50"/>
        <w:rPr>
          <w:rFonts w:ascii="宋体" w:hAnsi="宋体" w:cs="宋体"/>
          <w:b/>
          <w:color w:val="auto"/>
          <w:sz w:val="44"/>
          <w:szCs w:val="44"/>
        </w:rPr>
      </w:pPr>
    </w:p>
    <w:p>
      <w:pPr>
        <w:spacing w:line="336" w:lineRule="auto"/>
        <w:ind w:firstLine="221" w:firstLineChars="50"/>
        <w:rPr>
          <w:rFonts w:ascii="宋体" w:hAnsi="宋体" w:cs="宋体"/>
          <w:b/>
          <w:color w:val="auto"/>
          <w:sz w:val="44"/>
          <w:szCs w:val="44"/>
        </w:rPr>
      </w:pPr>
      <w:r>
        <w:rPr>
          <w:rFonts w:hint="eastAsia" w:ascii="宋体" w:hAnsi="宋体" w:cs="宋体"/>
          <w:b/>
          <w:color w:val="auto"/>
          <w:sz w:val="44"/>
          <w:szCs w:val="44"/>
        </w:rPr>
        <w:t>陕西正鸿招标有限公司</w:t>
      </w:r>
    </w:p>
    <w:p>
      <w:pPr>
        <w:spacing w:line="336" w:lineRule="auto"/>
        <w:ind w:firstLine="160" w:firstLineChars="50"/>
        <w:rPr>
          <w:rFonts w:ascii="宋体" w:hAnsi="宋体" w:cs="宋体"/>
          <w:color w:val="auto"/>
          <w:sz w:val="32"/>
          <w:szCs w:val="32"/>
        </w:rPr>
      </w:pPr>
    </w:p>
    <w:p>
      <w:pPr>
        <w:autoSpaceDE w:val="0"/>
        <w:autoSpaceDN w:val="0"/>
        <w:spacing w:line="336" w:lineRule="auto"/>
        <w:ind w:firstLine="161" w:firstLineChars="50"/>
        <w:rPr>
          <w:rFonts w:ascii="宋体" w:hAnsi="宋体" w:cs="宋体"/>
          <w:b/>
          <w:color w:val="auto"/>
          <w:sz w:val="32"/>
          <w:szCs w:val="32"/>
        </w:rPr>
      </w:pPr>
      <w:r>
        <w:rPr>
          <w:rFonts w:hint="eastAsia" w:ascii="宋体" w:hAnsi="宋体" w:cs="宋体"/>
          <w:b/>
          <w:color w:val="auto"/>
          <w:sz w:val="32"/>
          <w:szCs w:val="32"/>
        </w:rPr>
        <w:t>地    址</w:t>
      </w:r>
      <w:r>
        <w:rPr>
          <w:rFonts w:hint="eastAsia" w:ascii="宋体" w:hAnsi="宋体" w:cs="宋体"/>
          <w:b/>
          <w:color w:val="auto"/>
          <w:spacing w:val="-6"/>
          <w:sz w:val="32"/>
          <w:szCs w:val="32"/>
        </w:rPr>
        <w:t>：西安市雁塔区南二环凯森盛世1号A座408室</w:t>
      </w:r>
    </w:p>
    <w:p>
      <w:pPr>
        <w:autoSpaceDE w:val="0"/>
        <w:autoSpaceDN w:val="0"/>
        <w:spacing w:line="336" w:lineRule="auto"/>
        <w:ind w:firstLine="161" w:firstLineChars="50"/>
        <w:rPr>
          <w:rFonts w:ascii="宋体" w:hAnsi="宋体" w:cs="宋体"/>
          <w:b/>
          <w:color w:val="auto"/>
          <w:sz w:val="32"/>
          <w:szCs w:val="32"/>
        </w:rPr>
      </w:pPr>
      <w:r>
        <w:rPr>
          <w:rFonts w:hint="eastAsia" w:ascii="宋体" w:hAnsi="宋体" w:cs="宋体"/>
          <w:b/>
          <w:color w:val="auto"/>
          <w:sz w:val="32"/>
          <w:szCs w:val="32"/>
        </w:rPr>
        <w:t>电    话：029-89338755/81511576转804</w:t>
      </w:r>
    </w:p>
    <w:p>
      <w:pPr>
        <w:autoSpaceDE w:val="0"/>
        <w:autoSpaceDN w:val="0"/>
        <w:spacing w:line="336" w:lineRule="auto"/>
        <w:ind w:firstLine="161" w:firstLineChars="50"/>
        <w:rPr>
          <w:rFonts w:ascii="宋体" w:hAnsi="宋体" w:cs="宋体"/>
          <w:b/>
          <w:color w:val="auto"/>
          <w:sz w:val="32"/>
          <w:szCs w:val="32"/>
        </w:rPr>
      </w:pPr>
      <w:r>
        <w:rPr>
          <w:rFonts w:hint="eastAsia" w:ascii="宋体" w:hAnsi="宋体" w:cs="宋体"/>
          <w:b/>
          <w:color w:val="auto"/>
          <w:sz w:val="32"/>
          <w:szCs w:val="32"/>
        </w:rPr>
        <w:t>传    真：029-89338755/81511576转806</w:t>
      </w:r>
    </w:p>
    <w:p>
      <w:pPr>
        <w:autoSpaceDE w:val="0"/>
        <w:autoSpaceDN w:val="0"/>
        <w:spacing w:line="336" w:lineRule="auto"/>
        <w:ind w:firstLine="161" w:firstLineChars="50"/>
        <w:rPr>
          <w:color w:val="auto"/>
        </w:rPr>
      </w:pPr>
      <w:r>
        <w:rPr>
          <w:rFonts w:hint="eastAsia" w:ascii="宋体" w:hAnsi="宋体" w:cs="宋体"/>
          <w:b/>
          <w:color w:val="auto"/>
          <w:sz w:val="32"/>
          <w:szCs w:val="32"/>
        </w:rPr>
        <w:t>邮    编：710054</w:t>
      </w:r>
    </w:p>
    <w:sectPr>
      <w:footerReference r:id="rId13" w:type="first"/>
      <w:footerReference r:id="rId12" w:type="default"/>
      <w:pgSz w:w="11905" w:h="16838"/>
      <w:pgMar w:top="1440" w:right="1440" w:bottom="1440" w:left="1587" w:header="850" w:footer="992" w:gutter="0"/>
      <w:cols w:space="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Helvetica-Black">
    <w:altName w:val="Arial"/>
    <w:panose1 w:val="00000000000000000000"/>
    <w:charset w:val="00"/>
    <w:family w:val="swiss"/>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汉仪楷体简">
    <w:altName w:val="宋体"/>
    <w:panose1 w:val="00000000000000000000"/>
    <w:charset w:val="86"/>
    <w:family w:val="modern"/>
    <w:pitch w:val="default"/>
    <w:sig w:usb0="00000000" w:usb1="00000000" w:usb2="00000012" w:usb3="00000000" w:csb0="00040000" w:csb1="00000000"/>
  </w:font>
  <w:font w:name="Frutiger 55 Roman">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_x000B__x000C_">
    <w:altName w:val="Times New Roman"/>
    <w:panose1 w:val="00000000000000000000"/>
    <w:charset w:val="00"/>
    <w:family w:val="roman"/>
    <w:pitch w:val="default"/>
    <w:sig w:usb0="00000000" w:usb1="00000000" w:usb2="00000000" w:usb3="00000000" w:csb0="00040001" w:csb1="00000000"/>
  </w:font>
  <w:font w:name="汉仪魏碑简">
    <w:altName w:val="宋体"/>
    <w:panose1 w:val="00000000000000000000"/>
    <w:charset w:val="86"/>
    <w:family w:val="modern"/>
    <w:pitch w:val="default"/>
    <w:sig w:usb0="00000000" w:usb1="00000000" w:usb2="00000012" w:usb3="00000000" w:csb0="00040000" w:csb1="00000000"/>
  </w:font>
  <w:font w:name="汉仪中黑简">
    <w:altName w:val="黑体"/>
    <w:panose1 w:val="00000000000000000000"/>
    <w:charset w:val="86"/>
    <w:family w:val="modern"/>
    <w:pitch w:val="default"/>
    <w:sig w:usb0="00000000" w:usb1="00000000" w:usb2="00000002" w:usb3="00000000" w:csb0="00040000"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1"/>
      </w:rPr>
    </w:pPr>
    <w:r>
      <w:fldChar w:fldCharType="begin"/>
    </w:r>
    <w:r>
      <w:rPr>
        <w:rStyle w:val="51"/>
      </w:rPr>
      <w:instrText xml:space="preserve">PAGE  </w:instrText>
    </w:r>
    <w:r>
      <w:fldChar w:fldCharType="end"/>
    </w: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top w:val="single" w:color="auto" w:sz="4" w:space="1"/>
        <w:left w:val="none" w:color="auto" w:sz="0" w:space="4"/>
        <w:bottom w:val="none" w:color="auto" w:sz="0" w:space="1"/>
        <w:right w:val="none" w:color="auto" w:sz="0" w:space="4"/>
      </w:pBdr>
      <w:jc w:val="right"/>
    </w:pPr>
    <w:r>
      <w:rPr>
        <w:rFonts w:hint="eastAsia"/>
      </w:rPr>
      <w:t>陕西正鸿招标有限公司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top w:val="single" w:color="auto" w:sz="4" w:space="1"/>
        <w:left w:val="none" w:color="auto" w:sz="0" w:space="4"/>
        <w:bottom w:val="none" w:color="auto" w:sz="0" w:space="1"/>
        <w:right w:val="none" w:color="auto" w:sz="0" w:space="4"/>
      </w:pBd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31"/>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rPr>
        <w:rFonts w:hint="eastAsia" w:ascii="宋体" w:hAnsi="宋体" w:cs="宋体"/>
      </w:rPr>
      <w:t>陕西正鸿招标有限公司                                                                  029-89338755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top w:val="single" w:color="auto" w:sz="4" w:space="1"/>
        <w:left w:val="none" w:color="auto" w:sz="0" w:space="4"/>
        <w:bottom w:val="none" w:color="auto" w:sz="0" w:space="1"/>
        <w:right w:val="none" w:color="auto" w:sz="0" w:space="4"/>
      </w:pBd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31"/>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rPr>
        <w:rFonts w:hint="eastAsia" w:ascii="宋体" w:hAnsi="宋体" w:cs="宋体"/>
      </w:rPr>
      <w:t>陕西正鸿招标有限公司                                                                  029-89338755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top w:val="single" w:color="auto" w:sz="4" w:space="1"/>
        <w:left w:val="none" w:color="auto" w:sz="0" w:space="4"/>
        <w:bottom w:val="none" w:color="auto" w:sz="0" w:space="1"/>
        <w:right w:val="none" w:color="auto" w:sz="0" w:space="4"/>
      </w:pBdr>
      <w:jc w:val="both"/>
      <w:rPr>
        <w:rStyle w:val="51"/>
        <w:rFonts w:ascii="宋体" w:hAnsi="宋体" w:cs="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31"/>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r>
      <w:rPr>
        <w:rStyle w:val="51"/>
        <w:rFonts w:hint="eastAsia" w:ascii="宋体" w:hAnsi="宋体" w:cs="宋体"/>
      </w:rPr>
      <w:t>陕西正鸿招标有限公司                                                                  029-89338755</w:t>
    </w:r>
  </w:p>
  <w:p>
    <w:pPr>
      <w:pStyle w:val="31"/>
      <w:pBdr>
        <w:top w:val="single" w:color="auto" w:sz="4" w:space="1"/>
        <w:left w:val="none" w:color="auto" w:sz="0" w:space="4"/>
        <w:bottom w:val="none" w:color="auto" w:sz="0" w:space="1"/>
        <w:right w:val="none" w:color="auto" w:sz="0" w:space="4"/>
      </w:pBdr>
      <w:jc w:val="both"/>
      <w:rPr>
        <w:rStyle w:val="51"/>
        <w:rFonts w:ascii="宋体" w:hAnsi="宋体" w:cs="宋体"/>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top w:val="single" w:color="auto" w:sz="4" w:space="1"/>
        <w:left w:val="none" w:color="auto" w:sz="0" w:space="4"/>
        <w:bottom w:val="none" w:color="auto" w:sz="0" w:space="1"/>
        <w:right w:val="none" w:color="auto" w:sz="0" w:space="4"/>
      </w:pBdr>
    </w:pPr>
    <w:r>
      <w:rPr>
        <w:rFonts w:hint="eastAsia" w:ascii="宋体" w:hAnsi="宋体" w:cs="宋体"/>
      </w:rPr>
      <w:t>陕西正鸿招标有限公司                                                                  029-89338755</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Bdr>
        <w:top w:val="single" w:color="auto" w:sz="4" w:space="1"/>
        <w:left w:val="none" w:color="auto" w:sz="0" w:space="4"/>
        <w:bottom w:val="none" w:color="auto" w:sz="0" w:space="1"/>
        <w:right w:val="none" w:color="auto" w:sz="0" w:space="4"/>
      </w:pBdr>
    </w:pPr>
    <w:r>
      <w:rPr>
        <w:rFonts w:hint="eastAsia" w:ascii="宋体" w:hAnsi="宋体" w:cs="宋体"/>
      </w:rPr>
      <w:t>陕西正鸿招标有限公司                                                                  029-89338755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top w:val="none" w:color="auto" w:sz="0" w:space="1"/>
        <w:left w:val="none" w:color="auto" w:sz="0" w:space="4"/>
        <w:bottom w:val="none" w:color="auto" w:sz="0" w:space="1"/>
        <w:right w:val="none" w:color="auto" w:sz="0" w:space="4"/>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top w:val="none" w:color="auto" w:sz="0" w:space="1"/>
        <w:left w:val="none" w:color="auto" w:sz="0" w:space="4"/>
        <w:bottom w:val="none" w:color="auto" w:sz="0" w:space="1"/>
        <w:right w:val="none" w:color="auto" w:sz="0" w:space="4"/>
      </w:pBdr>
      <w:jc w:val="both"/>
      <w:rPr>
        <w:rFonts w:ascii="宋体" w:hAnsi="宋体" w:cs="宋体"/>
        <w:szCs w:val="18"/>
        <w:u w:val="single"/>
      </w:rPr>
    </w:pPr>
  </w:p>
  <w:p>
    <w:pPr>
      <w:pStyle w:val="32"/>
      <w:pBdr>
        <w:top w:val="none" w:color="auto" w:sz="0" w:space="1"/>
        <w:left w:val="none" w:color="auto" w:sz="0" w:space="4"/>
        <w:bottom w:val="none" w:color="auto" w:sz="0" w:space="1"/>
        <w:right w:val="none" w:color="auto" w:sz="0" w:space="4"/>
      </w:pBdr>
      <w:jc w:val="left"/>
      <w:rPr>
        <w:rFonts w:hint="eastAsia" w:ascii="宋体" w:hAnsi="宋体" w:cs="宋体"/>
        <w:szCs w:val="18"/>
        <w:u w:val="single"/>
      </w:rPr>
    </w:pPr>
    <w:r>
      <w:rPr>
        <w:rFonts w:hint="eastAsia" w:ascii="宋体" w:hAnsi="宋体" w:cs="宋体"/>
        <w:szCs w:val="18"/>
        <w:u w:val="single"/>
      </w:rPr>
      <w:t>项目名称：西安科技大学物理实验教学中心升级改造建设项目</w:t>
    </w:r>
    <w:r>
      <w:rPr>
        <w:rFonts w:hint="eastAsia" w:ascii="宋体" w:hAnsi="宋体" w:cs="宋体"/>
        <w:szCs w:val="18"/>
        <w:u w:val="single"/>
        <w:lang w:eastAsia="zh-CN"/>
      </w:rPr>
      <w:t>（</w:t>
    </w:r>
    <w:r>
      <w:rPr>
        <w:rFonts w:hint="eastAsia" w:ascii="宋体" w:hAnsi="宋体" w:cs="宋体"/>
        <w:szCs w:val="18"/>
        <w:u w:val="single"/>
        <w:lang w:val="en-US" w:eastAsia="zh-CN"/>
      </w:rPr>
      <w:t>二次）</w:t>
    </w:r>
    <w:r>
      <w:rPr>
        <w:rFonts w:hint="eastAsia" w:ascii="宋体" w:hAnsi="宋体" w:cs="宋体"/>
        <w:szCs w:val="18"/>
        <w:u w:val="single"/>
      </w:rPr>
      <w:t xml:space="preserve">       项目编号：ZHZB-2022-JT-1184</w:t>
    </w:r>
    <w:r>
      <w:rPr>
        <w:rFonts w:hint="eastAsia" w:ascii="宋体" w:hAnsi="宋体" w:cs="宋体"/>
        <w:szCs w:val="18"/>
        <w:u w:val="single"/>
        <w:lang w:eastAsia="zh-CN"/>
      </w:rPr>
      <w:t>EC</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top w:val="none" w:color="auto" w:sz="0" w:space="1"/>
        <w:left w:val="none" w:color="auto" w:sz="0" w:space="4"/>
        <w:bottom w:val="none" w:color="auto" w:sz="0" w:space="1"/>
        <w:right w:val="none" w:color="auto" w:sz="0" w:space="4"/>
      </w:pBdr>
      <w:jc w:val="both"/>
      <w:rPr>
        <w:rFonts w:ascii="宋体" w:hAnsi="宋体" w:cs="宋体"/>
        <w:szCs w:val="18"/>
        <w:u w:val="single"/>
      </w:rPr>
    </w:pPr>
  </w:p>
  <w:p>
    <w:pPr>
      <w:pStyle w:val="32"/>
      <w:pBdr>
        <w:top w:val="none" w:color="auto" w:sz="0" w:space="1"/>
        <w:left w:val="none" w:color="auto" w:sz="0" w:space="4"/>
        <w:bottom w:val="none" w:color="auto" w:sz="0" w:space="1"/>
        <w:right w:val="none" w:color="auto" w:sz="0" w:space="4"/>
      </w:pBdr>
      <w:jc w:val="both"/>
    </w:pPr>
    <w:r>
      <w:rPr>
        <w:rFonts w:hint="eastAsia" w:ascii="宋体" w:hAnsi="宋体" w:cs="宋体"/>
        <w:szCs w:val="18"/>
        <w:u w:val="single"/>
      </w:rPr>
      <w:t>项目名称：西安科技大学物理实验教学中心升级改造建设项目</w:t>
    </w:r>
    <w:r>
      <w:rPr>
        <w:rFonts w:hint="eastAsia" w:ascii="宋体" w:hAnsi="宋体" w:cs="宋体"/>
        <w:szCs w:val="18"/>
        <w:u w:val="single"/>
        <w:lang w:eastAsia="zh-CN"/>
      </w:rPr>
      <w:t>（</w:t>
    </w:r>
    <w:r>
      <w:rPr>
        <w:rFonts w:hint="eastAsia" w:ascii="宋体" w:hAnsi="宋体" w:cs="宋体"/>
        <w:szCs w:val="18"/>
        <w:u w:val="single"/>
        <w:lang w:val="en-US" w:eastAsia="zh-CN"/>
      </w:rPr>
      <w:t>二次）</w:t>
    </w:r>
    <w:r>
      <w:rPr>
        <w:rFonts w:hint="eastAsia" w:ascii="宋体" w:hAnsi="宋体" w:cs="宋体"/>
        <w:szCs w:val="18"/>
        <w:u w:val="single"/>
      </w:rPr>
      <w:t xml:space="preserve">          项目编号：ZHZB-2022-JT-1184</w:t>
    </w:r>
    <w:r>
      <w:rPr>
        <w:rFonts w:hint="eastAsia" w:ascii="宋体" w:hAnsi="宋体" w:cs="宋体"/>
        <w:szCs w:val="18"/>
        <w:u w:val="single"/>
        <w:lang w:eastAsia="zh-CN"/>
      </w:rPr>
      <w:t>EC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7762B4"/>
    <w:multiLevelType w:val="singleLevel"/>
    <w:tmpl w:val="867762B4"/>
    <w:lvl w:ilvl="0" w:tentative="0">
      <w:start w:val="1"/>
      <w:numFmt w:val="bullet"/>
      <w:pStyle w:val="20"/>
      <w:lvlText w:val=""/>
      <w:lvlJc w:val="left"/>
      <w:pPr>
        <w:tabs>
          <w:tab w:val="left" w:pos="1200"/>
        </w:tabs>
        <w:ind w:left="1200" w:hanging="360"/>
      </w:pPr>
      <w:rPr>
        <w:rFonts w:hint="default" w:ascii="Wingdings" w:hAnsi="Wingdings"/>
      </w:rPr>
    </w:lvl>
  </w:abstractNum>
  <w:abstractNum w:abstractNumId="1">
    <w:nsid w:val="AC7BAD70"/>
    <w:multiLevelType w:val="singleLevel"/>
    <w:tmpl w:val="AC7BAD70"/>
    <w:lvl w:ilvl="0" w:tentative="0">
      <w:start w:val="2"/>
      <w:numFmt w:val="chineseCounting"/>
      <w:suff w:val="nothing"/>
      <w:lvlText w:val="%1、"/>
      <w:lvlJc w:val="left"/>
      <w:rPr>
        <w:rFonts w:hint="eastAsia"/>
      </w:rPr>
    </w:lvl>
  </w:abstractNum>
  <w:abstractNum w:abstractNumId="2">
    <w:nsid w:val="0FFE4791"/>
    <w:multiLevelType w:val="singleLevel"/>
    <w:tmpl w:val="0FFE4791"/>
    <w:lvl w:ilvl="0" w:tentative="0">
      <w:start w:val="1"/>
      <w:numFmt w:val="decimal"/>
      <w:pStyle w:val="72"/>
      <w:lvlText w:val="%1)"/>
      <w:lvlJc w:val="left"/>
      <w:pPr>
        <w:tabs>
          <w:tab w:val="left" w:pos="397"/>
        </w:tabs>
        <w:ind w:left="397" w:hanging="397"/>
      </w:pPr>
      <w:rPr>
        <w:rFonts w:hint="eastAsia"/>
      </w:rPr>
    </w:lvl>
  </w:abstractNum>
  <w:abstractNum w:abstractNumId="3">
    <w:nsid w:val="11F708FA"/>
    <w:multiLevelType w:val="singleLevel"/>
    <w:tmpl w:val="11F708FA"/>
    <w:lvl w:ilvl="0" w:tentative="0">
      <w:start w:val="1"/>
      <w:numFmt w:val="decimal"/>
      <w:lvlText w:val="%1)"/>
      <w:lvlJc w:val="left"/>
      <w:pPr>
        <w:tabs>
          <w:tab w:val="left" w:pos="420"/>
        </w:tabs>
        <w:ind w:left="845" w:hanging="425"/>
      </w:pPr>
      <w:rPr>
        <w:rFonts w:hint="default"/>
      </w:rPr>
    </w:lvl>
  </w:abstractNum>
  <w:abstractNum w:abstractNumId="4">
    <w:nsid w:val="17653A62"/>
    <w:multiLevelType w:val="multilevel"/>
    <w:tmpl w:val="17653A62"/>
    <w:lvl w:ilvl="0" w:tentative="0">
      <w:start w:val="1"/>
      <w:numFmt w:val="decimal"/>
      <w:lvlText w:val="%1、"/>
      <w:lvlJc w:val="left"/>
      <w:pPr>
        <w:tabs>
          <w:tab w:val="left" w:pos="360"/>
        </w:tabs>
        <w:ind w:left="360" w:hanging="360"/>
      </w:pPr>
      <w:rPr>
        <w:rFonts w:hint="default"/>
      </w:rPr>
    </w:lvl>
    <w:lvl w:ilvl="1" w:tentative="0">
      <w:start w:val="1"/>
      <w:numFmt w:val="lowerLetter"/>
      <w:pStyle w:val="70"/>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D655FED"/>
    <w:multiLevelType w:val="multilevel"/>
    <w:tmpl w:val="1D655FED"/>
    <w:lvl w:ilvl="0" w:tentative="0">
      <w:start w:val="1"/>
      <w:numFmt w:val="decimal"/>
      <w:pStyle w:val="117"/>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182"/>
      <w:lvlText w:val="2.3.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6">
    <w:nsid w:val="2197F4A0"/>
    <w:multiLevelType w:val="singleLevel"/>
    <w:tmpl w:val="2197F4A0"/>
    <w:lvl w:ilvl="0" w:tentative="0">
      <w:start w:val="1"/>
      <w:numFmt w:val="decimal"/>
      <w:lvlText w:val="%1)"/>
      <w:lvlJc w:val="left"/>
      <w:pPr>
        <w:tabs>
          <w:tab w:val="left" w:pos="420"/>
        </w:tabs>
        <w:ind w:left="845" w:hanging="425"/>
      </w:pPr>
      <w:rPr>
        <w:rFonts w:hint="default"/>
      </w:rPr>
    </w:lvl>
  </w:abstractNum>
  <w:abstractNum w:abstractNumId="7">
    <w:nsid w:val="2BE235D4"/>
    <w:multiLevelType w:val="multilevel"/>
    <w:tmpl w:val="2BE235D4"/>
    <w:lvl w:ilvl="0" w:tentative="0">
      <w:start w:val="1"/>
      <w:numFmt w:val="decimal"/>
      <w:pStyle w:val="127"/>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4D993502"/>
    <w:multiLevelType w:val="multilevel"/>
    <w:tmpl w:val="4D993502"/>
    <w:lvl w:ilvl="0" w:tentative="0">
      <w:start w:val="1"/>
      <w:numFmt w:val="decimal"/>
      <w:pStyle w:val="248"/>
      <w:lvlText w:val="%1"/>
      <w:lvlJc w:val="left"/>
      <w:pPr>
        <w:tabs>
          <w:tab w:val="left" w:pos="425"/>
        </w:tabs>
        <w:ind w:left="425" w:hanging="425"/>
      </w:pPr>
      <w:rPr>
        <w:rFonts w:hint="eastAsia"/>
      </w:rPr>
    </w:lvl>
    <w:lvl w:ilvl="1" w:tentative="0">
      <w:start w:val="1"/>
      <w:numFmt w:val="decimal"/>
      <w:pStyle w:val="176"/>
      <w:lvlText w:val="%1.%2"/>
      <w:lvlJc w:val="left"/>
      <w:pPr>
        <w:tabs>
          <w:tab w:val="left" w:pos="927"/>
        </w:tabs>
        <w:ind w:left="927"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pStyle w:val="217"/>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9">
    <w:nsid w:val="65E13960"/>
    <w:multiLevelType w:val="multilevel"/>
    <w:tmpl w:val="65E13960"/>
    <w:lvl w:ilvl="0" w:tentative="0">
      <w:start w:val="1"/>
      <w:numFmt w:val="bullet"/>
      <w:pStyle w:val="184"/>
      <w:lvlText w:val=""/>
      <w:lvlJc w:val="left"/>
      <w:pPr>
        <w:tabs>
          <w:tab w:val="left" w:pos="870"/>
        </w:tabs>
        <w:ind w:left="870" w:hanging="510"/>
      </w:pPr>
      <w:rPr>
        <w:rFonts w:hint="default" w:ascii="Wingdings" w:hAnsi="Wingdings" w:cs="_x000B__x000C_"/>
        <w:color w:val="auto"/>
        <w:sz w:val="13"/>
        <w:szCs w:val="13"/>
        <w:u w:val="none"/>
      </w:rPr>
    </w:lvl>
    <w:lvl w:ilvl="1" w:tentative="0">
      <w:start w:val="1"/>
      <w:numFmt w:val="bullet"/>
      <w:lvlText w:val=""/>
      <w:lvlJc w:val="left"/>
      <w:pPr>
        <w:tabs>
          <w:tab w:val="left" w:pos="66"/>
        </w:tabs>
        <w:ind w:left="66" w:hanging="420"/>
      </w:pPr>
      <w:rPr>
        <w:rFonts w:hint="default" w:ascii="Wingdings" w:hAnsi="Wingdings"/>
      </w:rPr>
    </w:lvl>
    <w:lvl w:ilvl="2" w:tentative="0">
      <w:start w:val="1"/>
      <w:numFmt w:val="bullet"/>
      <w:lvlText w:val=""/>
      <w:lvlJc w:val="left"/>
      <w:pPr>
        <w:tabs>
          <w:tab w:val="left" w:pos="486"/>
        </w:tabs>
        <w:ind w:left="486" w:hanging="420"/>
      </w:pPr>
      <w:rPr>
        <w:rFonts w:hint="default" w:ascii="Wingdings" w:hAnsi="Wingdings"/>
      </w:rPr>
    </w:lvl>
    <w:lvl w:ilvl="3" w:tentative="0">
      <w:start w:val="1"/>
      <w:numFmt w:val="bullet"/>
      <w:lvlText w:val=""/>
      <w:lvlJc w:val="left"/>
      <w:pPr>
        <w:tabs>
          <w:tab w:val="left" w:pos="906"/>
        </w:tabs>
        <w:ind w:left="906" w:hanging="420"/>
      </w:pPr>
      <w:rPr>
        <w:rFonts w:hint="default" w:ascii="Wingdings" w:hAnsi="Wingdings"/>
      </w:rPr>
    </w:lvl>
    <w:lvl w:ilvl="4" w:tentative="0">
      <w:start w:val="1"/>
      <w:numFmt w:val="bullet"/>
      <w:lvlText w:val=""/>
      <w:lvlJc w:val="left"/>
      <w:pPr>
        <w:tabs>
          <w:tab w:val="left" w:pos="1326"/>
        </w:tabs>
        <w:ind w:left="1326" w:hanging="420"/>
      </w:pPr>
      <w:rPr>
        <w:rFonts w:hint="default" w:ascii="Wingdings" w:hAnsi="Wingdings"/>
      </w:rPr>
    </w:lvl>
    <w:lvl w:ilvl="5" w:tentative="0">
      <w:start w:val="1"/>
      <w:numFmt w:val="bullet"/>
      <w:lvlText w:val=""/>
      <w:lvlJc w:val="left"/>
      <w:pPr>
        <w:tabs>
          <w:tab w:val="left" w:pos="1746"/>
        </w:tabs>
        <w:ind w:left="1746" w:hanging="420"/>
      </w:pPr>
      <w:rPr>
        <w:rFonts w:hint="default" w:ascii="Wingdings" w:hAnsi="Wingdings"/>
      </w:rPr>
    </w:lvl>
    <w:lvl w:ilvl="6" w:tentative="0">
      <w:start w:val="1"/>
      <w:numFmt w:val="bullet"/>
      <w:lvlText w:val=""/>
      <w:lvlJc w:val="left"/>
      <w:pPr>
        <w:tabs>
          <w:tab w:val="left" w:pos="2166"/>
        </w:tabs>
        <w:ind w:left="2166" w:hanging="420"/>
      </w:pPr>
      <w:rPr>
        <w:rFonts w:hint="default" w:ascii="Wingdings" w:hAnsi="Wingdings"/>
      </w:rPr>
    </w:lvl>
    <w:lvl w:ilvl="7" w:tentative="0">
      <w:start w:val="1"/>
      <w:numFmt w:val="bullet"/>
      <w:lvlText w:val=""/>
      <w:lvlJc w:val="left"/>
      <w:pPr>
        <w:tabs>
          <w:tab w:val="left" w:pos="2586"/>
        </w:tabs>
        <w:ind w:left="2586" w:hanging="420"/>
      </w:pPr>
      <w:rPr>
        <w:rFonts w:hint="default" w:ascii="Wingdings" w:hAnsi="Wingdings"/>
      </w:rPr>
    </w:lvl>
    <w:lvl w:ilvl="8" w:tentative="0">
      <w:start w:val="1"/>
      <w:numFmt w:val="bullet"/>
      <w:lvlText w:val=""/>
      <w:lvlJc w:val="left"/>
      <w:pPr>
        <w:tabs>
          <w:tab w:val="left" w:pos="3006"/>
        </w:tabs>
        <w:ind w:left="3006" w:hanging="420"/>
      </w:pPr>
      <w:rPr>
        <w:rFonts w:hint="default" w:ascii="Wingdings" w:hAnsi="Wingdings"/>
      </w:rPr>
    </w:lvl>
  </w:abstractNum>
  <w:abstractNum w:abstractNumId="10">
    <w:nsid w:val="65F37276"/>
    <w:multiLevelType w:val="multilevel"/>
    <w:tmpl w:val="65F37276"/>
    <w:lvl w:ilvl="0" w:tentative="0">
      <w:start w:val="1"/>
      <w:numFmt w:val="decimal"/>
      <w:lvlText w:val="%1"/>
      <w:lvlJc w:val="left"/>
      <w:pPr>
        <w:tabs>
          <w:tab w:val="left" w:pos="425"/>
        </w:tabs>
        <w:ind w:left="425" w:hanging="425"/>
      </w:pPr>
      <w:rPr>
        <w:rFonts w:hint="eastAsia"/>
      </w:rPr>
    </w:lvl>
    <w:lvl w:ilvl="1" w:tentative="0">
      <w:start w:val="1"/>
      <w:numFmt w:val="decimal"/>
      <w:pStyle w:val="120"/>
      <w:lvlText w:val="%1.%2"/>
      <w:lvlJc w:val="left"/>
      <w:pPr>
        <w:tabs>
          <w:tab w:val="left" w:pos="992"/>
        </w:tabs>
        <w:ind w:left="992" w:hanging="567"/>
      </w:pPr>
      <w:rPr>
        <w:rFonts w:hint="eastAsia"/>
      </w:rPr>
    </w:lvl>
    <w:lvl w:ilvl="2" w:tentative="0">
      <w:start w:val="1"/>
      <w:numFmt w:val="decimal"/>
      <w:pStyle w:val="71"/>
      <w:lvlText w:val="%1.%2.%3"/>
      <w:lvlJc w:val="left"/>
      <w:pPr>
        <w:tabs>
          <w:tab w:val="left" w:pos="1418"/>
        </w:tabs>
        <w:ind w:left="1418" w:hanging="567"/>
      </w:pPr>
      <w:rPr>
        <w:rFonts w:hint="eastAsia"/>
      </w:rPr>
    </w:lvl>
    <w:lvl w:ilvl="3" w:tentative="0">
      <w:start w:val="1"/>
      <w:numFmt w:val="decimal"/>
      <w:pStyle w:val="200"/>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202"/>
        </w:tabs>
        <w:ind w:left="5102" w:hanging="1700"/>
      </w:pPr>
      <w:rPr>
        <w:rFonts w:hint="eastAsia"/>
      </w:rPr>
    </w:lvl>
  </w:abstractNum>
  <w:abstractNum w:abstractNumId="11">
    <w:nsid w:val="7175544B"/>
    <w:multiLevelType w:val="singleLevel"/>
    <w:tmpl w:val="7175544B"/>
    <w:lvl w:ilvl="0" w:tentative="0">
      <w:start w:val="1"/>
      <w:numFmt w:val="bullet"/>
      <w:pStyle w:val="251"/>
      <w:lvlText w:val=""/>
      <w:lvlJc w:val="left"/>
      <w:pPr>
        <w:tabs>
          <w:tab w:val="left" w:pos="454"/>
        </w:tabs>
        <w:ind w:left="454" w:hanging="454"/>
      </w:pPr>
      <w:rPr>
        <w:rFonts w:hint="default" w:ascii="Wingdings" w:hAnsi="Wingdings"/>
      </w:rPr>
    </w:lvl>
  </w:abstractNum>
  <w:abstractNum w:abstractNumId="12">
    <w:nsid w:val="74EA0679"/>
    <w:multiLevelType w:val="multilevel"/>
    <w:tmpl w:val="74EA0679"/>
    <w:lvl w:ilvl="0" w:tentative="0">
      <w:start w:val="1"/>
      <w:numFmt w:val="decimal"/>
      <w:lvlText w:val="%1"/>
      <w:lvlJc w:val="left"/>
      <w:pPr>
        <w:tabs>
          <w:tab w:val="left" w:pos="420"/>
        </w:tabs>
        <w:ind w:left="420" w:hanging="250"/>
      </w:pPr>
      <w:rPr>
        <w:rFonts w:hint="eastAsia"/>
      </w:rPr>
    </w:lvl>
    <w:lvl w:ilvl="1" w:tentative="0">
      <w:start w:val="1"/>
      <w:numFmt w:val="lowerLetter"/>
      <w:pStyle w:val="192"/>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4"/>
  </w:num>
  <w:num w:numId="3">
    <w:abstractNumId w:val="10"/>
  </w:num>
  <w:num w:numId="4">
    <w:abstractNumId w:val="2"/>
  </w:num>
  <w:num w:numId="5">
    <w:abstractNumId w:val="5"/>
  </w:num>
  <w:num w:numId="6">
    <w:abstractNumId w:val="7"/>
  </w:num>
  <w:num w:numId="7">
    <w:abstractNumId w:val="8"/>
  </w:num>
  <w:num w:numId="8">
    <w:abstractNumId w:val="9"/>
  </w:num>
  <w:num w:numId="9">
    <w:abstractNumId w:val="12"/>
  </w:num>
  <w:num w:numId="10">
    <w:abstractNumId w:val="11"/>
  </w:num>
  <w:num w:numId="11">
    <w:abstractNumId w:val="6"/>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hYWJlNzBkYWQzYzYyNjJhYTBkM2M1NjhjODRjZmIifQ=="/>
  </w:docVars>
  <w:rsids>
    <w:rsidRoot w:val="00172A27"/>
    <w:rsid w:val="00172A27"/>
    <w:rsid w:val="00745CAD"/>
    <w:rsid w:val="00B83FCA"/>
    <w:rsid w:val="00C97FFC"/>
    <w:rsid w:val="00EE20E1"/>
    <w:rsid w:val="01643681"/>
    <w:rsid w:val="017C53D2"/>
    <w:rsid w:val="01B437F0"/>
    <w:rsid w:val="01B6046E"/>
    <w:rsid w:val="029B3F1A"/>
    <w:rsid w:val="02BA620C"/>
    <w:rsid w:val="032E1CF5"/>
    <w:rsid w:val="033E77E8"/>
    <w:rsid w:val="03D506D4"/>
    <w:rsid w:val="041C1432"/>
    <w:rsid w:val="041F054D"/>
    <w:rsid w:val="042A7A65"/>
    <w:rsid w:val="05144547"/>
    <w:rsid w:val="054E4EA2"/>
    <w:rsid w:val="059312D9"/>
    <w:rsid w:val="05B16168"/>
    <w:rsid w:val="06220BE3"/>
    <w:rsid w:val="062C0325"/>
    <w:rsid w:val="06954E42"/>
    <w:rsid w:val="06A24D13"/>
    <w:rsid w:val="070C6B91"/>
    <w:rsid w:val="071023CF"/>
    <w:rsid w:val="072809AA"/>
    <w:rsid w:val="078D3243"/>
    <w:rsid w:val="07C717E5"/>
    <w:rsid w:val="083D6A1C"/>
    <w:rsid w:val="085354BF"/>
    <w:rsid w:val="087E00AD"/>
    <w:rsid w:val="08B73F73"/>
    <w:rsid w:val="09B951B6"/>
    <w:rsid w:val="0A052DF9"/>
    <w:rsid w:val="0A247B7D"/>
    <w:rsid w:val="0A727009"/>
    <w:rsid w:val="0ABD7638"/>
    <w:rsid w:val="0AC1287B"/>
    <w:rsid w:val="0B1A7E8E"/>
    <w:rsid w:val="0B310915"/>
    <w:rsid w:val="0B3666DF"/>
    <w:rsid w:val="0B95052F"/>
    <w:rsid w:val="0BAB430C"/>
    <w:rsid w:val="0BD200AD"/>
    <w:rsid w:val="0C1171D2"/>
    <w:rsid w:val="0C4B06B9"/>
    <w:rsid w:val="0D231E75"/>
    <w:rsid w:val="0DED515C"/>
    <w:rsid w:val="0E235B85"/>
    <w:rsid w:val="0E8244A1"/>
    <w:rsid w:val="0FBC0DEC"/>
    <w:rsid w:val="0FBE3335"/>
    <w:rsid w:val="105466E2"/>
    <w:rsid w:val="106B6F39"/>
    <w:rsid w:val="10BF334D"/>
    <w:rsid w:val="10F33055"/>
    <w:rsid w:val="11083A2F"/>
    <w:rsid w:val="115F5F53"/>
    <w:rsid w:val="1194430A"/>
    <w:rsid w:val="121D1408"/>
    <w:rsid w:val="12532CE2"/>
    <w:rsid w:val="12AC5274"/>
    <w:rsid w:val="12DF7B3A"/>
    <w:rsid w:val="138C4384"/>
    <w:rsid w:val="13EC35B3"/>
    <w:rsid w:val="14545A71"/>
    <w:rsid w:val="1468473A"/>
    <w:rsid w:val="14780C87"/>
    <w:rsid w:val="1498631E"/>
    <w:rsid w:val="15051C1B"/>
    <w:rsid w:val="151F5DED"/>
    <w:rsid w:val="154021CD"/>
    <w:rsid w:val="1541327D"/>
    <w:rsid w:val="15B26A3F"/>
    <w:rsid w:val="15BB5BFB"/>
    <w:rsid w:val="15BD69C6"/>
    <w:rsid w:val="16131690"/>
    <w:rsid w:val="167364D6"/>
    <w:rsid w:val="169B047F"/>
    <w:rsid w:val="16B519E5"/>
    <w:rsid w:val="16CB2A8E"/>
    <w:rsid w:val="16D53BF3"/>
    <w:rsid w:val="16E9550D"/>
    <w:rsid w:val="16F35738"/>
    <w:rsid w:val="172570AF"/>
    <w:rsid w:val="17925AD9"/>
    <w:rsid w:val="1814419A"/>
    <w:rsid w:val="18215CBD"/>
    <w:rsid w:val="196530E0"/>
    <w:rsid w:val="19EC4D81"/>
    <w:rsid w:val="1A011BC9"/>
    <w:rsid w:val="1A7320FC"/>
    <w:rsid w:val="1B597A05"/>
    <w:rsid w:val="1B6635F7"/>
    <w:rsid w:val="1B782376"/>
    <w:rsid w:val="1BD601D7"/>
    <w:rsid w:val="1CBC2166"/>
    <w:rsid w:val="1DBA3BFA"/>
    <w:rsid w:val="1DBA4BA4"/>
    <w:rsid w:val="1DDD0737"/>
    <w:rsid w:val="1E406FB1"/>
    <w:rsid w:val="1EBE033F"/>
    <w:rsid w:val="1ECD3001"/>
    <w:rsid w:val="1F191D86"/>
    <w:rsid w:val="1FF74140"/>
    <w:rsid w:val="20193AC9"/>
    <w:rsid w:val="20871FE8"/>
    <w:rsid w:val="21143A28"/>
    <w:rsid w:val="212946C1"/>
    <w:rsid w:val="2186688A"/>
    <w:rsid w:val="21E94C0D"/>
    <w:rsid w:val="222E5A45"/>
    <w:rsid w:val="229B7BA2"/>
    <w:rsid w:val="22C6298B"/>
    <w:rsid w:val="230804B8"/>
    <w:rsid w:val="235C6250"/>
    <w:rsid w:val="23D23DD8"/>
    <w:rsid w:val="2458636F"/>
    <w:rsid w:val="24910BBE"/>
    <w:rsid w:val="24F5112A"/>
    <w:rsid w:val="253E4D36"/>
    <w:rsid w:val="258764C2"/>
    <w:rsid w:val="259146B5"/>
    <w:rsid w:val="26ED3419"/>
    <w:rsid w:val="26F0377E"/>
    <w:rsid w:val="26F179D2"/>
    <w:rsid w:val="2764530F"/>
    <w:rsid w:val="27F51880"/>
    <w:rsid w:val="282C0875"/>
    <w:rsid w:val="284C3CE1"/>
    <w:rsid w:val="28856974"/>
    <w:rsid w:val="28CE4B2A"/>
    <w:rsid w:val="28FA2EEF"/>
    <w:rsid w:val="290D6151"/>
    <w:rsid w:val="294D69FF"/>
    <w:rsid w:val="29D52CE6"/>
    <w:rsid w:val="29D86016"/>
    <w:rsid w:val="29E94119"/>
    <w:rsid w:val="29F13F2B"/>
    <w:rsid w:val="2A2A7D90"/>
    <w:rsid w:val="2A4D0924"/>
    <w:rsid w:val="2A5D2967"/>
    <w:rsid w:val="2AD548A9"/>
    <w:rsid w:val="2AEE2D5D"/>
    <w:rsid w:val="2B4C3222"/>
    <w:rsid w:val="2BFF0094"/>
    <w:rsid w:val="2C966D96"/>
    <w:rsid w:val="2D2B41EE"/>
    <w:rsid w:val="2D44211F"/>
    <w:rsid w:val="2E0A5AE8"/>
    <w:rsid w:val="2E262354"/>
    <w:rsid w:val="2E707E2A"/>
    <w:rsid w:val="2E7A65BC"/>
    <w:rsid w:val="2EB1606F"/>
    <w:rsid w:val="2EB72F6F"/>
    <w:rsid w:val="2EE34401"/>
    <w:rsid w:val="2F362434"/>
    <w:rsid w:val="2F512840"/>
    <w:rsid w:val="2F7738D1"/>
    <w:rsid w:val="2FAE09DF"/>
    <w:rsid w:val="2FCC653A"/>
    <w:rsid w:val="2FFC3B09"/>
    <w:rsid w:val="314C6AAB"/>
    <w:rsid w:val="31832498"/>
    <w:rsid w:val="32B2223B"/>
    <w:rsid w:val="32E34694"/>
    <w:rsid w:val="332B62CF"/>
    <w:rsid w:val="337E7683"/>
    <w:rsid w:val="33AF4DF9"/>
    <w:rsid w:val="33C334DA"/>
    <w:rsid w:val="33D85575"/>
    <w:rsid w:val="34ED32E2"/>
    <w:rsid w:val="34F43D5A"/>
    <w:rsid w:val="34FA54FC"/>
    <w:rsid w:val="3581387D"/>
    <w:rsid w:val="35A3697C"/>
    <w:rsid w:val="35CA767D"/>
    <w:rsid w:val="367621EE"/>
    <w:rsid w:val="36D93AD1"/>
    <w:rsid w:val="36E508D2"/>
    <w:rsid w:val="37804D94"/>
    <w:rsid w:val="37F71C32"/>
    <w:rsid w:val="38354B7D"/>
    <w:rsid w:val="38377B5C"/>
    <w:rsid w:val="38AB1016"/>
    <w:rsid w:val="38C033A5"/>
    <w:rsid w:val="38EB1170"/>
    <w:rsid w:val="390A2E71"/>
    <w:rsid w:val="391A553A"/>
    <w:rsid w:val="392F374F"/>
    <w:rsid w:val="394B0624"/>
    <w:rsid w:val="39BA55A2"/>
    <w:rsid w:val="39C15978"/>
    <w:rsid w:val="3A876CB1"/>
    <w:rsid w:val="3A9477A4"/>
    <w:rsid w:val="3AA82F77"/>
    <w:rsid w:val="3B395609"/>
    <w:rsid w:val="3BD35E1D"/>
    <w:rsid w:val="3BF306A6"/>
    <w:rsid w:val="3C211E40"/>
    <w:rsid w:val="3C6208F6"/>
    <w:rsid w:val="3C88702F"/>
    <w:rsid w:val="3CD00FC5"/>
    <w:rsid w:val="3D51564C"/>
    <w:rsid w:val="3D69766B"/>
    <w:rsid w:val="3DD91455"/>
    <w:rsid w:val="3DF86242"/>
    <w:rsid w:val="3E9A1BB0"/>
    <w:rsid w:val="3F1506AE"/>
    <w:rsid w:val="3F9D6070"/>
    <w:rsid w:val="404B2A22"/>
    <w:rsid w:val="409E4345"/>
    <w:rsid w:val="419F735D"/>
    <w:rsid w:val="41B1205E"/>
    <w:rsid w:val="41B4466B"/>
    <w:rsid w:val="42017813"/>
    <w:rsid w:val="42334106"/>
    <w:rsid w:val="42C331A6"/>
    <w:rsid w:val="42D37FFB"/>
    <w:rsid w:val="43081B9D"/>
    <w:rsid w:val="434E7459"/>
    <w:rsid w:val="43877C4A"/>
    <w:rsid w:val="439F5D58"/>
    <w:rsid w:val="43D04FD5"/>
    <w:rsid w:val="44733132"/>
    <w:rsid w:val="44AB4E4D"/>
    <w:rsid w:val="44E972FF"/>
    <w:rsid w:val="45E85781"/>
    <w:rsid w:val="462C5C97"/>
    <w:rsid w:val="46545B99"/>
    <w:rsid w:val="469B41C4"/>
    <w:rsid w:val="46D55EC3"/>
    <w:rsid w:val="46E220FA"/>
    <w:rsid w:val="47047847"/>
    <w:rsid w:val="470E434C"/>
    <w:rsid w:val="473D07F3"/>
    <w:rsid w:val="479870E2"/>
    <w:rsid w:val="47E97990"/>
    <w:rsid w:val="493921F1"/>
    <w:rsid w:val="4A5D64C2"/>
    <w:rsid w:val="4AA5453A"/>
    <w:rsid w:val="4B2B07F4"/>
    <w:rsid w:val="4B4D727B"/>
    <w:rsid w:val="4C0A5F5E"/>
    <w:rsid w:val="4CCB1E9C"/>
    <w:rsid w:val="4D800F7D"/>
    <w:rsid w:val="4D902D59"/>
    <w:rsid w:val="4D9C37B9"/>
    <w:rsid w:val="4DA04EE1"/>
    <w:rsid w:val="4DB666C9"/>
    <w:rsid w:val="4DEB03B7"/>
    <w:rsid w:val="4E0F4991"/>
    <w:rsid w:val="4E633E64"/>
    <w:rsid w:val="4EBF33BF"/>
    <w:rsid w:val="4F2A5CED"/>
    <w:rsid w:val="503018C0"/>
    <w:rsid w:val="50B15B5E"/>
    <w:rsid w:val="50BD3EA8"/>
    <w:rsid w:val="512257BB"/>
    <w:rsid w:val="51503D08"/>
    <w:rsid w:val="51C22616"/>
    <w:rsid w:val="51D5199E"/>
    <w:rsid w:val="54705E1D"/>
    <w:rsid w:val="54AF14AF"/>
    <w:rsid w:val="551345F4"/>
    <w:rsid w:val="5560764A"/>
    <w:rsid w:val="558329CB"/>
    <w:rsid w:val="56287C19"/>
    <w:rsid w:val="567339B4"/>
    <w:rsid w:val="56F05D3A"/>
    <w:rsid w:val="570B4A16"/>
    <w:rsid w:val="57AB1F19"/>
    <w:rsid w:val="57B11E41"/>
    <w:rsid w:val="5844614B"/>
    <w:rsid w:val="586B72A1"/>
    <w:rsid w:val="5958756C"/>
    <w:rsid w:val="59A570F1"/>
    <w:rsid w:val="59BF6260"/>
    <w:rsid w:val="59EF1B7E"/>
    <w:rsid w:val="5AB0697E"/>
    <w:rsid w:val="5AB33AC8"/>
    <w:rsid w:val="5AD86293"/>
    <w:rsid w:val="5B724728"/>
    <w:rsid w:val="5BA44252"/>
    <w:rsid w:val="5BE429A3"/>
    <w:rsid w:val="5C4521E5"/>
    <w:rsid w:val="5CCC04CE"/>
    <w:rsid w:val="5D0B6812"/>
    <w:rsid w:val="5DBD1A9F"/>
    <w:rsid w:val="5E495F4A"/>
    <w:rsid w:val="5EA302E7"/>
    <w:rsid w:val="600138D4"/>
    <w:rsid w:val="60761ADE"/>
    <w:rsid w:val="608801C9"/>
    <w:rsid w:val="60F97E8E"/>
    <w:rsid w:val="60FA1360"/>
    <w:rsid w:val="61D61960"/>
    <w:rsid w:val="61F21548"/>
    <w:rsid w:val="629D3797"/>
    <w:rsid w:val="62A063CA"/>
    <w:rsid w:val="63B7679B"/>
    <w:rsid w:val="6459260A"/>
    <w:rsid w:val="651E478C"/>
    <w:rsid w:val="65437306"/>
    <w:rsid w:val="65AB0495"/>
    <w:rsid w:val="662C5511"/>
    <w:rsid w:val="664B014C"/>
    <w:rsid w:val="66FA4342"/>
    <w:rsid w:val="67E224A4"/>
    <w:rsid w:val="681C3700"/>
    <w:rsid w:val="68557CA2"/>
    <w:rsid w:val="68F651D2"/>
    <w:rsid w:val="6969123F"/>
    <w:rsid w:val="6A2B0611"/>
    <w:rsid w:val="6A8346CF"/>
    <w:rsid w:val="6AB8175F"/>
    <w:rsid w:val="6ABD3067"/>
    <w:rsid w:val="6B4859D6"/>
    <w:rsid w:val="6BDC5458"/>
    <w:rsid w:val="6C6D48A4"/>
    <w:rsid w:val="6C7B5532"/>
    <w:rsid w:val="6CDF4B2E"/>
    <w:rsid w:val="6CED3D6F"/>
    <w:rsid w:val="6CFE749C"/>
    <w:rsid w:val="6D211038"/>
    <w:rsid w:val="6D33241E"/>
    <w:rsid w:val="6D474B19"/>
    <w:rsid w:val="6D8E363A"/>
    <w:rsid w:val="6DE05A16"/>
    <w:rsid w:val="6DF55F11"/>
    <w:rsid w:val="6E1C588D"/>
    <w:rsid w:val="6E891025"/>
    <w:rsid w:val="6E8A3805"/>
    <w:rsid w:val="6F675D32"/>
    <w:rsid w:val="6F7C31CA"/>
    <w:rsid w:val="6FA02A0D"/>
    <w:rsid w:val="70CF6811"/>
    <w:rsid w:val="71194266"/>
    <w:rsid w:val="71741431"/>
    <w:rsid w:val="71A55125"/>
    <w:rsid w:val="720A35E9"/>
    <w:rsid w:val="72855689"/>
    <w:rsid w:val="72A9609C"/>
    <w:rsid w:val="72BF19FC"/>
    <w:rsid w:val="73232C74"/>
    <w:rsid w:val="73495DB7"/>
    <w:rsid w:val="73EE3E0B"/>
    <w:rsid w:val="740233B2"/>
    <w:rsid w:val="740E0533"/>
    <w:rsid w:val="743076BE"/>
    <w:rsid w:val="743509A8"/>
    <w:rsid w:val="74A52114"/>
    <w:rsid w:val="74B44940"/>
    <w:rsid w:val="74DC420B"/>
    <w:rsid w:val="74E75E6F"/>
    <w:rsid w:val="755D1774"/>
    <w:rsid w:val="760760E8"/>
    <w:rsid w:val="76E95D65"/>
    <w:rsid w:val="77207867"/>
    <w:rsid w:val="772552D7"/>
    <w:rsid w:val="77486357"/>
    <w:rsid w:val="779B21F8"/>
    <w:rsid w:val="779B3B14"/>
    <w:rsid w:val="785C5F01"/>
    <w:rsid w:val="78E33713"/>
    <w:rsid w:val="78E621EB"/>
    <w:rsid w:val="791A1185"/>
    <w:rsid w:val="792F42D5"/>
    <w:rsid w:val="795845DF"/>
    <w:rsid w:val="7978060F"/>
    <w:rsid w:val="79D70A7F"/>
    <w:rsid w:val="7A1B68EB"/>
    <w:rsid w:val="7A4A2E5E"/>
    <w:rsid w:val="7A763D91"/>
    <w:rsid w:val="7AD91C37"/>
    <w:rsid w:val="7B677DA1"/>
    <w:rsid w:val="7BE60693"/>
    <w:rsid w:val="7BE96068"/>
    <w:rsid w:val="7C862858"/>
    <w:rsid w:val="7CDB5465"/>
    <w:rsid w:val="7CFC2E4D"/>
    <w:rsid w:val="7D072AB5"/>
    <w:rsid w:val="7D61717D"/>
    <w:rsid w:val="7D914CDF"/>
    <w:rsid w:val="7E50082B"/>
    <w:rsid w:val="7EE44C71"/>
    <w:rsid w:val="7F7B4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04"/>
    <w:qFormat/>
    <w:uiPriority w:val="0"/>
    <w:pPr>
      <w:keepNext/>
      <w:keepLines/>
      <w:spacing w:line="480" w:lineRule="auto"/>
      <w:jc w:val="center"/>
      <w:outlineLvl w:val="0"/>
    </w:pPr>
    <w:rPr>
      <w:b/>
      <w:kern w:val="44"/>
      <w:sz w:val="32"/>
    </w:rPr>
  </w:style>
  <w:style w:type="paragraph" w:styleId="4">
    <w:name w:val="heading 2"/>
    <w:basedOn w:val="1"/>
    <w:next w:val="1"/>
    <w:link w:val="288"/>
    <w:qFormat/>
    <w:uiPriority w:val="0"/>
    <w:pPr>
      <w:keepNext/>
      <w:keepLines/>
      <w:spacing w:line="415" w:lineRule="auto"/>
      <w:jc w:val="center"/>
      <w:outlineLvl w:val="1"/>
    </w:pPr>
    <w:rPr>
      <w:rFonts w:ascii="Arial" w:hAnsi="Arial"/>
      <w:b/>
      <w:sz w:val="30"/>
    </w:rPr>
  </w:style>
  <w:style w:type="paragraph" w:styleId="5">
    <w:name w:val="heading 3"/>
    <w:basedOn w:val="1"/>
    <w:next w:val="1"/>
    <w:link w:val="325"/>
    <w:qFormat/>
    <w:uiPriority w:val="0"/>
    <w:pPr>
      <w:keepNext/>
      <w:keepLines/>
      <w:spacing w:line="415" w:lineRule="auto"/>
      <w:jc w:val="center"/>
      <w:outlineLvl w:val="2"/>
    </w:pPr>
    <w:rPr>
      <w:rFonts w:ascii="宋体" w:hAnsi="宋体" w:cs="宋体"/>
      <w:b/>
      <w:sz w:val="28"/>
    </w:rPr>
  </w:style>
  <w:style w:type="paragraph" w:styleId="6">
    <w:name w:val="heading 4"/>
    <w:basedOn w:val="1"/>
    <w:next w:val="1"/>
    <w:link w:val="322"/>
    <w:qFormat/>
    <w:uiPriority w:val="0"/>
    <w:pPr>
      <w:keepNext/>
      <w:keepLines/>
      <w:adjustRightInd w:val="0"/>
      <w:spacing w:line="360" w:lineRule="auto"/>
      <w:outlineLvl w:val="3"/>
    </w:pPr>
    <w:rPr>
      <w:rFonts w:ascii="宋体" w:hAnsi="宋体" w:cs="宋体"/>
      <w:b/>
      <w:kern w:val="0"/>
      <w:sz w:val="24"/>
    </w:rPr>
  </w:style>
  <w:style w:type="paragraph" w:styleId="7">
    <w:name w:val="heading 5"/>
    <w:basedOn w:val="1"/>
    <w:next w:val="1"/>
    <w:qFormat/>
    <w:uiPriority w:val="0"/>
    <w:pPr>
      <w:keepNext/>
      <w:keepLines/>
      <w:adjustRightInd w:val="0"/>
      <w:spacing w:line="376" w:lineRule="atLeast"/>
      <w:outlineLvl w:val="4"/>
    </w:pPr>
    <w:rPr>
      <w:b/>
      <w:kern w:val="0"/>
      <w:sz w:val="28"/>
    </w:rPr>
  </w:style>
  <w:style w:type="paragraph" w:styleId="8">
    <w:name w:val="heading 6"/>
    <w:basedOn w:val="1"/>
    <w:next w:val="1"/>
    <w:qFormat/>
    <w:uiPriority w:val="0"/>
    <w:pPr>
      <w:keepNext/>
      <w:keepLines/>
      <w:adjustRightInd w:val="0"/>
      <w:spacing w:line="320" w:lineRule="atLeast"/>
      <w:outlineLvl w:val="5"/>
    </w:pPr>
    <w:rPr>
      <w:rFonts w:ascii="Arial" w:hAnsi="Arial" w:eastAsia="黑体"/>
      <w:b/>
      <w:kern w:val="0"/>
      <w:sz w:val="24"/>
    </w:rPr>
  </w:style>
  <w:style w:type="paragraph" w:styleId="9">
    <w:name w:val="heading 7"/>
    <w:basedOn w:val="1"/>
    <w:next w:val="1"/>
    <w:qFormat/>
    <w:uiPriority w:val="0"/>
    <w:pPr>
      <w:keepNext/>
      <w:keepLines/>
      <w:adjustRightInd w:val="0"/>
      <w:spacing w:line="320" w:lineRule="atLeast"/>
      <w:outlineLvl w:val="6"/>
    </w:pPr>
    <w:rPr>
      <w:b/>
      <w:kern w:val="0"/>
      <w:sz w:val="24"/>
    </w:rPr>
  </w:style>
  <w:style w:type="paragraph" w:styleId="10">
    <w:name w:val="heading 8"/>
    <w:basedOn w:val="1"/>
    <w:next w:val="1"/>
    <w:qFormat/>
    <w:uiPriority w:val="0"/>
    <w:pPr>
      <w:keepNext/>
      <w:keepLines/>
      <w:adjustRightInd w:val="0"/>
      <w:spacing w:line="320" w:lineRule="atLeast"/>
      <w:outlineLvl w:val="7"/>
    </w:pPr>
    <w:rPr>
      <w:rFonts w:ascii="Arial" w:hAnsi="Arial" w:eastAsia="黑体"/>
      <w:kern w:val="0"/>
      <w:sz w:val="24"/>
    </w:rPr>
  </w:style>
  <w:style w:type="paragraph" w:styleId="11">
    <w:name w:val="heading 9"/>
    <w:basedOn w:val="1"/>
    <w:next w:val="1"/>
    <w:qFormat/>
    <w:uiPriority w:val="0"/>
    <w:pPr>
      <w:keepNext/>
      <w:keepLines/>
      <w:adjustRightInd w:val="0"/>
      <w:spacing w:line="320" w:lineRule="atLeast"/>
      <w:outlineLvl w:val="8"/>
    </w:pPr>
    <w:rPr>
      <w:rFonts w:ascii="Arial" w:hAnsi="Arial" w:eastAsia="黑体"/>
      <w:kern w:val="0"/>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next w:val="14"/>
    <w:link w:val="314"/>
    <w:qFormat/>
    <w:uiPriority w:val="0"/>
    <w:pPr>
      <w:spacing w:line="360" w:lineRule="auto"/>
      <w:ind w:firstLine="562" w:firstLineChars="200"/>
    </w:pPr>
    <w:rPr>
      <w:rFonts w:ascii="宋体" w:hAnsi="宋体" w:cs="宋体"/>
      <w:sz w:val="24"/>
    </w:rPr>
  </w:style>
  <w:style w:type="paragraph" w:styleId="14">
    <w:name w:val="toc 4"/>
    <w:basedOn w:val="1"/>
    <w:next w:val="1"/>
    <w:qFormat/>
    <w:uiPriority w:val="0"/>
    <w:pPr>
      <w:ind w:left="630"/>
      <w:jc w:val="left"/>
    </w:pPr>
    <w:rPr>
      <w:sz w:val="18"/>
      <w:szCs w:val="18"/>
    </w:rPr>
  </w:style>
  <w:style w:type="paragraph" w:styleId="15">
    <w:name w:val="caption"/>
    <w:basedOn w:val="1"/>
    <w:next w:val="1"/>
    <w:qFormat/>
    <w:uiPriority w:val="0"/>
    <w:pPr>
      <w:spacing w:before="120" w:after="120"/>
    </w:pPr>
    <w:rPr>
      <w:b/>
      <w:szCs w:val="24"/>
    </w:rPr>
  </w:style>
  <w:style w:type="paragraph" w:styleId="16">
    <w:name w:val="Document Map"/>
    <w:basedOn w:val="1"/>
    <w:qFormat/>
    <w:uiPriority w:val="0"/>
    <w:pPr>
      <w:shd w:val="clear" w:color="auto" w:fill="000080"/>
    </w:pPr>
  </w:style>
  <w:style w:type="paragraph" w:styleId="17">
    <w:name w:val="annotation text"/>
    <w:basedOn w:val="1"/>
    <w:semiHidden/>
    <w:qFormat/>
    <w:uiPriority w:val="0"/>
    <w:pPr>
      <w:jc w:val="left"/>
    </w:pPr>
  </w:style>
  <w:style w:type="paragraph" w:styleId="18">
    <w:name w:val="Salutation"/>
    <w:basedOn w:val="1"/>
    <w:next w:val="1"/>
    <w:link w:val="281"/>
    <w:qFormat/>
    <w:uiPriority w:val="0"/>
  </w:style>
  <w:style w:type="paragraph" w:styleId="19">
    <w:name w:val="Body Text 3"/>
    <w:basedOn w:val="1"/>
    <w:qFormat/>
    <w:uiPriority w:val="0"/>
    <w:rPr>
      <w:sz w:val="16"/>
    </w:rPr>
  </w:style>
  <w:style w:type="paragraph" w:styleId="20">
    <w:name w:val="List Bullet 3"/>
    <w:basedOn w:val="1"/>
    <w:qFormat/>
    <w:uiPriority w:val="0"/>
    <w:pPr>
      <w:numPr>
        <w:ilvl w:val="0"/>
        <w:numId w:val="1"/>
      </w:numPr>
    </w:pPr>
  </w:style>
  <w:style w:type="paragraph" w:styleId="21">
    <w:name w:val="Body Text"/>
    <w:basedOn w:val="1"/>
    <w:next w:val="1"/>
    <w:qFormat/>
    <w:uiPriority w:val="0"/>
    <w:rPr>
      <w:b/>
      <w:sz w:val="28"/>
    </w:rPr>
  </w:style>
  <w:style w:type="paragraph" w:styleId="22">
    <w:name w:val="Body Text Indent"/>
    <w:basedOn w:val="1"/>
    <w:link w:val="283"/>
    <w:qFormat/>
    <w:uiPriority w:val="0"/>
    <w:pPr>
      <w:ind w:left="1083" w:leftChars="30" w:hanging="1020" w:hangingChars="425"/>
    </w:pPr>
    <w:rPr>
      <w:rFonts w:ascii="宋体" w:hAnsi="宋体"/>
      <w:sz w:val="24"/>
    </w:rPr>
  </w:style>
  <w:style w:type="paragraph" w:styleId="23">
    <w:name w:val="List 2"/>
    <w:basedOn w:val="1"/>
    <w:qFormat/>
    <w:uiPriority w:val="0"/>
    <w:pPr>
      <w:ind w:left="100" w:leftChars="200" w:hanging="200" w:hangingChars="200"/>
    </w:pPr>
    <w:rPr>
      <w:szCs w:val="24"/>
    </w:r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39"/>
    <w:pPr>
      <w:ind w:left="420"/>
      <w:jc w:val="left"/>
    </w:pPr>
    <w:rPr>
      <w:i/>
      <w:iCs/>
      <w:sz w:val="20"/>
    </w:rPr>
  </w:style>
  <w:style w:type="paragraph" w:styleId="26">
    <w:name w:val="Plain Text"/>
    <w:basedOn w:val="1"/>
    <w:link w:val="313"/>
    <w:qFormat/>
    <w:uiPriority w:val="0"/>
    <w:rPr>
      <w:rFonts w:ascii="宋体" w:hAnsi="Courier New"/>
      <w:sz w:val="24"/>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pPr>
      <w:ind w:left="100" w:leftChars="2500"/>
    </w:pPr>
    <w:rPr>
      <w:b/>
      <w:sz w:val="36"/>
    </w:rPr>
  </w:style>
  <w:style w:type="paragraph" w:styleId="29">
    <w:name w:val="Body Text Indent 2"/>
    <w:basedOn w:val="1"/>
    <w:qFormat/>
    <w:uiPriority w:val="0"/>
    <w:pPr>
      <w:spacing w:line="360" w:lineRule="auto"/>
      <w:ind w:firstLine="480" w:firstLineChars="200"/>
    </w:pPr>
    <w:rPr>
      <w:rFonts w:ascii="幼圆" w:hAnsi="宋体" w:eastAsia="幼圆"/>
      <w:color w:val="FF0000"/>
      <w:sz w:val="24"/>
    </w:rPr>
  </w:style>
  <w:style w:type="paragraph" w:styleId="30">
    <w:name w:val="Balloon Text"/>
    <w:basedOn w:val="1"/>
    <w:qFormat/>
    <w:uiPriority w:val="0"/>
    <w:rPr>
      <w:sz w:val="18"/>
    </w:rPr>
  </w:style>
  <w:style w:type="paragraph" w:styleId="31">
    <w:name w:val="footer"/>
    <w:basedOn w:val="1"/>
    <w:link w:val="261"/>
    <w:qFormat/>
    <w:uiPriority w:val="0"/>
    <w:pPr>
      <w:tabs>
        <w:tab w:val="center" w:pos="4153"/>
        <w:tab w:val="right" w:pos="8306"/>
      </w:tabs>
      <w:snapToGrid w:val="0"/>
      <w:jc w:val="left"/>
    </w:pPr>
    <w:rPr>
      <w:sz w:val="18"/>
    </w:rPr>
  </w:style>
  <w:style w:type="paragraph" w:styleId="32">
    <w:name w:val="header"/>
    <w:basedOn w:val="1"/>
    <w:qFormat/>
    <w:uiPriority w:val="0"/>
    <w:pPr>
      <w:pBdr>
        <w:bottom w:val="single" w:color="auto" w:sz="6" w:space="1"/>
      </w:pBdr>
      <w:tabs>
        <w:tab w:val="center" w:pos="4153"/>
        <w:tab w:val="right" w:pos="8306"/>
      </w:tabs>
      <w:adjustRightInd w:val="0"/>
      <w:spacing w:line="240" w:lineRule="atLeast"/>
      <w:jc w:val="center"/>
    </w:pPr>
    <w:rPr>
      <w:kern w:val="0"/>
      <w:sz w:val="18"/>
    </w:rPr>
  </w:style>
  <w:style w:type="paragraph" w:styleId="33">
    <w:name w:val="toc 1"/>
    <w:basedOn w:val="1"/>
    <w:next w:val="1"/>
    <w:qFormat/>
    <w:uiPriority w:val="39"/>
    <w:pPr>
      <w:spacing w:line="480" w:lineRule="auto"/>
      <w:jc w:val="left"/>
    </w:pPr>
    <w:rPr>
      <w:b/>
      <w:bCs/>
      <w:caps/>
      <w:sz w:val="28"/>
    </w:rPr>
  </w:style>
  <w:style w:type="paragraph" w:styleId="34">
    <w:name w:val="footnote text"/>
    <w:basedOn w:val="1"/>
    <w:link w:val="280"/>
    <w:qFormat/>
    <w:uiPriority w:val="0"/>
    <w:pPr>
      <w:snapToGrid w:val="0"/>
      <w:jc w:val="left"/>
    </w:pPr>
    <w:rPr>
      <w:rFonts w:ascii="宋体" w:hAnsi="宋体" w:eastAsia="新宋体"/>
      <w:kern w:val="0"/>
      <w:sz w:val="18"/>
      <w:szCs w:val="22"/>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ind w:left="420" w:leftChars="200"/>
    </w:pPr>
    <w:rPr>
      <w:sz w:val="16"/>
    </w:rPr>
  </w:style>
  <w:style w:type="paragraph" w:styleId="37">
    <w:name w:val="toc 2"/>
    <w:basedOn w:val="1"/>
    <w:next w:val="1"/>
    <w:qFormat/>
    <w:uiPriority w:val="39"/>
    <w:pPr>
      <w:ind w:left="210"/>
      <w:jc w:val="left"/>
    </w:pPr>
    <w:rPr>
      <w:smallCaps/>
      <w:sz w:val="20"/>
    </w:rPr>
  </w:style>
  <w:style w:type="paragraph" w:styleId="38">
    <w:name w:val="toc 9"/>
    <w:basedOn w:val="1"/>
    <w:next w:val="1"/>
    <w:qFormat/>
    <w:uiPriority w:val="0"/>
    <w:pPr>
      <w:ind w:left="1680"/>
      <w:jc w:val="left"/>
    </w:pPr>
    <w:rPr>
      <w:sz w:val="18"/>
      <w:szCs w:val="18"/>
    </w:rPr>
  </w:style>
  <w:style w:type="paragraph" w:styleId="39">
    <w:name w:val="Body Text 2"/>
    <w:basedOn w:val="1"/>
    <w:qFormat/>
    <w:uiPriority w:val="0"/>
    <w:pPr>
      <w:spacing w:line="360" w:lineRule="auto"/>
    </w:pPr>
    <w:rPr>
      <w:rFonts w:ascii="幼圆" w:eastAsia="幼圆"/>
      <w:sz w:val="24"/>
      <w:u w:val="single"/>
    </w:rPr>
  </w:style>
  <w:style w:type="paragraph" w:styleId="40">
    <w:name w:val="HTML Preformatted"/>
    <w:basedOn w:val="1"/>
    <w:qFormat/>
    <w:uiPriority w:val="0"/>
    <w:rPr>
      <w:rFonts w:ascii="Courier New" w:hAnsi="Courier New"/>
      <w:sz w:val="20"/>
    </w:rPr>
  </w:style>
  <w:style w:type="paragraph" w:styleId="41">
    <w:name w:val="Normal (Web)"/>
    <w:basedOn w:val="1"/>
    <w:qFormat/>
    <w:uiPriority w:val="0"/>
    <w:pPr>
      <w:widowControl/>
      <w:spacing w:beforeAutospacing="1" w:afterAutospacing="1"/>
      <w:jc w:val="left"/>
    </w:pPr>
    <w:rPr>
      <w:rFonts w:ascii="宋体" w:hAnsi="宋体"/>
      <w:kern w:val="0"/>
      <w:sz w:val="24"/>
    </w:rPr>
  </w:style>
  <w:style w:type="paragraph" w:styleId="42">
    <w:name w:val="index 1"/>
    <w:basedOn w:val="1"/>
    <w:next w:val="1"/>
    <w:qFormat/>
    <w:uiPriority w:val="0"/>
  </w:style>
  <w:style w:type="paragraph" w:styleId="43">
    <w:name w:val="Title"/>
    <w:basedOn w:val="1"/>
    <w:next w:val="1"/>
    <w:link w:val="293"/>
    <w:qFormat/>
    <w:uiPriority w:val="0"/>
    <w:pPr>
      <w:jc w:val="center"/>
      <w:outlineLvl w:val="0"/>
    </w:pPr>
    <w:rPr>
      <w:rFonts w:ascii="Cambria" w:hAnsi="Cambria"/>
      <w:b/>
      <w:sz w:val="32"/>
    </w:rPr>
  </w:style>
  <w:style w:type="paragraph" w:styleId="44">
    <w:name w:val="annotation subject"/>
    <w:basedOn w:val="17"/>
    <w:next w:val="17"/>
    <w:semiHidden/>
    <w:qFormat/>
    <w:uiPriority w:val="0"/>
    <w:rPr>
      <w:b/>
      <w:bCs/>
    </w:rPr>
  </w:style>
  <w:style w:type="paragraph" w:styleId="45">
    <w:name w:val="Body Text First Indent"/>
    <w:basedOn w:val="21"/>
    <w:qFormat/>
    <w:uiPriority w:val="0"/>
    <w:pPr>
      <w:adjustRightInd w:val="0"/>
      <w:ind w:firstLine="420"/>
      <w:jc w:val="left"/>
      <w:textAlignment w:val="baseline"/>
    </w:pPr>
    <w:rPr>
      <w:b w:val="0"/>
      <w:kern w:val="0"/>
      <w:sz w:val="21"/>
    </w:rPr>
  </w:style>
  <w:style w:type="paragraph" w:styleId="46">
    <w:name w:val="Body Text First Indent 2"/>
    <w:basedOn w:val="22"/>
    <w:link w:val="282"/>
    <w:qFormat/>
    <w:uiPriority w:val="0"/>
    <w:pPr>
      <w:spacing w:after="120"/>
      <w:ind w:left="420" w:leftChars="200" w:firstLine="420" w:firstLineChars="200"/>
    </w:pPr>
    <w:rPr>
      <w:rFonts w:ascii="Times New Roman" w:hAnsi="Times New Roman"/>
      <w:sz w:val="21"/>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basedOn w:val="49"/>
    <w:qFormat/>
    <w:uiPriority w:val="22"/>
    <w:rPr>
      <w:rFonts w:ascii="Times New Roman" w:hAnsi="Times New Roman" w:eastAsia="宋体" w:cs="Times New Roman"/>
      <w:b/>
    </w:rPr>
  </w:style>
  <w:style w:type="character" w:styleId="51">
    <w:name w:val="page number"/>
    <w:basedOn w:val="49"/>
    <w:qFormat/>
    <w:uiPriority w:val="0"/>
    <w:rPr>
      <w:rFonts w:ascii="Times New Roman" w:hAnsi="Times New Roman" w:eastAsia="宋体" w:cs="Times New Roman"/>
    </w:rPr>
  </w:style>
  <w:style w:type="character" w:styleId="52">
    <w:name w:val="FollowedHyperlink"/>
    <w:basedOn w:val="49"/>
    <w:qFormat/>
    <w:uiPriority w:val="0"/>
    <w:rPr>
      <w:rFonts w:ascii="Times New Roman" w:hAnsi="Times New Roman" w:eastAsia="宋体" w:cs="Times New Roman"/>
      <w:color w:val="333333"/>
      <w:u w:val="none"/>
    </w:rPr>
  </w:style>
  <w:style w:type="character" w:styleId="53">
    <w:name w:val="Emphasis"/>
    <w:basedOn w:val="49"/>
    <w:qFormat/>
    <w:uiPriority w:val="0"/>
    <w:rPr>
      <w:rFonts w:ascii="Times New Roman" w:hAnsi="Times New Roman" w:eastAsia="宋体" w:cs="Times New Roman"/>
    </w:rPr>
  </w:style>
  <w:style w:type="character" w:styleId="54">
    <w:name w:val="HTML Definition"/>
    <w:basedOn w:val="49"/>
    <w:qFormat/>
    <w:uiPriority w:val="0"/>
    <w:rPr>
      <w:rFonts w:ascii="Times New Roman" w:hAnsi="Times New Roman" w:eastAsia="宋体" w:cs="Times New Roman"/>
    </w:rPr>
  </w:style>
  <w:style w:type="character" w:styleId="55">
    <w:name w:val="HTML Acronym"/>
    <w:basedOn w:val="49"/>
    <w:qFormat/>
    <w:uiPriority w:val="0"/>
    <w:rPr>
      <w:rFonts w:ascii="Times New Roman" w:hAnsi="Times New Roman" w:eastAsia="宋体" w:cs="Times New Roman"/>
    </w:rPr>
  </w:style>
  <w:style w:type="character" w:styleId="56">
    <w:name w:val="HTML Variable"/>
    <w:basedOn w:val="49"/>
    <w:qFormat/>
    <w:uiPriority w:val="0"/>
    <w:rPr>
      <w:rFonts w:ascii="Times New Roman" w:hAnsi="Times New Roman" w:eastAsia="宋体" w:cs="Times New Roman"/>
    </w:rPr>
  </w:style>
  <w:style w:type="character" w:styleId="57">
    <w:name w:val="Hyperlink"/>
    <w:basedOn w:val="49"/>
    <w:qFormat/>
    <w:uiPriority w:val="99"/>
    <w:rPr>
      <w:rFonts w:ascii="Times New Roman" w:hAnsi="Times New Roman" w:eastAsia="宋体" w:cs="Times New Roman"/>
      <w:color w:val="333333"/>
      <w:u w:val="none"/>
    </w:rPr>
  </w:style>
  <w:style w:type="character" w:styleId="58">
    <w:name w:val="HTML Code"/>
    <w:basedOn w:val="49"/>
    <w:qFormat/>
    <w:uiPriority w:val="0"/>
    <w:rPr>
      <w:rFonts w:ascii="Consolas" w:hAnsi="Consolas" w:eastAsia="Consolas" w:cs="Consolas"/>
      <w:color w:val="C7254E"/>
      <w:sz w:val="21"/>
      <w:szCs w:val="21"/>
      <w:shd w:val="clear" w:color="auto" w:fill="F9F2F4"/>
    </w:rPr>
  </w:style>
  <w:style w:type="character" w:styleId="59">
    <w:name w:val="annotation reference"/>
    <w:semiHidden/>
    <w:qFormat/>
    <w:uiPriority w:val="0"/>
    <w:rPr>
      <w:rFonts w:ascii="Times New Roman" w:hAnsi="Times New Roman" w:eastAsia="宋体" w:cs="Times New Roman"/>
      <w:sz w:val="21"/>
      <w:szCs w:val="21"/>
    </w:rPr>
  </w:style>
  <w:style w:type="character" w:styleId="60">
    <w:name w:val="HTML Cite"/>
    <w:basedOn w:val="49"/>
    <w:qFormat/>
    <w:uiPriority w:val="0"/>
    <w:rPr>
      <w:rFonts w:ascii="Times New Roman" w:hAnsi="Times New Roman" w:eastAsia="宋体" w:cs="Times New Roman"/>
    </w:rPr>
  </w:style>
  <w:style w:type="character" w:styleId="61">
    <w:name w:val="footnote reference"/>
    <w:basedOn w:val="49"/>
    <w:qFormat/>
    <w:uiPriority w:val="0"/>
    <w:rPr>
      <w:rFonts w:ascii="Times New Roman" w:hAnsi="Times New Roman" w:eastAsia="宋体" w:cs="Times New Roman"/>
      <w:vertAlign w:val="superscript"/>
    </w:rPr>
  </w:style>
  <w:style w:type="character" w:styleId="62">
    <w:name w:val="HTML Keyboard"/>
    <w:basedOn w:val="49"/>
    <w:qFormat/>
    <w:uiPriority w:val="0"/>
    <w:rPr>
      <w:rFonts w:hint="default" w:ascii="Consolas" w:hAnsi="Consolas" w:eastAsia="Consolas" w:cs="Consolas"/>
      <w:color w:val="FFFFFF"/>
      <w:sz w:val="21"/>
      <w:szCs w:val="21"/>
      <w:shd w:val="clear" w:color="auto" w:fill="333333"/>
    </w:rPr>
  </w:style>
  <w:style w:type="character" w:styleId="63">
    <w:name w:val="HTML Sample"/>
    <w:basedOn w:val="49"/>
    <w:qFormat/>
    <w:uiPriority w:val="0"/>
    <w:rPr>
      <w:rFonts w:hint="default" w:ascii="Consolas" w:hAnsi="Consolas" w:eastAsia="Consolas" w:cs="Consolas"/>
      <w:sz w:val="21"/>
      <w:szCs w:val="21"/>
    </w:rPr>
  </w:style>
  <w:style w:type="paragraph" w:customStyle="1" w:styleId="64">
    <w:name w:val="正文缩进1"/>
    <w:basedOn w:val="1"/>
    <w:qFormat/>
    <w:uiPriority w:val="0"/>
    <w:pPr>
      <w:ind w:firstLine="420" w:firstLineChars="200"/>
    </w:pPr>
  </w:style>
  <w:style w:type="paragraph" w:customStyle="1" w:styleId="65">
    <w:name w:val="Titel 2"/>
    <w:basedOn w:val="1"/>
    <w:qFormat/>
    <w:uiPriority w:val="0"/>
    <w:pPr>
      <w:tabs>
        <w:tab w:val="decimal" w:leader="underscore" w:pos="8504"/>
        <w:tab w:val="right" w:pos="9923"/>
      </w:tabs>
      <w:autoSpaceDE w:val="0"/>
      <w:autoSpaceDN w:val="0"/>
      <w:jc w:val="left"/>
    </w:pPr>
    <w:rPr>
      <w:rFonts w:ascii="Helvetica-Black" w:hAnsi="Helvetica-Black"/>
      <w:b/>
      <w:bCs/>
      <w:kern w:val="0"/>
      <w:sz w:val="28"/>
      <w:szCs w:val="28"/>
      <w:lang w:eastAsia="en-US"/>
    </w:rPr>
  </w:style>
  <w:style w:type="paragraph" w:customStyle="1" w:styleId="66">
    <w:name w:val="xl57"/>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kern w:val="0"/>
      <w:sz w:val="22"/>
    </w:rPr>
  </w:style>
  <w:style w:type="paragraph" w:customStyle="1" w:styleId="67">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68">
    <w:name w:val="xl76"/>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textAlignment w:val="center"/>
    </w:pPr>
    <w:rPr>
      <w:rFonts w:ascii="Arial" w:hAnsi="Arial"/>
      <w:kern w:val="0"/>
      <w:sz w:val="20"/>
    </w:rPr>
  </w:style>
  <w:style w:type="paragraph" w:customStyle="1" w:styleId="69">
    <w:name w:val="xl11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70">
    <w:name w:val="章标题"/>
    <w:next w:val="1"/>
    <w:qFormat/>
    <w:uiPriority w:val="0"/>
    <w:pPr>
      <w:numPr>
        <w:ilvl w:val="1"/>
        <w:numId w:val="2"/>
      </w:numPr>
      <w:spacing w:before="50" w:after="50" w:line="360" w:lineRule="auto"/>
      <w:jc w:val="both"/>
      <w:outlineLvl w:val="1"/>
    </w:pPr>
    <w:rPr>
      <w:rFonts w:ascii="黑体" w:hAnsi="Times New Roman" w:eastAsia="黑体" w:cs="Times New Roman"/>
      <w:sz w:val="21"/>
      <w:lang w:val="en-US" w:eastAsia="zh-CN" w:bidi="ar-SA"/>
    </w:rPr>
  </w:style>
  <w:style w:type="paragraph" w:customStyle="1" w:styleId="71">
    <w:name w:val="一级条标题"/>
    <w:basedOn w:val="70"/>
    <w:next w:val="72"/>
    <w:qFormat/>
    <w:uiPriority w:val="0"/>
    <w:pPr>
      <w:numPr>
        <w:ilvl w:val="2"/>
        <w:numId w:val="3"/>
      </w:numPr>
      <w:spacing w:before="0" w:after="0" w:line="240" w:lineRule="auto"/>
      <w:outlineLvl w:val="2"/>
    </w:pPr>
  </w:style>
  <w:style w:type="paragraph" w:customStyle="1" w:styleId="72">
    <w:name w:val="段"/>
    <w:next w:val="1"/>
    <w:qFormat/>
    <w:uiPriority w:val="0"/>
    <w:pPr>
      <w:numPr>
        <w:ilvl w:val="0"/>
        <w:numId w:val="4"/>
      </w:numPr>
      <w:tabs>
        <w:tab w:val="left" w:pos="1395"/>
      </w:tabs>
      <w:autoSpaceDE w:val="0"/>
      <w:autoSpaceDN w:val="0"/>
      <w:ind w:left="0" w:firstLine="425"/>
      <w:jc w:val="both"/>
    </w:pPr>
    <w:rPr>
      <w:rFonts w:ascii="宋体" w:hAnsi="Times New Roman" w:eastAsia="宋体" w:cs="Times New Roman"/>
      <w:sz w:val="21"/>
      <w:lang w:val="en-US" w:eastAsia="zh-CN" w:bidi="ar-SA"/>
    </w:rPr>
  </w:style>
  <w:style w:type="paragraph" w:customStyle="1" w:styleId="73">
    <w:name w:val="NICMAN Body Text"/>
    <w:basedOn w:val="1"/>
    <w:next w:val="21"/>
    <w:qFormat/>
    <w:uiPriority w:val="0"/>
    <w:pPr>
      <w:spacing w:after="120" w:line="400" w:lineRule="exact"/>
      <w:ind w:firstLine="454"/>
    </w:pPr>
    <w:rPr>
      <w:sz w:val="24"/>
    </w:rPr>
  </w:style>
  <w:style w:type="paragraph" w:customStyle="1" w:styleId="74">
    <w:name w:val="_Style 83"/>
    <w:basedOn w:val="1"/>
    <w:qFormat/>
    <w:uiPriority w:val="0"/>
  </w:style>
  <w:style w:type="paragraph" w:customStyle="1" w:styleId="75">
    <w:name w:val="样式 标题 1 + 四号 居中 段前: 12 磅 段后: 12 磅 行距: 单倍行距"/>
    <w:basedOn w:val="3"/>
    <w:qFormat/>
    <w:uiPriority w:val="0"/>
    <w:pPr>
      <w:tabs>
        <w:tab w:val="left" w:pos="425"/>
      </w:tabs>
      <w:adjustRightInd w:val="0"/>
      <w:spacing w:before="240" w:after="240" w:line="240" w:lineRule="auto"/>
      <w:ind w:left="425" w:hanging="425"/>
      <w:textAlignment w:val="baseline"/>
    </w:pPr>
    <w:rPr>
      <w:sz w:val="28"/>
    </w:rPr>
  </w:style>
  <w:style w:type="paragraph" w:customStyle="1" w:styleId="76">
    <w:name w:val="xl54"/>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textAlignment w:val="center"/>
    </w:pPr>
    <w:rPr>
      <w:kern w:val="0"/>
      <w:sz w:val="24"/>
    </w:rPr>
  </w:style>
  <w:style w:type="paragraph" w:customStyle="1" w:styleId="77">
    <w:name w:val="xl77"/>
    <w:basedOn w:val="1"/>
    <w:qFormat/>
    <w:uiPriority w:val="0"/>
    <w:pPr>
      <w:widowControl/>
      <w:pBdr>
        <w:top w:val="single" w:color="auto" w:sz="4" w:space="0"/>
        <w:left w:val="single" w:color="auto" w:sz="4" w:space="0"/>
        <w:bottom w:val="single" w:color="auto" w:sz="4" w:space="0"/>
      </w:pBdr>
      <w:spacing w:beforeAutospacing="1" w:afterAutospacing="1"/>
      <w:jc w:val="left"/>
      <w:textAlignment w:val="center"/>
    </w:pPr>
    <w:rPr>
      <w:rFonts w:ascii="Arial" w:hAnsi="Arial"/>
      <w:kern w:val="0"/>
      <w:sz w:val="22"/>
    </w:rPr>
  </w:style>
  <w:style w:type="paragraph" w:customStyle="1" w:styleId="78">
    <w:name w:val="xl25"/>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宋体" w:hAnsi="宋体"/>
      <w:kern w:val="0"/>
      <w:sz w:val="24"/>
    </w:rPr>
  </w:style>
  <w:style w:type="paragraph" w:customStyle="1" w:styleId="79">
    <w:name w:val="xl51"/>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textAlignment w:val="center"/>
    </w:pPr>
    <w:rPr>
      <w:rFonts w:ascii="宋体" w:hAnsi="宋体"/>
      <w:kern w:val="0"/>
      <w:sz w:val="22"/>
    </w:rPr>
  </w:style>
  <w:style w:type="paragraph" w:customStyle="1" w:styleId="80">
    <w:name w:val="xl79"/>
    <w:basedOn w:val="1"/>
    <w:qFormat/>
    <w:uiPriority w:val="0"/>
    <w:pPr>
      <w:widowControl/>
      <w:pBdr>
        <w:top w:val="single" w:color="auto" w:sz="4" w:space="0"/>
        <w:left w:val="single" w:color="auto" w:sz="4" w:space="0"/>
        <w:right w:val="single" w:color="auto" w:sz="4" w:space="0"/>
      </w:pBdr>
      <w:spacing w:beforeAutospacing="1" w:afterAutospacing="1"/>
      <w:jc w:val="center"/>
      <w:textAlignment w:val="center"/>
    </w:pPr>
    <w:rPr>
      <w:rFonts w:ascii="宋体" w:hAnsi="宋体"/>
      <w:kern w:val="0"/>
      <w:sz w:val="24"/>
    </w:rPr>
  </w:style>
  <w:style w:type="paragraph" w:customStyle="1" w:styleId="81">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82">
    <w:name w:val="xl64"/>
    <w:basedOn w:val="1"/>
    <w:qFormat/>
    <w:uiPriority w:val="0"/>
    <w:pPr>
      <w:widowControl/>
      <w:pBdr>
        <w:top w:val="single" w:color="auto" w:sz="4" w:space="0"/>
        <w:left w:val="single" w:color="auto" w:sz="4" w:space="0"/>
        <w:bottom w:val="single" w:color="auto" w:sz="4" w:space="0"/>
      </w:pBdr>
      <w:spacing w:beforeAutospacing="1" w:afterAutospacing="1"/>
      <w:jc w:val="left"/>
      <w:textAlignment w:val="center"/>
    </w:pPr>
    <w:rPr>
      <w:rFonts w:ascii="Arial" w:hAnsi="Arial"/>
      <w:kern w:val="0"/>
      <w:sz w:val="22"/>
    </w:rPr>
  </w:style>
  <w:style w:type="paragraph" w:customStyle="1" w:styleId="8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84">
    <w:name w:val="正文首行缩进:  2 字符"/>
    <w:basedOn w:val="1"/>
    <w:qFormat/>
    <w:uiPriority w:val="0"/>
    <w:pPr>
      <w:widowControl/>
      <w:spacing w:line="360" w:lineRule="auto"/>
      <w:ind w:firstLine="482" w:firstLineChars="200"/>
      <w:jc w:val="left"/>
    </w:pPr>
    <w:rPr>
      <w:rFonts w:ascii="Arial" w:hAnsi="Arial" w:cs="宋体"/>
      <w:kern w:val="0"/>
      <w:sz w:val="24"/>
    </w:rPr>
  </w:style>
  <w:style w:type="paragraph" w:styleId="85">
    <w:name w:val="List Paragraph"/>
    <w:basedOn w:val="1"/>
    <w:qFormat/>
    <w:uiPriority w:val="0"/>
    <w:pPr>
      <w:ind w:firstLine="420" w:firstLineChars="200"/>
    </w:pPr>
    <w:rPr>
      <w:szCs w:val="21"/>
    </w:rPr>
  </w:style>
  <w:style w:type="paragraph" w:customStyle="1" w:styleId="86">
    <w:name w:val="表格文字"/>
    <w:basedOn w:val="1"/>
    <w:qFormat/>
    <w:uiPriority w:val="0"/>
    <w:pPr>
      <w:spacing w:beforeLines="5" w:afterLines="5" w:line="200" w:lineRule="atLeast"/>
      <w:ind w:left="10" w:leftChars="10"/>
      <w:jc w:val="left"/>
    </w:pPr>
    <w:rPr>
      <w:rFonts w:ascii="宋体" w:hAnsi="宋体"/>
      <w:color w:val="000000"/>
      <w:sz w:val="20"/>
    </w:rPr>
  </w:style>
  <w:style w:type="paragraph" w:customStyle="1" w:styleId="8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rPr>
  </w:style>
  <w:style w:type="paragraph" w:customStyle="1" w:styleId="88">
    <w:name w:val="xl78"/>
    <w:basedOn w:val="1"/>
    <w:qFormat/>
    <w:uiPriority w:val="0"/>
    <w:pPr>
      <w:widowControl/>
      <w:pBdr>
        <w:top w:val="single" w:color="auto" w:sz="4" w:space="0"/>
        <w:left w:val="double" w:color="auto" w:sz="6" w:space="0"/>
        <w:bottom w:val="single" w:color="auto" w:sz="4" w:space="0"/>
        <w:right w:val="single" w:color="auto" w:sz="4" w:space="0"/>
      </w:pBdr>
      <w:spacing w:beforeAutospacing="1" w:afterAutospacing="1"/>
      <w:jc w:val="center"/>
      <w:textAlignment w:val="center"/>
    </w:pPr>
    <w:rPr>
      <w:rFonts w:ascii="Arial" w:hAnsi="Arial"/>
      <w:kern w:val="0"/>
      <w:sz w:val="22"/>
    </w:rPr>
  </w:style>
  <w:style w:type="paragraph" w:customStyle="1" w:styleId="89">
    <w:name w:val="xl71"/>
    <w:basedOn w:val="1"/>
    <w:qFormat/>
    <w:uiPriority w:val="0"/>
    <w:pPr>
      <w:widowControl/>
      <w:spacing w:beforeAutospacing="1" w:afterAutospacing="1"/>
      <w:jc w:val="left"/>
      <w:textAlignment w:val="center"/>
    </w:pPr>
    <w:rPr>
      <w:rFonts w:ascii="Arial" w:hAnsi="Arial"/>
      <w:kern w:val="0"/>
      <w:sz w:val="24"/>
    </w:rPr>
  </w:style>
  <w:style w:type="paragraph" w:customStyle="1" w:styleId="90">
    <w:name w:val="大标题"/>
    <w:basedOn w:val="1"/>
    <w:qFormat/>
    <w:uiPriority w:val="0"/>
    <w:pPr>
      <w:spacing w:line="600" w:lineRule="exact"/>
      <w:ind w:left="340" w:right="340"/>
      <w:jc w:val="center"/>
    </w:pPr>
    <w:rPr>
      <w:sz w:val="44"/>
    </w:rPr>
  </w:style>
  <w:style w:type="paragraph" w:customStyle="1" w:styleId="91">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92">
    <w:name w:val="xl53"/>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Arial" w:hAnsi="Arial"/>
      <w:kern w:val="0"/>
      <w:sz w:val="22"/>
    </w:rPr>
  </w:style>
  <w:style w:type="paragraph" w:customStyle="1" w:styleId="93">
    <w:name w:val="Char Char1 Char Char Char Char Char Char"/>
    <w:basedOn w:val="1"/>
    <w:qFormat/>
    <w:uiPriority w:val="0"/>
    <w:pPr>
      <w:widowControl/>
      <w:spacing w:line="240" w:lineRule="exact"/>
      <w:jc w:val="left"/>
    </w:pPr>
    <w:rPr>
      <w:rFonts w:ascii="Verdana" w:hAnsi="Verdana" w:eastAsia="仿宋_GB2312"/>
      <w:kern w:val="0"/>
      <w:sz w:val="24"/>
      <w:lang w:eastAsia="en-US"/>
    </w:rPr>
  </w:style>
  <w:style w:type="paragraph" w:customStyle="1" w:styleId="94">
    <w:name w:val="xl59"/>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right"/>
      <w:textAlignment w:val="center"/>
    </w:pPr>
    <w:rPr>
      <w:rFonts w:ascii="宋体" w:hAnsi="宋体"/>
      <w:kern w:val="0"/>
      <w:sz w:val="24"/>
    </w:rPr>
  </w:style>
  <w:style w:type="paragraph" w:customStyle="1" w:styleId="95">
    <w:name w:val="列出段落1"/>
    <w:basedOn w:val="1"/>
    <w:qFormat/>
    <w:uiPriority w:val="34"/>
    <w:pPr>
      <w:ind w:firstLine="420" w:firstLineChars="200"/>
    </w:pPr>
    <w:rPr>
      <w:rFonts w:ascii="Calibri" w:hAnsi="Calibri"/>
      <w:szCs w:val="22"/>
    </w:rPr>
  </w:style>
  <w:style w:type="paragraph" w:customStyle="1" w:styleId="96">
    <w:name w:val="xl81"/>
    <w:basedOn w:val="1"/>
    <w:qFormat/>
    <w:uiPriority w:val="0"/>
    <w:pPr>
      <w:widowControl/>
      <w:spacing w:beforeAutospacing="1" w:afterAutospacing="1"/>
      <w:jc w:val="center"/>
      <w:textAlignment w:val="center"/>
    </w:pPr>
    <w:rPr>
      <w:rFonts w:ascii="宋体" w:hAnsi="宋体"/>
      <w:b/>
      <w:kern w:val="0"/>
      <w:sz w:val="44"/>
    </w:rPr>
  </w:style>
  <w:style w:type="paragraph" w:customStyle="1" w:styleId="97">
    <w:name w:val="标题3"/>
    <w:basedOn w:val="5"/>
    <w:qFormat/>
    <w:uiPriority w:val="0"/>
    <w:pPr>
      <w:spacing w:line="416" w:lineRule="auto"/>
    </w:pPr>
    <w:rPr>
      <w:bCs/>
      <w:szCs w:val="28"/>
    </w:rPr>
  </w:style>
  <w:style w:type="paragraph" w:customStyle="1" w:styleId="98">
    <w:name w:val="xl44"/>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Arial" w:hAnsi="Arial"/>
      <w:kern w:val="0"/>
      <w:sz w:val="22"/>
    </w:rPr>
  </w:style>
  <w:style w:type="paragraph" w:customStyle="1" w:styleId="99">
    <w:name w:val="Char Char Char Char Char Char Char"/>
    <w:basedOn w:val="1"/>
    <w:qFormat/>
    <w:uiPriority w:val="0"/>
    <w:pPr>
      <w:widowControl/>
      <w:snapToGrid w:val="0"/>
      <w:spacing w:line="360" w:lineRule="auto"/>
      <w:jc w:val="left"/>
    </w:pPr>
  </w:style>
  <w:style w:type="paragraph" w:customStyle="1" w:styleId="100">
    <w:name w:val="xl72"/>
    <w:basedOn w:val="1"/>
    <w:qFormat/>
    <w:uiPriority w:val="0"/>
    <w:pPr>
      <w:widowControl/>
      <w:spacing w:beforeAutospacing="1" w:afterAutospacing="1"/>
      <w:jc w:val="left"/>
      <w:textAlignment w:val="center"/>
    </w:pPr>
    <w:rPr>
      <w:rFonts w:ascii="Arial" w:hAnsi="Arial"/>
      <w:kern w:val="0"/>
      <w:sz w:val="20"/>
    </w:rPr>
  </w:style>
  <w:style w:type="paragraph" w:customStyle="1" w:styleId="101">
    <w:name w:val="xl67"/>
    <w:basedOn w:val="1"/>
    <w:qFormat/>
    <w:uiPriority w:val="0"/>
    <w:pPr>
      <w:widowControl/>
      <w:spacing w:beforeAutospacing="1" w:afterAutospacing="1"/>
      <w:jc w:val="left"/>
      <w:textAlignment w:val="center"/>
    </w:pPr>
    <w:rPr>
      <w:rFonts w:ascii="宋体" w:hAnsi="宋体"/>
      <w:kern w:val="0"/>
      <w:sz w:val="24"/>
    </w:rPr>
  </w:style>
  <w:style w:type="paragraph" w:customStyle="1" w:styleId="102">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03">
    <w:name w:val="xl12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104">
    <w:name w:val="xl12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05">
    <w:name w:val="xl12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106">
    <w:name w:val="普通(网站)1"/>
    <w:basedOn w:val="1"/>
    <w:link w:val="257"/>
    <w:qFormat/>
    <w:uiPriority w:val="0"/>
    <w:pPr>
      <w:widowControl/>
      <w:spacing w:before="100" w:beforeAutospacing="1" w:after="100" w:afterAutospacing="1" w:line="360" w:lineRule="auto"/>
      <w:ind w:firstLine="420" w:firstLineChars="200"/>
      <w:jc w:val="left"/>
    </w:pPr>
    <w:rPr>
      <w:rFonts w:ascii="宋体" w:hAnsi="宋体"/>
      <w:kern w:val="0"/>
      <w:sz w:val="24"/>
    </w:rPr>
  </w:style>
  <w:style w:type="paragraph" w:customStyle="1" w:styleId="107">
    <w:name w:val="xl12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108">
    <w:name w:val="font10"/>
    <w:basedOn w:val="1"/>
    <w:qFormat/>
    <w:uiPriority w:val="0"/>
    <w:pPr>
      <w:widowControl/>
      <w:spacing w:beforeAutospacing="1" w:afterAutospacing="1"/>
      <w:jc w:val="left"/>
    </w:pPr>
    <w:rPr>
      <w:rFonts w:hint="eastAsia" w:ascii="宋体" w:hAnsi="宋体"/>
      <w:kern w:val="0"/>
      <w:sz w:val="22"/>
    </w:rPr>
  </w:style>
  <w:style w:type="paragraph" w:customStyle="1" w:styleId="109">
    <w:name w:val="font5"/>
    <w:basedOn w:val="1"/>
    <w:qFormat/>
    <w:uiPriority w:val="0"/>
    <w:pPr>
      <w:widowControl/>
      <w:spacing w:beforeAutospacing="1" w:afterAutospacing="1"/>
      <w:jc w:val="left"/>
    </w:pPr>
    <w:rPr>
      <w:rFonts w:hint="eastAsia" w:ascii="宋体" w:hAnsi="宋体"/>
      <w:kern w:val="0"/>
      <w:sz w:val="24"/>
    </w:rPr>
  </w:style>
  <w:style w:type="paragraph" w:customStyle="1" w:styleId="110">
    <w:name w:val="xl9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111">
    <w:name w:val="TableTextLeft"/>
    <w:qFormat/>
    <w:uiPriority w:val="0"/>
    <w:rPr>
      <w:rFonts w:ascii="Century Gothic" w:hAnsi="Century Gothic" w:eastAsia="宋体" w:cs="Times New Roman"/>
      <w:sz w:val="18"/>
      <w:szCs w:val="18"/>
      <w:lang w:val="en-US" w:eastAsia="zh-CN" w:bidi="ar-SA"/>
    </w:rPr>
  </w:style>
  <w:style w:type="paragraph" w:customStyle="1" w:styleId="112">
    <w:name w:val="xl68"/>
    <w:basedOn w:val="1"/>
    <w:qFormat/>
    <w:uiPriority w:val="0"/>
    <w:pPr>
      <w:widowControl/>
      <w:spacing w:beforeAutospacing="1" w:afterAutospacing="1"/>
      <w:jc w:val="left"/>
      <w:textAlignment w:val="center"/>
    </w:pPr>
    <w:rPr>
      <w:rFonts w:ascii="Arial" w:hAnsi="Arial"/>
      <w:kern w:val="0"/>
      <w:sz w:val="20"/>
    </w:rPr>
  </w:style>
  <w:style w:type="paragraph" w:customStyle="1" w:styleId="113">
    <w:name w:val="xl70"/>
    <w:basedOn w:val="1"/>
    <w:qFormat/>
    <w:uiPriority w:val="0"/>
    <w:pPr>
      <w:widowControl/>
      <w:pBdr>
        <w:top w:val="single" w:color="auto" w:sz="4" w:space="0"/>
        <w:left w:val="single" w:color="auto" w:sz="4" w:space="0"/>
        <w:bottom w:val="single" w:color="auto" w:sz="4" w:space="0"/>
      </w:pBdr>
      <w:spacing w:beforeAutospacing="1" w:afterAutospacing="1"/>
      <w:jc w:val="right"/>
      <w:textAlignment w:val="center"/>
    </w:pPr>
    <w:rPr>
      <w:rFonts w:ascii="宋体" w:hAnsi="宋体"/>
      <w:kern w:val="0"/>
      <w:sz w:val="22"/>
    </w:rPr>
  </w:style>
  <w:style w:type="paragraph" w:customStyle="1" w:styleId="114">
    <w:name w:val="xl39"/>
    <w:basedOn w:val="1"/>
    <w:qFormat/>
    <w:uiPriority w:val="0"/>
    <w:pPr>
      <w:widowControl/>
      <w:pBdr>
        <w:left w:val="single" w:color="auto" w:sz="4" w:space="0"/>
        <w:right w:val="single" w:color="auto" w:sz="4" w:space="0"/>
      </w:pBdr>
      <w:spacing w:beforeAutospacing="1" w:afterAutospacing="1"/>
      <w:jc w:val="center"/>
    </w:pPr>
    <w:rPr>
      <w:rFonts w:hint="eastAsia" w:ascii="仿宋_GB2312" w:hAnsi="宋体" w:eastAsia="仿宋_GB2312"/>
      <w:b/>
      <w:kern w:val="0"/>
      <w:sz w:val="24"/>
    </w:rPr>
  </w:style>
  <w:style w:type="paragraph" w:customStyle="1" w:styleId="115">
    <w:name w:val="xl29"/>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宋体" w:hAnsi="宋体"/>
      <w:kern w:val="0"/>
      <w:sz w:val="24"/>
    </w:rPr>
  </w:style>
  <w:style w:type="paragraph" w:customStyle="1" w:styleId="116">
    <w:name w:val="xl41"/>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right"/>
      <w:textAlignment w:val="center"/>
    </w:pPr>
    <w:rPr>
      <w:rFonts w:ascii="Arial" w:hAnsi="Arial"/>
      <w:kern w:val="0"/>
      <w:sz w:val="22"/>
    </w:rPr>
  </w:style>
  <w:style w:type="paragraph" w:customStyle="1" w:styleId="117">
    <w:name w:val="Table Description"/>
    <w:next w:val="1"/>
    <w:qFormat/>
    <w:uiPriority w:val="0"/>
    <w:pPr>
      <w:keepNext/>
      <w:numPr>
        <w:ilvl w:val="0"/>
        <w:numId w:val="5"/>
      </w:numPr>
      <w:snapToGrid w:val="0"/>
      <w:spacing w:before="160" w:after="80"/>
      <w:ind w:left="1134" w:firstLine="0"/>
      <w:jc w:val="center"/>
    </w:pPr>
    <w:rPr>
      <w:rFonts w:ascii="Arial" w:hAnsi="Arial" w:eastAsia="黑体" w:cs="Arial"/>
      <w:kern w:val="2"/>
      <w:sz w:val="18"/>
      <w:szCs w:val="18"/>
      <w:lang w:val="en-US" w:eastAsia="zh-CN" w:bidi="ar-SA"/>
    </w:rPr>
  </w:style>
  <w:style w:type="paragraph" w:customStyle="1" w:styleId="118">
    <w:name w:val="Char Char1 Char"/>
    <w:basedOn w:val="1"/>
    <w:qFormat/>
    <w:uiPriority w:val="0"/>
    <w:rPr>
      <w:rFonts w:ascii="宋体" w:hAnsi="宋体"/>
      <w:sz w:val="24"/>
    </w:rPr>
  </w:style>
  <w:style w:type="paragraph" w:customStyle="1" w:styleId="119">
    <w:name w:val="xl8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20">
    <w:name w:val="Item List"/>
    <w:qFormat/>
    <w:uiPriority w:val="0"/>
    <w:pPr>
      <w:numPr>
        <w:ilvl w:val="1"/>
        <w:numId w:val="3"/>
      </w:numPr>
      <w:tabs>
        <w:tab w:val="left" w:pos="425"/>
        <w:tab w:val="clear" w:pos="992"/>
      </w:tabs>
      <w:spacing w:line="300" w:lineRule="auto"/>
      <w:ind w:left="425" w:hanging="425"/>
      <w:jc w:val="both"/>
    </w:pPr>
    <w:rPr>
      <w:rFonts w:ascii="Arial" w:hAnsi="Arial" w:eastAsia="宋体" w:cs="Arial"/>
      <w:kern w:val="2"/>
      <w:sz w:val="21"/>
      <w:szCs w:val="21"/>
      <w:lang w:val="en-US" w:eastAsia="zh-CN" w:bidi="ar-SA"/>
    </w:rPr>
  </w:style>
  <w:style w:type="paragraph" w:customStyle="1" w:styleId="121">
    <w:name w:val="Char1"/>
    <w:basedOn w:val="1"/>
    <w:qFormat/>
    <w:uiPriority w:val="0"/>
    <w:rPr>
      <w:rFonts w:ascii="仿宋_GB2312" w:eastAsia="仿宋_GB2312"/>
      <w:b/>
      <w:sz w:val="32"/>
      <w:szCs w:val="32"/>
    </w:rPr>
  </w:style>
  <w:style w:type="paragraph" w:customStyle="1" w:styleId="122">
    <w:name w:val="正文K"/>
    <w:qFormat/>
    <w:uiPriority w:val="0"/>
    <w:pPr>
      <w:widowControl w:val="0"/>
      <w:autoSpaceDE w:val="0"/>
      <w:autoSpaceDN w:val="0"/>
      <w:adjustRightInd w:val="0"/>
      <w:spacing w:line="340" w:lineRule="atLeast"/>
      <w:ind w:firstLine="428"/>
      <w:jc w:val="both"/>
    </w:pPr>
    <w:rPr>
      <w:rFonts w:ascii="汉仪楷体简" w:hAnsi="Times New Roman" w:eastAsia="汉仪楷体简" w:cs="汉仪楷体简"/>
      <w:sz w:val="21"/>
      <w:szCs w:val="21"/>
      <w:lang w:val="en-US" w:eastAsia="zh-CN" w:bidi="ar-SA"/>
    </w:rPr>
  </w:style>
  <w:style w:type="paragraph" w:customStyle="1" w:styleId="123">
    <w:name w:val="xl63"/>
    <w:basedOn w:val="1"/>
    <w:qFormat/>
    <w:uiPriority w:val="0"/>
    <w:pPr>
      <w:widowControl/>
      <w:pBdr>
        <w:top w:val="single" w:color="auto" w:sz="4" w:space="0"/>
        <w:left w:val="double" w:color="auto" w:sz="6" w:space="0"/>
        <w:bottom w:val="single" w:color="auto" w:sz="4" w:space="0"/>
        <w:right w:val="single" w:color="auto" w:sz="4" w:space="0"/>
      </w:pBdr>
      <w:spacing w:beforeAutospacing="1" w:afterAutospacing="1"/>
      <w:jc w:val="center"/>
      <w:textAlignment w:val="center"/>
    </w:pPr>
    <w:rPr>
      <w:rFonts w:ascii="Arial" w:hAnsi="Arial"/>
      <w:kern w:val="0"/>
      <w:sz w:val="22"/>
    </w:rPr>
  </w:style>
  <w:style w:type="paragraph" w:customStyle="1" w:styleId="124">
    <w:name w:val="reader-word-layer reader-word-s10-13"/>
    <w:basedOn w:val="1"/>
    <w:qFormat/>
    <w:uiPriority w:val="0"/>
    <w:pPr>
      <w:widowControl/>
      <w:spacing w:beforeAutospacing="1" w:afterAutospacing="1"/>
      <w:jc w:val="left"/>
    </w:pPr>
    <w:rPr>
      <w:rFonts w:ascii="宋体" w:hAnsi="宋体" w:cs="宋体"/>
      <w:kern w:val="0"/>
      <w:sz w:val="24"/>
      <w:szCs w:val="24"/>
    </w:rPr>
  </w:style>
  <w:style w:type="paragraph" w:customStyle="1" w:styleId="125">
    <w:name w:val="样式 标题 2H2UNDERRUBRIK 1-2Underrubrik1prop2Heading 2 HiddenH..."/>
    <w:basedOn w:val="4"/>
    <w:qFormat/>
    <w:uiPriority w:val="0"/>
    <w:pPr>
      <w:keepLines w:val="0"/>
      <w:widowControl/>
      <w:tabs>
        <w:tab w:val="left" w:pos="992"/>
      </w:tabs>
      <w:spacing w:before="240" w:after="240" w:line="240" w:lineRule="auto"/>
      <w:ind w:left="992" w:hanging="567"/>
    </w:pPr>
    <w:rPr>
      <w:b w:val="0"/>
      <w:szCs w:val="24"/>
    </w:rPr>
  </w:style>
  <w:style w:type="paragraph" w:customStyle="1" w:styleId="126">
    <w:name w:val="xl69"/>
    <w:basedOn w:val="1"/>
    <w:qFormat/>
    <w:uiPriority w:val="0"/>
    <w:pPr>
      <w:widowControl/>
      <w:spacing w:beforeAutospacing="1" w:afterAutospacing="1"/>
      <w:jc w:val="left"/>
      <w:textAlignment w:val="center"/>
    </w:pPr>
    <w:rPr>
      <w:rFonts w:ascii="Arial" w:hAnsi="Arial"/>
      <w:kern w:val="0"/>
      <w:sz w:val="24"/>
    </w:rPr>
  </w:style>
  <w:style w:type="paragraph" w:customStyle="1" w:styleId="127">
    <w:name w:val="表格文字（大）"/>
    <w:basedOn w:val="1"/>
    <w:qFormat/>
    <w:uiPriority w:val="0"/>
    <w:pPr>
      <w:numPr>
        <w:ilvl w:val="0"/>
        <w:numId w:val="6"/>
      </w:numPr>
      <w:spacing w:before="20" w:after="20"/>
      <w:ind w:left="0" w:firstLine="0"/>
    </w:pPr>
    <w:rPr>
      <w:rFonts w:ascii="Century Gothic" w:hAnsi="Century Gothic"/>
      <w:sz w:val="24"/>
    </w:rPr>
  </w:style>
  <w:style w:type="paragraph" w:customStyle="1" w:styleId="128">
    <w:name w:val="xl26"/>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宋体" w:hAnsi="宋体"/>
      <w:kern w:val="0"/>
      <w:sz w:val="24"/>
    </w:rPr>
  </w:style>
  <w:style w:type="paragraph" w:customStyle="1" w:styleId="129">
    <w:name w:val="xl38"/>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宋体" w:hAnsi="宋体"/>
      <w:kern w:val="0"/>
      <w:sz w:val="22"/>
    </w:rPr>
  </w:style>
  <w:style w:type="paragraph" w:customStyle="1" w:styleId="130">
    <w:name w:val="xl99"/>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0"/>
    </w:rPr>
  </w:style>
  <w:style w:type="paragraph" w:customStyle="1" w:styleId="131">
    <w:name w:val="xl46"/>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textAlignment w:val="center"/>
    </w:pPr>
    <w:rPr>
      <w:rFonts w:ascii="Arial" w:hAnsi="Arial"/>
      <w:kern w:val="0"/>
      <w:sz w:val="22"/>
    </w:rPr>
  </w:style>
  <w:style w:type="paragraph" w:customStyle="1" w:styleId="132">
    <w:name w:val="SecC"/>
    <w:qFormat/>
    <w:uiPriority w:val="0"/>
    <w:pPr>
      <w:tabs>
        <w:tab w:val="left" w:pos="1701"/>
        <w:tab w:val="left" w:pos="2126"/>
        <w:tab w:val="left" w:pos="2552"/>
        <w:tab w:val="left" w:pos="3969"/>
        <w:tab w:val="left" w:pos="5670"/>
        <w:tab w:val="right" w:pos="7938"/>
      </w:tabs>
      <w:ind w:left="1701" w:hanging="1701"/>
      <w:jc w:val="both"/>
    </w:pPr>
    <w:rPr>
      <w:rFonts w:ascii="Frutiger 55 Roman" w:hAnsi="Frutiger 55 Roman" w:eastAsia="宋体" w:cs="Times New Roman"/>
      <w:sz w:val="22"/>
      <w:lang w:val="en-GB" w:eastAsia="zh-CN" w:bidi="ar-SA"/>
    </w:rPr>
  </w:style>
  <w:style w:type="paragraph" w:customStyle="1" w:styleId="13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134">
    <w:name w:val="reader-word-layer reader-word-s10-7"/>
    <w:basedOn w:val="1"/>
    <w:qFormat/>
    <w:uiPriority w:val="0"/>
    <w:pPr>
      <w:widowControl/>
      <w:spacing w:beforeAutospacing="1" w:afterAutospacing="1"/>
      <w:jc w:val="left"/>
    </w:pPr>
    <w:rPr>
      <w:rFonts w:ascii="宋体" w:hAnsi="宋体" w:cs="宋体"/>
      <w:kern w:val="0"/>
      <w:sz w:val="24"/>
      <w:szCs w:val="24"/>
    </w:rPr>
  </w:style>
  <w:style w:type="paragraph" w:customStyle="1" w:styleId="135">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136">
    <w:name w:val="xl52"/>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Arial" w:hAnsi="Arial"/>
      <w:kern w:val="0"/>
      <w:sz w:val="22"/>
    </w:rPr>
  </w:style>
  <w:style w:type="paragraph" w:customStyle="1" w:styleId="137">
    <w:name w:val="xl34"/>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宋体" w:hAnsi="宋体"/>
      <w:kern w:val="0"/>
      <w:sz w:val="24"/>
    </w:rPr>
  </w:style>
  <w:style w:type="paragraph" w:customStyle="1" w:styleId="138">
    <w:name w:val="_Style 10"/>
    <w:basedOn w:val="1"/>
    <w:qFormat/>
    <w:uiPriority w:val="0"/>
    <w:rPr>
      <w:szCs w:val="24"/>
    </w:rPr>
  </w:style>
  <w:style w:type="paragraph" w:customStyle="1" w:styleId="139">
    <w:name w:val="正文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40">
    <w:name w:val="Char"/>
    <w:basedOn w:val="1"/>
    <w:qFormat/>
    <w:uiPriority w:val="0"/>
  </w:style>
  <w:style w:type="paragraph" w:customStyle="1" w:styleId="141">
    <w:name w:val="标题X.1.1"/>
    <w:basedOn w:val="1"/>
    <w:next w:val="21"/>
    <w:qFormat/>
    <w:uiPriority w:val="0"/>
    <w:pPr>
      <w:tabs>
        <w:tab w:val="left" w:pos="540"/>
        <w:tab w:val="left" w:pos="5985"/>
      </w:tabs>
      <w:spacing w:beforeLines="150" w:line="400" w:lineRule="exact"/>
      <w:outlineLvl w:val="2"/>
    </w:pPr>
    <w:rPr>
      <w:rFonts w:ascii="宋体" w:hAnsi="宋体"/>
      <w:b/>
      <w:sz w:val="30"/>
      <w:szCs w:val="30"/>
    </w:rPr>
  </w:style>
  <w:style w:type="paragraph" w:customStyle="1" w:styleId="142">
    <w:name w:val="xl11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43">
    <w:name w:val="5"/>
    <w:basedOn w:val="1"/>
    <w:next w:val="26"/>
    <w:qFormat/>
    <w:uiPriority w:val="0"/>
    <w:rPr>
      <w:rFonts w:ascii="宋体" w:hAnsi="Courier New"/>
    </w:rPr>
  </w:style>
  <w:style w:type="paragraph" w:customStyle="1" w:styleId="144">
    <w:name w:val="_Style 43"/>
    <w:basedOn w:val="16"/>
    <w:qFormat/>
    <w:uiPriority w:val="0"/>
    <w:rPr>
      <w:rFonts w:ascii="Tahoma" w:hAnsi="Tahoma"/>
      <w:sz w:val="24"/>
      <w:szCs w:val="24"/>
    </w:rPr>
  </w:style>
  <w:style w:type="paragraph" w:customStyle="1" w:styleId="145">
    <w:name w:val="xl82"/>
    <w:basedOn w:val="1"/>
    <w:qFormat/>
    <w:uiPriority w:val="0"/>
    <w:pPr>
      <w:widowControl/>
      <w:spacing w:beforeAutospacing="1" w:afterAutospacing="1"/>
      <w:jc w:val="center"/>
      <w:textAlignment w:val="center"/>
    </w:pPr>
    <w:rPr>
      <w:rFonts w:ascii="宋体" w:hAnsi="宋体"/>
      <w:b/>
      <w:kern w:val="0"/>
      <w:sz w:val="40"/>
    </w:rPr>
  </w:style>
  <w:style w:type="paragraph" w:customStyle="1" w:styleId="14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47">
    <w:name w:val="xl42"/>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right"/>
      <w:textAlignment w:val="center"/>
    </w:pPr>
    <w:rPr>
      <w:kern w:val="0"/>
      <w:sz w:val="22"/>
    </w:rPr>
  </w:style>
  <w:style w:type="paragraph" w:customStyle="1" w:styleId="148">
    <w:name w:val="xl11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49">
    <w:name w:val="普通 (Web)"/>
    <w:basedOn w:val="1"/>
    <w:qFormat/>
    <w:uiPriority w:val="0"/>
    <w:pPr>
      <w:widowControl/>
      <w:jc w:val="left"/>
    </w:pPr>
    <w:rPr>
      <w:rFonts w:ascii="Arial Unicode MS" w:hAnsi="Arial Unicode MS" w:eastAsia="Arial Unicode MS"/>
      <w:kern w:val="0"/>
      <w:sz w:val="24"/>
    </w:rPr>
  </w:style>
  <w:style w:type="paragraph" w:customStyle="1" w:styleId="150">
    <w:name w:val="Char Char Char Char Char Char Char Char Char Char"/>
    <w:basedOn w:val="1"/>
    <w:qFormat/>
    <w:uiPriority w:val="0"/>
    <w:pPr>
      <w:tabs>
        <w:tab w:val="left" w:pos="360"/>
      </w:tabs>
      <w:ind w:left="360" w:hanging="360" w:hangingChars="200"/>
    </w:pPr>
    <w:rPr>
      <w:sz w:val="24"/>
      <w:szCs w:val="24"/>
    </w:rPr>
  </w:style>
  <w:style w:type="paragraph" w:customStyle="1" w:styleId="151">
    <w:name w:val="xl28"/>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宋体" w:hAnsi="宋体"/>
      <w:kern w:val="0"/>
      <w:sz w:val="24"/>
    </w:rPr>
  </w:style>
  <w:style w:type="paragraph" w:customStyle="1" w:styleId="152">
    <w:name w:val="标题4"/>
    <w:basedOn w:val="1"/>
    <w:qFormat/>
    <w:uiPriority w:val="0"/>
    <w:pPr>
      <w:widowControl/>
      <w:snapToGrid w:val="0"/>
      <w:spacing w:line="500" w:lineRule="exact"/>
      <w:ind w:firstLine="641"/>
      <w:jc w:val="left"/>
    </w:pPr>
    <w:rPr>
      <w:rFonts w:ascii="Verdana" w:hAnsi="Verdana" w:eastAsia="黑体"/>
      <w:b/>
      <w:kern w:val="0"/>
      <w:sz w:val="32"/>
      <w:szCs w:val="32"/>
      <w:lang w:eastAsia="en-US"/>
    </w:rPr>
  </w:style>
  <w:style w:type="paragraph" w:customStyle="1" w:styleId="153">
    <w:name w:val="Char Char Char Char"/>
    <w:basedOn w:val="1"/>
    <w:qFormat/>
    <w:uiPriority w:val="0"/>
    <w:rPr>
      <w:rFonts w:ascii="Tahoma" w:hAnsi="Tahoma"/>
      <w:sz w:val="24"/>
    </w:rPr>
  </w:style>
  <w:style w:type="paragraph" w:customStyle="1" w:styleId="154">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55">
    <w:name w:val="reader-word-layer reader-word-s10-12"/>
    <w:basedOn w:val="1"/>
    <w:qFormat/>
    <w:uiPriority w:val="0"/>
    <w:pPr>
      <w:widowControl/>
      <w:spacing w:beforeAutospacing="1" w:afterAutospacing="1"/>
      <w:jc w:val="left"/>
    </w:pPr>
    <w:rPr>
      <w:rFonts w:ascii="宋体" w:hAnsi="宋体" w:cs="宋体"/>
      <w:kern w:val="0"/>
      <w:sz w:val="24"/>
      <w:szCs w:val="24"/>
    </w:rPr>
  </w:style>
  <w:style w:type="paragraph" w:customStyle="1" w:styleId="156">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57">
    <w:name w:val="Char Char Char"/>
    <w:basedOn w:val="1"/>
    <w:qFormat/>
    <w:uiPriority w:val="0"/>
    <w:rPr>
      <w:rFonts w:ascii="Tahoma" w:hAnsi="Tahoma"/>
      <w:sz w:val="24"/>
    </w:rPr>
  </w:style>
  <w:style w:type="paragraph" w:customStyle="1" w:styleId="158">
    <w:name w:val="xl50"/>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right"/>
      <w:textAlignment w:val="center"/>
    </w:pPr>
    <w:rPr>
      <w:rFonts w:ascii="Arial" w:hAnsi="Arial"/>
      <w:kern w:val="0"/>
      <w:sz w:val="22"/>
    </w:rPr>
  </w:style>
  <w:style w:type="paragraph" w:customStyle="1" w:styleId="159">
    <w:name w:val="xl56"/>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kern w:val="0"/>
      <w:sz w:val="24"/>
    </w:rPr>
  </w:style>
  <w:style w:type="paragraph" w:customStyle="1" w:styleId="160">
    <w:name w:val="xl91"/>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61">
    <w:name w:val="xl12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162">
    <w:name w:val="font9"/>
    <w:basedOn w:val="1"/>
    <w:qFormat/>
    <w:uiPriority w:val="0"/>
    <w:pPr>
      <w:widowControl/>
      <w:spacing w:beforeAutospacing="1" w:afterAutospacing="1"/>
      <w:jc w:val="left"/>
    </w:pPr>
    <w:rPr>
      <w:rFonts w:hint="eastAsia" w:ascii="宋体" w:hAnsi="宋体"/>
      <w:b/>
      <w:kern w:val="0"/>
      <w:sz w:val="40"/>
    </w:rPr>
  </w:style>
  <w:style w:type="paragraph" w:customStyle="1" w:styleId="163">
    <w:name w:val="xl1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164">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65">
    <w:name w:val="xl11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66">
    <w:name w:val="xl33"/>
    <w:basedOn w:val="1"/>
    <w:qFormat/>
    <w:uiPriority w:val="0"/>
    <w:pPr>
      <w:widowControl/>
      <w:pBdr>
        <w:bottom w:val="single" w:color="auto" w:sz="4" w:space="0"/>
        <w:right w:val="single" w:color="auto" w:sz="4" w:space="0"/>
      </w:pBdr>
      <w:spacing w:beforeAutospacing="1" w:afterAutospacing="1"/>
      <w:jc w:val="center"/>
      <w:textAlignment w:val="center"/>
    </w:pPr>
    <w:rPr>
      <w:rFonts w:ascii="宋体" w:hAnsi="宋体"/>
      <w:kern w:val="0"/>
      <w:sz w:val="24"/>
    </w:rPr>
  </w:style>
  <w:style w:type="paragraph" w:customStyle="1" w:styleId="167">
    <w:name w:val="xl66"/>
    <w:basedOn w:val="1"/>
    <w:qFormat/>
    <w:uiPriority w:val="0"/>
    <w:pPr>
      <w:widowControl/>
      <w:pBdr>
        <w:top w:val="single" w:color="auto" w:sz="4" w:space="0"/>
        <w:left w:val="single" w:color="auto" w:sz="4" w:space="0"/>
        <w:bottom w:val="single" w:color="auto" w:sz="4" w:space="0"/>
      </w:pBdr>
      <w:spacing w:beforeAutospacing="1" w:afterAutospacing="1"/>
      <w:jc w:val="left"/>
      <w:textAlignment w:val="center"/>
    </w:pPr>
    <w:rPr>
      <w:rFonts w:ascii="宋体" w:hAnsi="宋体"/>
      <w:kern w:val="0"/>
      <w:sz w:val="22"/>
    </w:rPr>
  </w:style>
  <w:style w:type="paragraph" w:customStyle="1" w:styleId="168">
    <w:name w:val="Table Text"/>
    <w:qFormat/>
    <w:uiPriority w:val="0"/>
    <w:pPr>
      <w:snapToGrid w:val="0"/>
      <w:spacing w:before="80" w:after="80"/>
    </w:pPr>
    <w:rPr>
      <w:rFonts w:ascii="Arial" w:hAnsi="Arial" w:eastAsia="宋体" w:cs="Arial"/>
      <w:kern w:val="2"/>
      <w:sz w:val="18"/>
      <w:szCs w:val="18"/>
      <w:lang w:val="en-US" w:eastAsia="zh-CN" w:bidi="ar-SA"/>
    </w:rPr>
  </w:style>
  <w:style w:type="paragraph" w:customStyle="1" w:styleId="169">
    <w:name w:val="Char Char1 Char Char Char Char Char Char Char Char Char Char Char Char Char Char Char"/>
    <w:basedOn w:val="1"/>
    <w:qFormat/>
    <w:uiPriority w:val="0"/>
    <w:pPr>
      <w:widowControl/>
      <w:spacing w:line="240" w:lineRule="exact"/>
      <w:jc w:val="left"/>
    </w:pPr>
    <w:rPr>
      <w:szCs w:val="24"/>
    </w:rPr>
  </w:style>
  <w:style w:type="paragraph" w:customStyle="1" w:styleId="170">
    <w:name w:val="xl61"/>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宋体" w:hAnsi="宋体"/>
      <w:kern w:val="0"/>
      <w:sz w:val="22"/>
    </w:rPr>
  </w:style>
  <w:style w:type="paragraph" w:customStyle="1" w:styleId="171">
    <w:name w:val="Char1 Char Char Char"/>
    <w:basedOn w:val="1"/>
    <w:qFormat/>
    <w:uiPriority w:val="0"/>
    <w:rPr>
      <w:rFonts w:ascii="Tahoma" w:hAnsi="Tahoma"/>
      <w:sz w:val="24"/>
    </w:rPr>
  </w:style>
  <w:style w:type="paragraph" w:customStyle="1" w:styleId="172">
    <w:name w:val="列出段落2"/>
    <w:basedOn w:val="1"/>
    <w:qFormat/>
    <w:uiPriority w:val="0"/>
    <w:pPr>
      <w:ind w:firstLine="420" w:firstLineChars="200"/>
    </w:pPr>
    <w:rPr>
      <w:szCs w:val="24"/>
    </w:rPr>
  </w:style>
  <w:style w:type="paragraph" w:customStyle="1" w:styleId="173">
    <w:name w:val="xl49"/>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textAlignment w:val="center"/>
    </w:pPr>
    <w:rPr>
      <w:rFonts w:ascii="Arial" w:hAnsi="Arial"/>
      <w:kern w:val="0"/>
      <w:sz w:val="22"/>
    </w:rPr>
  </w:style>
  <w:style w:type="paragraph" w:customStyle="1" w:styleId="174">
    <w:name w:val="xl32"/>
    <w:basedOn w:val="1"/>
    <w:qFormat/>
    <w:uiPriority w:val="0"/>
    <w:pPr>
      <w:widowControl/>
      <w:pBdr>
        <w:left w:val="single" w:color="auto" w:sz="4" w:space="0"/>
        <w:bottom w:val="single" w:color="auto" w:sz="4" w:space="0"/>
        <w:right w:val="single" w:color="auto" w:sz="4" w:space="0"/>
      </w:pBdr>
      <w:spacing w:beforeAutospacing="1" w:afterAutospacing="1"/>
      <w:jc w:val="center"/>
      <w:textAlignment w:val="center"/>
    </w:pPr>
    <w:rPr>
      <w:kern w:val="0"/>
      <w:sz w:val="24"/>
    </w:rPr>
  </w:style>
  <w:style w:type="paragraph" w:customStyle="1" w:styleId="175">
    <w:name w:val="xl73"/>
    <w:basedOn w:val="1"/>
    <w:qFormat/>
    <w:uiPriority w:val="0"/>
    <w:pPr>
      <w:widowControl/>
      <w:pBdr>
        <w:top w:val="single" w:color="auto" w:sz="4" w:space="0"/>
        <w:left w:val="double" w:color="auto" w:sz="6" w:space="0"/>
        <w:bottom w:val="single" w:color="auto" w:sz="4" w:space="0"/>
        <w:right w:val="single" w:color="auto" w:sz="4" w:space="0"/>
      </w:pBdr>
      <w:spacing w:beforeAutospacing="1" w:afterAutospacing="1"/>
      <w:jc w:val="center"/>
      <w:textAlignment w:val="center"/>
    </w:pPr>
    <w:rPr>
      <w:rFonts w:ascii="Arial" w:hAnsi="Arial"/>
      <w:kern w:val="0"/>
      <w:sz w:val="22"/>
    </w:rPr>
  </w:style>
  <w:style w:type="paragraph" w:customStyle="1" w:styleId="176">
    <w:name w:val="Figure Description"/>
    <w:next w:val="1"/>
    <w:qFormat/>
    <w:uiPriority w:val="0"/>
    <w:pPr>
      <w:numPr>
        <w:ilvl w:val="1"/>
        <w:numId w:val="7"/>
      </w:numPr>
      <w:tabs>
        <w:tab w:val="clear" w:pos="927"/>
      </w:tabs>
      <w:snapToGrid w:val="0"/>
      <w:spacing w:before="80" w:after="320"/>
      <w:ind w:left="1134" w:firstLine="0"/>
      <w:jc w:val="center"/>
    </w:pPr>
    <w:rPr>
      <w:rFonts w:ascii="Arial" w:hAnsi="Arial" w:eastAsia="黑体" w:cs="Arial"/>
      <w:sz w:val="18"/>
      <w:szCs w:val="18"/>
      <w:lang w:val="en-US" w:eastAsia="zh-CN" w:bidi="ar-SA"/>
    </w:rPr>
  </w:style>
  <w:style w:type="paragraph" w:customStyle="1" w:styleId="177">
    <w:name w:val="xl11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78">
    <w:name w:val="xl9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rPr>
  </w:style>
  <w:style w:type="paragraph" w:customStyle="1" w:styleId="179">
    <w:name w:val="xl40"/>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textAlignment w:val="center"/>
    </w:pPr>
    <w:rPr>
      <w:rFonts w:ascii="Arial" w:hAnsi="Arial"/>
      <w:kern w:val="0"/>
      <w:sz w:val="22"/>
    </w:rPr>
  </w:style>
  <w:style w:type="paragraph" w:customStyle="1" w:styleId="180">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81">
    <w:name w:val="xl55"/>
    <w:basedOn w:val="1"/>
    <w:qFormat/>
    <w:uiPriority w:val="0"/>
    <w:pPr>
      <w:widowControl/>
      <w:pBdr>
        <w:top w:val="single" w:color="auto" w:sz="4" w:space="0"/>
        <w:left w:val="single" w:color="auto" w:sz="8" w:space="0"/>
        <w:bottom w:val="single" w:color="auto" w:sz="4" w:space="0"/>
        <w:right w:val="single" w:color="auto" w:sz="4" w:space="0"/>
      </w:pBdr>
      <w:spacing w:beforeAutospacing="1" w:afterAutospacing="1"/>
      <w:jc w:val="center"/>
      <w:textAlignment w:val="center"/>
    </w:pPr>
    <w:rPr>
      <w:kern w:val="0"/>
      <w:sz w:val="24"/>
    </w:rPr>
  </w:style>
  <w:style w:type="paragraph" w:customStyle="1" w:styleId="182">
    <w:name w:val="默认段落字体 Para Char Char Char Char Char Char Char Char Char1"/>
    <w:basedOn w:val="1"/>
    <w:qFormat/>
    <w:uiPriority w:val="0"/>
    <w:pPr>
      <w:numPr>
        <w:ilvl w:val="3"/>
        <w:numId w:val="5"/>
      </w:numPr>
      <w:tabs>
        <w:tab w:val="clear" w:pos="2356"/>
      </w:tabs>
      <w:ind w:left="0" w:firstLine="0"/>
    </w:pPr>
    <w:rPr>
      <w:rFonts w:ascii="Tahoma" w:hAnsi="Tahoma"/>
      <w:sz w:val="24"/>
    </w:rPr>
  </w:style>
  <w:style w:type="paragraph" w:customStyle="1" w:styleId="183">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184">
    <w:name w:val="Item Step in Table"/>
    <w:qFormat/>
    <w:uiPriority w:val="0"/>
    <w:pPr>
      <w:numPr>
        <w:ilvl w:val="0"/>
        <w:numId w:val="8"/>
      </w:numPr>
      <w:spacing w:before="40" w:after="40"/>
      <w:jc w:val="both"/>
    </w:pPr>
    <w:rPr>
      <w:rFonts w:ascii="Arial" w:hAnsi="Arial" w:eastAsia="宋体" w:cs="Times New Roman"/>
      <w:sz w:val="18"/>
      <w:lang w:val="en-US" w:eastAsia="zh-CN" w:bidi="ar-SA"/>
    </w:rPr>
  </w:style>
  <w:style w:type="paragraph" w:customStyle="1" w:styleId="185">
    <w:name w:val="样式 行距: 1.5 倍行距1"/>
    <w:basedOn w:val="1"/>
    <w:qFormat/>
    <w:uiPriority w:val="0"/>
    <w:pPr>
      <w:spacing w:line="360" w:lineRule="auto"/>
      <w:ind w:firstLine="480"/>
    </w:pPr>
    <w:rPr>
      <w:rFonts w:cs="宋体"/>
      <w:sz w:val="24"/>
      <w:szCs w:val="24"/>
    </w:rPr>
  </w:style>
  <w:style w:type="paragraph" w:customStyle="1" w:styleId="186">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20"/>
    </w:rPr>
  </w:style>
  <w:style w:type="paragraph" w:customStyle="1" w:styleId="187">
    <w:name w:val="Table Text Char Char"/>
    <w:qFormat/>
    <w:uiPriority w:val="0"/>
    <w:pPr>
      <w:snapToGrid w:val="0"/>
      <w:spacing w:before="80" w:after="80"/>
    </w:pPr>
    <w:rPr>
      <w:rFonts w:ascii="Arial" w:hAnsi="Arial" w:eastAsia="宋体" w:cs="Arial"/>
      <w:kern w:val="2"/>
      <w:sz w:val="18"/>
      <w:szCs w:val="21"/>
      <w:lang w:val="en-US" w:eastAsia="zh-CN" w:bidi="ar-SA"/>
    </w:rPr>
  </w:style>
  <w:style w:type="paragraph" w:customStyle="1" w:styleId="188">
    <w:name w:val="xl93"/>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189">
    <w:name w:val="样式 宋体 五号 两端对齐 行距: 单倍行距"/>
    <w:basedOn w:val="1"/>
    <w:qFormat/>
    <w:uiPriority w:val="0"/>
    <w:pPr>
      <w:adjustRightInd w:val="0"/>
      <w:textAlignment w:val="baseline"/>
    </w:pPr>
    <w:rPr>
      <w:rFonts w:ascii="宋体" w:hAnsi="宋体"/>
      <w:kern w:val="0"/>
    </w:rPr>
  </w:style>
  <w:style w:type="paragraph" w:customStyle="1" w:styleId="190">
    <w:name w:val="font8"/>
    <w:basedOn w:val="1"/>
    <w:qFormat/>
    <w:uiPriority w:val="0"/>
    <w:pPr>
      <w:widowControl/>
      <w:spacing w:beforeAutospacing="1" w:afterAutospacing="1"/>
      <w:jc w:val="left"/>
    </w:pPr>
    <w:rPr>
      <w:rFonts w:hint="eastAsia" w:ascii="宋体" w:hAnsi="宋体"/>
      <w:kern w:val="0"/>
      <w:sz w:val="24"/>
    </w:rPr>
  </w:style>
  <w:style w:type="paragraph" w:customStyle="1" w:styleId="191">
    <w:name w:val="目录"/>
    <w:basedOn w:val="1"/>
    <w:qFormat/>
    <w:uiPriority w:val="0"/>
    <w:pPr>
      <w:widowControl/>
      <w:jc w:val="center"/>
    </w:pPr>
    <w:rPr>
      <w:rFonts w:ascii="宋体"/>
      <w:b/>
      <w:kern w:val="0"/>
      <w:sz w:val="36"/>
    </w:rPr>
  </w:style>
  <w:style w:type="paragraph" w:customStyle="1" w:styleId="192">
    <w:name w:val="样式 标题 22nd levelh22Header 2l2第一章 标题 2Heading 2 HiddenHea..."/>
    <w:basedOn w:val="4"/>
    <w:qFormat/>
    <w:uiPriority w:val="0"/>
    <w:pPr>
      <w:numPr>
        <w:ilvl w:val="1"/>
        <w:numId w:val="9"/>
      </w:numPr>
      <w:spacing w:line="240" w:lineRule="auto"/>
    </w:pPr>
    <w:rPr>
      <w:rFonts w:cs="宋体"/>
      <w:bCs/>
      <w:sz w:val="24"/>
      <w:szCs w:val="24"/>
    </w:rPr>
  </w:style>
  <w:style w:type="paragraph" w:customStyle="1" w:styleId="193">
    <w:name w:val="xl36"/>
    <w:basedOn w:val="1"/>
    <w:qFormat/>
    <w:uiPriority w:val="0"/>
    <w:pPr>
      <w:widowControl/>
      <w:jc w:val="center"/>
    </w:pPr>
    <w:rPr>
      <w:rFonts w:hint="eastAsia" w:ascii="宋体" w:hAnsi="宋体"/>
      <w:kern w:val="0"/>
      <w:sz w:val="24"/>
    </w:rPr>
  </w:style>
  <w:style w:type="paragraph" w:customStyle="1" w:styleId="194">
    <w:name w:val="xl43"/>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textAlignment w:val="center"/>
    </w:pPr>
    <w:rPr>
      <w:rFonts w:ascii="宋体" w:hAnsi="宋体"/>
      <w:kern w:val="0"/>
      <w:sz w:val="22"/>
    </w:rPr>
  </w:style>
  <w:style w:type="paragraph" w:customStyle="1" w:styleId="195">
    <w:name w:val="font11"/>
    <w:basedOn w:val="1"/>
    <w:qFormat/>
    <w:uiPriority w:val="0"/>
    <w:pPr>
      <w:widowControl/>
      <w:spacing w:beforeAutospacing="1" w:afterAutospacing="1"/>
      <w:jc w:val="left"/>
    </w:pPr>
    <w:rPr>
      <w:kern w:val="0"/>
      <w:sz w:val="22"/>
    </w:rPr>
  </w:style>
  <w:style w:type="paragraph" w:customStyle="1" w:styleId="196">
    <w:name w:val="xl45"/>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pPr>
    <w:rPr>
      <w:rFonts w:ascii="Arial" w:hAnsi="Arial"/>
      <w:kern w:val="0"/>
      <w:sz w:val="22"/>
    </w:rPr>
  </w:style>
  <w:style w:type="paragraph" w:customStyle="1" w:styleId="197">
    <w:name w:val="样式4"/>
    <w:basedOn w:val="1"/>
    <w:qFormat/>
    <w:uiPriority w:val="0"/>
    <w:pPr>
      <w:jc w:val="center"/>
      <w:outlineLvl w:val="0"/>
    </w:pPr>
    <w:rPr>
      <w:b/>
      <w:sz w:val="32"/>
    </w:rPr>
  </w:style>
  <w:style w:type="paragraph" w:customStyle="1" w:styleId="198">
    <w:name w:val="Blockquote"/>
    <w:basedOn w:val="1"/>
    <w:qFormat/>
    <w:uiPriority w:val="0"/>
    <w:pPr>
      <w:autoSpaceDE w:val="0"/>
      <w:autoSpaceDN w:val="0"/>
      <w:adjustRightInd w:val="0"/>
      <w:ind w:left="360" w:right="360"/>
      <w:jc w:val="left"/>
    </w:pPr>
    <w:rPr>
      <w:kern w:val="0"/>
      <w:sz w:val="24"/>
    </w:rPr>
  </w:style>
  <w:style w:type="paragraph" w:customStyle="1" w:styleId="199">
    <w:name w:val="xl80"/>
    <w:basedOn w:val="1"/>
    <w:qFormat/>
    <w:uiPriority w:val="0"/>
    <w:pPr>
      <w:widowControl/>
      <w:pBdr>
        <w:left w:val="single" w:color="auto" w:sz="4" w:space="0"/>
        <w:bottom w:val="single" w:color="auto" w:sz="4" w:space="0"/>
        <w:right w:val="single" w:color="auto" w:sz="4" w:space="0"/>
      </w:pBdr>
      <w:spacing w:beforeAutospacing="1" w:afterAutospacing="1"/>
      <w:jc w:val="center"/>
      <w:textAlignment w:val="center"/>
    </w:pPr>
    <w:rPr>
      <w:rFonts w:ascii="宋体" w:hAnsi="宋体"/>
      <w:kern w:val="0"/>
      <w:sz w:val="24"/>
    </w:rPr>
  </w:style>
  <w:style w:type="paragraph" w:customStyle="1" w:styleId="200">
    <w:name w:val="样式 标题 22nd levelh22Header 2l2第一章 标题 2Heading 2 HiddenHea...1"/>
    <w:basedOn w:val="4"/>
    <w:qFormat/>
    <w:uiPriority w:val="0"/>
    <w:pPr>
      <w:numPr>
        <w:ilvl w:val="3"/>
        <w:numId w:val="3"/>
      </w:numPr>
      <w:tabs>
        <w:tab w:val="left" w:pos="992"/>
        <w:tab w:val="clear" w:pos="2356"/>
      </w:tabs>
      <w:spacing w:line="240" w:lineRule="auto"/>
      <w:ind w:left="992" w:hanging="567"/>
    </w:pPr>
    <w:rPr>
      <w:rFonts w:cs="宋体"/>
      <w:bCs/>
      <w:sz w:val="28"/>
    </w:rPr>
  </w:style>
  <w:style w:type="paragraph" w:customStyle="1" w:styleId="201">
    <w:name w:val="xl116"/>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02">
    <w:name w:val=".."/>
    <w:basedOn w:val="2"/>
    <w:next w:val="2"/>
    <w:qFormat/>
    <w:uiPriority w:val="0"/>
    <w:rPr>
      <w:rFonts w:cs="Times New Roman"/>
      <w:color w:val="auto"/>
    </w:rPr>
  </w:style>
  <w:style w:type="paragraph" w:customStyle="1" w:styleId="203">
    <w:name w:val="正文首行缩进两字符 Char Char"/>
    <w:basedOn w:val="1"/>
    <w:qFormat/>
    <w:uiPriority w:val="0"/>
    <w:pPr>
      <w:spacing w:line="360" w:lineRule="auto"/>
      <w:ind w:firstLine="200" w:firstLineChars="200"/>
    </w:pPr>
    <w:rPr>
      <w:sz w:val="24"/>
      <w:szCs w:val="24"/>
    </w:rPr>
  </w:style>
  <w:style w:type="paragraph" w:customStyle="1" w:styleId="204">
    <w:name w:val="xl75"/>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right"/>
      <w:textAlignment w:val="center"/>
    </w:pPr>
    <w:rPr>
      <w:rFonts w:ascii="宋体" w:hAnsi="宋体"/>
      <w:kern w:val="0"/>
      <w:sz w:val="20"/>
    </w:rPr>
  </w:style>
  <w:style w:type="paragraph" w:customStyle="1" w:styleId="20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06">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07">
    <w:name w:val="font0"/>
    <w:basedOn w:val="1"/>
    <w:qFormat/>
    <w:uiPriority w:val="0"/>
    <w:pPr>
      <w:widowControl/>
      <w:spacing w:beforeAutospacing="1" w:afterAutospacing="1"/>
      <w:jc w:val="left"/>
    </w:pPr>
    <w:rPr>
      <w:rFonts w:hint="eastAsia" w:ascii="宋体" w:hAnsi="宋体"/>
      <w:kern w:val="0"/>
      <w:sz w:val="24"/>
    </w:rPr>
  </w:style>
  <w:style w:type="paragraph" w:customStyle="1" w:styleId="208">
    <w:name w:val="xl10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09">
    <w:name w:val="xl31"/>
    <w:basedOn w:val="1"/>
    <w:qFormat/>
    <w:uiPriority w:val="0"/>
    <w:pPr>
      <w:widowControl/>
      <w:pBdr>
        <w:top w:val="single" w:color="auto" w:sz="4" w:space="0"/>
        <w:left w:val="single" w:color="auto" w:sz="4" w:space="0"/>
        <w:bottom w:val="single" w:color="auto" w:sz="8" w:space="0"/>
        <w:right w:val="single" w:color="auto" w:sz="4" w:space="0"/>
      </w:pBdr>
      <w:spacing w:beforeAutospacing="1" w:afterAutospacing="1"/>
      <w:jc w:val="center"/>
      <w:textAlignment w:val="center"/>
    </w:pPr>
    <w:rPr>
      <w:rFonts w:ascii="宋体" w:hAnsi="宋体"/>
      <w:kern w:val="0"/>
      <w:sz w:val="24"/>
    </w:rPr>
  </w:style>
  <w:style w:type="paragraph" w:customStyle="1" w:styleId="210">
    <w:name w:val="xl12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11">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12">
    <w:name w:val="xl65"/>
    <w:basedOn w:val="1"/>
    <w:qFormat/>
    <w:uiPriority w:val="0"/>
    <w:pPr>
      <w:widowControl/>
      <w:pBdr>
        <w:top w:val="single" w:color="auto" w:sz="4" w:space="0"/>
        <w:left w:val="single" w:color="auto" w:sz="4" w:space="0"/>
        <w:bottom w:val="single" w:color="auto" w:sz="4" w:space="0"/>
      </w:pBdr>
      <w:spacing w:beforeAutospacing="1" w:afterAutospacing="1"/>
      <w:jc w:val="right"/>
      <w:textAlignment w:val="center"/>
    </w:pPr>
    <w:rPr>
      <w:rFonts w:ascii="Arial" w:hAnsi="Arial"/>
      <w:kern w:val="0"/>
      <w:sz w:val="22"/>
    </w:rPr>
  </w:style>
  <w:style w:type="paragraph" w:customStyle="1" w:styleId="213">
    <w:name w:val="123"/>
    <w:basedOn w:val="1"/>
    <w:qFormat/>
    <w:uiPriority w:val="0"/>
    <w:pPr>
      <w:spacing w:before="120"/>
      <w:ind w:firstLine="425"/>
    </w:pPr>
  </w:style>
  <w:style w:type="paragraph" w:customStyle="1" w:styleId="214">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15">
    <w:name w:val="xl101"/>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16">
    <w:name w:val="Char1 Char Char Char1"/>
    <w:basedOn w:val="1"/>
    <w:qFormat/>
    <w:uiPriority w:val="0"/>
    <w:rPr>
      <w:rFonts w:ascii="Tahoma" w:hAnsi="Tahoma"/>
      <w:sz w:val="24"/>
    </w:rPr>
  </w:style>
  <w:style w:type="paragraph" w:customStyle="1" w:styleId="217">
    <w:name w:val="样式1"/>
    <w:basedOn w:val="6"/>
    <w:qFormat/>
    <w:uiPriority w:val="0"/>
    <w:pPr>
      <w:numPr>
        <w:ilvl w:val="3"/>
        <w:numId w:val="7"/>
      </w:numPr>
      <w:adjustRightInd/>
      <w:spacing w:line="376" w:lineRule="auto"/>
    </w:pPr>
    <w:rPr>
      <w:b w:val="0"/>
      <w:szCs w:val="28"/>
    </w:rPr>
  </w:style>
  <w:style w:type="paragraph" w:customStyle="1" w:styleId="218">
    <w:name w:val="正文K 标准"/>
    <w:qFormat/>
    <w:uiPriority w:val="0"/>
    <w:pPr>
      <w:widowControl w:val="0"/>
      <w:autoSpaceDE w:val="0"/>
      <w:autoSpaceDN w:val="0"/>
      <w:adjustRightInd w:val="0"/>
      <w:spacing w:line="340" w:lineRule="atLeast"/>
      <w:ind w:firstLine="428"/>
      <w:jc w:val="both"/>
    </w:pPr>
    <w:rPr>
      <w:rFonts w:ascii="汉仪楷体简" w:hAnsi="Times New Roman" w:eastAsia="汉仪楷体简" w:cs="汉仪楷体简"/>
      <w:sz w:val="21"/>
      <w:szCs w:val="21"/>
      <w:lang w:val="en-US" w:eastAsia="zh-CN" w:bidi="ar-SA"/>
    </w:rPr>
  </w:style>
  <w:style w:type="paragraph" w:customStyle="1" w:styleId="219">
    <w:name w:val="Char Char Char Char1"/>
    <w:basedOn w:val="1"/>
    <w:qFormat/>
    <w:uiPriority w:val="0"/>
    <w:pPr>
      <w:tabs>
        <w:tab w:val="left" w:pos="360"/>
      </w:tabs>
      <w:ind w:firstLine="420" w:firstLineChars="150"/>
    </w:pPr>
    <w:rPr>
      <w:rFonts w:ascii="Arial" w:hAnsi="Arial" w:cs="Arial"/>
      <w:sz w:val="20"/>
    </w:rPr>
  </w:style>
  <w:style w:type="paragraph" w:customStyle="1" w:styleId="220">
    <w:name w:val="小标题 3"/>
    <w:qFormat/>
    <w:uiPriority w:val="0"/>
    <w:pPr>
      <w:widowControl w:val="0"/>
      <w:autoSpaceDE w:val="0"/>
      <w:autoSpaceDN w:val="0"/>
      <w:adjustRightInd w:val="0"/>
      <w:spacing w:line="340" w:lineRule="atLeast"/>
      <w:ind w:firstLine="454"/>
    </w:pPr>
    <w:rPr>
      <w:rFonts w:ascii="汉仪魏碑简" w:hAnsi="Times New Roman" w:eastAsia="汉仪魏碑简" w:cs="汉仪魏碑简"/>
      <w:color w:val="000000"/>
      <w:spacing w:val="-15"/>
      <w:sz w:val="22"/>
      <w:szCs w:val="22"/>
      <w:lang w:val="en-US" w:eastAsia="zh-CN" w:bidi="ar-SA"/>
    </w:rPr>
  </w:style>
  <w:style w:type="paragraph" w:customStyle="1" w:styleId="221">
    <w:name w:val="font7"/>
    <w:basedOn w:val="1"/>
    <w:qFormat/>
    <w:uiPriority w:val="0"/>
    <w:pPr>
      <w:widowControl/>
      <w:spacing w:beforeAutospacing="1" w:afterAutospacing="1"/>
      <w:jc w:val="left"/>
    </w:pPr>
    <w:rPr>
      <w:kern w:val="0"/>
      <w:sz w:val="24"/>
    </w:rPr>
  </w:style>
  <w:style w:type="paragraph" w:customStyle="1" w:styleId="222">
    <w:name w:val="缺省文本"/>
    <w:basedOn w:val="1"/>
    <w:qFormat/>
    <w:uiPriority w:val="0"/>
    <w:pPr>
      <w:autoSpaceDE w:val="0"/>
      <w:autoSpaceDN w:val="0"/>
      <w:adjustRightInd w:val="0"/>
      <w:jc w:val="left"/>
    </w:pPr>
    <w:rPr>
      <w:kern w:val="0"/>
      <w:sz w:val="24"/>
      <w:szCs w:val="24"/>
    </w:rPr>
  </w:style>
  <w:style w:type="paragraph" w:customStyle="1" w:styleId="223">
    <w:name w:val="Char Char Char Char Char Char Char Char Char Char1"/>
    <w:basedOn w:val="1"/>
    <w:qFormat/>
    <w:uiPriority w:val="0"/>
    <w:pPr>
      <w:tabs>
        <w:tab w:val="left" w:pos="360"/>
      </w:tabs>
      <w:ind w:left="360" w:hanging="360" w:hangingChars="200"/>
    </w:pPr>
    <w:rPr>
      <w:sz w:val="24"/>
      <w:szCs w:val="24"/>
    </w:rPr>
  </w:style>
  <w:style w:type="paragraph" w:customStyle="1" w:styleId="224">
    <w:name w:val="彩色列表 - 强调文字颜色 11"/>
    <w:basedOn w:val="1"/>
    <w:qFormat/>
    <w:uiPriority w:val="0"/>
    <w:pPr>
      <w:ind w:firstLine="420" w:firstLineChars="200"/>
    </w:pPr>
    <w:rPr>
      <w:rFonts w:ascii="Calibri" w:hAnsi="Calibri"/>
      <w:szCs w:val="22"/>
    </w:rPr>
  </w:style>
  <w:style w:type="paragraph" w:customStyle="1" w:styleId="225">
    <w:name w:val="xl10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26">
    <w:name w:val="reader-word-layer reader-word-s10-3"/>
    <w:basedOn w:val="1"/>
    <w:qFormat/>
    <w:uiPriority w:val="0"/>
    <w:pPr>
      <w:widowControl/>
      <w:spacing w:beforeAutospacing="1" w:afterAutospacing="1"/>
      <w:jc w:val="left"/>
    </w:pPr>
    <w:rPr>
      <w:rFonts w:ascii="宋体" w:hAnsi="宋体" w:cs="宋体"/>
      <w:kern w:val="0"/>
      <w:sz w:val="24"/>
      <w:szCs w:val="24"/>
    </w:rPr>
  </w:style>
  <w:style w:type="paragraph" w:customStyle="1" w:styleId="227">
    <w:name w:val="xl74"/>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textAlignment w:val="center"/>
    </w:pPr>
    <w:rPr>
      <w:rFonts w:ascii="Arial" w:hAnsi="Arial"/>
      <w:kern w:val="0"/>
      <w:sz w:val="22"/>
    </w:rPr>
  </w:style>
  <w:style w:type="paragraph" w:customStyle="1" w:styleId="228">
    <w:name w:val="xl10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20"/>
    </w:rPr>
  </w:style>
  <w:style w:type="paragraph" w:customStyle="1" w:styleId="229">
    <w:name w:val="Char1 Char Char Char Char Char Char"/>
    <w:basedOn w:val="1"/>
    <w:qFormat/>
    <w:uiPriority w:val="0"/>
    <w:rPr>
      <w:rFonts w:ascii="Tahoma" w:hAnsi="Tahoma"/>
      <w:sz w:val="24"/>
    </w:rPr>
  </w:style>
  <w:style w:type="paragraph" w:customStyle="1" w:styleId="230">
    <w:name w:val="xl11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31">
    <w:name w:val="font6"/>
    <w:basedOn w:val="1"/>
    <w:qFormat/>
    <w:uiPriority w:val="0"/>
    <w:pPr>
      <w:widowControl/>
      <w:spacing w:beforeAutospacing="1" w:afterAutospacing="1"/>
      <w:jc w:val="left"/>
    </w:pPr>
    <w:rPr>
      <w:rFonts w:hint="eastAsia" w:ascii="宋体" w:hAnsi="宋体"/>
      <w:kern w:val="0"/>
      <w:sz w:val="18"/>
    </w:rPr>
  </w:style>
  <w:style w:type="paragraph" w:customStyle="1" w:styleId="232">
    <w:name w:val="日期1"/>
    <w:basedOn w:val="1"/>
    <w:next w:val="1"/>
    <w:qFormat/>
    <w:uiPriority w:val="0"/>
    <w:pPr>
      <w:adjustRightInd w:val="0"/>
      <w:spacing w:line="312" w:lineRule="atLeast"/>
      <w:jc w:val="right"/>
      <w:textAlignment w:val="baseline"/>
    </w:pPr>
    <w:rPr>
      <w:b/>
      <w:kern w:val="0"/>
      <w:sz w:val="36"/>
    </w:rPr>
  </w:style>
  <w:style w:type="paragraph" w:customStyle="1" w:styleId="233">
    <w:name w:val="xl83"/>
    <w:basedOn w:val="1"/>
    <w:qFormat/>
    <w:uiPriority w:val="0"/>
    <w:pPr>
      <w:widowControl/>
      <w:pBdr>
        <w:bottom w:val="single" w:color="auto" w:sz="4" w:space="0"/>
      </w:pBdr>
      <w:spacing w:beforeAutospacing="1" w:afterAutospacing="1"/>
      <w:jc w:val="center"/>
      <w:textAlignment w:val="center"/>
    </w:pPr>
    <w:rPr>
      <w:rFonts w:ascii="宋体" w:hAnsi="宋体"/>
      <w:b/>
      <w:kern w:val="0"/>
      <w:sz w:val="32"/>
    </w:rPr>
  </w:style>
  <w:style w:type="paragraph" w:customStyle="1" w:styleId="234">
    <w:name w:val="xl35"/>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textAlignment w:val="center"/>
    </w:pPr>
    <w:rPr>
      <w:rFonts w:ascii="Arial" w:hAnsi="Arial"/>
      <w:kern w:val="0"/>
      <w:sz w:val="22"/>
    </w:rPr>
  </w:style>
  <w:style w:type="paragraph" w:customStyle="1" w:styleId="235">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36">
    <w:name w:val="font12"/>
    <w:basedOn w:val="1"/>
    <w:qFormat/>
    <w:uiPriority w:val="0"/>
    <w:pPr>
      <w:widowControl/>
      <w:spacing w:beforeAutospacing="1" w:afterAutospacing="1"/>
      <w:jc w:val="left"/>
    </w:pPr>
    <w:rPr>
      <w:rFonts w:ascii="Arial" w:hAnsi="Arial"/>
      <w:kern w:val="0"/>
      <w:sz w:val="22"/>
    </w:rPr>
  </w:style>
  <w:style w:type="paragraph" w:customStyle="1" w:styleId="237">
    <w:name w:val="Char2"/>
    <w:basedOn w:val="1"/>
    <w:qFormat/>
    <w:uiPriority w:val="0"/>
  </w:style>
  <w:style w:type="paragraph" w:customStyle="1" w:styleId="238">
    <w:name w:val="例文标题"/>
    <w:qFormat/>
    <w:uiPriority w:val="0"/>
    <w:pPr>
      <w:widowControl w:val="0"/>
      <w:autoSpaceDE w:val="0"/>
      <w:autoSpaceDN w:val="0"/>
      <w:adjustRightInd w:val="0"/>
      <w:spacing w:line="680" w:lineRule="atLeast"/>
      <w:jc w:val="center"/>
    </w:pPr>
    <w:rPr>
      <w:rFonts w:ascii="汉仪中黑简" w:hAnsi="Times New Roman" w:eastAsia="汉仪中黑简" w:cs="汉仪中黑简"/>
      <w:sz w:val="21"/>
      <w:szCs w:val="21"/>
      <w:lang w:val="en-US" w:eastAsia="zh-CN" w:bidi="ar-SA"/>
    </w:rPr>
  </w:style>
  <w:style w:type="paragraph" w:customStyle="1" w:styleId="239">
    <w:name w:val="xl12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40">
    <w:name w:val="正文 + 宋体"/>
    <w:basedOn w:val="1"/>
    <w:qFormat/>
    <w:uiPriority w:val="0"/>
    <w:pPr>
      <w:widowControl/>
      <w:tabs>
        <w:tab w:val="left" w:pos="927"/>
      </w:tabs>
      <w:ind w:left="360" w:hanging="360"/>
      <w:jc w:val="left"/>
    </w:pPr>
    <w:rPr>
      <w:rFonts w:ascii="宋体" w:hAnsi="宋体" w:cs="宋体"/>
      <w:b/>
      <w:bCs/>
      <w:color w:val="000000"/>
      <w:kern w:val="0"/>
      <w:sz w:val="18"/>
      <w:szCs w:val="18"/>
    </w:rPr>
  </w:style>
  <w:style w:type="paragraph" w:customStyle="1" w:styleId="241">
    <w:name w:val="xl48"/>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Arial" w:hAnsi="Arial"/>
      <w:kern w:val="0"/>
      <w:sz w:val="22"/>
    </w:rPr>
  </w:style>
  <w:style w:type="paragraph" w:customStyle="1" w:styleId="24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243">
    <w:name w:val="Char Char Char Char2"/>
    <w:basedOn w:val="1"/>
    <w:qFormat/>
    <w:uiPriority w:val="0"/>
    <w:rPr>
      <w:rFonts w:ascii="Tahoma" w:hAnsi="Tahoma"/>
      <w:sz w:val="24"/>
    </w:rPr>
  </w:style>
  <w:style w:type="paragraph" w:customStyle="1" w:styleId="244">
    <w:name w:val="xl12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45">
    <w:name w:val="xl47"/>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宋体" w:hAnsi="宋体"/>
      <w:kern w:val="0"/>
      <w:sz w:val="22"/>
    </w:rPr>
  </w:style>
  <w:style w:type="paragraph" w:customStyle="1" w:styleId="246">
    <w:name w:val="xl60"/>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kern w:val="0"/>
      <w:sz w:val="24"/>
    </w:rPr>
  </w:style>
  <w:style w:type="paragraph" w:customStyle="1" w:styleId="247">
    <w:name w:val="xl30"/>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kern w:val="0"/>
      <w:sz w:val="24"/>
    </w:rPr>
  </w:style>
  <w:style w:type="paragraph" w:customStyle="1" w:styleId="248">
    <w:name w:val="缩进项目"/>
    <w:basedOn w:val="1"/>
    <w:qFormat/>
    <w:uiPriority w:val="0"/>
    <w:pPr>
      <w:widowControl/>
      <w:numPr>
        <w:ilvl w:val="0"/>
        <w:numId w:val="7"/>
      </w:numPr>
      <w:tabs>
        <w:tab w:val="left" w:pos="1924"/>
      </w:tabs>
      <w:spacing w:line="400" w:lineRule="exact"/>
      <w:ind w:left="1924"/>
      <w:jc w:val="left"/>
      <w:outlineLvl w:val="0"/>
    </w:pPr>
    <w:rPr>
      <w:rFonts w:ascii="宋体"/>
      <w:color w:val="0000FF"/>
      <w:kern w:val="0"/>
      <w:sz w:val="24"/>
    </w:rPr>
  </w:style>
  <w:style w:type="paragraph" w:customStyle="1" w:styleId="249">
    <w:name w:val="Table Text Char"/>
    <w:qFormat/>
    <w:uiPriority w:val="0"/>
    <w:pPr>
      <w:snapToGrid w:val="0"/>
      <w:spacing w:before="80" w:after="80"/>
    </w:pPr>
    <w:rPr>
      <w:rFonts w:ascii="Arial" w:hAnsi="Arial" w:eastAsia="宋体" w:cs="Arial"/>
      <w:sz w:val="18"/>
      <w:szCs w:val="18"/>
      <w:lang w:val="en-US" w:eastAsia="zh-CN" w:bidi="ar-SA"/>
    </w:rPr>
  </w:style>
  <w:style w:type="paragraph" w:customStyle="1" w:styleId="250">
    <w:name w:val="xl37"/>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left"/>
      <w:textAlignment w:val="center"/>
    </w:pPr>
    <w:rPr>
      <w:rFonts w:ascii="宋体" w:hAnsi="宋体"/>
      <w:kern w:val="0"/>
      <w:sz w:val="22"/>
    </w:rPr>
  </w:style>
  <w:style w:type="paragraph" w:customStyle="1" w:styleId="251">
    <w:name w:val="Item List in Table"/>
    <w:basedOn w:val="1"/>
    <w:qFormat/>
    <w:uiPriority w:val="0"/>
    <w:pPr>
      <w:numPr>
        <w:ilvl w:val="0"/>
        <w:numId w:val="10"/>
      </w:numPr>
      <w:tabs>
        <w:tab w:val="left" w:pos="420"/>
        <w:tab w:val="clear" w:pos="454"/>
      </w:tabs>
      <w:ind w:left="420" w:hanging="420"/>
      <w:jc w:val="left"/>
    </w:pPr>
    <w:rPr>
      <w:szCs w:val="24"/>
    </w:rPr>
  </w:style>
  <w:style w:type="paragraph" w:customStyle="1" w:styleId="252">
    <w:name w:val="xl27"/>
    <w:basedOn w:val="1"/>
    <w:qFormat/>
    <w:uiPriority w:val="0"/>
    <w:pPr>
      <w:widowControl/>
      <w:spacing w:beforeAutospacing="1" w:afterAutospacing="1"/>
      <w:jc w:val="center"/>
      <w:textAlignment w:val="center"/>
    </w:pPr>
    <w:rPr>
      <w:rFonts w:ascii="宋体" w:hAnsi="宋体"/>
      <w:kern w:val="0"/>
      <w:sz w:val="24"/>
    </w:rPr>
  </w:style>
  <w:style w:type="paragraph" w:customStyle="1" w:styleId="253">
    <w:name w:val="我的征文"/>
    <w:basedOn w:val="1"/>
    <w:qFormat/>
    <w:uiPriority w:val="0"/>
    <w:pPr>
      <w:tabs>
        <w:tab w:val="left" w:pos="851"/>
      </w:tabs>
      <w:ind w:left="851" w:right="113" w:hanging="851"/>
    </w:pPr>
  </w:style>
  <w:style w:type="paragraph" w:customStyle="1" w:styleId="254">
    <w:name w:val="Char Char Char Char Char Char1 Char"/>
    <w:basedOn w:val="16"/>
    <w:qFormat/>
    <w:uiPriority w:val="0"/>
    <w:rPr>
      <w:rFonts w:ascii="Tahoma" w:hAnsi="Tahoma"/>
      <w:sz w:val="24"/>
      <w:szCs w:val="24"/>
    </w:rPr>
  </w:style>
  <w:style w:type="paragraph" w:customStyle="1" w:styleId="255">
    <w:name w:val="xl62"/>
    <w:basedOn w:val="1"/>
    <w:qFormat/>
    <w:uiPriority w:val="0"/>
    <w:pPr>
      <w:widowControl/>
      <w:pBdr>
        <w:top w:val="single" w:color="auto" w:sz="4" w:space="0"/>
        <w:left w:val="single" w:color="auto" w:sz="4" w:space="0"/>
        <w:bottom w:val="single" w:color="auto" w:sz="4" w:space="0"/>
        <w:right w:val="single" w:color="auto" w:sz="4" w:space="0"/>
      </w:pBdr>
      <w:spacing w:beforeAutospacing="1" w:afterAutospacing="1"/>
      <w:jc w:val="center"/>
      <w:textAlignment w:val="center"/>
    </w:pPr>
    <w:rPr>
      <w:rFonts w:ascii="宋体" w:hAnsi="宋体"/>
      <w:kern w:val="0"/>
      <w:sz w:val="24"/>
    </w:rPr>
  </w:style>
  <w:style w:type="character" w:customStyle="1" w:styleId="256">
    <w:name w:val="lh15 s"/>
    <w:basedOn w:val="49"/>
    <w:qFormat/>
    <w:uiPriority w:val="0"/>
    <w:rPr>
      <w:rFonts w:ascii="Times New Roman" w:hAnsi="Times New Roman" w:eastAsia="宋体" w:cs="Times New Roman"/>
    </w:rPr>
  </w:style>
  <w:style w:type="character" w:customStyle="1" w:styleId="257">
    <w:name w:val="普通(网站) Char Char"/>
    <w:link w:val="106"/>
    <w:qFormat/>
    <w:uiPriority w:val="0"/>
    <w:rPr>
      <w:rFonts w:ascii="宋体" w:hAnsi="宋体" w:eastAsia="宋体" w:cs="Times New Roman"/>
      <w:kern w:val="0"/>
      <w:sz w:val="24"/>
    </w:rPr>
  </w:style>
  <w:style w:type="character" w:customStyle="1" w:styleId="258">
    <w:name w:val="parameter"/>
    <w:basedOn w:val="49"/>
    <w:qFormat/>
    <w:uiPriority w:val="0"/>
    <w:rPr>
      <w:rFonts w:ascii="Times New Roman" w:hAnsi="Times New Roman" w:eastAsia="宋体" w:cs="Times New Roman"/>
    </w:rPr>
  </w:style>
  <w:style w:type="character" w:customStyle="1" w:styleId="259">
    <w:name w:val="title_emph1"/>
    <w:qFormat/>
    <w:uiPriority w:val="0"/>
    <w:rPr>
      <w:rFonts w:hint="default" w:ascii="Arial" w:hAnsi="Arial" w:eastAsia="宋体" w:cs="Times New Roman"/>
      <w:b/>
      <w:sz w:val="18"/>
    </w:rPr>
  </w:style>
  <w:style w:type="character" w:customStyle="1" w:styleId="260">
    <w:name w:val="style11"/>
    <w:qFormat/>
    <w:uiPriority w:val="0"/>
    <w:rPr>
      <w:rFonts w:ascii="Times New Roman" w:hAnsi="Times New Roman" w:eastAsia="宋体" w:cs="Times New Roman"/>
      <w:b/>
      <w:bCs/>
      <w:color w:val="669900"/>
    </w:rPr>
  </w:style>
  <w:style w:type="character" w:customStyle="1" w:styleId="261">
    <w:name w:val="页脚 字符"/>
    <w:link w:val="31"/>
    <w:qFormat/>
    <w:uiPriority w:val="0"/>
    <w:rPr>
      <w:rFonts w:ascii="Times New Roman" w:hAnsi="Times New Roman" w:eastAsia="宋体" w:cs="Times New Roman"/>
      <w:sz w:val="18"/>
    </w:rPr>
  </w:style>
  <w:style w:type="character" w:customStyle="1" w:styleId="262">
    <w:name w:val="navhead1"/>
    <w:qFormat/>
    <w:uiPriority w:val="0"/>
    <w:rPr>
      <w:rFonts w:hint="default" w:ascii="Verdana" w:hAnsi="Verdana" w:eastAsia="宋体" w:cs="Times New Roman"/>
      <w:b/>
      <w:bCs/>
      <w:color w:val="000066"/>
      <w:sz w:val="22"/>
      <w:szCs w:val="22"/>
      <w:u w:val="none"/>
      <w:shd w:val="clear" w:color="auto" w:fill="FFFFFF"/>
    </w:rPr>
  </w:style>
  <w:style w:type="character" w:customStyle="1" w:styleId="263">
    <w:name w:val="标题 3 Char"/>
    <w:qFormat/>
    <w:uiPriority w:val="9"/>
    <w:rPr>
      <w:rFonts w:ascii="宋体" w:hAnsi="宋体" w:eastAsia="宋体" w:cs="宋体"/>
      <w:b/>
      <w:sz w:val="28"/>
    </w:rPr>
  </w:style>
  <w:style w:type="character" w:customStyle="1" w:styleId="264">
    <w:name w:val="para1"/>
    <w:qFormat/>
    <w:uiPriority w:val="0"/>
    <w:rPr>
      <w:rFonts w:hint="default" w:ascii="Arial" w:hAnsi="Arial" w:eastAsia="宋体" w:cs="Times New Roman"/>
      <w:sz w:val="18"/>
    </w:rPr>
  </w:style>
  <w:style w:type="character" w:customStyle="1" w:styleId="265">
    <w:name w:val="tit1"/>
    <w:qFormat/>
    <w:uiPriority w:val="0"/>
    <w:rPr>
      <w:rFonts w:hint="default" w:ascii="Arial" w:hAnsi="Arial" w:eastAsia="黑体" w:cs="Arial"/>
      <w:b/>
      <w:bCs/>
      <w:color w:val="000000"/>
      <w:sz w:val="21"/>
      <w:szCs w:val="21"/>
    </w:rPr>
  </w:style>
  <w:style w:type="character" w:customStyle="1" w:styleId="266">
    <w:name w:val="style1"/>
    <w:basedOn w:val="49"/>
    <w:qFormat/>
    <w:uiPriority w:val="0"/>
    <w:rPr>
      <w:rFonts w:ascii="Times New Roman" w:hAnsi="Times New Roman" w:eastAsia="宋体" w:cs="Times New Roman"/>
    </w:rPr>
  </w:style>
  <w:style w:type="character" w:customStyle="1" w:styleId="267">
    <w:name w:val="point_normal1"/>
    <w:qFormat/>
    <w:uiPriority w:val="0"/>
    <w:rPr>
      <w:rFonts w:hint="default" w:ascii="Arial" w:hAnsi="Arial" w:eastAsia="宋体" w:cs="Times New Roman"/>
      <w:sz w:val="18"/>
    </w:rPr>
  </w:style>
  <w:style w:type="character" w:customStyle="1" w:styleId="268">
    <w:name w:val="纯文本 Char"/>
    <w:qFormat/>
    <w:uiPriority w:val="0"/>
    <w:rPr>
      <w:rFonts w:ascii="宋体" w:hAnsi="Courier New" w:eastAsia="宋体" w:cs="Times New Roman"/>
      <w:kern w:val="2"/>
      <w:sz w:val="24"/>
      <w:lang w:val="en-US" w:eastAsia="zh-CN" w:bidi="ar-SA"/>
    </w:rPr>
  </w:style>
  <w:style w:type="character" w:customStyle="1" w:styleId="269">
    <w:name w:val="breakword"/>
    <w:basedOn w:val="49"/>
    <w:qFormat/>
    <w:uiPriority w:val="0"/>
    <w:rPr>
      <w:rFonts w:ascii="Times New Roman" w:hAnsi="Times New Roman" w:eastAsia="宋体" w:cs="Times New Roman"/>
    </w:rPr>
  </w:style>
  <w:style w:type="character" w:customStyle="1" w:styleId="270">
    <w:name w:val="me041"/>
    <w:qFormat/>
    <w:uiPriority w:val="0"/>
    <w:rPr>
      <w:rFonts w:ascii="Times New Roman" w:hAnsi="Times New Roman" w:eastAsia="宋体" w:cs="Times New Roman"/>
      <w:color w:val="6F6F73"/>
      <w:sz w:val="18"/>
      <w:szCs w:val="18"/>
    </w:rPr>
  </w:style>
  <w:style w:type="character" w:customStyle="1" w:styleId="271">
    <w:name w:val="Plain Text Char"/>
    <w:basedOn w:val="49"/>
    <w:qFormat/>
    <w:locked/>
    <w:uiPriority w:val="0"/>
    <w:rPr>
      <w:rFonts w:ascii="宋体" w:hAnsi="Courier New" w:eastAsia="宋体" w:cs="Times New Roman"/>
      <w:sz w:val="21"/>
      <w:szCs w:val="21"/>
    </w:rPr>
  </w:style>
  <w:style w:type="character" w:customStyle="1" w:styleId="272">
    <w:name w:val="apple-style-span"/>
    <w:basedOn w:val="49"/>
    <w:qFormat/>
    <w:uiPriority w:val="0"/>
    <w:rPr>
      <w:rFonts w:ascii="Times New Roman" w:hAnsi="Times New Roman" w:eastAsia="宋体" w:cs="Times New Roman"/>
    </w:rPr>
  </w:style>
  <w:style w:type="character" w:customStyle="1" w:styleId="273">
    <w:name w:val="blacksmm"/>
    <w:basedOn w:val="49"/>
    <w:qFormat/>
    <w:uiPriority w:val="0"/>
    <w:rPr>
      <w:rFonts w:ascii="Times New Roman" w:hAnsi="Times New Roman" w:eastAsia="宋体" w:cs="Times New Roman"/>
    </w:rPr>
  </w:style>
  <w:style w:type="character" w:customStyle="1" w:styleId="274">
    <w:name w:val="Char Char33"/>
    <w:qFormat/>
    <w:uiPriority w:val="0"/>
    <w:rPr>
      <w:rFonts w:ascii="Arial" w:hAnsi="Arial" w:eastAsia="黑体" w:cs="Times New Roman"/>
      <w:b/>
      <w:kern w:val="2"/>
      <w:sz w:val="32"/>
      <w:lang w:val="en-US" w:eastAsia="zh-CN" w:bidi="ar-SA"/>
    </w:rPr>
  </w:style>
  <w:style w:type="character" w:customStyle="1" w:styleId="275">
    <w:name w:val="boldheader1"/>
    <w:qFormat/>
    <w:uiPriority w:val="0"/>
    <w:rPr>
      <w:rFonts w:hint="default" w:ascii="Verdana" w:hAnsi="Verdana" w:eastAsia="宋体" w:cs="Times New Roman"/>
      <w:b/>
      <w:bCs/>
      <w:color w:val="000066"/>
      <w:sz w:val="22"/>
      <w:szCs w:val="22"/>
      <w:u w:val="none"/>
    </w:rPr>
  </w:style>
  <w:style w:type="character" w:customStyle="1" w:styleId="276">
    <w:name w:val="text_line_height_201"/>
    <w:basedOn w:val="49"/>
    <w:qFormat/>
    <w:uiPriority w:val="0"/>
    <w:rPr>
      <w:rFonts w:ascii="Times New Roman" w:hAnsi="Times New Roman" w:eastAsia="宋体" w:cs="Times New Roman"/>
    </w:rPr>
  </w:style>
  <w:style w:type="character" w:customStyle="1" w:styleId="277">
    <w:name w:val="blacksm"/>
    <w:basedOn w:val="49"/>
    <w:qFormat/>
    <w:uiPriority w:val="0"/>
    <w:rPr>
      <w:rFonts w:ascii="Times New Roman" w:hAnsi="Times New Roman" w:eastAsia="宋体" w:cs="Times New Roman"/>
    </w:rPr>
  </w:style>
  <w:style w:type="character" w:customStyle="1" w:styleId="278">
    <w:name w:val="11pt"/>
    <w:basedOn w:val="49"/>
    <w:qFormat/>
    <w:uiPriority w:val="0"/>
    <w:rPr>
      <w:rFonts w:ascii="Times New Roman" w:hAnsi="Times New Roman" w:eastAsia="宋体" w:cs="Times New Roman"/>
    </w:rPr>
  </w:style>
  <w:style w:type="character" w:customStyle="1" w:styleId="279">
    <w:name w:val="t31"/>
    <w:qFormat/>
    <w:uiPriority w:val="0"/>
    <w:rPr>
      <w:rFonts w:ascii="Times New Roman" w:hAnsi="Times New Roman" w:eastAsia="宋体" w:cs="Times New Roman"/>
      <w:color w:val="000000"/>
      <w:sz w:val="21"/>
      <w:szCs w:val="21"/>
      <w:u w:val="none"/>
    </w:rPr>
  </w:style>
  <w:style w:type="character" w:customStyle="1" w:styleId="280">
    <w:name w:val="脚注文本 字符"/>
    <w:basedOn w:val="49"/>
    <w:link w:val="34"/>
    <w:qFormat/>
    <w:locked/>
    <w:uiPriority w:val="0"/>
    <w:rPr>
      <w:rFonts w:ascii="宋体" w:hAnsi="宋体" w:eastAsia="新宋体" w:cs="Times New Roman"/>
      <w:kern w:val="0"/>
      <w:sz w:val="18"/>
      <w:szCs w:val="22"/>
    </w:rPr>
  </w:style>
  <w:style w:type="character" w:customStyle="1" w:styleId="281">
    <w:name w:val="称呼 字符"/>
    <w:link w:val="18"/>
    <w:qFormat/>
    <w:uiPriority w:val="0"/>
    <w:rPr>
      <w:rFonts w:ascii="Times New Roman" w:hAnsi="Times New Roman" w:eastAsia="宋体" w:cs="Times New Roman"/>
    </w:rPr>
  </w:style>
  <w:style w:type="character" w:customStyle="1" w:styleId="282">
    <w:name w:val="正文文本首行缩进 2 字符"/>
    <w:basedOn w:val="283"/>
    <w:link w:val="46"/>
    <w:qFormat/>
    <w:uiPriority w:val="0"/>
    <w:rPr>
      <w:rFonts w:ascii="Times New Roman" w:hAnsi="Times New Roman" w:eastAsia="宋体" w:cs="Times New Roman"/>
      <w:sz w:val="21"/>
    </w:rPr>
  </w:style>
  <w:style w:type="character" w:customStyle="1" w:styleId="283">
    <w:name w:val="正文文本缩进 字符"/>
    <w:link w:val="22"/>
    <w:qFormat/>
    <w:uiPriority w:val="0"/>
    <w:rPr>
      <w:rFonts w:ascii="宋体" w:hAnsi="宋体" w:eastAsia="宋体" w:cs="Times New Roman"/>
      <w:sz w:val="24"/>
    </w:rPr>
  </w:style>
  <w:style w:type="character" w:customStyle="1" w:styleId="284">
    <w:name w:val="Char Char3"/>
    <w:qFormat/>
    <w:uiPriority w:val="0"/>
    <w:rPr>
      <w:rFonts w:ascii="Times New Roman" w:hAnsi="Times New Roman" w:eastAsia="宋体" w:cs="Times New Roman"/>
      <w:b/>
      <w:bCs/>
      <w:kern w:val="2"/>
      <w:sz w:val="32"/>
      <w:szCs w:val="32"/>
      <w:lang w:val="en-US" w:eastAsia="zh-CN" w:bidi="ar-SA"/>
    </w:rPr>
  </w:style>
  <w:style w:type="character" w:customStyle="1" w:styleId="285">
    <w:name w:val="Table Text Char Char Char"/>
    <w:qFormat/>
    <w:uiPriority w:val="0"/>
    <w:rPr>
      <w:rFonts w:ascii="Arial" w:hAnsi="Arial" w:eastAsia="宋体" w:cs="Arial"/>
      <w:kern w:val="2"/>
      <w:sz w:val="18"/>
      <w:szCs w:val="21"/>
      <w:lang w:val="en-US" w:eastAsia="zh-CN" w:bidi="ar-SA"/>
    </w:rPr>
  </w:style>
  <w:style w:type="character" w:customStyle="1" w:styleId="286">
    <w:name w:val="标题 3 Char2"/>
    <w:qFormat/>
    <w:uiPriority w:val="0"/>
    <w:rPr>
      <w:rFonts w:ascii="Times New Roman" w:hAnsi="Times New Roman" w:eastAsia="宋体" w:cs="Times New Roman"/>
      <w:b/>
      <w:bCs/>
      <w:kern w:val="2"/>
      <w:sz w:val="32"/>
      <w:szCs w:val="32"/>
      <w:lang w:val="en-US" w:eastAsia="zh-CN" w:bidi="ar-SA"/>
    </w:rPr>
  </w:style>
  <w:style w:type="character" w:customStyle="1" w:styleId="287">
    <w:name w:val="tpc_content1"/>
    <w:qFormat/>
    <w:uiPriority w:val="0"/>
    <w:rPr>
      <w:rFonts w:ascii="Times New Roman" w:hAnsi="Times New Roman" w:eastAsia="宋体" w:cs="Times New Roman"/>
      <w:sz w:val="15"/>
      <w:szCs w:val="15"/>
    </w:rPr>
  </w:style>
  <w:style w:type="character" w:customStyle="1" w:styleId="288">
    <w:name w:val="标题 2 字符"/>
    <w:link w:val="4"/>
    <w:qFormat/>
    <w:uiPriority w:val="0"/>
    <w:rPr>
      <w:rFonts w:ascii="Arial" w:hAnsi="Arial" w:eastAsia="宋体" w:cs="Times New Roman"/>
      <w:b/>
      <w:sz w:val="30"/>
    </w:rPr>
  </w:style>
  <w:style w:type="character" w:customStyle="1" w:styleId="289">
    <w:name w:val="h31"/>
    <w:qFormat/>
    <w:uiPriority w:val="0"/>
    <w:rPr>
      <w:rFonts w:ascii="Times New Roman" w:hAnsi="Times New Roman" w:eastAsia="宋体" w:cs="Times New Roman"/>
      <w:sz w:val="21"/>
      <w:szCs w:val="21"/>
    </w:rPr>
  </w:style>
  <w:style w:type="character" w:customStyle="1" w:styleId="290">
    <w:name w:val="表格内容"/>
    <w:qFormat/>
    <w:uiPriority w:val="0"/>
    <w:rPr>
      <w:rFonts w:ascii="Times New Roman" w:hAnsi="Times New Roman" w:eastAsia="宋体" w:cs="Times New Roman"/>
      <w:sz w:val="24"/>
    </w:rPr>
  </w:style>
  <w:style w:type="character" w:customStyle="1" w:styleId="291">
    <w:name w:val="Char Char5"/>
    <w:qFormat/>
    <w:uiPriority w:val="0"/>
    <w:rPr>
      <w:rFonts w:ascii="Arial" w:hAnsi="Arial" w:eastAsia="黑体" w:cs="Times New Roman"/>
      <w:b/>
      <w:kern w:val="2"/>
      <w:sz w:val="32"/>
      <w:lang w:val="en-US" w:eastAsia="zh-CN" w:bidi="ar-SA"/>
    </w:rPr>
  </w:style>
  <w:style w:type="character" w:customStyle="1" w:styleId="292">
    <w:name w:val="Table Text Char1"/>
    <w:qFormat/>
    <w:uiPriority w:val="0"/>
    <w:rPr>
      <w:rFonts w:ascii="Arial" w:hAnsi="Arial" w:eastAsia="宋体" w:cs="Arial"/>
      <w:kern w:val="2"/>
      <w:sz w:val="18"/>
      <w:szCs w:val="18"/>
      <w:lang w:val="en-US" w:eastAsia="zh-CN" w:bidi="ar-SA"/>
    </w:rPr>
  </w:style>
  <w:style w:type="character" w:customStyle="1" w:styleId="293">
    <w:name w:val="标题 字符"/>
    <w:basedOn w:val="49"/>
    <w:link w:val="43"/>
    <w:qFormat/>
    <w:locked/>
    <w:uiPriority w:val="0"/>
    <w:rPr>
      <w:rFonts w:ascii="Cambria" w:hAnsi="Cambria" w:eastAsia="宋体" w:cs="Times New Roman"/>
      <w:b/>
      <w:sz w:val="32"/>
    </w:rPr>
  </w:style>
  <w:style w:type="paragraph" w:styleId="294">
    <w:name w:val="No Spacing"/>
    <w:link w:val="295"/>
    <w:qFormat/>
    <w:uiPriority w:val="1"/>
    <w:pPr>
      <w:widowControl w:val="0"/>
      <w:jc w:val="both"/>
    </w:pPr>
    <w:rPr>
      <w:rFonts w:ascii="Calibri" w:hAnsi="Calibri" w:eastAsia="宋体" w:cs="Times New Roman"/>
      <w:kern w:val="2"/>
      <w:sz w:val="21"/>
      <w:szCs w:val="22"/>
      <w:lang w:val="en-US" w:eastAsia="zh-CN" w:bidi="ar-SA"/>
    </w:rPr>
  </w:style>
  <w:style w:type="character" w:customStyle="1" w:styleId="295">
    <w:name w:val="无间隔 字符"/>
    <w:basedOn w:val="49"/>
    <w:link w:val="294"/>
    <w:qFormat/>
    <w:uiPriority w:val="1"/>
    <w:rPr>
      <w:rFonts w:ascii="Calibri" w:hAnsi="Calibri" w:eastAsia="宋体" w:cs="Times New Roman"/>
      <w:kern w:val="2"/>
      <w:sz w:val="21"/>
      <w:szCs w:val="22"/>
      <w:lang w:val="en-US" w:eastAsia="zh-CN" w:bidi="ar-SA"/>
    </w:rPr>
  </w:style>
  <w:style w:type="character" w:customStyle="1" w:styleId="296">
    <w:name w:val="button"/>
    <w:basedOn w:val="49"/>
    <w:qFormat/>
    <w:uiPriority w:val="0"/>
    <w:rPr>
      <w:rFonts w:ascii="Times New Roman" w:hAnsi="Times New Roman" w:eastAsia="宋体" w:cs="Times New Roman"/>
    </w:rPr>
  </w:style>
  <w:style w:type="character" w:customStyle="1" w:styleId="297">
    <w:name w:val="hover3"/>
    <w:basedOn w:val="49"/>
    <w:qFormat/>
    <w:uiPriority w:val="0"/>
    <w:rPr>
      <w:rFonts w:ascii="Times New Roman" w:hAnsi="Times New Roman" w:eastAsia="宋体" w:cs="Times New Roman"/>
      <w:shd w:val="clear" w:color="auto" w:fill="EEEEEE"/>
    </w:rPr>
  </w:style>
  <w:style w:type="character" w:customStyle="1" w:styleId="298">
    <w:name w:val="glyphicon4"/>
    <w:basedOn w:val="49"/>
    <w:qFormat/>
    <w:uiPriority w:val="0"/>
    <w:rPr>
      <w:rFonts w:ascii="Times New Roman" w:hAnsi="Times New Roman" w:eastAsia="宋体" w:cs="Times New Roman"/>
    </w:rPr>
  </w:style>
  <w:style w:type="character" w:customStyle="1" w:styleId="299">
    <w:name w:val="tmpztreemove_arrow"/>
    <w:basedOn w:val="49"/>
    <w:qFormat/>
    <w:uiPriority w:val="0"/>
    <w:rPr>
      <w:rFonts w:ascii="Times New Roman" w:hAnsi="Times New Roman" w:eastAsia="宋体" w:cs="Times New Roman"/>
      <w:shd w:val="clear" w:color="auto" w:fill="FFFFFF"/>
    </w:rPr>
  </w:style>
  <w:style w:type="character" w:customStyle="1" w:styleId="300">
    <w:name w:val="old"/>
    <w:basedOn w:val="49"/>
    <w:qFormat/>
    <w:uiPriority w:val="0"/>
    <w:rPr>
      <w:rFonts w:ascii="Times New Roman" w:hAnsi="Times New Roman" w:eastAsia="宋体" w:cs="Times New Roman"/>
      <w:color w:val="999999"/>
    </w:rPr>
  </w:style>
  <w:style w:type="character" w:customStyle="1" w:styleId="301">
    <w:name w:val="hour_am"/>
    <w:basedOn w:val="49"/>
    <w:qFormat/>
    <w:uiPriority w:val="0"/>
    <w:rPr>
      <w:rFonts w:ascii="Times New Roman" w:hAnsi="Times New Roman" w:eastAsia="宋体" w:cs="Times New Roman"/>
    </w:rPr>
  </w:style>
  <w:style w:type="character" w:customStyle="1" w:styleId="302">
    <w:name w:val="hour_pm"/>
    <w:basedOn w:val="49"/>
    <w:qFormat/>
    <w:uiPriority w:val="0"/>
    <w:rPr>
      <w:rFonts w:ascii="Times New Roman" w:hAnsi="Times New Roman" w:eastAsia="宋体" w:cs="Times New Roman"/>
    </w:rPr>
  </w:style>
  <w:style w:type="character" w:customStyle="1" w:styleId="303">
    <w:name w:val="indent"/>
    <w:basedOn w:val="49"/>
    <w:qFormat/>
    <w:uiPriority w:val="0"/>
    <w:rPr>
      <w:rFonts w:ascii="Times New Roman" w:hAnsi="Times New Roman" w:eastAsia="宋体" w:cs="Times New Roman"/>
    </w:rPr>
  </w:style>
  <w:style w:type="character" w:customStyle="1" w:styleId="304">
    <w:name w:val="标题 1 字符"/>
    <w:basedOn w:val="49"/>
    <w:link w:val="3"/>
    <w:qFormat/>
    <w:uiPriority w:val="0"/>
    <w:rPr>
      <w:rFonts w:ascii="Times New Roman" w:hAnsi="Times New Roman" w:eastAsia="宋体" w:cs="Times New Roman"/>
      <w:b/>
      <w:kern w:val="44"/>
      <w:sz w:val="32"/>
    </w:rPr>
  </w:style>
  <w:style w:type="character" w:customStyle="1" w:styleId="305">
    <w:name w:val="hover34"/>
    <w:basedOn w:val="49"/>
    <w:qFormat/>
    <w:uiPriority w:val="0"/>
    <w:rPr>
      <w:rFonts w:ascii="Times New Roman" w:hAnsi="Times New Roman" w:eastAsia="宋体" w:cs="Times New Roman"/>
      <w:color w:val="3EAF0E"/>
    </w:rPr>
  </w:style>
  <w:style w:type="character" w:customStyle="1" w:styleId="306">
    <w:name w:val="s1"/>
    <w:basedOn w:val="49"/>
    <w:qFormat/>
    <w:uiPriority w:val="0"/>
    <w:rPr>
      <w:rFonts w:ascii="Times New Roman" w:hAnsi="Times New Roman" w:eastAsia="宋体" w:cs="Times New Roman"/>
      <w:color w:val="DDDDDD"/>
      <w:sz w:val="18"/>
      <w:szCs w:val="18"/>
    </w:rPr>
  </w:style>
  <w:style w:type="character" w:customStyle="1" w:styleId="307">
    <w:name w:val="mr-prof"/>
    <w:basedOn w:val="49"/>
    <w:qFormat/>
    <w:uiPriority w:val="0"/>
    <w:rPr>
      <w:rFonts w:ascii="Times New Roman" w:hAnsi="Times New Roman" w:eastAsia="宋体" w:cs="Times New Roman"/>
    </w:rPr>
  </w:style>
  <w:style w:type="paragraph" w:customStyle="1" w:styleId="308">
    <w:name w:val="msonospacing"/>
    <w:basedOn w:val="1"/>
    <w:qFormat/>
    <w:uiPriority w:val="0"/>
    <w:rPr>
      <w:rFonts w:ascii="Calibri" w:hAnsi="Calibri"/>
      <w:szCs w:val="22"/>
    </w:rPr>
  </w:style>
  <w:style w:type="character" w:customStyle="1" w:styleId="309">
    <w:name w:val="标题 4 Char"/>
    <w:basedOn w:val="49"/>
    <w:qFormat/>
    <w:uiPriority w:val="0"/>
    <w:rPr>
      <w:rFonts w:ascii="宋体" w:hAnsi="宋体" w:eastAsia="宋体" w:cs="宋体"/>
      <w:b/>
      <w:kern w:val="0"/>
      <w:sz w:val="24"/>
    </w:rPr>
  </w:style>
  <w:style w:type="paragraph" w:customStyle="1" w:styleId="310">
    <w:name w:val="ParaAttribute79"/>
    <w:basedOn w:val="1"/>
    <w:qFormat/>
    <w:uiPriority w:val="0"/>
    <w:pPr>
      <w:wordWrap w:val="0"/>
      <w:ind w:firstLine="840"/>
    </w:pPr>
    <w:rPr>
      <w:rFonts w:eastAsia="Batang"/>
      <w:kern w:val="0"/>
      <w:sz w:val="20"/>
    </w:rPr>
  </w:style>
  <w:style w:type="paragraph" w:customStyle="1" w:styleId="311">
    <w:name w:val="msolistparagraph"/>
    <w:basedOn w:val="1"/>
    <w:qFormat/>
    <w:uiPriority w:val="0"/>
    <w:pPr>
      <w:widowControl/>
      <w:ind w:firstLine="420" w:firstLineChars="200"/>
      <w:jc w:val="left"/>
    </w:pPr>
    <w:rPr>
      <w:rFonts w:ascii="Cambria" w:hAnsi="Cambria" w:eastAsia="微软雅黑"/>
      <w:kern w:val="20"/>
    </w:rPr>
  </w:style>
  <w:style w:type="character" w:customStyle="1" w:styleId="312">
    <w:name w:val="列出段落 Char"/>
    <w:basedOn w:val="49"/>
    <w:qFormat/>
    <w:uiPriority w:val="0"/>
    <w:rPr>
      <w:rFonts w:hint="default" w:ascii="Cambria" w:hAnsi="Cambria" w:eastAsia="微软雅黑" w:cs="Cambria"/>
      <w:kern w:val="20"/>
      <w:sz w:val="21"/>
      <w:lang w:val="zh-CN"/>
    </w:rPr>
  </w:style>
  <w:style w:type="character" w:customStyle="1" w:styleId="313">
    <w:name w:val="纯文本 字符"/>
    <w:basedOn w:val="49"/>
    <w:link w:val="26"/>
    <w:qFormat/>
    <w:uiPriority w:val="0"/>
    <w:rPr>
      <w:rFonts w:ascii="宋体" w:hAnsi="Courier New" w:eastAsia="宋体" w:cs="Times New Roman"/>
      <w:sz w:val="24"/>
    </w:rPr>
  </w:style>
  <w:style w:type="character" w:customStyle="1" w:styleId="314">
    <w:name w:val="正文缩进 字符"/>
    <w:link w:val="13"/>
    <w:qFormat/>
    <w:uiPriority w:val="0"/>
    <w:rPr>
      <w:rFonts w:ascii="宋体" w:hAnsi="宋体" w:eastAsia="宋体" w:cs="宋体"/>
      <w:sz w:val="24"/>
    </w:rPr>
  </w:style>
  <w:style w:type="paragraph" w:customStyle="1" w:styleId="315">
    <w:name w:val="title1"/>
    <w:basedOn w:val="1"/>
    <w:qFormat/>
    <w:uiPriority w:val="0"/>
    <w:pPr>
      <w:spacing w:before="104"/>
      <w:jc w:val="left"/>
    </w:pPr>
    <w:rPr>
      <w:rFonts w:hint="eastAsia" w:ascii="宋体" w:hAnsi="宋体"/>
      <w:b/>
      <w:kern w:val="0"/>
      <w:sz w:val="15"/>
      <w:szCs w:val="15"/>
    </w:rPr>
  </w:style>
  <w:style w:type="paragraph" w:customStyle="1" w:styleId="316">
    <w:name w:val="WPSOffice手动目录 1"/>
    <w:qFormat/>
    <w:uiPriority w:val="0"/>
    <w:pPr>
      <w:spacing w:line="480" w:lineRule="auto"/>
    </w:pPr>
    <w:rPr>
      <w:rFonts w:ascii="Times New Roman" w:hAnsi="Times New Roman" w:eastAsia="宋体" w:cs="Times New Roman"/>
      <w:b/>
      <w:sz w:val="28"/>
      <w:lang w:val="en-US" w:eastAsia="zh-CN" w:bidi="ar-SA"/>
    </w:rPr>
  </w:style>
  <w:style w:type="character" w:customStyle="1" w:styleId="317">
    <w:name w:val="font21"/>
    <w:basedOn w:val="49"/>
    <w:qFormat/>
    <w:uiPriority w:val="0"/>
    <w:rPr>
      <w:rFonts w:ascii="仿宋_GB2312" w:hAnsi="Times New Roman" w:eastAsia="仿宋_GB2312" w:cs="仿宋_GB2312"/>
      <w:color w:val="000000"/>
      <w:sz w:val="20"/>
      <w:szCs w:val="20"/>
      <w:u w:val="none"/>
    </w:rPr>
  </w:style>
  <w:style w:type="paragraph" w:customStyle="1" w:styleId="318">
    <w:name w:val="表格"/>
    <w:basedOn w:val="1"/>
    <w:link w:val="324"/>
    <w:qFormat/>
    <w:uiPriority w:val="0"/>
    <w:pPr>
      <w:adjustRightInd w:val="0"/>
      <w:snapToGrid w:val="0"/>
      <w:spacing w:line="360" w:lineRule="auto"/>
      <w:jc w:val="center"/>
    </w:pPr>
    <w:rPr>
      <w:rFonts w:ascii="宋体" w:hAnsi="宋体" w:cs="宋体"/>
      <w:sz w:val="24"/>
    </w:rPr>
  </w:style>
  <w:style w:type="paragraph" w:customStyle="1" w:styleId="319">
    <w:name w:val="_Style 12"/>
    <w:basedOn w:val="1"/>
    <w:next w:val="26"/>
    <w:qFormat/>
    <w:uiPriority w:val="0"/>
    <w:rPr>
      <w:rFonts w:hint="eastAsia" w:ascii="宋体" w:hAnsi="Courier New" w:eastAsia="仿宋_GB2312"/>
    </w:rPr>
  </w:style>
  <w:style w:type="paragraph" w:customStyle="1" w:styleId="320">
    <w:name w:val="样式 首行缩进:  2 字符"/>
    <w:basedOn w:val="1"/>
    <w:qFormat/>
    <w:uiPriority w:val="0"/>
    <w:pPr>
      <w:spacing w:line="400" w:lineRule="exact"/>
      <w:ind w:firstLine="200" w:firstLineChars="200"/>
    </w:pPr>
    <w:rPr>
      <w:rFonts w:cs="宋体"/>
      <w:sz w:val="24"/>
      <w:szCs w:val="24"/>
    </w:rPr>
  </w:style>
  <w:style w:type="paragraph" w:customStyle="1" w:styleId="321">
    <w:name w:val="Plain Text1"/>
    <w:basedOn w:val="1"/>
    <w:qFormat/>
    <w:uiPriority w:val="0"/>
    <w:pPr>
      <w:overflowPunct w:val="0"/>
      <w:autoSpaceDE w:val="0"/>
      <w:autoSpaceDN w:val="0"/>
      <w:adjustRightInd w:val="0"/>
      <w:textAlignment w:val="baseline"/>
    </w:pPr>
    <w:rPr>
      <w:rFonts w:ascii="宋体" w:cs="宋体"/>
      <w:kern w:val="0"/>
    </w:rPr>
  </w:style>
  <w:style w:type="character" w:customStyle="1" w:styleId="322">
    <w:name w:val="标题 4 字符"/>
    <w:link w:val="6"/>
    <w:qFormat/>
    <w:uiPriority w:val="9"/>
    <w:rPr>
      <w:rFonts w:ascii="宋体" w:hAnsi="宋体" w:eastAsia="宋体" w:cs="宋体"/>
      <w:b/>
      <w:bCs/>
      <w:kern w:val="0"/>
      <w:sz w:val="24"/>
      <w:szCs w:val="28"/>
    </w:rPr>
  </w:style>
  <w:style w:type="character" w:customStyle="1" w:styleId="323">
    <w:name w:val="标题 3 字符"/>
    <w:qFormat/>
    <w:uiPriority w:val="0"/>
    <w:rPr>
      <w:rFonts w:ascii="仿宋" w:hAnsi="仿宋" w:eastAsia="宋体" w:cs="Times New Roman"/>
      <w:b/>
      <w:sz w:val="28"/>
    </w:rPr>
  </w:style>
  <w:style w:type="character" w:customStyle="1" w:styleId="324">
    <w:name w:val="表格 Char"/>
    <w:link w:val="318"/>
    <w:qFormat/>
    <w:uiPriority w:val="0"/>
    <w:rPr>
      <w:rFonts w:ascii="宋体" w:hAnsi="宋体" w:eastAsia="宋体" w:cs="宋体"/>
      <w:sz w:val="24"/>
    </w:rPr>
  </w:style>
  <w:style w:type="character" w:customStyle="1" w:styleId="325">
    <w:name w:val="标题 3 字符1"/>
    <w:link w:val="5"/>
    <w:qFormat/>
    <w:uiPriority w:val="0"/>
    <w:rPr>
      <w:rFonts w:ascii="宋体" w:hAnsi="宋体" w:eastAsia="宋体" w:cs="宋体"/>
      <w:b/>
      <w:sz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oleObject" Target="embeddings/oleObject2.bin"/><Relationship Id="rId17" Type="http://schemas.openxmlformats.org/officeDocument/2006/relationships/image" Target="media/image2.wmf"/><Relationship Id="rId16" Type="http://schemas.openxmlformats.org/officeDocument/2006/relationships/oleObject" Target="embeddings/oleObject1.bin"/><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93</Pages>
  <Words>41227</Words>
  <Characters>46547</Characters>
  <Lines>371</Lines>
  <Paragraphs>104</Paragraphs>
  <TotalTime>33</TotalTime>
  <ScaleCrop>false</ScaleCrop>
  <LinksUpToDate>false</LinksUpToDate>
  <CharactersWithSpaces>49560</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2017-07-09T11:38:00Z</dcterms:created>
  <dc:creator>郭大军</dc:creator>
  <cp:lastModifiedBy>??</cp:lastModifiedBy>
  <cp:lastPrinted>2017-11-13T02:28:00Z</cp:lastPrinted>
  <dcterms:modified xsi:type="dcterms:W3CDTF">2022-11-29T06:09:37Z</dcterms:modified>
  <dc:title>                                     </dc:title>
  <cp:revision>668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65C32F4747FC4CC78787FA48790B5368</vt:lpwstr>
  </property>
</Properties>
</file>