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西北妇女儿童医院实验室设备一批采购项目招标公告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实验室设备一批采购项目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西安市南二环西段21号华融国际商务大厦A座11E</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2023年01月03日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项目编号：SXZCX2022-095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项目名称：实验室设备一批采购项目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合同包1(SXZCX2022-095第一标段):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合同包预算金额：5,200,000.00元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合同包最高限价：5,200,000.00元</w:t>
      </w:r>
    </w:p>
    <w:tbl>
      <w:tblPr>
        <w:tblW w:w="142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52"/>
        <w:gridCol w:w="1500"/>
        <w:gridCol w:w="3975"/>
        <w:gridCol w:w="1631"/>
        <w:gridCol w:w="2907"/>
        <w:gridCol w:w="1538"/>
        <w:gridCol w:w="16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1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39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6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29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5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6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其他医疗设备</w:t>
            </w:r>
          </w:p>
        </w:tc>
        <w:tc>
          <w:tcPr>
            <w:tcW w:w="39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实验室设备第一包，用于病理、检验、遗传实验室检测，满足临床需求、</w:t>
            </w:r>
          </w:p>
        </w:tc>
        <w:tc>
          <w:tcPr>
            <w:tcW w:w="16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29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15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5,200,000.00</w:t>
            </w:r>
          </w:p>
        </w:tc>
        <w:tc>
          <w:tcPr>
            <w:tcW w:w="16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5,200,000.00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合同履行期限：1、国产产品交货期：要求在正式合同签订即日起 30 个日历日内或按采购人要求。 2、进口产品交货期：要求在正式合同签订即日起 90 个日历日内或按采购人要求。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合同包2(SXZCX2022-095第二标段):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合同包最高限价：3,000,000.00元</w:t>
      </w:r>
    </w:p>
    <w:tbl>
      <w:tblPr>
        <w:tblW w:w="1429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90"/>
        <w:gridCol w:w="1481"/>
        <w:gridCol w:w="3937"/>
        <w:gridCol w:w="1723"/>
        <w:gridCol w:w="2796"/>
        <w:gridCol w:w="1594"/>
        <w:gridCol w:w="1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0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4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39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w:t>
            </w:r>
            <w:bookmarkStart w:id="0" w:name="_GoBack"/>
            <w:bookmarkEnd w:id="0"/>
            <w:r>
              <w:rPr>
                <w:rFonts w:ascii="宋体" w:hAnsi="宋体" w:eastAsia="宋体" w:cs="宋体"/>
                <w:b/>
                <w:bCs/>
                <w:color w:val="auto"/>
                <w:kern w:val="0"/>
                <w:sz w:val="21"/>
                <w:szCs w:val="21"/>
                <w:bdr w:val="none" w:color="auto" w:sz="0" w:space="0"/>
                <w:lang w:val="en-US" w:eastAsia="zh-CN" w:bidi="ar"/>
              </w:rPr>
              <w:t>购标的</w:t>
            </w:r>
          </w:p>
        </w:tc>
        <w:tc>
          <w:tcPr>
            <w:tcW w:w="17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2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5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6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14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其他医疗设备</w:t>
            </w:r>
          </w:p>
        </w:tc>
        <w:tc>
          <w:tcPr>
            <w:tcW w:w="39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实验室设备第二包，用于病理、检验、遗传实验室检测，满足临床需求、</w:t>
            </w:r>
          </w:p>
        </w:tc>
        <w:tc>
          <w:tcPr>
            <w:tcW w:w="17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2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15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3,000,000.00</w:t>
            </w:r>
          </w:p>
        </w:tc>
        <w:tc>
          <w:tcPr>
            <w:tcW w:w="16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合同履行期限：要求在正式合同签订即日起 30 个日历日内或按采购人要求。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合同包1(SXZCX2022-095第一标段)落实政府采购政策需满足的资格要求如下: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合同包2(SXZCX2022-095第二标段)落实政府采购政策需满足的资格要求如下: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合同包1(SXZCX2022-095第一标段)特定资格要求如下: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1、法定代表人授权书及被授权人身份证和法定代表人身份证（加盖公章）（法定代表人直接参加投标，只须提交其身份证原件及复印件加盖公章）；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为制造厂家须提供有效的营业执照副本、组织机构代码证、税务登记证（国、地税）（已办理三证合一或五证合一的只需提供营业执照副本）、如属于医疗器械，需提供有效的医疗器械生产企业许可证（进口产品此项不提供）、有效的医疗器械注册证(进口产品需提供”进”字号注册证)及附件（附页）；供应商为经销商须提供有效的营业执照副本、组织机构代码证、税务登记证（国、地税）（已办理三证合一或五证合一的只需提供营业执照副本）、如属于医疗器械。需提供有效的医疗器械经营许可证、制造厂家的有效营业执照副本、组织机构代码证、税务登记证（国、地税）（已办理三证合一或五证合一的只需提供营业执照副本）、有效的医疗器械生产许可证（进口产品无需提供前四项）、有效的医疗器械注册证(进口产品需提供”进”字号注册证)及附件（附页），如所投产品为进口产品须提供完整授权链条的产品授权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3、提供在职人员2022年1月1日至今任意连续三个月公司正常缴纳社保的证明材料（社保中心出具的在职人员缴费情况或者职工基本养老保险个人账户，或银行缴税付款凭证）；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4、参加政府采购活动前三年内，在经营活动中没有重大违法记录的书面声明（原件）；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5、提供完整的2021年度财务审计报告（新成立的公司除外）；</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提供投标文件截止时间前一年内至少一个月的纳税证明或完税证明（增值税、企业所得税至少一种），纳税证明或完税证明上应有代收机构或税务机关的公章或业务专用章；其他组织和自然人提供投标文件截止时间前一年内至少一个月缴纳税收的凭据；依法免税的投标人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7、供应商未被“信用中国”网站（www.creditchina.gov.cn）列入失信被执行人和重大税收违法失信主体，未被“中国政府采购网”（www.ccgp.gov.cn）列入政府采购严重违法失信行为记录名单；</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8、本次招标项目不接受联合体投标。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合同包2(SXZCX2022-095第二标段)特定资格要求如下: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1、法定代表人授权书及被授权人身份证和法定代表人身份证（加盖公章）（法定代表人直接参加投标，只须提交其身份证原件及复印件加盖公章）；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为制造厂家须提供有效的营业执照副本、组织机构代码证、税务登记证（国、地税）（已办理三证合一或五证合一的只需提供营业执照副本）、如属于医疗器械，需提供有效的医疗器械生产企业许可证（进口产品此项不提供）、有效的医疗器械注册证(进口产品需提供”进”字号注册证)及附件（附页）；供应商为经销商须提供有效的营业执照副本、组织机构代码证、税务登记证（国、地税）（已办理三证合一或五证合一的只需提供营业执照副本）、如属于医疗器械。需提供有效的医疗器械经营许可证、制造厂家的有效营业执照副本、组织机构代码证、税务登记证（国、地税）（已办理三证合一或五证合一的只需提供营业执照副本）、有效的医疗器械生产许可证（进口产品无需提供前四项）、有效的医疗器械注册证(进口产品需提供”进”字号注册证)及附件（附页），如所投产品为进口产品须提供完整授权链条的产品授权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3、提供在职人员2022年1月1日至今任意连续三个月公司正常缴纳社保的证明材料（社保中心出具的在职人员缴费情况或者职工基本养老保险个人账户，或银行缴税付款凭证）；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4、参加政府采购活动前三年内，在经营活动中没有重大违法记录的书面声明（原件）；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5、提供完整的2021年度财务审计报告（新成立的公司除外）；</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提供投标文件截止时间前一年内至少一个月的纳税证明或完税证明（增值税、企业所得税至少一种），纳税证明或完税证明上应有代收机构或税务机关的公章或业务专用章；其他组织和自然人提供投标文件截止时间前一年内至少一个月缴纳税收的凭据；依法免税的投标人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7、供应商未被“信用中国”网站（www.creditchina.gov.cn）列入失信被执行人和重大税收违法失信主体，未被“中国政府采购网”（www.ccgp.gov.cn）列入政府采购严重违法失信行为记录名单；</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8、本次招标项目不接受联合体投标。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2022年12月13日 至 2022年12月21日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西安市南二环西段21号华融国际商务大厦A座11E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2023年01月03日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陕西省中诚信招标有限公司会议室（西安市南二环西段21号华融国际商务大厦A座15F）</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陕西省中诚信招标有限公司会议室（西安市南二环西段21号华融国际商务大厦A座15F）</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购买招标文件时需提供单位介绍信及身份证（原件及复印件加盖公章）前往陕西省中诚信招标有限公司购买。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西北妇女儿童医院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西安市雁翔路1616号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89550189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陕西省中诚信招标有限公司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西安市南二环西段21号华融国际商务大厦A座11E</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029-85239299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王玮、白娟花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029-85239299</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GZlMTViMTY5OGU0ZTNjMWQ0MjQxOTMxYzY4OGMifQ=="/>
  </w:docVars>
  <w:rsids>
    <w:rsidRoot w:val="00000000"/>
    <w:rsid w:val="3D8E52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2022-12-13T11:32:56Z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B8BE9C1E22B24F42997195A611A12FA8</vt:lpwstr>
  </property>
</Properties>
</file>